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hint="eastAsia" w:ascii="宋体" w:hAnsi="宋体" w:eastAsia="宋体" w:cs="宋体"/>
          <w:b/>
          <w:sz w:val="32"/>
          <w:szCs w:val="32"/>
          <w:lang w:val="en-US" w:eastAsia="zh-CN"/>
        </w:rPr>
      </w:pPr>
      <w:r>
        <w:rPr>
          <w:rFonts w:hint="eastAsia" w:ascii="宋体" w:hAnsi="宋体" w:cs="宋体"/>
          <w:b/>
          <w:sz w:val="32"/>
          <w:szCs w:val="32"/>
        </w:rPr>
        <w:t>项目名称：</w:t>
      </w:r>
      <w:r>
        <w:rPr>
          <w:rFonts w:hint="eastAsia" w:ascii="宋体" w:hAnsi="宋体" w:cs="宋体"/>
          <w:b/>
          <w:sz w:val="32"/>
          <w:szCs w:val="32"/>
          <w:lang w:eastAsia="zh-CN"/>
        </w:rPr>
        <w:t>边坡风险性评价三维数值建模服务采购项目（第二次）</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lang w:val="en-US" w:eastAsia="zh-CN"/>
        </w:rPr>
        <w:t>11</w:t>
      </w:r>
      <w:r>
        <w:rPr>
          <w:rFonts w:hint="eastAsia" w:ascii="宋体" w:hAnsi="宋体" w:cs="宋体"/>
          <w:b/>
          <w:sz w:val="28"/>
          <w:szCs w:val="28"/>
        </w:rPr>
        <w:t>月</w:t>
      </w:r>
    </w:p>
    <w:p>
      <w:pPr>
        <w:pStyle w:val="28"/>
        <w:jc w:val="center"/>
        <w:rPr>
          <w:rFonts w:ascii="宋体" w:hAnsi="宋体" w:cs="宋体"/>
          <w:szCs w:val="21"/>
        </w:rPr>
      </w:pPr>
      <w:r>
        <w:br w:type="page"/>
      </w:r>
      <w:bookmarkStart w:id="0" w:name="_Toc507319889"/>
      <w:bookmarkStart w:id="1" w:name="_Toc247085669"/>
      <w:bookmarkStart w:id="2" w:name="_Toc507428442"/>
      <w:bookmarkStart w:id="3" w:name="_Toc246996898"/>
      <w:bookmarkStart w:id="4" w:name="_Toc296602400"/>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rPr>
          <w:rFonts w:hint="eastAsia" w:ascii="宋体" w:hAnsi="宋体" w:cs="宋体"/>
          <w:bCs w:val="0"/>
          <w:caps w:val="0"/>
        </w:rPr>
        <w:fldChar w:fldCharType="begin"/>
      </w:r>
      <w:r>
        <w:rPr>
          <w:rFonts w:hint="eastAsia" w:ascii="宋体" w:hAnsi="宋体" w:cs="宋体"/>
          <w:bCs w:val="0"/>
          <w:caps w:val="0"/>
        </w:rPr>
        <w:instrText xml:space="preserve"> HYPERLINK \l _Toc18378 </w:instrText>
      </w:r>
      <w:r>
        <w:rPr>
          <w:rFonts w:hint="eastAsia" w:ascii="宋体" w:hAnsi="宋体" w:cs="宋体"/>
          <w:bCs w:val="0"/>
          <w:caps w:val="0"/>
        </w:rPr>
        <w:fldChar w:fldCharType="separate"/>
      </w:r>
      <w:r>
        <w:rPr>
          <w:rFonts w:hint="eastAsia" w:ascii="宋体" w:hAnsi="宋体" w:cs="宋体"/>
        </w:rPr>
        <w:t>第一章 比选公告</w:t>
      </w:r>
      <w:r>
        <w:tab/>
      </w:r>
      <w:r>
        <w:fldChar w:fldCharType="begin"/>
      </w:r>
      <w:r>
        <w:instrText xml:space="preserve"> PAGEREF _Toc18378 \h </w:instrText>
      </w:r>
      <w:r>
        <w:fldChar w:fldCharType="separate"/>
      </w:r>
      <w:r>
        <w:t>1</w:t>
      </w:r>
      <w:r>
        <w:fldChar w:fldCharType="end"/>
      </w:r>
      <w:r>
        <w:rPr>
          <w:rFonts w:hint="eastAsia" w:ascii="宋体" w:hAnsi="宋体" w:cs="宋体"/>
          <w:bCs w:val="0"/>
          <w:caps w:val="0"/>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_Toc29948 </w:instrText>
      </w:r>
      <w:r>
        <w:rPr>
          <w:rFonts w:hint="eastAsia" w:ascii="宋体" w:hAnsi="宋体" w:cs="宋体"/>
          <w:bCs/>
          <w:caps/>
        </w:rPr>
        <w:fldChar w:fldCharType="separate"/>
      </w:r>
      <w:r>
        <w:rPr>
          <w:rFonts w:hint="eastAsia" w:ascii="宋体" w:hAnsi="宋体" w:cs="宋体"/>
        </w:rPr>
        <w:t>第二章 报价人须知</w:t>
      </w:r>
      <w:r>
        <w:tab/>
      </w:r>
      <w:r>
        <w:fldChar w:fldCharType="begin"/>
      </w:r>
      <w:r>
        <w:instrText xml:space="preserve"> PAGEREF _Toc29948 \h </w:instrText>
      </w:r>
      <w:r>
        <w:fldChar w:fldCharType="separate"/>
      </w:r>
      <w:r>
        <w:t>3</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_Toc32070 </w:instrText>
      </w:r>
      <w:r>
        <w:rPr>
          <w:rFonts w:hint="eastAsia" w:ascii="宋体" w:hAnsi="宋体" w:cs="宋体"/>
          <w:bCs/>
          <w:caps/>
        </w:rPr>
        <w:fldChar w:fldCharType="separate"/>
      </w:r>
      <w:r>
        <w:rPr>
          <w:rFonts w:hint="eastAsia"/>
        </w:rPr>
        <w:t xml:space="preserve">第三章 </w:t>
      </w:r>
      <w:r>
        <w:rPr>
          <w:rFonts w:hint="eastAsia" w:ascii="宋体" w:hAnsi="宋体" w:cs="宋体"/>
        </w:rPr>
        <w:t>评标办法（综合评估法）</w:t>
      </w:r>
      <w:r>
        <w:tab/>
      </w:r>
      <w:r>
        <w:fldChar w:fldCharType="begin"/>
      </w:r>
      <w:r>
        <w:instrText xml:space="preserve"> PAGEREF _Toc32070 \h </w:instrText>
      </w:r>
      <w:r>
        <w:fldChar w:fldCharType="separate"/>
      </w:r>
      <w:r>
        <w:t>8</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_Toc32568 </w:instrText>
      </w:r>
      <w:r>
        <w:rPr>
          <w:rFonts w:hint="eastAsia" w:ascii="宋体" w:hAnsi="宋体" w:cs="宋体"/>
          <w:bCs/>
          <w:caps/>
        </w:rPr>
        <w:fldChar w:fldCharType="separate"/>
      </w:r>
      <w:r>
        <w:rPr>
          <w:rFonts w:hint="eastAsia"/>
          <w:bCs/>
        </w:rPr>
        <w:t>第四章 报价说明</w:t>
      </w:r>
      <w:r>
        <w:tab/>
      </w:r>
      <w:r>
        <w:fldChar w:fldCharType="begin"/>
      </w:r>
      <w:r>
        <w:instrText xml:space="preserve"> PAGEREF _Toc32568 \h </w:instrText>
      </w:r>
      <w:r>
        <w:fldChar w:fldCharType="separate"/>
      </w:r>
      <w:r>
        <w:t>14</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_Toc10838 </w:instrText>
      </w:r>
      <w:r>
        <w:rPr>
          <w:rFonts w:hint="eastAsia" w:ascii="宋体" w:hAnsi="宋体" w:cs="宋体"/>
          <w:bCs/>
          <w:caps/>
        </w:rPr>
        <w:fldChar w:fldCharType="separate"/>
      </w:r>
      <w:r>
        <w:rPr>
          <w:rFonts w:hint="eastAsia" w:ascii="宋体" w:hAnsi="宋体" w:cs="宋体"/>
        </w:rPr>
        <w:t>第五章  工程量清单</w:t>
      </w:r>
      <w:r>
        <w:tab/>
      </w:r>
      <w:r>
        <w:fldChar w:fldCharType="begin"/>
      </w:r>
      <w:r>
        <w:instrText xml:space="preserve"> PAGEREF _Toc10838 \h </w:instrText>
      </w:r>
      <w:r>
        <w:fldChar w:fldCharType="separate"/>
      </w:r>
      <w:r>
        <w:t>15</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_Toc2064 </w:instrText>
      </w:r>
      <w:r>
        <w:rPr>
          <w:rFonts w:hint="eastAsia" w:ascii="宋体" w:hAnsi="宋体" w:cs="宋体"/>
          <w:bCs/>
          <w:caps/>
        </w:rPr>
        <w:fldChar w:fldCharType="separate"/>
      </w:r>
      <w:r>
        <w:rPr>
          <w:rFonts w:hint="eastAsia" w:ascii="宋体" w:hAnsi="宋体" w:cs="宋体"/>
        </w:rPr>
        <w:t>第六章  图  纸</w:t>
      </w:r>
      <w:r>
        <w:tab/>
      </w:r>
      <w:r>
        <w:fldChar w:fldCharType="begin"/>
      </w:r>
      <w:r>
        <w:instrText xml:space="preserve"> PAGEREF _Toc2064 \h </w:instrText>
      </w:r>
      <w:r>
        <w:fldChar w:fldCharType="separate"/>
      </w:r>
      <w:r>
        <w:t>20</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_Toc15316 </w:instrText>
      </w:r>
      <w:r>
        <w:rPr>
          <w:rFonts w:hint="eastAsia" w:ascii="宋体" w:hAnsi="宋体" w:cs="宋体"/>
          <w:bCs/>
          <w:caps/>
        </w:rPr>
        <w:fldChar w:fldCharType="separate"/>
      </w:r>
      <w:r>
        <w:rPr>
          <w:rFonts w:hint="eastAsia" w:ascii="宋体" w:hAnsi="宋体" w:cs="宋体"/>
        </w:rPr>
        <w:t>第七章  技术标准和工作要求</w:t>
      </w:r>
      <w:r>
        <w:tab/>
      </w:r>
      <w:r>
        <w:fldChar w:fldCharType="begin"/>
      </w:r>
      <w:r>
        <w:instrText xml:space="preserve"> PAGEREF _Toc15316 \h </w:instrText>
      </w:r>
      <w:r>
        <w:fldChar w:fldCharType="separate"/>
      </w:r>
      <w:r>
        <w:t>21</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_Toc15140 </w:instrText>
      </w:r>
      <w:r>
        <w:rPr>
          <w:rFonts w:hint="eastAsia" w:ascii="宋体" w:hAnsi="宋体" w:cs="宋体"/>
          <w:bCs/>
          <w:caps/>
        </w:rPr>
        <w:fldChar w:fldCharType="separate"/>
      </w:r>
      <w:r>
        <w:rPr>
          <w:rFonts w:hint="eastAsia" w:ascii="宋体" w:hAnsi="宋体" w:cs="宋体"/>
        </w:rPr>
        <w:t>第八章  合同范本</w:t>
      </w:r>
      <w:r>
        <w:tab/>
      </w:r>
      <w:r>
        <w:fldChar w:fldCharType="begin"/>
      </w:r>
      <w:r>
        <w:instrText xml:space="preserve"> PAGEREF _Toc15140 \h </w:instrText>
      </w:r>
      <w:r>
        <w:fldChar w:fldCharType="separate"/>
      </w:r>
      <w:r>
        <w:t>22</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_Toc10514 </w:instrText>
      </w:r>
      <w:r>
        <w:rPr>
          <w:rFonts w:hint="eastAsia" w:ascii="宋体" w:hAnsi="宋体" w:cs="宋体"/>
          <w:bCs/>
          <w:caps/>
        </w:rPr>
        <w:fldChar w:fldCharType="separate"/>
      </w:r>
      <w:r>
        <w:rPr>
          <w:rFonts w:hint="eastAsia" w:ascii="宋体" w:hAnsi="宋体" w:cs="宋体"/>
        </w:rPr>
        <w:t>第</w:t>
      </w:r>
      <w:r>
        <w:rPr>
          <w:rFonts w:hint="eastAsia" w:ascii="宋体" w:hAnsi="宋体" w:cs="宋体"/>
          <w:lang w:val="en-US" w:eastAsia="zh-CN"/>
        </w:rPr>
        <w:t>九</w:t>
      </w:r>
      <w:r>
        <w:rPr>
          <w:rFonts w:hint="eastAsia" w:ascii="宋体" w:hAnsi="宋体" w:cs="宋体"/>
        </w:rPr>
        <w:t>章  竞争性比选响应文件格式</w:t>
      </w:r>
      <w:r>
        <w:tab/>
      </w:r>
      <w:r>
        <w:fldChar w:fldCharType="begin"/>
      </w:r>
      <w:r>
        <w:instrText xml:space="preserve"> PAGEREF _Toc10514 \h </w:instrText>
      </w:r>
      <w:r>
        <w:fldChar w:fldCharType="separate"/>
      </w:r>
      <w:r>
        <w:t>23</w:t>
      </w:r>
      <w:r>
        <w:fldChar w:fldCharType="end"/>
      </w:r>
      <w:r>
        <w:rPr>
          <w:rFonts w:hint="eastAsia" w:ascii="宋体" w:hAnsi="宋体" w:cs="宋体"/>
          <w:bCs/>
          <w:caps/>
        </w:rP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507319890"/>
      <w:bookmarkStart w:id="6" w:name="_Toc247085671"/>
      <w:bookmarkStart w:id="7" w:name="_Toc179632527"/>
      <w:bookmarkStart w:id="8" w:name="_Toc152045511"/>
      <w:bookmarkStart w:id="9" w:name="_Toc2000404"/>
      <w:bookmarkStart w:id="10" w:name="_Toc246996900"/>
      <w:bookmarkStart w:id="11" w:name="_Toc144974479"/>
      <w:bookmarkStart w:id="12" w:name="_Toc247096243"/>
      <w:bookmarkStart w:id="13" w:name="_Toc152042287"/>
      <w:bookmarkStart w:id="14" w:name="_Toc246996157"/>
      <w:bookmarkStart w:id="15" w:name="_Toc18378"/>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507319891"/>
      <w:bookmarkStart w:id="19" w:name="_Toc11329213"/>
      <w:bookmarkStart w:id="20" w:name="_Toc152042288"/>
      <w:bookmarkStart w:id="21" w:name="_Toc144974480"/>
      <w:bookmarkStart w:id="22" w:name="_Toc179632528"/>
      <w:bookmarkStart w:id="23" w:name="_Toc24874"/>
      <w:bookmarkStart w:id="24" w:name="_Toc6549"/>
      <w:bookmarkStart w:id="25" w:name="_Toc10076"/>
      <w:bookmarkStart w:id="26" w:name="_Toc247085672"/>
      <w:bookmarkStart w:id="27" w:name="_Toc246996158"/>
      <w:bookmarkStart w:id="28" w:name="_Toc30430"/>
      <w:bookmarkStart w:id="29" w:name="_Toc152045512"/>
      <w:bookmarkStart w:id="30" w:name="_Toc246996901"/>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val="en-US" w:eastAsia="zh-CN"/>
        </w:rPr>
        <w:t>边坡风险性评价三维数值建模服务采购项目（第二次）</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1" w:name="_Toc21343"/>
      <w:bookmarkStart w:id="32" w:name="_Toc152042289"/>
      <w:bookmarkStart w:id="33" w:name="_Toc144974481"/>
      <w:bookmarkStart w:id="34" w:name="_Toc10952"/>
      <w:bookmarkStart w:id="35" w:name="_Toc246996159"/>
      <w:bookmarkStart w:id="36" w:name="_Toc246996902"/>
      <w:bookmarkStart w:id="37" w:name="_Toc18109"/>
      <w:bookmarkStart w:id="38" w:name="_Toc507319892"/>
      <w:bookmarkStart w:id="39" w:name="_Toc152045513"/>
      <w:bookmarkStart w:id="40" w:name="_Toc13546"/>
      <w:bookmarkStart w:id="41" w:name="_Toc179632529"/>
      <w:bookmarkStart w:id="42" w:name="_Toc247085673"/>
      <w:bookmarkStart w:id="43" w:name="_Toc11329214"/>
      <w:r>
        <w:rPr>
          <w:rFonts w:hint="eastAsia" w:ascii="宋体" w:hAnsi="宋体" w:eastAsia="宋体" w:cs="宋体"/>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44" w:name="_Toc446247226"/>
      <w:r>
        <w:rPr>
          <w:rFonts w:hint="eastAsia" w:ascii="宋体" w:hAnsi="宋体" w:cs="宋体"/>
          <w:szCs w:val="21"/>
        </w:rPr>
        <w:t xml:space="preserve">2.1 </w:t>
      </w:r>
      <w:r>
        <w:rPr>
          <w:rFonts w:hint="eastAsia" w:ascii="宋体" w:hAnsi="宋体" w:eastAsia="宋体" w:cs="宋体"/>
          <w:color w:val="000000" w:themeColor="text1"/>
          <w:kern w:val="2"/>
          <w:sz w:val="21"/>
          <w:szCs w:val="24"/>
          <w:lang w:val="en-US" w:eastAsia="zh-CN" w:bidi="ar-SA"/>
          <w14:textFill>
            <w14:solidFill>
              <w14:schemeClr w14:val="tx1"/>
            </w14:solidFill>
          </w14:textFill>
        </w:rPr>
        <w:t>项目地点：</w:t>
      </w:r>
      <w:bookmarkEnd w:id="44"/>
      <w:r>
        <w:rPr>
          <w:rFonts w:hint="eastAsia" w:ascii="宋体" w:hAnsi="宋体" w:eastAsia="宋体" w:cs="宋体"/>
          <w:color w:val="000000" w:themeColor="text1"/>
          <w:kern w:val="2"/>
          <w:sz w:val="21"/>
          <w:szCs w:val="24"/>
          <w:lang w:val="en-US" w:eastAsia="zh-CN" w:bidi="ar-SA"/>
          <w14:textFill>
            <w14:solidFill>
              <w14:schemeClr w14:val="tx1"/>
            </w14:solidFill>
          </w14:textFill>
        </w:rPr>
        <w:t>重庆首讯科技股份有限公司。</w:t>
      </w:r>
    </w:p>
    <w:p>
      <w:pPr>
        <w:pStyle w:val="13"/>
        <w:adjustRightInd w:val="0"/>
        <w:spacing w:line="400" w:lineRule="exact"/>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2.2 项目概况：对三维数值建模，应力及变形分析，稳定性方法代码实现等，配合开发一套预警平台，针对选定的6处典型边坡，实现边坡航飞三维建模图层叠加、风险性分析评价、降雨风险性动态预警、联动信息发布及交通诱导控制等。其核心内容为全面搜集边坡地质灾害信息进行综合分析、通过边坡多工况下稳定性分析、降雨对边坡稳定性的规律分析等，建立边坡风险评价体系，进行三维数值建模并集成到预警平台，为预警平台提供数据支撑。</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采购预计金额：28.7万元。</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eastAsia" w:ascii="宋体" w:hAnsi="宋体" w:cs="宋体"/>
          <w:color w:val="FF0000"/>
          <w:lang w:val="en-US" w:eastAsia="zh-CN"/>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lang w:val="en-US" w:eastAsia="zh-CN"/>
          <w14:textFill>
            <w14:solidFill>
              <w14:schemeClr w14:val="tx1"/>
            </w14:solidFill>
          </w14:textFill>
        </w:rPr>
        <w:t>比选范围：</w:t>
      </w:r>
      <w:r>
        <w:rPr>
          <w:rFonts w:hint="eastAsia" w:ascii="宋体" w:hAnsi="宋体" w:cs="宋体"/>
          <w:color w:val="000000" w:themeColor="text1"/>
          <w:lang w:val="en-US" w:eastAsia="zh-CN"/>
          <w14:textFill>
            <w14:solidFill>
              <w14:schemeClr w14:val="tx1"/>
            </w14:solidFill>
          </w14:textFill>
        </w:rPr>
        <w:t>边坡风险性评价三维数值建模服务采购项目（第二次）</w:t>
      </w:r>
      <w:r>
        <w:rPr>
          <w:rFonts w:hint="eastAsia" w:ascii="宋体" w:hAnsi="宋体" w:eastAsia="宋体" w:cs="宋体"/>
          <w:color w:val="000000" w:themeColor="text1"/>
          <w:lang w:val="en-US" w:eastAsia="zh-CN"/>
          <w14:textFill>
            <w14:solidFill>
              <w14:schemeClr w14:val="tx1"/>
            </w14:solidFill>
          </w14:textFill>
        </w:rPr>
        <w:t>，本次竞争性比选内容包含</w:t>
      </w:r>
      <w:r>
        <w:rPr>
          <w:rFonts w:hint="eastAsia" w:ascii="宋体" w:hAnsi="宋体" w:cs="宋体"/>
          <w:szCs w:val="21"/>
          <w:lang w:val="en-US" w:eastAsia="zh-CN"/>
        </w:rPr>
        <w:t>（1）全面搜集6处边坡地质灾害详细资料，分类整理、校核，进行综合分析；（2）构建单体边坡风险评价体系，三维数值建模代码实现，包括多工况下边坡稳定性分析、降雨对边坡稳定性的规律分析等；（3）完成边坡风险三维数值分析报告编制，配合模型内嵌集成并在缺陷责任期类持续优化模型</w:t>
      </w:r>
      <w:r>
        <w:rPr>
          <w:rFonts w:hint="eastAsia" w:ascii="宋体" w:hAnsi="宋体" w:eastAsia="宋体" w:cs="宋体"/>
          <w:color w:val="000000" w:themeColor="text1"/>
          <w:lang w:val="en-US" w:eastAsia="zh-CN"/>
          <w14:textFill>
            <w14:solidFill>
              <w14:schemeClr w14:val="tx1"/>
            </w14:solidFill>
          </w14:textFill>
        </w:rPr>
        <w:t>（详情请见工程量清单技术要求）。</w:t>
      </w:r>
    </w:p>
    <w:p>
      <w:pPr>
        <w:spacing w:line="400" w:lineRule="exact"/>
        <w:ind w:firstLine="420" w:firstLineChars="200"/>
        <w:rPr>
          <w:rFonts w:hint="default" w:ascii="宋体" w:hAnsi="宋体" w:eastAsia="宋体" w:cs="宋体"/>
          <w:b/>
          <w:bCs/>
          <w:lang w:val="en-US" w:eastAsia="zh-CN"/>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 xml:space="preserve"> 工期要求：收到甲方下达的订单后</w:t>
      </w:r>
      <w:r>
        <w:rPr>
          <w:rFonts w:hint="eastAsia" w:ascii="宋体" w:hAnsi="宋体" w:cs="宋体"/>
          <w:color w:val="000000" w:themeColor="text1"/>
          <w:lang w:val="en-US" w:eastAsia="zh-CN"/>
          <w14:textFill>
            <w14:solidFill>
              <w14:schemeClr w14:val="tx1"/>
            </w14:solidFill>
          </w14:textFill>
        </w:rPr>
        <w:t>60</w:t>
      </w:r>
      <w:r>
        <w:rPr>
          <w:rFonts w:hint="eastAsia" w:ascii="宋体" w:hAnsi="宋体" w:cs="宋体"/>
          <w:color w:val="000000" w:themeColor="text1"/>
          <w14:textFill>
            <w14:solidFill>
              <w14:schemeClr w14:val="tx1"/>
            </w14:solidFill>
          </w14:textFill>
        </w:rPr>
        <w:t>天内</w:t>
      </w:r>
      <w:r>
        <w:rPr>
          <w:rFonts w:hint="eastAsia" w:ascii="宋体" w:hAnsi="宋体" w:cs="宋体"/>
          <w:color w:val="000000" w:themeColor="text1"/>
          <w:lang w:val="en-US" w:eastAsia="zh-CN"/>
          <w14:textFill>
            <w14:solidFill>
              <w14:schemeClr w14:val="tx1"/>
            </w14:solidFill>
          </w14:textFill>
        </w:rPr>
        <w:t>完成</w:t>
      </w:r>
      <w:r>
        <w:rPr>
          <w:rFonts w:hint="eastAsia" w:ascii="宋体" w:hAnsi="宋体" w:cs="宋体"/>
          <w:color w:val="000000" w:themeColor="text1"/>
          <w14:textFill>
            <w14:solidFill>
              <w14:schemeClr w14:val="tx1"/>
            </w14:solidFill>
          </w14:textFill>
        </w:rPr>
        <w:t>，具体以甲方通知为准。</w:t>
      </w:r>
    </w:p>
    <w:p>
      <w:pPr>
        <w:pStyle w:val="4"/>
        <w:spacing w:before="120" w:after="0" w:line="360" w:lineRule="auto"/>
        <w:rPr>
          <w:rFonts w:ascii="宋体" w:hAnsi="宋体" w:eastAsia="宋体" w:cs="宋体"/>
        </w:rPr>
      </w:pPr>
      <w:bookmarkStart w:id="45" w:name="_Toc10171"/>
      <w:bookmarkStart w:id="46" w:name="_Toc152045514"/>
      <w:bookmarkStart w:id="47" w:name="_Toc246996160"/>
      <w:bookmarkStart w:id="48" w:name="_Toc246996903"/>
      <w:bookmarkStart w:id="49" w:name="_Toc247085674"/>
      <w:bookmarkStart w:id="50" w:name="_Toc30356"/>
      <w:bookmarkStart w:id="51" w:name="_Toc152042290"/>
      <w:bookmarkStart w:id="52" w:name="_Toc179632530"/>
      <w:bookmarkStart w:id="53" w:name="_Toc11874"/>
      <w:bookmarkStart w:id="54" w:name="_Toc144974482"/>
      <w:bookmarkStart w:id="55" w:name="_Toc7065"/>
      <w:bookmarkStart w:id="56" w:name="_Toc11329215"/>
      <w:bookmarkStart w:id="57" w:name="_Toc507319893"/>
      <w:r>
        <w:rPr>
          <w:rFonts w:hint="eastAsia" w:ascii="宋体" w:hAnsi="宋体" w:eastAsia="宋体" w:cs="宋体"/>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pStyle w:val="13"/>
        <w:adjustRightInd w:val="0"/>
        <w:spacing w:line="400" w:lineRule="exact"/>
        <w:rPr>
          <w:rFonts w:hint="eastAsia" w:ascii="宋体" w:hAnsi="宋体" w:cs="宋体"/>
          <w:lang w:val="en-US" w:eastAsia="zh-CN"/>
        </w:rPr>
      </w:pPr>
      <w:bookmarkStart w:id="58" w:name="_Toc246996161"/>
      <w:bookmarkStart w:id="59" w:name="_Toc246996904"/>
      <w:bookmarkStart w:id="60" w:name="_Toc152042291"/>
      <w:bookmarkStart w:id="61" w:name="_Toc179632531"/>
      <w:bookmarkStart w:id="62" w:name="_Toc144974483"/>
      <w:bookmarkStart w:id="63" w:name="_Toc152045515"/>
      <w:bookmarkStart w:id="64" w:name="_Toc247085675"/>
      <w:r>
        <w:rPr>
          <w:rFonts w:hint="eastAsia" w:ascii="宋体" w:hAnsi="宋体" w:cs="宋体"/>
          <w:lang w:val="en-US" w:eastAsia="zh-CN"/>
        </w:rPr>
        <w:t>3.1 资质要求（以下资质文件若因疫情影响过期无法办理延续手续，需附相关行政部门下发的延期办理文件）：</w:t>
      </w:r>
    </w:p>
    <w:p>
      <w:pPr>
        <w:pStyle w:val="13"/>
        <w:adjustRightInd w:val="0"/>
        <w:spacing w:line="400" w:lineRule="exact"/>
        <w:rPr>
          <w:rFonts w:ascii="宋体" w:hAnsi="宋体" w:cs="宋体"/>
        </w:rPr>
      </w:pPr>
      <w:r>
        <w:rPr>
          <w:rFonts w:hint="eastAsia" w:ascii="宋体" w:hAnsi="宋体" w:cs="宋体"/>
          <w:lang w:val="en-US" w:eastAsia="zh-CN"/>
        </w:rPr>
        <w:t>（1）报价人具有独立法人资格和有效的营业执照（经营范围至少包含计算机软、硬件开发、技术咨询服务或应用基础科学研究等内容）</w:t>
      </w:r>
      <w:r>
        <w:rPr>
          <w:rFonts w:hint="eastAsia" w:ascii="宋体" w:hAnsi="宋体" w:cs="宋体"/>
        </w:rPr>
        <w:t>；</w:t>
      </w:r>
    </w:p>
    <w:p>
      <w:pPr>
        <w:pStyle w:val="13"/>
        <w:adjustRightInd w:val="0"/>
        <w:spacing w:line="400" w:lineRule="exact"/>
        <w:rPr>
          <w:rFonts w:hint="eastAsia" w:ascii="宋体" w:hAnsi="宋体" w:eastAsia="宋体" w:cs="宋体"/>
          <w:lang w:val="en-US" w:eastAsia="zh-CN"/>
        </w:rPr>
      </w:pPr>
      <w:r>
        <w:rPr>
          <w:rFonts w:hint="eastAsia" w:ascii="宋体" w:hAnsi="宋体" w:eastAsia="宋体" w:cs="宋体"/>
          <w:lang w:val="en-US" w:eastAsia="zh-CN"/>
        </w:rPr>
        <w:t>3.2 业绩要求：报价人在2020年1月1日至报价截止日期（以合同签订时间为准）至少具有一个合同金额在20万元及以上的信息化服务相关合同业绩（提供合同扫描件）。</w:t>
      </w:r>
    </w:p>
    <w:p>
      <w:pPr>
        <w:pStyle w:val="13"/>
        <w:adjustRightInd w:val="0"/>
        <w:spacing w:line="400" w:lineRule="exact"/>
        <w:rPr>
          <w:rFonts w:hint="eastAsia" w:ascii="宋体" w:hAnsi="宋体" w:eastAsia="宋体" w:cs="宋体"/>
          <w:lang w:val="en-US" w:eastAsia="zh-CN"/>
        </w:rPr>
      </w:pPr>
      <w:r>
        <w:rPr>
          <w:rFonts w:hint="eastAsia" w:ascii="宋体" w:hAnsi="宋体" w:eastAsia="宋体" w:cs="宋体"/>
          <w:lang w:val="en-US" w:eastAsia="zh-CN"/>
        </w:rPr>
        <w:t>3.3 信誉要求：在国家企业信用信息公示系统（http://www.gsxt.gov.cn/）中未被列入严重违法失信企业名单（黑名单）信息；在“信用中国”网站（http://www.creditchina.gov.cn/）中未被列入失信惩戒执行人名单。</w:t>
      </w:r>
    </w:p>
    <w:p>
      <w:pPr>
        <w:pStyle w:val="13"/>
        <w:adjustRightInd w:val="0"/>
        <w:spacing w:line="400" w:lineRule="exact"/>
        <w:rPr>
          <w:rFonts w:hint="eastAsia" w:ascii="宋体" w:hAnsi="宋体" w:eastAsia="宋体" w:cs="宋体"/>
          <w:lang w:val="en-US" w:eastAsia="zh-CN"/>
        </w:rPr>
      </w:pPr>
      <w:r>
        <w:rPr>
          <w:rFonts w:hint="eastAsia" w:ascii="宋体" w:hAnsi="宋体" w:eastAsia="宋体" w:cs="宋体"/>
          <w:lang w:val="en-US" w:eastAsia="zh-CN"/>
        </w:rPr>
        <w:t>3.4 报价人须提供采购人要求的所有资质要求、业绩要求、信誉要求的复印件并加盖单位鲜公章。</w:t>
      </w:r>
    </w:p>
    <w:p>
      <w:pPr>
        <w:pStyle w:val="13"/>
        <w:adjustRightInd w:val="0"/>
        <w:spacing w:line="400" w:lineRule="exact"/>
        <w:rPr>
          <w:rFonts w:hint="eastAsia" w:ascii="宋体" w:hAnsi="宋体" w:eastAsia="宋体" w:cs="宋体"/>
          <w:lang w:val="en-US" w:eastAsia="zh-CN"/>
        </w:rPr>
      </w:pPr>
      <w:r>
        <w:rPr>
          <w:rFonts w:hint="eastAsia" w:ascii="宋体" w:hAnsi="宋体" w:eastAsia="宋体" w:cs="宋体"/>
          <w:lang w:val="en-US" w:eastAsia="zh-CN"/>
        </w:rPr>
        <w:t>3.5 本次比选不接受联合体报价。</w:t>
      </w:r>
    </w:p>
    <w:p>
      <w:pPr>
        <w:pStyle w:val="13"/>
        <w:adjustRightInd w:val="0"/>
        <w:spacing w:line="400" w:lineRule="exact"/>
        <w:rPr>
          <w:rFonts w:hint="eastAsia" w:ascii="宋体" w:hAnsi="宋体" w:eastAsia="宋体" w:cs="宋体"/>
          <w:lang w:val="en-US" w:eastAsia="zh-CN"/>
        </w:rPr>
      </w:pPr>
      <w:r>
        <w:rPr>
          <w:rFonts w:hint="eastAsia" w:ascii="宋体" w:hAnsi="宋体" w:eastAsia="宋体" w:cs="宋体"/>
          <w:lang w:val="en-US" w:eastAsia="zh-CN"/>
        </w:rPr>
        <w:t>3.6 单位负责人为同一人或者存在控股、管理关系的不同单位，不得同时参加本项目报价，否则均按无效报价处理。</w:t>
      </w:r>
    </w:p>
    <w:p>
      <w:pPr>
        <w:pStyle w:val="4"/>
        <w:spacing w:before="120" w:after="0" w:line="360" w:lineRule="auto"/>
        <w:rPr>
          <w:rFonts w:hint="default" w:ascii="宋体" w:hAnsi="宋体" w:eastAsia="宋体" w:cs="宋体"/>
          <w:color w:val="000000" w:themeColor="text1"/>
          <w:lang w:val="en-US" w:eastAsia="zh-CN"/>
          <w14:textFill>
            <w14:solidFill>
              <w14:schemeClr w14:val="tx1"/>
            </w14:solidFill>
          </w14:textFill>
        </w:rPr>
      </w:pPr>
      <w:bookmarkStart w:id="65" w:name="_Toc9941"/>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评标办法</w:t>
      </w:r>
      <w:bookmarkEnd w:id="65"/>
    </w:p>
    <w:p>
      <w:pPr>
        <w:pStyle w:val="13"/>
        <w:adjustRightInd w:val="0"/>
        <w:spacing w:line="400" w:lineRule="exact"/>
        <w:rPr>
          <w:rFonts w:hint="default" w:ascii="宋体" w:hAnsi="宋体" w:eastAsia="宋体" w:cs="宋体"/>
          <w:lang w:val="en-US" w:eastAsia="zh-CN"/>
        </w:rPr>
      </w:pPr>
      <w:r>
        <w:rPr>
          <w:rFonts w:hint="eastAsia" w:ascii="宋体" w:hAnsi="宋体" w:eastAsia="宋体" w:cs="宋体"/>
          <w:lang w:val="en-US" w:eastAsia="zh-CN"/>
        </w:rPr>
        <w:t>本项目采用</w:t>
      </w:r>
      <w:r>
        <w:rPr>
          <w:rFonts w:hint="eastAsia" w:ascii="宋体" w:hAnsi="宋体" w:cs="宋体"/>
          <w:lang w:val="en-US" w:eastAsia="zh-CN"/>
        </w:rPr>
        <w:t>综合评估法</w:t>
      </w:r>
      <w:r>
        <w:rPr>
          <w:rFonts w:hint="eastAsia" w:ascii="宋体" w:hAnsi="宋体" w:eastAsia="宋体" w:cs="宋体"/>
          <w:lang w:val="en-US" w:eastAsia="zh-CN"/>
        </w:rPr>
        <w:t>。</w:t>
      </w:r>
    </w:p>
    <w:p>
      <w:pPr>
        <w:pStyle w:val="4"/>
        <w:spacing w:before="120" w:after="0" w:line="400" w:lineRule="exact"/>
        <w:rPr>
          <w:rFonts w:ascii="宋体" w:hAnsi="宋体" w:eastAsia="宋体" w:cs="宋体"/>
        </w:rPr>
      </w:pPr>
      <w:bookmarkStart w:id="66" w:name="_Toc11329216"/>
      <w:bookmarkStart w:id="67" w:name="_Toc14361"/>
      <w:bookmarkStart w:id="68" w:name="_Toc507319894"/>
      <w:bookmarkStart w:id="69" w:name="_Toc25619"/>
      <w:bookmarkStart w:id="70" w:name="_Toc20441"/>
      <w:bookmarkStart w:id="71" w:name="_Toc12460"/>
      <w:r>
        <w:rPr>
          <w:rFonts w:hint="eastAsia" w:ascii="宋体" w:hAnsi="宋体" w:eastAsia="宋体" w:cs="宋体"/>
          <w:lang w:val="en-US" w:eastAsia="zh-CN"/>
        </w:rPr>
        <w:t>5</w:t>
      </w:r>
      <w:r>
        <w:rPr>
          <w:rFonts w:hint="eastAsia" w:ascii="宋体" w:hAnsi="宋体" w:eastAsia="宋体" w:cs="宋体"/>
        </w:rPr>
        <w:t>. 比选文件的获取</w:t>
      </w:r>
      <w:bookmarkEnd w:id="58"/>
      <w:bookmarkEnd w:id="59"/>
      <w:bookmarkEnd w:id="60"/>
      <w:bookmarkEnd w:id="61"/>
      <w:bookmarkEnd w:id="62"/>
      <w:bookmarkEnd w:id="63"/>
      <w:bookmarkEnd w:id="64"/>
      <w:bookmarkEnd w:id="66"/>
      <w:bookmarkEnd w:id="67"/>
      <w:bookmarkEnd w:id="68"/>
      <w:bookmarkEnd w:id="69"/>
      <w:bookmarkEnd w:id="70"/>
      <w:bookmarkEnd w:id="71"/>
    </w:p>
    <w:p>
      <w:pPr>
        <w:pStyle w:val="13"/>
        <w:adjustRightInd w:val="0"/>
        <w:spacing w:line="400" w:lineRule="exact"/>
        <w:rPr>
          <w:rFonts w:hint="eastAsia" w:ascii="宋体" w:hAnsi="宋体" w:eastAsia="宋体" w:cs="宋体"/>
          <w:lang w:val="en-US" w:eastAsia="zh-CN"/>
        </w:rPr>
      </w:pPr>
      <w:bookmarkStart w:id="72" w:name="_Toc507319895"/>
      <w:bookmarkStart w:id="73" w:name="_Toc11329217"/>
      <w:bookmarkStart w:id="74" w:name="_Toc179632532"/>
      <w:bookmarkStart w:id="75" w:name="_Toc144974484"/>
      <w:bookmarkStart w:id="76" w:name="_Toc152042292"/>
      <w:bookmarkStart w:id="77" w:name="_Toc246996905"/>
      <w:bookmarkStart w:id="78" w:name="_Toc246996162"/>
      <w:bookmarkStart w:id="79" w:name="_Toc247085676"/>
      <w:bookmarkStart w:id="80" w:name="_Toc152045516"/>
      <w:bookmarkStart w:id="81" w:name="_Toc31493"/>
      <w:bookmarkStart w:id="82" w:name="_Toc9131"/>
      <w:bookmarkStart w:id="83" w:name="_Toc16686"/>
      <w:r>
        <w:rPr>
          <w:rFonts w:hint="eastAsia" w:ascii="宋体" w:hAnsi="宋体" w:eastAsia="宋体" w:cs="宋体"/>
          <w:lang w:val="en-US" w:eastAsia="zh-CN"/>
        </w:rPr>
        <w:t>凡愿意参加的潜在报价人，在2023年</w:t>
      </w:r>
      <w:r>
        <w:rPr>
          <w:rFonts w:hint="eastAsia" w:ascii="宋体" w:hAnsi="宋体" w:cs="宋体"/>
          <w:lang w:val="en-US" w:eastAsia="zh-CN"/>
        </w:rPr>
        <w:t>11</w:t>
      </w:r>
      <w:r>
        <w:rPr>
          <w:rFonts w:hint="eastAsia" w:ascii="宋体" w:hAnsi="宋体" w:eastAsia="宋体" w:cs="宋体"/>
          <w:lang w:val="en-US" w:eastAsia="zh-CN"/>
        </w:rPr>
        <w:t>月</w:t>
      </w:r>
      <w:r>
        <w:rPr>
          <w:rFonts w:hint="eastAsia" w:ascii="宋体" w:hAnsi="宋体" w:cs="宋体"/>
          <w:lang w:val="en-US" w:eastAsia="zh-CN"/>
        </w:rPr>
        <w:t>30</w:t>
      </w:r>
      <w:r>
        <w:rPr>
          <w:rFonts w:hint="eastAsia" w:ascii="宋体" w:hAnsi="宋体" w:eastAsia="宋体" w:cs="宋体"/>
          <w:lang w:val="en-US" w:eastAsia="zh-CN"/>
        </w:rPr>
        <w:t>日上午1</w:t>
      </w:r>
      <w:r>
        <w:rPr>
          <w:rFonts w:hint="eastAsia" w:ascii="宋体" w:hAnsi="宋体" w:cs="宋体"/>
          <w:lang w:val="en-US" w:eastAsia="zh-CN"/>
        </w:rPr>
        <w:t>1</w:t>
      </w:r>
      <w:r>
        <w:rPr>
          <w:rFonts w:hint="eastAsia" w:ascii="宋体" w:hAnsi="宋体" w:eastAsia="宋体" w:cs="宋体"/>
          <w:lang w:val="en-US" w:eastAsia="zh-CN"/>
        </w:rPr>
        <w:t>:00前在将响应性文件递交至重庆市渝北区新南路52号东界龙湖重庆首讯科技股份有限公司。各报价人应随时关注高速集团官网（http://www.cegc.com.cn/gw/newsInfoMenu.html?id=42&amp;key=2）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4" w:name="_Toc6883"/>
      <w:r>
        <w:rPr>
          <w:rFonts w:hint="eastAsia" w:ascii="宋体" w:hAnsi="宋体" w:eastAsia="宋体" w:cs="宋体"/>
          <w:lang w:val="en-US" w:eastAsia="zh-CN"/>
        </w:rPr>
        <w:t>6</w:t>
      </w:r>
      <w:r>
        <w:rPr>
          <w:rFonts w:hint="eastAsia" w:ascii="宋体" w:hAnsi="宋体" w:eastAsia="宋体" w:cs="宋体"/>
        </w:rPr>
        <w:t>.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rPr>
        <w:t>及相关事宜</w:t>
      </w:r>
      <w:bookmarkEnd w:id="81"/>
      <w:bookmarkEnd w:id="82"/>
      <w:bookmarkEnd w:id="83"/>
      <w:bookmarkEnd w:id="84"/>
    </w:p>
    <w:p>
      <w:pPr>
        <w:pStyle w:val="13"/>
        <w:adjustRightInd w:val="0"/>
        <w:spacing w:line="400" w:lineRule="exact"/>
        <w:rPr>
          <w:rFonts w:hint="eastAsia" w:ascii="宋体" w:hAnsi="宋体" w:eastAsia="宋体" w:cs="宋体"/>
          <w:lang w:val="en-US" w:eastAsia="zh-CN"/>
        </w:rPr>
      </w:pPr>
      <w:bookmarkStart w:id="85" w:name="_Toc507319897"/>
      <w:bookmarkStart w:id="86" w:name="_Toc246996907"/>
      <w:bookmarkStart w:id="87" w:name="_Toc11329219"/>
      <w:bookmarkStart w:id="88" w:name="_Toc247085678"/>
      <w:bookmarkStart w:id="89" w:name="_Toc21615"/>
      <w:bookmarkStart w:id="90" w:name="_Toc152042293"/>
      <w:bookmarkStart w:id="91" w:name="_Toc18402"/>
      <w:bookmarkStart w:id="92" w:name="_Toc152045517"/>
      <w:bookmarkStart w:id="93" w:name="_Toc144974485"/>
      <w:bookmarkStart w:id="94" w:name="_Toc179632534"/>
      <w:bookmarkStart w:id="95" w:name="_Toc393"/>
      <w:bookmarkStart w:id="96" w:name="_Toc246996164"/>
      <w:r>
        <w:rPr>
          <w:rFonts w:hint="eastAsia" w:ascii="宋体" w:hAnsi="宋体" w:eastAsia="宋体" w:cs="宋体"/>
          <w:lang w:val="en-US" w:eastAsia="zh-CN"/>
        </w:rPr>
        <w:t>6.1报价截止时间和开标时间：2023年</w:t>
      </w:r>
      <w:r>
        <w:rPr>
          <w:rFonts w:hint="eastAsia" w:ascii="宋体" w:hAnsi="宋体" w:cs="宋体"/>
          <w:lang w:val="en-US" w:eastAsia="zh-CN"/>
        </w:rPr>
        <w:t>11</w:t>
      </w:r>
      <w:r>
        <w:rPr>
          <w:rFonts w:hint="eastAsia" w:ascii="宋体" w:hAnsi="宋体" w:eastAsia="宋体" w:cs="宋体"/>
          <w:lang w:val="en-US" w:eastAsia="zh-CN"/>
        </w:rPr>
        <w:t>月</w:t>
      </w:r>
      <w:r>
        <w:rPr>
          <w:rFonts w:hint="eastAsia" w:ascii="宋体" w:hAnsi="宋体" w:cs="宋体"/>
          <w:lang w:val="en-US" w:eastAsia="zh-CN"/>
        </w:rPr>
        <w:t>30</w:t>
      </w:r>
      <w:r>
        <w:rPr>
          <w:rFonts w:hint="eastAsia" w:ascii="宋体" w:hAnsi="宋体" w:eastAsia="宋体" w:cs="宋体"/>
          <w:lang w:val="en-US" w:eastAsia="zh-CN"/>
        </w:rPr>
        <w:t>日上午1</w:t>
      </w:r>
      <w:r>
        <w:rPr>
          <w:rFonts w:hint="eastAsia" w:ascii="宋体" w:hAnsi="宋体" w:cs="宋体"/>
          <w:lang w:val="en-US" w:eastAsia="zh-CN"/>
        </w:rPr>
        <w:t>1</w:t>
      </w:r>
      <w:r>
        <w:rPr>
          <w:rFonts w:hint="eastAsia" w:ascii="宋体" w:hAnsi="宋体" w:eastAsia="宋体" w:cs="宋体"/>
          <w:lang w:val="en-US" w:eastAsia="zh-CN"/>
        </w:rPr>
        <w:t>时00分（北京时间）。</w:t>
      </w:r>
    </w:p>
    <w:p>
      <w:pPr>
        <w:pStyle w:val="13"/>
        <w:adjustRightInd w:val="0"/>
        <w:spacing w:line="400" w:lineRule="exact"/>
        <w:rPr>
          <w:rFonts w:hint="default" w:ascii="宋体" w:hAnsi="宋体" w:eastAsia="宋体" w:cs="宋体"/>
          <w:lang w:val="en-US" w:eastAsia="zh-CN"/>
        </w:rPr>
      </w:pPr>
      <w:r>
        <w:rPr>
          <w:rFonts w:hint="eastAsia" w:ascii="宋体" w:hAnsi="宋体" w:eastAsia="宋体" w:cs="宋体"/>
          <w:lang w:val="en-US" w:eastAsia="zh-CN"/>
        </w:rPr>
        <w:t>6</w:t>
      </w:r>
      <w:r>
        <w:rPr>
          <w:rFonts w:hint="default" w:ascii="宋体" w:hAnsi="宋体" w:eastAsia="宋体" w:cs="宋体"/>
          <w:lang w:val="en-US" w:eastAsia="zh-CN"/>
        </w:rPr>
        <w:t>.</w:t>
      </w:r>
      <w:r>
        <w:rPr>
          <w:rFonts w:hint="eastAsia" w:ascii="宋体" w:hAnsi="宋体" w:eastAsia="宋体" w:cs="宋体"/>
          <w:lang w:val="en-US" w:eastAsia="zh-CN"/>
        </w:rPr>
        <w:t>2</w:t>
      </w:r>
      <w:r>
        <w:rPr>
          <w:rFonts w:hint="default" w:ascii="宋体" w:hAnsi="宋体" w:eastAsia="宋体" w:cs="宋体"/>
          <w:lang w:val="en-US" w:eastAsia="zh-CN"/>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pStyle w:val="13"/>
        <w:adjustRightInd w:val="0"/>
        <w:spacing w:line="400" w:lineRule="exact"/>
        <w:rPr>
          <w:rFonts w:hint="default" w:ascii="宋体" w:hAnsi="宋体" w:eastAsia="宋体" w:cs="宋体"/>
          <w:lang w:val="en-US" w:eastAsia="zh-CN"/>
        </w:rPr>
      </w:pPr>
      <w:r>
        <w:rPr>
          <w:rFonts w:hint="eastAsia" w:ascii="宋体" w:hAnsi="宋体" w:eastAsia="宋体" w:cs="宋体"/>
          <w:lang w:val="en-US" w:eastAsia="zh-CN"/>
        </w:rPr>
        <w:t>6</w:t>
      </w:r>
      <w:r>
        <w:rPr>
          <w:rFonts w:hint="default" w:ascii="宋体" w:hAnsi="宋体" w:eastAsia="宋体" w:cs="宋体"/>
          <w:lang w:val="en-US" w:eastAsia="zh-CN"/>
        </w:rPr>
        <w:t>.3 递交地址：重庆市渝北区新南路52号东界龙湖</w:t>
      </w:r>
      <w:r>
        <w:rPr>
          <w:rFonts w:hint="eastAsia" w:ascii="宋体" w:hAnsi="宋体" w:eastAsia="宋体" w:cs="宋体"/>
          <w:lang w:val="en-US" w:eastAsia="zh-CN"/>
        </w:rPr>
        <w:t>三</w:t>
      </w:r>
      <w:r>
        <w:rPr>
          <w:rFonts w:hint="default" w:ascii="宋体" w:hAnsi="宋体" w:eastAsia="宋体" w:cs="宋体"/>
          <w:lang w:val="en-US" w:eastAsia="zh-CN"/>
        </w:rPr>
        <w:t>楼重庆首讯科技股份有限公司。</w:t>
      </w:r>
    </w:p>
    <w:p>
      <w:pPr>
        <w:pStyle w:val="13"/>
        <w:adjustRightInd w:val="0"/>
        <w:spacing w:line="400" w:lineRule="exact"/>
        <w:rPr>
          <w:rFonts w:hint="default" w:ascii="宋体" w:hAnsi="宋体" w:eastAsia="宋体" w:cs="宋体"/>
          <w:lang w:val="en-US" w:eastAsia="zh-CN"/>
        </w:rPr>
      </w:pPr>
      <w:r>
        <w:rPr>
          <w:rFonts w:hint="eastAsia" w:ascii="宋体" w:hAnsi="宋体" w:eastAsia="宋体" w:cs="宋体"/>
          <w:lang w:val="en-US" w:eastAsia="zh-CN"/>
        </w:rPr>
        <w:t>6</w:t>
      </w:r>
      <w:r>
        <w:rPr>
          <w:rFonts w:hint="default" w:ascii="宋体" w:hAnsi="宋体" w:eastAsia="宋体" w:cs="宋体"/>
          <w:lang w:val="en-US" w:eastAsia="zh-CN"/>
        </w:rPr>
        <w:t>.4 逾期送达，或未送达指定地点，或未密封的竞争性比选响应文件，采购人不予受理。</w:t>
      </w:r>
    </w:p>
    <w:p>
      <w:pPr>
        <w:pStyle w:val="13"/>
        <w:adjustRightInd w:val="0"/>
        <w:spacing w:line="400" w:lineRule="exact"/>
        <w:rPr>
          <w:rFonts w:hint="eastAsia" w:ascii="宋体" w:hAnsi="宋体" w:eastAsia="宋体" w:cs="宋体"/>
          <w:lang w:val="en-US" w:eastAsia="zh-CN"/>
        </w:rPr>
      </w:pPr>
      <w:r>
        <w:rPr>
          <w:rFonts w:hint="eastAsia" w:ascii="宋体" w:hAnsi="宋体" w:eastAsia="宋体" w:cs="宋体"/>
          <w:lang w:val="en-US" w:eastAsia="zh-CN"/>
        </w:rPr>
        <w:t>6.5采购人不组织工程现场踏勘，不召开报价预备会。</w:t>
      </w:r>
    </w:p>
    <w:p>
      <w:pPr>
        <w:pStyle w:val="4"/>
        <w:spacing w:before="120" w:after="0" w:line="400" w:lineRule="exact"/>
        <w:rPr>
          <w:rFonts w:ascii="宋体" w:hAnsi="宋体" w:eastAsia="宋体" w:cs="宋体"/>
        </w:rPr>
      </w:pPr>
      <w:bookmarkStart w:id="97" w:name="_Toc12272"/>
      <w:r>
        <w:rPr>
          <w:rFonts w:hint="eastAsia" w:ascii="宋体" w:hAnsi="宋体" w:eastAsia="宋体" w:cs="宋体"/>
          <w:lang w:val="en-US" w:eastAsia="zh-CN"/>
        </w:rPr>
        <w:t>7</w:t>
      </w:r>
      <w:r>
        <w:rPr>
          <w:rFonts w:hint="eastAsia" w:ascii="宋体" w:hAnsi="宋体" w:eastAsia="宋体" w:cs="宋体"/>
        </w:rPr>
        <w:t>.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3"/>
        <w:tblW w:w="9388" w:type="dxa"/>
        <w:tblInd w:w="0" w:type="dxa"/>
        <w:tblLayout w:type="fixed"/>
        <w:tblCellMar>
          <w:top w:w="0" w:type="dxa"/>
          <w:left w:w="108" w:type="dxa"/>
          <w:bottom w:w="0" w:type="dxa"/>
          <w:right w:w="108" w:type="dxa"/>
        </w:tblCellMar>
      </w:tblPr>
      <w:tblGrid>
        <w:gridCol w:w="9388"/>
      </w:tblGrid>
      <w:tr>
        <w:tblPrEx>
          <w:tblCellMar>
            <w:top w:w="0" w:type="dxa"/>
            <w:left w:w="108" w:type="dxa"/>
            <w:bottom w:w="0" w:type="dxa"/>
            <w:right w:w="108" w:type="dxa"/>
          </w:tblCellMar>
        </w:tblPrEx>
        <w:trPr>
          <w:trHeight w:val="470" w:hRule="atLeast"/>
        </w:trPr>
        <w:tc>
          <w:tcPr>
            <w:tcW w:w="9388"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r>
      <w:tr>
        <w:tblPrEx>
          <w:tblCellMar>
            <w:top w:w="0" w:type="dxa"/>
            <w:left w:w="108" w:type="dxa"/>
            <w:bottom w:w="0" w:type="dxa"/>
            <w:right w:w="108" w:type="dxa"/>
          </w:tblCellMar>
        </w:tblPrEx>
        <w:trPr>
          <w:trHeight w:val="461" w:hRule="atLeast"/>
        </w:trPr>
        <w:tc>
          <w:tcPr>
            <w:tcW w:w="9388" w:type="dxa"/>
            <w:vAlign w:val="center"/>
          </w:tcPr>
          <w:p>
            <w:pPr>
              <w:keepNext w:val="0"/>
              <w:keepLines w:val="0"/>
              <w:widowControl w:val="0"/>
              <w:suppressLineNumbers w:val="0"/>
              <w:topLinePunct/>
              <w:spacing w:before="0" w:beforeAutospacing="0" w:after="0" w:afterAutospacing="0" w:line="400" w:lineRule="exact"/>
              <w:ind w:left="1050" w:leftChars="200" w:right="0" w:hanging="630" w:hangingChars="300"/>
              <w:jc w:val="both"/>
              <w:rPr>
                <w:rFonts w:hint="default" w:ascii="宋体" w:hAnsi="宋体" w:cs="宋体"/>
                <w:szCs w:val="21"/>
                <w:lang w:val="en-US"/>
              </w:rPr>
            </w:pPr>
            <w:r>
              <w:rPr>
                <w:rFonts w:hint="eastAsia" w:ascii="宋体" w:hAnsi="宋体" w:cs="宋体"/>
                <w:szCs w:val="21"/>
              </w:rPr>
              <w:t>地址：</w:t>
            </w:r>
            <w:r>
              <w:rPr>
                <w:rFonts w:hint="eastAsia" w:ascii="宋体" w:hAnsi="宋体" w:cs="宋体"/>
                <w:szCs w:val="21"/>
                <w:lang w:val="en-US" w:eastAsia="zh-CN"/>
              </w:rPr>
              <w:t>重庆市渝北区新南路52号东界龙湖三楼</w:t>
            </w: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rPr>
              <w:t>商务联系人：</w:t>
            </w:r>
            <w:r>
              <w:rPr>
                <w:rFonts w:hint="eastAsia" w:ascii="宋体" w:hAnsi="宋体" w:cs="宋体"/>
                <w:szCs w:val="21"/>
                <w:lang w:val="en-US" w:eastAsia="zh-CN"/>
              </w:rPr>
              <w:t>刘</w:t>
            </w:r>
            <w:r>
              <w:rPr>
                <w:rFonts w:hint="eastAsia" w:ascii="宋体" w:hAnsi="宋体" w:cs="宋体"/>
                <w:szCs w:val="21"/>
              </w:rPr>
              <w:t>老师  电 话：</w:t>
            </w:r>
            <w:r>
              <w:rPr>
                <w:rFonts w:hint="eastAsia" w:ascii="宋体" w:hAnsi="宋体" w:cs="宋体"/>
                <w:szCs w:val="21"/>
                <w:lang w:val="en-US" w:eastAsia="zh-CN"/>
              </w:rPr>
              <w:t>18623655450</w:t>
            </w: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 xml:space="preserve">技术联系人：涂老师  </w:t>
            </w:r>
            <w:r>
              <w:rPr>
                <w:rFonts w:hint="eastAsia" w:ascii="宋体" w:hAnsi="宋体" w:cs="宋体"/>
                <w:szCs w:val="21"/>
              </w:rPr>
              <w:t>电 话：</w:t>
            </w:r>
            <w:r>
              <w:rPr>
                <w:rFonts w:hint="eastAsia" w:ascii="宋体" w:hAnsi="宋体" w:cs="宋体"/>
                <w:szCs w:val="21"/>
                <w:lang w:val="en-US" w:eastAsia="zh-CN"/>
              </w:rPr>
              <w:t>19942250515</w:t>
            </w:r>
          </w:p>
        </w:tc>
      </w:tr>
    </w:tbl>
    <w:p/>
    <w:p>
      <w:pPr>
        <w:pStyle w:val="28"/>
      </w:pPr>
    </w:p>
    <w:p/>
    <w:p>
      <w:pPr>
        <w:pStyle w:val="12"/>
      </w:pPr>
    </w:p>
    <w:p/>
    <w:p>
      <w:pPr>
        <w:pStyle w:val="42"/>
      </w:pPr>
    </w:p>
    <w:p>
      <w:pPr>
        <w:pStyle w:val="42"/>
      </w:pPr>
    </w:p>
    <w:p>
      <w:pPr>
        <w:pStyle w:val="42"/>
      </w:pPr>
    </w:p>
    <w:p>
      <w:pPr>
        <w:pStyle w:val="42"/>
      </w:pPr>
    </w:p>
    <w:bookmarkEnd w:id="16"/>
    <w:bookmarkEnd w:id="17"/>
    <w:p>
      <w:pPr>
        <w:pStyle w:val="3"/>
        <w:spacing w:before="0" w:after="0" w:line="360" w:lineRule="auto"/>
        <w:jc w:val="center"/>
        <w:rPr>
          <w:rFonts w:ascii="宋体" w:hAnsi="宋体" w:cs="宋体"/>
        </w:rPr>
      </w:pPr>
      <w:bookmarkStart w:id="98" w:name="_Toc246996916"/>
      <w:bookmarkStart w:id="99" w:name="_Toc144974495"/>
      <w:bookmarkStart w:id="100" w:name="_Toc247085687"/>
      <w:bookmarkStart w:id="101" w:name="_Toc246996173"/>
      <w:bookmarkStart w:id="102" w:name="_Toc29948"/>
      <w:bookmarkStart w:id="103" w:name="_Toc507319898"/>
      <w:bookmarkStart w:id="104" w:name="_Toc152042303"/>
      <w:bookmarkStart w:id="105" w:name="_Toc179632544"/>
      <w:bookmarkStart w:id="106" w:name="_Toc152045527"/>
      <w:bookmarkStart w:id="107" w:name="_Toc2000405"/>
      <w:r>
        <w:rPr>
          <w:rFonts w:hint="eastAsia" w:ascii="宋体" w:hAnsi="宋体" w:cs="宋体"/>
        </w:rPr>
        <w:t>第二章 报价人须知</w:t>
      </w:r>
      <w:bookmarkEnd w:id="98"/>
      <w:bookmarkEnd w:id="99"/>
      <w:bookmarkEnd w:id="100"/>
      <w:bookmarkEnd w:id="101"/>
      <w:bookmarkEnd w:id="102"/>
      <w:bookmarkEnd w:id="103"/>
      <w:bookmarkEnd w:id="104"/>
      <w:bookmarkEnd w:id="105"/>
      <w:bookmarkEnd w:id="106"/>
      <w:bookmarkEnd w:id="107"/>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8"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w:t>
            </w:r>
          </w:p>
        </w:tc>
        <w:tc>
          <w:tcPr>
            <w:tcW w:w="7104"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采购人：重庆首讯科技股份有限公司</w:t>
            </w:r>
          </w:p>
          <w:p>
            <w:pPr>
              <w:ind w:left="420"/>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地  址：</w:t>
            </w:r>
            <w:r>
              <w:rPr>
                <w:rFonts w:hint="eastAsia" w:ascii="宋体" w:hAnsi="宋体" w:cs="宋体"/>
                <w:szCs w:val="21"/>
                <w:lang w:val="en-US" w:eastAsia="zh-CN"/>
              </w:rPr>
              <w:t>重庆市渝北区新南路52号东界龙湖三楼</w:t>
            </w:r>
          </w:p>
          <w:p>
            <w:pPr>
              <w:ind w:left="420"/>
              <w:rPr>
                <w:rFonts w:ascii="宋体" w:hAnsi="宋体" w:cs="宋体"/>
                <w:szCs w:val="21"/>
                <w:shd w:val="clear" w:color="auto" w:fill="FFFFFF"/>
              </w:rPr>
            </w:pPr>
            <w:r>
              <w:rPr>
                <w:rFonts w:hint="eastAsia" w:ascii="宋体" w:hAnsi="宋体" w:cs="宋体"/>
                <w:szCs w:val="21"/>
                <w:shd w:val="clear" w:color="auto" w:fill="FFFFFF"/>
              </w:rPr>
              <w:t>联系人：</w:t>
            </w:r>
            <w:r>
              <w:rPr>
                <w:rFonts w:hint="eastAsia" w:ascii="宋体" w:hAnsi="宋体" w:cs="宋体"/>
                <w:szCs w:val="21"/>
                <w:shd w:val="clear" w:color="auto" w:fill="FFFFFF"/>
                <w:lang w:val="en-US" w:eastAsia="zh-CN"/>
              </w:rPr>
              <w:t>刘</w:t>
            </w:r>
            <w:r>
              <w:rPr>
                <w:rFonts w:hint="eastAsia" w:ascii="宋体" w:hAnsi="宋体" w:cs="宋体"/>
                <w:szCs w:val="21"/>
                <w:shd w:val="clear" w:color="auto" w:fill="FFFFFF"/>
              </w:rPr>
              <w:t>老师</w:t>
            </w:r>
          </w:p>
          <w:p>
            <w:pPr>
              <w:ind w:left="420"/>
              <w:rPr>
                <w:rFonts w:hint="default" w:eastAsia="宋体"/>
                <w:lang w:val="en-US" w:eastAsia="zh-CN"/>
              </w:rPr>
            </w:pPr>
            <w:r>
              <w:rPr>
                <w:rFonts w:hint="eastAsia" w:ascii="宋体" w:hAnsi="宋体" w:cs="宋体"/>
                <w:szCs w:val="21"/>
                <w:shd w:val="clear" w:color="auto" w:fill="FFFFFF"/>
              </w:rPr>
              <w:t>电  话：</w:t>
            </w:r>
            <w:r>
              <w:rPr>
                <w:rFonts w:hint="eastAsia" w:ascii="宋体" w:hAnsi="宋体" w:cs="宋体"/>
                <w:szCs w:val="21"/>
                <w:shd w:val="clear" w:color="auto" w:fill="FFFFFF"/>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lang w:val="en-US" w:eastAsia="zh-CN"/>
              </w:rPr>
              <w:t>边坡风险性评价三维数值建模服务采购项目（第二次）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达到国家和地方现行有关质量标准和比选文件第七章技术标准和工作要求，并且一次性验收合格，缺陷责任期为</w:t>
            </w:r>
            <w:r>
              <w:rPr>
                <w:rFonts w:hint="eastAsia" w:ascii="宋体" w:hAnsi="宋体" w:cs="宋体"/>
                <w:szCs w:val="21"/>
                <w:lang w:val="en-US" w:eastAsia="zh-CN"/>
              </w:rPr>
              <w:t>36</w:t>
            </w:r>
            <w:r>
              <w:rPr>
                <w:rFonts w:hint="eastAsia" w:ascii="宋体" w:hAnsi="宋体" w:cs="宋体"/>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报价人资质条件、能力与信誉</w:t>
            </w:r>
          </w:p>
        </w:tc>
        <w:tc>
          <w:tcPr>
            <w:tcW w:w="7104" w:type="dxa"/>
            <w:vAlign w:val="center"/>
          </w:tcPr>
          <w:p>
            <w:pPr>
              <w:numPr>
                <w:ilvl w:val="0"/>
                <w:numId w:val="2"/>
              </w:numPr>
              <w:spacing w:line="400" w:lineRule="exact"/>
              <w:ind w:firstLine="420" w:firstLineChars="200"/>
            </w:pPr>
            <w:r>
              <w:rPr>
                <w:rFonts w:hint="eastAsia" w:ascii="宋体" w:hAnsi="宋体" w:cs="宋体"/>
                <w:szCs w:val="21"/>
              </w:rPr>
              <w:t>资质条件：见比选公告3.1</w:t>
            </w:r>
          </w:p>
          <w:p>
            <w:pPr>
              <w:spacing w:line="400" w:lineRule="exact"/>
              <w:ind w:firstLine="420" w:firstLineChars="200"/>
            </w:pPr>
            <w:r>
              <w:rPr>
                <w:rFonts w:hint="eastAsia" w:ascii="宋体" w:hAnsi="宋体" w:cs="宋体"/>
                <w:szCs w:val="21"/>
              </w:rPr>
              <w:t>（2）授权要求：见比选公告3.2</w:t>
            </w:r>
          </w:p>
          <w:p>
            <w:pPr>
              <w:spacing w:line="400" w:lineRule="exact"/>
              <w:ind w:firstLine="420" w:firstLineChars="200"/>
              <w:rPr>
                <w:rFonts w:ascii="宋体" w:hAnsi="宋体" w:cs="宋体"/>
                <w:szCs w:val="21"/>
              </w:rPr>
            </w:pPr>
            <w:r>
              <w:rPr>
                <w:rFonts w:hint="eastAsia" w:ascii="宋体" w:hAnsi="宋体" w:cs="宋体"/>
                <w:szCs w:val="21"/>
              </w:rPr>
              <w:t>（3）业绩要求：见比选公告3.3</w:t>
            </w:r>
          </w:p>
          <w:p>
            <w:pPr>
              <w:spacing w:line="400" w:lineRule="exact"/>
              <w:ind w:firstLine="420" w:firstLineChars="200"/>
              <w:rPr>
                <w:rFonts w:ascii="宋体" w:hAnsi="宋体" w:cs="宋体"/>
                <w:szCs w:val="21"/>
              </w:rPr>
            </w:pPr>
            <w:r>
              <w:rPr>
                <w:rFonts w:hint="eastAsia" w:ascii="宋体" w:hAnsi="宋体" w:cs="宋体"/>
                <w:szCs w:val="21"/>
              </w:rPr>
              <w:t>（4）信誉要求：见比选公告3.4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（6）其他要求：见附录2、见附录3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是否接受</w:t>
            </w:r>
          </w:p>
          <w:p>
            <w:pPr>
              <w:ind w:left="420"/>
              <w:rPr>
                <w:rFonts w:ascii="宋体" w:hAnsi="宋体" w:cs="宋体"/>
                <w:szCs w:val="21"/>
                <w:shd w:val="clear" w:color="auto" w:fill="FFFFFF"/>
              </w:rPr>
            </w:pPr>
            <w:r>
              <w:rPr>
                <w:rFonts w:hint="eastAsia" w:ascii="宋体" w:hAnsi="宋体" w:cs="宋体"/>
                <w:szCs w:val="21"/>
                <w:shd w:val="clear" w:color="auto" w:fill="FFFFFF"/>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9" w:name="_Hlt227984024"/>
            <w:bookmarkEnd w:id="109"/>
            <w:r>
              <w:rPr>
                <w:rFonts w:hint="eastAsia" w:ascii="宋体" w:hAnsi="宋体" w:cs="宋体"/>
                <w:kern w:val="0"/>
                <w:szCs w:val="21"/>
              </w:rPr>
              <w:t>14</w:t>
            </w:r>
          </w:p>
        </w:tc>
        <w:tc>
          <w:tcPr>
            <w:tcW w:w="2106" w:type="dxa"/>
            <w:vAlign w:val="center"/>
          </w:tcPr>
          <w:p>
            <w:pPr>
              <w:rPr>
                <w:rFonts w:ascii="宋体" w:hAnsi="宋体" w:cs="宋体"/>
                <w:szCs w:val="21"/>
                <w:shd w:val="clear" w:color="auto" w:fill="FFFFFF"/>
              </w:rPr>
            </w:pPr>
            <w:r>
              <w:rPr>
                <w:rFonts w:hint="eastAsia" w:ascii="宋体" w:hAnsi="宋体" w:cs="宋体"/>
                <w:szCs w:val="21"/>
                <w:shd w:val="clear" w:color="auto" w:fill="FFFFFF"/>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cs="宋体"/>
                <w:b/>
                <w:bCs/>
                <w:kern w:val="0"/>
                <w:szCs w:val="21"/>
              </w:rPr>
            </w:pPr>
            <w:r>
              <w:rPr>
                <w:rFonts w:hint="eastAsia" w:ascii="宋体" w:hAnsi="宋体"/>
                <w:b/>
                <w:bCs/>
                <w:szCs w:val="21"/>
                <w:lang w:val="en-US" w:eastAsia="zh-CN"/>
              </w:rPr>
              <w:t>边坡风险性评价三维数值建模服务采购项目（第二次）</w:t>
            </w:r>
            <w:r>
              <w:rPr>
                <w:rFonts w:hint="eastAsia" w:ascii="宋体" w:hAnsi="宋体"/>
                <w:b/>
                <w:bCs/>
                <w:szCs w:val="21"/>
              </w:rPr>
              <w:t>最高限价287000.00元。</w:t>
            </w: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widowControl/>
              <w:spacing w:line="400" w:lineRule="atLeast"/>
              <w:ind w:firstLine="420"/>
              <w:rPr>
                <w:rFonts w:hint="default"/>
                <w:lang w:val="en-US" w:eastAsia="zh-CN"/>
              </w:rPr>
            </w:pPr>
            <w:bookmarkStart w:id="110" w:name="_Hlk132637631"/>
            <w:r>
              <w:rPr>
                <w:rFonts w:hint="default"/>
                <w:lang w:val="en-US" w:eastAsia="zh-CN"/>
              </w:rPr>
              <w:t>1、双方完成合同签订后，乙方完成资料整理并提供建模实施方案两周内甲方支付合同总金额的30%于乙方；</w:t>
            </w:r>
          </w:p>
          <w:p>
            <w:pPr>
              <w:widowControl/>
              <w:spacing w:line="400" w:lineRule="atLeast"/>
              <w:ind w:firstLine="420"/>
              <w:rPr>
                <w:rFonts w:hint="default"/>
                <w:lang w:val="en-US" w:eastAsia="zh-CN"/>
              </w:rPr>
            </w:pPr>
            <w:r>
              <w:rPr>
                <w:rFonts w:hint="eastAsia"/>
                <w:lang w:val="en-US" w:eastAsia="zh-CN"/>
              </w:rPr>
              <w:t>2、</w:t>
            </w:r>
            <w:r>
              <w:rPr>
                <w:rFonts w:hint="default"/>
                <w:lang w:val="en-US" w:eastAsia="zh-CN"/>
              </w:rPr>
              <w:t>乙方完成模型构建与测试，甲方支付至合同总金额的80%；</w:t>
            </w:r>
          </w:p>
          <w:p>
            <w:pPr>
              <w:widowControl/>
              <w:spacing w:line="400" w:lineRule="atLeast"/>
              <w:rPr>
                <w:rFonts w:hint="default"/>
                <w:lang w:val="en-US" w:eastAsia="zh-CN"/>
              </w:rPr>
            </w:pPr>
            <w:r>
              <w:rPr>
                <w:rFonts w:hint="eastAsia"/>
                <w:lang w:val="en-US" w:eastAsia="zh-CN"/>
              </w:rPr>
              <w:t xml:space="preserve">    3、</w:t>
            </w:r>
            <w:r>
              <w:rPr>
                <w:rFonts w:hint="default"/>
                <w:lang w:val="en-US" w:eastAsia="zh-CN"/>
              </w:rPr>
              <w:t>乙方按要求完成本项目所有的服务内容并验收通过后，甲方支付至合同总金额的95%；</w:t>
            </w:r>
          </w:p>
          <w:p>
            <w:pPr>
              <w:widowControl/>
              <w:spacing w:line="400" w:lineRule="atLeast"/>
              <w:rPr>
                <w:rFonts w:hint="default"/>
                <w:lang w:val="en-US" w:eastAsia="zh-CN"/>
              </w:rPr>
            </w:pPr>
            <w:r>
              <w:rPr>
                <w:rFonts w:hint="eastAsia"/>
                <w:lang w:val="en-US" w:eastAsia="zh-CN"/>
              </w:rPr>
              <w:t xml:space="preserve">    4、</w:t>
            </w:r>
            <w:r>
              <w:rPr>
                <w:rFonts w:hint="default"/>
                <w:lang w:val="en-US" w:eastAsia="zh-CN"/>
              </w:rPr>
              <w:t>缺陷责任期一年（从本项目所有的服务内容验收通过之日起计算）届满后，由乙方主动提出书面申请，经甲方业务部门确认后，30个工作日内全额支付到合同金额的100%，若乙方未提出书面申请，则相应的延迟责任由乙方自行承担；</w:t>
            </w:r>
          </w:p>
          <w:p>
            <w:pPr>
              <w:widowControl/>
              <w:spacing w:line="400" w:lineRule="atLeast"/>
              <w:ind w:firstLine="420"/>
              <w:rPr>
                <w:rFonts w:hint="default"/>
                <w:lang w:val="en-US" w:eastAsia="zh-CN"/>
              </w:rPr>
            </w:pPr>
            <w:r>
              <w:rPr>
                <w:rFonts w:hint="eastAsia"/>
                <w:lang w:val="en-US" w:eastAsia="zh-CN"/>
              </w:rPr>
              <w:t>5、</w:t>
            </w:r>
            <w:r>
              <w:rPr>
                <w:rFonts w:hint="default"/>
                <w:lang w:val="en-US" w:eastAsia="zh-CN"/>
              </w:rPr>
              <w:t>乙方应于甲方每次付款（预付款除外）前提供等额增值税专用发票给甲方。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widowControl/>
              <w:ind w:firstLine="420" w:firstLineChars="200"/>
            </w:pPr>
            <w:r>
              <w:rPr>
                <w:rFonts w:hint="eastAsia" w:ascii="宋体" w:hAnsi="宋体" w:eastAsia="宋体" w:cs="宋体"/>
                <w:color w:val="000000"/>
                <w:kern w:val="0"/>
                <w:szCs w:val="21"/>
                <w:lang w:val="en-US" w:eastAsia="zh-CN" w:bidi="ar"/>
              </w:rPr>
              <w:t>1. 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eastAsia" w:ascii="宋体" w:hAnsi="宋体" w:cs="宋体"/>
                <w:szCs w:val="21"/>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hint="eastAsia" w:ascii="宋体" w:hAnsi="宋体" w:cs="宋体"/>
                <w:szCs w:val="21"/>
              </w:rPr>
            </w:pPr>
            <w:r>
              <w:rPr>
                <w:rFonts w:hint="eastAsia" w:ascii="宋体" w:hAnsi="宋体" w:cs="宋体"/>
                <w:color w:val="000000" w:themeColor="text1"/>
                <w:szCs w:val="21"/>
                <w:lang w:val="en-US" w:eastAsia="zh-CN"/>
                <w14:textFill>
                  <w14:solidFill>
                    <w14:schemeClr w14:val="tx1"/>
                  </w14:solidFill>
                </w14:textFill>
              </w:rPr>
              <w:t>报价人须知</w:t>
            </w:r>
          </w:p>
        </w:tc>
        <w:tc>
          <w:tcPr>
            <w:tcW w:w="7104" w:type="dxa"/>
            <w:vAlign w:val="top"/>
          </w:tcPr>
          <w:p>
            <w:pPr>
              <w:spacing w:line="400" w:lineRule="exact"/>
              <w:ind w:firstLine="420" w:firstLineChars="200"/>
              <w:rPr>
                <w:rFonts w:hint="eastAsia" w:ascii="宋体" w:hAnsi="宋体" w:cs="宋体"/>
              </w:rPr>
            </w:pPr>
            <w:r>
              <w:rPr>
                <w:rFonts w:hint="eastAsia"/>
                <w:color w:val="000000" w:themeColor="text1"/>
                <w:lang w:val="en-US" w:eastAsia="zh-CN"/>
                <w14:textFill>
                  <w14:solidFill>
                    <w14:schemeClr w14:val="tx1"/>
                  </w14:solidFill>
                </w14:textFill>
              </w:rPr>
              <w:t>报价人</w:t>
            </w:r>
            <w:r>
              <w:rPr>
                <w:rFonts w:hint="eastAsia"/>
                <w:color w:val="000000" w:themeColor="text1"/>
                <w14:textFill>
                  <w14:solidFill>
                    <w14:schemeClr w14:val="tx1"/>
                  </w14:solidFill>
                </w14:textFill>
              </w:rPr>
              <w:t>应认真阅读《设备技术参数要求》后以确认在填报单价和价格之前，设备的所在范围已被包括在每个项目内，报出的单价和价格应被认为包括所有劳务、材料、机械、运输、</w:t>
            </w:r>
            <w:r>
              <w:rPr>
                <w:rFonts w:hint="eastAsia"/>
                <w:color w:val="000000" w:themeColor="text1"/>
                <w:lang w:val="en-US" w:eastAsia="zh-CN"/>
                <w14:textFill>
                  <w14:solidFill>
                    <w14:schemeClr w14:val="tx1"/>
                  </w14:solidFill>
                </w14:textFill>
              </w:rPr>
              <w:t>卸货、</w:t>
            </w:r>
            <w:r>
              <w:rPr>
                <w:rFonts w:hint="eastAsia"/>
                <w:color w:val="000000" w:themeColor="text1"/>
                <w14:textFill>
                  <w14:solidFill>
                    <w14:schemeClr w14:val="tx1"/>
                  </w14:solidFill>
                </w14:textFill>
              </w:rPr>
              <w:t>出厂检验、相关税率、</w:t>
            </w:r>
            <w:r>
              <w:rPr>
                <w:rFonts w:hint="eastAsia"/>
                <w:color w:val="000000" w:themeColor="text1"/>
                <w:lang w:val="en-US" w:eastAsia="zh-CN"/>
                <w14:textFill>
                  <w14:solidFill>
                    <w14:schemeClr w14:val="tx1"/>
                  </w14:solidFill>
                </w14:textFill>
              </w:rPr>
              <w:t>指导调试、</w:t>
            </w:r>
            <w:r>
              <w:rPr>
                <w:rFonts w:hint="eastAsia"/>
                <w:color w:val="000000" w:themeColor="text1"/>
                <w14:textFill>
                  <w14:solidFill>
                    <w14:schemeClr w14:val="tx1"/>
                  </w14:solidFill>
                </w14:textFill>
              </w:rPr>
              <w:t>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pPr>
              <w:pStyle w:val="149"/>
              <w:spacing w:line="400" w:lineRule="exact"/>
              <w:jc w:val="center"/>
              <w:rPr>
                <w:rFonts w:hint="eastAsia" w:hAnsi="宋体" w:eastAsia="宋体"/>
                <w:color w:val="auto"/>
                <w:kern w:val="2"/>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1</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widowControl/>
              <w:spacing w:line="400" w:lineRule="atLeast"/>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2000</w:t>
            </w:r>
            <w:r>
              <w:rPr>
                <w:rFonts w:hint="eastAsia" w:hAnsi="宋体"/>
                <w:color w:val="auto"/>
                <w:kern w:val="2"/>
                <w:sz w:val="21"/>
                <w:szCs w:val="21"/>
              </w:rPr>
              <w:t>元，由报价人从公司基本账户将投标保证金汇至以下指定账户：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保证金到账截止时间：2023年</w:t>
            </w:r>
            <w:r>
              <w:rPr>
                <w:rFonts w:hint="eastAsia" w:hAnsi="宋体"/>
                <w:color w:val="auto"/>
                <w:kern w:val="2"/>
                <w:sz w:val="21"/>
                <w:szCs w:val="21"/>
                <w:lang w:val="en-US" w:eastAsia="zh-CN"/>
              </w:rPr>
              <w:t>11</w:t>
            </w:r>
            <w:r>
              <w:rPr>
                <w:rFonts w:hAnsi="宋体"/>
                <w:color w:val="auto"/>
                <w:kern w:val="2"/>
                <w:sz w:val="21"/>
                <w:szCs w:val="21"/>
              </w:rPr>
              <w:t>月</w:t>
            </w:r>
            <w:r>
              <w:rPr>
                <w:rFonts w:hint="eastAsia" w:hAnsi="宋体"/>
                <w:color w:val="auto"/>
                <w:kern w:val="2"/>
                <w:sz w:val="21"/>
                <w:szCs w:val="21"/>
                <w:lang w:val="en-US" w:eastAsia="zh-CN"/>
              </w:rPr>
              <w:t>30</w:t>
            </w:r>
            <w:r>
              <w:rPr>
                <w:rFonts w:hAnsi="宋体"/>
                <w:color w:val="auto"/>
                <w:kern w:val="2"/>
                <w:sz w:val="21"/>
                <w:szCs w:val="21"/>
              </w:rPr>
              <w:t>日1</w:t>
            </w:r>
            <w:r>
              <w:rPr>
                <w:rFonts w:hint="eastAsia" w:hAnsi="宋体"/>
                <w:color w:val="auto"/>
                <w:kern w:val="2"/>
                <w:sz w:val="21"/>
                <w:szCs w:val="21"/>
                <w:lang w:val="en-US" w:eastAsia="zh-CN"/>
              </w:rPr>
              <w:t>1</w:t>
            </w:r>
            <w:r>
              <w:rPr>
                <w:rFonts w:hAnsi="宋体"/>
                <w:color w:val="auto"/>
                <w:kern w:val="2"/>
                <w:sz w:val="21"/>
                <w:szCs w:val="21"/>
              </w:rPr>
              <w:t>时00分前；</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二、履约保证金（或履约保函）</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2、履约保证金</w:t>
            </w:r>
            <w:r>
              <w:rPr>
                <w:rFonts w:hint="eastAsia" w:hAnsi="宋体"/>
                <w:color w:val="auto"/>
                <w:kern w:val="2"/>
                <w:sz w:val="21"/>
                <w:szCs w:val="21"/>
                <w:lang w:eastAsia="zh-CN"/>
              </w:rPr>
              <w:t>（</w:t>
            </w:r>
            <w:r>
              <w:rPr>
                <w:rFonts w:hint="eastAsia" w:hAnsi="宋体"/>
                <w:color w:val="auto"/>
                <w:kern w:val="2"/>
                <w:sz w:val="21"/>
                <w:szCs w:val="21"/>
                <w:lang w:val="en-US" w:eastAsia="zh-CN"/>
              </w:rPr>
              <w:t>履约保函</w:t>
            </w:r>
            <w:r>
              <w:rPr>
                <w:rFonts w:hint="eastAsia" w:hAnsi="宋体"/>
                <w:color w:val="auto"/>
                <w:kern w:val="2"/>
                <w:sz w:val="21"/>
                <w:szCs w:val="21"/>
                <w:lang w:eastAsia="zh-CN"/>
              </w:rPr>
              <w:t>）</w:t>
            </w:r>
            <w:r>
              <w:rPr>
                <w:rFonts w:hint="eastAsia" w:hAnsi="宋体"/>
                <w:color w:val="auto"/>
                <w:kern w:val="2"/>
                <w:sz w:val="21"/>
                <w:szCs w:val="21"/>
              </w:rPr>
              <w:t>的金额：</w:t>
            </w:r>
            <w:r>
              <w:rPr>
                <w:rFonts w:hint="eastAsia" w:hAnsi="宋体"/>
                <w:color w:val="auto"/>
                <w:kern w:val="2"/>
                <w:sz w:val="21"/>
                <w:szCs w:val="21"/>
                <w:lang w:val="en-US" w:eastAsia="zh-CN"/>
              </w:rPr>
              <w:t>/</w:t>
            </w:r>
            <w:r>
              <w:rPr>
                <w:rFonts w:hint="eastAsia" w:hAnsi="宋体"/>
                <w:color w:val="auto"/>
                <w:kern w:val="2"/>
                <w:sz w:val="21"/>
                <w:szCs w:val="21"/>
              </w:rPr>
              <w:t>；</w:t>
            </w:r>
          </w:p>
          <w:p>
            <w:pPr>
              <w:pStyle w:val="149"/>
              <w:spacing w:line="400" w:lineRule="exact"/>
              <w:ind w:firstLine="420" w:firstLineChars="200"/>
              <w:rPr>
                <w:rFonts w:hint="eastAsia" w:hAnsi="宋体" w:eastAsia="宋体"/>
                <w:color w:val="auto"/>
                <w:kern w:val="2"/>
                <w:sz w:val="21"/>
                <w:szCs w:val="21"/>
                <w:lang w:eastAsia="zh-CN"/>
              </w:rPr>
            </w:pPr>
            <w:r>
              <w:rPr>
                <w:rFonts w:hint="eastAsia" w:hAnsi="宋体"/>
                <w:color w:val="auto"/>
                <w:kern w:val="2"/>
                <w:sz w:val="21"/>
                <w:szCs w:val="21"/>
              </w:rPr>
              <w:t>3、履约保证金</w:t>
            </w:r>
            <w:r>
              <w:rPr>
                <w:rFonts w:hint="eastAsia" w:hAnsi="宋体"/>
                <w:color w:val="auto"/>
                <w:kern w:val="2"/>
                <w:sz w:val="21"/>
                <w:szCs w:val="21"/>
                <w:highlight w:val="none"/>
                <w:lang w:val="en-US" w:eastAsia="zh-CN"/>
              </w:rPr>
              <w:t>（或</w:t>
            </w:r>
            <w:r>
              <w:rPr>
                <w:rFonts w:hint="eastAsia" w:hAnsi="宋体"/>
                <w:color w:val="auto"/>
                <w:kern w:val="2"/>
                <w:sz w:val="21"/>
                <w:szCs w:val="21"/>
                <w:lang w:val="en-US" w:eastAsia="zh-CN"/>
              </w:rPr>
              <w:t>履约保函</w:t>
            </w:r>
            <w:r>
              <w:rPr>
                <w:rFonts w:hint="eastAsia" w:hAnsi="宋体"/>
                <w:color w:val="auto"/>
                <w:kern w:val="2"/>
                <w:sz w:val="21"/>
                <w:szCs w:val="21"/>
                <w:highlight w:val="none"/>
                <w:lang w:val="en-US" w:eastAsia="zh-CN"/>
              </w:rPr>
              <w:t>）</w:t>
            </w:r>
            <w:r>
              <w:rPr>
                <w:rFonts w:hint="eastAsia" w:hAnsi="宋体"/>
                <w:color w:val="auto"/>
                <w:kern w:val="2"/>
                <w:sz w:val="21"/>
                <w:szCs w:val="21"/>
              </w:rPr>
              <w:t>有效期：自双方签订的合同文件生效之日起，至合同约定时间完成为止</w:t>
            </w:r>
            <w:r>
              <w:rPr>
                <w:rFonts w:hint="eastAsia" w:hAnsi="宋体"/>
                <w:color w:val="auto"/>
                <w:kern w:val="2"/>
                <w:sz w:val="21"/>
                <w:szCs w:val="21"/>
                <w:lang w:eastAsia="zh-CN"/>
              </w:rPr>
              <w:t>；</w:t>
            </w:r>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lang w:eastAsia="zh-CN"/>
              </w:rPr>
              <w:t>（</w:t>
            </w:r>
            <w:r>
              <w:rPr>
                <w:rFonts w:hint="eastAsia" w:hAnsi="宋体"/>
                <w:color w:val="auto"/>
                <w:kern w:val="2"/>
                <w:sz w:val="21"/>
                <w:szCs w:val="21"/>
                <w:lang w:val="en-US" w:eastAsia="zh-CN"/>
              </w:rPr>
              <w:t>或出具国有商业银行开具的履约保函</w:t>
            </w:r>
            <w:r>
              <w:rPr>
                <w:rFonts w:hint="eastAsia" w:hAnsi="宋体"/>
                <w:color w:val="auto"/>
                <w:kern w:val="2"/>
                <w:sz w:val="21"/>
                <w:szCs w:val="21"/>
                <w:lang w:eastAsia="zh-CN"/>
              </w:rPr>
              <w:t>）</w:t>
            </w:r>
            <w:r>
              <w:rPr>
                <w:rFonts w:hint="eastAsia" w:hAnsi="宋体"/>
                <w:color w:val="auto"/>
                <w:kern w:val="2"/>
                <w:sz w:val="21"/>
                <w:szCs w:val="21"/>
              </w:rPr>
              <w:t>。履约保证金在完成合同约定的全部工作内容后由中标人提出申请，28天后无息退还。</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三、低价风险担保金</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1、低价风险担保提交标准为最高限价的85%与中标价格差额的</w:t>
            </w:r>
            <w:r>
              <w:rPr>
                <w:rFonts w:hint="eastAsia" w:hAnsi="宋体"/>
                <w:color w:val="auto"/>
                <w:kern w:val="2"/>
                <w:sz w:val="21"/>
                <w:szCs w:val="21"/>
                <w:highlight w:val="none"/>
                <w:u w:val="none"/>
                <w:lang w:val="en-US" w:eastAsia="zh-CN"/>
              </w:rPr>
              <w:t>3</w:t>
            </w:r>
            <w:r>
              <w:rPr>
                <w:rFonts w:hint="eastAsia" w:hAnsi="宋体"/>
                <w:color w:val="auto"/>
                <w:kern w:val="2"/>
                <w:sz w:val="21"/>
                <w:szCs w:val="21"/>
                <w:highlight w:val="none"/>
                <w:lang w:val="en-US" w:eastAsia="zh-CN"/>
              </w:rPr>
              <w:t>倍（既低价风险担保差额倍数）；</w:t>
            </w:r>
          </w:p>
          <w:p>
            <w:pPr>
              <w:pStyle w:val="149"/>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2、低价风险担保</w:t>
            </w:r>
            <w:r>
              <w:rPr>
                <w:rFonts w:hAnsi="宋体"/>
                <w:color w:val="auto"/>
                <w:kern w:val="2"/>
                <w:sz w:val="21"/>
                <w:szCs w:val="21"/>
                <w:highlight w:val="none"/>
              </w:rPr>
              <w:t>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lang w:eastAsia="zh-CN"/>
              </w:rPr>
              <w:t>；</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3、低价风险担保金有效期：自双方签订的合同文件生效之日起，至合同约定时间完成为止；</w:t>
            </w:r>
          </w:p>
          <w:p>
            <w:pPr>
              <w:pStyle w:val="149"/>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4、低价风险担保金</w:t>
            </w:r>
            <w:r>
              <w:rPr>
                <w:rFonts w:hint="eastAsia" w:hAnsi="宋体"/>
                <w:color w:val="auto"/>
                <w:kern w:val="2"/>
                <w:sz w:val="21"/>
                <w:szCs w:val="21"/>
                <w:highlight w:val="none"/>
              </w:rPr>
              <w:t>的提交及退还：在甲方发出中标通知书后5个工作日内，中标人向采购人提供</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缴纳凭证。</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在完成合同约定的全部工作内容后由中标人提出申请，28天后无息退还</w:t>
            </w:r>
            <w:r>
              <w:rPr>
                <w:rFonts w:hint="eastAsia" w:hAnsi="宋体"/>
                <w:color w:val="auto"/>
                <w:kern w:val="2"/>
                <w:sz w:val="21"/>
                <w:szCs w:val="21"/>
                <w:highlight w:val="none"/>
                <w:lang w:eastAsia="zh-CN"/>
              </w:rPr>
              <w:t>。</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widowControl/>
              <w:spacing w:line="400" w:lineRule="atLeast"/>
              <w:ind w:firstLine="420"/>
              <w:rPr>
                <w:rFonts w:hAnsi="宋体" w:cs="宋体"/>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eastAsia" w:hAnsi="宋体" w:eastAsia="宋体"/>
                <w:color w:val="auto"/>
                <w:sz w:val="21"/>
                <w:szCs w:val="21"/>
                <w:lang w:eastAsia="zh-CN"/>
              </w:rPr>
            </w:pPr>
            <w:r>
              <w:rPr>
                <w:rFonts w:hint="eastAsia" w:hAnsi="宋体"/>
                <w:color w:val="auto"/>
                <w:sz w:val="21"/>
                <w:szCs w:val="21"/>
              </w:rPr>
              <w:t>2</w:t>
            </w:r>
            <w:r>
              <w:rPr>
                <w:rFonts w:hint="eastAsia" w:hAnsi="宋体"/>
                <w:color w:val="auto"/>
                <w:sz w:val="21"/>
                <w:szCs w:val="21"/>
                <w:lang w:val="en-US" w:eastAsia="zh-CN"/>
              </w:rPr>
              <w:t>2</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w:t>
            </w:r>
            <w:r>
              <w:rPr>
                <w:rFonts w:hint="eastAsia" w:hAnsi="宋体"/>
                <w:color w:val="auto"/>
                <w:kern w:val="2"/>
                <w:sz w:val="21"/>
                <w:szCs w:val="21"/>
                <w:highlight w:val="none"/>
                <w:lang w:val="en-US" w:eastAsia="zh-CN"/>
              </w:rPr>
              <w:t>合规监管</w:t>
            </w:r>
            <w:r>
              <w:rPr>
                <w:rFonts w:hint="eastAsia" w:hAnsi="宋体"/>
                <w:color w:val="auto"/>
                <w:kern w:val="2"/>
                <w:sz w:val="21"/>
                <w:szCs w:val="21"/>
              </w:rPr>
              <w:t>部</w:t>
            </w:r>
          </w:p>
          <w:p>
            <w:pPr>
              <w:pStyle w:val="149"/>
              <w:spacing w:line="400" w:lineRule="exact"/>
              <w:ind w:firstLine="420" w:firstLineChars="200"/>
              <w:rPr>
                <w:rFonts w:hint="default" w:hAnsi="宋体" w:eastAsia="宋体"/>
                <w:color w:val="auto"/>
                <w:kern w:val="2"/>
                <w:sz w:val="21"/>
                <w:szCs w:val="21"/>
                <w:lang w:val="en-US" w:eastAsia="zh-CN"/>
              </w:rPr>
            </w:pPr>
            <w:r>
              <w:rPr>
                <w:rFonts w:hint="eastAsia" w:hAnsi="宋体"/>
                <w:color w:val="auto"/>
                <w:kern w:val="2"/>
                <w:sz w:val="21"/>
                <w:szCs w:val="21"/>
              </w:rPr>
              <w:t>地    址：重庆市</w:t>
            </w:r>
            <w:r>
              <w:rPr>
                <w:rFonts w:hint="eastAsia" w:hAnsi="宋体"/>
                <w:color w:val="auto"/>
                <w:kern w:val="2"/>
                <w:sz w:val="21"/>
                <w:szCs w:val="21"/>
                <w:lang w:val="en-US" w:eastAsia="zh-CN"/>
              </w:rPr>
              <w:t>渝北区新南路52号</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23</w:t>
            </w:r>
          </w:p>
        </w:tc>
        <w:tc>
          <w:tcPr>
            <w:tcW w:w="2106" w:type="dxa"/>
            <w:vAlign w:val="center"/>
          </w:tcPr>
          <w:p>
            <w:pPr>
              <w:pStyle w:val="149"/>
              <w:spacing w:line="400" w:lineRule="exact"/>
              <w:jc w:val="center"/>
              <w:rPr>
                <w:rFonts w:hint="eastAsia" w:ascii="宋体" w:hAnsi="宋体" w:eastAsia="宋体" w:cs="宋体"/>
                <w:color w:val="auto"/>
                <w:kern w:val="2"/>
                <w:sz w:val="21"/>
                <w:szCs w:val="21"/>
                <w:lang w:val="en-US" w:eastAsia="zh-CN" w:bidi="ar-SA"/>
              </w:rPr>
            </w:pPr>
            <w:r>
              <w:rPr>
                <w:rFonts w:hint="eastAsia" w:hAnsi="宋体"/>
                <w:color w:val="auto"/>
                <w:kern w:val="2"/>
                <w:sz w:val="21"/>
                <w:szCs w:val="21"/>
              </w:rPr>
              <w:t>竞争性比选响应文件的递交</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1.报价截止时间和开标时间：</w:t>
            </w:r>
            <w:r>
              <w:rPr>
                <w:rFonts w:hint="eastAsia" w:hAnsi="宋体"/>
                <w:sz w:val="21"/>
                <w:szCs w:val="18"/>
                <w:u w:val="single"/>
              </w:rPr>
              <w:t>202</w:t>
            </w:r>
            <w:r>
              <w:rPr>
                <w:rFonts w:hint="eastAsia" w:hAnsi="宋体"/>
                <w:sz w:val="21"/>
                <w:szCs w:val="18"/>
                <w:u w:val="single"/>
                <w:lang w:val="en-US" w:eastAsia="zh-CN"/>
              </w:rPr>
              <w:t>3</w:t>
            </w:r>
            <w:r>
              <w:rPr>
                <w:rFonts w:hint="eastAsia" w:hAnsi="宋体"/>
                <w:sz w:val="21"/>
                <w:szCs w:val="18"/>
                <w:u w:val="single"/>
              </w:rPr>
              <w:t xml:space="preserve">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11</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30</w:t>
            </w:r>
            <w:r>
              <w:rPr>
                <w:rFonts w:hint="eastAsia" w:hAnsi="宋体"/>
                <w:sz w:val="21"/>
                <w:szCs w:val="18"/>
                <w:u w:val="single"/>
              </w:rPr>
              <w:t xml:space="preserve"> </w:t>
            </w:r>
            <w:r>
              <w:rPr>
                <w:rFonts w:hint="eastAsia" w:hAnsi="宋体"/>
                <w:sz w:val="21"/>
                <w:szCs w:val="18"/>
              </w:rPr>
              <w:t>日</w:t>
            </w:r>
            <w:r>
              <w:rPr>
                <w:rFonts w:hint="eastAsia" w:hAnsi="宋体"/>
                <w:sz w:val="21"/>
                <w:szCs w:val="18"/>
                <w:lang w:val="en-US" w:eastAsia="zh-CN"/>
              </w:rPr>
              <w:t>上</w:t>
            </w:r>
            <w:r>
              <w:rPr>
                <w:rFonts w:hint="eastAsia" w:hAnsi="宋体"/>
                <w:color w:val="auto"/>
                <w:kern w:val="2"/>
                <w:sz w:val="21"/>
                <w:szCs w:val="21"/>
              </w:rPr>
              <w:t>午1</w:t>
            </w:r>
            <w:r>
              <w:rPr>
                <w:rFonts w:hint="eastAsia" w:hAnsi="宋体"/>
                <w:color w:val="auto"/>
                <w:kern w:val="2"/>
                <w:sz w:val="21"/>
                <w:szCs w:val="21"/>
                <w:lang w:val="en-US" w:eastAsia="zh-CN"/>
              </w:rPr>
              <w:t>1</w:t>
            </w:r>
            <w:r>
              <w:rPr>
                <w:rFonts w:hint="eastAsia" w:hAnsi="宋体"/>
                <w:color w:val="auto"/>
                <w:kern w:val="2"/>
                <w:sz w:val="21"/>
                <w:szCs w:val="21"/>
              </w:rPr>
              <w:t>时 00分（北京时间）。</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2.报价地点和开标地点：重庆首讯科技股份有限公司（重庆市渝北区新南路52号东界龙湖三楼）。</w:t>
            </w:r>
          </w:p>
          <w:p>
            <w:pPr>
              <w:pStyle w:val="149"/>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hAnsi="宋体"/>
                <w:color w:val="auto"/>
                <w:kern w:val="2"/>
                <w:sz w:val="21"/>
                <w:szCs w:val="21"/>
              </w:rPr>
              <w:t>3.逾期送达，或未送达指定地点，或未密封的竞争性比选响应文件，采购人不予受理。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24</w:t>
            </w:r>
          </w:p>
        </w:tc>
        <w:tc>
          <w:tcPr>
            <w:tcW w:w="2106" w:type="dxa"/>
            <w:vAlign w:val="center"/>
          </w:tcPr>
          <w:p>
            <w:pPr>
              <w:pStyle w:val="149"/>
              <w:spacing w:line="400" w:lineRule="exact"/>
              <w:jc w:val="center"/>
              <w:rPr>
                <w:rFonts w:hint="eastAsia"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149"/>
              <w:numPr>
                <w:ilvl w:val="0"/>
                <w:numId w:val="3"/>
              </w:numPr>
              <w:spacing w:line="400" w:lineRule="exact"/>
              <w:ind w:firstLine="422" w:firstLineChars="200"/>
              <w:rPr>
                <w:rFonts w:hAnsi="宋体"/>
                <w:color w:val="auto"/>
                <w:kern w:val="2"/>
                <w:sz w:val="21"/>
                <w:szCs w:val="21"/>
              </w:rPr>
            </w:pP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149"/>
              <w:numPr>
                <w:ilvl w:val="0"/>
                <w:numId w:val="3"/>
              </w:numPr>
              <w:spacing w:line="400" w:lineRule="exact"/>
              <w:ind w:firstLine="420" w:firstLineChars="200"/>
              <w:rPr>
                <w:rFonts w:hAnsi="宋体"/>
                <w:color w:val="auto"/>
                <w:kern w:val="2"/>
                <w:sz w:val="21"/>
                <w:szCs w:val="21"/>
              </w:rPr>
            </w:pP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000000" w:themeColor="text1"/>
                <w:sz w:val="21"/>
                <w:szCs w:val="21"/>
                <w14:textFill>
                  <w14:solidFill>
                    <w14:schemeClr w14:val="tx1"/>
                  </w14:solidFill>
                </w14:textFill>
              </w:rPr>
              <w:t>（U盘1份，电子文件为报价人竞争性比选响应文件加盖公章后的扫描件，要求为PDF格式）。当电子文件与纸质版竞争性比选响应文件不一致时，以纸质版竞争性比选响应文件为准，当正本与副本不一致时，以正本为准</w:t>
            </w:r>
            <w:r>
              <w:rPr>
                <w:rFonts w:hint="eastAsia" w:hAnsi="宋体"/>
                <w:color w:val="000000" w:themeColor="text1"/>
                <w14:textFill>
                  <w14:solidFill>
                    <w14:schemeClr w14:val="tx1"/>
                  </w14:solidFill>
                </w14:textFill>
              </w:rPr>
              <w:t>。</w:t>
            </w:r>
          </w:p>
          <w:p>
            <w:pPr>
              <w:pStyle w:val="149"/>
              <w:numPr>
                <w:ilvl w:val="0"/>
                <w:numId w:val="3"/>
              </w:numPr>
              <w:spacing w:line="400" w:lineRule="exact"/>
              <w:ind w:left="0" w:leftChars="0" w:firstLine="420" w:firstLineChars="200"/>
              <w:rPr>
                <w:rFonts w:hint="eastAsia" w:hAnsi="宋体"/>
                <w:color w:val="auto"/>
                <w:kern w:val="2"/>
                <w:sz w:val="21"/>
                <w:szCs w:val="21"/>
              </w:rPr>
            </w:pPr>
            <w:r>
              <w:rPr>
                <w:rFonts w:hint="eastAsia" w:hAnsi="宋体"/>
                <w:color w:val="auto"/>
                <w:kern w:val="2"/>
                <w:sz w:val="21"/>
                <w:szCs w:val="21"/>
              </w:rPr>
              <w:t>竞争性比选响应声明书、报价函、资格要求材料、报价人认为需要提供的其他相关文件（注：以上所有文件均须逐页加盖报价人的公章）。</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numPr>
                <w:ilvl w:val="0"/>
                <w:numId w:val="0"/>
              </w:numPr>
              <w:spacing w:line="400" w:lineRule="exact"/>
              <w:ind w:firstLine="420" w:firstLineChars="200"/>
              <w:rPr>
                <w:rFonts w:hint="eastAsia" w:hAnsi="宋体"/>
                <w:color w:val="auto"/>
                <w:kern w:val="2"/>
                <w:sz w:val="21"/>
                <w:szCs w:val="21"/>
              </w:rPr>
            </w:pPr>
            <w:r>
              <w:rPr>
                <w:rFonts w:hint="eastAsia" w:hAnsi="宋体"/>
                <w:color w:val="auto"/>
                <w:kern w:val="2"/>
                <w:sz w:val="21"/>
                <w:szCs w:val="21"/>
                <w:highlight w:val="none"/>
                <w:lang w:val="en-US" w:eastAsia="zh-CN"/>
              </w:rPr>
              <w:t>边坡风险性评价三维数值建模服务采购项目（第二次）竞争性比选响应文件（加盖报价人的公章）</w:t>
            </w:r>
          </w:p>
          <w:p>
            <w:pPr>
              <w:pStyle w:val="149"/>
              <w:numPr>
                <w:ilvl w:val="0"/>
                <w:numId w:val="0"/>
              </w:numPr>
              <w:spacing w:line="400" w:lineRule="exact"/>
              <w:ind w:leftChars="200"/>
              <w:rPr>
                <w:rFonts w:hint="eastAsia" w:hAnsi="宋体"/>
                <w:color w:val="auto"/>
                <w:kern w:val="2"/>
                <w:sz w:val="21"/>
                <w:szCs w:val="21"/>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202</w:t>
            </w:r>
            <w:r>
              <w:rPr>
                <w:rFonts w:hint="eastAsia" w:hAnsi="宋体"/>
                <w:sz w:val="21"/>
                <w:szCs w:val="18"/>
                <w:u w:val="single"/>
                <w:lang w:val="en-US" w:eastAsia="zh-CN"/>
              </w:rPr>
              <w:t>3</w:t>
            </w:r>
            <w:r>
              <w:rPr>
                <w:rFonts w:hint="eastAsia" w:hAnsi="宋体"/>
                <w:sz w:val="21"/>
                <w:szCs w:val="18"/>
                <w:u w:val="single"/>
              </w:rPr>
              <w:t xml:space="preserve">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11</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30</w:t>
            </w:r>
            <w:r>
              <w:rPr>
                <w:rFonts w:hAnsi="宋体"/>
                <w:sz w:val="21"/>
                <w:szCs w:val="18"/>
                <w:u w:val="single"/>
              </w:rPr>
              <w:t xml:space="preserve"> </w:t>
            </w:r>
            <w:r>
              <w:rPr>
                <w:rFonts w:hint="eastAsia" w:hAnsi="宋体"/>
                <w:sz w:val="21"/>
                <w:szCs w:val="18"/>
              </w:rPr>
              <w:t>日</w:t>
            </w:r>
            <w:r>
              <w:rPr>
                <w:rFonts w:hint="eastAsia" w:hAnsi="宋体"/>
                <w:sz w:val="21"/>
                <w:szCs w:val="18"/>
                <w:lang w:val="en-US" w:eastAsia="zh-CN"/>
              </w:rPr>
              <w:t>上</w:t>
            </w:r>
            <w:r>
              <w:rPr>
                <w:rFonts w:hint="eastAsia" w:hAnsi="宋体"/>
                <w:color w:val="auto"/>
                <w:kern w:val="2"/>
                <w:sz w:val="21"/>
                <w:szCs w:val="21"/>
              </w:rPr>
              <w:t>午1</w:t>
            </w:r>
            <w:r>
              <w:rPr>
                <w:rFonts w:hint="eastAsia" w:hAnsi="宋体"/>
                <w:color w:val="auto"/>
                <w:kern w:val="2"/>
                <w:sz w:val="21"/>
                <w:szCs w:val="21"/>
                <w:lang w:val="en-US" w:eastAsia="zh-CN"/>
              </w:rPr>
              <w:t>1</w:t>
            </w:r>
            <w:bookmarkStart w:id="289" w:name="_GoBack"/>
            <w:bookmarkEnd w:id="289"/>
            <w:r>
              <w:rPr>
                <w:rFonts w:hint="eastAsia" w:hAnsi="宋体"/>
                <w:color w:val="auto"/>
                <w:kern w:val="2"/>
                <w:sz w:val="21"/>
                <w:szCs w:val="21"/>
              </w:rPr>
              <w:t>：00时前不得开启。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eastAsia="宋体"/>
                <w:color w:val="auto"/>
                <w:sz w:val="21"/>
                <w:szCs w:val="21"/>
                <w:lang w:val="en-US" w:eastAsia="zh-CN"/>
              </w:rPr>
            </w:pPr>
            <w:r>
              <w:rPr>
                <w:rFonts w:hint="eastAsia" w:hAnsi="宋体" w:cs="宋体"/>
                <w:color w:val="auto"/>
                <w:sz w:val="21"/>
                <w:szCs w:val="21"/>
                <w:highlight w:val="none"/>
                <w:lang w:val="en-US" w:eastAsia="zh-CN" w:bidi="ar-SA"/>
              </w:rPr>
              <w:t>25</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6</w:t>
            </w:r>
          </w:p>
        </w:tc>
        <w:tc>
          <w:tcPr>
            <w:tcW w:w="9210" w:type="dxa"/>
            <w:gridSpan w:val="2"/>
            <w:vAlign w:val="center"/>
          </w:tcPr>
          <w:p>
            <w:pPr>
              <w:pStyle w:val="149"/>
              <w:spacing w:line="400" w:lineRule="exact"/>
              <w:ind w:firstLine="482" w:firstLineChars="200"/>
              <w:jc w:val="center"/>
              <w:rPr>
                <w:rFonts w:hint="eastAsia" w:hAnsi="宋体"/>
                <w:sz w:val="21"/>
                <w:szCs w:val="21"/>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6</w:t>
            </w:r>
            <w:r>
              <w:rPr>
                <w:rFonts w:hint="eastAsia" w:hAnsi="宋体"/>
                <w:color w:val="000000" w:themeColor="text1"/>
                <w:kern w:val="2"/>
                <w:sz w:val="21"/>
                <w:szCs w:val="21"/>
                <w14:textFill>
                  <w14:solidFill>
                    <w14:schemeClr w14:val="tx1"/>
                  </w14:solidFill>
                </w14:textFill>
              </w:rPr>
              <w:t>.1</w:t>
            </w:r>
          </w:p>
        </w:tc>
        <w:tc>
          <w:tcPr>
            <w:tcW w:w="9210" w:type="dxa"/>
            <w:gridSpan w:val="2"/>
            <w:vAlign w:val="center"/>
          </w:tcPr>
          <w:p>
            <w:pPr>
              <w:pStyle w:val="149"/>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bookmarkEnd w:id="108"/>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color w:val="000000" w:themeColor="text1"/>
          <w:sz w:val="28"/>
          <w:szCs w:val="28"/>
          <w14:textFill>
            <w14:solidFill>
              <w14:schemeClr w14:val="tx1"/>
            </w14:solidFill>
          </w14:textFill>
        </w:rPr>
      </w:pPr>
      <w:bookmarkStart w:id="111" w:name="_Toc30198"/>
      <w:bookmarkStart w:id="112" w:name="_Toc17532"/>
      <w:bookmarkStart w:id="113" w:name="_Toc11284"/>
      <w:bookmarkStart w:id="114" w:name="_Toc11329222"/>
      <w:bookmarkStart w:id="115" w:name="_Toc9520"/>
      <w:bookmarkStart w:id="116" w:name="_Toc388534043"/>
      <w:bookmarkStart w:id="117" w:name="_Toc27148"/>
      <w:bookmarkStart w:id="118" w:name="_Toc21487"/>
      <w:bookmarkStart w:id="119" w:name="_Toc387234996"/>
      <w:bookmarkStart w:id="120" w:name="_Toc8293"/>
      <w:bookmarkStart w:id="121" w:name="_Toc11329227"/>
      <w:r>
        <w:rPr>
          <w:rFonts w:hint="eastAsia" w:ascii="宋体" w:hAnsi="宋体" w:eastAsia="宋体" w:cs="宋体"/>
          <w:color w:val="000000" w:themeColor="text1"/>
          <w:sz w:val="28"/>
          <w:szCs w:val="28"/>
          <w14:textFill>
            <w14:solidFill>
              <w14:schemeClr w14:val="tx1"/>
            </w14:solidFill>
          </w14:textFill>
        </w:rPr>
        <w:t xml:space="preserve">附录1  </w:t>
      </w:r>
      <w:bookmarkEnd w:id="111"/>
      <w:bookmarkEnd w:id="112"/>
      <w:bookmarkEnd w:id="113"/>
      <w:bookmarkEnd w:id="114"/>
      <w:bookmarkStart w:id="122" w:name="_Toc27096"/>
      <w:bookmarkStart w:id="123" w:name="_Toc25591"/>
      <w:bookmarkStart w:id="124" w:name="_Toc12773"/>
      <w:bookmarkStart w:id="125" w:name="_Toc11329226"/>
      <w:r>
        <w:rPr>
          <w:rFonts w:hint="eastAsia" w:ascii="宋体" w:hAnsi="宋体" w:eastAsia="宋体" w:cs="宋体"/>
          <w:bCs w:val="0"/>
          <w:color w:val="000000" w:themeColor="text1"/>
          <w:sz w:val="28"/>
          <w:szCs w:val="28"/>
          <w14:textFill>
            <w14:solidFill>
              <w14:schemeClr w14:val="tx1"/>
            </w14:solidFill>
          </w14:textFill>
        </w:rPr>
        <w:t>资格审查文件</w:t>
      </w:r>
      <w:bookmarkEnd w:id="115"/>
    </w:p>
    <w:bookmarkEnd w:id="122"/>
    <w:bookmarkEnd w:id="123"/>
    <w:bookmarkEnd w:id="124"/>
    <w:bookmarkEnd w:id="125"/>
    <w:p>
      <w:pPr>
        <w:jc w:val="center"/>
        <w:rPr>
          <w:b/>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（项目主要管理人员最低要求）</w:t>
      </w:r>
    </w:p>
    <w:tbl>
      <w:tblPr>
        <w:tblStyle w:val="43"/>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rPr>
            </w:pPr>
            <w:bookmarkStart w:id="126" w:name="_Toc6945"/>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数量</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项目经理</w:t>
            </w:r>
          </w:p>
        </w:tc>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高级工程师，有类似项目经验。</w:t>
            </w:r>
          </w:p>
        </w:tc>
      </w:tr>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highlight w:val="none"/>
        </w:rPr>
        <w:t>注：</w:t>
      </w:r>
      <w:r>
        <w:rPr>
          <w:rFonts w:hint="eastAsia" w:ascii="宋体" w:hAnsi="宋体" w:cs="宋体"/>
          <w:bCs/>
          <w:color w:val="auto"/>
          <w:kern w:val="0"/>
          <w:szCs w:val="21"/>
          <w:highlight w:val="none"/>
        </w:rPr>
        <w:t>以上</w:t>
      </w:r>
      <w:r>
        <w:rPr>
          <w:rFonts w:hint="eastAsia" w:ascii="宋体" w:hAnsi="宋体" w:cs="宋体"/>
          <w:bCs/>
          <w:color w:val="auto"/>
          <w:kern w:val="0"/>
          <w:szCs w:val="21"/>
          <w:highlight w:val="none"/>
          <w:lang w:val="en-US" w:eastAsia="zh-CN"/>
        </w:rPr>
        <w:t>人员</w:t>
      </w:r>
      <w:r>
        <w:rPr>
          <w:rFonts w:hint="eastAsia" w:ascii="宋体" w:hAnsi="宋体" w:cs="宋体"/>
          <w:color w:val="auto"/>
          <w:kern w:val="0"/>
          <w:highlight w:val="none"/>
        </w:rPr>
        <w:t>由报价人</w:t>
      </w:r>
      <w:r>
        <w:rPr>
          <w:rFonts w:hint="eastAsia" w:ascii="宋体" w:hAnsi="宋体" w:cs="宋体"/>
          <w:b/>
          <w:color w:val="auto"/>
          <w:kern w:val="0"/>
          <w:highlight w:val="none"/>
        </w:rPr>
        <w:t>自行承诺</w:t>
      </w:r>
      <w:r>
        <w:rPr>
          <w:rFonts w:hint="eastAsia" w:ascii="宋体" w:hAnsi="宋体" w:cs="宋体"/>
          <w:color w:val="auto"/>
          <w:kern w:val="0"/>
          <w:highlight w:val="none"/>
        </w:rPr>
        <w:t>，</w:t>
      </w:r>
      <w:r>
        <w:rPr>
          <w:rFonts w:hint="eastAsia" w:ascii="宋体" w:hAnsi="宋体" w:cs="宋体"/>
          <w:color w:val="auto"/>
          <w:kern w:val="0"/>
          <w:szCs w:val="21"/>
          <w:highlight w:val="none"/>
        </w:rPr>
        <w:t>无需提供有关证明资料，并加盖单位鲜公章。</w:t>
      </w:r>
    </w:p>
    <w:p>
      <w:pPr>
        <w:pStyle w:val="4"/>
        <w:ind w:firstLine="1124" w:firstLineChars="400"/>
        <w:jc w:val="both"/>
        <w:rPr>
          <w:rFonts w:ascii="宋体" w:hAnsi="宋体" w:eastAsia="宋体" w:cs="宋体"/>
          <w:bCs w:val="0"/>
          <w:color w:val="000000" w:themeColor="text1"/>
          <w:sz w:val="28"/>
          <w:szCs w:val="28"/>
          <w14:textFill>
            <w14:solidFill>
              <w14:schemeClr w14:val="tx1"/>
            </w14:solidFill>
          </w14:textFill>
        </w:rPr>
      </w:pPr>
      <w:r>
        <w:rPr>
          <w:rFonts w:hint="eastAsia" w:ascii="宋体" w:hAnsi="宋体" w:eastAsia="宋体" w:cs="宋体"/>
          <w:bCs w:val="0"/>
          <w:color w:val="000000" w:themeColor="text1"/>
          <w:sz w:val="28"/>
          <w:szCs w:val="28"/>
          <w14:textFill>
            <w14:solidFill>
              <w14:schemeClr w14:val="tx1"/>
            </w14:solidFill>
          </w14:textFill>
        </w:rPr>
        <w:t>附录2 资格审查文件（项目其他人员最低要求）</w:t>
      </w:r>
      <w:bookmarkEnd w:id="126"/>
    </w:p>
    <w:tbl>
      <w:tblPr>
        <w:tblStyle w:val="43"/>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rPr>
            </w:pPr>
            <w:bookmarkStart w:id="127" w:name="_Toc24393"/>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数量</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其他人员</w:t>
            </w:r>
          </w:p>
        </w:tc>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有类似项目经验。</w:t>
            </w:r>
          </w:p>
        </w:tc>
      </w:tr>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highlight w:val="none"/>
        </w:rPr>
        <w:t>注：</w:t>
      </w:r>
      <w:r>
        <w:rPr>
          <w:rFonts w:hint="eastAsia" w:ascii="宋体" w:hAnsi="宋体" w:cs="宋体"/>
          <w:bCs/>
          <w:color w:val="auto"/>
          <w:kern w:val="0"/>
          <w:szCs w:val="21"/>
          <w:highlight w:val="none"/>
        </w:rPr>
        <w:t>以上</w:t>
      </w:r>
      <w:r>
        <w:rPr>
          <w:rFonts w:hint="eastAsia" w:ascii="宋体" w:hAnsi="宋体" w:cs="宋体"/>
          <w:bCs/>
          <w:color w:val="auto"/>
          <w:kern w:val="0"/>
          <w:szCs w:val="21"/>
          <w:highlight w:val="none"/>
          <w:lang w:val="en-US" w:eastAsia="zh-CN"/>
        </w:rPr>
        <w:t>人员</w:t>
      </w:r>
      <w:r>
        <w:rPr>
          <w:rFonts w:hint="eastAsia" w:ascii="宋体" w:hAnsi="宋体" w:cs="宋体"/>
          <w:color w:val="auto"/>
          <w:kern w:val="0"/>
          <w:highlight w:val="none"/>
        </w:rPr>
        <w:t>由报价人</w:t>
      </w:r>
      <w:r>
        <w:rPr>
          <w:rFonts w:hint="eastAsia" w:ascii="宋体" w:hAnsi="宋体" w:cs="宋体"/>
          <w:b/>
          <w:color w:val="auto"/>
          <w:kern w:val="0"/>
          <w:highlight w:val="none"/>
        </w:rPr>
        <w:t>自行承诺</w:t>
      </w:r>
      <w:r>
        <w:rPr>
          <w:rFonts w:hint="eastAsia" w:ascii="宋体" w:hAnsi="宋体" w:cs="宋体"/>
          <w:color w:val="auto"/>
          <w:kern w:val="0"/>
          <w:highlight w:val="none"/>
        </w:rPr>
        <w:t>，</w:t>
      </w:r>
      <w:r>
        <w:rPr>
          <w:rFonts w:hint="eastAsia" w:ascii="宋体" w:hAnsi="宋体" w:cs="宋体"/>
          <w:color w:val="auto"/>
          <w:kern w:val="0"/>
          <w:szCs w:val="21"/>
          <w:highlight w:val="none"/>
        </w:rPr>
        <w:t>无需提供有关证明资料，并加盖单位鲜公章。</w:t>
      </w:r>
    </w:p>
    <w:p>
      <w:pPr>
        <w:pStyle w:val="4"/>
        <w:rPr>
          <w:rFonts w:hAnsi="宋体"/>
          <w:b w:val="0"/>
          <w:color w:val="000000" w:themeColor="text1"/>
          <w:sz w:val="28"/>
          <w:szCs w:val="28"/>
          <w14:textFill>
            <w14:solidFill>
              <w14:schemeClr w14:val="tx1"/>
            </w14:solidFill>
          </w14:textFill>
        </w:rPr>
      </w:pPr>
      <w:r>
        <w:rPr>
          <w:rFonts w:hint="eastAsia" w:ascii="宋体" w:hAnsi="宋体" w:eastAsia="宋体" w:cs="宋体"/>
          <w:bCs w:val="0"/>
          <w:color w:val="000000" w:themeColor="text1"/>
          <w:sz w:val="28"/>
          <w:szCs w:val="28"/>
          <w14:textFill>
            <w14:solidFill>
              <w14:schemeClr w14:val="tx1"/>
            </w14:solidFill>
          </w14:textFill>
        </w:rPr>
        <w:t>附录3 资格审查文件（主要机械设备和试验检测设备最低要求）</w:t>
      </w:r>
      <w:bookmarkEnd w:id="127"/>
    </w:p>
    <w:p>
      <w:pPr>
        <w:spacing w:line="440" w:lineRule="exact"/>
        <w:jc w:val="center"/>
        <w:rPr>
          <w:rFonts w:hint="eastAsia" w:ascii="宋体" w:hAnsi="宋体" w:eastAsia="宋体" w:cs="宋体"/>
          <w:color w:val="000000" w:themeColor="text1"/>
          <w:szCs w:val="21"/>
          <w:lang w:eastAsia="zh-CN"/>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color w:val="000000" w:themeColor="text1"/>
          <w:szCs w:val="21"/>
          <w:lang w:val="en-US" w:eastAsia="zh-CN"/>
          <w14:textFill>
            <w14:solidFill>
              <w14:schemeClr w14:val="tx1"/>
            </w14:solidFill>
          </w14:textFill>
        </w:rPr>
        <w:t>无</w:t>
      </w:r>
    </w:p>
    <w:bookmarkEnd w:id="116"/>
    <w:bookmarkEnd w:id="117"/>
    <w:bookmarkEnd w:id="118"/>
    <w:bookmarkEnd w:id="119"/>
    <w:bookmarkEnd w:id="120"/>
    <w:bookmarkEnd w:id="121"/>
    <w:p>
      <w:pPr>
        <w:pStyle w:val="3"/>
        <w:numPr>
          <w:ilvl w:val="0"/>
          <w:numId w:val="4"/>
        </w:numPr>
        <w:spacing w:before="0" w:after="0" w:line="360" w:lineRule="auto"/>
        <w:jc w:val="center"/>
      </w:pPr>
      <w:bookmarkStart w:id="128" w:name="_Toc179632605"/>
      <w:bookmarkStart w:id="129" w:name="_Toc2000406"/>
      <w:bookmarkStart w:id="130" w:name="_Toc152045587"/>
      <w:bookmarkStart w:id="131" w:name="_Toc144974554"/>
      <w:bookmarkStart w:id="132" w:name="_Toc246996230"/>
      <w:bookmarkStart w:id="133" w:name="_Toc247085745"/>
      <w:bookmarkStart w:id="134" w:name="_Toc152042364"/>
      <w:bookmarkStart w:id="135" w:name="_Toc32070"/>
      <w:bookmarkStart w:id="136" w:name="_Toc246996973"/>
      <w:bookmarkStart w:id="137" w:name="_Toc507319957"/>
      <w:r>
        <w:rPr>
          <w:rFonts w:hint="eastAsia" w:ascii="宋体" w:hAnsi="宋体" w:cs="宋体"/>
        </w:rPr>
        <w:t>评标办法（综合评估法）</w:t>
      </w:r>
      <w:bookmarkEnd w:id="128"/>
      <w:bookmarkEnd w:id="129"/>
      <w:bookmarkEnd w:id="130"/>
      <w:bookmarkEnd w:id="131"/>
      <w:bookmarkEnd w:id="132"/>
      <w:bookmarkEnd w:id="133"/>
      <w:bookmarkEnd w:id="134"/>
      <w:bookmarkEnd w:id="135"/>
      <w:bookmarkEnd w:id="136"/>
      <w:bookmarkEnd w:id="137"/>
    </w:p>
    <w:p/>
    <w:p>
      <w:pPr>
        <w:rPr>
          <w:b/>
          <w:bCs/>
        </w:rPr>
      </w:pPr>
      <w:r>
        <w:rPr>
          <w:rFonts w:hint="eastAsia"/>
          <w:b/>
          <w:bCs/>
        </w:rPr>
        <w:t>评标办法前附表</w:t>
      </w:r>
    </w:p>
    <w:tbl>
      <w:tblPr>
        <w:tblStyle w:val="43"/>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2"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2"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2"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8"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8" w:type="dxa"/>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w:t>
            </w:r>
          </w:p>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pPr>
              <w:numPr>
                <w:ilvl w:val="0"/>
                <w:numId w:val="0"/>
              </w:num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r>
              <w:rPr>
                <w:rFonts w:hint="eastAsia" w:asciiTheme="minorEastAsia" w:hAnsiTheme="minorEastAsia" w:eastAsiaTheme="minorEastAsia" w:cstheme="minorEastAsia"/>
                <w:szCs w:val="21"/>
                <w:lang w:val="en-US" w:eastAsia="zh-CN"/>
              </w:rPr>
              <w:t>70</w:t>
            </w:r>
            <w:r>
              <w:rPr>
                <w:rFonts w:hint="eastAsia" w:asciiTheme="minorEastAsia" w:hAnsiTheme="minorEastAsia" w:eastAsiaTheme="minorEastAsia" w:cstheme="minorEastAsia"/>
                <w:szCs w:val="21"/>
              </w:rPr>
              <w:t>分；</w:t>
            </w:r>
          </w:p>
          <w:p>
            <w:pPr>
              <w:numPr>
                <w:ilvl w:val="0"/>
                <w:numId w:val="0"/>
              </w:num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分；</w:t>
            </w:r>
          </w:p>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0分）</w:t>
            </w:r>
          </w:p>
        </w:tc>
        <w:tc>
          <w:tcPr>
            <w:tcW w:w="2022" w:type="dxa"/>
            <w:vAlign w:val="center"/>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w:t>
            </w:r>
          </w:p>
        </w:tc>
        <w:tc>
          <w:tcPr>
            <w:tcW w:w="5928" w:type="dxa"/>
            <w:vAlign w:val="top"/>
          </w:tcPr>
          <w:p>
            <w:pPr>
              <w:spacing w:line="400" w:lineRule="exact"/>
              <w:ind w:firstLine="420" w:firstLineChars="200"/>
              <w:rPr>
                <w:rFonts w:hint="eastAsia" w:ascii="宋体" w:hAnsi="宋体" w:cs="宋体"/>
                <w:szCs w:val="21"/>
              </w:rPr>
            </w:pPr>
            <w:r>
              <w:rPr>
                <w:rFonts w:hint="eastAsia" w:ascii="宋体" w:hAnsi="宋体" w:cs="宋体"/>
                <w:szCs w:val="21"/>
              </w:rPr>
              <w:t>由评标委员会计算评标基准价：</w:t>
            </w:r>
          </w:p>
          <w:p>
            <w:pPr>
              <w:spacing w:line="400" w:lineRule="exact"/>
              <w:ind w:firstLine="420" w:firstLineChars="200"/>
              <w:rPr>
                <w:rFonts w:hint="eastAsia" w:ascii="宋体" w:hAnsi="宋体" w:cs="宋体"/>
                <w:szCs w:val="21"/>
              </w:rPr>
            </w:pPr>
            <w:r>
              <w:rPr>
                <w:rFonts w:hint="eastAsia" w:ascii="宋体" w:hAnsi="宋体" w:cs="宋体"/>
                <w:szCs w:val="21"/>
              </w:rPr>
              <w:t>（1）评标价的确定：评标价＝投标函文字报价</w:t>
            </w:r>
          </w:p>
          <w:p>
            <w:pPr>
              <w:spacing w:line="400" w:lineRule="exact"/>
              <w:ind w:firstLine="420" w:firstLineChars="200"/>
              <w:rPr>
                <w:rFonts w:hint="eastAsia" w:ascii="宋体" w:hAnsi="宋体" w:cs="宋体"/>
                <w:szCs w:val="21"/>
              </w:rPr>
            </w:pPr>
            <w:r>
              <w:rPr>
                <w:rFonts w:hint="eastAsia" w:ascii="宋体" w:hAnsi="宋体" w:cs="宋体"/>
                <w:szCs w:val="21"/>
              </w:rPr>
              <w:t>（2）评标基准价的确定：</w:t>
            </w:r>
          </w:p>
          <w:p>
            <w:pPr>
              <w:spacing w:line="400" w:lineRule="exact"/>
              <w:ind w:firstLine="420" w:firstLineChars="200"/>
              <w:rPr>
                <w:rFonts w:hint="eastAsia" w:ascii="宋体" w:hAnsi="宋体" w:cs="宋体"/>
                <w:szCs w:val="21"/>
              </w:rPr>
            </w:pPr>
            <w:r>
              <w:rPr>
                <w:rFonts w:hint="eastAsia" w:ascii="宋体" w:hAnsi="宋体" w:cs="宋体"/>
                <w:szCs w:val="21"/>
              </w:rPr>
              <w:t>通过初步评审的投标报价为有效报价，将有效报价（若有效报价高于6家（不含），则在所有有效报价中去掉一个最高价和一个最低价，不足6家则不去掉）计算算术平均值A1。作为评标基准价。</w:t>
            </w:r>
          </w:p>
          <w:p>
            <w:pPr>
              <w:spacing w:line="400" w:lineRule="exact"/>
              <w:ind w:firstLine="420" w:firstLineChars="200"/>
              <w:rPr>
                <w:rFonts w:ascii="宋体" w:hAnsi="宋体" w:cs="宋体"/>
                <w:szCs w:val="21"/>
              </w:rPr>
            </w:pPr>
            <w:r>
              <w:rPr>
                <w:rFonts w:hint="eastAsia" w:ascii="宋体" w:hAnsi="宋体" w:cs="宋体"/>
                <w:szCs w:val="21"/>
              </w:rPr>
              <w:t>注：评标基准价以元为单位，保留2位小数，按四舍五入原则进行。确认后的评标基准价在本次整个招投标期间保持不变，不随后续评审的报价人数量发生变化。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偏差率计算</w:t>
            </w:r>
          </w:p>
        </w:tc>
        <w:tc>
          <w:tcPr>
            <w:tcW w:w="5928" w:type="dxa"/>
            <w:vAlign w:val="top"/>
          </w:tcPr>
          <w:p>
            <w:pPr>
              <w:spacing w:line="400" w:lineRule="exact"/>
              <w:ind w:firstLine="420" w:firstLineChars="200"/>
              <w:rPr>
                <w:rFonts w:ascii="宋体" w:hAnsi="宋体" w:cs="宋体"/>
                <w:szCs w:val="21"/>
              </w:rPr>
            </w:pPr>
            <w:r>
              <w:rPr>
                <w:rFonts w:hint="eastAsia" w:ascii="宋体" w:hAnsi="宋体" w:cs="宋体"/>
                <w:szCs w:val="21"/>
              </w:rPr>
              <w:t>偏差率计算公式 偏差率=100％×（投标人报价一评标基准价</w:t>
            </w:r>
            <w:r>
              <w:rPr>
                <w:rFonts w:hint="eastAsia" w:ascii="宋体" w:hAnsi="宋体" w:cs="宋体"/>
                <w:szCs w:val="21"/>
                <w:lang w:val="en-US" w:eastAsia="zh-CN"/>
              </w:rPr>
              <w:t>A1</w:t>
            </w:r>
            <w:r>
              <w:rPr>
                <w:rFonts w:hint="eastAsia" w:ascii="宋体" w:hAnsi="宋体" w:cs="宋体"/>
                <w:szCs w:val="21"/>
              </w:rPr>
              <w:t>）／评标基准价</w:t>
            </w:r>
            <w:r>
              <w:rPr>
                <w:rFonts w:hint="eastAsia" w:ascii="宋体" w:hAnsi="宋体" w:cs="宋体"/>
                <w:szCs w:val="21"/>
                <w:lang w:val="en-US" w:eastAsia="zh-CN"/>
              </w:rPr>
              <w:t>A1</w:t>
            </w:r>
          </w:p>
          <w:p>
            <w:pPr>
              <w:spacing w:line="400" w:lineRule="exact"/>
              <w:ind w:firstLine="420" w:firstLineChars="200"/>
              <w:rPr>
                <w:rFonts w:ascii="宋体" w:hAnsi="宋体" w:cs="宋体"/>
                <w:szCs w:val="21"/>
              </w:rPr>
            </w:pPr>
            <w:r>
              <w:rPr>
                <w:rFonts w:hint="eastAsia" w:ascii="宋体" w:hAnsi="宋体" w:cs="宋体"/>
                <w:szCs w:val="21"/>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928" w:type="dxa"/>
            <w:vAlign w:val="top"/>
          </w:tcPr>
          <w:p>
            <w:pPr>
              <w:spacing w:line="400" w:lineRule="exact"/>
              <w:ind w:firstLine="420" w:firstLineChars="200"/>
              <w:rPr>
                <w:rFonts w:hint="eastAsia" w:ascii="宋体" w:hAnsi="宋体" w:cs="宋体"/>
                <w:szCs w:val="21"/>
                <w:lang w:eastAsia="zh-CN"/>
              </w:rPr>
            </w:pPr>
            <w:r>
              <w:rPr>
                <w:rFonts w:hint="eastAsia" w:ascii="宋体" w:hAnsi="宋体" w:cs="宋体"/>
                <w:szCs w:val="21"/>
                <w:lang w:eastAsia="zh-CN"/>
              </w:rPr>
              <w:t>所有有效投标报价分别与评标基准价相比较，等于基准价得</w:t>
            </w:r>
            <w:r>
              <w:rPr>
                <w:rFonts w:hint="eastAsia" w:ascii="宋体" w:hAnsi="宋体" w:cs="宋体"/>
                <w:szCs w:val="21"/>
                <w:lang w:val="en-US" w:eastAsia="zh-CN"/>
              </w:rPr>
              <w:t>7</w:t>
            </w:r>
            <w:r>
              <w:rPr>
                <w:rFonts w:hint="eastAsia" w:ascii="宋体" w:hAnsi="宋体" w:cs="宋体"/>
                <w:szCs w:val="21"/>
                <w:lang w:eastAsia="zh-CN"/>
              </w:rPr>
              <w:t>0分，每增加1%扣0.</w:t>
            </w:r>
            <w:r>
              <w:rPr>
                <w:rFonts w:hint="eastAsia" w:ascii="宋体" w:hAnsi="宋体" w:cs="宋体"/>
                <w:szCs w:val="21"/>
                <w:lang w:val="en-US" w:eastAsia="zh-CN"/>
              </w:rPr>
              <w:t>5</w:t>
            </w:r>
            <w:r>
              <w:rPr>
                <w:rFonts w:hint="eastAsia" w:ascii="宋体" w:hAnsi="宋体" w:cs="宋体"/>
                <w:szCs w:val="21"/>
                <w:lang w:eastAsia="zh-CN"/>
              </w:rPr>
              <w:t>分；每减少1%扣0.</w:t>
            </w:r>
            <w:r>
              <w:rPr>
                <w:rFonts w:hint="eastAsia" w:ascii="宋体" w:hAnsi="宋体" w:cs="宋体"/>
                <w:szCs w:val="21"/>
                <w:lang w:val="en-US" w:eastAsia="zh-CN"/>
              </w:rPr>
              <w:t>2</w:t>
            </w:r>
            <w:r>
              <w:rPr>
                <w:rFonts w:hint="eastAsia" w:ascii="宋体" w:hAnsi="宋体" w:cs="宋体"/>
                <w:szCs w:val="21"/>
                <w:lang w:eastAsia="zh-CN"/>
              </w:rPr>
              <w:t>分，扣完为止。按插入法计算得分。</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以上计算取小数点后两位，第三位四舍五入。（</w:t>
            </w:r>
            <w:r>
              <w:rPr>
                <w:rFonts w:hint="eastAsia" w:ascii="宋体" w:hAnsi="宋体" w:cs="宋体"/>
                <w:szCs w:val="21"/>
                <w:lang w:val="en-US" w:eastAsia="zh-CN"/>
              </w:rPr>
              <w:t>线性计分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分）</w:t>
            </w:r>
          </w:p>
        </w:tc>
        <w:tc>
          <w:tcPr>
            <w:tcW w:w="2022" w:type="dxa"/>
            <w:vAlign w:val="center"/>
          </w:tcPr>
          <w:p>
            <w:pPr>
              <w:snapToGrid w:val="0"/>
              <w:spacing w:line="400" w:lineRule="exact"/>
              <w:rPr>
                <w:rFonts w:hint="eastAsia" w:ascii="宋体" w:hAnsi="宋体" w:eastAsia="宋体" w:cs="宋体"/>
                <w:szCs w:val="21"/>
                <w:highlight w:val="none"/>
                <w:lang w:eastAsia="zh-CN"/>
              </w:rPr>
            </w:pPr>
            <w:r>
              <w:rPr>
                <w:rFonts w:hint="eastAsia" w:ascii="宋体" w:hAnsi="宋体" w:cs="宋体"/>
                <w:szCs w:val="21"/>
              </w:rPr>
              <w:t>服务能力（</w:t>
            </w:r>
            <w:r>
              <w:rPr>
                <w:rFonts w:hint="eastAsia" w:ascii="宋体" w:hAnsi="宋体" w:cs="宋体"/>
                <w:szCs w:val="21"/>
                <w:lang w:val="en-US" w:eastAsia="zh-CN"/>
              </w:rPr>
              <w:t>6</w:t>
            </w:r>
            <w:r>
              <w:rPr>
                <w:rFonts w:hint="eastAsia" w:ascii="宋体" w:hAnsi="宋体" w:cs="宋体"/>
                <w:szCs w:val="21"/>
              </w:rPr>
              <w:t>分）</w:t>
            </w:r>
          </w:p>
        </w:tc>
        <w:tc>
          <w:tcPr>
            <w:tcW w:w="5928" w:type="dxa"/>
            <w:vAlign w:val="center"/>
          </w:tcPr>
          <w:p>
            <w:pPr>
              <w:pStyle w:val="41"/>
              <w:numPr>
                <w:ilvl w:val="0"/>
                <w:numId w:val="5"/>
              </w:numPr>
              <w:spacing w:line="400" w:lineRule="exact"/>
              <w:ind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投标人项目团队人员3人及以上，需为报价人自有员工，提供2023年</w:t>
            </w:r>
            <w:r>
              <w:rPr>
                <w:rFonts w:hint="eastAsia" w:hAnsi="宋体" w:eastAsia="宋体" w:cs="宋体"/>
                <w:kern w:val="2"/>
                <w:sz w:val="21"/>
                <w:szCs w:val="21"/>
                <w:lang w:val="en-US" w:eastAsia="zh-CN" w:bidi="ar-SA"/>
              </w:rPr>
              <w:t>7</w:t>
            </w:r>
            <w:r>
              <w:rPr>
                <w:rFonts w:hint="eastAsia" w:ascii="宋体" w:hAnsi="宋体" w:eastAsia="宋体" w:cs="宋体"/>
                <w:kern w:val="2"/>
                <w:sz w:val="21"/>
                <w:szCs w:val="21"/>
                <w:lang w:val="en-US" w:eastAsia="zh-CN" w:bidi="ar-SA"/>
              </w:rPr>
              <w:t>月至9月</w:t>
            </w:r>
            <w:r>
              <w:rPr>
                <w:rFonts w:hint="eastAsia" w:hAnsi="宋体" w:eastAsia="宋体" w:cs="宋体"/>
                <w:kern w:val="2"/>
                <w:sz w:val="21"/>
                <w:szCs w:val="21"/>
                <w:lang w:val="en-US" w:eastAsia="zh-CN" w:bidi="ar-SA"/>
              </w:rPr>
              <w:t>连续</w:t>
            </w:r>
            <w:r>
              <w:rPr>
                <w:rFonts w:hint="eastAsia" w:ascii="宋体" w:hAnsi="宋体" w:eastAsia="宋体" w:cs="宋体"/>
                <w:kern w:val="2"/>
                <w:sz w:val="21"/>
                <w:szCs w:val="21"/>
                <w:lang w:val="en-US" w:eastAsia="zh-CN" w:bidi="ar-SA"/>
              </w:rPr>
              <w:t>三个月社保证明材料（提供的养老保险参保证明须体现上述人员的姓名、身份证号或社保号、单位名称、本单位参保时间或起始参保时间，并带有社保部门公章或社保部门的有效电子印章）得2分，满分2分。</w:t>
            </w:r>
          </w:p>
          <w:p>
            <w:pPr>
              <w:pStyle w:val="41"/>
              <w:numPr>
                <w:ilvl w:val="0"/>
                <w:numId w:val="5"/>
              </w:numPr>
              <w:spacing w:line="400" w:lineRule="exact"/>
              <w:ind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项目团队</w:t>
            </w:r>
            <w:r>
              <w:rPr>
                <w:rFonts w:hint="default" w:ascii="宋体" w:hAnsi="宋体" w:eastAsia="宋体" w:cs="宋体"/>
                <w:kern w:val="2"/>
                <w:sz w:val="21"/>
                <w:szCs w:val="21"/>
                <w:lang w:val="en-US" w:eastAsia="zh-CN" w:bidi="ar-SA"/>
              </w:rPr>
              <w:t>负责人具有土木工程专业博士毕业证书</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主要从事边坡稳定性研究，得2分，满分2分。</w:t>
            </w:r>
          </w:p>
          <w:p>
            <w:pPr>
              <w:pStyle w:val="41"/>
              <w:numPr>
                <w:ilvl w:val="0"/>
                <w:numId w:val="5"/>
              </w:numPr>
              <w:spacing w:line="400" w:lineRule="exact"/>
              <w:ind w:firstLine="420" w:firstLineChars="200"/>
              <w:rPr>
                <w:rFonts w:hint="eastAsia" w:ascii="宋体" w:hAnsi="宋体" w:eastAsia="宋体" w:cs="宋体"/>
                <w:szCs w:val="21"/>
                <w:lang w:eastAsia="zh-CN"/>
              </w:rPr>
            </w:pPr>
            <w:r>
              <w:rPr>
                <w:rFonts w:hint="default" w:ascii="宋体" w:hAnsi="宋体" w:eastAsia="宋体" w:cs="宋体"/>
                <w:kern w:val="2"/>
                <w:sz w:val="21"/>
                <w:szCs w:val="21"/>
                <w:lang w:val="en-US" w:eastAsia="zh-CN" w:bidi="ar-SA"/>
              </w:rPr>
              <w:t>项目团队</w:t>
            </w:r>
            <w:r>
              <w:rPr>
                <w:rFonts w:hint="eastAsia" w:ascii="宋体" w:hAnsi="宋体" w:eastAsia="宋体" w:cs="宋体"/>
                <w:kern w:val="2"/>
                <w:sz w:val="21"/>
                <w:szCs w:val="21"/>
                <w:lang w:val="en-US" w:eastAsia="zh-CN" w:bidi="ar-SA"/>
              </w:rPr>
              <w:t>获得高级工程师及以上职称证书</w:t>
            </w:r>
            <w:r>
              <w:rPr>
                <w:rFonts w:hint="default" w:ascii="宋体" w:hAnsi="宋体" w:eastAsia="宋体" w:cs="宋体"/>
                <w:kern w:val="2"/>
                <w:sz w:val="21"/>
                <w:szCs w:val="21"/>
                <w:lang w:val="en-US" w:eastAsia="zh-CN" w:bidi="ar-SA"/>
              </w:rPr>
              <w:t>人员有</w:t>
            </w:r>
            <w:r>
              <w:rPr>
                <w:rFonts w:hint="eastAsia" w:hAnsi="宋体" w:eastAsia="宋体" w:cs="宋体"/>
                <w:kern w:val="2"/>
                <w:sz w:val="21"/>
                <w:szCs w:val="21"/>
                <w:lang w:val="en-US" w:eastAsia="zh-CN" w:bidi="ar-SA"/>
              </w:rPr>
              <w:t>1</w:t>
            </w:r>
            <w:r>
              <w:rPr>
                <w:rFonts w:hint="default" w:ascii="宋体" w:hAnsi="宋体" w:eastAsia="宋体" w:cs="宋体"/>
                <w:kern w:val="2"/>
                <w:sz w:val="21"/>
                <w:szCs w:val="21"/>
                <w:lang w:val="en-US" w:eastAsia="zh-CN" w:bidi="ar-SA"/>
              </w:rPr>
              <w:t>人及以上得2分，</w:t>
            </w:r>
            <w:r>
              <w:rPr>
                <w:rFonts w:hint="eastAsia" w:ascii="宋体" w:hAnsi="宋体" w:eastAsia="宋体" w:cs="宋体"/>
                <w:kern w:val="2"/>
                <w:sz w:val="21"/>
                <w:szCs w:val="21"/>
                <w:lang w:val="en-US" w:eastAsia="zh-CN" w:bidi="ar-SA"/>
              </w:rPr>
              <w:t>满分</w:t>
            </w:r>
            <w:r>
              <w:rPr>
                <w:rFonts w:hint="default"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分。</w:t>
            </w:r>
          </w:p>
          <w:p>
            <w:pPr>
              <w:pStyle w:val="41"/>
              <w:numPr>
                <w:ilvl w:val="0"/>
                <w:numId w:val="0"/>
              </w:numPr>
              <w:spacing w:line="400" w:lineRule="exact"/>
              <w:ind w:firstLine="422" w:firstLineChars="200"/>
              <w:rPr>
                <w:rFonts w:hint="eastAsia" w:ascii="宋体" w:hAnsi="宋体" w:eastAsia="宋体" w:cs="宋体"/>
                <w:szCs w:val="21"/>
                <w:lang w:eastAsia="zh-CN"/>
              </w:rPr>
            </w:pPr>
            <w:r>
              <w:rPr>
                <w:rFonts w:hint="eastAsia" w:ascii="Times New Roman" w:hAnsi="Times New Roman" w:eastAsia="宋体" w:cs="Times New Roman"/>
                <w:b/>
                <w:bCs/>
                <w:color w:val="auto"/>
                <w:kern w:val="2"/>
                <w:sz w:val="21"/>
                <w:szCs w:val="24"/>
                <w:lang w:val="en-US" w:eastAsia="zh-CN" w:bidi="ar-SA"/>
              </w:rPr>
              <w:t>注：提供</w:t>
            </w:r>
            <w:r>
              <w:rPr>
                <w:rFonts w:hint="eastAsia" w:ascii="Times New Roman" w:eastAsia="宋体" w:cs="Times New Roman"/>
                <w:b/>
                <w:bCs/>
                <w:color w:val="auto"/>
                <w:kern w:val="2"/>
                <w:sz w:val="21"/>
                <w:szCs w:val="24"/>
                <w:lang w:val="en-US" w:eastAsia="zh-CN" w:bidi="ar-SA"/>
              </w:rPr>
              <w:t>相应证书</w:t>
            </w:r>
            <w:r>
              <w:rPr>
                <w:rFonts w:hint="eastAsia" w:ascii="Times New Roman" w:hAnsi="Times New Roman" w:eastAsia="宋体" w:cs="Times New Roman"/>
                <w:b/>
                <w:bCs/>
                <w:color w:val="auto"/>
                <w:kern w:val="2"/>
                <w:sz w:val="21"/>
                <w:szCs w:val="24"/>
                <w:lang w:val="en-US" w:eastAsia="zh-CN" w:bidi="ar-SA"/>
              </w:rPr>
              <w:t>复印件或扫描件（加盖单位鲜公章）。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pPr>
              <w:spacing w:line="320" w:lineRule="exact"/>
              <w:rPr>
                <w:rFonts w:hint="eastAsia" w:asciiTheme="minorEastAsia" w:hAnsiTheme="minorEastAsia" w:eastAsiaTheme="minorEastAsia" w:cstheme="minorEastAsia"/>
                <w:szCs w:val="21"/>
              </w:rPr>
            </w:pPr>
          </w:p>
        </w:tc>
        <w:tc>
          <w:tcPr>
            <w:tcW w:w="2022" w:type="dxa"/>
            <w:vAlign w:val="center"/>
          </w:tcPr>
          <w:p>
            <w:pPr>
              <w:snapToGrid w:val="0"/>
              <w:spacing w:line="400" w:lineRule="exact"/>
              <w:rPr>
                <w:rFonts w:hint="eastAsia" w:ascii="宋体" w:hAnsi="宋体" w:eastAsia="宋体" w:cs="宋体"/>
                <w:szCs w:val="21"/>
                <w:highlight w:val="none"/>
                <w:lang w:eastAsia="zh-CN"/>
              </w:rPr>
            </w:pPr>
            <w:r>
              <w:rPr>
                <w:rFonts w:hint="eastAsia" w:ascii="宋体" w:hAnsi="宋体" w:cs="宋体"/>
                <w:szCs w:val="21"/>
              </w:rPr>
              <w:t>相关业绩（</w:t>
            </w:r>
            <w:r>
              <w:rPr>
                <w:rFonts w:hint="eastAsia" w:ascii="宋体" w:hAnsi="宋体" w:cs="宋体"/>
                <w:szCs w:val="21"/>
                <w:lang w:val="en-US" w:eastAsia="zh-CN"/>
              </w:rPr>
              <w:t>4</w:t>
            </w:r>
            <w:r>
              <w:rPr>
                <w:rFonts w:hint="eastAsia" w:ascii="宋体" w:hAnsi="宋体" w:cs="宋体"/>
                <w:szCs w:val="21"/>
              </w:rPr>
              <w:t>分）</w:t>
            </w:r>
          </w:p>
        </w:tc>
        <w:tc>
          <w:tcPr>
            <w:tcW w:w="5928" w:type="dxa"/>
            <w:vAlign w:val="center"/>
          </w:tcPr>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报价人在2020年1月1日至报价截止日期每增加一项合同金额20万元及以上的信息化服务合同业绩得2分，满分4分。</w:t>
            </w:r>
          </w:p>
          <w:p>
            <w:pPr>
              <w:pStyle w:val="6"/>
              <w:spacing w:before="0" w:after="0" w:line="400" w:lineRule="exact"/>
              <w:ind w:firstLine="422" w:firstLineChars="200"/>
              <w:rPr>
                <w:rFonts w:hint="eastAsia" w:ascii="宋体" w:hAnsi="宋体" w:eastAsia="宋体" w:cs="宋体"/>
                <w:szCs w:val="21"/>
                <w:lang w:val="en-US" w:eastAsia="zh-CN"/>
              </w:rPr>
            </w:pPr>
            <w:r>
              <w:rPr>
                <w:rFonts w:hint="eastAsia" w:ascii="Times New Roman" w:hAnsi="Times New Roman" w:eastAsia="宋体" w:cs="Times New Roman"/>
                <w:color w:val="auto"/>
                <w:kern w:val="2"/>
                <w:sz w:val="21"/>
                <w:szCs w:val="24"/>
                <w:lang w:val="en-US" w:eastAsia="zh-CN" w:bidi="ar-SA"/>
              </w:rPr>
              <w:t>注：提供合同（合同需清晰反映上述业绩要求的主要内容，包括但不限于合同签订时间、合同金额及工作内容）复印件或扫描件。若合同中无法体现上述内容的，则还需提供业主出具的业绩证明材料（加盖业主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0分）</w:t>
            </w:r>
          </w:p>
        </w:tc>
        <w:tc>
          <w:tcPr>
            <w:tcW w:w="2022" w:type="dxa"/>
            <w:vAlign w:val="center"/>
          </w:tcPr>
          <w:p>
            <w:pPr>
              <w:widowControl/>
              <w:spacing w:before="156" w:line="400" w:lineRule="exact"/>
              <w:jc w:val="left"/>
              <w:rPr>
                <w:rFonts w:hint="eastAsia" w:ascii="宋体" w:hAnsi="宋体" w:eastAsia="宋体" w:cs="宋体"/>
                <w:szCs w:val="21"/>
                <w:lang w:val="en-US" w:eastAsia="zh-CN"/>
              </w:rPr>
            </w:pPr>
            <w:r>
              <w:rPr>
                <w:rFonts w:hint="eastAsia" w:ascii="宋体" w:hAnsi="宋体" w:cs="宋体"/>
                <w:szCs w:val="21"/>
              </w:rPr>
              <w:t>技术参数（</w:t>
            </w:r>
            <w:r>
              <w:rPr>
                <w:rFonts w:hint="eastAsia" w:ascii="宋体" w:hAnsi="宋体" w:cs="宋体"/>
                <w:szCs w:val="21"/>
                <w:lang w:val="en-US" w:eastAsia="zh-CN"/>
              </w:rPr>
              <w:t>10</w:t>
            </w:r>
            <w:r>
              <w:rPr>
                <w:rFonts w:hint="eastAsia" w:ascii="宋体" w:hAnsi="宋体" w:cs="宋体"/>
                <w:szCs w:val="21"/>
              </w:rPr>
              <w:t>分）</w:t>
            </w:r>
          </w:p>
        </w:tc>
        <w:tc>
          <w:tcPr>
            <w:tcW w:w="5928" w:type="dxa"/>
            <w:vAlign w:val="top"/>
          </w:tcPr>
          <w:p>
            <w:pPr>
              <w:pStyle w:val="170"/>
              <w:adjustRightInd w:val="0"/>
              <w:snapToGrid w:val="0"/>
              <w:spacing w:before="156"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按照第六章技术标准和工作要求（二、技术要求）进行响应评审：</w:t>
            </w:r>
          </w:p>
          <w:p>
            <w:pPr>
              <w:pStyle w:val="170"/>
              <w:numPr>
                <w:ilvl w:val="0"/>
                <w:numId w:val="6"/>
              </w:numPr>
              <w:adjustRightInd w:val="0"/>
              <w:snapToGrid w:val="0"/>
              <w:spacing w:before="156"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★条款(三维数值建模，应力及变形分析，稳定性方法代码实现)其中任意一条不满足该项得0分；</w:t>
            </w:r>
          </w:p>
          <w:p>
            <w:pPr>
              <w:pStyle w:val="170"/>
              <w:numPr>
                <w:ilvl w:val="0"/>
                <w:numId w:val="6"/>
              </w:numPr>
              <w:adjustRightInd w:val="0"/>
              <w:snapToGrid w:val="0"/>
              <w:spacing w:before="156"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其他技术条款每一项要求不满足即扣1分，技术要求满足度总分10分，扣完为止。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898" w:type="dxa"/>
            <w:vMerge w:val="continue"/>
            <w:vAlign w:val="center"/>
          </w:tcPr>
          <w:p>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pPr>
              <w:spacing w:line="320" w:lineRule="exact"/>
              <w:jc w:val="center"/>
              <w:rPr>
                <w:rFonts w:hint="eastAsia" w:asciiTheme="minorEastAsia" w:hAnsiTheme="minorEastAsia" w:eastAsiaTheme="minorEastAsia" w:cstheme="minorEastAsia"/>
                <w:szCs w:val="21"/>
              </w:rPr>
            </w:pPr>
          </w:p>
        </w:tc>
        <w:tc>
          <w:tcPr>
            <w:tcW w:w="2022" w:type="dxa"/>
            <w:vAlign w:val="center"/>
          </w:tcPr>
          <w:p>
            <w:pPr>
              <w:widowControl/>
              <w:spacing w:before="156" w:line="400" w:lineRule="exact"/>
              <w:jc w:val="left"/>
              <w:rPr>
                <w:rFonts w:hint="eastAsia" w:ascii="宋体" w:hAnsi="宋体" w:eastAsia="宋体" w:cs="宋体"/>
                <w:szCs w:val="21"/>
                <w:lang w:val="en-US" w:eastAsia="zh-CN"/>
              </w:rPr>
            </w:pPr>
            <w:r>
              <w:rPr>
                <w:rFonts w:hint="eastAsia" w:ascii="宋体" w:hAnsi="宋体" w:cs="宋体"/>
                <w:szCs w:val="21"/>
              </w:rPr>
              <w:t>实施方案 （</w:t>
            </w:r>
            <w:r>
              <w:rPr>
                <w:rFonts w:hint="eastAsia" w:ascii="宋体" w:hAnsi="宋体" w:cs="宋体"/>
                <w:szCs w:val="21"/>
                <w:lang w:val="en-US" w:eastAsia="zh-CN"/>
              </w:rPr>
              <w:t>10</w:t>
            </w:r>
            <w:r>
              <w:rPr>
                <w:rFonts w:hint="eastAsia" w:ascii="宋体" w:hAnsi="宋体" w:cs="宋体"/>
                <w:szCs w:val="21"/>
              </w:rPr>
              <w:t>分）</w:t>
            </w:r>
          </w:p>
        </w:tc>
        <w:tc>
          <w:tcPr>
            <w:tcW w:w="5928" w:type="dxa"/>
            <w:vAlign w:val="top"/>
          </w:tcPr>
          <w:p>
            <w:pPr>
              <w:pStyle w:val="170"/>
              <w:adjustRightInd w:val="0"/>
              <w:snapToGrid w:val="0"/>
              <w:spacing w:before="156"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对本项目理解清晰，各项功能描述全面，业务流程明确、可操作性强。建设目标的计划目标、实施路径和措施保障工作的理解程度评分</w:t>
            </w:r>
          </w:p>
          <w:p>
            <w:pPr>
              <w:spacing w:before="156" w:line="400" w:lineRule="exact"/>
              <w:ind w:firstLine="48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综合比较打分：</w:t>
            </w:r>
          </w:p>
          <w:p>
            <w:pPr>
              <w:numPr>
                <w:ilvl w:val="0"/>
                <w:numId w:val="7"/>
              </w:numPr>
              <w:spacing w:before="156" w:line="400" w:lineRule="exact"/>
              <w:ind w:firstLine="48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方案描述清晰、完整，可操作性强得10-8分；</w:t>
            </w:r>
          </w:p>
          <w:p>
            <w:pPr>
              <w:numPr>
                <w:ilvl w:val="0"/>
                <w:numId w:val="7"/>
              </w:numPr>
              <w:spacing w:before="156" w:line="400" w:lineRule="exact"/>
              <w:ind w:firstLine="48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方案描述较清晰、较完整，可操作性较强得8-6分；</w:t>
            </w:r>
          </w:p>
          <w:p>
            <w:pPr>
              <w:numPr>
                <w:ilvl w:val="0"/>
                <w:numId w:val="7"/>
              </w:numPr>
              <w:spacing w:before="156" w:line="400" w:lineRule="exact"/>
              <w:ind w:firstLine="48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方案描述不够清晰，不够完整得6-0分。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928" w:type="dxa"/>
            <w:vAlign w:val="center"/>
          </w:tcPr>
          <w:p>
            <w:pPr>
              <w:pStyle w:val="168"/>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pPr>
              <w:pStyle w:val="168"/>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pPr>
              <w:pStyle w:val="168"/>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pPr>
              <w:pStyle w:val="168"/>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pPr>
              <w:pStyle w:val="168"/>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投标人不足三个的，评标委员会应当否决所有投标。但是有效投标人的经济、技术等指标仍然具有市场竞争力，能够满足采购文件要求的，评标委员会可以继续评标并确定中标候选人。 </w:t>
            </w:r>
          </w:p>
          <w:p>
            <w:pPr>
              <w:pStyle w:val="168"/>
              <w:spacing w:before="47" w:line="320" w:lineRule="exact"/>
              <w:ind w:left="119" w:firstLine="420"/>
              <w:rPr>
                <w:rFonts w:ascii="宋体" w:hAnsi="宋体" w:cs="宋体"/>
                <w:szCs w:val="21"/>
              </w:rPr>
            </w:pPr>
            <w:r>
              <w:rPr>
                <w:rFonts w:hint="eastAsia" w:ascii="宋体" w:hAnsi="宋体" w:cs="宋体"/>
                <w:szCs w:val="21"/>
              </w:rPr>
              <w:t xml:space="preserve">6.对技术部分、商务部分、投标总报价得分进行汇总，确定得分由高至低前2名投标人为中标候选人。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投标人得分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投标人得分=投标报价得分+商务部分得分+技术部分得分</w:t>
            </w:r>
          </w:p>
        </w:tc>
      </w:tr>
    </w:tbl>
    <w:p>
      <w:pPr>
        <w:pStyle w:val="9"/>
        <w:spacing w:line="418" w:lineRule="exact"/>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pPr>
        <w:pStyle w:val="2"/>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低顺序推荐中标候选人，若出现投标人投标报价相同的，以评标办法前附表约定的原则确定排序。 </w:t>
      </w:r>
    </w:p>
    <w:p>
      <w:pPr>
        <w:pStyle w:val="9"/>
        <w:spacing w:before="56"/>
        <w:rPr>
          <w:rFonts w:ascii="宋体" w:hAnsi="宋体" w:eastAsia="宋体" w:cs="宋体"/>
          <w:kern w:val="2"/>
          <w:sz w:val="21"/>
          <w:szCs w:val="21"/>
        </w:rPr>
      </w:pPr>
      <w:bookmarkStart w:id="138" w:name="2._评审标准"/>
      <w:bookmarkEnd w:id="138"/>
      <w:r>
        <w:rPr>
          <w:rFonts w:hint="eastAsia" w:ascii="宋体" w:hAnsi="宋体" w:eastAsia="宋体" w:cs="宋体"/>
          <w:kern w:val="2"/>
          <w:sz w:val="21"/>
          <w:szCs w:val="21"/>
        </w:rPr>
        <w:t xml:space="preserve">2. 评审标准 </w:t>
      </w:r>
    </w:p>
    <w:p>
      <w:pPr>
        <w:spacing w:before="156"/>
        <w:ind w:left="106"/>
        <w:rPr>
          <w:rFonts w:ascii="宋体" w:hAnsi="宋体" w:cs="宋体"/>
          <w:szCs w:val="21"/>
        </w:rPr>
      </w:pPr>
      <w:bookmarkStart w:id="139" w:name="2.1_初步评审标准"/>
      <w:bookmarkEnd w:id="139"/>
      <w:r>
        <w:rPr>
          <w:rFonts w:hint="eastAsia" w:ascii="宋体" w:hAnsi="宋体" w:cs="宋体"/>
          <w:szCs w:val="21"/>
        </w:rPr>
        <w:t xml:space="preserve">2.1 初步评审标准 </w:t>
      </w:r>
    </w:p>
    <w:p>
      <w:pPr>
        <w:pStyle w:val="2"/>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pPr>
        <w:rPr>
          <w:rFonts w:ascii="宋体" w:hAnsi="宋体" w:cs="宋体"/>
          <w:caps/>
          <w:szCs w:val="21"/>
        </w:rPr>
      </w:pPr>
    </w:p>
    <w:p>
      <w:pPr>
        <w:ind w:left="106"/>
        <w:rPr>
          <w:rFonts w:ascii="宋体" w:hAnsi="宋体" w:cs="宋体"/>
          <w:caps/>
          <w:szCs w:val="21"/>
        </w:rPr>
      </w:pPr>
      <w:bookmarkStart w:id="140" w:name="2.2_分值构成与评分标准"/>
      <w:bookmarkEnd w:id="140"/>
      <w:r>
        <w:rPr>
          <w:rFonts w:hint="eastAsia" w:ascii="宋体" w:hAnsi="宋体" w:cs="宋体"/>
          <w:caps/>
          <w:szCs w:val="21"/>
        </w:rPr>
        <w:t xml:space="preserve">2.2 分值构成与评分标准 </w:t>
      </w:r>
    </w:p>
    <w:p>
      <w:pPr>
        <w:pStyle w:val="2"/>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pPr>
        <w:pStyle w:val="2"/>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（1）技术部分评分标准：见评标办法前附表；（对于施工难度大、专业技术复杂的项目，应由招标人会同设计单位提出技术方案方案编写要点，作为评分标准）。 </w:t>
      </w:r>
    </w:p>
    <w:p>
      <w:pPr>
        <w:pStyle w:val="2"/>
        <w:spacing w:before="19"/>
        <w:ind w:left="647"/>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pPr>
        <w:pStyle w:val="2"/>
        <w:spacing w:before="130" w:line="360" w:lineRule="auto"/>
        <w:ind w:left="647" w:right="2891"/>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pPr>
        <w:pStyle w:val="9"/>
        <w:spacing w:before="54"/>
        <w:rPr>
          <w:rFonts w:ascii="宋体" w:hAnsi="宋体" w:eastAsia="宋体" w:cs="宋体"/>
          <w:caps/>
          <w:kern w:val="2"/>
          <w:sz w:val="21"/>
          <w:szCs w:val="21"/>
        </w:rPr>
      </w:pPr>
      <w:bookmarkStart w:id="141" w:name="3._评标程序"/>
      <w:bookmarkEnd w:id="141"/>
      <w:r>
        <w:rPr>
          <w:rFonts w:hint="eastAsia" w:ascii="宋体" w:hAnsi="宋体" w:eastAsia="宋体" w:cs="宋体"/>
          <w:caps/>
          <w:kern w:val="2"/>
          <w:sz w:val="21"/>
          <w:szCs w:val="21"/>
        </w:rPr>
        <w:t xml:space="preserve">3. 评标程序 </w:t>
      </w:r>
    </w:p>
    <w:p>
      <w:pPr>
        <w:spacing w:before="157"/>
        <w:ind w:left="106"/>
        <w:rPr>
          <w:rFonts w:ascii="宋体" w:hAnsi="宋体" w:cs="宋体"/>
          <w:caps/>
          <w:szCs w:val="21"/>
        </w:rPr>
      </w:pPr>
      <w:bookmarkStart w:id="142" w:name="3.1_初步评审"/>
      <w:bookmarkEnd w:id="142"/>
      <w:r>
        <w:rPr>
          <w:rFonts w:hint="eastAsia" w:ascii="宋体" w:hAnsi="宋体" w:cs="宋体"/>
          <w:caps/>
          <w:szCs w:val="21"/>
        </w:rPr>
        <w:t xml:space="preserve">3.1 初步评审 </w:t>
      </w:r>
    </w:p>
    <w:p>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pPr>
        <w:pStyle w:val="2"/>
        <w:spacing w:before="32"/>
        <w:ind w:left="526"/>
        <w:rPr>
          <w:rFonts w:ascii="宋体" w:hAnsi="宋体" w:cs="宋体"/>
          <w:caps/>
          <w:kern w:val="2"/>
          <w:sz w:val="21"/>
          <w:szCs w:val="21"/>
        </w:rPr>
      </w:pPr>
      <w:r>
        <w:rPr>
          <w:rFonts w:hint="eastAsia" w:ascii="宋体" w:hAnsi="宋体" w:cs="宋体"/>
          <w:caps/>
          <w:kern w:val="2"/>
          <w:sz w:val="21"/>
          <w:szCs w:val="21"/>
        </w:rPr>
        <w:t xml:space="preserve">3.1.2 投标人有以下情形之一的，其投标作否决投标处理： </w:t>
      </w:r>
    </w:p>
    <w:p>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（1）第二章“投标人须知”第1.4.3项规定的任何一种情形的；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pPr>
        <w:pStyle w:val="2"/>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投标报价有算术错误的，评标委员会按以下原则对投标报价进行修正，修正的价格经投标人 书面确认后具有约束力，修正原则如下： </w:t>
      </w:r>
    </w:p>
    <w:p>
      <w:pPr>
        <w:pStyle w:val="2"/>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pPr>
        <w:pStyle w:val="2"/>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pPr>
        <w:spacing w:before="169"/>
        <w:ind w:left="106"/>
        <w:rPr>
          <w:rFonts w:ascii="宋体" w:hAnsi="宋体" w:cs="宋体"/>
          <w:caps/>
          <w:szCs w:val="21"/>
        </w:rPr>
      </w:pPr>
      <w:bookmarkStart w:id="143" w:name="3.2_详细评审"/>
      <w:bookmarkEnd w:id="143"/>
      <w:r>
        <w:rPr>
          <w:rFonts w:hint="eastAsia" w:ascii="宋体" w:hAnsi="宋体" w:cs="宋体"/>
          <w:caps/>
          <w:szCs w:val="21"/>
        </w:rPr>
        <w:t xml:space="preserve">3.2 详细评审 </w:t>
      </w:r>
    </w:p>
    <w:p>
      <w:pPr>
        <w:pStyle w:val="2"/>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pPr>
        <w:pStyle w:val="2"/>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（1）按本章第3.3目规定的评审因素和分值对技术部分计算出得分A（所有评委打分中去掉一个最高和一个最低分，余下评委打分取算术平均值为该投标人技术部分得分。） </w:t>
      </w:r>
    </w:p>
    <w:p>
      <w:pPr>
        <w:pStyle w:val="2"/>
        <w:spacing w:before="19"/>
        <w:ind w:left="526"/>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3.2.3  投标人得分=A+B+C。 </w:t>
      </w:r>
    </w:p>
    <w:p>
      <w:pPr>
        <w:spacing w:before="1"/>
        <w:rPr>
          <w:rFonts w:ascii="宋体" w:hAnsi="宋体" w:cs="宋体"/>
          <w:caps/>
          <w:szCs w:val="21"/>
        </w:rPr>
      </w:pPr>
    </w:p>
    <w:p>
      <w:pPr>
        <w:ind w:left="106"/>
        <w:rPr>
          <w:rFonts w:ascii="宋体" w:hAnsi="宋体" w:cs="宋体"/>
          <w:caps/>
          <w:szCs w:val="21"/>
        </w:rPr>
      </w:pPr>
      <w:bookmarkStart w:id="144" w:name="3.3_投标文件的澄清和补正"/>
      <w:bookmarkEnd w:id="144"/>
      <w:r>
        <w:rPr>
          <w:rFonts w:hint="eastAsia" w:ascii="宋体" w:hAnsi="宋体" w:cs="宋体"/>
          <w:caps/>
          <w:szCs w:val="21"/>
        </w:rPr>
        <w:t xml:space="preserve">3.3 投标文件的澄清和补正 </w:t>
      </w:r>
    </w:p>
    <w:p>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在评标过程中，评标委员会可以书面形式要求投标人对所提交投标文件中不明确的内容进行 书面澄清或说明，或者对细微偏差进行补正。评标委员会不接受投标人主动提出的澄清、说明或补正。 </w:t>
      </w:r>
    </w:p>
    <w:p>
      <w:pPr>
        <w:pStyle w:val="2"/>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澄清、说明和补正不得改变投标文件的实质性内容（算术性错误修正的除外）。投标人的书 面澄清、说明和补正属于投标文件的组成部分。 </w:t>
      </w:r>
    </w:p>
    <w:p>
      <w:pPr>
        <w:pStyle w:val="2"/>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评标委员会对投标人提交的澄清、说明或补正有疑问的，可以要求投标人进一步澄清、说明或补正，直至满足评标委员会的要求。 </w:t>
      </w:r>
    </w:p>
    <w:p>
      <w:pPr>
        <w:spacing w:before="68"/>
        <w:ind w:left="106"/>
        <w:rPr>
          <w:rFonts w:ascii="宋体" w:hAnsi="宋体" w:cs="宋体"/>
          <w:caps/>
          <w:szCs w:val="21"/>
        </w:rPr>
      </w:pPr>
      <w:bookmarkStart w:id="145" w:name="3.4_评标结果"/>
      <w:bookmarkEnd w:id="145"/>
      <w:r>
        <w:rPr>
          <w:rFonts w:hint="eastAsia" w:ascii="宋体" w:hAnsi="宋体" w:cs="宋体"/>
          <w:caps/>
          <w:szCs w:val="21"/>
        </w:rPr>
        <w:t xml:space="preserve">3.4 评标结果 </w:t>
      </w:r>
    </w:p>
    <w:p>
      <w:pPr>
        <w:pStyle w:val="2"/>
        <w:spacing w:before="76" w:line="355" w:lineRule="auto"/>
        <w:ind w:firstLine="420"/>
        <w:rPr>
          <w:rFonts w:hint="eastAsia" w:ascii="宋体" w:hAnsi="宋体" w:cs="宋体"/>
          <w:caps/>
          <w:kern w:val="2"/>
          <w:sz w:val="21"/>
          <w:szCs w:val="21"/>
        </w:rPr>
      </w:pPr>
      <w:r>
        <w:rPr>
          <w:rFonts w:hint="eastAsia" w:ascii="宋体" w:hAnsi="宋体" w:cs="宋体"/>
          <w:caps/>
          <w:kern w:val="2"/>
          <w:sz w:val="21"/>
          <w:szCs w:val="21"/>
        </w:rPr>
        <w:t xml:space="preserve">3.4.1 除第二章“投标人须知”前附表授权直接确定中标人外，评标委员会按照得分由高到低的顺 序推荐中标候选人。 </w:t>
      </w:r>
    </w:p>
    <w:p>
      <w:pPr>
        <w:pStyle w:val="2"/>
        <w:spacing w:before="76" w:line="355" w:lineRule="auto"/>
        <w:ind w:firstLine="420"/>
        <w:jc w:val="both"/>
        <w:rPr>
          <w:rFonts w:hint="eastAsia" w:ascii="宋体" w:hAnsi="宋体" w:cs="宋体"/>
          <w:b w:val="0"/>
          <w:bCs w:val="0"/>
          <w:sz w:val="21"/>
          <w:szCs w:val="21"/>
        </w:rPr>
      </w:pPr>
      <w:r>
        <w:rPr>
          <w:rFonts w:hint="eastAsia" w:ascii="宋体" w:hAnsi="宋体" w:cs="宋体"/>
          <w:b w:val="0"/>
          <w:bCs w:val="0"/>
          <w:sz w:val="21"/>
          <w:szCs w:val="21"/>
        </w:rPr>
        <w:t>3.4.2 评标委员会完成评标后，应当向招标人提交书面评标报告。</w:t>
      </w:r>
    </w:p>
    <w:p>
      <w:pPr>
        <w:pStyle w:val="2"/>
        <w:spacing w:before="76" w:line="355" w:lineRule="auto"/>
        <w:ind w:firstLine="420"/>
        <w:jc w:val="center"/>
      </w:pPr>
      <w:r>
        <w:rPr>
          <w:rFonts w:hint="eastAsia" w:ascii="宋体" w:hAnsi="宋体" w:cs="宋体"/>
          <w:b w:val="0"/>
          <w:bCs w:val="0"/>
          <w:sz w:val="21"/>
          <w:szCs w:val="21"/>
        </w:rPr>
        <w:t xml:space="preserve"> </w:t>
      </w:r>
      <w:r>
        <w:rPr>
          <w:rFonts w:hint="eastAsia"/>
        </w:rPr>
        <w:br w:type="page"/>
      </w:r>
      <w:bookmarkStart w:id="146" w:name="_Toc32568"/>
      <w:r>
        <w:rPr>
          <w:rStyle w:val="82"/>
          <w:rFonts w:hint="eastAsia"/>
          <w:b/>
          <w:bCs/>
        </w:rPr>
        <w:t>第四章 报价说明</w:t>
      </w:r>
      <w:bookmarkEnd w:id="146"/>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等完成本项目的一切费用人工费、材料设备及采管费和二次转运费</w:t>
      </w:r>
      <w:r>
        <w:rPr>
          <w:rFonts w:hint="eastAsia" w:ascii="宋体" w:hAnsi="宋体" w:cs="宋体"/>
          <w:b w:val="0"/>
          <w:bCs w:val="0"/>
          <w:sz w:val="21"/>
          <w:szCs w:val="21"/>
          <w:lang w:eastAsia="zh-CN"/>
        </w:rPr>
        <w:t>、</w:t>
      </w:r>
      <w:r>
        <w:rPr>
          <w:rFonts w:hint="eastAsia" w:ascii="宋体" w:hAnsi="宋体" w:cs="宋体"/>
          <w:b w:val="0"/>
          <w:bCs w:val="0"/>
          <w:sz w:val="21"/>
          <w:szCs w:val="21"/>
        </w:rPr>
        <w:t>安装和</w:t>
      </w:r>
      <w:r>
        <w:rPr>
          <w:rFonts w:hint="eastAsia" w:ascii="宋体" w:hAnsi="宋体" w:cs="宋体"/>
          <w:b w:val="0"/>
          <w:bCs w:val="0"/>
          <w:sz w:val="21"/>
          <w:szCs w:val="21"/>
          <w:lang w:val="en-US" w:eastAsia="zh-CN"/>
        </w:rPr>
        <w:t>配合</w:t>
      </w:r>
      <w:r>
        <w:rPr>
          <w:rFonts w:hint="eastAsia" w:ascii="宋体" w:hAnsi="宋体" w:cs="宋体"/>
          <w:b w:val="0"/>
          <w:bCs w:val="0"/>
          <w:sz w:val="21"/>
          <w:szCs w:val="21"/>
        </w:rPr>
        <w:t>调试费。</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3</w:t>
      </w:r>
      <w:r>
        <w:rPr>
          <w:rFonts w:hint="eastAsia" w:ascii="宋体" w:hAnsi="宋体" w:cs="宋体"/>
          <w:b w:val="0"/>
          <w:bCs w:val="0"/>
          <w:sz w:val="21"/>
          <w:szCs w:val="21"/>
        </w:rPr>
        <w:t>、工程量清单中所列工程数量是估算的数量，仅作为报价的共同基础，不能作为最终结算与支付的依据。实际支付应按实际完成的工程量*工程量清单的单价来计算支付金额。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cs="宋体"/>
          <w:b w:val="0"/>
          <w:bCs w:val="0"/>
          <w:sz w:val="21"/>
          <w:szCs w:val="21"/>
        </w:rPr>
        <w:t>、工程量清单中所列工程量的变动，丝毫不会降低或影响合同条款的效力，也不免除报价人按规定的标准进行施工和修复缺陷的责任。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cs="宋体"/>
          <w:b w:val="0"/>
          <w:bCs w:val="0"/>
          <w:sz w:val="21"/>
          <w:szCs w:val="21"/>
        </w:rPr>
        <w:t>、报价中的单价和合价全部以人民币（元）表示。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7</w:t>
      </w:r>
      <w:r>
        <w:rPr>
          <w:rFonts w:hint="eastAsia" w:ascii="宋体" w:hAnsi="宋体" w:cs="宋体"/>
          <w:b w:val="0"/>
          <w:bCs w:val="0"/>
          <w:sz w:val="21"/>
          <w:szCs w:val="21"/>
        </w:rPr>
        <w:t>、合同为单价合同，合同期间不予调价。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8</w:t>
      </w:r>
      <w:r>
        <w:rPr>
          <w:rFonts w:hint="eastAsia" w:ascii="宋体" w:hAnsi="宋体" w:cs="宋体"/>
          <w:b w:val="0"/>
          <w:bCs w:val="0"/>
          <w:sz w:val="21"/>
          <w:szCs w:val="21"/>
        </w:rPr>
        <w:t>、报价人应严格按照工程量清单进行报价，不得随意修改采购人发布的工程量清单数量、公式及相关内容。</w:t>
      </w:r>
    </w:p>
    <w:p>
      <w:p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szCs w:val="21"/>
        </w:rPr>
        <w:t xml:space="preserve">   </w:t>
      </w:r>
      <w:r>
        <w:rPr>
          <w:rFonts w:hint="eastAsia" w:ascii="宋体" w:hAnsi="宋体" w:cs="宋体"/>
          <w:szCs w:val="21"/>
          <w:lang w:val="en-US" w:eastAsia="zh-CN"/>
        </w:rPr>
        <w:t>9</w:t>
      </w:r>
      <w:r>
        <w:rPr>
          <w:rFonts w:hint="eastAsia" w:ascii="宋体" w:hAnsi="宋体" w:cs="宋体"/>
          <w:szCs w:val="21"/>
        </w:rPr>
        <w:t>、若报价人未按要求填写工程量清单，将按废标处理。</w:t>
      </w:r>
    </w:p>
    <w:p>
      <w:pPr>
        <w:pStyle w:val="3"/>
        <w:spacing w:before="0" w:after="0" w:line="360" w:lineRule="auto"/>
        <w:jc w:val="center"/>
        <w:rPr>
          <w:rFonts w:ascii="宋体" w:hAnsi="宋体" w:cs="宋体"/>
        </w:rPr>
      </w:pPr>
      <w:bookmarkStart w:id="147" w:name="_Toc247085855"/>
      <w:bookmarkStart w:id="148" w:name="_Toc152042554"/>
      <w:bookmarkStart w:id="149" w:name="_Toc10838"/>
      <w:bookmarkStart w:id="150" w:name="_Toc246997083"/>
      <w:bookmarkStart w:id="151" w:name="_Toc152045772"/>
      <w:bookmarkStart w:id="152" w:name="_Toc246996340"/>
      <w:bookmarkStart w:id="153" w:name="_Toc2000409"/>
      <w:bookmarkStart w:id="154" w:name="_Toc144974834"/>
      <w:bookmarkStart w:id="155" w:name="_Toc514858705"/>
      <w:bookmarkStart w:id="156" w:name="_Toc179632789"/>
      <w:bookmarkStart w:id="157" w:name="_Toc144974855"/>
      <w:bookmarkStart w:id="158" w:name="_Toc179632806"/>
      <w:bookmarkStart w:id="159" w:name="_Toc246997097"/>
      <w:bookmarkStart w:id="160" w:name="_Toc246996354"/>
      <w:bookmarkStart w:id="161" w:name="_Toc152045786"/>
      <w:bookmarkStart w:id="162" w:name="_Toc247085872"/>
      <w:bookmarkStart w:id="163" w:name="_Toc152042575"/>
      <w:r>
        <w:rPr>
          <w:rFonts w:hint="eastAsia" w:ascii="宋体" w:hAnsi="宋体" w:cs="宋体"/>
        </w:rPr>
        <w:t>第五章  工程量清单</w:t>
      </w:r>
      <w:bookmarkEnd w:id="147"/>
      <w:bookmarkEnd w:id="148"/>
      <w:bookmarkEnd w:id="149"/>
      <w:bookmarkEnd w:id="150"/>
      <w:bookmarkEnd w:id="151"/>
      <w:bookmarkEnd w:id="152"/>
      <w:bookmarkEnd w:id="153"/>
      <w:bookmarkEnd w:id="154"/>
      <w:bookmarkEnd w:id="155"/>
      <w:bookmarkEnd w:id="156"/>
    </w:p>
    <w:tbl>
      <w:tblPr>
        <w:tblStyle w:val="43"/>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4"/>
        <w:gridCol w:w="2693"/>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834" w:type="dxa"/>
            <w:noWrap w:val="0"/>
            <w:vAlign w:val="center"/>
          </w:tcPr>
          <w:p>
            <w:pPr>
              <w:widowControl/>
              <w:jc w:val="center"/>
              <w:textAlignment w:val="top"/>
              <w:rPr>
                <w:rFonts w:ascii="宋体" w:hAnsi="宋体" w:cs="宋体"/>
                <w:b/>
                <w:bCs/>
                <w:szCs w:val="22"/>
              </w:rPr>
            </w:pPr>
            <w:bookmarkStart w:id="164" w:name="_Toc246997093"/>
            <w:bookmarkStart w:id="165" w:name="_Toc447827048"/>
            <w:bookmarkStart w:id="166" w:name="_Toc514858706"/>
            <w:bookmarkStart w:id="167" w:name="_Toc144974851"/>
            <w:bookmarkStart w:id="168" w:name="_Toc513633963"/>
            <w:bookmarkStart w:id="169" w:name="_Toc179632800"/>
            <w:bookmarkStart w:id="170" w:name="_Toc152042571"/>
            <w:bookmarkStart w:id="171" w:name="_Toc247096438"/>
            <w:bookmarkStart w:id="172" w:name="_Toc2000410"/>
            <w:bookmarkStart w:id="173" w:name="_Toc247085866"/>
            <w:bookmarkStart w:id="174" w:name="_Toc152045782"/>
            <w:bookmarkStart w:id="175" w:name="_Toc246996350"/>
            <w:bookmarkStart w:id="176" w:name="_Toc503951042"/>
            <w:r>
              <w:rPr>
                <w:rFonts w:hint="eastAsia" w:ascii="宋体" w:hAnsi="宋体" w:cs="宋体"/>
                <w:b/>
                <w:bCs/>
                <w:color w:val="000000"/>
                <w:kern w:val="0"/>
                <w:szCs w:val="21"/>
                <w:lang w:bidi="ar"/>
              </w:rPr>
              <w:t>项目名称</w:t>
            </w:r>
          </w:p>
        </w:tc>
        <w:tc>
          <w:tcPr>
            <w:tcW w:w="2693" w:type="dxa"/>
            <w:noWrap w:val="0"/>
            <w:vAlign w:val="center"/>
          </w:tcPr>
          <w:p>
            <w:pPr>
              <w:widowControl/>
              <w:jc w:val="center"/>
              <w:textAlignment w:val="top"/>
              <w:rPr>
                <w:rFonts w:ascii="宋体" w:hAnsi="宋体" w:cs="宋体"/>
                <w:b/>
                <w:bCs/>
                <w:szCs w:val="22"/>
              </w:rPr>
            </w:pPr>
            <w:r>
              <w:rPr>
                <w:rFonts w:hint="eastAsia" w:ascii="宋体" w:hAnsi="宋体" w:cs="宋体"/>
                <w:b/>
                <w:bCs/>
                <w:color w:val="000000"/>
                <w:kern w:val="0"/>
                <w:szCs w:val="21"/>
                <w:lang w:bidi="ar"/>
              </w:rPr>
              <w:t>报价（元）</w:t>
            </w:r>
          </w:p>
        </w:tc>
        <w:tc>
          <w:tcPr>
            <w:tcW w:w="1972" w:type="dxa"/>
            <w:noWrap w:val="0"/>
            <w:vAlign w:val="center"/>
          </w:tcPr>
          <w:p>
            <w:pPr>
              <w:widowControl/>
              <w:jc w:val="center"/>
              <w:textAlignment w:val="top"/>
              <w:rPr>
                <w:rFonts w:ascii="宋体" w:hAnsi="宋体" w:cs="宋体"/>
                <w:b/>
                <w:bCs/>
                <w:szCs w:val="22"/>
              </w:rPr>
            </w:pPr>
            <w:r>
              <w:rPr>
                <w:rFonts w:hint="eastAsia" w:ascii="宋体" w:hAnsi="宋体" w:cs="宋体"/>
                <w:b/>
                <w:bCs/>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834" w:type="dxa"/>
            <w:noWrap w:val="0"/>
            <w:vAlign w:val="center"/>
          </w:tcPr>
          <w:p>
            <w:pPr>
              <w:widowControl/>
              <w:jc w:val="center"/>
              <w:textAlignment w:val="center"/>
              <w:rPr>
                <w:rFonts w:hint="default" w:ascii="宋体" w:hAnsi="宋体" w:eastAsia="宋体" w:cs="宋体"/>
                <w:szCs w:val="22"/>
                <w:highlight w:val="none"/>
                <w:lang w:val="en-US" w:eastAsia="zh-CN"/>
              </w:rPr>
            </w:pPr>
            <w:r>
              <w:rPr>
                <w:rFonts w:hint="eastAsia" w:ascii="宋体" w:hAnsi="宋体" w:cs="宋体"/>
                <w:color w:val="000000"/>
                <w:kern w:val="0"/>
                <w:szCs w:val="21"/>
                <w:highlight w:val="none"/>
                <w:lang w:val="en-US" w:eastAsia="zh-CN" w:bidi="ar"/>
              </w:rPr>
              <w:t>6处边坡地质灾害资料搜集，并综合分析</w:t>
            </w:r>
          </w:p>
        </w:tc>
        <w:tc>
          <w:tcPr>
            <w:tcW w:w="2693" w:type="dxa"/>
            <w:noWrap w:val="0"/>
            <w:vAlign w:val="center"/>
          </w:tcPr>
          <w:p>
            <w:pPr>
              <w:jc w:val="center"/>
              <w:rPr>
                <w:rFonts w:hint="default" w:ascii="宋体" w:hAnsi="宋体" w:eastAsia="宋体" w:cs="宋体"/>
                <w:szCs w:val="22"/>
                <w:highlight w:val="yellow"/>
                <w:lang w:val="en-US" w:eastAsia="zh-CN"/>
              </w:rPr>
            </w:pPr>
          </w:p>
        </w:tc>
        <w:tc>
          <w:tcPr>
            <w:tcW w:w="1972" w:type="dxa"/>
            <w:noWrap w:val="0"/>
            <w:vAlign w:val="center"/>
          </w:tcPr>
          <w:p>
            <w:pPr>
              <w:jc w:val="center"/>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834" w:type="dxa"/>
            <w:noWrap w:val="0"/>
            <w:vAlign w:val="center"/>
          </w:tcPr>
          <w:p>
            <w:pPr>
              <w:widowControl/>
              <w:jc w:val="center"/>
              <w:textAlignment w:val="center"/>
              <w:rPr>
                <w:rFonts w:hint="default" w:ascii="宋体" w:hAnsi="宋体" w:eastAsia="宋体" w:cs="宋体"/>
                <w:szCs w:val="22"/>
                <w:highlight w:val="none"/>
                <w:lang w:val="en-US" w:eastAsia="zh-CN"/>
              </w:rPr>
            </w:pPr>
            <w:bookmarkStart w:id="177" w:name="_Toc29704"/>
            <w:r>
              <w:rPr>
                <w:rFonts w:hint="eastAsia" w:ascii="宋体" w:hAnsi="宋体" w:cs="宋体"/>
                <w:color w:val="000000"/>
                <w:kern w:val="0"/>
                <w:szCs w:val="21"/>
                <w:highlight w:val="none"/>
                <w:lang w:val="en-US" w:eastAsia="zh-CN" w:bidi="ar"/>
              </w:rPr>
              <w:t>构建单体边坡风险评价体系，并三维数值建模代码实现</w:t>
            </w:r>
          </w:p>
        </w:tc>
        <w:tc>
          <w:tcPr>
            <w:tcW w:w="2693" w:type="dxa"/>
            <w:noWrap w:val="0"/>
            <w:vAlign w:val="center"/>
          </w:tcPr>
          <w:p>
            <w:pPr>
              <w:jc w:val="center"/>
              <w:rPr>
                <w:rFonts w:hint="default" w:ascii="宋体" w:hAnsi="宋体" w:eastAsia="宋体" w:cs="宋体"/>
                <w:szCs w:val="22"/>
                <w:highlight w:val="yellow"/>
                <w:lang w:val="en-US" w:eastAsia="zh-CN"/>
              </w:rPr>
            </w:pPr>
          </w:p>
        </w:tc>
        <w:tc>
          <w:tcPr>
            <w:tcW w:w="1972" w:type="dxa"/>
            <w:noWrap w:val="0"/>
            <w:vAlign w:val="center"/>
          </w:tcPr>
          <w:p>
            <w:pPr>
              <w:jc w:val="center"/>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834" w:type="dxa"/>
            <w:noWrap w:val="0"/>
            <w:vAlign w:val="center"/>
          </w:tcPr>
          <w:p>
            <w:pPr>
              <w:widowControl/>
              <w:jc w:val="center"/>
              <w:textAlignment w:val="center"/>
              <w:rPr>
                <w:rFonts w:hint="default" w:ascii="宋体" w:hAnsi="宋体" w:eastAsia="宋体" w:cs="宋体"/>
                <w:szCs w:val="22"/>
                <w:highlight w:val="none"/>
                <w:lang w:val="en-US" w:eastAsia="zh-CN"/>
              </w:rPr>
            </w:pPr>
            <w:r>
              <w:rPr>
                <w:rFonts w:hint="eastAsia" w:ascii="宋体" w:hAnsi="宋体" w:cs="宋体"/>
                <w:color w:val="000000"/>
                <w:kern w:val="0"/>
                <w:szCs w:val="21"/>
                <w:highlight w:val="none"/>
                <w:lang w:val="en-US" w:eastAsia="zh-CN" w:bidi="ar"/>
              </w:rPr>
              <w:t>边坡风险三维数值分析报告编制，缺陷责任期内持续优化模型</w:t>
            </w:r>
          </w:p>
        </w:tc>
        <w:tc>
          <w:tcPr>
            <w:tcW w:w="2693" w:type="dxa"/>
            <w:noWrap w:val="0"/>
            <w:vAlign w:val="center"/>
          </w:tcPr>
          <w:p>
            <w:pPr>
              <w:jc w:val="center"/>
              <w:rPr>
                <w:rFonts w:hint="default" w:ascii="宋体" w:hAnsi="宋体" w:eastAsia="宋体" w:cs="宋体"/>
                <w:szCs w:val="22"/>
                <w:highlight w:val="yellow"/>
                <w:lang w:val="en-US" w:eastAsia="zh-CN"/>
              </w:rPr>
            </w:pPr>
          </w:p>
        </w:tc>
        <w:tc>
          <w:tcPr>
            <w:tcW w:w="1972" w:type="dxa"/>
            <w:noWrap w:val="0"/>
            <w:vAlign w:val="center"/>
          </w:tcPr>
          <w:p>
            <w:pPr>
              <w:jc w:val="center"/>
              <w:rPr>
                <w:rFonts w:hint="eastAsia" w:ascii="宋体" w:hAnsi="宋体" w:cs="宋体"/>
                <w:szCs w:val="22"/>
              </w:rPr>
            </w:pPr>
          </w:p>
        </w:tc>
      </w:tr>
      <w:bookmarkEnd w:id="1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834" w:type="dxa"/>
            <w:noWrap w:val="0"/>
            <w:vAlign w:val="center"/>
          </w:tcPr>
          <w:p>
            <w:pPr>
              <w:widowControl/>
              <w:jc w:val="center"/>
              <w:textAlignment w:val="top"/>
              <w:rPr>
                <w:rFonts w:ascii="宋体" w:hAnsi="宋体" w:cs="宋体"/>
                <w:b/>
                <w:bCs/>
                <w:szCs w:val="22"/>
              </w:rPr>
            </w:pPr>
            <w:r>
              <w:rPr>
                <w:rFonts w:hint="eastAsia" w:ascii="宋体" w:hAnsi="宋体" w:cs="宋体"/>
                <w:b/>
                <w:bCs/>
                <w:color w:val="000000"/>
                <w:kern w:val="0"/>
                <w:szCs w:val="21"/>
                <w:lang w:bidi="ar"/>
              </w:rPr>
              <w:t>报价合计</w:t>
            </w:r>
          </w:p>
        </w:tc>
        <w:tc>
          <w:tcPr>
            <w:tcW w:w="2693" w:type="dxa"/>
            <w:noWrap w:val="0"/>
            <w:vAlign w:val="center"/>
          </w:tcPr>
          <w:p>
            <w:pPr>
              <w:jc w:val="center"/>
              <w:rPr>
                <w:rFonts w:hint="default" w:ascii="宋体" w:hAnsi="宋体" w:eastAsia="宋体" w:cs="宋体"/>
                <w:b/>
                <w:bCs/>
                <w:szCs w:val="22"/>
                <w:highlight w:val="yellow"/>
                <w:lang w:val="en-US" w:eastAsia="zh-CN"/>
              </w:rPr>
            </w:pPr>
          </w:p>
        </w:tc>
        <w:tc>
          <w:tcPr>
            <w:tcW w:w="1972" w:type="dxa"/>
            <w:noWrap w:val="0"/>
            <w:vAlign w:val="center"/>
          </w:tcPr>
          <w:p>
            <w:pPr>
              <w:jc w:val="center"/>
              <w:rPr>
                <w:rFonts w:hint="eastAsia" w:ascii="宋体" w:hAnsi="宋体" w:cs="宋体"/>
                <w:b/>
                <w:bCs/>
                <w:szCs w:val="22"/>
              </w:rPr>
            </w:pPr>
          </w:p>
        </w:tc>
      </w:tr>
    </w:tbl>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2"/>
        <w:rPr>
          <w:rFonts w:hint="eastAsia" w:ascii="宋体" w:hAnsi="宋体" w:cs="宋体"/>
          <w:b/>
          <w:color w:val="000000" w:themeColor="text1"/>
          <w:kern w:val="0"/>
          <w:sz w:val="24"/>
          <w14:textFill>
            <w14:solidFill>
              <w14:schemeClr w14:val="tx1"/>
            </w14:solidFill>
          </w14:textFill>
        </w:rPr>
      </w:pPr>
    </w:p>
    <w:p>
      <w:pPr>
        <w:rPr>
          <w:rFonts w:hint="eastAsia" w:ascii="宋体" w:hAnsi="宋体" w:cs="宋体"/>
          <w:b/>
          <w:color w:val="000000" w:themeColor="text1"/>
          <w:kern w:val="0"/>
          <w:sz w:val="24"/>
          <w14:textFill>
            <w14:solidFill>
              <w14:schemeClr w14:val="tx1"/>
            </w14:solidFill>
          </w14:textFill>
        </w:rPr>
      </w:pPr>
    </w:p>
    <w:p>
      <w:pPr>
        <w:pStyle w:val="3"/>
        <w:spacing w:before="0" w:after="0" w:line="360" w:lineRule="auto"/>
        <w:jc w:val="center"/>
        <w:rPr>
          <w:rFonts w:ascii="宋体" w:hAnsi="宋体" w:cs="宋体"/>
        </w:rPr>
      </w:pPr>
      <w:bookmarkStart w:id="178" w:name="_Toc2064"/>
      <w:r>
        <w:rPr>
          <w:rFonts w:hint="eastAsia" w:ascii="宋体" w:hAnsi="宋体" w:cs="宋体"/>
        </w:rPr>
        <w:t>第六章  图  纸</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8"/>
    </w:p>
    <w:p>
      <w:pPr>
        <w:pStyle w:val="28"/>
        <w:spacing w:line="380" w:lineRule="exact"/>
        <w:ind w:firstLine="420" w:firstLineChars="200"/>
        <w:rPr>
          <w:rFonts w:hint="eastAsia" w:ascii="宋体" w:hAnsi="宋体" w:cs="宋体"/>
          <w:b w:val="0"/>
          <w:bCs w:val="0"/>
          <w:sz w:val="21"/>
          <w:szCs w:val="21"/>
          <w:lang w:eastAsia="zh-Hans"/>
        </w:rPr>
      </w:pPr>
      <w:r>
        <w:rPr>
          <w:rFonts w:hint="eastAsia" w:ascii="宋体" w:hAnsi="宋体" w:cs="宋体"/>
          <w:b w:val="0"/>
          <w:bCs w:val="0"/>
          <w:sz w:val="21"/>
          <w:szCs w:val="21"/>
          <w:lang w:eastAsia="zh-Hans"/>
        </w:rPr>
        <w:t>一、项目概况</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1、项目背景</w:t>
      </w:r>
    </w:p>
    <w:p>
      <w:pPr>
        <w:pStyle w:val="28"/>
        <w:spacing w:line="380" w:lineRule="exact"/>
        <w:ind w:firstLine="420" w:firstLineChars="200"/>
        <w:rPr>
          <w:rFonts w:hint="eastAsia" w:ascii="宋体" w:hAnsi="宋体" w:cs="宋体"/>
          <w:b w:val="0"/>
          <w:bCs w:val="0"/>
          <w:sz w:val="21"/>
          <w:szCs w:val="21"/>
          <w:lang w:val="en-US" w:eastAsia="zh-CN"/>
        </w:rPr>
      </w:pPr>
      <w:r>
        <w:rPr>
          <w:rFonts w:hint="eastAsia" w:ascii="宋体" w:hAnsi="宋体" w:cs="宋体"/>
          <w:b w:val="0"/>
          <w:bCs w:val="0"/>
          <w:sz w:val="21"/>
          <w:szCs w:val="21"/>
        </w:rPr>
        <w:t>高速公路边坡的稳定性是确保道路安全和顺畅的关键因素。然而，由于自然环境、地质条件和人为因素等多种因素的影响，边坡失稳的问题在高速公路建设中经常出现。近年来，高速公路边坡滑坡灾害引发的事故时有发生，轻则阻断交通，重则造成重大的经济损失和人员伤亡。高速公路边坡点位分散、隐患隐蔽性强，传统的结构物监测主要由人工定期采用传统仪器到现场进行测量，且受天气、地形、人为等因素影响，操作难度、工作强度较大。边坡安全监管一直以来也成为交通执法部门及高速公路经营单位管理的难点之一</w:t>
      </w:r>
      <w:r>
        <w:rPr>
          <w:rFonts w:hint="eastAsia" w:ascii="宋体" w:hAnsi="宋体" w:cs="宋体"/>
          <w:b w:val="0"/>
          <w:bCs w:val="0"/>
          <w:sz w:val="21"/>
          <w:szCs w:val="21"/>
          <w:lang w:eastAsia="zh-CN"/>
        </w:rPr>
        <w:t>，</w:t>
      </w:r>
      <w:r>
        <w:rPr>
          <w:rFonts w:hint="eastAsia" w:ascii="宋体" w:hAnsi="宋体" w:cs="宋体"/>
          <w:b w:val="0"/>
          <w:bCs w:val="0"/>
          <w:sz w:val="21"/>
          <w:szCs w:val="21"/>
        </w:rPr>
        <w:t>因此，对高速公路边坡失稳的原因和解决方案进行研究具有重要的实际意义</w:t>
      </w:r>
      <w:r>
        <w:rPr>
          <w:rFonts w:hint="eastAsia" w:ascii="宋体" w:hAnsi="宋体" w:cs="宋体"/>
          <w:b w:val="0"/>
          <w:bCs w:val="0"/>
          <w:sz w:val="21"/>
          <w:szCs w:val="21"/>
          <w:lang w:eastAsia="zh-CN"/>
        </w:rPr>
        <w:t>。</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公路边坡</w:t>
      </w:r>
      <w:r>
        <w:rPr>
          <w:rFonts w:hint="eastAsia" w:ascii="宋体" w:hAnsi="宋体" w:cs="宋体"/>
          <w:b w:val="0"/>
          <w:bCs w:val="0"/>
          <w:sz w:val="21"/>
          <w:szCs w:val="21"/>
          <w:lang w:val="en-US" w:eastAsia="zh-CN"/>
        </w:rPr>
        <w:t>具有</w:t>
      </w:r>
      <w:r>
        <w:rPr>
          <w:rFonts w:hint="eastAsia" w:ascii="宋体" w:hAnsi="宋体" w:cs="宋体"/>
          <w:b w:val="0"/>
          <w:bCs w:val="0"/>
          <w:sz w:val="21"/>
          <w:szCs w:val="21"/>
        </w:rPr>
        <w:t>脆弱性：在自然环境和人类活动的影响下，容易发生滑坡等灾害。由于其脆弱性和复杂性，需要采取有效的监测预警措施，及时发现和应对潜在的风险。</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传统监测方法的局限性：传统的边坡监测方法主要以人工巡查和定期检测为主，存在数据准确性差、检测盲点、维护成本高等问题。因此，需要研究更加自动化、高效、经济的监测预警系统。</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监测预警技术的需求：针对公路岩质边坡的监测预警存在难以及时预警、监测费用高昂、敏感因子及部位不明等诸多问题，需要研究建立高效、经济、及时的监测预警系统。</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技术的发展与应用：随着物联网、大数据、人工智能等技术的不断发展，这些技术在公路岩质边坡监测预警领域的应用也日益广泛。这些技术的应用可以实现对边坡的全面、实时监测，提高监测的准确性和可靠性。</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因此</w:t>
      </w:r>
      <w:r>
        <w:rPr>
          <w:rFonts w:hint="eastAsia" w:ascii="宋体" w:hAnsi="宋体" w:cs="宋体"/>
          <w:b w:val="0"/>
          <w:bCs w:val="0"/>
          <w:sz w:val="21"/>
          <w:szCs w:val="21"/>
        </w:rPr>
        <w:t>，高速公路边坡监测预警主要是基于公路岩质边坡的脆弱性和复杂性，以及传统监测方法的局限性和现代技术的需求。通过研究建立高效、经济、及时的监测预警系统，可以实现对公路岩质边坡的全面、实时监测，提高其安全性和稳定性，保障道路的安全和顺畅运行。。</w:t>
      </w:r>
    </w:p>
    <w:p>
      <w:pPr>
        <w:pStyle w:val="28"/>
        <w:spacing w:line="380" w:lineRule="exact"/>
        <w:ind w:firstLine="420" w:firstLineChars="200"/>
        <w:rPr>
          <w:rFonts w:hint="eastAsia" w:ascii="宋体" w:hAnsi="宋体" w:cs="宋体"/>
          <w:b w:val="0"/>
          <w:bCs w:val="0"/>
          <w:sz w:val="21"/>
          <w:szCs w:val="21"/>
          <w:lang w:eastAsia="zh-Hans"/>
        </w:rPr>
      </w:pPr>
      <w:r>
        <w:rPr>
          <w:rFonts w:hint="eastAsia" w:ascii="宋体" w:hAnsi="宋体" w:cs="宋体"/>
          <w:b w:val="0"/>
          <w:bCs w:val="0"/>
          <w:sz w:val="21"/>
          <w:szCs w:val="21"/>
        </w:rPr>
        <w:t>2、</w:t>
      </w:r>
      <w:r>
        <w:rPr>
          <w:rFonts w:hint="eastAsia" w:ascii="宋体" w:hAnsi="宋体" w:cs="宋体"/>
          <w:b w:val="0"/>
          <w:bCs w:val="0"/>
          <w:sz w:val="21"/>
          <w:szCs w:val="21"/>
          <w:lang w:eastAsia="zh-Hans"/>
        </w:rPr>
        <w:t>项目建设原则</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1）</w:t>
      </w:r>
      <w:r>
        <w:rPr>
          <w:rFonts w:hint="eastAsia" w:ascii="宋体" w:hAnsi="宋体" w:cs="宋体"/>
          <w:b w:val="0"/>
          <w:bCs w:val="0"/>
          <w:sz w:val="21"/>
          <w:szCs w:val="21"/>
        </w:rPr>
        <w:t>实现对边坡的全面、实时监测，及时发现潜在风险和异常情况，提高边坡的安全性和稳定性。</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2）</w:t>
      </w:r>
      <w:r>
        <w:rPr>
          <w:rFonts w:hint="eastAsia" w:ascii="宋体" w:hAnsi="宋体" w:cs="宋体"/>
          <w:b w:val="0"/>
          <w:bCs w:val="0"/>
          <w:sz w:val="21"/>
          <w:szCs w:val="21"/>
        </w:rPr>
        <w:t>采用自动化技术，可以减少人工干预和错误，提高监测的准确性和可靠性。</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3）</w:t>
      </w:r>
      <w:r>
        <w:rPr>
          <w:rFonts w:hint="eastAsia" w:ascii="宋体" w:hAnsi="宋体" w:cs="宋体"/>
          <w:b w:val="0"/>
          <w:bCs w:val="0"/>
          <w:sz w:val="21"/>
          <w:szCs w:val="21"/>
        </w:rPr>
        <w:t>支持多种通信方式和数据格式，可以与现有的信息系统进行集成和数据共享。</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4）</w:t>
      </w:r>
      <w:r>
        <w:rPr>
          <w:rFonts w:hint="eastAsia" w:ascii="宋体" w:hAnsi="宋体" w:cs="宋体"/>
          <w:b w:val="0"/>
          <w:bCs w:val="0"/>
          <w:sz w:val="21"/>
          <w:szCs w:val="21"/>
        </w:rPr>
        <w:t>根据实际情况进行定制和优化，满足不同用户的需求和操作习惯。</w:t>
      </w:r>
    </w:p>
    <w:p>
      <w:pPr>
        <w:pStyle w:val="28"/>
        <w:spacing w:line="380" w:lineRule="exact"/>
        <w:ind w:firstLine="420" w:firstLineChars="200"/>
        <w:rPr>
          <w:rFonts w:hint="eastAsia" w:ascii="宋体" w:hAnsi="宋体" w:cs="宋体"/>
          <w:b w:val="0"/>
          <w:bCs w:val="0"/>
          <w:sz w:val="21"/>
          <w:szCs w:val="21"/>
          <w:lang w:eastAsia="zh-Hans"/>
        </w:rPr>
      </w:pPr>
      <w:r>
        <w:rPr>
          <w:rFonts w:hint="eastAsia" w:ascii="宋体" w:hAnsi="宋体" w:cs="宋体"/>
          <w:b w:val="0"/>
          <w:bCs w:val="0"/>
          <w:sz w:val="21"/>
          <w:szCs w:val="21"/>
          <w:lang w:eastAsia="zh-Hans"/>
        </w:rPr>
        <w:t>二、技术要求</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1、建设框架</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高速公路监测预警平台建设需要建立完善的</w:t>
      </w:r>
      <w:r>
        <w:rPr>
          <w:rFonts w:hint="eastAsia" w:ascii="宋体" w:hAnsi="宋体" w:cs="宋体"/>
          <w:b w:val="0"/>
          <w:bCs w:val="0"/>
          <w:sz w:val="21"/>
          <w:szCs w:val="21"/>
          <w:lang w:val="en-US" w:eastAsia="zh-CN"/>
        </w:rPr>
        <w:t>现场</w:t>
      </w:r>
      <w:r>
        <w:rPr>
          <w:rFonts w:hint="eastAsia" w:ascii="宋体" w:hAnsi="宋体" w:cs="宋体"/>
          <w:b w:val="0"/>
          <w:bCs w:val="0"/>
          <w:sz w:val="21"/>
          <w:szCs w:val="21"/>
        </w:rPr>
        <w:t>监测系统、引入先进的技术、建立预警模型、加强数据管理和共享、优化报警机制、加强用户培训和服务、定期评估和更新等方面进行全面考虑和规划</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以此</w:t>
      </w:r>
      <w:r>
        <w:rPr>
          <w:rFonts w:hint="eastAsia" w:ascii="宋体" w:hAnsi="宋体" w:cs="宋体"/>
          <w:b w:val="0"/>
          <w:bCs w:val="0"/>
          <w:sz w:val="21"/>
          <w:szCs w:val="21"/>
        </w:rPr>
        <w:t>提高高速公路边坡的安全性和稳定性，保障道路的安全和顺畅运行。</w:t>
      </w:r>
    </w:p>
    <w:p>
      <w:pPr>
        <w:pStyle w:val="28"/>
        <w:spacing w:line="380" w:lineRule="exact"/>
        <w:ind w:firstLine="420" w:firstLineChars="200"/>
        <w:rPr>
          <w:rFonts w:hint="eastAsia" w:ascii="宋体" w:hAnsi="宋体" w:cs="宋体"/>
          <w:b w:val="0"/>
          <w:bCs w:val="0"/>
          <w:sz w:val="21"/>
          <w:szCs w:val="21"/>
          <w:lang w:eastAsia="zh-Hans"/>
        </w:rPr>
      </w:pPr>
      <w:r>
        <w:rPr>
          <w:rFonts w:hint="eastAsia" w:ascii="宋体" w:hAnsi="宋体" w:cs="宋体"/>
          <w:b w:val="0"/>
          <w:bCs w:val="0"/>
          <w:sz w:val="21"/>
          <w:szCs w:val="21"/>
        </w:rPr>
        <w:t>2、</w:t>
      </w:r>
      <w:r>
        <w:rPr>
          <w:rFonts w:hint="eastAsia" w:ascii="宋体" w:hAnsi="宋体" w:cs="宋体"/>
          <w:b w:val="0"/>
          <w:bCs w:val="0"/>
          <w:sz w:val="21"/>
          <w:szCs w:val="21"/>
          <w:lang w:eastAsia="zh-Hans"/>
        </w:rPr>
        <w:t>技术架构</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1）建立</w:t>
      </w:r>
      <w:r>
        <w:rPr>
          <w:rFonts w:hint="eastAsia" w:ascii="宋体" w:hAnsi="宋体" w:cs="宋体"/>
          <w:b w:val="0"/>
          <w:bCs w:val="0"/>
          <w:sz w:val="21"/>
          <w:szCs w:val="21"/>
        </w:rPr>
        <w:t>感知层：通过部署多种传感器，如表面位移监测仪、深部位移监测仪、土壤含水率监测仪、土压力监测仪等，实现对边坡状态的实时监测和数据采集。</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2）建立</w:t>
      </w:r>
      <w:r>
        <w:rPr>
          <w:rFonts w:hint="eastAsia" w:ascii="宋体" w:hAnsi="宋体" w:cs="宋体"/>
          <w:b w:val="0"/>
          <w:bCs w:val="0"/>
          <w:sz w:val="21"/>
          <w:szCs w:val="21"/>
        </w:rPr>
        <w:t>网络层：利用物联网技术，将各个传感器和监测设备连接起来，实现数据的传输和信息交流。该层支持多种通信方式，如无线蜂窝网络、短信、北斗、PSTN、超短波、ZigBee等，可以根据实际情况选择合适的通信方式。</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3）建立</w:t>
      </w:r>
      <w:r>
        <w:rPr>
          <w:rFonts w:hint="eastAsia" w:ascii="宋体" w:hAnsi="宋体" w:cs="宋体"/>
          <w:b w:val="0"/>
          <w:bCs w:val="0"/>
          <w:sz w:val="21"/>
          <w:szCs w:val="21"/>
        </w:rPr>
        <w:t>数据处理层：对采集到的数据进行处理、分析和存储。该层主要包括数据清洗、异常检测、趋势分析、模型建立等功能，可以有效地发现边坡的潜在风险和异常情况。</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4）建立</w:t>
      </w:r>
      <w:r>
        <w:rPr>
          <w:rFonts w:hint="eastAsia" w:ascii="宋体" w:hAnsi="宋体" w:cs="宋体"/>
          <w:b w:val="0"/>
          <w:bCs w:val="0"/>
          <w:sz w:val="21"/>
          <w:szCs w:val="21"/>
        </w:rPr>
        <w:t>应用层：根据高速公路边坡的具体情况和监测需求，开发相应的应用软件和系统，如预警系统、控制系统等。该层可以提供实时数据展示、历史数据查询、数据分析报表等功能，方便用户对边坡状态进行全面了解和分析。。</w:t>
      </w:r>
    </w:p>
    <w:p>
      <w:pPr>
        <w:pStyle w:val="28"/>
        <w:spacing w:line="380" w:lineRule="exact"/>
        <w:ind w:firstLine="420" w:firstLineChars="200"/>
        <w:rPr>
          <w:rFonts w:hint="eastAsia" w:ascii="宋体" w:hAnsi="宋体" w:cs="宋体"/>
          <w:b w:val="0"/>
          <w:bCs w:val="0"/>
          <w:sz w:val="21"/>
          <w:szCs w:val="21"/>
          <w:lang w:eastAsia="zh-Hans"/>
        </w:rPr>
      </w:pPr>
      <w:r>
        <w:rPr>
          <w:rFonts w:hint="eastAsia" w:ascii="宋体" w:hAnsi="宋体" w:cs="宋体"/>
          <w:b w:val="0"/>
          <w:bCs w:val="0"/>
          <w:sz w:val="21"/>
          <w:szCs w:val="21"/>
        </w:rPr>
        <w:t>3、</w:t>
      </w:r>
      <w:r>
        <w:rPr>
          <w:rFonts w:hint="eastAsia" w:ascii="宋体" w:hAnsi="宋体" w:cs="宋体"/>
          <w:b w:val="0"/>
          <w:bCs w:val="0"/>
          <w:sz w:val="21"/>
          <w:szCs w:val="21"/>
          <w:lang w:eastAsia="zh-Hans"/>
        </w:rPr>
        <w:t>重点功能要求</w:t>
      </w:r>
    </w:p>
    <w:p>
      <w:pPr>
        <w:pStyle w:val="28"/>
        <w:spacing w:line="380" w:lineRule="exact"/>
        <w:ind w:firstLine="420" w:firstLineChars="20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在该项目研究过程中需开展：</w:t>
      </w:r>
    </w:p>
    <w:p>
      <w:pPr>
        <w:pStyle w:val="28"/>
        <w:spacing w:line="380" w:lineRule="exact"/>
        <w:ind w:firstLine="420" w:firstLineChars="20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全面收集某高速公路沿线重点区域地质灾害详细调查、精细化调查、区域地质、规划等各类资料，分类整理，对详查数据的完整性、准确性和规范性进行全面校核，对收集资料进行综合分析。★</w:t>
      </w:r>
    </w:p>
    <w:p>
      <w:pPr>
        <w:pStyle w:val="28"/>
        <w:spacing w:line="380" w:lineRule="exact"/>
        <w:ind w:firstLine="420" w:firstLineChars="2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高速公路沿线重点区域的三维数值建模分析，详细步骤包含重点区域边坡的三维模型搭建、确定研究区域应力及变形分布、多工况下重点研究区域稳定性分析评价、降雨等条件对研究区域稳定性的影响分析四个部分。★</w:t>
      </w:r>
    </w:p>
    <w:p>
      <w:pPr>
        <w:pStyle w:val="28"/>
        <w:spacing w:line="380" w:lineRule="exact"/>
        <w:ind w:firstLine="420" w:firstLineChars="200"/>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构建高速公路沿线重点区域典型地质灾害点的风险评价体系，以降雨为关键诱发因素，将相关方法进行代码转换</w:t>
      </w:r>
      <w:r>
        <w:rPr>
          <w:rFonts w:hint="eastAsia" w:ascii="宋体" w:hAnsi="宋体" w:cs="宋体"/>
          <w:b w:val="0"/>
          <w:bCs w:val="0"/>
          <w:sz w:val="21"/>
          <w:szCs w:val="21"/>
          <w:lang w:val="en-US" w:eastAsia="zh-CN"/>
        </w:rPr>
        <w:t>。★</w:t>
      </w:r>
    </w:p>
    <w:p>
      <w:pPr>
        <w:pStyle w:val="28"/>
        <w:spacing w:line="380" w:lineRule="exact"/>
        <w:ind w:firstLine="420" w:firstLineChars="200"/>
        <w:rPr>
          <w:rFonts w:hint="eastAsia" w:ascii="宋体" w:hAnsi="宋体" w:cs="宋体"/>
          <w:b w:val="0"/>
          <w:bCs w:val="0"/>
          <w:sz w:val="21"/>
          <w:szCs w:val="21"/>
          <w:lang w:eastAsia="zh-Hans"/>
        </w:rPr>
      </w:pPr>
      <w:r>
        <w:rPr>
          <w:rFonts w:hint="eastAsia" w:ascii="宋体" w:hAnsi="宋体" w:cs="宋体"/>
          <w:b w:val="0"/>
          <w:bCs w:val="0"/>
          <w:sz w:val="21"/>
          <w:szCs w:val="21"/>
        </w:rPr>
        <w:t>4、</w:t>
      </w:r>
      <w:r>
        <w:rPr>
          <w:rFonts w:hint="eastAsia" w:ascii="宋体" w:hAnsi="宋体" w:cs="宋体"/>
          <w:b w:val="0"/>
          <w:bCs w:val="0"/>
          <w:sz w:val="21"/>
          <w:szCs w:val="21"/>
          <w:lang w:eastAsia="zh-Hans"/>
        </w:rPr>
        <w:t>项目性能要求</w:t>
      </w:r>
    </w:p>
    <w:p>
      <w:pPr>
        <w:pStyle w:val="28"/>
        <w:spacing w:line="380" w:lineRule="exact"/>
        <w:ind w:firstLine="420" w:firstLineChars="200"/>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CN"/>
        </w:rPr>
        <w:t>（1）</w:t>
      </w:r>
      <w:r>
        <w:rPr>
          <w:rFonts w:hint="eastAsia" w:ascii="宋体" w:hAnsi="宋体" w:cs="宋体"/>
          <w:b w:val="0"/>
          <w:bCs w:val="0"/>
          <w:sz w:val="21"/>
          <w:szCs w:val="21"/>
          <w:lang w:val="en-US" w:eastAsia="zh-Hans"/>
        </w:rPr>
        <w:t>准确性：应能够准确地反映高速公路边坡的实际状态，</w:t>
      </w:r>
      <w:r>
        <w:rPr>
          <w:rFonts w:hint="eastAsia" w:ascii="宋体" w:hAnsi="宋体" w:cs="宋体"/>
          <w:b w:val="0"/>
          <w:bCs w:val="0"/>
          <w:sz w:val="21"/>
          <w:szCs w:val="21"/>
          <w:lang w:val="en-US" w:eastAsia="zh-CN"/>
        </w:rPr>
        <w:t>变形、破坏</w:t>
      </w:r>
      <w:r>
        <w:rPr>
          <w:rFonts w:hint="eastAsia" w:ascii="宋体" w:hAnsi="宋体" w:cs="宋体"/>
          <w:b w:val="0"/>
          <w:bCs w:val="0"/>
          <w:sz w:val="21"/>
          <w:szCs w:val="21"/>
          <w:lang w:val="en-US" w:eastAsia="zh-Hans"/>
        </w:rPr>
        <w:t>等信息。同时，应能够准确地识别和预测潜在的风险和异常情况。</w:t>
      </w:r>
    </w:p>
    <w:p>
      <w:pPr>
        <w:pStyle w:val="28"/>
        <w:spacing w:line="380" w:lineRule="exact"/>
        <w:ind w:firstLine="420" w:firstLineChars="200"/>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灵敏性：应具有较高的灵敏性，能够及时地响应和捕捉到边坡的微小变化，以便及时采取措施进行预警和应对。</w:t>
      </w:r>
    </w:p>
    <w:p>
      <w:pPr>
        <w:pStyle w:val="28"/>
        <w:spacing w:line="380" w:lineRule="exact"/>
        <w:ind w:firstLine="420" w:firstLineChars="200"/>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可靠性：应具有高可靠性，能够保证长时间的稳定运行，避免因数据异常或模型错误而引起的误报或漏报。</w:t>
      </w:r>
    </w:p>
    <w:p>
      <w:pPr>
        <w:pStyle w:val="28"/>
        <w:spacing w:line="380" w:lineRule="exact"/>
        <w:ind w:firstLine="420" w:firstLineChars="200"/>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稳定性：应具有高稳定性，能够抵抗各种干扰和噪声，保证监测数据的准确性和可靠性。</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Hans"/>
        </w:rPr>
        <w:t>可扩展性：应具有一定的可扩展性，能够根据业务需求和技术发展的变化进行升级和扩展，以满足未来不断增长的数据处理和监控需求。</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br w:type="page"/>
      </w:r>
      <w:bookmarkStart w:id="179" w:name="_Toc152045785"/>
      <w:bookmarkStart w:id="180" w:name="_Toc152042574"/>
      <w:bookmarkStart w:id="181" w:name="_Toc144974854"/>
    </w:p>
    <w:p>
      <w:pPr>
        <w:pStyle w:val="3"/>
        <w:spacing w:before="0" w:after="0" w:line="360" w:lineRule="auto"/>
        <w:jc w:val="center"/>
        <w:rPr>
          <w:rFonts w:ascii="宋体" w:hAnsi="宋体" w:cs="宋体"/>
        </w:rPr>
      </w:pPr>
      <w:bookmarkStart w:id="182" w:name="_Toc2000411"/>
      <w:bookmarkStart w:id="183" w:name="_Toc247085870"/>
      <w:bookmarkStart w:id="184" w:name="_Toc513633964"/>
      <w:bookmarkStart w:id="185" w:name="_Toc246997096"/>
      <w:bookmarkStart w:id="186" w:name="_Toc503951043"/>
      <w:bookmarkStart w:id="187" w:name="_Toc447827049"/>
      <w:bookmarkStart w:id="188" w:name="_Toc514858707"/>
      <w:bookmarkStart w:id="189" w:name="_Toc15316"/>
      <w:bookmarkStart w:id="190" w:name="_Toc179632804"/>
      <w:bookmarkStart w:id="191" w:name="_Toc246996353"/>
      <w:r>
        <w:rPr>
          <w:rFonts w:hint="eastAsia" w:ascii="宋体" w:hAnsi="宋体" w:cs="宋体"/>
        </w:rPr>
        <w:t>第七章  技术标准和工作要求</w:t>
      </w:r>
      <w:bookmarkEnd w:id="179"/>
      <w:bookmarkEnd w:id="180"/>
      <w:bookmarkEnd w:id="181"/>
      <w:bookmarkEnd w:id="182"/>
      <w:bookmarkEnd w:id="183"/>
      <w:bookmarkEnd w:id="184"/>
      <w:bookmarkEnd w:id="185"/>
      <w:bookmarkEnd w:id="186"/>
      <w:bookmarkEnd w:id="187"/>
      <w:bookmarkEnd w:id="188"/>
      <w:bookmarkEnd w:id="189"/>
      <w:bookmarkEnd w:id="190"/>
      <w:bookmarkEnd w:id="191"/>
    </w:p>
    <w:bookmarkEnd w:id="157"/>
    <w:bookmarkEnd w:id="158"/>
    <w:bookmarkEnd w:id="159"/>
    <w:bookmarkEnd w:id="160"/>
    <w:bookmarkEnd w:id="161"/>
    <w:bookmarkEnd w:id="162"/>
    <w:bookmarkEnd w:id="163"/>
    <w:p>
      <w:pPr>
        <w:pStyle w:val="2"/>
        <w:jc w:val="center"/>
        <w:rPr>
          <w:rFonts w:hint="default" w:ascii="宋体" w:hAnsi="宋体" w:eastAsia="宋体" w:cs="宋体"/>
          <w:b/>
          <w:kern w:val="0"/>
          <w:sz w:val="24"/>
          <w:lang w:val="en-US" w:eastAsia="zh-CN"/>
        </w:rPr>
      </w:pPr>
      <w:bookmarkStart w:id="192" w:name="_Toc513633965"/>
      <w:bookmarkStart w:id="193" w:name="_Toc152042576"/>
      <w:bookmarkStart w:id="194" w:name="_Toc246996355"/>
      <w:bookmarkStart w:id="195" w:name="_Toc247085873"/>
      <w:bookmarkStart w:id="196" w:name="_Toc179632807"/>
      <w:bookmarkStart w:id="197" w:name="_Toc507320039"/>
      <w:bookmarkStart w:id="198" w:name="_Toc152045787"/>
      <w:bookmarkStart w:id="199" w:name="_Toc246997098"/>
      <w:bookmarkStart w:id="200" w:name="_Toc144974856"/>
      <w:r>
        <w:rPr>
          <w:rFonts w:hint="eastAsia" w:ascii="宋体" w:hAnsi="宋体" w:cs="宋体"/>
          <w:b/>
          <w:kern w:val="0"/>
          <w:sz w:val="24"/>
          <w:lang w:val="en-US" w:eastAsia="zh-CN"/>
        </w:rPr>
        <w:t>同第六章</w:t>
      </w: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2"/>
        <w:rPr>
          <w:rFonts w:hint="eastAsia" w:ascii="宋体" w:hAnsi="宋体" w:cs="宋体"/>
          <w:b/>
          <w:kern w:val="0"/>
          <w:sz w:val="24"/>
        </w:rPr>
      </w:pPr>
    </w:p>
    <w:p>
      <w:pPr>
        <w:rPr>
          <w:rFonts w:hint="eastAsia" w:ascii="宋体" w:hAnsi="宋体" w:cs="宋体"/>
          <w:b/>
          <w:kern w:val="0"/>
          <w:sz w:val="24"/>
        </w:r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201" w:name="_Toc15140"/>
      <w:r>
        <w:rPr>
          <w:rFonts w:hint="eastAsia" w:ascii="宋体" w:hAnsi="宋体" w:cs="宋体"/>
          <w:color w:val="000000" w:themeColor="text1"/>
          <w14:textFill>
            <w14:solidFill>
              <w14:schemeClr w14:val="tx1"/>
            </w14:solidFill>
          </w14:textFill>
        </w:rPr>
        <w:t>第八章  合同范本</w:t>
      </w:r>
      <w:bookmarkEnd w:id="201"/>
    </w:p>
    <w:p>
      <w:pPr>
        <w:jc w:val="center"/>
        <w:rPr>
          <w:rFonts w:hint="eastAsia" w:ascii="宋体" w:hAnsi="宋体" w:cs="宋体"/>
          <w:b/>
          <w:kern w:val="0"/>
          <w:sz w:val="24"/>
        </w:rPr>
      </w:pPr>
      <w:r>
        <w:rPr>
          <w:rFonts w:hint="eastAsia" w:ascii="宋体" w:hAnsi="宋体" w:cs="宋体"/>
          <w:b/>
          <w:kern w:val="0"/>
          <w:sz w:val="24"/>
        </w:rPr>
        <w:t>详见竞争性比选文件附件。</w:t>
      </w:r>
    </w:p>
    <w:p>
      <w:pPr>
        <w:pStyle w:val="2"/>
      </w:pPr>
    </w:p>
    <w:p>
      <w:pPr>
        <w:spacing w:line="400" w:lineRule="exact"/>
        <w:ind w:firstLine="420" w:firstLineChars="200"/>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pStyle w:val="12"/>
        <w:ind w:left="0" w:leftChars="0" w:firstLine="0" w:firstLineChars="0"/>
        <w:rPr>
          <w:rFonts w:ascii="宋体" w:hAnsi="宋体" w:cs="宋体"/>
        </w:rPr>
      </w:pPr>
    </w:p>
    <w:p>
      <w:pPr>
        <w:rPr>
          <w:rFonts w:ascii="宋体" w:hAnsi="宋体" w:cs="宋体"/>
        </w:rPr>
      </w:pPr>
    </w:p>
    <w:p>
      <w:pPr>
        <w:pStyle w:val="28"/>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3"/>
        <w:spacing w:before="0" w:after="0" w:line="360" w:lineRule="auto"/>
        <w:jc w:val="center"/>
        <w:rPr>
          <w:rFonts w:ascii="宋体" w:hAnsi="宋体" w:cs="宋体"/>
        </w:rPr>
      </w:pPr>
      <w:bookmarkStart w:id="202" w:name="_Toc2000413"/>
      <w:bookmarkStart w:id="203" w:name="_Toc514858709"/>
      <w:bookmarkStart w:id="204" w:name="_Toc10514"/>
      <w:r>
        <w:rPr>
          <w:rFonts w:hint="eastAsia" w:ascii="宋体" w:hAnsi="宋体" w:cs="宋体"/>
        </w:rPr>
        <w:t>第</w:t>
      </w:r>
      <w:r>
        <w:rPr>
          <w:rFonts w:hint="eastAsia" w:ascii="宋体" w:hAnsi="宋体" w:cs="宋体"/>
          <w:lang w:val="en-US" w:eastAsia="zh-CN"/>
        </w:rPr>
        <w:t>九</w:t>
      </w:r>
      <w:r>
        <w:rPr>
          <w:rFonts w:hint="eastAsia" w:ascii="宋体" w:hAnsi="宋体" w:cs="宋体"/>
        </w:rPr>
        <w:t>章  竞争性比选响应文件格式</w:t>
      </w:r>
      <w:bookmarkEnd w:id="192"/>
      <w:bookmarkEnd w:id="202"/>
      <w:bookmarkEnd w:id="203"/>
      <w:bookmarkEnd w:id="204"/>
    </w:p>
    <w:p>
      <w:pPr>
        <w:rPr>
          <w:rFonts w:ascii="宋体" w:hAnsi="宋体" w:cs="宋体"/>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sz w:val="52"/>
          <w:szCs w:val="52"/>
          <w:u w:val="single"/>
        </w:rPr>
      </w:pPr>
      <w:bookmarkStart w:id="205" w:name="_Toc514858710"/>
      <w:bookmarkStart w:id="206" w:name="_Toc503951046"/>
      <w:bookmarkStart w:id="207" w:name="_Toc513633967"/>
      <w:bookmarkStart w:id="208" w:name="_Toc513646738"/>
      <w:bookmarkStart w:id="209" w:name="_Toc503971829"/>
      <w:r>
        <w:rPr>
          <w:rFonts w:hint="eastAsia" w:ascii="宋体" w:hAnsi="宋体" w:cs="宋体"/>
          <w:u w:val="single"/>
        </w:rPr>
        <w:t xml:space="preserve">                           </w:t>
      </w:r>
      <w:r>
        <w:rPr>
          <w:rFonts w:hint="eastAsia" w:ascii="宋体" w:hAnsi="宋体" w:cs="宋体"/>
          <w:sz w:val="52"/>
          <w:szCs w:val="52"/>
          <w:u w:val="single"/>
        </w:rPr>
        <w:t>（项目名称）</w:t>
      </w:r>
      <w:bookmarkEnd w:id="205"/>
      <w:bookmarkEnd w:id="206"/>
      <w:bookmarkEnd w:id="207"/>
      <w:bookmarkEnd w:id="208"/>
      <w:bookmarkEnd w:id="209"/>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10" w:name="_Toc1368"/>
      <w:bookmarkStart w:id="211" w:name="_Toc5459"/>
      <w:bookmarkStart w:id="212" w:name="_Toc10395"/>
      <w:bookmarkStart w:id="213" w:name="_Toc28780"/>
      <w:bookmarkStart w:id="214" w:name="_Toc11329273"/>
      <w:r>
        <w:rPr>
          <w:rFonts w:hint="eastAsia" w:ascii="宋体" w:hAnsi="宋体" w:eastAsia="宋体" w:cs="宋体"/>
        </w:rPr>
        <w:t>目    录</w:t>
      </w:r>
      <w:bookmarkEnd w:id="193"/>
      <w:bookmarkEnd w:id="194"/>
      <w:bookmarkEnd w:id="195"/>
      <w:bookmarkEnd w:id="196"/>
      <w:bookmarkEnd w:id="197"/>
      <w:bookmarkEnd w:id="198"/>
      <w:bookmarkEnd w:id="199"/>
      <w:bookmarkEnd w:id="200"/>
      <w:bookmarkEnd w:id="210"/>
      <w:bookmarkEnd w:id="211"/>
      <w:bookmarkEnd w:id="212"/>
      <w:bookmarkEnd w:id="213"/>
      <w:bookmarkEnd w:id="214"/>
    </w:p>
    <w:p>
      <w:pPr>
        <w:numPr>
          <w:ilvl w:val="0"/>
          <w:numId w:val="8"/>
        </w:numPr>
        <w:spacing w:line="400" w:lineRule="exact"/>
        <w:rPr>
          <w:rFonts w:ascii="宋体" w:hAnsi="宋体" w:cs="宋体"/>
        </w:rPr>
      </w:pPr>
      <w:r>
        <w:rPr>
          <w:rFonts w:hint="eastAsia" w:ascii="宋体" w:hAnsi="宋体" w:cs="宋体"/>
        </w:rPr>
        <w:t>竞争性响应声明书</w:t>
      </w:r>
    </w:p>
    <w:p>
      <w:pPr>
        <w:numPr>
          <w:ilvl w:val="0"/>
          <w:numId w:val="8"/>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rPr>
      </w:pPr>
      <w:r>
        <w:rPr>
          <w:rFonts w:hint="eastAsia" w:ascii="宋体" w:hAnsi="宋体" w:cs="宋体"/>
          <w:szCs w:val="21"/>
        </w:rPr>
        <w:t>六、报价人基本信息及其他材料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15" w:name="_Toc11329274"/>
      <w:bookmarkStart w:id="216" w:name="_Toc8870"/>
      <w:bookmarkStart w:id="217" w:name="_Toc26417"/>
      <w:bookmarkStart w:id="218" w:name="_Toc25874"/>
      <w:bookmarkStart w:id="219" w:name="_Toc29547"/>
      <w:bookmarkStart w:id="220" w:name="_Toc15863"/>
      <w:bookmarkStart w:id="221" w:name="_Toc503951048"/>
      <w:bookmarkStart w:id="222" w:name="_Toc513633969"/>
      <w:bookmarkStart w:id="223" w:name="_Toc447827053"/>
      <w:r>
        <w:rPr>
          <w:rFonts w:hint="eastAsia" w:ascii="宋体" w:hAnsi="宋体" w:eastAsia="宋体" w:cs="宋体"/>
          <w:sz w:val="28"/>
        </w:rPr>
        <w:t>一、</w:t>
      </w:r>
      <w:bookmarkEnd w:id="215"/>
      <w:bookmarkEnd w:id="216"/>
      <w:r>
        <w:rPr>
          <w:rFonts w:hint="eastAsia" w:ascii="宋体" w:hAnsi="宋体" w:eastAsia="宋体" w:cs="宋体"/>
          <w:sz w:val="28"/>
        </w:rPr>
        <w:t>竞争比选响应声明书</w:t>
      </w:r>
      <w:bookmarkEnd w:id="217"/>
      <w:bookmarkEnd w:id="218"/>
      <w:bookmarkEnd w:id="219"/>
      <w:bookmarkEnd w:id="220"/>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根据贵</w:t>
      </w:r>
      <w:r>
        <w:rPr>
          <w:rFonts w:hint="eastAsia" w:ascii="宋体" w:hAnsi="宋体" w:eastAsia="宋体" w:cs="宋体"/>
          <w:sz w:val="21"/>
          <w:szCs w:val="21"/>
        </w:rPr>
        <w:t>方为</w:t>
      </w:r>
      <w:r>
        <w:rPr>
          <w:rFonts w:hint="eastAsia" w:ascii="宋体" w:hAnsi="宋体" w:cs="宋体"/>
          <w:sz w:val="21"/>
          <w:szCs w:val="21"/>
          <w:u w:val="single"/>
          <w:lang w:val="en-US" w:eastAsia="zh-CN"/>
        </w:rPr>
        <w:t>边坡风险性评价三维数值建模服务采购项目（第二次）</w:t>
      </w:r>
      <w:r>
        <w:rPr>
          <w:rFonts w:hint="eastAsia" w:ascii="宋体" w:hAnsi="宋体" w:eastAsia="宋体" w:cs="宋体"/>
          <w:sz w:val="21"/>
          <w:szCs w:val="21"/>
        </w:rPr>
        <w:t>竞争比选项目及服</w:t>
      </w:r>
      <w:r>
        <w:rPr>
          <w:rFonts w:hint="eastAsia" w:ascii="宋体" w:hAnsi="宋体" w:eastAsia="宋体" w:cs="宋体"/>
          <w:color w:val="000000"/>
          <w:sz w:val="21"/>
          <w:szCs w:val="21"/>
        </w:rPr>
        <w:t>务的竞争比选邀请，签字代表</w:t>
      </w:r>
      <w:r>
        <w:rPr>
          <w:rFonts w:hint="eastAsia" w:ascii="宋体" w:hAnsi="宋体" w:eastAsia="宋体" w:cs="宋体"/>
          <w:color w:val="000000"/>
          <w:sz w:val="21"/>
          <w:szCs w:val="21"/>
          <w:u w:val="single"/>
        </w:rPr>
        <w:t xml:space="preserve">          （全名、职务）</w:t>
      </w:r>
      <w:r>
        <w:rPr>
          <w:rFonts w:hint="eastAsia" w:ascii="宋体" w:hAnsi="宋体" w:eastAsia="宋体" w:cs="宋体"/>
          <w:color w:val="000000"/>
          <w:sz w:val="21"/>
          <w:szCs w:val="21"/>
        </w:rPr>
        <w:t>经正式授权并代表竞争比选响应单位</w:t>
      </w:r>
      <w:r>
        <w:rPr>
          <w:rFonts w:hint="eastAsia" w:ascii="宋体" w:hAnsi="宋体" w:eastAsia="宋体" w:cs="宋体"/>
          <w:color w:val="000000"/>
          <w:sz w:val="21"/>
          <w:szCs w:val="21"/>
          <w:u w:val="single"/>
        </w:rPr>
        <w:t xml:space="preserve">（竞争比选响应单位名称） </w:t>
      </w:r>
      <w:r>
        <w:rPr>
          <w:rFonts w:hint="eastAsia" w:ascii="宋体" w:hAnsi="宋体" w:eastAsia="宋体" w:cs="宋体"/>
          <w:color w:val="000000"/>
          <w:sz w:val="21"/>
          <w:szCs w:val="21"/>
        </w:rPr>
        <w:t>提交报价文件。</w:t>
      </w:r>
    </w:p>
    <w:p>
      <w:pPr>
        <w:spacing w:line="700" w:lineRule="atLeas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我方愿以人民币：              元（大写              元）的报价总价按照竞争比选文件的要求，承担本次竞争比选文件要求的工程。</w:t>
      </w:r>
    </w:p>
    <w:p>
      <w:pPr>
        <w:tabs>
          <w:tab w:val="left" w:pos="540"/>
          <w:tab w:val="left" w:pos="900"/>
        </w:tabs>
        <w:spacing w:line="30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tabs>
          <w:tab w:val="left" w:pos="540"/>
          <w:tab w:val="left" w:pos="900"/>
        </w:tabs>
        <w:spacing w:line="300" w:lineRule="auto"/>
        <w:rPr>
          <w:rFonts w:hint="eastAsia" w:ascii="宋体" w:hAnsi="宋体" w:eastAsia="宋体" w:cs="宋体"/>
          <w:color w:val="000000"/>
          <w:sz w:val="21"/>
          <w:szCs w:val="21"/>
        </w:rPr>
      </w:pPr>
      <w:r>
        <w:rPr>
          <w:rFonts w:hint="eastAsia" w:ascii="宋体" w:hAnsi="宋体" w:eastAsia="宋体" w:cs="宋体"/>
          <w:color w:val="000000"/>
          <w:sz w:val="21"/>
          <w:szCs w:val="21"/>
        </w:rPr>
        <w:t>据此函，签字代表宣布同意如下：</w:t>
      </w:r>
    </w:p>
    <w:p>
      <w:pPr>
        <w:tabs>
          <w:tab w:val="left" w:pos="540"/>
          <w:tab w:val="left" w:pos="900"/>
        </w:tabs>
        <w:spacing w:line="300" w:lineRule="auto"/>
        <w:rPr>
          <w:rFonts w:hint="eastAsia" w:ascii="宋体" w:hAnsi="宋体" w:eastAsia="宋体" w:cs="宋体"/>
          <w:color w:val="000000"/>
          <w:sz w:val="21"/>
          <w:szCs w:val="21"/>
        </w:rPr>
      </w:pPr>
      <w:r>
        <w:rPr>
          <w:rFonts w:hint="eastAsia" w:ascii="宋体" w:hAnsi="宋体" w:eastAsia="宋体" w:cs="宋体"/>
          <w:color w:val="000000"/>
          <w:sz w:val="21"/>
          <w:szCs w:val="21"/>
        </w:rPr>
        <w:t>1、竞争比选响应单位将按竞争比选文件规定履行合同责任和义务。</w:t>
      </w:r>
    </w:p>
    <w:p>
      <w:pPr>
        <w:tabs>
          <w:tab w:val="left" w:pos="900"/>
        </w:tabs>
        <w:spacing w:line="300" w:lineRule="auto"/>
        <w:rPr>
          <w:rFonts w:hint="eastAsia" w:ascii="宋体" w:hAnsi="宋体" w:eastAsia="宋体" w:cs="宋体"/>
          <w:b/>
          <w:color w:val="000000"/>
          <w:sz w:val="21"/>
          <w:szCs w:val="21"/>
        </w:rPr>
      </w:pPr>
      <w:r>
        <w:rPr>
          <w:rFonts w:hint="eastAsia" w:ascii="宋体" w:hAnsi="宋体" w:eastAsia="宋体" w:cs="宋体"/>
          <w:color w:val="000000"/>
          <w:sz w:val="21"/>
          <w:szCs w:val="21"/>
        </w:rPr>
        <w:t>2、竞争比选响应单位已详细审查全部竞争比选文件，包括修改文件（如有的话）以及全部参考资料和相关附件。我们完全理解并同意放弃对这方面有不明及误解的权利。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hint="eastAsia" w:ascii="宋体" w:hAnsi="宋体" w:eastAsia="宋体" w:cs="宋体"/>
          <w:b/>
          <w:color w:val="000000"/>
          <w:sz w:val="21"/>
          <w:szCs w:val="21"/>
        </w:rPr>
      </w:pPr>
      <w:r>
        <w:rPr>
          <w:rFonts w:hint="eastAsia" w:ascii="宋体" w:hAnsi="宋体" w:eastAsia="宋体" w:cs="宋体"/>
          <w:color w:val="000000"/>
          <w:sz w:val="21"/>
          <w:szCs w:val="21"/>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hint="eastAsia" w:ascii="宋体" w:hAnsi="宋体" w:eastAsia="宋体" w:cs="宋体"/>
          <w:b/>
          <w:color w:val="000000"/>
          <w:sz w:val="21"/>
          <w:szCs w:val="21"/>
        </w:rPr>
      </w:pPr>
      <w:r>
        <w:rPr>
          <w:rFonts w:hint="eastAsia" w:ascii="宋体" w:hAnsi="宋体" w:eastAsia="宋体" w:cs="宋体"/>
          <w:color w:val="000000"/>
          <w:sz w:val="21"/>
          <w:szCs w:val="21"/>
        </w:rPr>
        <w:t>4、与本竞争比选响应有关的一切正式往来通讯请寄：</w:t>
      </w:r>
    </w:p>
    <w:p>
      <w:pPr>
        <w:tabs>
          <w:tab w:val="left" w:pos="900"/>
        </w:tabs>
        <w:spacing w:line="300" w:lineRule="auto"/>
        <w:rPr>
          <w:rFonts w:hint="eastAsia" w:ascii="宋体" w:hAnsi="宋体" w:eastAsia="宋体" w:cs="宋体"/>
          <w:b/>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邮编：</w:t>
      </w:r>
      <w:r>
        <w:rPr>
          <w:rFonts w:hint="eastAsia" w:ascii="宋体" w:hAnsi="宋体" w:eastAsia="宋体" w:cs="宋体"/>
          <w:color w:val="000000"/>
          <w:sz w:val="21"/>
          <w:szCs w:val="21"/>
          <w:u w:val="single"/>
        </w:rPr>
        <w:t xml:space="preserve">            </w:t>
      </w:r>
      <w:r>
        <w:rPr>
          <w:rFonts w:hint="eastAsia" w:ascii="宋体" w:hAnsi="宋体" w:eastAsia="宋体" w:cs="宋体"/>
          <w:b/>
          <w:color w:val="000000"/>
          <w:sz w:val="21"/>
          <w:szCs w:val="21"/>
        </w:rPr>
        <w:t xml:space="preserve">  </w:t>
      </w:r>
    </w:p>
    <w:p>
      <w:pPr>
        <w:tabs>
          <w:tab w:val="left" w:pos="900"/>
        </w:tabs>
        <w:spacing w:line="30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电话：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传真：</w:t>
      </w:r>
      <w:r>
        <w:rPr>
          <w:rFonts w:hint="eastAsia" w:ascii="宋体" w:hAnsi="宋体" w:eastAsia="宋体" w:cs="宋体"/>
          <w:color w:val="000000"/>
          <w:sz w:val="21"/>
          <w:szCs w:val="21"/>
          <w:u w:val="single"/>
        </w:rPr>
        <w:t xml:space="preserve">            </w:t>
      </w:r>
    </w:p>
    <w:p>
      <w:pPr>
        <w:tabs>
          <w:tab w:val="left" w:pos="900"/>
        </w:tabs>
        <w:spacing w:line="300" w:lineRule="auto"/>
        <w:rPr>
          <w:rFonts w:hint="eastAsia" w:ascii="宋体" w:hAnsi="宋体" w:eastAsia="宋体" w:cs="宋体"/>
          <w:sz w:val="21"/>
          <w:szCs w:val="21"/>
        </w:rPr>
      </w:pPr>
      <w:r>
        <w:rPr>
          <w:rFonts w:hint="eastAsia" w:ascii="宋体" w:hAnsi="宋体" w:eastAsia="宋体" w:cs="宋体"/>
          <w:sz w:val="21"/>
          <w:szCs w:val="21"/>
        </w:rPr>
        <w:t>竞争比选响应单位法定代表人或授权代表人（签字）：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tabs>
          <w:tab w:val="left" w:pos="900"/>
        </w:tabs>
        <w:spacing w:line="300" w:lineRule="auto"/>
        <w:rPr>
          <w:rFonts w:hint="eastAsia" w:ascii="宋体" w:hAnsi="宋体" w:eastAsia="宋体" w:cs="宋体"/>
          <w:sz w:val="21"/>
          <w:szCs w:val="21"/>
        </w:rPr>
      </w:pPr>
      <w:r>
        <w:rPr>
          <w:rFonts w:hint="eastAsia" w:ascii="宋体" w:hAnsi="宋体" w:eastAsia="宋体" w:cs="宋体"/>
          <w:sz w:val="21"/>
          <w:szCs w:val="21"/>
        </w:rPr>
        <w:t>竞争比选响应单位法定代表人或授权代表人职务：</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tabs>
          <w:tab w:val="left" w:pos="900"/>
        </w:tabs>
        <w:spacing w:line="300" w:lineRule="auto"/>
        <w:rPr>
          <w:rFonts w:hint="eastAsia" w:ascii="宋体" w:hAnsi="宋体" w:eastAsia="宋体" w:cs="宋体"/>
          <w:color w:val="000000"/>
          <w:sz w:val="21"/>
          <w:szCs w:val="21"/>
        </w:rPr>
      </w:pPr>
      <w:r>
        <w:rPr>
          <w:rFonts w:hint="eastAsia" w:ascii="宋体" w:hAnsi="宋体" w:eastAsia="宋体" w:cs="宋体"/>
          <w:sz w:val="21"/>
          <w:szCs w:val="21"/>
        </w:rPr>
        <w:t>竞争比选响应单位名称（加盖公章）：</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 xml:space="preserve">                  </w:t>
      </w:r>
    </w:p>
    <w:p>
      <w:pPr>
        <w:tabs>
          <w:tab w:val="left" w:pos="900"/>
        </w:tabs>
        <w:spacing w:line="30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日 </w:t>
      </w:r>
    </w:p>
    <w:p>
      <w:pPr>
        <w:outlineLvl w:val="0"/>
        <w:rPr>
          <w:b/>
          <w:sz w:val="24"/>
        </w:rPr>
      </w:pPr>
    </w:p>
    <w:p>
      <w:pPr>
        <w:outlineLvl w:val="0"/>
        <w:rPr>
          <w:b/>
          <w:sz w:val="24"/>
        </w:rPr>
      </w:pPr>
    </w:p>
    <w:p>
      <w:pPr>
        <w:pStyle w:val="28"/>
      </w:pPr>
    </w:p>
    <w:p>
      <w:pPr>
        <w:outlineLvl w:val="0"/>
        <w:rPr>
          <w:b/>
          <w:sz w:val="24"/>
        </w:rPr>
      </w:pPr>
    </w:p>
    <w:p>
      <w:pPr>
        <w:pStyle w:val="4"/>
        <w:jc w:val="center"/>
        <w:rPr>
          <w:rFonts w:ascii="宋体" w:hAnsi="宋体" w:eastAsia="宋体" w:cs="宋体"/>
          <w:sz w:val="28"/>
          <w:szCs w:val="28"/>
        </w:rPr>
      </w:pPr>
      <w:bookmarkStart w:id="224" w:name="_Toc27815"/>
      <w:bookmarkStart w:id="225" w:name="_Toc26697"/>
      <w:bookmarkStart w:id="226" w:name="_Toc491883232"/>
      <w:r>
        <w:rPr>
          <w:rFonts w:hint="eastAsia" w:ascii="宋体" w:hAnsi="宋体" w:eastAsia="宋体" w:cs="宋体"/>
          <w:sz w:val="28"/>
          <w:szCs w:val="28"/>
        </w:rPr>
        <w:t>二、法定代表人身份证明或法定代表人授权委托书</w:t>
      </w:r>
      <w:bookmarkEnd w:id="224"/>
      <w:bookmarkEnd w:id="225"/>
    </w:p>
    <w:p>
      <w:pPr>
        <w:pStyle w:val="4"/>
        <w:jc w:val="center"/>
        <w:rPr>
          <w:rFonts w:ascii="宋体" w:hAnsi="宋体" w:eastAsia="宋体" w:cs="宋体"/>
          <w:sz w:val="24"/>
          <w:szCs w:val="24"/>
        </w:rPr>
      </w:pPr>
      <w:bookmarkStart w:id="227" w:name="_Toc14141"/>
      <w:bookmarkStart w:id="228" w:name="_Toc4391"/>
      <w:r>
        <w:rPr>
          <w:rFonts w:hint="eastAsia" w:ascii="宋体" w:hAnsi="宋体" w:eastAsia="宋体" w:cs="宋体"/>
          <w:sz w:val="24"/>
          <w:szCs w:val="24"/>
        </w:rPr>
        <w:t>（一）法定代表人身份证明</w:t>
      </w:r>
      <w:bookmarkEnd w:id="226"/>
      <w:bookmarkEnd w:id="227"/>
      <w:bookmarkEnd w:id="228"/>
    </w:p>
    <w:p>
      <w:pPr>
        <w:spacing w:line="440" w:lineRule="exact"/>
        <w:rPr>
          <w:rFonts w:ascii="宋体" w:hAnsi="宋体"/>
          <w:sz w:val="21"/>
          <w:szCs w:val="21"/>
        </w:rPr>
      </w:pPr>
      <w:r>
        <w:rPr>
          <w:rFonts w:hint="eastAsia" w:ascii="宋体" w:hAnsi="宋体"/>
          <w:sz w:val="21"/>
          <w:szCs w:val="21"/>
        </w:rPr>
        <w:t>报价人</w:t>
      </w:r>
      <w:r>
        <w:rPr>
          <w:rFonts w:ascii="宋体" w:hAnsi="宋体"/>
          <w:sz w:val="21"/>
          <w:szCs w:val="21"/>
        </w:rPr>
        <w:t>名称：</w:t>
      </w:r>
      <w:r>
        <w:rPr>
          <w:rFonts w:ascii="宋体" w:hAnsi="宋体"/>
          <w:sz w:val="21"/>
          <w:szCs w:val="21"/>
          <w:u w:val="single"/>
        </w:rPr>
        <w:t xml:space="preserve">                        </w:t>
      </w:r>
    </w:p>
    <w:p>
      <w:pPr>
        <w:spacing w:line="440" w:lineRule="exact"/>
        <w:rPr>
          <w:rFonts w:ascii="宋体" w:hAnsi="宋体"/>
          <w:sz w:val="21"/>
          <w:szCs w:val="21"/>
        </w:rPr>
      </w:pPr>
      <w:r>
        <w:rPr>
          <w:rFonts w:ascii="宋体" w:hAnsi="宋体"/>
          <w:sz w:val="21"/>
          <w:szCs w:val="21"/>
        </w:rPr>
        <w:t>姓名：</w:t>
      </w:r>
      <w:r>
        <w:rPr>
          <w:rFonts w:ascii="宋体" w:hAnsi="宋体"/>
          <w:sz w:val="21"/>
          <w:szCs w:val="21"/>
          <w:u w:val="single"/>
        </w:rPr>
        <w:t xml:space="preserve">                </w:t>
      </w:r>
      <w:r>
        <w:rPr>
          <w:rFonts w:ascii="宋体" w:hAnsi="宋体"/>
          <w:sz w:val="21"/>
          <w:szCs w:val="21"/>
        </w:rPr>
        <w:t>性别：</w:t>
      </w:r>
      <w:bookmarkStart w:id="229" w:name="_Toc369531698"/>
      <w:bookmarkStart w:id="230" w:name="_Toc27897"/>
      <w:bookmarkStart w:id="231" w:name="_Toc352691662"/>
      <w:r>
        <w:rPr>
          <w:rFonts w:ascii="宋体" w:hAnsi="宋体"/>
          <w:sz w:val="21"/>
          <w:szCs w:val="21"/>
          <w:u w:val="single"/>
        </w:rPr>
        <w:t xml:space="preserve">        </w:t>
      </w:r>
      <w:r>
        <w:rPr>
          <w:rFonts w:ascii="宋体" w:hAnsi="宋体"/>
          <w:sz w:val="21"/>
          <w:szCs w:val="21"/>
        </w:rPr>
        <w:t>年</w:t>
      </w:r>
      <w:bookmarkEnd w:id="229"/>
      <w:bookmarkEnd w:id="230"/>
      <w:bookmarkEnd w:id="231"/>
      <w:r>
        <w:rPr>
          <w:rFonts w:ascii="宋体" w:hAnsi="宋体"/>
          <w:sz w:val="21"/>
          <w:szCs w:val="21"/>
        </w:rPr>
        <w:t>龄</w:t>
      </w:r>
      <w:bookmarkStart w:id="232" w:name="_Toc369531699"/>
      <w:bookmarkStart w:id="233" w:name="_Toc247527829"/>
      <w:bookmarkStart w:id="234" w:name="_Toc15573"/>
      <w:bookmarkStart w:id="235" w:name="_Toc352691663"/>
      <w:bookmarkStart w:id="236" w:name="_Toc361508754"/>
      <w:bookmarkStart w:id="237" w:name="_Toc247514248"/>
      <w:bookmarkStart w:id="238" w:name="_Toc144974858"/>
      <w:bookmarkStart w:id="239" w:name="_Toc152045789"/>
      <w:bookmarkStart w:id="240" w:name="_Toc384308377"/>
      <w:bookmarkStart w:id="241" w:name="_Toc300835211"/>
      <w:bookmarkStart w:id="242" w:name="_Toc152042578"/>
      <w:r>
        <w:rPr>
          <w:rFonts w:ascii="宋体" w:hAnsi="宋体"/>
          <w:sz w:val="21"/>
          <w:szCs w:val="21"/>
        </w:rPr>
        <w:t>：</w:t>
      </w:r>
      <w:bookmarkEnd w:id="232"/>
      <w:bookmarkEnd w:id="233"/>
      <w:bookmarkEnd w:id="234"/>
      <w:bookmarkEnd w:id="235"/>
      <w:bookmarkEnd w:id="236"/>
      <w:bookmarkEnd w:id="237"/>
      <w:bookmarkEnd w:id="238"/>
      <w:bookmarkEnd w:id="239"/>
      <w:bookmarkEnd w:id="240"/>
      <w:bookmarkEnd w:id="241"/>
      <w:bookmarkEnd w:id="242"/>
      <w:r>
        <w:rPr>
          <w:rFonts w:ascii="宋体" w:hAnsi="宋体"/>
          <w:sz w:val="21"/>
          <w:szCs w:val="21"/>
          <w:u w:val="single"/>
        </w:rPr>
        <w:t xml:space="preserve">        </w:t>
      </w:r>
      <w:r>
        <w:rPr>
          <w:rFonts w:ascii="宋体" w:hAnsi="宋体"/>
          <w:sz w:val="21"/>
          <w:szCs w:val="21"/>
        </w:rPr>
        <w:t>职务：</w:t>
      </w:r>
      <w:r>
        <w:rPr>
          <w:rFonts w:ascii="宋体" w:hAnsi="宋体"/>
          <w:sz w:val="21"/>
          <w:szCs w:val="21"/>
          <w:u w:val="single"/>
        </w:rPr>
        <w:t xml:space="preserve">        </w:t>
      </w:r>
    </w:p>
    <w:p>
      <w:pPr>
        <w:spacing w:line="440" w:lineRule="exact"/>
        <w:rPr>
          <w:rFonts w:ascii="宋体" w:hAnsi="宋体"/>
          <w:sz w:val="21"/>
          <w:szCs w:val="21"/>
        </w:rPr>
      </w:pPr>
      <w:r>
        <w:rPr>
          <w:rFonts w:ascii="宋体" w:hAnsi="宋体"/>
          <w:sz w:val="21"/>
          <w:szCs w:val="21"/>
        </w:rPr>
        <w:t>系</w:t>
      </w:r>
      <w:r>
        <w:rPr>
          <w:rFonts w:ascii="宋体" w:hAnsi="宋体"/>
          <w:sz w:val="21"/>
          <w:szCs w:val="21"/>
          <w:u w:val="single"/>
        </w:rPr>
        <w:t xml:space="preserve">                        </w:t>
      </w:r>
      <w:r>
        <w:rPr>
          <w:rFonts w:ascii="宋体" w:hAnsi="宋体"/>
          <w:sz w:val="21"/>
          <w:szCs w:val="21"/>
        </w:rPr>
        <w:t>（</w:t>
      </w:r>
      <w:r>
        <w:rPr>
          <w:rFonts w:hint="eastAsia" w:ascii="宋体" w:hAnsi="宋体"/>
          <w:sz w:val="21"/>
          <w:szCs w:val="21"/>
        </w:rPr>
        <w:t>报价人</w:t>
      </w:r>
      <w:r>
        <w:rPr>
          <w:rFonts w:ascii="宋体" w:hAnsi="宋体"/>
          <w:sz w:val="21"/>
          <w:szCs w:val="21"/>
        </w:rPr>
        <w:t>名称）的法定代表人。</w:t>
      </w:r>
    </w:p>
    <w:p>
      <w:pPr>
        <w:spacing w:line="440" w:lineRule="exact"/>
        <w:ind w:firstLine="420" w:firstLineChars="200"/>
        <w:rPr>
          <w:rFonts w:ascii="宋体" w:hAnsi="宋体"/>
          <w:sz w:val="21"/>
          <w:szCs w:val="21"/>
        </w:rPr>
      </w:pPr>
      <w:r>
        <w:rPr>
          <w:rFonts w:ascii="宋体" w:hAnsi="宋体"/>
          <w:sz w:val="21"/>
          <w:szCs w:val="21"/>
        </w:rPr>
        <w:t>特此证明。</w:t>
      </w:r>
    </w:p>
    <w:p>
      <w:pPr>
        <w:spacing w:line="440" w:lineRule="exact"/>
        <w:rPr>
          <w:rFonts w:ascii="宋体" w:hAnsi="宋体"/>
          <w:sz w:val="21"/>
          <w:szCs w:val="21"/>
        </w:rPr>
      </w:pPr>
    </w:p>
    <w:p>
      <w:pPr>
        <w:spacing w:line="440" w:lineRule="exact"/>
        <w:rPr>
          <w:rFonts w:ascii="宋体" w:hAnsi="宋体"/>
          <w:sz w:val="21"/>
          <w:szCs w:val="21"/>
        </w:rPr>
      </w:pPr>
      <w:r>
        <w:rPr>
          <w:rFonts w:ascii="宋体" w:hAnsi="宋体"/>
          <w:sz w:val="21"/>
          <w:szCs w:val="21"/>
        </w:rPr>
        <w:t>附：法定代表人身份证复印件</w:t>
      </w:r>
      <w:r>
        <w:rPr>
          <w:rFonts w:hint="eastAsia" w:ascii="宋体" w:hAnsi="宋体"/>
          <w:sz w:val="21"/>
          <w:szCs w:val="21"/>
        </w:rPr>
        <w:t>（正、反面）</w:t>
      </w:r>
      <w:r>
        <w:rPr>
          <w:rFonts w:ascii="宋体" w:hAnsi="宋体"/>
          <w:sz w:val="21"/>
          <w:szCs w:val="21"/>
        </w:rPr>
        <w:t>。</w:t>
      </w: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r>
        <w:rPr>
          <w:rFonts w:ascii="宋体" w:hAnsi="宋体"/>
          <w:sz w:val="21"/>
          <w:szCs w:val="21"/>
        </w:rPr>
        <w:t xml:space="preserve">                              </w:t>
      </w:r>
      <w:r>
        <w:rPr>
          <w:rFonts w:hint="eastAsia" w:ascii="宋体" w:hAnsi="宋体"/>
          <w:sz w:val="21"/>
          <w:szCs w:val="21"/>
        </w:rPr>
        <w:t>报价人</w:t>
      </w:r>
      <w:r>
        <w:rPr>
          <w:rFonts w:ascii="宋体" w:hAnsi="宋体"/>
          <w:sz w:val="21"/>
          <w:szCs w:val="21"/>
        </w:rPr>
        <w:t>：</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w:t>
      </w:r>
      <w:r>
        <w:rPr>
          <w:rFonts w:hint="eastAsia" w:ascii="宋体" w:hAnsi="宋体"/>
          <w:sz w:val="21"/>
          <w:szCs w:val="21"/>
        </w:rPr>
        <w:t>盖</w:t>
      </w:r>
      <w:r>
        <w:rPr>
          <w:rFonts w:ascii="宋体" w:hAnsi="宋体"/>
          <w:sz w:val="21"/>
          <w:szCs w:val="21"/>
        </w:rPr>
        <w:t>单位</w:t>
      </w:r>
      <w:r>
        <w:rPr>
          <w:rFonts w:hint="eastAsia" w:ascii="宋体" w:hAnsi="宋体"/>
          <w:sz w:val="21"/>
          <w:szCs w:val="21"/>
        </w:rPr>
        <w:t>公章</w:t>
      </w:r>
      <w:r>
        <w:rPr>
          <w:rFonts w:ascii="宋体" w:hAnsi="宋体"/>
          <w:sz w:val="21"/>
          <w:szCs w:val="21"/>
        </w:rPr>
        <w:t>）</w:t>
      </w:r>
    </w:p>
    <w:p>
      <w:pPr>
        <w:spacing w:line="440" w:lineRule="exact"/>
        <w:rPr>
          <w:rFonts w:ascii="宋体" w:hAnsi="宋体"/>
          <w:sz w:val="21"/>
          <w:szCs w:val="21"/>
        </w:rPr>
      </w:pPr>
    </w:p>
    <w:p>
      <w:pPr>
        <w:spacing w:line="440" w:lineRule="exact"/>
        <w:ind w:firstLine="4620" w:firstLineChars="2200"/>
        <w:rPr>
          <w:rFonts w:ascii="宋体" w:hAnsi="宋体"/>
          <w:sz w:val="21"/>
          <w:szCs w:val="21"/>
        </w:rPr>
      </w:pP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ascii="宋体" w:hAnsi="宋体"/>
          <w:sz w:val="21"/>
          <w:szCs w:val="21"/>
        </w:rPr>
        <w:t>日</w:t>
      </w:r>
    </w:p>
    <w:p>
      <w:pPr>
        <w:rPr>
          <w:rFonts w:ascii="宋体" w:hAnsi="宋体"/>
          <w:sz w:val="21"/>
          <w:szCs w:val="21"/>
        </w:rPr>
      </w:pPr>
    </w:p>
    <w:p>
      <w:pPr>
        <w:rPr>
          <w:rFonts w:ascii="宋体" w:hAnsi="宋体"/>
          <w:sz w:val="21"/>
          <w:szCs w:val="21"/>
        </w:rPr>
      </w:pPr>
    </w:p>
    <w:p>
      <w:pPr>
        <w:spacing w:line="440" w:lineRule="exact"/>
        <w:rPr>
          <w:rFonts w:ascii="宋体" w:hAnsi="宋体"/>
          <w:sz w:val="21"/>
          <w:szCs w:val="21"/>
        </w:rPr>
      </w:pPr>
      <w:r>
        <w:rPr>
          <w:rFonts w:ascii="宋体" w:hAnsi="宋体"/>
          <w:sz w:val="21"/>
          <w:szCs w:val="21"/>
        </w:rPr>
        <w:t>注：本身份证明需由</w:t>
      </w:r>
      <w:r>
        <w:rPr>
          <w:rFonts w:hint="eastAsia" w:ascii="宋体" w:hAnsi="宋体"/>
          <w:sz w:val="21"/>
          <w:szCs w:val="21"/>
        </w:rPr>
        <w:t>报价人</w:t>
      </w:r>
      <w:r>
        <w:rPr>
          <w:rFonts w:ascii="宋体" w:hAnsi="宋体"/>
          <w:sz w:val="21"/>
          <w:szCs w:val="21"/>
        </w:rPr>
        <w:t>加盖单位</w:t>
      </w:r>
      <w:r>
        <w:rPr>
          <w:rFonts w:hint="eastAsia" w:ascii="宋体" w:hAnsi="宋体"/>
          <w:sz w:val="21"/>
          <w:szCs w:val="21"/>
        </w:rPr>
        <w:t>公章</w:t>
      </w:r>
      <w:r>
        <w:rPr>
          <w:rFonts w:ascii="宋体" w:hAnsi="宋体"/>
          <w:sz w:val="21"/>
          <w:szCs w:val="21"/>
        </w:rPr>
        <w:t>。</w:t>
      </w:r>
    </w:p>
    <w:p>
      <w:pPr>
        <w:spacing w:line="440" w:lineRule="exact"/>
        <w:rPr>
          <w:rFonts w:ascii="宋体" w:hAnsi="宋体"/>
          <w:sz w:val="21"/>
          <w:szCs w:val="21"/>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43" w:name="_Toc491883233"/>
      <w:bookmarkStart w:id="244" w:name="_Toc58"/>
      <w:bookmarkStart w:id="245" w:name="_Toc10767"/>
      <w:r>
        <w:rPr>
          <w:rFonts w:hint="eastAsia" w:ascii="宋体" w:hAnsi="宋体" w:eastAsia="宋体" w:cs="宋体"/>
          <w:sz w:val="24"/>
          <w:szCs w:val="24"/>
        </w:rPr>
        <w:t>（二）</w:t>
      </w:r>
      <w:bookmarkEnd w:id="243"/>
      <w:r>
        <w:rPr>
          <w:rFonts w:hint="eastAsia" w:ascii="宋体" w:hAnsi="宋体" w:eastAsia="宋体" w:cs="宋体"/>
          <w:sz w:val="24"/>
          <w:szCs w:val="24"/>
        </w:rPr>
        <w:t>法定代表人授权委托书</w:t>
      </w:r>
      <w:bookmarkEnd w:id="244"/>
      <w:bookmarkEnd w:id="245"/>
    </w:p>
    <w:p>
      <w:pPr>
        <w:topLinePunct/>
        <w:spacing w:line="440" w:lineRule="exact"/>
        <w:ind w:firstLine="420" w:firstLineChars="200"/>
        <w:rPr>
          <w:rFonts w:ascii="宋体" w:hAnsi="宋体"/>
          <w:sz w:val="21"/>
          <w:szCs w:val="21"/>
        </w:rPr>
      </w:pPr>
      <w:r>
        <w:rPr>
          <w:rFonts w:ascii="宋体" w:hAnsi="宋体"/>
          <w:sz w:val="21"/>
          <w:szCs w:val="21"/>
        </w:rPr>
        <w:t>本人</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w:t>
      </w:r>
      <w:r>
        <w:rPr>
          <w:rFonts w:hint="eastAsia" w:ascii="宋体" w:hAnsi="宋体"/>
          <w:sz w:val="21"/>
          <w:szCs w:val="21"/>
        </w:rPr>
        <w:t>报价人</w:t>
      </w:r>
      <w:r>
        <w:rPr>
          <w:rFonts w:ascii="宋体" w:hAnsi="宋体"/>
          <w:sz w:val="21"/>
          <w:szCs w:val="21"/>
        </w:rPr>
        <w:t>名称）的法定代表人，现委托</w:t>
      </w:r>
      <w:r>
        <w:rPr>
          <w:rFonts w:ascii="宋体" w:hAnsi="宋体"/>
          <w:sz w:val="21"/>
          <w:szCs w:val="21"/>
          <w:u w:val="single"/>
        </w:rPr>
        <w:t xml:space="preserve">            </w:t>
      </w:r>
      <w:r>
        <w:rPr>
          <w:rFonts w:ascii="宋体" w:hAnsi="宋体"/>
          <w:sz w:val="21"/>
          <w:szCs w:val="21"/>
        </w:rPr>
        <w:t>（姓名）为我方代理人。代理人根据授权，以我方名义签署、澄清确认、递交、撤回、修改招标项目</w:t>
      </w:r>
      <w:r>
        <w:rPr>
          <w:rFonts w:hint="eastAsia" w:ascii="宋体" w:hAnsi="宋体"/>
          <w:sz w:val="21"/>
          <w:szCs w:val="21"/>
        </w:rPr>
        <w:t>比选</w:t>
      </w:r>
      <w:r>
        <w:rPr>
          <w:rFonts w:ascii="宋体" w:hAnsi="宋体"/>
          <w:sz w:val="21"/>
          <w:szCs w:val="21"/>
        </w:rPr>
        <w:t>文件、签订合同和处理有关事宜，其法律后果由我方承担。</w:t>
      </w:r>
    </w:p>
    <w:p>
      <w:pPr>
        <w:spacing w:line="440" w:lineRule="exact"/>
        <w:rPr>
          <w:rFonts w:ascii="宋体" w:hAnsi="宋体"/>
          <w:sz w:val="21"/>
          <w:szCs w:val="21"/>
        </w:rPr>
      </w:pPr>
      <w:r>
        <w:rPr>
          <w:rFonts w:ascii="宋体" w:hAnsi="宋体"/>
          <w:sz w:val="21"/>
          <w:szCs w:val="21"/>
        </w:rPr>
        <w:t>委托期限：</w:t>
      </w:r>
      <w:r>
        <w:rPr>
          <w:rFonts w:ascii="宋体" w:hAnsi="宋体"/>
          <w:sz w:val="21"/>
          <w:szCs w:val="21"/>
          <w:u w:val="single"/>
        </w:rPr>
        <w:t xml:space="preserve">                       </w:t>
      </w:r>
      <w:r>
        <w:rPr>
          <w:rFonts w:ascii="宋体" w:hAnsi="宋体"/>
          <w:sz w:val="21"/>
          <w:szCs w:val="21"/>
        </w:rPr>
        <w:t>。</w:t>
      </w:r>
    </w:p>
    <w:p>
      <w:pPr>
        <w:spacing w:line="440" w:lineRule="exact"/>
        <w:ind w:firstLine="420" w:firstLineChars="200"/>
        <w:rPr>
          <w:rFonts w:ascii="宋体" w:hAnsi="宋体"/>
          <w:sz w:val="21"/>
          <w:szCs w:val="21"/>
        </w:rPr>
      </w:pPr>
      <w:r>
        <w:rPr>
          <w:rFonts w:ascii="宋体" w:hAnsi="宋体"/>
          <w:sz w:val="21"/>
          <w:szCs w:val="21"/>
        </w:rPr>
        <w:t>代理人无转委托权。</w:t>
      </w:r>
    </w:p>
    <w:p>
      <w:pPr>
        <w:spacing w:line="440" w:lineRule="exact"/>
        <w:ind w:firstLine="420" w:firstLineChars="200"/>
        <w:rPr>
          <w:rFonts w:ascii="宋体" w:hAnsi="宋体"/>
          <w:sz w:val="21"/>
          <w:szCs w:val="21"/>
        </w:rPr>
      </w:pPr>
    </w:p>
    <w:p>
      <w:pPr>
        <w:spacing w:line="440" w:lineRule="exact"/>
        <w:rPr>
          <w:rFonts w:ascii="宋体" w:hAnsi="宋体"/>
          <w:sz w:val="21"/>
          <w:szCs w:val="21"/>
        </w:rPr>
      </w:pPr>
      <w:r>
        <w:rPr>
          <w:rFonts w:ascii="宋体" w:hAnsi="宋体"/>
          <w:sz w:val="21"/>
          <w:szCs w:val="21"/>
        </w:rPr>
        <w:t>附：法定代表人身份证复印件及委托代理人身份证复印件</w:t>
      </w:r>
      <w:r>
        <w:rPr>
          <w:rFonts w:hint="eastAsia" w:ascii="宋体" w:hAnsi="宋体"/>
          <w:sz w:val="21"/>
          <w:szCs w:val="21"/>
        </w:rPr>
        <w:t>（正、反面）</w:t>
      </w: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ind w:firstLine="2692" w:firstLineChars="1282"/>
        <w:rPr>
          <w:rFonts w:ascii="宋体" w:hAnsi="宋体"/>
          <w:sz w:val="21"/>
          <w:szCs w:val="21"/>
        </w:rPr>
      </w:pPr>
      <w:r>
        <w:rPr>
          <w:rFonts w:hint="eastAsia" w:ascii="宋体" w:hAnsi="宋体"/>
          <w:sz w:val="21"/>
          <w:szCs w:val="21"/>
        </w:rPr>
        <w:t>报  价  人</w:t>
      </w:r>
      <w:r>
        <w:rPr>
          <w:rFonts w:ascii="宋体" w:hAnsi="宋体"/>
          <w:sz w:val="21"/>
          <w:szCs w:val="21"/>
        </w:rPr>
        <w:t>：</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w:t>
      </w:r>
      <w:r>
        <w:rPr>
          <w:rFonts w:hint="eastAsia" w:ascii="宋体" w:hAnsi="宋体"/>
          <w:sz w:val="21"/>
          <w:szCs w:val="21"/>
        </w:rPr>
        <w:t>盖</w:t>
      </w:r>
      <w:r>
        <w:rPr>
          <w:rFonts w:ascii="宋体" w:hAnsi="宋体"/>
          <w:sz w:val="21"/>
          <w:szCs w:val="21"/>
        </w:rPr>
        <w:t>单位</w:t>
      </w:r>
      <w:r>
        <w:rPr>
          <w:rFonts w:hint="eastAsia" w:ascii="宋体" w:hAnsi="宋体"/>
          <w:sz w:val="21"/>
          <w:szCs w:val="21"/>
        </w:rPr>
        <w:t>公章</w:t>
      </w:r>
      <w:r>
        <w:rPr>
          <w:rFonts w:ascii="宋体" w:hAnsi="宋体"/>
          <w:sz w:val="21"/>
          <w:szCs w:val="21"/>
        </w:rPr>
        <w:t>）</w:t>
      </w:r>
    </w:p>
    <w:p>
      <w:pPr>
        <w:spacing w:line="440" w:lineRule="exact"/>
        <w:ind w:firstLine="2690" w:firstLineChars="1281"/>
        <w:jc w:val="left"/>
        <w:rPr>
          <w:rFonts w:ascii="宋体" w:hAnsi="宋体"/>
          <w:sz w:val="21"/>
          <w:szCs w:val="21"/>
        </w:rPr>
      </w:pPr>
      <w:r>
        <w:rPr>
          <w:rFonts w:ascii="宋体" w:hAnsi="宋体"/>
          <w:sz w:val="21"/>
          <w:szCs w:val="21"/>
        </w:rPr>
        <w:t>法定代表人：</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ab/>
      </w:r>
      <w:r>
        <w:rPr>
          <w:rFonts w:ascii="宋体" w:hAnsi="宋体"/>
          <w:sz w:val="21"/>
          <w:szCs w:val="21"/>
        </w:rPr>
        <w:t>（签字</w:t>
      </w:r>
      <w:r>
        <w:rPr>
          <w:rFonts w:hint="eastAsia" w:ascii="宋体" w:hAnsi="宋体"/>
          <w:sz w:val="21"/>
          <w:szCs w:val="21"/>
        </w:rPr>
        <w:t xml:space="preserve"> </w:t>
      </w:r>
      <w:r>
        <w:rPr>
          <w:rFonts w:ascii="宋体" w:hAnsi="宋体"/>
          <w:sz w:val="21"/>
          <w:szCs w:val="21"/>
        </w:rPr>
        <w:t>）</w:t>
      </w:r>
    </w:p>
    <w:p>
      <w:pPr>
        <w:spacing w:line="440" w:lineRule="exact"/>
        <w:ind w:firstLine="2692" w:firstLineChars="1282"/>
        <w:rPr>
          <w:rFonts w:ascii="宋体" w:hAnsi="宋体"/>
          <w:sz w:val="21"/>
          <w:szCs w:val="21"/>
        </w:rPr>
      </w:pPr>
      <w:r>
        <w:rPr>
          <w:rFonts w:ascii="宋体" w:hAnsi="宋体"/>
          <w:sz w:val="21"/>
          <w:szCs w:val="21"/>
        </w:rPr>
        <w:t>身份证号码：</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 xml:space="preserve">                            </w:t>
      </w:r>
      <w:r>
        <w:rPr>
          <w:rFonts w:ascii="宋体" w:hAnsi="宋体"/>
          <w:sz w:val="21"/>
          <w:szCs w:val="21"/>
          <w:u w:val="single"/>
        </w:rPr>
        <w:tab/>
      </w:r>
    </w:p>
    <w:p>
      <w:pPr>
        <w:spacing w:line="440" w:lineRule="exact"/>
        <w:ind w:firstLine="2692" w:firstLineChars="1282"/>
        <w:rPr>
          <w:rFonts w:ascii="宋体" w:hAnsi="宋体"/>
          <w:sz w:val="21"/>
          <w:szCs w:val="21"/>
        </w:rPr>
      </w:pPr>
      <w:r>
        <w:rPr>
          <w:rFonts w:ascii="宋体" w:hAnsi="宋体"/>
          <w:sz w:val="21"/>
          <w:szCs w:val="21"/>
        </w:rPr>
        <w:t>委托代理人：</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（签字）</w:t>
      </w:r>
    </w:p>
    <w:p>
      <w:pPr>
        <w:spacing w:line="440" w:lineRule="exact"/>
        <w:ind w:firstLine="2692" w:firstLineChars="1282"/>
        <w:rPr>
          <w:rFonts w:ascii="宋体" w:hAnsi="宋体"/>
          <w:sz w:val="21"/>
          <w:szCs w:val="21"/>
        </w:rPr>
      </w:pPr>
      <w:r>
        <w:rPr>
          <w:rFonts w:ascii="宋体" w:hAnsi="宋体"/>
          <w:sz w:val="21"/>
          <w:szCs w:val="21"/>
        </w:rPr>
        <w:t>身份证号码：</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 xml:space="preserve">                            </w:t>
      </w:r>
      <w:r>
        <w:rPr>
          <w:rFonts w:ascii="宋体" w:hAnsi="宋体"/>
          <w:sz w:val="21"/>
          <w:szCs w:val="21"/>
          <w:u w:val="single"/>
        </w:rPr>
        <w:tab/>
      </w:r>
    </w:p>
    <w:p>
      <w:pPr>
        <w:spacing w:line="440" w:lineRule="exact"/>
        <w:ind w:firstLine="2692" w:firstLineChars="1282"/>
        <w:rPr>
          <w:rFonts w:ascii="宋体" w:hAnsi="宋体"/>
          <w:sz w:val="21"/>
          <w:szCs w:val="21"/>
        </w:rPr>
      </w:pPr>
    </w:p>
    <w:p>
      <w:pPr>
        <w:spacing w:line="440" w:lineRule="exact"/>
        <w:ind w:firstLine="4057" w:firstLineChars="1932"/>
        <w:jc w:val="right"/>
        <w:rPr>
          <w:rFonts w:ascii="宋体" w:hAnsi="宋体"/>
          <w:sz w:val="21"/>
          <w:szCs w:val="21"/>
        </w:rPr>
      </w:pP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ascii="宋体" w:hAnsi="宋体"/>
          <w:sz w:val="21"/>
          <w:szCs w:val="21"/>
        </w:rPr>
        <w:t>日</w:t>
      </w:r>
    </w:p>
    <w:p>
      <w:pPr>
        <w:rPr>
          <w:rFonts w:ascii="宋体" w:hAnsi="宋体"/>
          <w:sz w:val="21"/>
          <w:szCs w:val="21"/>
        </w:rPr>
      </w:pPr>
    </w:p>
    <w:p>
      <w:pPr>
        <w:rPr>
          <w:rFonts w:ascii="宋体" w:hAnsi="宋体"/>
          <w:sz w:val="21"/>
          <w:szCs w:val="21"/>
        </w:rPr>
      </w:pPr>
    </w:p>
    <w:p>
      <w:pPr>
        <w:spacing w:line="440" w:lineRule="exact"/>
        <w:rPr>
          <w:rFonts w:ascii="宋体" w:hAnsi="宋体"/>
          <w:sz w:val="21"/>
          <w:szCs w:val="21"/>
        </w:rPr>
      </w:pPr>
      <w:r>
        <w:rPr>
          <w:rFonts w:ascii="宋体" w:hAnsi="宋体"/>
          <w:sz w:val="21"/>
          <w:szCs w:val="21"/>
        </w:rPr>
        <w:t>注：本授权委托书需由</w:t>
      </w:r>
      <w:r>
        <w:rPr>
          <w:rFonts w:hint="eastAsia" w:ascii="宋体" w:hAnsi="宋体"/>
          <w:sz w:val="21"/>
          <w:szCs w:val="21"/>
        </w:rPr>
        <w:t>报价人</w:t>
      </w:r>
      <w:r>
        <w:rPr>
          <w:rFonts w:ascii="宋体" w:hAnsi="宋体"/>
          <w:sz w:val="21"/>
          <w:szCs w:val="21"/>
        </w:rPr>
        <w:t>加盖单位</w:t>
      </w:r>
      <w:r>
        <w:rPr>
          <w:rFonts w:hint="eastAsia" w:ascii="宋体" w:hAnsi="宋体"/>
          <w:sz w:val="21"/>
          <w:szCs w:val="21"/>
        </w:rPr>
        <w:t>公章</w:t>
      </w:r>
      <w:r>
        <w:rPr>
          <w:rFonts w:ascii="宋体" w:hAnsi="宋体"/>
          <w:sz w:val="21"/>
          <w:szCs w:val="21"/>
        </w:rPr>
        <w:t>并由其法定代表人和委托代理人签字。</w:t>
      </w:r>
    </w:p>
    <w:p>
      <w:pPr>
        <w:pStyle w:val="28"/>
        <w:rPr>
          <w:sz w:val="21"/>
          <w:szCs w:val="21"/>
        </w:rPr>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46" w:name="_Toc11329275"/>
      <w:r>
        <w:rPr>
          <w:rFonts w:hint="eastAsia" w:ascii="宋体" w:hAnsi="宋体" w:cs="宋体"/>
          <w:b/>
          <w:bCs/>
          <w:kern w:val="0"/>
          <w:sz w:val="28"/>
          <w:szCs w:val="32"/>
        </w:rPr>
        <w:t>三、</w:t>
      </w:r>
      <w:bookmarkEnd w:id="221"/>
      <w:bookmarkEnd w:id="222"/>
      <w:bookmarkEnd w:id="223"/>
      <w:bookmarkEnd w:id="246"/>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20" w:firstLineChars="200"/>
        <w:jc w:val="left"/>
        <w:rPr>
          <w:rFonts w:ascii="宋体" w:hAnsi="宋体"/>
          <w:b/>
          <w:color w:val="000000"/>
          <w:sz w:val="24"/>
        </w:rPr>
      </w:pPr>
      <w:r>
        <w:rPr>
          <w:rFonts w:hint="eastAsia" w:ascii="宋体" w:hAnsi="宋体" w:eastAsia="宋体" w:cs="Times New Roman"/>
        </w:rPr>
        <w:t>在研究了竞争比选文件中所有文件后，我司对</w:t>
      </w:r>
      <w:r>
        <w:rPr>
          <w:rFonts w:hint="eastAsia" w:ascii="宋体" w:hAnsi="宋体" w:cs="Times New Roman"/>
          <w:u w:val="single"/>
          <w:lang w:val="en-US" w:eastAsia="zh-CN"/>
        </w:rPr>
        <w:t>边坡风险性评价三维数值建模服务采购项目（第二次）</w:t>
      </w:r>
      <w:r>
        <w:rPr>
          <w:rFonts w:hint="eastAsia" w:ascii="宋体" w:hAnsi="宋体" w:eastAsia="宋体" w:cs="Times New Roman"/>
        </w:rPr>
        <w:t>竞争比选响应报价如下：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562" w:firstLineChars="200"/>
        <w:rPr>
          <w:rFonts w:ascii="宋体" w:hAnsi="宋体" w:cs="宋体"/>
          <w:kern w:val="0"/>
          <w:szCs w:val="21"/>
        </w:rPr>
      </w:pPr>
      <w:r>
        <w:rPr>
          <w:rFonts w:hint="eastAsia" w:ascii="宋体" w:hAnsi="宋体" w:cs="宋体"/>
          <w:b/>
          <w:kern w:val="0"/>
          <w:sz w:val="28"/>
          <w:szCs w:val="28"/>
        </w:rPr>
        <w:t xml:space="preserve"> </w:t>
      </w:r>
    </w:p>
    <w:p>
      <w:pPr>
        <w:pStyle w:val="4"/>
        <w:spacing w:before="0" w:after="0" w:line="360" w:lineRule="auto"/>
        <w:jc w:val="center"/>
        <w:rPr>
          <w:rFonts w:ascii="宋体" w:hAnsi="宋体" w:eastAsia="宋体" w:cs="宋体"/>
          <w:sz w:val="28"/>
        </w:rPr>
      </w:pPr>
      <w:bookmarkStart w:id="247" w:name="_Toc503951050"/>
      <w:bookmarkStart w:id="248" w:name="_Toc513633971"/>
      <w:bookmarkStart w:id="249" w:name="_Toc11329278"/>
      <w:bookmarkStart w:id="250" w:name="_Toc247085887"/>
      <w:bookmarkStart w:id="251" w:name="_Toc246997112"/>
      <w:bookmarkStart w:id="252" w:name="_Toc179632823"/>
      <w:bookmarkStart w:id="253" w:name="_Toc152045803"/>
      <w:bookmarkStart w:id="254" w:name="_Toc144974871"/>
      <w:bookmarkStart w:id="255" w:name="_Toc152042592"/>
      <w:bookmarkStart w:id="256" w:name="_Toc246996369"/>
      <w:bookmarkStart w:id="257" w:name="_Toc447827058"/>
      <w:r>
        <w:rPr>
          <w:rFonts w:hint="eastAsia" w:ascii="宋体" w:hAnsi="宋体" w:eastAsia="宋体" w:cs="宋体"/>
          <w:sz w:val="28"/>
        </w:rPr>
        <w:br w:type="page"/>
      </w:r>
      <w:bookmarkStart w:id="258" w:name="_Toc12910"/>
      <w:bookmarkStart w:id="259" w:name="_Toc11961"/>
      <w:bookmarkStart w:id="260" w:name="_Toc7430"/>
      <w:bookmarkStart w:id="261" w:name="_Toc18757"/>
      <w:r>
        <w:rPr>
          <w:rFonts w:hint="eastAsia" w:ascii="宋体" w:hAnsi="宋体" w:eastAsia="宋体" w:cs="宋体"/>
          <w:sz w:val="28"/>
        </w:rPr>
        <w:t>四、资格审查资料</w:t>
      </w:r>
      <w:bookmarkEnd w:id="247"/>
      <w:bookmarkEnd w:id="248"/>
      <w:bookmarkEnd w:id="249"/>
      <w:bookmarkEnd w:id="258"/>
      <w:bookmarkEnd w:id="259"/>
      <w:bookmarkEnd w:id="260"/>
      <w:bookmarkEnd w:id="261"/>
    </w:p>
    <w:p>
      <w:pPr>
        <w:pStyle w:val="4"/>
        <w:spacing w:before="0" w:after="0" w:line="360" w:lineRule="auto"/>
        <w:jc w:val="center"/>
        <w:rPr>
          <w:rFonts w:ascii="宋体" w:hAnsi="宋体" w:eastAsia="宋体" w:cs="宋体"/>
          <w:sz w:val="28"/>
        </w:rPr>
      </w:pPr>
      <w:bookmarkStart w:id="262" w:name="_Toc17915"/>
      <w:bookmarkStart w:id="263" w:name="_Toc22003"/>
      <w:bookmarkStart w:id="264" w:name="_Toc25219"/>
      <w:bookmarkStart w:id="265" w:name="_Toc32456"/>
      <w:r>
        <w:rPr>
          <w:rFonts w:hint="eastAsia" w:ascii="宋体" w:hAnsi="宋体" w:eastAsia="宋体" w:cs="宋体"/>
          <w:sz w:val="28"/>
        </w:rPr>
        <w:t>（营业执照、资质证书、业绩要求、</w:t>
      </w:r>
      <w:r>
        <w:rPr>
          <w:rFonts w:hint="eastAsia" w:ascii="宋体" w:hAnsi="宋体" w:eastAsia="宋体" w:cs="宋体"/>
          <w:sz w:val="28"/>
          <w:lang w:val="en-US" w:eastAsia="zh-CN"/>
        </w:rPr>
        <w:t>信誉要求</w:t>
      </w:r>
      <w:r>
        <w:rPr>
          <w:rFonts w:hint="eastAsia" w:ascii="宋体" w:hAnsi="宋体" w:eastAsia="宋体" w:cs="宋体"/>
          <w:sz w:val="28"/>
        </w:rPr>
        <w:t>等）</w:t>
      </w:r>
      <w:bookmarkEnd w:id="262"/>
      <w:bookmarkEnd w:id="263"/>
      <w:bookmarkEnd w:id="264"/>
      <w:bookmarkEnd w:id="265"/>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营业执照</w:t>
      </w:r>
      <w:r>
        <w:rPr>
          <w:rFonts w:hint="eastAsia" w:ascii="宋体" w:hAnsi="宋体" w:eastAsia="宋体" w:cs="Times New Roman"/>
          <w:sz w:val="21"/>
          <w:szCs w:val="21"/>
          <w:lang w:val="en-US" w:eastAsia="zh-CN"/>
        </w:rPr>
        <w:t>及资质证书</w:t>
      </w:r>
    </w:p>
    <w:p>
      <w:pPr>
        <w:spacing w:line="360" w:lineRule="auto"/>
        <w:ind w:left="840" w:leftChars="200" w:hanging="420" w:hangingChars="200"/>
        <w:jc w:val="left"/>
        <w:rPr>
          <w:rFonts w:hint="eastAsia" w:ascii="宋体" w:hAnsi="宋体" w:eastAsia="宋体" w:cs="Times New Roman"/>
          <w:sz w:val="21"/>
          <w:szCs w:val="21"/>
        </w:rPr>
      </w:pPr>
      <w:r>
        <w:rPr>
          <w:rFonts w:hint="eastAsia" w:ascii="宋体" w:hAnsi="宋体" w:eastAsia="宋体" w:cs="Times New Roman"/>
          <w:sz w:val="21"/>
          <w:szCs w:val="21"/>
        </w:rPr>
        <w:t>注：</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报价人具有独立法人资格和有效的营业执照</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经营范围至少包含计算机软、硬件开发</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技术咨询服务或应用基础科学研究等内容</w:t>
      </w:r>
      <w:r>
        <w:rPr>
          <w:rFonts w:hint="eastAsia" w:ascii="宋体" w:hAnsi="宋体" w:cs="Times New Roman"/>
          <w:sz w:val="21"/>
          <w:szCs w:val="21"/>
          <w:lang w:val="en-US" w:eastAsia="zh-CN"/>
        </w:rPr>
        <w:t>）</w:t>
      </w:r>
      <w:r>
        <w:rPr>
          <w:rFonts w:hint="eastAsia" w:ascii="宋体" w:hAnsi="宋体" w:eastAsia="宋体" w:cs="Times New Roman"/>
          <w:sz w:val="21"/>
          <w:szCs w:val="21"/>
        </w:rPr>
        <w:t>，并加盖报价人公章；</w:t>
      </w:r>
      <w:r>
        <w:rPr>
          <w:rFonts w:hint="eastAsia" w:ascii="宋体" w:hAnsi="宋体" w:eastAsia="宋体" w:cs="Times New Roman"/>
          <w:sz w:val="21"/>
          <w:szCs w:val="21"/>
        </w:rPr>
        <w:br w:type="textWrapping"/>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业绩要求</w:t>
      </w:r>
    </w:p>
    <w:p>
      <w:pPr>
        <w:spacing w:line="360" w:lineRule="auto"/>
        <w:ind w:firstLine="420" w:firstLineChars="200"/>
        <w:jc w:val="left"/>
        <w:rPr>
          <w:rFonts w:hint="eastAsia" w:ascii="宋体" w:hAnsi="宋体" w:eastAsia="宋体" w:cs="Times New Roman"/>
          <w:sz w:val="21"/>
          <w:szCs w:val="21"/>
          <w:lang w:eastAsia="zh-CN"/>
        </w:rPr>
      </w:pPr>
      <w:r>
        <w:rPr>
          <w:rFonts w:hint="eastAsia" w:ascii="宋体" w:hAnsi="宋体" w:eastAsia="宋体" w:cs="Times New Roman"/>
          <w:sz w:val="21"/>
          <w:szCs w:val="21"/>
        </w:rPr>
        <w:t>注：</w:t>
      </w:r>
      <w:r>
        <w:rPr>
          <w:rFonts w:hint="eastAsia" w:ascii="宋体" w:hAnsi="宋体" w:eastAsia="宋体" w:cs="Times New Roman"/>
          <w:sz w:val="21"/>
          <w:szCs w:val="21"/>
          <w:lang w:val="en-US" w:eastAsia="zh-CN"/>
        </w:rPr>
        <w:t>报价人在2020年1月1日至报价截止日期（以合同签订时间为准）至少具有一个合同金额在20万元及以上的信息化服务</w:t>
      </w:r>
      <w:r>
        <w:rPr>
          <w:rFonts w:hint="eastAsia" w:ascii="宋体" w:hAnsi="宋体" w:eastAsia="宋体" w:cs="Times New Roman"/>
          <w:sz w:val="21"/>
          <w:szCs w:val="21"/>
          <w:lang w:eastAsia="zh-CN"/>
        </w:rPr>
        <w:t>相关</w:t>
      </w:r>
      <w:r>
        <w:rPr>
          <w:rFonts w:hint="eastAsia" w:ascii="宋体" w:hAnsi="宋体" w:eastAsia="宋体" w:cs="Times New Roman"/>
          <w:sz w:val="21"/>
          <w:szCs w:val="21"/>
          <w:lang w:val="en-US" w:eastAsia="zh-CN"/>
        </w:rPr>
        <w:t>合同业绩（提供合同扫描件）</w:t>
      </w:r>
      <w:r>
        <w:rPr>
          <w:rFonts w:hint="eastAsia" w:ascii="宋体" w:hAnsi="宋体" w:eastAsia="宋体" w:cs="Times New Roman"/>
          <w:sz w:val="21"/>
          <w:szCs w:val="21"/>
          <w:lang w:eastAsia="zh-CN"/>
        </w:rPr>
        <w:t>；</w:t>
      </w:r>
    </w:p>
    <w:p>
      <w:pPr>
        <w:spacing w:line="360" w:lineRule="auto"/>
        <w:ind w:firstLine="420" w:firstLineChars="200"/>
        <w:jc w:val="left"/>
        <w:rPr>
          <w:rFonts w:hint="eastAsia" w:ascii="宋体" w:hAnsi="宋体" w:eastAsia="宋体" w:cs="Times New Roman"/>
          <w:sz w:val="21"/>
          <w:szCs w:val="21"/>
        </w:rPr>
      </w:pP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信誉要求</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注：请附在国家企业信用信息公示系统（http://www.gsxt.gov.cn/）中未被列入严重违法失信企业名单（黑名单）信息，及在“信用中国”网站（http://www.creditchina.gov.cn/）中未被列入失信惩戒执行人名单截图（参见下图），并加盖报价人公章；</w:t>
      </w:r>
    </w:p>
    <w:p>
      <w:pPr>
        <w:rPr>
          <w:sz w:val="21"/>
          <w:szCs w:val="21"/>
        </w:rPr>
      </w:pPr>
    </w:p>
    <w:p>
      <w:pPr>
        <w:pStyle w:val="2"/>
        <w:rPr>
          <w:sz w:val="21"/>
          <w:szCs w:val="21"/>
        </w:rPr>
      </w:pPr>
    </w:p>
    <w:p>
      <w:pPr>
        <w:rPr>
          <w:sz w:val="21"/>
          <w:szCs w:val="21"/>
        </w:rPr>
      </w:pPr>
    </w:p>
    <w:bookmarkEnd w:id="250"/>
    <w:bookmarkEnd w:id="251"/>
    <w:bookmarkEnd w:id="252"/>
    <w:bookmarkEnd w:id="253"/>
    <w:bookmarkEnd w:id="254"/>
    <w:bookmarkEnd w:id="255"/>
    <w:bookmarkEnd w:id="256"/>
    <w:bookmarkEnd w:id="257"/>
    <w:p>
      <w:pPr>
        <w:rPr>
          <w:sz w:val="21"/>
          <w:szCs w:val="21"/>
        </w:rPr>
      </w:pPr>
      <w:bookmarkStart w:id="266" w:name="_Toc503951055"/>
      <w:bookmarkStart w:id="267" w:name="_Toc447827068"/>
      <w:bookmarkStart w:id="268" w:name="_Toc513633973"/>
      <w:bookmarkStart w:id="269" w:name="_Toc11329281"/>
      <w:bookmarkStart w:id="270" w:name="_Toc11672"/>
    </w:p>
    <w:p>
      <w:pPr>
        <w:pStyle w:val="2"/>
        <w:rPr>
          <w:sz w:val="21"/>
          <w:szCs w:val="21"/>
        </w:rPr>
      </w:pPr>
    </w:p>
    <w:p>
      <w:pPr>
        <w:rPr>
          <w:sz w:val="21"/>
          <w:szCs w:val="21"/>
        </w:rPr>
      </w:pPr>
    </w:p>
    <w:p>
      <w:pPr>
        <w:pStyle w:val="149"/>
        <w:adjustRightInd/>
        <w:spacing w:line="360" w:lineRule="auto"/>
        <w:rPr>
          <w:rFonts w:hint="eastAsia" w:hAnsi="宋体"/>
          <w:color w:val="auto"/>
          <w:sz w:val="21"/>
          <w:szCs w:val="21"/>
        </w:rPr>
      </w:pPr>
    </w:p>
    <w:p>
      <w:pPr>
        <w:pStyle w:val="149"/>
        <w:adjustRightInd/>
        <w:spacing w:line="360" w:lineRule="auto"/>
        <w:rPr>
          <w:rFonts w:hint="eastAsia" w:hAnsi="宋体"/>
          <w:color w:val="auto"/>
          <w:sz w:val="21"/>
          <w:szCs w:val="21"/>
        </w:rPr>
      </w:pPr>
    </w:p>
    <w:p>
      <w:pPr>
        <w:pStyle w:val="149"/>
        <w:adjustRightInd/>
        <w:spacing w:line="360" w:lineRule="auto"/>
        <w:rPr>
          <w:rFonts w:hint="eastAsia" w:hAnsi="宋体"/>
          <w:color w:val="auto"/>
          <w:sz w:val="21"/>
          <w:szCs w:val="21"/>
        </w:rPr>
      </w:pPr>
    </w:p>
    <w:p>
      <w:pPr>
        <w:pStyle w:val="149"/>
        <w:adjustRightInd/>
        <w:spacing w:line="360" w:lineRule="auto"/>
        <w:rPr>
          <w:rFonts w:hint="eastAsia" w:hAnsi="宋体"/>
          <w:color w:val="auto"/>
          <w:sz w:val="21"/>
          <w:szCs w:val="21"/>
        </w:rPr>
      </w:pPr>
    </w:p>
    <w:p>
      <w:pPr>
        <w:pStyle w:val="149"/>
        <w:adjustRightInd/>
        <w:spacing w:line="360" w:lineRule="auto"/>
        <w:rPr>
          <w:rFonts w:hint="eastAsia" w:hAnsi="宋体"/>
          <w:color w:val="auto"/>
          <w:sz w:val="21"/>
          <w:szCs w:val="21"/>
        </w:rPr>
      </w:pPr>
    </w:p>
    <w:p>
      <w:pPr>
        <w:pStyle w:val="149"/>
        <w:adjustRightInd/>
        <w:spacing w:line="360" w:lineRule="auto"/>
        <w:rPr>
          <w:rFonts w:hint="eastAsia" w:hAnsi="宋体"/>
          <w:color w:val="auto"/>
          <w:sz w:val="21"/>
          <w:szCs w:val="21"/>
        </w:rPr>
      </w:pPr>
    </w:p>
    <w:p>
      <w:pPr>
        <w:pStyle w:val="149"/>
        <w:adjustRightInd/>
        <w:spacing w:line="360" w:lineRule="auto"/>
        <w:rPr>
          <w:rFonts w:hint="eastAsia" w:hAnsi="宋体"/>
          <w:color w:val="auto"/>
          <w:sz w:val="21"/>
          <w:szCs w:val="21"/>
        </w:rPr>
      </w:pPr>
    </w:p>
    <w:p>
      <w:pPr>
        <w:pStyle w:val="149"/>
        <w:adjustRightInd/>
        <w:spacing w:line="360" w:lineRule="auto"/>
        <w:rPr>
          <w:rFonts w:hint="eastAsia" w:hAnsi="宋体"/>
          <w:color w:val="auto"/>
          <w:sz w:val="21"/>
          <w:szCs w:val="21"/>
        </w:rPr>
      </w:pPr>
    </w:p>
    <w:p>
      <w:pPr>
        <w:pStyle w:val="149"/>
        <w:adjustRightInd/>
        <w:spacing w:line="360" w:lineRule="auto"/>
        <w:rPr>
          <w:rFonts w:hint="eastAsia" w:hAnsi="宋体"/>
          <w:color w:val="auto"/>
          <w:sz w:val="21"/>
          <w:szCs w:val="21"/>
        </w:rPr>
      </w:pPr>
    </w:p>
    <w:bookmarkEnd w:id="266"/>
    <w:bookmarkEnd w:id="267"/>
    <w:bookmarkEnd w:id="268"/>
    <w:p>
      <w:pPr>
        <w:pStyle w:val="4"/>
        <w:numPr>
          <w:ilvl w:val="0"/>
          <w:numId w:val="9"/>
        </w:numPr>
        <w:spacing w:before="0" w:after="0" w:line="360" w:lineRule="auto"/>
        <w:jc w:val="center"/>
        <w:rPr>
          <w:rFonts w:hint="eastAsia" w:ascii="宋体" w:hAnsi="宋体" w:eastAsia="宋体" w:cs="宋体"/>
          <w:sz w:val="28"/>
        </w:rPr>
      </w:pPr>
      <w:bookmarkStart w:id="271" w:name="_Toc29559"/>
      <w:bookmarkStart w:id="272" w:name="_Toc11243"/>
      <w:bookmarkStart w:id="273" w:name="_Toc28818"/>
      <w:r>
        <w:rPr>
          <w:rFonts w:hint="eastAsia" w:ascii="宋体" w:hAnsi="宋体" w:eastAsia="宋体" w:cs="宋体"/>
          <w:sz w:val="28"/>
        </w:rPr>
        <w:t>报价人须知前附表规定的材料</w:t>
      </w:r>
      <w:bookmarkEnd w:id="269"/>
      <w:bookmarkEnd w:id="270"/>
      <w:bookmarkEnd w:id="271"/>
      <w:bookmarkEnd w:id="272"/>
      <w:bookmarkEnd w:id="273"/>
    </w:p>
    <w:p>
      <w:pPr>
        <w:spacing w:line="360" w:lineRule="auto"/>
        <w:jc w:val="both"/>
        <w:outlineLvl w:val="1"/>
        <w:rPr>
          <w:rFonts w:hint="eastAsia" w:ascii="宋体" w:hAnsi="宋体" w:cs="宋体"/>
          <w:b/>
          <w:bCs/>
          <w:kern w:val="0"/>
          <w:sz w:val="28"/>
          <w:szCs w:val="32"/>
        </w:rPr>
      </w:pPr>
      <w:bookmarkStart w:id="274" w:name="_Toc8299"/>
      <w:bookmarkStart w:id="275" w:name="bookmark81"/>
      <w:bookmarkStart w:id="276" w:name="_Toc503951058"/>
      <w:bookmarkStart w:id="277" w:name="_Toc513633974"/>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78" w:name="_Toc15805"/>
      <w:r>
        <w:rPr>
          <w:rFonts w:hint="eastAsia" w:ascii="宋体" w:hAnsi="宋体" w:cs="宋体"/>
          <w:b/>
          <w:bCs/>
          <w:kern w:val="0"/>
          <w:sz w:val="28"/>
          <w:szCs w:val="32"/>
        </w:rPr>
        <w:t>（</w:t>
      </w:r>
      <w:r>
        <w:rPr>
          <w:rFonts w:hint="eastAsia" w:ascii="宋体" w:hAnsi="宋体" w:cs="宋体"/>
          <w:b/>
          <w:bCs/>
          <w:kern w:val="0"/>
          <w:sz w:val="28"/>
          <w:szCs w:val="32"/>
          <w:lang w:val="en-US" w:eastAsia="zh-CN"/>
        </w:rPr>
        <w:t>一</w:t>
      </w:r>
      <w:r>
        <w:rPr>
          <w:rFonts w:hint="eastAsia" w:ascii="宋体" w:hAnsi="宋体" w:cs="宋体"/>
          <w:b/>
          <w:bCs/>
          <w:kern w:val="0"/>
          <w:sz w:val="28"/>
          <w:szCs w:val="32"/>
        </w:rPr>
        <w:t>）商务评分资料</w:t>
      </w:r>
      <w:bookmarkEnd w:id="274"/>
      <w:bookmarkEnd w:id="278"/>
    </w:p>
    <w:p>
      <w:pPr>
        <w:pStyle w:val="172"/>
        <w:ind w:firstLine="480"/>
        <w:jc w:val="center"/>
        <w:rPr>
          <w:rFonts w:hint="eastAsia" w:ascii="宋体" w:hAnsi="宋体" w:eastAsia="宋体" w:cs="Times New Roman"/>
          <w:kern w:val="2"/>
          <w:sz w:val="21"/>
          <w:szCs w:val="24"/>
          <w:lang w:val="en-US" w:eastAsia="zh-CN" w:bidi="ar-SA"/>
        </w:rPr>
      </w:pPr>
      <w:bookmarkStart w:id="279" w:name="OLE_LINK34"/>
      <w:r>
        <w:rPr>
          <w:rFonts w:hint="eastAsia" w:ascii="宋体" w:hAnsi="宋体" w:eastAsia="宋体" w:cs="Times New Roman"/>
          <w:kern w:val="2"/>
          <w:sz w:val="21"/>
          <w:szCs w:val="24"/>
          <w:lang w:val="en-US" w:eastAsia="zh-CN" w:bidi="ar-SA"/>
        </w:rPr>
        <w:t>商务及技术部分</w:t>
      </w:r>
      <w:bookmarkEnd w:id="279"/>
      <w:r>
        <w:rPr>
          <w:rFonts w:hint="eastAsia" w:ascii="宋体" w:hAnsi="宋体" w:eastAsia="宋体" w:cs="Times New Roman"/>
          <w:kern w:val="2"/>
          <w:sz w:val="21"/>
          <w:szCs w:val="24"/>
          <w:lang w:val="en-US" w:eastAsia="zh-CN" w:bidi="ar-SA"/>
        </w:rPr>
        <w:t>资料目录</w:t>
      </w:r>
    </w:p>
    <w:tbl>
      <w:tblPr>
        <w:tblStyle w:val="43"/>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029"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应加分数</w:t>
            </w:r>
          </w:p>
        </w:tc>
        <w:tc>
          <w:tcPr>
            <w:tcW w:w="1052"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17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02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249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7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39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05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99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1029"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业绩材料</w:t>
            </w:r>
          </w:p>
        </w:tc>
        <w:tc>
          <w:tcPr>
            <w:tcW w:w="2492" w:type="dxa"/>
            <w:vAlign w:val="center"/>
          </w:tcPr>
          <w:p>
            <w:pPr>
              <w:keepNext w:val="0"/>
              <w:keepLines w:val="0"/>
              <w:suppressLineNumbers w:val="0"/>
              <w:snapToGrid w:val="0"/>
              <w:spacing w:before="0" w:beforeAutospacing="0" w:after="0" w:afterAutospacing="0" w:line="400" w:lineRule="exact"/>
              <w:ind w:left="0" w:right="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报价人在2020年1月1日至报价截止日期（以合同签订时间为准）至少具有一个合同金额在20万元及以上的信息化服务</w:t>
            </w:r>
            <w:r>
              <w:rPr>
                <w:rFonts w:hint="eastAsia" w:asciiTheme="minorEastAsia" w:hAnsiTheme="minorEastAsia" w:eastAsiaTheme="minorEastAsia" w:cstheme="minorEastAsia"/>
                <w:sz w:val="18"/>
                <w:szCs w:val="18"/>
                <w:lang w:eastAsia="zh-CN"/>
              </w:rPr>
              <w:t>相关</w:t>
            </w:r>
            <w:r>
              <w:rPr>
                <w:rFonts w:hint="eastAsia" w:asciiTheme="minorEastAsia" w:hAnsiTheme="minorEastAsia" w:eastAsiaTheme="minorEastAsia" w:cstheme="minorEastAsia"/>
                <w:sz w:val="18"/>
                <w:szCs w:val="18"/>
                <w:lang w:val="en-US" w:eastAsia="zh-CN"/>
              </w:rPr>
              <w:t>合同业绩（提供合同扫描件）</w:t>
            </w:r>
            <w:r>
              <w:rPr>
                <w:rFonts w:hint="eastAsia" w:asciiTheme="minorEastAsia" w:hAnsiTheme="minorEastAsia" w:eastAsiaTheme="minorEastAsia" w:cstheme="minorEastAsia"/>
                <w:sz w:val="18"/>
                <w:szCs w:val="18"/>
              </w:rPr>
              <w:t>。</w:t>
            </w: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XX业绩复印件</w:t>
            </w:r>
          </w:p>
        </w:tc>
        <w:tc>
          <w:tcPr>
            <w:tcW w:w="139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资格要求</w:t>
            </w:r>
          </w:p>
        </w:tc>
        <w:tc>
          <w:tcPr>
            <w:tcW w:w="105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证明材料1</w:t>
            </w:r>
          </w:p>
        </w:tc>
        <w:tc>
          <w:tcPr>
            <w:tcW w:w="99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1029"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服务能力</w:t>
            </w:r>
          </w:p>
        </w:tc>
        <w:tc>
          <w:tcPr>
            <w:tcW w:w="2492" w:type="dxa"/>
          </w:tcPr>
          <w:p>
            <w:pPr>
              <w:keepNext w:val="0"/>
              <w:keepLines w:val="0"/>
              <w:suppressLineNumbers w:val="0"/>
              <w:spacing w:before="0" w:beforeAutospacing="0" w:after="0" w:afterAutospacing="0" w:line="360" w:lineRule="auto"/>
              <w:ind w:left="0" w:right="0"/>
              <w:jc w:val="left"/>
              <w:rPr>
                <w:rFonts w:hint="default"/>
                <w:b/>
                <w:sz w:val="28"/>
                <w:szCs w:val="28"/>
              </w:rPr>
            </w:pPr>
            <w:r>
              <w:rPr>
                <w:rFonts w:hint="eastAsia" w:asciiTheme="minorEastAsia" w:hAnsiTheme="minorEastAsia" w:eastAsiaTheme="minorEastAsia" w:cstheme="minorEastAsia"/>
                <w:sz w:val="18"/>
                <w:szCs w:val="18"/>
                <w:lang w:val="en-US" w:eastAsia="zh-CN"/>
              </w:rPr>
              <w:t>投标人项目团队人员3人及以上，需为报价人自有员工，满足得2分，不满足不得分，要求提供2023年4月至9月其中三个月社保证明材料（提供的养老保险参保证明须体现上述人员的姓名、身份证号或社保号、单位名称、本单位参保时间或起始参保时间，并带有社保部门公章或社保部门的有效电子印章）绩得2分，满分2分。</w:t>
            </w: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XX社保资料</w:t>
            </w:r>
          </w:p>
        </w:tc>
        <w:tc>
          <w:tcPr>
            <w:tcW w:w="139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rPr>
            </w:pPr>
            <w:r>
              <w:rPr>
                <w:rFonts w:hint="eastAsia" w:asciiTheme="minorEastAsia" w:hAnsiTheme="minorEastAsia" w:eastAsiaTheme="minorEastAsia" w:cstheme="minorEastAsia"/>
                <w:sz w:val="18"/>
                <w:szCs w:val="18"/>
                <w:lang w:val="en-US" w:eastAsia="zh-CN"/>
              </w:rPr>
              <w:t>2分</w:t>
            </w: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证明材料</w:t>
            </w:r>
            <w:r>
              <w:rPr>
                <w:rFonts w:hint="eastAsia" w:asciiTheme="minorEastAsia" w:hAnsiTheme="minorEastAsia" w:eastAsiaTheme="minorEastAsia" w:cstheme="minorEastAsia"/>
                <w:sz w:val="18"/>
                <w:szCs w:val="18"/>
                <w:lang w:val="en-US" w:eastAsia="zh-CN"/>
              </w:rPr>
              <w:t>2</w:t>
            </w: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服务能力</w:t>
            </w: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项目团队负责人具有土木工程专业博士毕业证书，主要从事边坡稳定性研究，得2分，满分2分</w:t>
            </w:r>
            <w:r>
              <w:rPr>
                <w:rFonts w:hint="eastAsia" w:asciiTheme="minorEastAsia" w:hAnsiTheme="minorEastAsia" w:eastAsiaTheme="minorEastAsia" w:cstheme="minorEastAsia"/>
                <w:sz w:val="18"/>
                <w:szCs w:val="18"/>
                <w:lang w:val="en-US" w:eastAsia="zh-CN"/>
              </w:rPr>
              <w:t>。</w:t>
            </w: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XX</w:t>
            </w:r>
            <w:r>
              <w:rPr>
                <w:rFonts w:hint="eastAsia" w:asciiTheme="minorEastAsia" w:hAnsiTheme="minorEastAsia" w:eastAsiaTheme="minorEastAsia" w:cstheme="minorEastAsia"/>
                <w:sz w:val="18"/>
                <w:szCs w:val="18"/>
                <w:lang w:val="en-US" w:eastAsia="zh-CN"/>
              </w:rPr>
              <w:t>证书</w:t>
            </w: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2分</w:t>
            </w: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证明材料</w:t>
            </w:r>
            <w:r>
              <w:rPr>
                <w:rFonts w:hint="eastAsia" w:asciiTheme="minorEastAsia" w:hAnsiTheme="minorEastAsia" w:eastAsiaTheme="minorEastAsia" w:cstheme="minorEastAsia"/>
                <w:sz w:val="18"/>
                <w:szCs w:val="18"/>
                <w:lang w:val="en-US" w:eastAsia="zh-CN"/>
              </w:rPr>
              <w:t>3</w:t>
            </w: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业绩材料</w:t>
            </w: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报价人在2020年1月1日至报价截止日期每增加一项合同金额20万元及以上的信息化服务合同业绩得2分，满分4分</w:t>
            </w:r>
            <w:r>
              <w:rPr>
                <w:rFonts w:hint="eastAsia" w:asciiTheme="minorEastAsia" w:hAnsiTheme="minorEastAsia" w:eastAsiaTheme="minorEastAsia" w:cstheme="minorEastAsia"/>
                <w:sz w:val="18"/>
                <w:szCs w:val="18"/>
                <w:lang w:val="en-US" w:eastAsia="zh-CN"/>
              </w:rPr>
              <w:t>。</w:t>
            </w: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rPr>
            </w:pPr>
            <w:r>
              <w:rPr>
                <w:rFonts w:hint="eastAsia" w:asciiTheme="minorEastAsia" w:hAnsiTheme="minorEastAsia" w:eastAsiaTheme="minorEastAsia" w:cstheme="minorEastAsia"/>
                <w:sz w:val="18"/>
                <w:szCs w:val="18"/>
                <w:lang w:val="en-US" w:eastAsia="zh-CN"/>
              </w:rPr>
              <w:t>XX业绩复印件</w:t>
            </w: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rPr>
            </w:pPr>
            <w:r>
              <w:rPr>
                <w:rFonts w:hint="eastAsia" w:asciiTheme="minorEastAsia" w:hAnsiTheme="minorEastAsia" w:eastAsiaTheme="minorEastAsia" w:cstheme="minorEastAsia"/>
                <w:sz w:val="18"/>
                <w:szCs w:val="18"/>
                <w:lang w:val="en-US" w:eastAsia="zh-CN"/>
              </w:rPr>
              <w:t>2分</w:t>
            </w: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eastAsiaTheme="minorEastAsia"/>
                <w:b/>
                <w:sz w:val="28"/>
                <w:szCs w:val="28"/>
                <w:lang w:eastAsia="zh-CN"/>
              </w:rPr>
            </w:pPr>
            <w:r>
              <w:rPr>
                <w:rFonts w:hint="eastAsia" w:asciiTheme="minorEastAsia" w:hAnsiTheme="minorEastAsia" w:eastAsiaTheme="minorEastAsia" w:cstheme="minorEastAsia"/>
                <w:sz w:val="18"/>
                <w:szCs w:val="18"/>
              </w:rPr>
              <w:t>证明材料</w:t>
            </w:r>
            <w:r>
              <w:rPr>
                <w:rFonts w:hint="eastAsia" w:asciiTheme="minorEastAsia" w:hAnsiTheme="minorEastAsia" w:eastAsiaTheme="minorEastAsia" w:cstheme="minorEastAsia"/>
                <w:sz w:val="18"/>
                <w:szCs w:val="18"/>
                <w:lang w:val="en-US" w:eastAsia="zh-CN"/>
              </w:rPr>
              <w:t>4</w:t>
            </w: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rPr>
            </w:pPr>
            <w:r>
              <w:rPr>
                <w:rFonts w:hint="eastAsia" w:asciiTheme="minorEastAsia" w:hAnsiTheme="minorEastAsia" w:eastAsiaTheme="minorEastAsia" w:cstheme="minorEastAsia"/>
                <w:sz w:val="18"/>
                <w:szCs w:val="18"/>
                <w:lang w:val="en-US" w:eastAsia="zh-CN"/>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29" w:type="dxa"/>
          </w:tcPr>
          <w:p>
            <w:pPr>
              <w:keepNext w:val="0"/>
              <w:keepLines w:val="0"/>
              <w:suppressLineNumbers w:val="0"/>
              <w:spacing w:before="0" w:beforeAutospacing="0" w:after="0" w:afterAutospacing="0" w:line="360" w:lineRule="auto"/>
              <w:ind w:left="0" w:right="0"/>
              <w:jc w:val="center"/>
              <w:rPr>
                <w:rFonts w:hint="default" w:eastAsia="宋体"/>
                <w:b/>
                <w:sz w:val="28"/>
                <w:szCs w:val="28"/>
                <w:lang w:val="en-US" w:eastAsia="zh-CN"/>
              </w:rPr>
            </w:pPr>
            <w:r>
              <w:rPr>
                <w:rFonts w:hint="eastAsia"/>
                <w:b/>
                <w:sz w:val="28"/>
                <w:szCs w:val="28"/>
                <w:lang w:val="en-US" w:eastAsia="zh-CN"/>
              </w:rPr>
              <w:t>....</w:t>
            </w: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29"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bl>
    <w:p>
      <w:pPr>
        <w:numPr>
          <w:ilvl w:val="0"/>
          <w:numId w:val="0"/>
        </w:numPr>
        <w:spacing w:line="360" w:lineRule="auto"/>
        <w:jc w:val="both"/>
        <w:outlineLvl w:val="1"/>
        <w:rPr>
          <w:rFonts w:hint="eastAsia" w:ascii="宋体" w:hAnsi="宋体" w:cs="宋体"/>
          <w:b/>
          <w:bCs/>
          <w:kern w:val="0"/>
          <w:sz w:val="28"/>
          <w:szCs w:val="32"/>
          <w:lang w:val="en-US" w:eastAsia="zh-CN"/>
        </w:rPr>
      </w:pPr>
      <w:bookmarkStart w:id="280" w:name="_Toc30564"/>
      <w:bookmarkStart w:id="281" w:name="_Toc30447"/>
    </w:p>
    <w:p>
      <w:pPr>
        <w:pStyle w:val="42"/>
        <w:rPr>
          <w:rFonts w:hint="eastAsia"/>
          <w:lang w:val="en-US" w:eastAsia="zh-CN"/>
        </w:rPr>
      </w:pPr>
    </w:p>
    <w:p>
      <w:pPr>
        <w:numPr>
          <w:ilvl w:val="0"/>
          <w:numId w:val="10"/>
        </w:numPr>
        <w:spacing w:line="360" w:lineRule="auto"/>
        <w:jc w:val="center"/>
        <w:outlineLvl w:val="1"/>
        <w:rPr>
          <w:rFonts w:hint="eastAsia" w:ascii="宋体" w:hAnsi="宋体" w:cs="宋体"/>
          <w:b/>
          <w:bCs/>
          <w:kern w:val="0"/>
          <w:sz w:val="28"/>
          <w:szCs w:val="32"/>
          <w:lang w:val="en-US" w:eastAsia="zh-CN"/>
        </w:rPr>
      </w:pPr>
      <w:r>
        <w:rPr>
          <w:rFonts w:hint="eastAsia" w:ascii="宋体" w:hAnsi="宋体" w:cs="宋体"/>
          <w:b/>
          <w:bCs/>
          <w:kern w:val="0"/>
          <w:sz w:val="28"/>
          <w:szCs w:val="32"/>
          <w:lang w:val="en-US" w:eastAsia="zh-CN"/>
        </w:rPr>
        <w:t>产品技术指标</w:t>
      </w:r>
    </w:p>
    <w:p>
      <w:pPr>
        <w:numPr>
          <w:ilvl w:val="0"/>
          <w:numId w:val="0"/>
        </w:numPr>
        <w:spacing w:line="360" w:lineRule="auto"/>
        <w:ind w:firstLine="420" w:firstLineChars="200"/>
        <w:jc w:val="both"/>
        <w:outlineLvl w:val="1"/>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rPr>
        <w:tab/>
      </w:r>
      <w:r>
        <w:rPr>
          <w:rFonts w:hint="eastAsia" w:ascii="宋体" w:hAnsi="宋体" w:cs="宋体"/>
          <w:szCs w:val="21"/>
          <w:lang w:val="en-US" w:eastAsia="zh-CN"/>
        </w:rPr>
        <w:t>按照第六章技术标准和工作要求（二、技术要求）进行响应评审：</w:t>
      </w:r>
    </w:p>
    <w:p>
      <w:pPr>
        <w:numPr>
          <w:ilvl w:val="0"/>
          <w:numId w:val="0"/>
        </w:numPr>
        <w:spacing w:line="360" w:lineRule="auto"/>
        <w:ind w:firstLine="420" w:firstLineChars="200"/>
        <w:jc w:val="both"/>
        <w:outlineLvl w:val="1"/>
        <w:rPr>
          <w:rFonts w:hint="eastAsia" w:ascii="宋体" w:hAnsi="宋体" w:cs="宋体"/>
          <w:szCs w:val="21"/>
          <w:lang w:val="en-US" w:eastAsia="zh-CN"/>
        </w:rPr>
      </w:pPr>
      <w:r>
        <w:rPr>
          <w:rFonts w:hint="eastAsia" w:ascii="宋体" w:hAnsi="宋体" w:cs="宋体"/>
          <w:szCs w:val="21"/>
          <w:lang w:val="en-US" w:eastAsia="zh-CN"/>
        </w:rPr>
        <w:t>（1）★条款(三维数值建模，应力及变形分析，稳定性方法代码实现)其中任意一条不满足该项得0分；</w:t>
      </w:r>
    </w:p>
    <w:p>
      <w:pPr>
        <w:numPr>
          <w:ilvl w:val="0"/>
          <w:numId w:val="0"/>
        </w:numPr>
        <w:spacing w:line="360" w:lineRule="auto"/>
        <w:ind w:firstLine="420" w:firstLineChars="200"/>
        <w:jc w:val="both"/>
        <w:outlineLvl w:val="1"/>
        <w:rPr>
          <w:rFonts w:hint="default" w:ascii="宋体" w:hAnsi="宋体" w:eastAsia="宋体" w:cs="Times New Roman"/>
          <w:kern w:val="2"/>
          <w:sz w:val="21"/>
          <w:szCs w:val="24"/>
          <w:lang w:val="en-US" w:eastAsia="zh-CN" w:bidi="ar-SA"/>
        </w:rPr>
      </w:pPr>
      <w:r>
        <w:rPr>
          <w:rFonts w:hint="eastAsia" w:ascii="宋体" w:hAnsi="宋体" w:cs="宋体"/>
          <w:szCs w:val="21"/>
          <w:lang w:val="en-US" w:eastAsia="zh-CN"/>
        </w:rPr>
        <w:t>（2）其他技术条款每一项要求不满足即扣1分，技术要求满足度总分10分，扣完为止。</w:t>
      </w:r>
    </w:p>
    <w:p>
      <w:pPr>
        <w:pStyle w:val="42"/>
        <w:numPr>
          <w:ilvl w:val="0"/>
          <w:numId w:val="0"/>
        </w:numPr>
        <w:ind w:leftChars="200"/>
        <w:rPr>
          <w:rFonts w:hint="default"/>
          <w:lang w:val="en-US" w:eastAsia="zh-CN"/>
        </w:rPr>
      </w:pPr>
    </w:p>
    <w:p>
      <w:pPr>
        <w:spacing w:line="360" w:lineRule="auto"/>
        <w:jc w:val="center"/>
        <w:outlineLvl w:val="1"/>
        <w:rPr>
          <w:rFonts w:hint="eastAsia" w:ascii="宋体" w:hAnsi="宋体" w:cs="宋体"/>
          <w:b/>
          <w:bCs/>
          <w:kern w:val="0"/>
          <w:sz w:val="28"/>
          <w:szCs w:val="32"/>
        </w:rPr>
      </w:pPr>
    </w:p>
    <w:p>
      <w:pPr>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w:t>
      </w:r>
      <w:r>
        <w:rPr>
          <w:rFonts w:hint="eastAsia" w:ascii="宋体" w:hAnsi="宋体" w:cs="宋体"/>
          <w:b/>
          <w:bCs/>
          <w:kern w:val="0"/>
          <w:sz w:val="28"/>
          <w:szCs w:val="32"/>
          <w:lang w:val="en-US" w:eastAsia="zh-CN"/>
        </w:rPr>
        <w:t>三</w:t>
      </w:r>
      <w:r>
        <w:rPr>
          <w:rFonts w:hint="eastAsia" w:ascii="宋体" w:hAnsi="宋体" w:cs="宋体"/>
          <w:b/>
          <w:bCs/>
          <w:kern w:val="0"/>
          <w:sz w:val="28"/>
          <w:szCs w:val="32"/>
        </w:rPr>
        <w:t>）技术方案</w:t>
      </w:r>
      <w:bookmarkEnd w:id="280"/>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报价人</w:t>
      </w:r>
      <w:r>
        <w:rPr>
          <w:rFonts w:hint="eastAsia" w:cs="Times New Roman"/>
          <w:kern w:val="2"/>
          <w:sz w:val="21"/>
          <w:szCs w:val="24"/>
          <w:lang w:val="en-US" w:eastAsia="zh-CN" w:bidi="ar-SA"/>
        </w:rPr>
        <w:t>对</w:t>
      </w:r>
      <w:r>
        <w:rPr>
          <w:rFonts w:hint="eastAsia" w:ascii="宋体" w:hAnsi="宋体" w:eastAsia="宋体" w:cs="Times New Roman"/>
          <w:kern w:val="2"/>
          <w:sz w:val="21"/>
          <w:szCs w:val="24"/>
          <w:lang w:val="en-US" w:eastAsia="zh-CN" w:bidi="ar-SA"/>
        </w:rPr>
        <w:t>本项目理解清晰，各项功能描述全面，业务流程明确、可操作性强。建设目标的计划目标、实施路径和措施保障工作的理解程度</w:t>
      </w:r>
      <w:r>
        <w:rPr>
          <w:rFonts w:hint="eastAsia" w:cs="Times New Roman"/>
          <w:kern w:val="2"/>
          <w:sz w:val="21"/>
          <w:szCs w:val="24"/>
          <w:lang w:val="en-US" w:eastAsia="zh-CN" w:bidi="ar-SA"/>
        </w:rPr>
        <w:t>进行阐述</w:t>
      </w:r>
      <w:r>
        <w:rPr>
          <w:rFonts w:hint="eastAsia" w:ascii="宋体" w:hAnsi="宋体" w:eastAsia="宋体" w:cs="Times New Roman"/>
          <w:kern w:val="2"/>
          <w:sz w:val="21"/>
          <w:szCs w:val="24"/>
          <w:lang w:val="en-US" w:eastAsia="zh-CN" w:bidi="ar-SA"/>
        </w:rPr>
        <w:t>：</w:t>
      </w:r>
      <w:bookmarkEnd w:id="281"/>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lang w:val="en-US" w:eastAsia="zh-CN" w:bidi="ar-SA"/>
        </w:rPr>
      </w:pP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lang w:val="en-US" w:eastAsia="zh-CN" w:bidi="ar-SA"/>
        </w:rPr>
      </w:pP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lang w:val="en-US" w:eastAsia="zh-CN" w:bidi="ar-SA"/>
        </w:rPr>
      </w:pP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lang w:val="en-US" w:eastAsia="zh-CN" w:bidi="ar-SA"/>
        </w:rPr>
      </w:pP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lang w:val="en-US" w:eastAsia="zh-CN" w:bidi="ar-SA"/>
        </w:rPr>
      </w:pP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lang w:val="en-US" w:eastAsia="zh-CN" w:bidi="ar-SA"/>
        </w:rPr>
      </w:pP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lang w:val="en-US" w:eastAsia="zh-CN" w:bidi="ar-SA"/>
        </w:rPr>
      </w:pP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lang w:val="en-US" w:eastAsia="zh-CN" w:bidi="ar-SA"/>
        </w:rPr>
      </w:pPr>
    </w:p>
    <w:p>
      <w:pPr>
        <w:pStyle w:val="5"/>
        <w:jc w:val="center"/>
        <w:rPr>
          <w:rFonts w:ascii="宋体" w:hAnsi="宋体" w:cs="宋体"/>
          <w:sz w:val="28"/>
        </w:rPr>
      </w:pPr>
      <w:r>
        <w:rPr>
          <w:rFonts w:hint="eastAsia" w:ascii="宋体" w:hAnsi="宋体" w:cs="宋体"/>
          <w:sz w:val="28"/>
        </w:rPr>
        <w:t>（</w:t>
      </w:r>
      <w:r>
        <w:rPr>
          <w:rFonts w:hint="eastAsia" w:ascii="宋体" w:hAnsi="宋体" w:cs="宋体"/>
          <w:sz w:val="28"/>
          <w:lang w:val="en-US" w:eastAsia="zh-CN"/>
        </w:rPr>
        <w:t>四</w:t>
      </w:r>
      <w:r>
        <w:rPr>
          <w:rFonts w:hint="eastAsia" w:ascii="宋体" w:hAnsi="宋体" w:cs="宋体"/>
          <w:sz w:val="28"/>
        </w:rPr>
        <w:t>）</w:t>
      </w:r>
      <w:bookmarkEnd w:id="275"/>
      <w:bookmarkStart w:id="282" w:name="_Toc507681700"/>
      <w:bookmarkStart w:id="283" w:name="_Toc504639215"/>
      <w:bookmarkStart w:id="284" w:name="_Toc507681488"/>
      <w:r>
        <w:rPr>
          <w:rFonts w:hint="eastAsia" w:ascii="宋体" w:hAnsi="宋体" w:cs="宋体"/>
          <w:sz w:val="28"/>
        </w:rPr>
        <w:t>报价人自行承诺部分</w:t>
      </w:r>
      <w:bookmarkEnd w:id="282"/>
      <w:bookmarkEnd w:id="283"/>
      <w:bookmarkEnd w:id="284"/>
    </w:p>
    <w:p>
      <w:pPr>
        <w:spacing w:line="360" w:lineRule="auto"/>
        <w:rPr>
          <w:rFonts w:hint="eastAsia" w:ascii="宋体" w:hAnsi="宋体" w:eastAsia="宋体" w:cs="宋体"/>
          <w:sz w:val="21"/>
          <w:szCs w:val="21"/>
        </w:rPr>
      </w:pPr>
      <w:r>
        <w:rPr>
          <w:rFonts w:hint="eastAsia" w:ascii="宋体" w:hAnsi="宋体" w:eastAsia="宋体" w:cs="宋体"/>
          <w:sz w:val="21"/>
          <w:szCs w:val="21"/>
        </w:rPr>
        <w:t>致：重庆首讯科技股份有限公司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我公司对</w:t>
      </w:r>
      <w:r>
        <w:rPr>
          <w:rFonts w:hint="eastAsia" w:ascii="宋体" w:hAnsi="宋体" w:eastAsia="宋体" w:cs="宋体"/>
          <w:sz w:val="21"/>
          <w:szCs w:val="21"/>
          <w:u w:val="single"/>
        </w:rPr>
        <w:t xml:space="preserve">                                 （项目名称）</w:t>
      </w:r>
      <w:r>
        <w:rPr>
          <w:rFonts w:hint="eastAsia" w:ascii="宋体" w:hAnsi="宋体" w:eastAsia="宋体" w:cs="宋体"/>
          <w:sz w:val="21"/>
          <w:szCs w:val="21"/>
        </w:rPr>
        <w:t>竞争性比选文件中要求内容完全响应做出以下承诺：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1、我方比选响应文件中所有资料都是真实、准确、完整的；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2、我方不存在资质挂靠或参与串标、围标情形。所报项目相关人员未在其他项目任职。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3、完全响应竞争性比选文件中的人员要求、机械设备要求、投标内容要求、报价要求、工期要求、质量标准、安全目标等要求；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如我方违反上述承诺，隐瞒、提供虚假资料或不按竞争性比选文件要求组织实施，被贵方发现或被他人举报查实，无条件接受贵司的处罚，对造成的损失，任何法律和经济责任完全由我方承担。</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报价人（单位名称）：</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法定代表人（或委托代理人）签字：</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 xml:space="preserve">     日期：</w:t>
      </w:r>
    </w:p>
    <w:p>
      <w:pPr>
        <w:pStyle w:val="5"/>
        <w:jc w:val="center"/>
        <w:rPr>
          <w:rFonts w:ascii="宋体" w:hAnsi="宋体" w:cs="宋体"/>
          <w:sz w:val="28"/>
        </w:rPr>
      </w:pPr>
    </w:p>
    <w:p>
      <w:pPr>
        <w:pStyle w:val="5"/>
        <w:jc w:val="center"/>
        <w:rPr>
          <w:rFonts w:ascii="宋体" w:hAnsi="宋体" w:cs="宋体"/>
          <w:sz w:val="28"/>
        </w:rPr>
      </w:pPr>
    </w:p>
    <w:p>
      <w:pPr>
        <w:pStyle w:val="4"/>
        <w:spacing w:before="0" w:after="0" w:line="360" w:lineRule="auto"/>
        <w:jc w:val="center"/>
        <w:rPr>
          <w:rFonts w:ascii="宋体" w:hAnsi="宋体" w:eastAsia="宋体" w:cs="宋体"/>
          <w:sz w:val="28"/>
        </w:rPr>
      </w:pPr>
      <w:r>
        <w:rPr>
          <w:rFonts w:hint="eastAsia" w:ascii="宋体" w:hAnsi="宋体" w:cs="宋体"/>
          <w:sz w:val="28"/>
        </w:rPr>
        <w:br w:type="page"/>
      </w:r>
      <w:bookmarkStart w:id="285" w:name="_Toc4456"/>
      <w:r>
        <w:rPr>
          <w:rFonts w:hint="eastAsia" w:ascii="宋体" w:hAnsi="宋体" w:eastAsia="宋体" w:cs="宋体"/>
          <w:sz w:val="28"/>
        </w:rPr>
        <w:t>六、报价人基本信息及其他材料</w:t>
      </w:r>
      <w:bookmarkEnd w:id="285"/>
    </w:p>
    <w:p>
      <w:pPr>
        <w:pStyle w:val="5"/>
        <w:spacing w:before="0" w:after="0" w:line="360" w:lineRule="auto"/>
        <w:jc w:val="center"/>
        <w:rPr>
          <w:sz w:val="28"/>
          <w:szCs w:val="28"/>
        </w:rPr>
      </w:pPr>
      <w:bookmarkStart w:id="286" w:name="_Toc4375"/>
      <w:bookmarkStart w:id="287" w:name="_Toc508110857"/>
      <w:bookmarkStart w:id="288" w:name="_Toc452107137"/>
      <w:r>
        <w:rPr>
          <w:rFonts w:hint="eastAsia"/>
          <w:sz w:val="28"/>
          <w:szCs w:val="28"/>
        </w:rPr>
        <w:t>（一）报价人基本信息表</w:t>
      </w:r>
      <w:bookmarkEnd w:id="286"/>
      <w:bookmarkEnd w:id="287"/>
      <w:bookmarkEnd w:id="288"/>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ascii="宋体" w:hAnsi="宋体" w:cs="宋体"/>
          <w:sz w:val="28"/>
        </w:rPr>
      </w:pPr>
      <w:r>
        <w:rPr>
          <w:rFonts w:hint="eastAsia" w:ascii="宋体" w:hAnsi="宋体" w:cs="宋体"/>
          <w:sz w:val="28"/>
        </w:rPr>
        <w:t>（二）其他材料</w:t>
      </w:r>
    </w:p>
    <w:p>
      <w:pPr>
        <w:pStyle w:val="5"/>
        <w:jc w:val="both"/>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w:t>
      </w:r>
    </w:p>
    <w:p>
      <w:pPr>
        <w:pStyle w:val="5"/>
        <w:jc w:val="both"/>
        <w:rPr>
          <w:rFonts w:hint="eastAsia" w:ascii="宋体" w:hAnsi="宋体" w:cs="宋体"/>
          <w:b w:val="0"/>
          <w:bCs w:val="0"/>
          <w:kern w:val="0"/>
          <w:sz w:val="21"/>
          <w:szCs w:val="21"/>
          <w:lang w:val="en-US" w:eastAsia="zh-CN" w:bidi="ar-SA"/>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bookmarkEnd w:id="276"/>
    <w:bookmarkEnd w:id="277"/>
    <w:p>
      <w:pPr>
        <w:pStyle w:val="28"/>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7850BD7-CDF2-43AD-B871-D244D63A655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94FDD"/>
    <w:multiLevelType w:val="singleLevel"/>
    <w:tmpl w:val="83094FDD"/>
    <w:lvl w:ilvl="0" w:tentative="0">
      <w:start w:val="1"/>
      <w:numFmt w:val="decimal"/>
      <w:suff w:val="nothing"/>
      <w:lvlText w:val="（%1）"/>
      <w:lvlJc w:val="left"/>
    </w:lvl>
  </w:abstractNum>
  <w:abstractNum w:abstractNumId="1">
    <w:nsid w:val="9F637B5D"/>
    <w:multiLevelType w:val="singleLevel"/>
    <w:tmpl w:val="9F637B5D"/>
    <w:lvl w:ilvl="0" w:tentative="0">
      <w:start w:val="1"/>
      <w:numFmt w:val="decimal"/>
      <w:suff w:val="nothing"/>
      <w:lvlText w:val="（%1）"/>
      <w:lvlJc w:val="left"/>
    </w:lvl>
  </w:abstractNum>
  <w:abstractNum w:abstractNumId="2">
    <w:nsid w:val="B69E0622"/>
    <w:multiLevelType w:val="singleLevel"/>
    <w:tmpl w:val="B69E0622"/>
    <w:lvl w:ilvl="0" w:tentative="0">
      <w:start w:val="1"/>
      <w:numFmt w:val="decimal"/>
      <w:suff w:val="nothing"/>
      <w:lvlText w:val="%1、"/>
      <w:lvlJc w:val="left"/>
    </w:lvl>
  </w:abstractNum>
  <w:abstractNum w:abstractNumId="3">
    <w:nsid w:val="E2D59CDF"/>
    <w:multiLevelType w:val="singleLevel"/>
    <w:tmpl w:val="E2D59CDF"/>
    <w:lvl w:ilvl="0" w:tentative="0">
      <w:start w:val="1"/>
      <w:numFmt w:val="decimal"/>
      <w:suff w:val="nothing"/>
      <w:lvlText w:val="（%1）"/>
      <w:lvlJc w:val="left"/>
    </w:lvl>
  </w:abstractNum>
  <w:abstractNum w:abstractNumId="4">
    <w:nsid w:val="F9380D07"/>
    <w:multiLevelType w:val="singleLevel"/>
    <w:tmpl w:val="F9380D07"/>
    <w:lvl w:ilvl="0" w:tentative="0">
      <w:start w:val="2"/>
      <w:numFmt w:val="chineseCounting"/>
      <w:suff w:val="nothing"/>
      <w:lvlText w:val="（%1）"/>
      <w:lvlJc w:val="left"/>
      <w:rPr>
        <w:rFonts w:hint="eastAsia"/>
      </w:rPr>
    </w:lvl>
  </w:abstractNum>
  <w:abstractNum w:abstractNumId="5">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3871CE1D"/>
    <w:multiLevelType w:val="singleLevel"/>
    <w:tmpl w:val="3871CE1D"/>
    <w:lvl w:ilvl="0" w:tentative="0">
      <w:start w:val="1"/>
      <w:numFmt w:val="chineseCounting"/>
      <w:suff w:val="nothing"/>
      <w:lvlText w:val="%1、"/>
      <w:lvlJc w:val="left"/>
      <w:rPr>
        <w:rFonts w:hint="eastAsia"/>
      </w:rPr>
    </w:lvl>
  </w:abstractNum>
  <w:abstractNum w:abstractNumId="7">
    <w:nsid w:val="3E7CE8BC"/>
    <w:multiLevelType w:val="singleLevel"/>
    <w:tmpl w:val="3E7CE8BC"/>
    <w:lvl w:ilvl="0" w:tentative="0">
      <w:start w:val="5"/>
      <w:numFmt w:val="chineseCounting"/>
      <w:suff w:val="nothing"/>
      <w:lvlText w:val="%1、"/>
      <w:lvlJc w:val="left"/>
      <w:rPr>
        <w:rFonts w:hint="eastAsia"/>
      </w:rPr>
    </w:lvl>
  </w:abstractNum>
  <w:abstractNum w:abstractNumId="8">
    <w:nsid w:val="55E7E3B4"/>
    <w:multiLevelType w:val="singleLevel"/>
    <w:tmpl w:val="55E7E3B4"/>
    <w:lvl w:ilvl="0" w:tentative="0">
      <w:start w:val="3"/>
      <w:numFmt w:val="chineseCounting"/>
      <w:suff w:val="space"/>
      <w:lvlText w:val="第%1章"/>
      <w:lvlJc w:val="left"/>
      <w:rPr>
        <w:rFonts w:hint="eastAsia"/>
      </w:rPr>
    </w:lvl>
  </w:abstractNum>
  <w:abstractNum w:abstractNumId="9">
    <w:nsid w:val="78BA0F68"/>
    <w:multiLevelType w:val="singleLevel"/>
    <w:tmpl w:val="78BA0F68"/>
    <w:lvl w:ilvl="0" w:tentative="0">
      <w:start w:val="1"/>
      <w:numFmt w:val="decimal"/>
      <w:lvlText w:val="%1."/>
      <w:lvlJc w:val="left"/>
      <w:pPr>
        <w:tabs>
          <w:tab w:val="left" w:pos="312"/>
        </w:tabs>
      </w:pPr>
    </w:lvl>
  </w:abstractNum>
  <w:num w:numId="1">
    <w:abstractNumId w:val="5"/>
  </w:num>
  <w:num w:numId="2">
    <w:abstractNumId w:val="0"/>
  </w:num>
  <w:num w:numId="3">
    <w:abstractNumId w:val="9"/>
  </w:num>
  <w:num w:numId="4">
    <w:abstractNumId w:val="8"/>
  </w:num>
  <w:num w:numId="5">
    <w:abstractNumId w:val="2"/>
  </w:num>
  <w:num w:numId="6">
    <w:abstractNumId w:val="1"/>
  </w:num>
  <w:num w:numId="7">
    <w:abstractNumId w:val="3"/>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NTg1MzE2MzYxNTE0OGNlMzNlYTFkYTBmYjM2NjQ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1746"/>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4A56"/>
    <w:rsid w:val="00095B35"/>
    <w:rsid w:val="00095EDA"/>
    <w:rsid w:val="000975F2"/>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1523"/>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C54"/>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6337"/>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3553"/>
    <w:rsid w:val="002E695F"/>
    <w:rsid w:val="002F308B"/>
    <w:rsid w:val="002F59DF"/>
    <w:rsid w:val="002F6545"/>
    <w:rsid w:val="002F68D9"/>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3CA8"/>
    <w:rsid w:val="00397134"/>
    <w:rsid w:val="003A063A"/>
    <w:rsid w:val="003A67CF"/>
    <w:rsid w:val="003B4B4D"/>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0A3"/>
    <w:rsid w:val="00426621"/>
    <w:rsid w:val="0043226B"/>
    <w:rsid w:val="0043326B"/>
    <w:rsid w:val="00434144"/>
    <w:rsid w:val="00435BC6"/>
    <w:rsid w:val="004409EE"/>
    <w:rsid w:val="00441624"/>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D7ECE"/>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2F99"/>
    <w:rsid w:val="005E3EBE"/>
    <w:rsid w:val="005E3F38"/>
    <w:rsid w:val="005E782A"/>
    <w:rsid w:val="005F18AC"/>
    <w:rsid w:val="005F2C77"/>
    <w:rsid w:val="00605878"/>
    <w:rsid w:val="0060679A"/>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B6793"/>
    <w:rsid w:val="006C41F0"/>
    <w:rsid w:val="006C497C"/>
    <w:rsid w:val="006C75C9"/>
    <w:rsid w:val="006C7F0A"/>
    <w:rsid w:val="006D1032"/>
    <w:rsid w:val="006D48FF"/>
    <w:rsid w:val="006D4950"/>
    <w:rsid w:val="006E2BEB"/>
    <w:rsid w:val="006E2F3D"/>
    <w:rsid w:val="006E3F3F"/>
    <w:rsid w:val="006E44D5"/>
    <w:rsid w:val="006E4EA8"/>
    <w:rsid w:val="006F08B7"/>
    <w:rsid w:val="00702554"/>
    <w:rsid w:val="0070267A"/>
    <w:rsid w:val="00704E87"/>
    <w:rsid w:val="0070542B"/>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4196"/>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4285"/>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1929"/>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D13"/>
    <w:rsid w:val="00B41020"/>
    <w:rsid w:val="00B42F9A"/>
    <w:rsid w:val="00B43741"/>
    <w:rsid w:val="00B459DA"/>
    <w:rsid w:val="00B4647E"/>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890"/>
    <w:rsid w:val="00C078A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12D"/>
    <w:rsid w:val="00C66A53"/>
    <w:rsid w:val="00C66FB7"/>
    <w:rsid w:val="00C76490"/>
    <w:rsid w:val="00C8220D"/>
    <w:rsid w:val="00C848C9"/>
    <w:rsid w:val="00C8655B"/>
    <w:rsid w:val="00C91CDE"/>
    <w:rsid w:val="00C91F22"/>
    <w:rsid w:val="00C92C81"/>
    <w:rsid w:val="00C943E9"/>
    <w:rsid w:val="00CA01B6"/>
    <w:rsid w:val="00CA2781"/>
    <w:rsid w:val="00CA398D"/>
    <w:rsid w:val="00CA45CB"/>
    <w:rsid w:val="00CA6808"/>
    <w:rsid w:val="00CA7567"/>
    <w:rsid w:val="00CB4015"/>
    <w:rsid w:val="00CB452C"/>
    <w:rsid w:val="00CB4A3D"/>
    <w:rsid w:val="00CB5C0F"/>
    <w:rsid w:val="00CB7FDA"/>
    <w:rsid w:val="00CC0EAF"/>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988"/>
    <w:rsid w:val="00DD4A11"/>
    <w:rsid w:val="00DD4FB9"/>
    <w:rsid w:val="00DD737B"/>
    <w:rsid w:val="00DE1033"/>
    <w:rsid w:val="00DE251C"/>
    <w:rsid w:val="00DE288F"/>
    <w:rsid w:val="00DE2BFF"/>
    <w:rsid w:val="00DE3226"/>
    <w:rsid w:val="00DE58F9"/>
    <w:rsid w:val="00DE680C"/>
    <w:rsid w:val="00DE7971"/>
    <w:rsid w:val="00DF1985"/>
    <w:rsid w:val="00DF5B31"/>
    <w:rsid w:val="00E02114"/>
    <w:rsid w:val="00E03783"/>
    <w:rsid w:val="00E03A6B"/>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03AC"/>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10D91"/>
    <w:rsid w:val="01232ED2"/>
    <w:rsid w:val="015D18DC"/>
    <w:rsid w:val="0184380B"/>
    <w:rsid w:val="01852BD3"/>
    <w:rsid w:val="018A6C3C"/>
    <w:rsid w:val="01912179"/>
    <w:rsid w:val="01A8609A"/>
    <w:rsid w:val="01A93FA3"/>
    <w:rsid w:val="01CA6EA2"/>
    <w:rsid w:val="01E05E16"/>
    <w:rsid w:val="01E05F01"/>
    <w:rsid w:val="020C0D2B"/>
    <w:rsid w:val="02195A53"/>
    <w:rsid w:val="022831DB"/>
    <w:rsid w:val="02375428"/>
    <w:rsid w:val="02427F54"/>
    <w:rsid w:val="024F494D"/>
    <w:rsid w:val="026D36BB"/>
    <w:rsid w:val="029D41FE"/>
    <w:rsid w:val="02A800C5"/>
    <w:rsid w:val="02B53517"/>
    <w:rsid w:val="02C6499B"/>
    <w:rsid w:val="02C91CAA"/>
    <w:rsid w:val="02D0709E"/>
    <w:rsid w:val="02FA438B"/>
    <w:rsid w:val="037D0CD2"/>
    <w:rsid w:val="038B3366"/>
    <w:rsid w:val="03981B5E"/>
    <w:rsid w:val="03996EAD"/>
    <w:rsid w:val="039F3A25"/>
    <w:rsid w:val="03F60BFA"/>
    <w:rsid w:val="04023CC8"/>
    <w:rsid w:val="04144049"/>
    <w:rsid w:val="042674F4"/>
    <w:rsid w:val="042A6EF2"/>
    <w:rsid w:val="042D3C13"/>
    <w:rsid w:val="04566DE4"/>
    <w:rsid w:val="04722D72"/>
    <w:rsid w:val="047A0BBC"/>
    <w:rsid w:val="04933E65"/>
    <w:rsid w:val="04BF52ED"/>
    <w:rsid w:val="04C12ED8"/>
    <w:rsid w:val="04DC5749"/>
    <w:rsid w:val="04E26FED"/>
    <w:rsid w:val="04E41F94"/>
    <w:rsid w:val="04FD6633"/>
    <w:rsid w:val="050F1997"/>
    <w:rsid w:val="0515595C"/>
    <w:rsid w:val="052E2B3B"/>
    <w:rsid w:val="054416D2"/>
    <w:rsid w:val="05507F0F"/>
    <w:rsid w:val="055A4D20"/>
    <w:rsid w:val="056F275C"/>
    <w:rsid w:val="05753C79"/>
    <w:rsid w:val="058324D6"/>
    <w:rsid w:val="05871A0A"/>
    <w:rsid w:val="05A42E7B"/>
    <w:rsid w:val="05A70EA9"/>
    <w:rsid w:val="05D55D36"/>
    <w:rsid w:val="060C2525"/>
    <w:rsid w:val="062756FD"/>
    <w:rsid w:val="06465A4B"/>
    <w:rsid w:val="065F7A31"/>
    <w:rsid w:val="067C53E7"/>
    <w:rsid w:val="06820F5E"/>
    <w:rsid w:val="06A7180A"/>
    <w:rsid w:val="06AE2ABA"/>
    <w:rsid w:val="06BA1001"/>
    <w:rsid w:val="06C75DF5"/>
    <w:rsid w:val="06DD02BB"/>
    <w:rsid w:val="06E71F51"/>
    <w:rsid w:val="06F3282F"/>
    <w:rsid w:val="06F965AD"/>
    <w:rsid w:val="07035F04"/>
    <w:rsid w:val="07050666"/>
    <w:rsid w:val="07166CB2"/>
    <w:rsid w:val="071A6392"/>
    <w:rsid w:val="071C4DB7"/>
    <w:rsid w:val="07362674"/>
    <w:rsid w:val="073B54B2"/>
    <w:rsid w:val="07410810"/>
    <w:rsid w:val="07537EF9"/>
    <w:rsid w:val="0760673E"/>
    <w:rsid w:val="077E1A2E"/>
    <w:rsid w:val="07815EE7"/>
    <w:rsid w:val="0784155A"/>
    <w:rsid w:val="079A613C"/>
    <w:rsid w:val="07E6454D"/>
    <w:rsid w:val="081748AE"/>
    <w:rsid w:val="08635851"/>
    <w:rsid w:val="08891E69"/>
    <w:rsid w:val="08A30341"/>
    <w:rsid w:val="08AD5E33"/>
    <w:rsid w:val="08B128CB"/>
    <w:rsid w:val="08C2359B"/>
    <w:rsid w:val="08ED052C"/>
    <w:rsid w:val="09041814"/>
    <w:rsid w:val="092D7BDC"/>
    <w:rsid w:val="09332D2B"/>
    <w:rsid w:val="093E2D64"/>
    <w:rsid w:val="09455F12"/>
    <w:rsid w:val="09472203"/>
    <w:rsid w:val="098B1DA7"/>
    <w:rsid w:val="098F7872"/>
    <w:rsid w:val="09907951"/>
    <w:rsid w:val="099F43E4"/>
    <w:rsid w:val="09A31A61"/>
    <w:rsid w:val="09BA7A85"/>
    <w:rsid w:val="09DE1094"/>
    <w:rsid w:val="09E2475B"/>
    <w:rsid w:val="0A183EA3"/>
    <w:rsid w:val="0A207013"/>
    <w:rsid w:val="0A3F34B7"/>
    <w:rsid w:val="0A4B11BE"/>
    <w:rsid w:val="0A7B4003"/>
    <w:rsid w:val="0A7D7D7B"/>
    <w:rsid w:val="0A8E5B8D"/>
    <w:rsid w:val="0AA240FA"/>
    <w:rsid w:val="0AA73E0E"/>
    <w:rsid w:val="0AAC0CBB"/>
    <w:rsid w:val="0ACC0D02"/>
    <w:rsid w:val="0AD84BD3"/>
    <w:rsid w:val="0AE941D3"/>
    <w:rsid w:val="0AFA761E"/>
    <w:rsid w:val="0B1061C6"/>
    <w:rsid w:val="0B246449"/>
    <w:rsid w:val="0B2B08D5"/>
    <w:rsid w:val="0B3A2110"/>
    <w:rsid w:val="0B896BF3"/>
    <w:rsid w:val="0B9874FD"/>
    <w:rsid w:val="0BA35012"/>
    <w:rsid w:val="0BB825ED"/>
    <w:rsid w:val="0BC0647C"/>
    <w:rsid w:val="0BD7624B"/>
    <w:rsid w:val="0BF26817"/>
    <w:rsid w:val="0C22464A"/>
    <w:rsid w:val="0C2B72AE"/>
    <w:rsid w:val="0C3A50BE"/>
    <w:rsid w:val="0C486A95"/>
    <w:rsid w:val="0C517E31"/>
    <w:rsid w:val="0C5C0079"/>
    <w:rsid w:val="0C6222A3"/>
    <w:rsid w:val="0C623EAC"/>
    <w:rsid w:val="0C946488"/>
    <w:rsid w:val="0CAB3827"/>
    <w:rsid w:val="0CAD24AF"/>
    <w:rsid w:val="0CB27F34"/>
    <w:rsid w:val="0CE2660D"/>
    <w:rsid w:val="0D0D3F93"/>
    <w:rsid w:val="0D12389F"/>
    <w:rsid w:val="0D2820B7"/>
    <w:rsid w:val="0D2B5BA2"/>
    <w:rsid w:val="0D2F6875"/>
    <w:rsid w:val="0D33523D"/>
    <w:rsid w:val="0D4E3104"/>
    <w:rsid w:val="0D5B6D69"/>
    <w:rsid w:val="0D662EE5"/>
    <w:rsid w:val="0D6A3AE7"/>
    <w:rsid w:val="0D860EC5"/>
    <w:rsid w:val="0D9339BE"/>
    <w:rsid w:val="0D991370"/>
    <w:rsid w:val="0D9E6A67"/>
    <w:rsid w:val="0D9F0DC4"/>
    <w:rsid w:val="0DA07FC9"/>
    <w:rsid w:val="0DAE46EF"/>
    <w:rsid w:val="0DC02AA1"/>
    <w:rsid w:val="0DDE695A"/>
    <w:rsid w:val="0DF73A5B"/>
    <w:rsid w:val="0E164CA8"/>
    <w:rsid w:val="0E231949"/>
    <w:rsid w:val="0E2D072E"/>
    <w:rsid w:val="0E3B295D"/>
    <w:rsid w:val="0E47249B"/>
    <w:rsid w:val="0E551882"/>
    <w:rsid w:val="0E5C239D"/>
    <w:rsid w:val="0E7306EC"/>
    <w:rsid w:val="0E963048"/>
    <w:rsid w:val="0EAD7E50"/>
    <w:rsid w:val="0EB254B2"/>
    <w:rsid w:val="0EB567A2"/>
    <w:rsid w:val="0ED91C40"/>
    <w:rsid w:val="0EE44C60"/>
    <w:rsid w:val="0EFB3F5D"/>
    <w:rsid w:val="0F041CC7"/>
    <w:rsid w:val="0F042317"/>
    <w:rsid w:val="0F072534"/>
    <w:rsid w:val="0F1209F8"/>
    <w:rsid w:val="0F4C19DA"/>
    <w:rsid w:val="0F4C7D05"/>
    <w:rsid w:val="0F4F31AF"/>
    <w:rsid w:val="0F5F17BD"/>
    <w:rsid w:val="0F6B0BDE"/>
    <w:rsid w:val="0F7E014D"/>
    <w:rsid w:val="0F891F7D"/>
    <w:rsid w:val="0F904B36"/>
    <w:rsid w:val="0F90531D"/>
    <w:rsid w:val="0FAD64B5"/>
    <w:rsid w:val="0FB21FD4"/>
    <w:rsid w:val="0FE57427"/>
    <w:rsid w:val="0FFE176A"/>
    <w:rsid w:val="0FFF5930"/>
    <w:rsid w:val="1018536D"/>
    <w:rsid w:val="101D4748"/>
    <w:rsid w:val="105454A3"/>
    <w:rsid w:val="108E33C3"/>
    <w:rsid w:val="10A265EF"/>
    <w:rsid w:val="10DC5B73"/>
    <w:rsid w:val="10E305D2"/>
    <w:rsid w:val="10EC4A0F"/>
    <w:rsid w:val="10FB7C4C"/>
    <w:rsid w:val="11156FC6"/>
    <w:rsid w:val="11485B0D"/>
    <w:rsid w:val="114C7209"/>
    <w:rsid w:val="114D3805"/>
    <w:rsid w:val="1154158B"/>
    <w:rsid w:val="11677BA5"/>
    <w:rsid w:val="117076B2"/>
    <w:rsid w:val="119E6579"/>
    <w:rsid w:val="11D435DD"/>
    <w:rsid w:val="11DA3C43"/>
    <w:rsid w:val="11E15B8A"/>
    <w:rsid w:val="11EC57E6"/>
    <w:rsid w:val="11F35990"/>
    <w:rsid w:val="1220326C"/>
    <w:rsid w:val="122C043B"/>
    <w:rsid w:val="123A67B6"/>
    <w:rsid w:val="125515DD"/>
    <w:rsid w:val="125670E6"/>
    <w:rsid w:val="125E1A9C"/>
    <w:rsid w:val="1276289F"/>
    <w:rsid w:val="1288522D"/>
    <w:rsid w:val="129D6A95"/>
    <w:rsid w:val="12AF4046"/>
    <w:rsid w:val="12B74046"/>
    <w:rsid w:val="12CE506D"/>
    <w:rsid w:val="12D036D1"/>
    <w:rsid w:val="12EC4D41"/>
    <w:rsid w:val="12F65490"/>
    <w:rsid w:val="12F73D2A"/>
    <w:rsid w:val="12F9698E"/>
    <w:rsid w:val="13112273"/>
    <w:rsid w:val="131C7C5D"/>
    <w:rsid w:val="134E5054"/>
    <w:rsid w:val="13511DF6"/>
    <w:rsid w:val="1359610F"/>
    <w:rsid w:val="138B4634"/>
    <w:rsid w:val="138F1214"/>
    <w:rsid w:val="13BF412F"/>
    <w:rsid w:val="13C00A21"/>
    <w:rsid w:val="13D101C7"/>
    <w:rsid w:val="1400440E"/>
    <w:rsid w:val="14005579"/>
    <w:rsid w:val="142669A3"/>
    <w:rsid w:val="142B5D9F"/>
    <w:rsid w:val="14301CC2"/>
    <w:rsid w:val="143805F9"/>
    <w:rsid w:val="144729D8"/>
    <w:rsid w:val="147A44EB"/>
    <w:rsid w:val="148530C5"/>
    <w:rsid w:val="148E78CB"/>
    <w:rsid w:val="149F4D92"/>
    <w:rsid w:val="14A13E6D"/>
    <w:rsid w:val="14AB614D"/>
    <w:rsid w:val="14B96C2B"/>
    <w:rsid w:val="15067DFC"/>
    <w:rsid w:val="15181495"/>
    <w:rsid w:val="153870BF"/>
    <w:rsid w:val="15436E45"/>
    <w:rsid w:val="154871D8"/>
    <w:rsid w:val="15507C7E"/>
    <w:rsid w:val="1557566D"/>
    <w:rsid w:val="15664AEF"/>
    <w:rsid w:val="158E23E1"/>
    <w:rsid w:val="159D7EA6"/>
    <w:rsid w:val="159F1BF9"/>
    <w:rsid w:val="15A00DC2"/>
    <w:rsid w:val="15B71B1D"/>
    <w:rsid w:val="15E63361"/>
    <w:rsid w:val="160B0227"/>
    <w:rsid w:val="16864176"/>
    <w:rsid w:val="16B34B25"/>
    <w:rsid w:val="16E04880"/>
    <w:rsid w:val="16F86032"/>
    <w:rsid w:val="16FE2244"/>
    <w:rsid w:val="17081A7A"/>
    <w:rsid w:val="17092996"/>
    <w:rsid w:val="17292C0C"/>
    <w:rsid w:val="176F50FE"/>
    <w:rsid w:val="17D10049"/>
    <w:rsid w:val="17D75109"/>
    <w:rsid w:val="17DD0B49"/>
    <w:rsid w:val="17EA6CFE"/>
    <w:rsid w:val="17EE4479"/>
    <w:rsid w:val="17F1563C"/>
    <w:rsid w:val="17F23C73"/>
    <w:rsid w:val="180F3B80"/>
    <w:rsid w:val="181B1411"/>
    <w:rsid w:val="181C1400"/>
    <w:rsid w:val="18223BBF"/>
    <w:rsid w:val="18406E44"/>
    <w:rsid w:val="185C1918"/>
    <w:rsid w:val="1880349D"/>
    <w:rsid w:val="18A24E51"/>
    <w:rsid w:val="18BD142C"/>
    <w:rsid w:val="18BD60C6"/>
    <w:rsid w:val="18D435BC"/>
    <w:rsid w:val="18E261BC"/>
    <w:rsid w:val="18E6320F"/>
    <w:rsid w:val="190050D9"/>
    <w:rsid w:val="19193365"/>
    <w:rsid w:val="19261639"/>
    <w:rsid w:val="195D5C0E"/>
    <w:rsid w:val="19795DC5"/>
    <w:rsid w:val="19B116AD"/>
    <w:rsid w:val="19B17485"/>
    <w:rsid w:val="19B64CC2"/>
    <w:rsid w:val="19BA69A5"/>
    <w:rsid w:val="19CC487B"/>
    <w:rsid w:val="19DF6D3F"/>
    <w:rsid w:val="19E24459"/>
    <w:rsid w:val="19E75211"/>
    <w:rsid w:val="19EF2451"/>
    <w:rsid w:val="1A176F08"/>
    <w:rsid w:val="1A194A1B"/>
    <w:rsid w:val="1A305FF4"/>
    <w:rsid w:val="1A3D7EBE"/>
    <w:rsid w:val="1A4353A0"/>
    <w:rsid w:val="1A557489"/>
    <w:rsid w:val="1A89451A"/>
    <w:rsid w:val="1AE61F72"/>
    <w:rsid w:val="1AF45443"/>
    <w:rsid w:val="1B075A0C"/>
    <w:rsid w:val="1B1C7DC9"/>
    <w:rsid w:val="1B67066F"/>
    <w:rsid w:val="1B7229E4"/>
    <w:rsid w:val="1B7A5EC7"/>
    <w:rsid w:val="1B8D5F8D"/>
    <w:rsid w:val="1B8E5EC0"/>
    <w:rsid w:val="1BBE47DE"/>
    <w:rsid w:val="1BC10D01"/>
    <w:rsid w:val="1C2613A8"/>
    <w:rsid w:val="1C477E44"/>
    <w:rsid w:val="1C9B22E2"/>
    <w:rsid w:val="1CA53B30"/>
    <w:rsid w:val="1CB33990"/>
    <w:rsid w:val="1CBE72D2"/>
    <w:rsid w:val="1CF6260F"/>
    <w:rsid w:val="1CF83AEA"/>
    <w:rsid w:val="1CF911FC"/>
    <w:rsid w:val="1CFC0FD3"/>
    <w:rsid w:val="1CFF7A9C"/>
    <w:rsid w:val="1D34223E"/>
    <w:rsid w:val="1D681B82"/>
    <w:rsid w:val="1D6914D5"/>
    <w:rsid w:val="1D7C7A22"/>
    <w:rsid w:val="1D7E09CF"/>
    <w:rsid w:val="1D9F1A69"/>
    <w:rsid w:val="1DB50BD0"/>
    <w:rsid w:val="1DD7388B"/>
    <w:rsid w:val="1DE41480"/>
    <w:rsid w:val="1DEB1932"/>
    <w:rsid w:val="1E2139B7"/>
    <w:rsid w:val="1E7A14A8"/>
    <w:rsid w:val="1E7F32B0"/>
    <w:rsid w:val="1EA77665"/>
    <w:rsid w:val="1EBA058B"/>
    <w:rsid w:val="1EBB622E"/>
    <w:rsid w:val="1ED17F52"/>
    <w:rsid w:val="1EDD751C"/>
    <w:rsid w:val="1EE170B7"/>
    <w:rsid w:val="1EEA13A6"/>
    <w:rsid w:val="1EEB392A"/>
    <w:rsid w:val="1EFE64E9"/>
    <w:rsid w:val="1F6207D0"/>
    <w:rsid w:val="1FA53BA4"/>
    <w:rsid w:val="1FCA360B"/>
    <w:rsid w:val="1FE1627D"/>
    <w:rsid w:val="1FEA603B"/>
    <w:rsid w:val="20084133"/>
    <w:rsid w:val="20133D98"/>
    <w:rsid w:val="20226856"/>
    <w:rsid w:val="20293E2F"/>
    <w:rsid w:val="20686E43"/>
    <w:rsid w:val="206E3E8E"/>
    <w:rsid w:val="207224C8"/>
    <w:rsid w:val="2076639A"/>
    <w:rsid w:val="2093114F"/>
    <w:rsid w:val="209B57AA"/>
    <w:rsid w:val="20A121FD"/>
    <w:rsid w:val="20C20004"/>
    <w:rsid w:val="20C66F34"/>
    <w:rsid w:val="20D83D6E"/>
    <w:rsid w:val="20DE5531"/>
    <w:rsid w:val="20E1180E"/>
    <w:rsid w:val="20EA6084"/>
    <w:rsid w:val="20F01139"/>
    <w:rsid w:val="20F1461D"/>
    <w:rsid w:val="211641D5"/>
    <w:rsid w:val="212B522B"/>
    <w:rsid w:val="213F6312"/>
    <w:rsid w:val="21736537"/>
    <w:rsid w:val="217E2000"/>
    <w:rsid w:val="21977807"/>
    <w:rsid w:val="219A6D4B"/>
    <w:rsid w:val="21B30D9B"/>
    <w:rsid w:val="21B32189"/>
    <w:rsid w:val="21C2735E"/>
    <w:rsid w:val="21E57FA3"/>
    <w:rsid w:val="21FB5A74"/>
    <w:rsid w:val="226650A3"/>
    <w:rsid w:val="22677BAA"/>
    <w:rsid w:val="226827C0"/>
    <w:rsid w:val="227C6EFF"/>
    <w:rsid w:val="22942795"/>
    <w:rsid w:val="22A10D06"/>
    <w:rsid w:val="22B665A5"/>
    <w:rsid w:val="22B66C9F"/>
    <w:rsid w:val="22C925E0"/>
    <w:rsid w:val="22D84291"/>
    <w:rsid w:val="22E46F4A"/>
    <w:rsid w:val="22E82DE7"/>
    <w:rsid w:val="22F20159"/>
    <w:rsid w:val="23005537"/>
    <w:rsid w:val="231A3C9A"/>
    <w:rsid w:val="232C54A8"/>
    <w:rsid w:val="233C2C53"/>
    <w:rsid w:val="23486890"/>
    <w:rsid w:val="236F1F61"/>
    <w:rsid w:val="23AB4CDF"/>
    <w:rsid w:val="23C37A75"/>
    <w:rsid w:val="240404D0"/>
    <w:rsid w:val="241B6DE6"/>
    <w:rsid w:val="24220F3E"/>
    <w:rsid w:val="2423604B"/>
    <w:rsid w:val="243A3F7E"/>
    <w:rsid w:val="24436391"/>
    <w:rsid w:val="2450121E"/>
    <w:rsid w:val="247A4C56"/>
    <w:rsid w:val="2487622C"/>
    <w:rsid w:val="24973094"/>
    <w:rsid w:val="24AD6D9A"/>
    <w:rsid w:val="24E52AD8"/>
    <w:rsid w:val="24E85B0E"/>
    <w:rsid w:val="250A6267"/>
    <w:rsid w:val="251418FC"/>
    <w:rsid w:val="254925FD"/>
    <w:rsid w:val="255249D2"/>
    <w:rsid w:val="256C0CC0"/>
    <w:rsid w:val="25712B23"/>
    <w:rsid w:val="25951FC5"/>
    <w:rsid w:val="25A845B3"/>
    <w:rsid w:val="25B34D67"/>
    <w:rsid w:val="25EB71B7"/>
    <w:rsid w:val="26154215"/>
    <w:rsid w:val="261A0BE6"/>
    <w:rsid w:val="26215F4F"/>
    <w:rsid w:val="26385E8A"/>
    <w:rsid w:val="263C7691"/>
    <w:rsid w:val="265E2776"/>
    <w:rsid w:val="26666FDC"/>
    <w:rsid w:val="26706683"/>
    <w:rsid w:val="26963D4E"/>
    <w:rsid w:val="26AB763C"/>
    <w:rsid w:val="26B267E7"/>
    <w:rsid w:val="26D794B7"/>
    <w:rsid w:val="26F131DC"/>
    <w:rsid w:val="26F65310"/>
    <w:rsid w:val="27052D05"/>
    <w:rsid w:val="27082804"/>
    <w:rsid w:val="270832AE"/>
    <w:rsid w:val="27343A60"/>
    <w:rsid w:val="27357F9F"/>
    <w:rsid w:val="275E35BF"/>
    <w:rsid w:val="27A4553F"/>
    <w:rsid w:val="27CA7E10"/>
    <w:rsid w:val="27D35135"/>
    <w:rsid w:val="27DD1D93"/>
    <w:rsid w:val="27EF1935"/>
    <w:rsid w:val="280A1B75"/>
    <w:rsid w:val="28257458"/>
    <w:rsid w:val="283962F8"/>
    <w:rsid w:val="28422AB2"/>
    <w:rsid w:val="284E28FF"/>
    <w:rsid w:val="285D6583"/>
    <w:rsid w:val="287A36F4"/>
    <w:rsid w:val="288458E7"/>
    <w:rsid w:val="28A33A20"/>
    <w:rsid w:val="28A47F17"/>
    <w:rsid w:val="28A95D87"/>
    <w:rsid w:val="28C444F4"/>
    <w:rsid w:val="28FE6071"/>
    <w:rsid w:val="290212C1"/>
    <w:rsid w:val="290D5ED8"/>
    <w:rsid w:val="29656DCE"/>
    <w:rsid w:val="29722140"/>
    <w:rsid w:val="298B4B23"/>
    <w:rsid w:val="29AD63FD"/>
    <w:rsid w:val="29B71FDB"/>
    <w:rsid w:val="29CF18DD"/>
    <w:rsid w:val="29D65D23"/>
    <w:rsid w:val="29D875FE"/>
    <w:rsid w:val="29DF010E"/>
    <w:rsid w:val="29FE44DD"/>
    <w:rsid w:val="2A1169E3"/>
    <w:rsid w:val="2A194E5D"/>
    <w:rsid w:val="2A21554B"/>
    <w:rsid w:val="2A2A17CD"/>
    <w:rsid w:val="2A594BC2"/>
    <w:rsid w:val="2A5A558B"/>
    <w:rsid w:val="2A9F7561"/>
    <w:rsid w:val="2AA90FA0"/>
    <w:rsid w:val="2AB103DC"/>
    <w:rsid w:val="2AB31CE2"/>
    <w:rsid w:val="2AB55266"/>
    <w:rsid w:val="2AF000D8"/>
    <w:rsid w:val="2B3C2B7F"/>
    <w:rsid w:val="2B487382"/>
    <w:rsid w:val="2B552F60"/>
    <w:rsid w:val="2B5D3585"/>
    <w:rsid w:val="2B7841A6"/>
    <w:rsid w:val="2BB367B9"/>
    <w:rsid w:val="2BB62D59"/>
    <w:rsid w:val="2BEC2B5B"/>
    <w:rsid w:val="2C13380B"/>
    <w:rsid w:val="2C184D47"/>
    <w:rsid w:val="2C796A89"/>
    <w:rsid w:val="2C7C10B6"/>
    <w:rsid w:val="2CB204A3"/>
    <w:rsid w:val="2CBD3A96"/>
    <w:rsid w:val="2CC74339"/>
    <w:rsid w:val="2CCC23F7"/>
    <w:rsid w:val="2CCE1414"/>
    <w:rsid w:val="2CF93ABF"/>
    <w:rsid w:val="2D1E27A3"/>
    <w:rsid w:val="2D1E560F"/>
    <w:rsid w:val="2D394FF5"/>
    <w:rsid w:val="2D766528"/>
    <w:rsid w:val="2D797435"/>
    <w:rsid w:val="2DF50B51"/>
    <w:rsid w:val="2E6111A5"/>
    <w:rsid w:val="2E671D49"/>
    <w:rsid w:val="2E6A704D"/>
    <w:rsid w:val="2E6C0B54"/>
    <w:rsid w:val="2E7A444E"/>
    <w:rsid w:val="2E8A6255"/>
    <w:rsid w:val="2E8B21B7"/>
    <w:rsid w:val="2EA51EA6"/>
    <w:rsid w:val="2EB8596B"/>
    <w:rsid w:val="2EC8145A"/>
    <w:rsid w:val="2F0B1048"/>
    <w:rsid w:val="2F132DA3"/>
    <w:rsid w:val="2F141AAA"/>
    <w:rsid w:val="2F57653D"/>
    <w:rsid w:val="2FCA4353"/>
    <w:rsid w:val="2FE55D75"/>
    <w:rsid w:val="2FF23F99"/>
    <w:rsid w:val="2FF43D8C"/>
    <w:rsid w:val="2FFD0E93"/>
    <w:rsid w:val="2FFF3277"/>
    <w:rsid w:val="30236367"/>
    <w:rsid w:val="30331BC6"/>
    <w:rsid w:val="303E7E03"/>
    <w:rsid w:val="30405AEB"/>
    <w:rsid w:val="304A182B"/>
    <w:rsid w:val="30700C52"/>
    <w:rsid w:val="30757C00"/>
    <w:rsid w:val="30782C0F"/>
    <w:rsid w:val="307D5D65"/>
    <w:rsid w:val="30B34CE3"/>
    <w:rsid w:val="30CB1C83"/>
    <w:rsid w:val="30ED2830"/>
    <w:rsid w:val="310743D8"/>
    <w:rsid w:val="3112096E"/>
    <w:rsid w:val="316B2857"/>
    <w:rsid w:val="31832D29"/>
    <w:rsid w:val="31997196"/>
    <w:rsid w:val="319D5339"/>
    <w:rsid w:val="319F2F47"/>
    <w:rsid w:val="31B2277E"/>
    <w:rsid w:val="31D20CDE"/>
    <w:rsid w:val="31F37E23"/>
    <w:rsid w:val="31FE689A"/>
    <w:rsid w:val="32223DC6"/>
    <w:rsid w:val="325A02A1"/>
    <w:rsid w:val="329032EF"/>
    <w:rsid w:val="329970EF"/>
    <w:rsid w:val="32AE0B6A"/>
    <w:rsid w:val="32B35AAA"/>
    <w:rsid w:val="32F81DE5"/>
    <w:rsid w:val="32FD11AA"/>
    <w:rsid w:val="330F3777"/>
    <w:rsid w:val="33135210"/>
    <w:rsid w:val="3326373F"/>
    <w:rsid w:val="334459AC"/>
    <w:rsid w:val="33705A64"/>
    <w:rsid w:val="338E32D5"/>
    <w:rsid w:val="33A055AF"/>
    <w:rsid w:val="33A51E80"/>
    <w:rsid w:val="33B04066"/>
    <w:rsid w:val="33E16D1D"/>
    <w:rsid w:val="33EE589E"/>
    <w:rsid w:val="340329A9"/>
    <w:rsid w:val="340D7B12"/>
    <w:rsid w:val="341E2B5D"/>
    <w:rsid w:val="342645AD"/>
    <w:rsid w:val="342B057B"/>
    <w:rsid w:val="34335C8F"/>
    <w:rsid w:val="345968B4"/>
    <w:rsid w:val="34617CD8"/>
    <w:rsid w:val="346317C9"/>
    <w:rsid w:val="346A286F"/>
    <w:rsid w:val="346C1C91"/>
    <w:rsid w:val="34753860"/>
    <w:rsid w:val="348C6C4A"/>
    <w:rsid w:val="34A61339"/>
    <w:rsid w:val="34AF4725"/>
    <w:rsid w:val="34CC3006"/>
    <w:rsid w:val="34F3793E"/>
    <w:rsid w:val="34FA09EA"/>
    <w:rsid w:val="354B5D9D"/>
    <w:rsid w:val="35506C87"/>
    <w:rsid w:val="35574E9C"/>
    <w:rsid w:val="35580207"/>
    <w:rsid w:val="35681367"/>
    <w:rsid w:val="35712E34"/>
    <w:rsid w:val="35832558"/>
    <w:rsid w:val="359305B1"/>
    <w:rsid w:val="35966E67"/>
    <w:rsid w:val="35A973C7"/>
    <w:rsid w:val="35ED793B"/>
    <w:rsid w:val="35F06F52"/>
    <w:rsid w:val="35F84740"/>
    <w:rsid w:val="36383125"/>
    <w:rsid w:val="365E28A7"/>
    <w:rsid w:val="366C082D"/>
    <w:rsid w:val="368816D2"/>
    <w:rsid w:val="368C388A"/>
    <w:rsid w:val="36C00E6C"/>
    <w:rsid w:val="36C90DD1"/>
    <w:rsid w:val="36EF2646"/>
    <w:rsid w:val="36F275DD"/>
    <w:rsid w:val="36F55D23"/>
    <w:rsid w:val="37031C33"/>
    <w:rsid w:val="37084089"/>
    <w:rsid w:val="372A4537"/>
    <w:rsid w:val="374634AB"/>
    <w:rsid w:val="37543CF6"/>
    <w:rsid w:val="37704489"/>
    <w:rsid w:val="37710026"/>
    <w:rsid w:val="37731B16"/>
    <w:rsid w:val="37925427"/>
    <w:rsid w:val="37A01319"/>
    <w:rsid w:val="37A55DCC"/>
    <w:rsid w:val="37C075FB"/>
    <w:rsid w:val="37CA04FF"/>
    <w:rsid w:val="37D30771"/>
    <w:rsid w:val="37E3512E"/>
    <w:rsid w:val="37EC0BB8"/>
    <w:rsid w:val="382F75E3"/>
    <w:rsid w:val="38371ACC"/>
    <w:rsid w:val="38665479"/>
    <w:rsid w:val="389205E6"/>
    <w:rsid w:val="38A748FD"/>
    <w:rsid w:val="38D53666"/>
    <w:rsid w:val="38E70932"/>
    <w:rsid w:val="38FF39F5"/>
    <w:rsid w:val="394C68A5"/>
    <w:rsid w:val="3952462B"/>
    <w:rsid w:val="395E479A"/>
    <w:rsid w:val="39675804"/>
    <w:rsid w:val="3988749C"/>
    <w:rsid w:val="398A60A0"/>
    <w:rsid w:val="39A36C2D"/>
    <w:rsid w:val="39AA29B9"/>
    <w:rsid w:val="39AE63D1"/>
    <w:rsid w:val="39D7D99B"/>
    <w:rsid w:val="39E71AEC"/>
    <w:rsid w:val="39F60058"/>
    <w:rsid w:val="3A104089"/>
    <w:rsid w:val="3A190FBF"/>
    <w:rsid w:val="3A1A692D"/>
    <w:rsid w:val="3A2B31D2"/>
    <w:rsid w:val="3A8217DE"/>
    <w:rsid w:val="3A822B01"/>
    <w:rsid w:val="3A8D375B"/>
    <w:rsid w:val="3AB8426E"/>
    <w:rsid w:val="3ACF765C"/>
    <w:rsid w:val="3AD278CD"/>
    <w:rsid w:val="3AFA4BE5"/>
    <w:rsid w:val="3B046CCA"/>
    <w:rsid w:val="3B196D9D"/>
    <w:rsid w:val="3B2A44B8"/>
    <w:rsid w:val="3B2B6476"/>
    <w:rsid w:val="3BA0301A"/>
    <w:rsid w:val="3BAF3CA2"/>
    <w:rsid w:val="3BBC038E"/>
    <w:rsid w:val="3BF72351"/>
    <w:rsid w:val="3BFE3F02"/>
    <w:rsid w:val="3C2972FD"/>
    <w:rsid w:val="3C3261E8"/>
    <w:rsid w:val="3C524EFE"/>
    <w:rsid w:val="3C5B4444"/>
    <w:rsid w:val="3C852047"/>
    <w:rsid w:val="3C97F720"/>
    <w:rsid w:val="3CA13116"/>
    <w:rsid w:val="3CA925AE"/>
    <w:rsid w:val="3CC13485"/>
    <w:rsid w:val="3CCF4FA4"/>
    <w:rsid w:val="3CF877AB"/>
    <w:rsid w:val="3D306CB2"/>
    <w:rsid w:val="3D32729D"/>
    <w:rsid w:val="3D485E54"/>
    <w:rsid w:val="3D62504C"/>
    <w:rsid w:val="3D667959"/>
    <w:rsid w:val="3D8230F2"/>
    <w:rsid w:val="3D886E2C"/>
    <w:rsid w:val="3D9A6B04"/>
    <w:rsid w:val="3DAA5519"/>
    <w:rsid w:val="3DC413E8"/>
    <w:rsid w:val="3DCA34BB"/>
    <w:rsid w:val="3DD83D60"/>
    <w:rsid w:val="3DEE7764"/>
    <w:rsid w:val="3E044CAE"/>
    <w:rsid w:val="3E12201C"/>
    <w:rsid w:val="3E427218"/>
    <w:rsid w:val="3E460E59"/>
    <w:rsid w:val="3E8F30B5"/>
    <w:rsid w:val="3E962C89"/>
    <w:rsid w:val="3E9D9EE9"/>
    <w:rsid w:val="3EA27573"/>
    <w:rsid w:val="3EA72ABE"/>
    <w:rsid w:val="3EAD4174"/>
    <w:rsid w:val="3EAD7F9C"/>
    <w:rsid w:val="3EB32892"/>
    <w:rsid w:val="3EBC3336"/>
    <w:rsid w:val="3EDE79C6"/>
    <w:rsid w:val="3EF60080"/>
    <w:rsid w:val="3EF65530"/>
    <w:rsid w:val="3EFEC654"/>
    <w:rsid w:val="3F064AE9"/>
    <w:rsid w:val="3F3B0C43"/>
    <w:rsid w:val="3F4C62B0"/>
    <w:rsid w:val="3F585F31"/>
    <w:rsid w:val="3F6A4BE4"/>
    <w:rsid w:val="3F7279F0"/>
    <w:rsid w:val="3F7C65CA"/>
    <w:rsid w:val="3F7F0FB6"/>
    <w:rsid w:val="3F9717D1"/>
    <w:rsid w:val="3F9B13A5"/>
    <w:rsid w:val="3FB2485B"/>
    <w:rsid w:val="3FBD3AE8"/>
    <w:rsid w:val="3FEE166B"/>
    <w:rsid w:val="3FFEE24B"/>
    <w:rsid w:val="402A34B8"/>
    <w:rsid w:val="402C4889"/>
    <w:rsid w:val="40360CD1"/>
    <w:rsid w:val="40361D66"/>
    <w:rsid w:val="404C1EBB"/>
    <w:rsid w:val="405214DD"/>
    <w:rsid w:val="406060C3"/>
    <w:rsid w:val="40613E30"/>
    <w:rsid w:val="40736573"/>
    <w:rsid w:val="407D7357"/>
    <w:rsid w:val="40860A30"/>
    <w:rsid w:val="408D0A8F"/>
    <w:rsid w:val="409B4A07"/>
    <w:rsid w:val="40BF6E39"/>
    <w:rsid w:val="40C25B7F"/>
    <w:rsid w:val="40C73A02"/>
    <w:rsid w:val="40E02BC9"/>
    <w:rsid w:val="40F66678"/>
    <w:rsid w:val="40FA12EB"/>
    <w:rsid w:val="410A16AB"/>
    <w:rsid w:val="410E1C56"/>
    <w:rsid w:val="4120577A"/>
    <w:rsid w:val="41603084"/>
    <w:rsid w:val="41686388"/>
    <w:rsid w:val="416C142E"/>
    <w:rsid w:val="41E677EA"/>
    <w:rsid w:val="41FD121E"/>
    <w:rsid w:val="42117A10"/>
    <w:rsid w:val="421A7627"/>
    <w:rsid w:val="4233112B"/>
    <w:rsid w:val="42401E98"/>
    <w:rsid w:val="42474F8A"/>
    <w:rsid w:val="42872311"/>
    <w:rsid w:val="428B5762"/>
    <w:rsid w:val="429F3B64"/>
    <w:rsid w:val="42B64F1C"/>
    <w:rsid w:val="42C92887"/>
    <w:rsid w:val="42D47C2B"/>
    <w:rsid w:val="42DA32B5"/>
    <w:rsid w:val="42FB45E4"/>
    <w:rsid w:val="4307713D"/>
    <w:rsid w:val="433543AC"/>
    <w:rsid w:val="43420FE8"/>
    <w:rsid w:val="434513F0"/>
    <w:rsid w:val="43606D1A"/>
    <w:rsid w:val="43702851"/>
    <w:rsid w:val="437269BA"/>
    <w:rsid w:val="437F3C65"/>
    <w:rsid w:val="43B34232"/>
    <w:rsid w:val="43CA4F48"/>
    <w:rsid w:val="43FE78B1"/>
    <w:rsid w:val="440A7CA0"/>
    <w:rsid w:val="441F3AB4"/>
    <w:rsid w:val="4424604A"/>
    <w:rsid w:val="442967DE"/>
    <w:rsid w:val="445014AB"/>
    <w:rsid w:val="44674A51"/>
    <w:rsid w:val="44CE660D"/>
    <w:rsid w:val="44F103C7"/>
    <w:rsid w:val="452D47A4"/>
    <w:rsid w:val="4545710C"/>
    <w:rsid w:val="454C3E11"/>
    <w:rsid w:val="454F0B76"/>
    <w:rsid w:val="45795008"/>
    <w:rsid w:val="4579514B"/>
    <w:rsid w:val="457E2BBE"/>
    <w:rsid w:val="457F72E8"/>
    <w:rsid w:val="459F05CE"/>
    <w:rsid w:val="45D72674"/>
    <w:rsid w:val="45DE083B"/>
    <w:rsid w:val="45E076C0"/>
    <w:rsid w:val="45F36067"/>
    <w:rsid w:val="460C0745"/>
    <w:rsid w:val="463122D8"/>
    <w:rsid w:val="463144E5"/>
    <w:rsid w:val="4632053D"/>
    <w:rsid w:val="46577675"/>
    <w:rsid w:val="4662415A"/>
    <w:rsid w:val="4662498C"/>
    <w:rsid w:val="46641814"/>
    <w:rsid w:val="466E26B2"/>
    <w:rsid w:val="468425B0"/>
    <w:rsid w:val="46A022D9"/>
    <w:rsid w:val="46A9554B"/>
    <w:rsid w:val="46AF05B5"/>
    <w:rsid w:val="46B04A59"/>
    <w:rsid w:val="46B21457"/>
    <w:rsid w:val="46B411EC"/>
    <w:rsid w:val="46BE1A6C"/>
    <w:rsid w:val="46BE6647"/>
    <w:rsid w:val="46D0431B"/>
    <w:rsid w:val="46D35FF3"/>
    <w:rsid w:val="46EE3897"/>
    <w:rsid w:val="47140585"/>
    <w:rsid w:val="471B3499"/>
    <w:rsid w:val="4730142A"/>
    <w:rsid w:val="476870E2"/>
    <w:rsid w:val="478A0CA0"/>
    <w:rsid w:val="478E4BD2"/>
    <w:rsid w:val="47C848F5"/>
    <w:rsid w:val="47D84DCE"/>
    <w:rsid w:val="47DD756D"/>
    <w:rsid w:val="48037A8A"/>
    <w:rsid w:val="48057880"/>
    <w:rsid w:val="48150BC3"/>
    <w:rsid w:val="48377D23"/>
    <w:rsid w:val="486634EE"/>
    <w:rsid w:val="48807890"/>
    <w:rsid w:val="48A64B98"/>
    <w:rsid w:val="48A71804"/>
    <w:rsid w:val="48B30830"/>
    <w:rsid w:val="48BC156D"/>
    <w:rsid w:val="48DF62C3"/>
    <w:rsid w:val="48EA3B26"/>
    <w:rsid w:val="48F765BE"/>
    <w:rsid w:val="490445F2"/>
    <w:rsid w:val="49137521"/>
    <w:rsid w:val="49320F23"/>
    <w:rsid w:val="493A087A"/>
    <w:rsid w:val="49831FB1"/>
    <w:rsid w:val="49A10911"/>
    <w:rsid w:val="49CA61CE"/>
    <w:rsid w:val="49DD73AE"/>
    <w:rsid w:val="49F95BD6"/>
    <w:rsid w:val="4A0C7375"/>
    <w:rsid w:val="4A194AA5"/>
    <w:rsid w:val="4A2710F3"/>
    <w:rsid w:val="4A2B3C78"/>
    <w:rsid w:val="4A4915FD"/>
    <w:rsid w:val="4A4934DE"/>
    <w:rsid w:val="4A4D25BF"/>
    <w:rsid w:val="4A5E47CC"/>
    <w:rsid w:val="4A6E0EB3"/>
    <w:rsid w:val="4A6E7636"/>
    <w:rsid w:val="4A9106FD"/>
    <w:rsid w:val="4AA73240"/>
    <w:rsid w:val="4AB72272"/>
    <w:rsid w:val="4AC63E7C"/>
    <w:rsid w:val="4AD703A4"/>
    <w:rsid w:val="4B305E1B"/>
    <w:rsid w:val="4B4B6AFE"/>
    <w:rsid w:val="4B5D2E40"/>
    <w:rsid w:val="4B602D44"/>
    <w:rsid w:val="4B842010"/>
    <w:rsid w:val="4BB92D8E"/>
    <w:rsid w:val="4BBB7216"/>
    <w:rsid w:val="4BD07B58"/>
    <w:rsid w:val="4BE87BA5"/>
    <w:rsid w:val="4C155F10"/>
    <w:rsid w:val="4C2F7851"/>
    <w:rsid w:val="4C3176AB"/>
    <w:rsid w:val="4C324162"/>
    <w:rsid w:val="4C3C12ED"/>
    <w:rsid w:val="4C415DC1"/>
    <w:rsid w:val="4C5310F0"/>
    <w:rsid w:val="4C571AC7"/>
    <w:rsid w:val="4C6E278E"/>
    <w:rsid w:val="4CA95F3B"/>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B58EF"/>
    <w:rsid w:val="4EFC68C1"/>
    <w:rsid w:val="4EFE6975"/>
    <w:rsid w:val="4F047E0A"/>
    <w:rsid w:val="4F3A59E7"/>
    <w:rsid w:val="4F477F24"/>
    <w:rsid w:val="4F87600D"/>
    <w:rsid w:val="4FA91AAC"/>
    <w:rsid w:val="4FBD0FF5"/>
    <w:rsid w:val="4FC854D7"/>
    <w:rsid w:val="50142DE1"/>
    <w:rsid w:val="5015687B"/>
    <w:rsid w:val="501926CA"/>
    <w:rsid w:val="503109FF"/>
    <w:rsid w:val="503E7F87"/>
    <w:rsid w:val="504544C8"/>
    <w:rsid w:val="505E3D68"/>
    <w:rsid w:val="505F4DFA"/>
    <w:rsid w:val="505F5918"/>
    <w:rsid w:val="506F5953"/>
    <w:rsid w:val="507A0E74"/>
    <w:rsid w:val="50A218B6"/>
    <w:rsid w:val="50C2531E"/>
    <w:rsid w:val="50D13748"/>
    <w:rsid w:val="50D43A3A"/>
    <w:rsid w:val="510A120A"/>
    <w:rsid w:val="512E16EC"/>
    <w:rsid w:val="51426BF5"/>
    <w:rsid w:val="516A440A"/>
    <w:rsid w:val="51B053DC"/>
    <w:rsid w:val="51BA5A6F"/>
    <w:rsid w:val="51C42E16"/>
    <w:rsid w:val="51E5538B"/>
    <w:rsid w:val="52000D12"/>
    <w:rsid w:val="520D6221"/>
    <w:rsid w:val="5244074B"/>
    <w:rsid w:val="525351F4"/>
    <w:rsid w:val="525A6FBC"/>
    <w:rsid w:val="526C0997"/>
    <w:rsid w:val="5277467D"/>
    <w:rsid w:val="52855A65"/>
    <w:rsid w:val="52E11882"/>
    <w:rsid w:val="52E44E05"/>
    <w:rsid w:val="52F862D1"/>
    <w:rsid w:val="530B071F"/>
    <w:rsid w:val="53311AB3"/>
    <w:rsid w:val="53317F44"/>
    <w:rsid w:val="533D33D1"/>
    <w:rsid w:val="53511F1B"/>
    <w:rsid w:val="5353295D"/>
    <w:rsid w:val="53670B33"/>
    <w:rsid w:val="537735FB"/>
    <w:rsid w:val="53775B6A"/>
    <w:rsid w:val="538F5737"/>
    <w:rsid w:val="53CA0B91"/>
    <w:rsid w:val="53D43855"/>
    <w:rsid w:val="53D6214F"/>
    <w:rsid w:val="53EE1101"/>
    <w:rsid w:val="53FC4E8E"/>
    <w:rsid w:val="54111ADD"/>
    <w:rsid w:val="541717DC"/>
    <w:rsid w:val="54271D5C"/>
    <w:rsid w:val="5427740E"/>
    <w:rsid w:val="542B571F"/>
    <w:rsid w:val="54976AA9"/>
    <w:rsid w:val="549A3F89"/>
    <w:rsid w:val="54A022DD"/>
    <w:rsid w:val="54AA7049"/>
    <w:rsid w:val="54CF639A"/>
    <w:rsid w:val="54DE0134"/>
    <w:rsid w:val="54FC0026"/>
    <w:rsid w:val="553C46BA"/>
    <w:rsid w:val="55485688"/>
    <w:rsid w:val="55494082"/>
    <w:rsid w:val="555B3FA7"/>
    <w:rsid w:val="555F54CC"/>
    <w:rsid w:val="557D5B60"/>
    <w:rsid w:val="55834A19"/>
    <w:rsid w:val="559D43FA"/>
    <w:rsid w:val="55CF743F"/>
    <w:rsid w:val="55F27046"/>
    <w:rsid w:val="55F526C6"/>
    <w:rsid w:val="56066DC9"/>
    <w:rsid w:val="560B2337"/>
    <w:rsid w:val="561A7CC7"/>
    <w:rsid w:val="564E1228"/>
    <w:rsid w:val="566535A8"/>
    <w:rsid w:val="56A6131D"/>
    <w:rsid w:val="56A82B00"/>
    <w:rsid w:val="56BC5AD0"/>
    <w:rsid w:val="56D00C68"/>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7FDBEDD"/>
    <w:rsid w:val="58466FCB"/>
    <w:rsid w:val="58750691"/>
    <w:rsid w:val="58AB575D"/>
    <w:rsid w:val="58AD0DF8"/>
    <w:rsid w:val="58BC728D"/>
    <w:rsid w:val="58BD4DB3"/>
    <w:rsid w:val="58D22E69"/>
    <w:rsid w:val="58DD0763"/>
    <w:rsid w:val="58EA22FF"/>
    <w:rsid w:val="58EB59C1"/>
    <w:rsid w:val="59445F91"/>
    <w:rsid w:val="596A4F3B"/>
    <w:rsid w:val="59815208"/>
    <w:rsid w:val="5993057B"/>
    <w:rsid w:val="59A43D8B"/>
    <w:rsid w:val="59A64B68"/>
    <w:rsid w:val="59F001A4"/>
    <w:rsid w:val="5A1E2DE7"/>
    <w:rsid w:val="5A20427A"/>
    <w:rsid w:val="5A331DE9"/>
    <w:rsid w:val="5A395FB6"/>
    <w:rsid w:val="5A436A2D"/>
    <w:rsid w:val="5A9833A8"/>
    <w:rsid w:val="5AAC047B"/>
    <w:rsid w:val="5AC95404"/>
    <w:rsid w:val="5AD370A1"/>
    <w:rsid w:val="5B0A066E"/>
    <w:rsid w:val="5B123FA7"/>
    <w:rsid w:val="5B1D0885"/>
    <w:rsid w:val="5B5E18A4"/>
    <w:rsid w:val="5B613C0E"/>
    <w:rsid w:val="5B8B4AEE"/>
    <w:rsid w:val="5B955E96"/>
    <w:rsid w:val="5B9B3675"/>
    <w:rsid w:val="5BA26571"/>
    <w:rsid w:val="5BCA6564"/>
    <w:rsid w:val="5BD66D67"/>
    <w:rsid w:val="5BFE7E52"/>
    <w:rsid w:val="5C107D40"/>
    <w:rsid w:val="5C107FF0"/>
    <w:rsid w:val="5C1D1988"/>
    <w:rsid w:val="5C1E3775"/>
    <w:rsid w:val="5C381264"/>
    <w:rsid w:val="5C3D27FC"/>
    <w:rsid w:val="5C5E6BE8"/>
    <w:rsid w:val="5C672644"/>
    <w:rsid w:val="5C8132C7"/>
    <w:rsid w:val="5CA23A25"/>
    <w:rsid w:val="5CC26330"/>
    <w:rsid w:val="5CD67F41"/>
    <w:rsid w:val="5CDF760E"/>
    <w:rsid w:val="5CE07ABA"/>
    <w:rsid w:val="5CF00F5E"/>
    <w:rsid w:val="5D017C51"/>
    <w:rsid w:val="5D141BA6"/>
    <w:rsid w:val="5D4165A3"/>
    <w:rsid w:val="5D463591"/>
    <w:rsid w:val="5D4F2A78"/>
    <w:rsid w:val="5D570A59"/>
    <w:rsid w:val="5D792AE4"/>
    <w:rsid w:val="5DC25C67"/>
    <w:rsid w:val="5DCA711D"/>
    <w:rsid w:val="5DD97571"/>
    <w:rsid w:val="5DDA1D04"/>
    <w:rsid w:val="5DE22BD1"/>
    <w:rsid w:val="5E101ABB"/>
    <w:rsid w:val="5E2F58D3"/>
    <w:rsid w:val="5E5A06FD"/>
    <w:rsid w:val="5E6C6385"/>
    <w:rsid w:val="5E8A56FD"/>
    <w:rsid w:val="5E9342EC"/>
    <w:rsid w:val="5EA27CF7"/>
    <w:rsid w:val="5EBC3C1E"/>
    <w:rsid w:val="5EEE45E3"/>
    <w:rsid w:val="5EF17565"/>
    <w:rsid w:val="5F3815EE"/>
    <w:rsid w:val="5F5C32D6"/>
    <w:rsid w:val="5FB10E83"/>
    <w:rsid w:val="5FDC6467"/>
    <w:rsid w:val="5FFD96AC"/>
    <w:rsid w:val="600E788A"/>
    <w:rsid w:val="60173C67"/>
    <w:rsid w:val="60206354"/>
    <w:rsid w:val="603911C4"/>
    <w:rsid w:val="604130CF"/>
    <w:rsid w:val="60572C99"/>
    <w:rsid w:val="60663C94"/>
    <w:rsid w:val="60794FD4"/>
    <w:rsid w:val="60814FEF"/>
    <w:rsid w:val="60946411"/>
    <w:rsid w:val="60AE4E89"/>
    <w:rsid w:val="60CD4AC4"/>
    <w:rsid w:val="60D32F5A"/>
    <w:rsid w:val="61001CE1"/>
    <w:rsid w:val="610E2B4C"/>
    <w:rsid w:val="613E3956"/>
    <w:rsid w:val="6151253D"/>
    <w:rsid w:val="617F0AF7"/>
    <w:rsid w:val="619945D7"/>
    <w:rsid w:val="61C210E3"/>
    <w:rsid w:val="61C24BFD"/>
    <w:rsid w:val="61DE43D4"/>
    <w:rsid w:val="61E06967"/>
    <w:rsid w:val="61ED083B"/>
    <w:rsid w:val="61ED26C8"/>
    <w:rsid w:val="61FB2295"/>
    <w:rsid w:val="62184EFE"/>
    <w:rsid w:val="622F0AD0"/>
    <w:rsid w:val="623438B9"/>
    <w:rsid w:val="624216A0"/>
    <w:rsid w:val="626343A0"/>
    <w:rsid w:val="626736F9"/>
    <w:rsid w:val="626B4082"/>
    <w:rsid w:val="626B6B00"/>
    <w:rsid w:val="626C251B"/>
    <w:rsid w:val="628E1BE9"/>
    <w:rsid w:val="62A3326C"/>
    <w:rsid w:val="62C126EC"/>
    <w:rsid w:val="62CF1703"/>
    <w:rsid w:val="62D06FF9"/>
    <w:rsid w:val="62D358FF"/>
    <w:rsid w:val="62D765EB"/>
    <w:rsid w:val="62E16861"/>
    <w:rsid w:val="636B22CC"/>
    <w:rsid w:val="636C198B"/>
    <w:rsid w:val="63B65AC7"/>
    <w:rsid w:val="63D7428B"/>
    <w:rsid w:val="64002DAD"/>
    <w:rsid w:val="640C4C0D"/>
    <w:rsid w:val="642D56F7"/>
    <w:rsid w:val="643B5584"/>
    <w:rsid w:val="64550596"/>
    <w:rsid w:val="645830D7"/>
    <w:rsid w:val="64675414"/>
    <w:rsid w:val="646D58E0"/>
    <w:rsid w:val="647258C3"/>
    <w:rsid w:val="64763CBE"/>
    <w:rsid w:val="647F41B9"/>
    <w:rsid w:val="648F5856"/>
    <w:rsid w:val="64AA2E73"/>
    <w:rsid w:val="64B8434A"/>
    <w:rsid w:val="64BD6867"/>
    <w:rsid w:val="64C5008F"/>
    <w:rsid w:val="64CF4D38"/>
    <w:rsid w:val="64E8446E"/>
    <w:rsid w:val="64E959FD"/>
    <w:rsid w:val="64F9CCE6"/>
    <w:rsid w:val="651B5828"/>
    <w:rsid w:val="6530087B"/>
    <w:rsid w:val="65376B47"/>
    <w:rsid w:val="654042F5"/>
    <w:rsid w:val="65AB2B63"/>
    <w:rsid w:val="65E44DFA"/>
    <w:rsid w:val="65E63B9C"/>
    <w:rsid w:val="65F37088"/>
    <w:rsid w:val="65F66C79"/>
    <w:rsid w:val="660447CA"/>
    <w:rsid w:val="662B5A52"/>
    <w:rsid w:val="665622BC"/>
    <w:rsid w:val="66653739"/>
    <w:rsid w:val="666C4EE6"/>
    <w:rsid w:val="66792487"/>
    <w:rsid w:val="66D470E6"/>
    <w:rsid w:val="66ED2CA0"/>
    <w:rsid w:val="66F722EC"/>
    <w:rsid w:val="66FB0FDC"/>
    <w:rsid w:val="66FC5AFF"/>
    <w:rsid w:val="6709462E"/>
    <w:rsid w:val="676C49AE"/>
    <w:rsid w:val="6777196F"/>
    <w:rsid w:val="67825F62"/>
    <w:rsid w:val="678A1ED0"/>
    <w:rsid w:val="67AB61F8"/>
    <w:rsid w:val="67BA7741"/>
    <w:rsid w:val="67CEDCD6"/>
    <w:rsid w:val="67E6170C"/>
    <w:rsid w:val="67ED1BBE"/>
    <w:rsid w:val="67ED7463"/>
    <w:rsid w:val="67FD51CC"/>
    <w:rsid w:val="680D0CA5"/>
    <w:rsid w:val="684D7F02"/>
    <w:rsid w:val="686C7F9F"/>
    <w:rsid w:val="68A45648"/>
    <w:rsid w:val="68A5668C"/>
    <w:rsid w:val="68BD44C2"/>
    <w:rsid w:val="68D27297"/>
    <w:rsid w:val="68F42855"/>
    <w:rsid w:val="6911241F"/>
    <w:rsid w:val="69232A11"/>
    <w:rsid w:val="69586B5E"/>
    <w:rsid w:val="69B55D5F"/>
    <w:rsid w:val="69B67115"/>
    <w:rsid w:val="69B82DF4"/>
    <w:rsid w:val="69EF53B4"/>
    <w:rsid w:val="69FB8724"/>
    <w:rsid w:val="6A126DD2"/>
    <w:rsid w:val="6A2B4273"/>
    <w:rsid w:val="6A420E56"/>
    <w:rsid w:val="6A924E32"/>
    <w:rsid w:val="6A94008C"/>
    <w:rsid w:val="6AC635A8"/>
    <w:rsid w:val="6AC83B0F"/>
    <w:rsid w:val="6AE60947"/>
    <w:rsid w:val="6AEB2722"/>
    <w:rsid w:val="6AEF6EB8"/>
    <w:rsid w:val="6AFD0629"/>
    <w:rsid w:val="6B0B374F"/>
    <w:rsid w:val="6B0E6D92"/>
    <w:rsid w:val="6B17074E"/>
    <w:rsid w:val="6B1F0CCB"/>
    <w:rsid w:val="6B285847"/>
    <w:rsid w:val="6B5F1CFB"/>
    <w:rsid w:val="6B6234E5"/>
    <w:rsid w:val="6B711708"/>
    <w:rsid w:val="6B980A95"/>
    <w:rsid w:val="6BA67A32"/>
    <w:rsid w:val="6BBD11F5"/>
    <w:rsid w:val="6BCE1834"/>
    <w:rsid w:val="6BD12800"/>
    <w:rsid w:val="6BF44877"/>
    <w:rsid w:val="6C022DB1"/>
    <w:rsid w:val="6C172034"/>
    <w:rsid w:val="6C1B1096"/>
    <w:rsid w:val="6C5E02FC"/>
    <w:rsid w:val="6C611966"/>
    <w:rsid w:val="6C721812"/>
    <w:rsid w:val="6C8B0F52"/>
    <w:rsid w:val="6CC73E80"/>
    <w:rsid w:val="6CDD0DD0"/>
    <w:rsid w:val="6CFA7DB1"/>
    <w:rsid w:val="6D0127E4"/>
    <w:rsid w:val="6D135E16"/>
    <w:rsid w:val="6D1C168A"/>
    <w:rsid w:val="6D2154B9"/>
    <w:rsid w:val="6D347A31"/>
    <w:rsid w:val="6D3668DD"/>
    <w:rsid w:val="6D471CAB"/>
    <w:rsid w:val="6D70425D"/>
    <w:rsid w:val="6D986796"/>
    <w:rsid w:val="6DAC0977"/>
    <w:rsid w:val="6DB941BD"/>
    <w:rsid w:val="6DC60F63"/>
    <w:rsid w:val="6DED6545"/>
    <w:rsid w:val="6DF11063"/>
    <w:rsid w:val="6E3B32BE"/>
    <w:rsid w:val="6E4C770B"/>
    <w:rsid w:val="6E5F1098"/>
    <w:rsid w:val="6E6F2793"/>
    <w:rsid w:val="6E703D8E"/>
    <w:rsid w:val="6E7F1EDE"/>
    <w:rsid w:val="6E84323D"/>
    <w:rsid w:val="6E942A76"/>
    <w:rsid w:val="6EA41FA2"/>
    <w:rsid w:val="6EB44AD4"/>
    <w:rsid w:val="6EBA69C8"/>
    <w:rsid w:val="6F2463D6"/>
    <w:rsid w:val="6F265009"/>
    <w:rsid w:val="6F313FE8"/>
    <w:rsid w:val="6F381CAC"/>
    <w:rsid w:val="6F6128C1"/>
    <w:rsid w:val="6F723264"/>
    <w:rsid w:val="6F9C6902"/>
    <w:rsid w:val="6F9E6156"/>
    <w:rsid w:val="6FA06B69"/>
    <w:rsid w:val="6FA0729C"/>
    <w:rsid w:val="6FFB3E16"/>
    <w:rsid w:val="70100CA2"/>
    <w:rsid w:val="70393572"/>
    <w:rsid w:val="706E27A1"/>
    <w:rsid w:val="706F0977"/>
    <w:rsid w:val="707263F3"/>
    <w:rsid w:val="70880108"/>
    <w:rsid w:val="70A13280"/>
    <w:rsid w:val="70A24D48"/>
    <w:rsid w:val="70B07280"/>
    <w:rsid w:val="70BA64EF"/>
    <w:rsid w:val="70C42D2B"/>
    <w:rsid w:val="70C900DF"/>
    <w:rsid w:val="70EFD498"/>
    <w:rsid w:val="70F80524"/>
    <w:rsid w:val="710A2419"/>
    <w:rsid w:val="710E65A0"/>
    <w:rsid w:val="71326D32"/>
    <w:rsid w:val="71347EB1"/>
    <w:rsid w:val="71453598"/>
    <w:rsid w:val="714C2CD0"/>
    <w:rsid w:val="715A596A"/>
    <w:rsid w:val="717C247D"/>
    <w:rsid w:val="717F26E4"/>
    <w:rsid w:val="71816B8E"/>
    <w:rsid w:val="71832D29"/>
    <w:rsid w:val="71907818"/>
    <w:rsid w:val="71B252F9"/>
    <w:rsid w:val="71DE7E1D"/>
    <w:rsid w:val="71E95916"/>
    <w:rsid w:val="71EB1F0E"/>
    <w:rsid w:val="7203413E"/>
    <w:rsid w:val="72191ED0"/>
    <w:rsid w:val="721C3014"/>
    <w:rsid w:val="721D0BFB"/>
    <w:rsid w:val="7250588C"/>
    <w:rsid w:val="726F5278"/>
    <w:rsid w:val="727E786A"/>
    <w:rsid w:val="72887FD4"/>
    <w:rsid w:val="72BD0544"/>
    <w:rsid w:val="72C0472D"/>
    <w:rsid w:val="72CB03A1"/>
    <w:rsid w:val="72D11D5C"/>
    <w:rsid w:val="72DC3720"/>
    <w:rsid w:val="72DC4121"/>
    <w:rsid w:val="72E4193A"/>
    <w:rsid w:val="72E85DAD"/>
    <w:rsid w:val="73133AF6"/>
    <w:rsid w:val="732303D9"/>
    <w:rsid w:val="7344428A"/>
    <w:rsid w:val="734979C3"/>
    <w:rsid w:val="73532CC9"/>
    <w:rsid w:val="735C549D"/>
    <w:rsid w:val="736F7373"/>
    <w:rsid w:val="738F6C61"/>
    <w:rsid w:val="7392343A"/>
    <w:rsid w:val="73B060B2"/>
    <w:rsid w:val="73D223F2"/>
    <w:rsid w:val="73D73D11"/>
    <w:rsid w:val="73E95EE8"/>
    <w:rsid w:val="744975DD"/>
    <w:rsid w:val="74610332"/>
    <w:rsid w:val="746920A5"/>
    <w:rsid w:val="749C24F1"/>
    <w:rsid w:val="74AD6F4A"/>
    <w:rsid w:val="74AE06FF"/>
    <w:rsid w:val="74CB1EDB"/>
    <w:rsid w:val="74DE73F5"/>
    <w:rsid w:val="750E239F"/>
    <w:rsid w:val="7517095A"/>
    <w:rsid w:val="751E77AF"/>
    <w:rsid w:val="75474541"/>
    <w:rsid w:val="75702156"/>
    <w:rsid w:val="757A6A57"/>
    <w:rsid w:val="75D07F8B"/>
    <w:rsid w:val="75EE5669"/>
    <w:rsid w:val="76957051"/>
    <w:rsid w:val="76BD4232"/>
    <w:rsid w:val="76C10199"/>
    <w:rsid w:val="76C57BCB"/>
    <w:rsid w:val="76D474B3"/>
    <w:rsid w:val="76DF91DD"/>
    <w:rsid w:val="76E708BB"/>
    <w:rsid w:val="76EF6DD7"/>
    <w:rsid w:val="76F927CD"/>
    <w:rsid w:val="772F78A5"/>
    <w:rsid w:val="773B2934"/>
    <w:rsid w:val="773E064E"/>
    <w:rsid w:val="774E1211"/>
    <w:rsid w:val="7767181A"/>
    <w:rsid w:val="777B71D8"/>
    <w:rsid w:val="77842F01"/>
    <w:rsid w:val="77A54D53"/>
    <w:rsid w:val="77AB25AD"/>
    <w:rsid w:val="77D75F2B"/>
    <w:rsid w:val="77FC6767"/>
    <w:rsid w:val="781A0BEC"/>
    <w:rsid w:val="78202415"/>
    <w:rsid w:val="78213FC9"/>
    <w:rsid w:val="78572B59"/>
    <w:rsid w:val="786FD340"/>
    <w:rsid w:val="78701D9C"/>
    <w:rsid w:val="78741C81"/>
    <w:rsid w:val="7899537E"/>
    <w:rsid w:val="78F9F6D3"/>
    <w:rsid w:val="78FA0671"/>
    <w:rsid w:val="79393B8B"/>
    <w:rsid w:val="793A634F"/>
    <w:rsid w:val="795A4F33"/>
    <w:rsid w:val="79785617"/>
    <w:rsid w:val="797A5A56"/>
    <w:rsid w:val="797BA803"/>
    <w:rsid w:val="798635EB"/>
    <w:rsid w:val="79A5750A"/>
    <w:rsid w:val="79CF368F"/>
    <w:rsid w:val="79EB2FD6"/>
    <w:rsid w:val="79ECAB6F"/>
    <w:rsid w:val="79ED0DA8"/>
    <w:rsid w:val="7A0C1011"/>
    <w:rsid w:val="7A0E7A81"/>
    <w:rsid w:val="7A17211E"/>
    <w:rsid w:val="7A321CDB"/>
    <w:rsid w:val="7A4B626B"/>
    <w:rsid w:val="7A567B6E"/>
    <w:rsid w:val="7A6E32C8"/>
    <w:rsid w:val="7AA5772A"/>
    <w:rsid w:val="7AB0113D"/>
    <w:rsid w:val="7AC900CF"/>
    <w:rsid w:val="7B052FBD"/>
    <w:rsid w:val="7B2F54B5"/>
    <w:rsid w:val="7B48416D"/>
    <w:rsid w:val="7B5A5A6C"/>
    <w:rsid w:val="7B5C250E"/>
    <w:rsid w:val="7B5C3BBA"/>
    <w:rsid w:val="7B63305F"/>
    <w:rsid w:val="7B6D0F87"/>
    <w:rsid w:val="7B72691F"/>
    <w:rsid w:val="7B783FD8"/>
    <w:rsid w:val="7B9A3DB8"/>
    <w:rsid w:val="7BA113AB"/>
    <w:rsid w:val="7BA67BFD"/>
    <w:rsid w:val="7BAC4AE8"/>
    <w:rsid w:val="7BD52290"/>
    <w:rsid w:val="7BD568A0"/>
    <w:rsid w:val="7BE22960"/>
    <w:rsid w:val="7BF20E1E"/>
    <w:rsid w:val="7BFC01F8"/>
    <w:rsid w:val="7BFF6BBF"/>
    <w:rsid w:val="7BFF70BE"/>
    <w:rsid w:val="7C120F4C"/>
    <w:rsid w:val="7C1B29E5"/>
    <w:rsid w:val="7C5728ED"/>
    <w:rsid w:val="7C574A54"/>
    <w:rsid w:val="7C686BCF"/>
    <w:rsid w:val="7C9408F4"/>
    <w:rsid w:val="7CA76EC6"/>
    <w:rsid w:val="7CB83597"/>
    <w:rsid w:val="7CB90CC2"/>
    <w:rsid w:val="7CC752E0"/>
    <w:rsid w:val="7CFB2CE9"/>
    <w:rsid w:val="7CFBCE9D"/>
    <w:rsid w:val="7D0C34C4"/>
    <w:rsid w:val="7D1E71EA"/>
    <w:rsid w:val="7D212CA5"/>
    <w:rsid w:val="7D255EE2"/>
    <w:rsid w:val="7D26D855"/>
    <w:rsid w:val="7D293184"/>
    <w:rsid w:val="7D2B742D"/>
    <w:rsid w:val="7D4B3EE6"/>
    <w:rsid w:val="7D4B572C"/>
    <w:rsid w:val="7D6112EF"/>
    <w:rsid w:val="7D68620F"/>
    <w:rsid w:val="7D69777E"/>
    <w:rsid w:val="7D6FB106"/>
    <w:rsid w:val="7D752C5B"/>
    <w:rsid w:val="7D927DC0"/>
    <w:rsid w:val="7D9F12B2"/>
    <w:rsid w:val="7DB34706"/>
    <w:rsid w:val="7DFE1ABC"/>
    <w:rsid w:val="7E1A0A9F"/>
    <w:rsid w:val="7E2327E1"/>
    <w:rsid w:val="7E3C401A"/>
    <w:rsid w:val="7E641213"/>
    <w:rsid w:val="7EA7EB6C"/>
    <w:rsid w:val="7EAD3628"/>
    <w:rsid w:val="7EB859C9"/>
    <w:rsid w:val="7ECB4935"/>
    <w:rsid w:val="7EE33139"/>
    <w:rsid w:val="7EEBD690"/>
    <w:rsid w:val="7EF34773"/>
    <w:rsid w:val="7EF931C4"/>
    <w:rsid w:val="7F0D08DC"/>
    <w:rsid w:val="7F173D26"/>
    <w:rsid w:val="7F3DC597"/>
    <w:rsid w:val="7F457705"/>
    <w:rsid w:val="7F666017"/>
    <w:rsid w:val="7F6FBE70"/>
    <w:rsid w:val="7F714EE5"/>
    <w:rsid w:val="7F765549"/>
    <w:rsid w:val="7F7F2734"/>
    <w:rsid w:val="7F9B10FB"/>
    <w:rsid w:val="7FA63F96"/>
    <w:rsid w:val="7FB7DF21"/>
    <w:rsid w:val="7FB9287C"/>
    <w:rsid w:val="7FC32F20"/>
    <w:rsid w:val="7FCB2760"/>
    <w:rsid w:val="7FCC47FD"/>
    <w:rsid w:val="7FD31973"/>
    <w:rsid w:val="7FE15B01"/>
    <w:rsid w:val="7FFB1B6E"/>
    <w:rsid w:val="8573C5B4"/>
    <w:rsid w:val="A9F77D42"/>
    <w:rsid w:val="BAF7CE3F"/>
    <w:rsid w:val="C6F5E4F8"/>
    <w:rsid w:val="CDFFBC69"/>
    <w:rsid w:val="DCE705B6"/>
    <w:rsid w:val="DE35E862"/>
    <w:rsid w:val="DF77D5E2"/>
    <w:rsid w:val="DFE64E7C"/>
    <w:rsid w:val="F1FE2398"/>
    <w:rsid w:val="F76F081C"/>
    <w:rsid w:val="F7760AF3"/>
    <w:rsid w:val="F7B3F097"/>
    <w:rsid w:val="F7BF1B7E"/>
    <w:rsid w:val="F7E80245"/>
    <w:rsid w:val="FB6B5221"/>
    <w:rsid w:val="FBB6A2A8"/>
    <w:rsid w:val="FDDE9CAC"/>
    <w:rsid w:val="FF4B3213"/>
    <w:rsid w:val="FFCB6B60"/>
    <w:rsid w:val="FFFB3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style>
  <w:style w:type="table" w:customStyle="1" w:styleId="169">
    <w:name w:val="Table Normal"/>
    <w:semiHidden/>
    <w:unhideWhenUsed/>
    <w:qFormat/>
    <w:uiPriority w:val="2"/>
    <w:tblPr>
      <w:tblCellMar>
        <w:top w:w="0" w:type="dxa"/>
        <w:left w:w="0" w:type="dxa"/>
        <w:bottom w:w="0" w:type="dxa"/>
        <w:right w:w="0" w:type="dxa"/>
      </w:tblCellMar>
    </w:tblPr>
  </w:style>
  <w:style w:type="paragraph" w:customStyle="1" w:styleId="170">
    <w:name w:val="符号列表"/>
    <w:basedOn w:val="1"/>
    <w:next w:val="171"/>
    <w:qFormat/>
    <w:uiPriority w:val="34"/>
    <w:pPr>
      <w:spacing w:beforeLines="50"/>
      <w:ind w:firstLine="420" w:firstLineChars="200"/>
    </w:pPr>
    <w:rPr>
      <w:rFonts w:ascii="Calibri" w:hAnsi="Calibri"/>
      <w:sz w:val="24"/>
      <w:szCs w:val="22"/>
      <w:lang w:val="zh-CN"/>
    </w:rPr>
  </w:style>
  <w:style w:type="paragraph" w:customStyle="1" w:styleId="171">
    <w:name w:val="列出段落11"/>
    <w:basedOn w:val="1"/>
    <w:qFormat/>
    <w:uiPriority w:val="99"/>
    <w:pPr>
      <w:ind w:firstLine="420" w:firstLineChars="200"/>
    </w:p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36</Pages>
  <Words>14328</Words>
  <Characters>14935</Characters>
  <Lines>1</Lines>
  <Paragraphs>1</Paragraphs>
  <TotalTime>1</TotalTime>
  <ScaleCrop>false</ScaleCrop>
  <LinksUpToDate>false</LinksUpToDate>
  <CharactersWithSpaces>15932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2020-05-04T00:16:00Z</dcterms:created>
  <dc:creator>陈桂兰</dc:creator>
  <cp:lastModifiedBy>百小小</cp:lastModifiedBy>
  <cp:lastPrinted>2023-10-20T02:24:00Z</cp:lastPrinted>
  <dcterms:modified xsi:type="dcterms:W3CDTF">2023-11-27T03:36:19Z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E01176138CD84CD8A283B7FD24ECA390</vt:lpwstr>
  </property>
  <property fmtid="{D5CDD505-2E9C-101B-9397-08002B2CF9AE}" pid="4" name="commondata">
    <vt:lpwstr>eyJoZGlkIjoiNmI0YzI4NGJiMjg2ZWZlN2MzZDcyYzg5ZDEwYzBhZDAifQ==</vt:lpwstr>
  </property>
</Properties>
</file>