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hint="default" w:ascii="方正仿宋_GBK" w:hAnsi="方正仿宋_GBK" w:eastAsia="方正仿宋_GBK" w:cs="方正仿宋_GBK"/>
          <w:b/>
          <w:bCs/>
          <w:color w:val="auto"/>
          <w:sz w:val="32"/>
          <w:szCs w:val="32"/>
          <w:highlight w:val="none"/>
          <w:lang w:val="en-US"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三江公司法律服务</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jc w:val="center"/>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14"/>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重庆航发三江港埠有限公司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重庆航发三江港埠有限公司佛耳岩码头</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fmt="decimal"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11</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24"/>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1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17"/>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5</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5</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6</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6</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7</w:t>
          </w:r>
        </w:p>
        <w:p>
          <w:pPr>
            <w:pStyle w:val="12"/>
            <w:tabs>
              <w:tab w:val="right" w:leader="dot" w:pos="9054"/>
            </w:tabs>
            <w:spacing w:line="510" w:lineRule="exact"/>
            <w:ind w:left="0"/>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黑体" w:cs="Times New Roman"/>
              <w:color w:val="auto"/>
              <w:sz w:val="32"/>
              <w:highlight w:val="none"/>
              <w:lang w:eastAsia="zh-CN"/>
            </w:rPr>
            <w:t xml:space="preserve">第三章 </w:t>
          </w:r>
          <w:r>
            <w:rPr>
              <w:rFonts w:hint="eastAsia" w:ascii="Times New Roman" w:hAnsi="Times New Roman" w:eastAsia="黑体" w:cs="Times New Roman"/>
              <w:color w:val="auto"/>
              <w:sz w:val="32"/>
              <w:highlight w:val="none"/>
              <w:lang w:val="en-US" w:eastAsia="zh-CN"/>
            </w:rPr>
            <w:t>合同条款与格式</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8</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1.</w:t>
          </w:r>
          <w:r>
            <w:rPr>
              <w:rFonts w:hint="eastAsia" w:ascii="Times New Roman" w:hAnsi="Times New Roman" w:eastAsia="方正仿宋_GBK" w:cs="Times New Roman"/>
              <w:color w:val="auto"/>
              <w:sz w:val="32"/>
              <w:highlight w:val="none"/>
              <w:lang w:val="en-US" w:eastAsia="zh-CN"/>
            </w:rPr>
            <w:t>合同格式</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8</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2.</w:t>
          </w:r>
          <w:r>
            <w:rPr>
              <w:rFonts w:hint="eastAsia" w:ascii="Times New Roman" w:hAnsi="Times New Roman" w:eastAsia="方正仿宋_GBK" w:cs="Times New Roman"/>
              <w:color w:val="auto"/>
              <w:sz w:val="32"/>
              <w:highlight w:val="none"/>
              <w:lang w:val="en-US" w:eastAsia="zh-CN"/>
            </w:rPr>
            <w:t>廉政合同</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15</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3.</w:t>
          </w:r>
          <w:r>
            <w:rPr>
              <w:rFonts w:hint="eastAsia" w:ascii="Times New Roman" w:hAnsi="Times New Roman" w:eastAsia="方正仿宋_GBK" w:cs="Times New Roman"/>
              <w:color w:val="auto"/>
              <w:sz w:val="32"/>
              <w:highlight w:val="none"/>
              <w:lang w:val="en-US" w:eastAsia="zh-CN"/>
            </w:rPr>
            <w:t>诚信合规协议</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18</w:t>
          </w:r>
        </w:p>
        <w:p>
          <w:pPr>
            <w:pStyle w:val="10"/>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2</w:t>
          </w:r>
        </w:p>
        <w:p>
          <w:pPr>
            <w:pStyle w:val="12"/>
            <w:tabs>
              <w:tab w:val="right" w:leader="dot" w:pos="9054"/>
            </w:tabs>
            <w:spacing w:line="510" w:lineRule="exact"/>
            <w:rPr>
              <w:rFonts w:hint="eastAsia"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一、</w:t>
          </w:r>
          <w:r>
            <w:rPr>
              <w:rStyle w:val="17"/>
              <w:rFonts w:hint="eastAsia" w:ascii="Times New Roman" w:hAnsi="Times New Roman" w:eastAsia="方正仿宋_GBK" w:cs="Times New Roman"/>
              <w:color w:val="auto"/>
              <w:sz w:val="32"/>
              <w:highlight w:val="none"/>
              <w:lang w:val="en-US" w:eastAsia="zh-CN"/>
            </w:rPr>
            <w:t>负责</w:t>
          </w:r>
          <w:r>
            <w:rPr>
              <w:rStyle w:val="17"/>
              <w:rFonts w:hint="default" w:ascii="Times New Roman" w:hAnsi="Times New Roman" w:eastAsia="方正仿宋_GBK" w:cs="Times New Roman"/>
              <w:color w:val="auto"/>
              <w:sz w:val="32"/>
              <w:highlight w:val="none"/>
            </w:rPr>
            <w:t>人身份证明或授权委托书</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rPr>
            <w:fldChar w:fldCharType="end"/>
          </w:r>
          <w:r>
            <w:rPr>
              <w:rFonts w:hint="eastAsia" w:ascii="Times New Roman" w:hAnsi="Times New Roman" w:eastAsia="方正仿宋_GBK" w:cs="Times New Roman"/>
              <w:color w:val="auto"/>
              <w:sz w:val="32"/>
              <w:highlight w:val="none"/>
              <w:lang w:val="en-US" w:eastAsia="zh-CN"/>
            </w:rPr>
            <w:t>4</w:t>
          </w:r>
        </w:p>
        <w:p>
          <w:pPr>
            <w:pStyle w:val="12"/>
            <w:tabs>
              <w:tab w:val="right" w:leader="dot" w:pos="9054"/>
            </w:tabs>
            <w:spacing w:line="510" w:lineRule="exact"/>
            <w:rPr>
              <w:rFonts w:hint="eastAsia"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二、报价</w:t>
          </w:r>
          <w:r>
            <w:rPr>
              <w:rStyle w:val="17"/>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rPr>
            <w:fldChar w:fldCharType="end"/>
          </w:r>
          <w:r>
            <w:rPr>
              <w:rFonts w:hint="eastAsia" w:ascii="Times New Roman" w:hAnsi="Times New Roman" w:eastAsia="方正仿宋_GBK" w:cs="Times New Roman"/>
              <w:color w:val="auto"/>
              <w:sz w:val="32"/>
              <w:highlight w:val="none"/>
              <w:lang w:val="en-US" w:eastAsia="zh-CN"/>
            </w:rPr>
            <w:t>5</w:t>
          </w:r>
        </w:p>
        <w:p>
          <w:pPr>
            <w:pStyle w:val="12"/>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三、</w:t>
          </w:r>
          <w:r>
            <w:rPr>
              <w:rStyle w:val="17"/>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6</w:t>
          </w:r>
        </w:p>
        <w:p>
          <w:pPr>
            <w:pStyle w:val="12"/>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四、</w:t>
          </w:r>
          <w:r>
            <w:rPr>
              <w:rStyle w:val="17"/>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7</w:t>
          </w:r>
        </w:p>
        <w:p>
          <w:pPr>
            <w:pStyle w:val="12"/>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五、诚信</w:t>
          </w:r>
          <w:r>
            <w:rPr>
              <w:rStyle w:val="17"/>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8</w:t>
          </w:r>
        </w:p>
        <w:p>
          <w:pPr>
            <w:pStyle w:val="12"/>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default" w:ascii="Times New Roman" w:hAnsi="Times New Roman" w:eastAsia="方正小标宋_GBK" w:cs="Times New Roman"/>
              <w:b/>
              <w:bCs/>
              <w:color w:val="auto"/>
              <w:sz w:val="32"/>
              <w:highlight w:val="none"/>
              <w:lang w:val="zh-CN"/>
            </w:rPr>
            <w:fldChar w:fldCharType="end"/>
          </w:r>
        </w:p>
      </w:sdtContent>
    </w:sdt>
    <w:p>
      <w:pPr>
        <w:jc w:val="center"/>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重庆航发三江港埠有限公司</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法律服务询价公告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方正仿宋_GBK" w:hAnsi="方正仿宋_GBK" w:eastAsia="方正仿宋_GBK" w:cs="方正仿宋_GBK"/>
          <w:sz w:val="32"/>
          <w:szCs w:val="32"/>
          <w:lang w:val="en-US" w:eastAsia="zh-CN"/>
        </w:rPr>
        <w:t>询价条件（公开询价）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u w:val="single"/>
          <w:lang w:val="en-US" w:eastAsia="zh-CN"/>
        </w:rPr>
        <w:t>三江公司法律服务</w:t>
      </w:r>
      <w:r>
        <w:rPr>
          <w:rFonts w:hint="default" w:ascii="Times New Roman" w:hAnsi="Times New Roman" w:eastAsia="方正仿宋_GBK" w:cs="Times New Roman"/>
          <w:bCs/>
          <w:color w:val="auto"/>
          <w:sz w:val="32"/>
          <w:szCs w:val="32"/>
          <w:highlight w:val="none"/>
          <w:lang w:eastAsia="zh-CN"/>
        </w:rPr>
        <w:t>项目已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重庆航发三江港埠有限公司佛耳岩码头</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项目概况与询价工作范围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2.1项目地址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重庆市巴南区鱼洞滨江路佛耳岩码头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rPr>
        <w:t>重</w:t>
      </w:r>
      <w:r>
        <w:rPr>
          <w:rFonts w:hint="eastAsia" w:ascii="Times New Roman" w:hAnsi="Times New Roman" w:eastAsia="方正仿宋_GBK" w:cs="Times New Roman"/>
          <w:bCs/>
          <w:color w:val="auto"/>
          <w:kern w:val="2"/>
          <w:sz w:val="32"/>
          <w:szCs w:val="32"/>
          <w:highlight w:val="none"/>
          <w:lang w:val="en-US" w:eastAsia="zh-CN" w:bidi="ar-SA"/>
        </w:rPr>
        <w:t>庆航发三江港埠有限公司佛耳岩码头位于重庆市巴南区境内，鱼洞滨江路末端的渔洞镇金子沟村，距渔洞镇约3.5km，下距朝天门约36km的长江南岸，距重庆市区约28公里。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sz w:val="32"/>
          <w:szCs w:val="32"/>
          <w:lang w:val="en-US" w:eastAsia="zh-CN"/>
        </w:rPr>
        <w:t>2022年8月23日</w:t>
      </w:r>
      <w:r>
        <w:rPr>
          <w:rFonts w:hint="eastAsia" w:ascii="Times New Roman" w:hAnsi="Times New Roman" w:eastAsia="方正仿宋_GBK" w:cs="方正仿宋_GBK"/>
          <w:sz w:val="32"/>
          <w:szCs w:val="32"/>
          <w:lang w:val="en-US" w:eastAsia="zh-CN"/>
        </w:rPr>
        <w:t>8:30左右，佛耳岩码头二期2号仓库起火，并引燃堆场木材。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rPr>
        <w:t>日，</w:t>
      </w:r>
      <w:r>
        <w:rPr>
          <w:rFonts w:hint="eastAsia" w:ascii="Times New Roman" w:hAnsi="Times New Roman" w:eastAsia="方正仿宋_GBK" w:cs="Times New Roman"/>
          <w:color w:val="auto"/>
          <w:sz w:val="32"/>
          <w:szCs w:val="32"/>
          <w:highlight w:val="none"/>
          <w:lang w:val="en-US" w:eastAsia="zh-CN"/>
        </w:rPr>
        <w:t>嘉兴麦特贸易有限</w:t>
      </w:r>
      <w:r>
        <w:rPr>
          <w:rFonts w:hint="default" w:ascii="Times New Roman" w:hAnsi="Times New Roman" w:eastAsia="方正仿宋_GBK" w:cs="Times New Roman"/>
          <w:color w:val="auto"/>
          <w:sz w:val="32"/>
          <w:szCs w:val="32"/>
          <w:highlight w:val="none"/>
        </w:rPr>
        <w:t>公司</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以下简称嘉兴公司</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以“港口</w:t>
      </w:r>
      <w:r>
        <w:rPr>
          <w:rFonts w:hint="eastAsia" w:ascii="Times New Roman" w:hAnsi="Times New Roman" w:eastAsia="方正仿宋_GBK" w:cs="Times New Roman"/>
          <w:color w:val="auto"/>
          <w:sz w:val="32"/>
          <w:szCs w:val="32"/>
          <w:highlight w:val="none"/>
          <w:lang w:val="en-US" w:eastAsia="zh-CN"/>
        </w:rPr>
        <w:t>货物保管合同</w:t>
      </w:r>
      <w:r>
        <w:rPr>
          <w:rFonts w:hint="default" w:ascii="Times New Roman" w:hAnsi="Times New Roman" w:eastAsia="方正仿宋_GBK" w:cs="Times New Roman"/>
          <w:color w:val="auto"/>
          <w:sz w:val="32"/>
          <w:szCs w:val="32"/>
          <w:highlight w:val="none"/>
        </w:rPr>
        <w:t>纠纷”为案由提起诉讼</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诉讼标的为5224695.95元加资金损失、律师费、诉讼费，目前嘉兴</w:t>
      </w:r>
      <w:r>
        <w:rPr>
          <w:rFonts w:hint="eastAsia" w:ascii="Times New Roman" w:hAnsi="Times New Roman" w:eastAsia="方正仿宋_GBK" w:cs="Times New Roman"/>
          <w:color w:val="auto"/>
          <w:sz w:val="32"/>
          <w:szCs w:val="32"/>
          <w:highlight w:val="none"/>
        </w:rPr>
        <w:t>公司欠三江公司</w:t>
      </w:r>
      <w:r>
        <w:rPr>
          <w:rFonts w:hint="eastAsia" w:ascii="Times New Roman" w:hAnsi="Times New Roman" w:eastAsia="方正仿宋_GBK" w:cs="Times New Roman"/>
          <w:bCs/>
          <w:color w:val="auto"/>
          <w:kern w:val="2"/>
          <w:sz w:val="32"/>
          <w:szCs w:val="32"/>
          <w:highlight w:val="none"/>
          <w:lang w:val="en-US" w:eastAsia="zh-CN" w:bidi="ar-SA"/>
        </w:rPr>
        <w:t>佛耳岩码头</w:t>
      </w:r>
      <w:r>
        <w:rPr>
          <w:rFonts w:hint="eastAsia" w:ascii="Times New Roman" w:hAnsi="Times New Roman" w:eastAsia="方正仿宋_GBK" w:cs="Times New Roman"/>
          <w:color w:val="auto"/>
          <w:sz w:val="32"/>
          <w:szCs w:val="32"/>
          <w:highlight w:val="none"/>
        </w:rPr>
        <w:t>作业费</w:t>
      </w:r>
      <w:r>
        <w:rPr>
          <w:rFonts w:hint="eastAsia" w:ascii="Times New Roman" w:hAnsi="Times New Roman" w:eastAsia="方正仿宋_GBK" w:cs="Times New Roman"/>
          <w:color w:val="auto"/>
          <w:sz w:val="32"/>
          <w:szCs w:val="32"/>
          <w:highlight w:val="none"/>
          <w:lang w:val="en-US" w:eastAsia="zh-CN"/>
        </w:rPr>
        <w:t>1737252.39元</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我司拟聘请重庆市范围内的律师事务所，代理相关诉讼工作。</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2.3本次询价项目最高限价金额：72万元。</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2.4询价范围：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报价人</w:t>
      </w:r>
      <w:r>
        <w:rPr>
          <w:rFonts w:hint="default" w:ascii="Times New Roman" w:hAnsi="Times New Roman" w:eastAsia="方正仿宋_GBK" w:cs="Times New Roman"/>
          <w:color w:val="auto"/>
          <w:sz w:val="32"/>
          <w:szCs w:val="32"/>
          <w:highlight w:val="none"/>
          <w:u w:val="none"/>
        </w:rPr>
        <w:t>接受</w:t>
      </w:r>
      <w:r>
        <w:rPr>
          <w:rFonts w:hint="eastAsia" w:ascii="Times New Roman" w:hAnsi="Times New Roman" w:eastAsia="方正仿宋_GBK" w:cs="Times New Roman"/>
          <w:color w:val="auto"/>
          <w:sz w:val="32"/>
          <w:szCs w:val="32"/>
          <w:highlight w:val="none"/>
          <w:u w:val="none"/>
          <w:lang w:val="en-US" w:eastAsia="zh-CN"/>
        </w:rPr>
        <w:t>发包人</w:t>
      </w:r>
      <w:r>
        <w:rPr>
          <w:rFonts w:hint="default" w:ascii="Times New Roman" w:hAnsi="Times New Roman" w:eastAsia="方正仿宋_GBK" w:cs="Times New Roman"/>
          <w:color w:val="auto"/>
          <w:sz w:val="32"/>
          <w:szCs w:val="32"/>
          <w:highlight w:val="none"/>
          <w:u w:val="none"/>
        </w:rPr>
        <w:t>委托，指派</w:t>
      </w:r>
      <w:r>
        <w:rPr>
          <w:rFonts w:hint="eastAsia" w:ascii="Times New Roman" w:hAnsi="Times New Roman" w:eastAsia="方正仿宋_GBK" w:cs="Times New Roman"/>
          <w:color w:val="auto"/>
          <w:sz w:val="32"/>
          <w:szCs w:val="32"/>
          <w:highlight w:val="none"/>
          <w:u w:val="none"/>
          <w:lang w:val="en-US" w:eastAsia="zh-CN"/>
        </w:rPr>
        <w:t>不少于1名</w:t>
      </w:r>
      <w:r>
        <w:rPr>
          <w:rFonts w:hint="default" w:ascii="Times New Roman" w:hAnsi="Times New Roman" w:eastAsia="方正仿宋_GBK" w:cs="Times New Roman"/>
          <w:color w:val="auto"/>
          <w:sz w:val="32"/>
          <w:szCs w:val="32"/>
          <w:highlight w:val="none"/>
          <w:u w:val="none"/>
        </w:rPr>
        <w:t>律师为甲方在</w:t>
      </w:r>
      <w:r>
        <w:rPr>
          <w:rFonts w:hint="eastAsia" w:ascii="Times New Roman" w:hAnsi="Times New Roman" w:eastAsia="方正仿宋_GBK" w:cs="Times New Roman"/>
          <w:color w:val="auto"/>
          <w:sz w:val="32"/>
          <w:szCs w:val="32"/>
          <w:highlight w:val="none"/>
          <w:u w:val="none"/>
          <w:lang w:val="en-US" w:eastAsia="zh-CN"/>
        </w:rPr>
        <w:t>案件的一审</w:t>
      </w:r>
      <w:r>
        <w:rPr>
          <w:rFonts w:hint="default" w:ascii="Times New Roman" w:hAnsi="Times New Roman" w:eastAsia="方正仿宋_GBK" w:cs="Times New Roman"/>
          <w:color w:val="auto"/>
          <w:sz w:val="32"/>
          <w:szCs w:val="32"/>
          <w:highlight w:val="none"/>
          <w:u w:val="none"/>
        </w:rPr>
        <w:t>诉讼</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以及可能涉及的二审诉讼</w:t>
      </w:r>
      <w:r>
        <w:rPr>
          <w:rFonts w:hint="default" w:ascii="Times New Roman" w:hAnsi="Times New Roman" w:eastAsia="方正仿宋_GBK" w:cs="Times New Roman"/>
          <w:color w:val="auto"/>
          <w:sz w:val="32"/>
          <w:szCs w:val="32"/>
          <w:highlight w:val="none"/>
          <w:u w:val="none"/>
        </w:rPr>
        <w:t>提供法律服务，担任代理人</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包括但不限于收集证据、制定应诉方案、出庭、协调诉讼等。</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报价人资格要求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（一）</w:t>
      </w:r>
      <w:r>
        <w:rPr>
          <w:rFonts w:hint="default" w:ascii="Times New Roman" w:hAnsi="Times New Roman" w:eastAsia="方正仿宋_GBK" w:cs="Times New Roman"/>
          <w:bCs/>
          <w:color w:val="auto"/>
          <w:kern w:val="2"/>
          <w:sz w:val="32"/>
          <w:szCs w:val="32"/>
          <w:highlight w:val="none"/>
          <w:lang w:val="en-US" w:eastAsia="zh-CN" w:bidi="ar-SA"/>
        </w:rPr>
        <w:t>依照《中华人民共和国律师法》成立的律师事务所，成立时间在</w:t>
      </w:r>
      <w:r>
        <w:rPr>
          <w:rFonts w:hint="eastAsia" w:ascii="Times New Roman" w:hAnsi="Times New Roman" w:eastAsia="方正仿宋_GBK" w:cs="Times New Roman"/>
          <w:bCs/>
          <w:color w:val="auto"/>
          <w:kern w:val="2"/>
          <w:sz w:val="32"/>
          <w:szCs w:val="32"/>
          <w:highlight w:val="none"/>
          <w:lang w:val="en-US" w:eastAsia="zh-CN" w:bidi="ar-SA"/>
        </w:rPr>
        <w:t>5</w:t>
      </w:r>
      <w:r>
        <w:rPr>
          <w:rFonts w:hint="default" w:ascii="Times New Roman" w:hAnsi="Times New Roman" w:eastAsia="方正仿宋_GBK" w:cs="Times New Roman"/>
          <w:bCs/>
          <w:color w:val="auto"/>
          <w:kern w:val="2"/>
          <w:sz w:val="32"/>
          <w:szCs w:val="32"/>
          <w:highlight w:val="none"/>
          <w:lang w:val="en-US" w:eastAsia="zh-CN" w:bidi="ar-SA"/>
        </w:rPr>
        <w:t>年以上（截至202</w:t>
      </w:r>
      <w:r>
        <w:rPr>
          <w:rFonts w:hint="eastAsia" w:ascii="Times New Roman" w:hAnsi="Times New Roman" w:eastAsia="方正仿宋_GBK" w:cs="Times New Roman"/>
          <w:bCs/>
          <w:color w:val="auto"/>
          <w:kern w:val="2"/>
          <w:sz w:val="32"/>
          <w:szCs w:val="32"/>
          <w:highlight w:val="none"/>
          <w:lang w:val="en-US" w:eastAsia="zh-CN" w:bidi="ar-SA"/>
        </w:rPr>
        <w:t>3</w:t>
      </w:r>
      <w:r>
        <w:rPr>
          <w:rFonts w:hint="default" w:ascii="Times New Roman" w:hAnsi="Times New Roman" w:eastAsia="方正仿宋_GBK" w:cs="Times New Roman"/>
          <w:bCs/>
          <w:color w:val="auto"/>
          <w:kern w:val="2"/>
          <w:sz w:val="32"/>
          <w:szCs w:val="32"/>
          <w:highlight w:val="none"/>
          <w:lang w:val="en-US" w:eastAsia="zh-CN" w:bidi="ar-SA"/>
        </w:rPr>
        <w:t>年</w:t>
      </w:r>
      <w:r>
        <w:rPr>
          <w:rFonts w:hint="eastAsia" w:ascii="Times New Roman" w:hAnsi="Times New Roman" w:eastAsia="方正仿宋_GBK" w:cs="Times New Roman"/>
          <w:bCs/>
          <w:color w:val="auto"/>
          <w:kern w:val="2"/>
          <w:sz w:val="32"/>
          <w:szCs w:val="32"/>
          <w:highlight w:val="none"/>
          <w:lang w:val="en-US" w:eastAsia="zh-CN" w:bidi="ar-SA"/>
        </w:rPr>
        <w:t>10</w:t>
      </w:r>
      <w:r>
        <w:rPr>
          <w:rFonts w:hint="default" w:ascii="Times New Roman" w:hAnsi="Times New Roman" w:eastAsia="方正仿宋_GBK" w:cs="Times New Roman"/>
          <w:bCs/>
          <w:color w:val="auto"/>
          <w:kern w:val="2"/>
          <w:sz w:val="32"/>
          <w:szCs w:val="32"/>
          <w:highlight w:val="none"/>
          <w:lang w:val="en-US" w:eastAsia="zh-CN" w:bidi="ar-SA"/>
        </w:rPr>
        <w:t>月</w:t>
      </w:r>
      <w:r>
        <w:rPr>
          <w:rFonts w:hint="eastAsia" w:ascii="Times New Roman" w:hAnsi="Times New Roman" w:eastAsia="方正仿宋_GBK" w:cs="Times New Roman"/>
          <w:bCs/>
          <w:color w:val="auto"/>
          <w:kern w:val="2"/>
          <w:sz w:val="32"/>
          <w:szCs w:val="32"/>
          <w:highlight w:val="none"/>
          <w:lang w:val="en-US" w:eastAsia="zh-CN" w:bidi="ar-SA"/>
        </w:rPr>
        <w:t>31日</w:t>
      </w:r>
      <w:r>
        <w:rPr>
          <w:rFonts w:hint="default" w:ascii="Times New Roman" w:hAnsi="Times New Roman" w:eastAsia="方正仿宋_GBK" w:cs="Times New Roman"/>
          <w:bCs/>
          <w:color w:val="auto"/>
          <w:kern w:val="2"/>
          <w:sz w:val="32"/>
          <w:szCs w:val="32"/>
          <w:highlight w:val="none"/>
          <w:lang w:val="en-US" w:eastAsia="zh-CN" w:bidi="ar-SA"/>
        </w:rPr>
        <w:t>止）</w:t>
      </w:r>
      <w:r>
        <w:rPr>
          <w:rFonts w:hint="eastAsia" w:ascii="Times New Roman" w:hAnsi="Times New Roman" w:eastAsia="方正仿宋_GBK" w:cs="Times New Roman"/>
          <w:bCs/>
          <w:color w:val="auto"/>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在资格审查部分须提供律师事务所执业许可证复印件。</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（二）报价人委派的律师，须</w:t>
      </w:r>
      <w:r>
        <w:rPr>
          <w:rFonts w:hint="default" w:ascii="Times New Roman" w:hAnsi="Times New Roman" w:eastAsia="方正仿宋_GBK" w:cs="Times New Roman"/>
          <w:bCs/>
          <w:color w:val="auto"/>
          <w:kern w:val="2"/>
          <w:sz w:val="32"/>
          <w:szCs w:val="32"/>
          <w:highlight w:val="none"/>
          <w:lang w:val="en-US" w:eastAsia="zh-CN" w:bidi="ar-SA"/>
        </w:rPr>
        <w:t>具有</w:t>
      </w:r>
      <w:r>
        <w:rPr>
          <w:rFonts w:hint="eastAsia" w:ascii="Times New Roman" w:hAnsi="Times New Roman" w:eastAsia="方正仿宋_GBK" w:cs="Times New Roman"/>
          <w:bCs/>
          <w:color w:val="auto"/>
          <w:kern w:val="2"/>
          <w:sz w:val="32"/>
          <w:szCs w:val="32"/>
          <w:highlight w:val="none"/>
          <w:lang w:val="en-US" w:eastAsia="zh-CN" w:bidi="ar-SA"/>
        </w:rPr>
        <w:t>5</w:t>
      </w:r>
      <w:r>
        <w:rPr>
          <w:rFonts w:hint="default" w:ascii="Times New Roman" w:hAnsi="Times New Roman" w:eastAsia="方正仿宋_GBK" w:cs="Times New Roman"/>
          <w:bCs/>
          <w:color w:val="auto"/>
          <w:kern w:val="2"/>
          <w:sz w:val="32"/>
          <w:szCs w:val="32"/>
          <w:highlight w:val="none"/>
          <w:lang w:val="en-US" w:eastAsia="zh-CN" w:bidi="ar-SA"/>
        </w:rPr>
        <w:t>年以上律师</w:t>
      </w:r>
      <w:r>
        <w:rPr>
          <w:rFonts w:hint="eastAsia" w:ascii="Times New Roman" w:hAnsi="Times New Roman" w:eastAsia="方正仿宋_GBK" w:cs="Times New Roman"/>
          <w:bCs/>
          <w:color w:val="auto"/>
          <w:kern w:val="2"/>
          <w:sz w:val="32"/>
          <w:szCs w:val="32"/>
          <w:highlight w:val="none"/>
          <w:lang w:val="en-US" w:eastAsia="zh-CN" w:bidi="ar-SA"/>
        </w:rPr>
        <w:t>执业</w:t>
      </w:r>
      <w:r>
        <w:rPr>
          <w:rFonts w:hint="default" w:ascii="Times New Roman" w:hAnsi="Times New Roman" w:eastAsia="方正仿宋_GBK" w:cs="Times New Roman"/>
          <w:bCs/>
          <w:color w:val="auto"/>
          <w:kern w:val="2"/>
          <w:sz w:val="32"/>
          <w:szCs w:val="32"/>
          <w:highlight w:val="none"/>
          <w:lang w:val="en-US" w:eastAsia="zh-CN" w:bidi="ar-SA"/>
        </w:rPr>
        <w:t>经验（截至202</w:t>
      </w:r>
      <w:r>
        <w:rPr>
          <w:rFonts w:hint="eastAsia" w:ascii="Times New Roman" w:hAnsi="Times New Roman" w:eastAsia="方正仿宋_GBK" w:cs="Times New Roman"/>
          <w:bCs/>
          <w:color w:val="auto"/>
          <w:kern w:val="2"/>
          <w:sz w:val="32"/>
          <w:szCs w:val="32"/>
          <w:highlight w:val="none"/>
          <w:lang w:val="en-US" w:eastAsia="zh-CN" w:bidi="ar-SA"/>
        </w:rPr>
        <w:t>3</w:t>
      </w:r>
      <w:r>
        <w:rPr>
          <w:rFonts w:hint="default" w:ascii="Times New Roman" w:hAnsi="Times New Roman" w:eastAsia="方正仿宋_GBK" w:cs="Times New Roman"/>
          <w:bCs/>
          <w:color w:val="auto"/>
          <w:kern w:val="2"/>
          <w:sz w:val="32"/>
          <w:szCs w:val="32"/>
          <w:highlight w:val="none"/>
          <w:lang w:val="en-US" w:eastAsia="zh-CN" w:bidi="ar-SA"/>
        </w:rPr>
        <w:t>年</w:t>
      </w:r>
      <w:r>
        <w:rPr>
          <w:rFonts w:hint="eastAsia" w:ascii="Times New Roman" w:hAnsi="Times New Roman" w:eastAsia="方正仿宋_GBK" w:cs="Times New Roman"/>
          <w:bCs/>
          <w:color w:val="auto"/>
          <w:kern w:val="2"/>
          <w:sz w:val="32"/>
          <w:szCs w:val="32"/>
          <w:highlight w:val="none"/>
          <w:lang w:val="en-US" w:eastAsia="zh-CN" w:bidi="ar-SA"/>
        </w:rPr>
        <w:t>10</w:t>
      </w:r>
      <w:r>
        <w:rPr>
          <w:rFonts w:hint="default" w:ascii="Times New Roman" w:hAnsi="Times New Roman" w:eastAsia="方正仿宋_GBK" w:cs="Times New Roman"/>
          <w:bCs/>
          <w:color w:val="auto"/>
          <w:kern w:val="2"/>
          <w:sz w:val="32"/>
          <w:szCs w:val="32"/>
          <w:highlight w:val="none"/>
          <w:lang w:val="en-US" w:eastAsia="zh-CN" w:bidi="ar-SA"/>
        </w:rPr>
        <w:t>月</w:t>
      </w:r>
      <w:r>
        <w:rPr>
          <w:rFonts w:hint="eastAsia" w:ascii="Times New Roman" w:hAnsi="Times New Roman" w:eastAsia="方正仿宋_GBK" w:cs="Times New Roman"/>
          <w:bCs/>
          <w:color w:val="auto"/>
          <w:kern w:val="2"/>
          <w:sz w:val="32"/>
          <w:szCs w:val="32"/>
          <w:highlight w:val="none"/>
          <w:lang w:val="en-US" w:eastAsia="zh-CN" w:bidi="ar-SA"/>
        </w:rPr>
        <w:t>31日</w:t>
      </w:r>
      <w:r>
        <w:rPr>
          <w:rFonts w:hint="default" w:ascii="Times New Roman" w:hAnsi="Times New Roman" w:eastAsia="方正仿宋_GBK" w:cs="Times New Roman"/>
          <w:bCs/>
          <w:color w:val="auto"/>
          <w:kern w:val="2"/>
          <w:sz w:val="32"/>
          <w:szCs w:val="32"/>
          <w:highlight w:val="none"/>
          <w:lang w:val="en-US" w:eastAsia="zh-CN" w:bidi="ar-SA"/>
        </w:rPr>
        <w:t>止）</w:t>
      </w:r>
      <w:r>
        <w:rPr>
          <w:rFonts w:hint="eastAsia" w:ascii="Times New Roman" w:hAnsi="Times New Roman" w:eastAsia="方正仿宋_GBK" w:cs="Times New Roman"/>
          <w:bCs/>
          <w:color w:val="auto"/>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在资格审查部分须提供律师执业证复印件。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kern w:val="2"/>
          <w:sz w:val="32"/>
          <w:szCs w:val="32"/>
          <w:highlight w:val="none"/>
          <w:lang w:val="en-US" w:eastAsia="zh-CN" w:bidi="ar-SA"/>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pStyle w:val="2"/>
        <w:keepNext w:val="0"/>
        <w:keepLines w:val="0"/>
        <w:pageBreakBefore w:val="0"/>
        <w:widowControl w:val="0"/>
        <w:kinsoku/>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r>
        <w:rPr>
          <w:rFonts w:hint="eastAsia" w:ascii="Times New Roman" w:hAnsi="Times New Roman" w:eastAsia="方正仿宋_GBK" w:cs="Times New Roman"/>
          <w:bCs/>
          <w:color w:val="auto"/>
          <w:sz w:val="32"/>
          <w:szCs w:val="32"/>
          <w:highlight w:val="none"/>
          <w:lang w:eastAsia="zh-CN"/>
        </w:rPr>
        <w:t>。</w:t>
      </w:r>
    </w:p>
    <w:p>
      <w:pPr>
        <w:pStyle w:val="2"/>
        <w:keepNext w:val="0"/>
        <w:keepLines w:val="0"/>
        <w:pageBreakBefore w:val="0"/>
        <w:widowControl w:val="0"/>
        <w:numPr>
          <w:ilvl w:val="0"/>
          <w:numId w:val="1"/>
        </w:numPr>
        <w:kinsoku/>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报价文件的递交</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lang w:val="en-US" w:eastAsia="zh-CN"/>
        </w:rPr>
        <w:t>重庆航发三江港埠有限公司(综合部）</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4.2报价文件递交截止时间：挂网公示后第4日10时整为止（挂网之日不算，截止日为非工作日时，顺延至工作日）。</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w:t>
      </w:r>
      <w:r>
        <w:rPr>
          <w:rFonts w:hint="eastAsia" w:ascii="Times New Roman" w:hAnsi="Times New Roman" w:eastAsia="方正仿宋_GBK" w:cs="Times New Roman"/>
          <w:bCs/>
          <w:color w:val="auto"/>
          <w:sz w:val="32"/>
          <w:szCs w:val="32"/>
          <w:highlight w:val="none"/>
          <w:lang w:val="en-US" w:eastAsia="zh-CN"/>
        </w:rPr>
        <w:t>112.35.165.219</w:t>
      </w:r>
      <w:r>
        <w:rPr>
          <w:rFonts w:hint="default" w:ascii="Times New Roman" w:hAnsi="Times New Roman" w:eastAsia="方正仿宋_GBK" w:cs="Times New Roman"/>
          <w:bCs/>
          <w:color w:val="auto"/>
          <w:sz w:val="32"/>
          <w:szCs w:val="32"/>
          <w:highlight w:val="none"/>
          <w:lang w:eastAsia="zh-CN"/>
        </w:rPr>
        <w:t>:8088/PMS/）上发布。</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重庆航发三江港埠有限</w:t>
      </w:r>
      <w:r>
        <w:rPr>
          <w:rFonts w:hint="default" w:ascii="Times New Roman" w:hAnsi="Times New Roman" w:eastAsia="方正仿宋_GBK" w:cs="Times New Roman"/>
          <w:bCs/>
          <w:color w:val="auto"/>
          <w:sz w:val="32"/>
          <w:szCs w:val="32"/>
          <w:highlight w:val="none"/>
          <w:lang w:eastAsia="zh-CN"/>
        </w:rPr>
        <w:t>公司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重庆市巴南区鱼洞滨江路佛耳岩码头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张先生</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023-89153175</w:t>
      </w: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重庆航发三江港埠有限公司商贸部</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023-89153185</w:t>
      </w: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eastAsiaTheme="minorEastAsia"/>
          <w:color w:val="auto"/>
          <w:sz w:val="24"/>
          <w:szCs w:val="21"/>
          <w:highlight w:val="none"/>
          <w:lang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2"/>
        <w:keepNext w:val="0"/>
        <w:keepLines w:val="0"/>
        <w:pageBreakBefore w:val="0"/>
        <w:widowControl w:val="0"/>
        <w:kinsoku/>
        <w:overflowPunct/>
        <w:topLinePunct w:val="0"/>
        <w:autoSpaceDE/>
        <w:autoSpaceDN/>
        <w:bidi w:val="0"/>
        <w:adjustRightInd/>
        <w:snapToGrid/>
        <w:spacing w:after="0" w:line="560" w:lineRule="exact"/>
        <w:jc w:val="right"/>
        <w:textAlignment w:val="auto"/>
        <w:rPr>
          <w:rFonts w:hint="default"/>
          <w:lang w:val="en-US" w:eastAsia="zh-CN"/>
        </w:rPr>
      </w:pPr>
      <w:r>
        <w:rPr>
          <w:rFonts w:hint="eastAsia" w:ascii="Times New Roman" w:hAnsi="Times New Roman" w:eastAsia="方正仿宋_GBK" w:cs="Times New Roman"/>
          <w:bCs/>
          <w:color w:val="auto"/>
          <w:sz w:val="32"/>
          <w:szCs w:val="32"/>
          <w:highlight w:val="none"/>
          <w:lang w:val="en-US" w:eastAsia="zh-CN"/>
        </w:rPr>
        <w:t>2023年11月1日</w:t>
      </w:r>
    </w:p>
    <w:p>
      <w:pPr>
        <w:pStyle w:val="2"/>
        <w:rPr>
          <w:rFonts w:hint="default"/>
          <w:lang w:val="en-US" w:eastAsia="zh-CN"/>
        </w:rPr>
      </w:pPr>
    </w:p>
    <w:p>
      <w:pPr>
        <w:pStyle w:val="2"/>
        <w:numPr>
          <w:ilvl w:val="0"/>
          <w:numId w:val="0"/>
        </w:numPr>
        <w:ind w:leftChars="0"/>
        <w:rPr>
          <w:rFonts w:hint="default" w:ascii="Times New Roman" w:hAnsi="Times New Roman" w:eastAsia="方正仿宋_GBK" w:cs="Times New Roman"/>
          <w:bCs/>
          <w:color w:val="auto"/>
          <w:sz w:val="32"/>
          <w:szCs w:val="32"/>
          <w:highlight w:val="none"/>
          <w:lang w:val="en-US"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w:t>
      </w:r>
      <w:r>
        <w:rPr>
          <w:rFonts w:hint="eastAsia" w:ascii="Times New Roman" w:hAnsi="Times New Roman" w:eastAsia="方正仿宋_GBK" w:cs="Times New Roman"/>
          <w:bCs/>
          <w:color w:val="auto"/>
          <w:sz w:val="32"/>
          <w:szCs w:val="32"/>
          <w:highlight w:val="none"/>
          <w:lang w:val="en-US" w:eastAsia="zh-CN"/>
        </w:rPr>
        <w:t>对分项报价和总报价进行限价，</w:t>
      </w:r>
      <w:r>
        <w:rPr>
          <w:rFonts w:hint="default" w:ascii="Times New Roman" w:hAnsi="Times New Roman" w:eastAsia="方正仿宋_GBK" w:cs="Times New Roman"/>
          <w:bCs/>
          <w:color w:val="auto"/>
          <w:sz w:val="32"/>
          <w:szCs w:val="32"/>
          <w:highlight w:val="none"/>
          <w:lang w:eastAsia="zh-CN"/>
        </w:rPr>
        <w:t>报价人的</w:t>
      </w:r>
      <w:r>
        <w:rPr>
          <w:rFonts w:hint="eastAsia" w:ascii="Times New Roman" w:hAnsi="Times New Roman" w:eastAsia="方正仿宋_GBK" w:cs="Times New Roman"/>
          <w:bCs/>
          <w:color w:val="auto"/>
          <w:sz w:val="32"/>
          <w:szCs w:val="32"/>
          <w:highlight w:val="none"/>
          <w:lang w:val="en-US" w:eastAsia="zh-CN"/>
        </w:rPr>
        <w:t>分项报价和总</w:t>
      </w:r>
      <w:r>
        <w:rPr>
          <w:rFonts w:hint="default" w:ascii="Times New Roman" w:hAnsi="Times New Roman" w:eastAsia="方正仿宋_GBK" w:cs="Times New Roman"/>
          <w:bCs/>
          <w:color w:val="auto"/>
          <w:sz w:val="32"/>
          <w:szCs w:val="32"/>
          <w:highlight w:val="none"/>
          <w:lang w:eastAsia="zh-CN"/>
        </w:rPr>
        <w:t>报价不得高于</w:t>
      </w:r>
      <w:r>
        <w:rPr>
          <w:rFonts w:hint="eastAsia" w:ascii="Times New Roman" w:hAnsi="Times New Roman" w:eastAsia="方正仿宋_GBK" w:cs="Times New Roman"/>
          <w:bCs/>
          <w:color w:val="auto"/>
          <w:sz w:val="32"/>
          <w:szCs w:val="32"/>
          <w:highlight w:val="none"/>
          <w:lang w:val="en-US" w:eastAsia="zh-CN"/>
        </w:rPr>
        <w:t>规定上</w:t>
      </w:r>
      <w:r>
        <w:rPr>
          <w:rFonts w:hint="default" w:ascii="Times New Roman" w:hAnsi="Times New Roman" w:eastAsia="方正仿宋_GBK" w:cs="Times New Roman"/>
          <w:bCs/>
          <w:color w:val="auto"/>
          <w:sz w:val="32"/>
          <w:szCs w:val="32"/>
          <w:highlight w:val="none"/>
          <w:lang w:eastAsia="zh-CN"/>
        </w:rPr>
        <w:t>限价，否则其报价文件将被否决。其它要求详见报价表中的报价说明。</w:t>
      </w:r>
    </w:p>
    <w:tbl>
      <w:tblPr>
        <w:tblStyle w:val="14"/>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182"/>
        <w:gridCol w:w="1595"/>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序号</w:t>
            </w:r>
          </w:p>
        </w:tc>
        <w:tc>
          <w:tcPr>
            <w:tcW w:w="3777"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firstLine="960" w:firstLineChars="3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项目</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lang w:val="en-US" w:eastAsia="zh-CN"/>
              </w:rPr>
              <w:t>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1</w:t>
            </w:r>
          </w:p>
        </w:tc>
        <w:tc>
          <w:tcPr>
            <w:tcW w:w="3777"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基本服务费</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lang w:val="en-US" w:eastAsia="zh-CN"/>
              </w:rPr>
              <w:t>2</w:t>
            </w:r>
          </w:p>
        </w:tc>
        <w:tc>
          <w:tcPr>
            <w:tcW w:w="3777"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lang w:val="en-US" w:eastAsia="zh-CN"/>
              </w:rPr>
              <w:t>风险部分比例（减损服务费）</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u w:val="none"/>
                <w:lang w:val="en-US" w:eastAsia="zh-CN" w:bidi="ar-SA"/>
              </w:rPr>
            </w:pPr>
            <w:r>
              <w:rPr>
                <w:rFonts w:hint="eastAsia" w:ascii="方正仿宋_GBK" w:hAnsi="方正仿宋_GBK" w:eastAsia="方正仿宋_GBK" w:cs="方正仿宋_GBK"/>
                <w:color w:val="auto"/>
                <w:kern w:val="2"/>
                <w:sz w:val="28"/>
                <w:szCs w:val="28"/>
                <w:highlight w:val="none"/>
                <w:u w:val="none"/>
                <w:lang w:val="en-US" w:eastAsia="zh-CN" w:bidi="ar-SA"/>
              </w:rPr>
              <w:t>12%（63万元）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gridSpan w:val="2"/>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总报价上限价</w:t>
            </w:r>
          </w:p>
        </w:tc>
        <w:tc>
          <w:tcPr>
            <w:tcW w:w="5159"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u w:val="none"/>
                <w:lang w:val="en-US" w:eastAsia="zh-CN" w:bidi="ar-SA"/>
              </w:rPr>
            </w:pPr>
            <w:r>
              <w:rPr>
                <w:rFonts w:hint="eastAsia" w:ascii="方正仿宋_GBK" w:hAnsi="方正仿宋_GBK" w:eastAsia="方正仿宋_GBK" w:cs="方正仿宋_GBK"/>
                <w:color w:val="auto"/>
                <w:kern w:val="2"/>
                <w:sz w:val="28"/>
                <w:szCs w:val="28"/>
                <w:highlight w:val="none"/>
                <w:u w:val="none"/>
                <w:lang w:val="en-US" w:eastAsia="zh-CN" w:bidi="ar-SA"/>
              </w:rPr>
              <w:t>72万元</w:t>
            </w:r>
          </w:p>
        </w:tc>
      </w:tr>
    </w:tbl>
    <w:p>
      <w:pPr>
        <w:pStyle w:val="2"/>
        <w:numPr>
          <w:ilvl w:val="0"/>
          <w:numId w:val="0"/>
        </w:numPr>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说明</w:t>
      </w:r>
      <w:r>
        <w:rPr>
          <w:rFonts w:hint="eastAsia" w:ascii="方正仿宋_GBK" w:hAnsi="方正仿宋_GBK" w:eastAsia="方正仿宋_GBK" w:cs="方正仿宋_GBK"/>
          <w:color w:val="auto"/>
          <w:sz w:val="32"/>
          <w:szCs w:val="32"/>
          <w:highlight w:val="none"/>
          <w:lang w:val="en-US" w:eastAsia="zh-CN"/>
        </w:rPr>
        <w:t>：减损服务费是指针对原告起诉被告要求赔付的争议标的额</w:t>
      </w:r>
      <w:r>
        <w:rPr>
          <w:rFonts w:hint="eastAsia" w:ascii="Times New Roman" w:hAnsi="Times New Roman" w:eastAsia="方正仿宋_GBK" w:cs="Times New Roman"/>
          <w:color w:val="auto"/>
          <w:sz w:val="32"/>
          <w:szCs w:val="32"/>
          <w:highlight w:val="none"/>
          <w:lang w:val="en-US" w:eastAsia="zh-CN"/>
        </w:rPr>
        <w:t>5224695.95元加资金损失、律师费、诉讼费</w:t>
      </w:r>
      <w:r>
        <w:rPr>
          <w:rFonts w:hint="eastAsia" w:ascii="方正仿宋_GBK" w:hAnsi="方正仿宋_GBK" w:eastAsia="方正仿宋_GBK" w:cs="方正仿宋_GBK"/>
          <w:color w:val="auto"/>
          <w:sz w:val="32"/>
          <w:szCs w:val="32"/>
          <w:highlight w:val="none"/>
          <w:lang w:val="en-US" w:eastAsia="zh-CN"/>
        </w:rPr>
        <w:t>，经诉讼代理而实际减少赔付的费用部分的法律服务费，报价人需同时报风险部分比例（不超过12%）和减损服务费（不超过63万元，若按报价比例计算的减损服务费超过上限价63万元，则按63万元计）。</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w:t>
      </w:r>
      <w:r>
        <w:rPr>
          <w:rFonts w:hint="eastAsia" w:ascii="Times New Roman" w:hAnsi="Times New Roman" w:eastAsia="方正仿宋_GBK" w:cs="Times New Roman"/>
          <w:bCs/>
          <w:color w:val="auto"/>
          <w:sz w:val="32"/>
          <w:szCs w:val="32"/>
          <w:highlight w:val="none"/>
          <w:lang w:val="en-US" w:eastAsia="zh-CN"/>
        </w:rPr>
        <w:t>建议</w:t>
      </w:r>
      <w:r>
        <w:rPr>
          <w:rFonts w:hint="default" w:ascii="Times New Roman" w:hAnsi="Times New Roman" w:eastAsia="方正仿宋_GBK" w:cs="Times New Roman"/>
          <w:bCs/>
          <w:color w:val="auto"/>
          <w:sz w:val="32"/>
          <w:szCs w:val="32"/>
          <w:highlight w:val="none"/>
          <w:lang w:eastAsia="zh-CN"/>
        </w:rPr>
        <w:t>不采用活页夹等可随时拆换的方式装订，</w:t>
      </w:r>
      <w:r>
        <w:rPr>
          <w:rFonts w:hint="eastAsia" w:ascii="Times New Roman" w:hAnsi="Times New Roman" w:eastAsia="方正仿宋_GBK" w:cs="Times New Roman"/>
          <w:bCs/>
          <w:color w:val="auto"/>
          <w:sz w:val="32"/>
          <w:szCs w:val="32"/>
          <w:highlight w:val="none"/>
          <w:lang w:val="en-US" w:eastAsia="zh-CN"/>
        </w:rPr>
        <w:t>如采用</w:t>
      </w:r>
      <w:r>
        <w:rPr>
          <w:rFonts w:hint="default" w:ascii="Times New Roman" w:hAnsi="Times New Roman" w:eastAsia="方正仿宋_GBK" w:cs="Times New Roman"/>
          <w:bCs/>
          <w:color w:val="auto"/>
          <w:sz w:val="32"/>
          <w:szCs w:val="32"/>
          <w:highlight w:val="none"/>
          <w:lang w:eastAsia="zh-CN"/>
        </w:rPr>
        <w:t>活页夹等可随时拆换的方式装订</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须加盖骑缝章，</w:t>
      </w:r>
      <w:r>
        <w:rPr>
          <w:rFonts w:hint="default" w:ascii="Times New Roman" w:hAnsi="Times New Roman" w:eastAsia="方正仿宋_GBK" w:cs="Times New Roman"/>
          <w:bCs/>
          <w:color w:val="auto"/>
          <w:sz w:val="32"/>
          <w:szCs w:val="32"/>
          <w:highlight w:val="none"/>
          <w:lang w:eastAsia="zh-CN"/>
        </w:rPr>
        <w:t>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副本1份</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三江公司法律服务</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以及提交</w:t>
      </w:r>
      <w:r>
        <w:rPr>
          <w:rFonts w:hint="default" w:ascii="Times New Roman" w:hAnsi="Times New Roman" w:eastAsia="方正仿宋_GBK" w:cs="Times New Roman"/>
          <w:bCs/>
          <w:color w:val="auto"/>
          <w:sz w:val="32"/>
          <w:szCs w:val="32"/>
          <w:highlight w:val="none"/>
          <w:lang w:eastAsia="zh-CN"/>
        </w:rPr>
        <w:t>报价文件</w:t>
      </w:r>
      <w:r>
        <w:rPr>
          <w:rFonts w:hint="eastAsia" w:ascii="Times New Roman" w:hAnsi="Times New Roman" w:eastAsia="方正仿宋_GBK" w:cs="Times New Roman"/>
          <w:bCs/>
          <w:color w:val="auto"/>
          <w:sz w:val="32"/>
          <w:szCs w:val="32"/>
          <w:highlight w:val="none"/>
          <w:lang w:val="en-US" w:eastAsia="zh-CN"/>
        </w:rPr>
        <w:t>当天日期。</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本项目采用综合评估法。评</w:t>
      </w:r>
      <w:r>
        <w:rPr>
          <w:rFonts w:hint="eastAsia" w:ascii="方正仿宋_GBK" w:hAnsi="方正仿宋_GBK" w:eastAsia="方正仿宋_GBK" w:cs="方正仿宋_GBK"/>
          <w:bCs/>
          <w:color w:val="auto"/>
          <w:sz w:val="32"/>
          <w:szCs w:val="32"/>
          <w:highlight w:val="none"/>
          <w:lang w:val="en-US" w:eastAsia="zh-CN"/>
        </w:rPr>
        <w:t>审</w:t>
      </w:r>
      <w:r>
        <w:rPr>
          <w:rFonts w:hint="eastAsia" w:ascii="方正仿宋_GBK" w:hAnsi="方正仿宋_GBK" w:eastAsia="方正仿宋_GBK" w:cs="方正仿宋_GBK"/>
          <w:bCs/>
          <w:color w:val="auto"/>
          <w:sz w:val="32"/>
          <w:szCs w:val="32"/>
          <w:highlight w:val="none"/>
          <w:lang w:eastAsia="zh-CN"/>
        </w:rPr>
        <w:t>委员会按照规定的评分标准进行打分，按得分由高到低顺序推荐中标候选人。综合评分相等时，以投标报价低的优先；投标报价也相等的，以</w:t>
      </w:r>
      <w:r>
        <w:rPr>
          <w:rFonts w:hint="eastAsia" w:ascii="方正仿宋_GBK" w:hAnsi="方正仿宋_GBK" w:eastAsia="方正仿宋_GBK" w:cs="方正仿宋_GBK"/>
          <w:bCs/>
          <w:color w:val="auto"/>
          <w:sz w:val="32"/>
          <w:szCs w:val="32"/>
          <w:highlight w:val="none"/>
          <w:lang w:val="en-US" w:eastAsia="zh-CN"/>
        </w:rPr>
        <w:t>专业</w:t>
      </w:r>
      <w:r>
        <w:rPr>
          <w:rFonts w:hint="eastAsia" w:ascii="方正仿宋_GBK" w:hAnsi="方正仿宋_GBK" w:eastAsia="方正仿宋_GBK" w:cs="方正仿宋_GBK"/>
          <w:bCs/>
          <w:color w:val="auto"/>
          <w:sz w:val="32"/>
          <w:szCs w:val="32"/>
          <w:highlight w:val="none"/>
          <w:lang w:eastAsia="zh-CN"/>
        </w:rPr>
        <w:t>得分高的优先；如果</w:t>
      </w:r>
      <w:r>
        <w:rPr>
          <w:rFonts w:hint="eastAsia" w:ascii="方正仿宋_GBK" w:hAnsi="方正仿宋_GBK" w:eastAsia="方正仿宋_GBK" w:cs="方正仿宋_GBK"/>
          <w:bCs/>
          <w:color w:val="auto"/>
          <w:sz w:val="32"/>
          <w:szCs w:val="32"/>
          <w:highlight w:val="none"/>
          <w:lang w:val="en-US" w:eastAsia="zh-CN"/>
        </w:rPr>
        <w:t>专业</w:t>
      </w:r>
      <w:r>
        <w:rPr>
          <w:rFonts w:hint="eastAsia" w:ascii="方正仿宋_GBK" w:hAnsi="方正仿宋_GBK" w:eastAsia="方正仿宋_GBK" w:cs="方正仿宋_GBK"/>
          <w:bCs/>
          <w:color w:val="auto"/>
          <w:sz w:val="32"/>
          <w:szCs w:val="32"/>
          <w:highlight w:val="none"/>
          <w:lang w:eastAsia="zh-CN"/>
        </w:rPr>
        <w:t>得分也相等，由评标委员会投票确定。</w:t>
      </w:r>
    </w:p>
    <w:tbl>
      <w:tblPr>
        <w:tblStyle w:val="14"/>
        <w:tblpPr w:leftFromText="180" w:rightFromText="180" w:vertAnchor="text" w:tblpX="10325" w:tblpY="89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823" w:type="dxa"/>
          </w:tcPr>
          <w:p>
            <w:pPr>
              <w:spacing w:line="510" w:lineRule="exact"/>
              <w:jc w:val="both"/>
              <w:rPr>
                <w:rFonts w:hint="eastAsia" w:ascii="方正仿宋_GBK" w:hAnsi="方正仿宋_GBK" w:eastAsia="方正仿宋_GBK" w:cs="方正仿宋_GBK"/>
                <w:bCs/>
                <w:color w:val="auto"/>
                <w:sz w:val="32"/>
                <w:szCs w:val="32"/>
                <w:highlight w:val="none"/>
                <w:vertAlign w:val="baseline"/>
                <w:lang w:eastAsia="zh-CN"/>
              </w:rPr>
            </w:pPr>
          </w:p>
        </w:tc>
      </w:tr>
    </w:tbl>
    <w:p>
      <w:pPr>
        <w:spacing w:line="510" w:lineRule="exact"/>
        <w:ind w:firstLine="640" w:firstLineChars="200"/>
        <w:jc w:val="both"/>
        <w:rPr>
          <w:rFonts w:hint="eastAsia"/>
          <w:lang w:eastAsia="zh-CN"/>
        </w:rPr>
      </w:pPr>
      <w:r>
        <w:rPr>
          <w:rFonts w:hint="eastAsia" w:ascii="方正仿宋_GBK" w:hAnsi="方正仿宋_GBK" w:eastAsia="方正仿宋_GBK" w:cs="方正仿宋_GBK"/>
          <w:bCs/>
          <w:color w:val="auto"/>
          <w:sz w:val="32"/>
          <w:szCs w:val="32"/>
          <w:highlight w:val="none"/>
          <w:lang w:eastAsia="zh-CN"/>
        </w:rPr>
        <w:t>评分标准</w:t>
      </w:r>
    </w:p>
    <w:tbl>
      <w:tblPr>
        <w:tblStyle w:val="13"/>
        <w:tblpPr w:leftFromText="180" w:rightFromText="180" w:vertAnchor="text" w:horzAnchor="page" w:tblpX="1835" w:tblpY="3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0"/>
        <w:gridCol w:w="1224"/>
        <w:gridCol w:w="841"/>
        <w:gridCol w:w="10"/>
        <w:gridCol w:w="5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59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序号</w:t>
            </w:r>
          </w:p>
        </w:tc>
        <w:tc>
          <w:tcPr>
            <w:tcW w:w="1224"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评分因素及权重</w:t>
            </w:r>
          </w:p>
        </w:tc>
        <w:tc>
          <w:tcPr>
            <w:tcW w:w="841"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分值</w:t>
            </w:r>
          </w:p>
        </w:tc>
        <w:tc>
          <w:tcPr>
            <w:tcW w:w="5867" w:type="dxa"/>
            <w:gridSpan w:val="2"/>
            <w:tcBorders>
              <w:top w:val="single" w:color="000000" w:sz="8" w:space="0"/>
              <w:left w:val="nil"/>
              <w:bottom w:val="single" w:color="000000" w:sz="8" w:space="0"/>
              <w:right w:val="single" w:color="000000" w:sz="8" w:space="0"/>
            </w:tcBorders>
            <w:shd w:val="clear" w:color="auto" w:fill="FFFFFF"/>
            <w:vAlign w:val="center"/>
          </w:tcPr>
          <w:p>
            <w:pPr>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4"/>
                <w:szCs w:val="24"/>
                <w:lang w:bidi="ar"/>
              </w:rPr>
              <w:t>1</w:t>
            </w:r>
          </w:p>
        </w:tc>
        <w:tc>
          <w:tcPr>
            <w:tcW w:w="1224" w:type="dxa"/>
            <w:tcBorders>
              <w:top w:val="nil"/>
              <w:left w:val="nil"/>
              <w:bottom w:val="single" w:color="auto" w:sz="4" w:space="0"/>
              <w:right w:val="single" w:color="000000" w:sz="8"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rPr>
              <w:t>投标报价</w:t>
            </w:r>
          </w:p>
          <w:p>
            <w:pPr>
              <w:pStyle w:val="2"/>
              <w:ind w:left="0" w:leftChars="0" w:firstLine="0" w:firstLineChars="0"/>
              <w:rPr>
                <w:rFonts w:hint="eastAsia" w:ascii="宋体" w:hAnsi="宋体" w:eastAsia="宋体" w:cs="宋体"/>
                <w:color w:val="auto"/>
                <w:sz w:val="24"/>
                <w:szCs w:val="24"/>
                <w:highlight w:val="none"/>
                <w:lang w:val="en-US"/>
              </w:rPr>
            </w:pPr>
            <w:r>
              <w:rPr>
                <w:rFonts w:hint="eastAsia" w:ascii="宋体" w:hAnsi="宋体" w:eastAsia="宋体" w:cs="宋体"/>
                <w:kern w:val="0"/>
                <w:sz w:val="24"/>
                <w:lang w:bidi="ar"/>
              </w:rPr>
              <w:t>（</w:t>
            </w:r>
            <w:r>
              <w:rPr>
                <w:rFonts w:hint="eastAsia" w:ascii="宋体" w:hAnsi="宋体" w:eastAsia="宋体" w:cs="宋体"/>
                <w:kern w:val="0"/>
                <w:sz w:val="24"/>
                <w:lang w:val="en-US" w:eastAsia="zh-CN" w:bidi="ar"/>
              </w:rPr>
              <w:t>3</w:t>
            </w:r>
            <w:r>
              <w:rPr>
                <w:rFonts w:hint="eastAsia" w:ascii="宋体" w:hAnsi="宋体" w:eastAsia="宋体" w:cs="宋体"/>
                <w:kern w:val="0"/>
                <w:sz w:val="24"/>
                <w:lang w:bidi="ar"/>
              </w:rPr>
              <w:t>0%）</w:t>
            </w:r>
          </w:p>
        </w:tc>
        <w:tc>
          <w:tcPr>
            <w:tcW w:w="841"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0"/>
                <w:sz w:val="24"/>
                <w:szCs w:val="24"/>
                <w:lang w:bidi="ar"/>
              </w:rPr>
              <w:t>0分</w:t>
            </w:r>
          </w:p>
        </w:tc>
        <w:tc>
          <w:tcPr>
            <w:tcW w:w="5867" w:type="dxa"/>
            <w:gridSpan w:val="2"/>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①对所有有效投标报价进行算术平均，所得的算术平均值作为评标基准价。</w:t>
            </w:r>
          </w:p>
          <w:p>
            <w:pP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评标基准价：所有通过初步评审的投标人的投标总报价中去掉一个最低价和一个最高价后（不足六家报价则不去掉），取算术平均值。</w:t>
            </w:r>
          </w:p>
          <w:p>
            <w:pP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②投标报价与评标基准价相比，等于评标基准价的得</w:t>
            </w: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0"/>
                <w:sz w:val="24"/>
                <w:szCs w:val="24"/>
                <w:lang w:bidi="ar"/>
              </w:rPr>
              <w:t>0分；</w:t>
            </w:r>
            <w:r>
              <w:rPr>
                <w:rFonts w:hint="eastAsia" w:ascii="宋体" w:hAnsi="宋体" w:eastAsia="宋体" w:cs="宋体"/>
                <w:color w:val="auto"/>
                <w:kern w:val="0"/>
                <w:sz w:val="24"/>
                <w:szCs w:val="24"/>
                <w:lang w:eastAsia="zh-Hans" w:bidi="ar"/>
              </w:rPr>
              <w:t>每增加</w:t>
            </w:r>
            <w:r>
              <w:rPr>
                <w:rFonts w:ascii="宋体" w:hAnsi="宋体" w:eastAsia="宋体" w:cs="宋体"/>
                <w:color w:val="auto"/>
                <w:kern w:val="0"/>
                <w:sz w:val="24"/>
                <w:szCs w:val="24"/>
                <w:lang w:eastAsia="zh-Hans" w:bidi="ar"/>
              </w:rPr>
              <w:t>1</w:t>
            </w:r>
            <w:r>
              <w:rPr>
                <w:rFonts w:hint="eastAsia" w:ascii="宋体" w:hAnsi="宋体" w:eastAsia="宋体" w:cs="宋体"/>
                <w:color w:val="auto"/>
                <w:kern w:val="0"/>
                <w:sz w:val="24"/>
                <w:szCs w:val="24"/>
                <w:lang w:eastAsia="zh-Hans" w:bidi="ar"/>
              </w:rPr>
              <w:t>万元</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eastAsia="zh-Hans" w:bidi="ar"/>
              </w:rPr>
              <w:t>扣</w:t>
            </w:r>
            <w:r>
              <w:rPr>
                <w:rFonts w:ascii="宋体" w:hAnsi="宋体" w:eastAsia="宋体" w:cs="宋体"/>
                <w:color w:val="auto"/>
                <w:kern w:val="0"/>
                <w:sz w:val="24"/>
                <w:szCs w:val="24"/>
                <w:lang w:eastAsia="zh-Hans" w:bidi="ar"/>
              </w:rPr>
              <w:t>0</w:t>
            </w:r>
            <w:r>
              <w:rPr>
                <w:rFonts w:hint="eastAsia" w:ascii="宋体" w:hAnsi="宋体" w:eastAsia="宋体" w:cs="宋体"/>
                <w:color w:val="auto"/>
                <w:kern w:val="0"/>
                <w:sz w:val="24"/>
                <w:szCs w:val="24"/>
                <w:lang w:eastAsia="zh-Hans" w:bidi="ar"/>
              </w:rPr>
              <w:t>.1分</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eastAsia="zh-Hans" w:bidi="ar"/>
              </w:rPr>
              <w:t>依此类推</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eastAsia="zh-Hans" w:bidi="ar"/>
              </w:rPr>
              <w:t>每减少</w:t>
            </w:r>
            <w:r>
              <w:rPr>
                <w:rFonts w:ascii="宋体" w:hAnsi="宋体" w:eastAsia="宋体" w:cs="宋体"/>
                <w:color w:val="auto"/>
                <w:kern w:val="0"/>
                <w:sz w:val="24"/>
                <w:szCs w:val="24"/>
                <w:lang w:eastAsia="zh-Hans" w:bidi="ar"/>
              </w:rPr>
              <w:t>1</w:t>
            </w:r>
            <w:r>
              <w:rPr>
                <w:rFonts w:hint="eastAsia" w:ascii="宋体" w:hAnsi="宋体" w:eastAsia="宋体" w:cs="宋体"/>
                <w:color w:val="auto"/>
                <w:kern w:val="0"/>
                <w:sz w:val="24"/>
                <w:szCs w:val="24"/>
                <w:lang w:eastAsia="zh-Hans" w:bidi="ar"/>
              </w:rPr>
              <w:t>万元</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eastAsia="zh-Hans" w:bidi="ar"/>
              </w:rPr>
              <w:t>扣</w:t>
            </w:r>
            <w:r>
              <w:rPr>
                <w:rFonts w:ascii="宋体" w:hAnsi="宋体" w:eastAsia="宋体" w:cs="宋体"/>
                <w:color w:val="auto"/>
                <w:kern w:val="0"/>
                <w:sz w:val="24"/>
                <w:szCs w:val="24"/>
                <w:lang w:eastAsia="zh-Hans" w:bidi="ar"/>
              </w:rPr>
              <w:t>0</w:t>
            </w:r>
            <w:r>
              <w:rPr>
                <w:rFonts w:hint="eastAsia"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val="en-US" w:eastAsia="zh-CN" w:bidi="ar"/>
              </w:rPr>
              <w:t>05</w:t>
            </w:r>
            <w:r>
              <w:rPr>
                <w:rFonts w:hint="eastAsia" w:ascii="宋体" w:hAnsi="宋体" w:eastAsia="宋体" w:cs="宋体"/>
                <w:color w:val="auto"/>
                <w:kern w:val="0"/>
                <w:sz w:val="24"/>
                <w:szCs w:val="24"/>
                <w:lang w:eastAsia="zh-Hans" w:bidi="ar"/>
              </w:rPr>
              <w:t>分</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bidi="ar"/>
              </w:rPr>
              <w:t>依此类推；</w:t>
            </w:r>
            <w:r>
              <w:rPr>
                <w:rFonts w:hint="eastAsia" w:ascii="宋体" w:hAnsi="宋体" w:eastAsia="宋体" w:cs="宋体"/>
                <w:color w:val="auto"/>
                <w:kern w:val="0"/>
                <w:sz w:val="24"/>
                <w:szCs w:val="24"/>
                <w:lang w:eastAsia="zh-Hans" w:bidi="ar"/>
              </w:rPr>
              <w:t>不到</w:t>
            </w:r>
            <w:r>
              <w:rPr>
                <w:rFonts w:ascii="宋体" w:hAnsi="宋体" w:eastAsia="宋体" w:cs="宋体"/>
                <w:color w:val="auto"/>
                <w:kern w:val="0"/>
                <w:sz w:val="24"/>
                <w:szCs w:val="24"/>
                <w:lang w:eastAsia="zh-Hans" w:bidi="ar"/>
              </w:rPr>
              <w:t>1</w:t>
            </w:r>
            <w:r>
              <w:rPr>
                <w:rFonts w:hint="eastAsia" w:ascii="宋体" w:hAnsi="宋体" w:eastAsia="宋体" w:cs="宋体"/>
                <w:color w:val="auto"/>
                <w:kern w:val="0"/>
                <w:sz w:val="24"/>
                <w:szCs w:val="24"/>
                <w:lang w:eastAsia="zh-Hans" w:bidi="ar"/>
              </w:rPr>
              <w:t>万元</w:t>
            </w:r>
            <w:r>
              <w:rPr>
                <w:rFonts w:hint="eastAsia" w:ascii="宋体" w:hAnsi="宋体" w:eastAsia="宋体" w:cs="宋体"/>
                <w:color w:val="auto"/>
                <w:kern w:val="0"/>
                <w:sz w:val="24"/>
                <w:szCs w:val="24"/>
                <w:lang w:bidi="ar"/>
              </w:rPr>
              <w:t>的按插入法计算，结果保留小数点后</w:t>
            </w:r>
            <w:r>
              <w:rPr>
                <w:rFonts w:hint="eastAsia" w:ascii="宋体" w:hAnsi="宋体" w:eastAsia="宋体" w:cs="宋体"/>
                <w:color w:val="auto"/>
                <w:kern w:val="0"/>
                <w:sz w:val="24"/>
                <w:szCs w:val="24"/>
                <w:lang w:eastAsia="zh-Hans" w:bidi="ar"/>
              </w:rPr>
              <w:t>一位</w:t>
            </w:r>
            <w:r>
              <w:rPr>
                <w:rFonts w:hint="eastAsia" w:ascii="宋体" w:hAnsi="宋体" w:eastAsia="宋体" w:cs="宋体"/>
                <w:color w:val="auto"/>
                <w:kern w:val="0"/>
                <w:sz w:val="24"/>
                <w:szCs w:val="24"/>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1" w:hRule="atLeast"/>
        </w:trPr>
        <w:tc>
          <w:tcPr>
            <w:tcW w:w="590" w:type="dxa"/>
            <w:vMerge w:val="restart"/>
            <w:tcBorders>
              <w:top w:val="nil"/>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w:t>
            </w:r>
          </w:p>
        </w:tc>
        <w:tc>
          <w:tcPr>
            <w:tcW w:w="1224" w:type="dxa"/>
            <w:vMerge w:val="restart"/>
            <w:tcBorders>
              <w:left w:val="nil"/>
              <w:right w:val="single" w:color="000000" w:sz="8" w:space="0"/>
            </w:tcBorders>
            <w:shd w:val="clear" w:color="auto" w:fill="auto"/>
            <w:noWrap/>
            <w:vAlign w:val="center"/>
          </w:tcPr>
          <w:p>
            <w:pP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服务资历部分（20%）</w:t>
            </w:r>
          </w:p>
        </w:tc>
        <w:tc>
          <w:tcPr>
            <w:tcW w:w="841"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10分</w:t>
            </w:r>
          </w:p>
        </w:tc>
        <w:tc>
          <w:tcPr>
            <w:tcW w:w="5867" w:type="dxa"/>
            <w:gridSpan w:val="2"/>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val="en-US" w:eastAsia="zh-CN" w:bidi="ar"/>
              </w:rPr>
              <w:t>对律师事务所成立时间进行评分：10年以上得10分；5-10年得5分</w:t>
            </w:r>
            <w:r>
              <w:rPr>
                <w:rFonts w:hint="eastAsia" w:ascii="宋体" w:hAnsi="宋体" w:eastAsia="宋体" w:cs="宋体"/>
                <w:color w:val="auto"/>
                <w:kern w:val="0"/>
                <w:sz w:val="24"/>
                <w:szCs w:val="24"/>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24" w:type="dxa"/>
            <w:vMerge w:val="continue"/>
            <w:tcBorders>
              <w:left w:val="nil"/>
              <w:right w:val="single" w:color="000000" w:sz="8"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841" w:type="dxa"/>
            <w:tcBorders>
              <w:top w:val="nil"/>
              <w:left w:val="nil"/>
              <w:bottom w:val="single" w:color="000000" w:sz="8" w:space="0"/>
              <w:right w:val="single" w:color="auto" w:sz="4"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10分</w:t>
            </w:r>
          </w:p>
        </w:tc>
        <w:tc>
          <w:tcPr>
            <w:tcW w:w="5867" w:type="dxa"/>
            <w:gridSpan w:val="2"/>
            <w:tcBorders>
              <w:top w:val="nil"/>
              <w:left w:val="single" w:color="auto" w:sz="4" w:space="0"/>
              <w:bottom w:val="single" w:color="000000" w:sz="8" w:space="0"/>
              <w:right w:val="single" w:color="000000" w:sz="8" w:space="0"/>
            </w:tcBorders>
            <w:shd w:val="clear" w:color="auto" w:fill="auto"/>
            <w:vAlign w:val="center"/>
          </w:tcPr>
          <w:p>
            <w:pP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对委派律师执业年限进行评分：执业20年以上得10分；执业10-20年得5分；5-10年得2分。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7" w:hRule="atLeast"/>
        </w:trPr>
        <w:tc>
          <w:tcPr>
            <w:tcW w:w="590"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4"/>
                <w:szCs w:val="24"/>
                <w:lang w:bidi="ar"/>
              </w:rPr>
              <w:t>3</w:t>
            </w:r>
          </w:p>
        </w:tc>
        <w:tc>
          <w:tcPr>
            <w:tcW w:w="1224" w:type="dxa"/>
            <w:vMerge w:val="restart"/>
            <w:tcBorders>
              <w:top w:val="single" w:color="auto" w:sz="4" w:space="0"/>
              <w:left w:val="nil"/>
              <w:right w:val="single" w:color="000000" w:sz="8" w:space="0"/>
            </w:tcBorders>
            <w:shd w:val="clear" w:color="auto" w:fill="auto"/>
            <w:vAlign w:val="center"/>
          </w:tcPr>
          <w:p>
            <w:pPr>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val="en-US" w:eastAsia="zh-CN" w:bidi="ar"/>
              </w:rPr>
              <w:t>专业</w:t>
            </w:r>
            <w:r>
              <w:rPr>
                <w:rFonts w:hint="eastAsia" w:ascii="宋体" w:hAnsi="宋体" w:eastAsia="宋体" w:cs="宋体"/>
                <w:kern w:val="0"/>
                <w:sz w:val="24"/>
                <w:szCs w:val="24"/>
                <w:lang w:bidi="ar"/>
              </w:rPr>
              <w:t>部分</w:t>
            </w:r>
          </w:p>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4"/>
                <w:szCs w:val="24"/>
                <w:lang w:bidi="ar"/>
              </w:rPr>
              <w:t>（</w:t>
            </w:r>
            <w:r>
              <w:rPr>
                <w:rFonts w:hint="eastAsia" w:ascii="宋体" w:hAnsi="宋体" w:eastAsia="宋体" w:cs="宋体"/>
                <w:kern w:val="0"/>
                <w:sz w:val="24"/>
                <w:szCs w:val="24"/>
                <w:lang w:val="en-US" w:eastAsia="zh-CN" w:bidi="ar"/>
              </w:rPr>
              <w:t>5</w:t>
            </w:r>
            <w:r>
              <w:rPr>
                <w:rFonts w:hint="eastAsia" w:ascii="宋体" w:hAnsi="宋体" w:eastAsia="宋体" w:cs="宋体"/>
                <w:kern w:val="0"/>
                <w:sz w:val="24"/>
                <w:szCs w:val="24"/>
                <w:lang w:bidi="ar"/>
              </w:rPr>
              <w:t>0%）</w:t>
            </w:r>
          </w:p>
        </w:tc>
        <w:tc>
          <w:tcPr>
            <w:tcW w:w="851" w:type="dxa"/>
            <w:gridSpan w:val="2"/>
            <w:tcBorders>
              <w:top w:val="nil"/>
              <w:left w:val="nil"/>
              <w:bottom w:val="single" w:color="000000" w:sz="8" w:space="0"/>
              <w:right w:val="single" w:color="auto" w:sz="4" w:space="0"/>
            </w:tcBorders>
            <w:shd w:val="clear" w:color="auto" w:fill="auto"/>
            <w:vAlign w:val="center"/>
          </w:tcPr>
          <w:p>
            <w:pPr>
              <w:pStyle w:val="2"/>
              <w:numPr>
                <w:ilvl w:val="0"/>
                <w:numId w:val="0"/>
              </w:numPr>
              <w:ind w:left="0" w:leftChars="0" w:firstLine="0" w:firstLineChars="0"/>
              <w:rPr>
                <w:rFonts w:hint="eastAsia" w:ascii="宋体" w:hAnsi="宋体" w:eastAsia="宋体" w:cs="宋体"/>
                <w:color w:val="auto"/>
                <w:kern w:val="0"/>
                <w:sz w:val="24"/>
                <w:szCs w:val="24"/>
                <w:lang w:val="en-US" w:eastAsia="zh-CN" w:bidi="ar"/>
              </w:rPr>
            </w:pPr>
          </w:p>
          <w:p>
            <w:pPr>
              <w:pStyle w:val="23"/>
              <w:numPr>
                <w:ilvl w:val="0"/>
                <w:numId w:val="0"/>
              </w:numPr>
              <w:ind w:leftChars="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20分</w:t>
            </w:r>
          </w:p>
          <w:p>
            <w:pPr>
              <w:pStyle w:val="23"/>
              <w:numPr>
                <w:ilvl w:val="0"/>
                <w:numId w:val="0"/>
              </w:numPr>
              <w:ind w:leftChars="0"/>
              <w:jc w:val="left"/>
              <w:textAlignment w:val="center"/>
              <w:rPr>
                <w:rFonts w:hint="default" w:ascii="宋体" w:hAnsi="宋体" w:eastAsia="宋体" w:cs="宋体"/>
                <w:i w:val="0"/>
                <w:iCs w:val="0"/>
                <w:color w:val="auto"/>
                <w:sz w:val="24"/>
                <w:szCs w:val="24"/>
                <w:highlight w:val="none"/>
                <w:u w:val="none"/>
                <w:lang w:val="en-US" w:eastAsia="zh-CN"/>
              </w:rPr>
            </w:pPr>
          </w:p>
        </w:tc>
        <w:tc>
          <w:tcPr>
            <w:tcW w:w="5857" w:type="dxa"/>
            <w:tcBorders>
              <w:top w:val="nil"/>
              <w:left w:val="single" w:color="auto" w:sz="4" w:space="0"/>
              <w:bottom w:val="single" w:color="000000" w:sz="8" w:space="0"/>
              <w:right w:val="single" w:color="000000" w:sz="8" w:space="0"/>
            </w:tcBorders>
            <w:shd w:val="clear" w:color="auto" w:fill="auto"/>
            <w:vAlign w:val="center"/>
          </w:tcPr>
          <w:p>
            <w:pPr>
              <w:pStyle w:val="23"/>
              <w:numPr>
                <w:ilvl w:val="0"/>
                <w:numId w:val="0"/>
              </w:numPr>
              <w:ind w:leftChars="0"/>
              <w:jc w:val="left"/>
              <w:textAlignment w:val="center"/>
              <w:rPr>
                <w:rFonts w:hint="eastAsia" w:ascii="宋体" w:hAnsi="宋体" w:eastAsia="宋体" w:cs="宋体"/>
                <w:i w:val="0"/>
                <w:iCs w:val="0"/>
                <w:color w:val="auto"/>
                <w:sz w:val="24"/>
                <w:szCs w:val="24"/>
                <w:highlight w:val="none"/>
                <w:u w:val="none"/>
                <w:lang w:val="en-US" w:eastAsia="zh-CN"/>
              </w:rPr>
            </w:pPr>
            <w:r>
              <w:rPr>
                <w:rFonts w:hint="default" w:ascii="Calibri" w:hAnsi="Calibri" w:eastAsia="宋体" w:cs="Calibri"/>
                <w:color w:val="auto"/>
                <w:sz w:val="24"/>
                <w:lang w:val="en-US" w:eastAsia="zh-CN"/>
              </w:rPr>
              <w:t>①</w:t>
            </w:r>
            <w:r>
              <w:rPr>
                <w:rFonts w:hint="eastAsia" w:ascii="Calibri" w:hAnsi="Calibri" w:eastAsia="宋体" w:cs="Calibri"/>
                <w:color w:val="auto"/>
                <w:sz w:val="24"/>
                <w:lang w:val="en-US" w:eastAsia="zh-CN"/>
              </w:rPr>
              <w:t>委派律师</w:t>
            </w:r>
            <w:r>
              <w:rPr>
                <w:rFonts w:hint="eastAsia" w:ascii="宋体" w:hAnsi="宋体" w:eastAsia="宋体" w:cs="宋体"/>
                <w:i w:val="0"/>
                <w:iCs w:val="0"/>
                <w:color w:val="auto"/>
                <w:sz w:val="24"/>
                <w:szCs w:val="24"/>
                <w:highlight w:val="none"/>
                <w:u w:val="none"/>
                <w:lang w:val="en-US" w:eastAsia="zh-CN"/>
              </w:rPr>
              <w:t>2年内担任过3家及以上国有港口经营人常年法律顾问得20分；</w:t>
            </w:r>
          </w:p>
          <w:p>
            <w:pPr>
              <w:pStyle w:val="23"/>
              <w:numPr>
                <w:ilvl w:val="0"/>
                <w:numId w:val="0"/>
              </w:numPr>
              <w:ind w:leftChars="0"/>
              <w:jc w:val="left"/>
              <w:textAlignment w:val="center"/>
              <w:rPr>
                <w:rFonts w:hint="eastAsia" w:ascii="宋体" w:hAnsi="宋体" w:eastAsia="宋体" w:cs="宋体"/>
                <w:i w:val="0"/>
                <w:iCs w:val="0"/>
                <w:color w:val="auto"/>
                <w:sz w:val="24"/>
                <w:szCs w:val="24"/>
                <w:highlight w:val="none"/>
                <w:u w:val="none"/>
                <w:lang w:val="en-US" w:eastAsia="zh-CN"/>
              </w:rPr>
            </w:pPr>
            <w:r>
              <w:rPr>
                <w:rFonts w:hint="default" w:ascii="Calibri" w:hAnsi="Calibri" w:eastAsia="宋体" w:cs="Calibri"/>
                <w:color w:val="auto"/>
                <w:sz w:val="24"/>
                <w:lang w:val="en-US" w:eastAsia="zh-CN"/>
              </w:rPr>
              <w:t>②</w:t>
            </w:r>
            <w:r>
              <w:rPr>
                <w:rFonts w:hint="eastAsia" w:ascii="Calibri" w:hAnsi="Calibri" w:eastAsia="宋体" w:cs="Calibri"/>
                <w:color w:val="auto"/>
                <w:sz w:val="24"/>
                <w:lang w:val="en-US" w:eastAsia="zh-CN"/>
              </w:rPr>
              <w:t>委派律师</w:t>
            </w:r>
            <w:r>
              <w:rPr>
                <w:rFonts w:hint="eastAsia" w:ascii="宋体" w:hAnsi="宋体" w:eastAsia="宋体" w:cs="宋体"/>
                <w:i w:val="0"/>
                <w:iCs w:val="0"/>
                <w:color w:val="auto"/>
                <w:sz w:val="24"/>
                <w:szCs w:val="24"/>
                <w:highlight w:val="none"/>
                <w:u w:val="none"/>
                <w:lang w:val="en-US" w:eastAsia="zh-CN"/>
              </w:rPr>
              <w:t>2年内担任过2家国有港口经营人常年法律顾问得10分；</w:t>
            </w:r>
          </w:p>
          <w:p>
            <w:pPr>
              <w:pStyle w:val="23"/>
              <w:numPr>
                <w:ilvl w:val="0"/>
                <w:numId w:val="0"/>
              </w:numPr>
              <w:ind w:leftChars="0"/>
              <w:jc w:val="left"/>
              <w:textAlignment w:val="center"/>
              <w:rPr>
                <w:rFonts w:hint="default" w:ascii="宋体" w:hAnsi="宋体" w:eastAsia="宋体" w:cs="宋体"/>
                <w:i w:val="0"/>
                <w:iCs w:val="0"/>
                <w:color w:val="auto"/>
                <w:sz w:val="24"/>
                <w:szCs w:val="24"/>
                <w:highlight w:val="none"/>
                <w:u w:val="none"/>
                <w:lang w:val="en-US" w:eastAsia="zh-CN"/>
              </w:rPr>
            </w:pPr>
            <w:r>
              <w:rPr>
                <w:rFonts w:hint="default" w:ascii="Calibri" w:hAnsi="Calibri" w:eastAsia="宋体" w:cs="Calibri"/>
                <w:i w:val="0"/>
                <w:iCs w:val="0"/>
                <w:color w:val="auto"/>
                <w:sz w:val="24"/>
                <w:szCs w:val="24"/>
                <w:highlight w:val="none"/>
                <w:u w:val="none"/>
                <w:lang w:val="en-US" w:eastAsia="zh-CN"/>
              </w:rPr>
              <w:t>③</w:t>
            </w:r>
            <w:r>
              <w:rPr>
                <w:rFonts w:hint="eastAsia" w:ascii="Calibri" w:hAnsi="Calibri" w:eastAsia="宋体" w:cs="Calibri"/>
                <w:i w:val="0"/>
                <w:iCs w:val="0"/>
                <w:color w:val="auto"/>
                <w:sz w:val="24"/>
                <w:szCs w:val="24"/>
                <w:highlight w:val="none"/>
                <w:u w:val="none"/>
                <w:lang w:val="en-US" w:eastAsia="zh-CN"/>
              </w:rPr>
              <w:t>委派律师</w:t>
            </w:r>
            <w:r>
              <w:rPr>
                <w:rFonts w:hint="eastAsia" w:ascii="宋体" w:hAnsi="宋体" w:eastAsia="宋体" w:cs="宋体"/>
                <w:i w:val="0"/>
                <w:iCs w:val="0"/>
                <w:color w:val="auto"/>
                <w:sz w:val="24"/>
                <w:szCs w:val="24"/>
                <w:highlight w:val="none"/>
                <w:u w:val="none"/>
                <w:lang w:val="en-US" w:eastAsia="zh-CN"/>
              </w:rPr>
              <w:t>2年内担任过1家国有港口经营人常年法律顾问得5分；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24" w:type="dxa"/>
            <w:vMerge w:val="continue"/>
            <w:tcBorders>
              <w:left w:val="nil"/>
              <w:bottom w:val="single" w:color="auto" w:sz="4" w:space="0"/>
              <w:right w:val="single" w:color="000000" w:sz="8"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841" w:type="dxa"/>
            <w:tcBorders>
              <w:top w:val="nil"/>
              <w:left w:val="nil"/>
              <w:bottom w:val="single" w:color="auto" w:sz="4"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val="en-US" w:eastAsia="zh-CN" w:bidi="ar"/>
              </w:rPr>
              <w:t>30</w:t>
            </w:r>
            <w:r>
              <w:rPr>
                <w:rFonts w:hint="eastAsia" w:ascii="宋体" w:hAnsi="宋体" w:eastAsia="宋体" w:cs="宋体"/>
                <w:color w:val="auto"/>
                <w:kern w:val="0"/>
                <w:sz w:val="24"/>
                <w:szCs w:val="24"/>
                <w:lang w:bidi="ar"/>
              </w:rPr>
              <w:t>分</w:t>
            </w:r>
          </w:p>
        </w:tc>
        <w:tc>
          <w:tcPr>
            <w:tcW w:w="5867" w:type="dxa"/>
            <w:gridSpan w:val="2"/>
            <w:tcBorders>
              <w:top w:val="single" w:color="auto" w:sz="4" w:space="0"/>
              <w:left w:val="nil"/>
              <w:bottom w:val="single" w:color="auto" w:sz="4" w:space="0"/>
              <w:right w:val="single" w:color="000000" w:sz="8" w:space="0"/>
            </w:tcBorders>
            <w:shd w:val="clear" w:color="auto" w:fill="auto"/>
            <w:vAlign w:val="center"/>
          </w:tcPr>
          <w:p>
            <w:pPr>
              <w:pStyle w:val="23"/>
              <w:numPr>
                <w:ilvl w:val="0"/>
                <w:numId w:val="0"/>
              </w:numPr>
              <w:ind w:leftChars="0"/>
              <w:jc w:val="left"/>
              <w:textAlignment w:val="center"/>
              <w:rPr>
                <w:rFonts w:hint="eastAsia" w:ascii="宋体" w:hAnsi="宋体" w:eastAsia="宋体" w:cs="宋体"/>
                <w:i w:val="0"/>
                <w:iCs w:val="0"/>
                <w:color w:val="auto"/>
                <w:sz w:val="24"/>
                <w:szCs w:val="24"/>
                <w:highlight w:val="none"/>
                <w:u w:val="none"/>
                <w:lang w:val="en-US" w:eastAsia="zh-CN"/>
              </w:rPr>
            </w:pPr>
            <w:r>
              <w:rPr>
                <w:rFonts w:hint="default" w:ascii="Calibri" w:hAnsi="Calibri" w:eastAsia="宋体" w:cs="Calibri"/>
                <w:color w:val="auto"/>
                <w:sz w:val="24"/>
                <w:lang w:val="en-US" w:eastAsia="zh-CN"/>
              </w:rPr>
              <w:t>①</w:t>
            </w:r>
            <w:r>
              <w:rPr>
                <w:rFonts w:hint="eastAsia" w:ascii="Calibri" w:hAnsi="Calibri" w:eastAsia="宋体" w:cs="Calibri"/>
                <w:color w:val="auto"/>
                <w:sz w:val="24"/>
                <w:lang w:val="en-US" w:eastAsia="zh-CN"/>
              </w:rPr>
              <w:t>委派律师</w:t>
            </w:r>
            <w:r>
              <w:rPr>
                <w:rFonts w:hint="eastAsia" w:ascii="宋体" w:hAnsi="宋体" w:eastAsia="宋体" w:cs="宋体"/>
                <w:i w:val="0"/>
                <w:iCs w:val="0"/>
                <w:color w:val="auto"/>
                <w:sz w:val="24"/>
                <w:szCs w:val="24"/>
                <w:highlight w:val="none"/>
                <w:u w:val="none"/>
                <w:lang w:val="en-US" w:eastAsia="zh-CN"/>
              </w:rPr>
              <w:t>2年内代理标的500万元以上涉及港口作业、保管相关案件并胜诉2件以上的得30分；</w:t>
            </w:r>
          </w:p>
          <w:p>
            <w:pPr>
              <w:pStyle w:val="23"/>
              <w:numPr>
                <w:ilvl w:val="0"/>
                <w:numId w:val="0"/>
              </w:numPr>
              <w:ind w:leftChars="0"/>
              <w:jc w:val="left"/>
              <w:textAlignment w:val="center"/>
              <w:rPr>
                <w:rFonts w:hint="default" w:ascii="宋体" w:hAnsi="宋体" w:eastAsia="宋体" w:cs="宋体"/>
                <w:i w:val="0"/>
                <w:iCs w:val="0"/>
                <w:color w:val="auto"/>
                <w:sz w:val="24"/>
                <w:szCs w:val="24"/>
                <w:highlight w:val="none"/>
                <w:u w:val="none"/>
                <w:lang w:val="en-US"/>
              </w:rPr>
            </w:pPr>
            <w:r>
              <w:rPr>
                <w:rFonts w:hint="default" w:ascii="Calibri" w:hAnsi="Calibri" w:eastAsia="宋体" w:cs="Calibri"/>
                <w:color w:val="auto"/>
                <w:sz w:val="24"/>
                <w:lang w:val="en-US" w:eastAsia="zh-CN"/>
              </w:rPr>
              <w:t>②</w:t>
            </w:r>
            <w:r>
              <w:rPr>
                <w:rFonts w:hint="eastAsia" w:ascii="Calibri" w:hAnsi="Calibri" w:eastAsia="宋体" w:cs="Calibri"/>
                <w:color w:val="auto"/>
                <w:sz w:val="24"/>
                <w:lang w:val="en-US" w:eastAsia="zh-CN"/>
              </w:rPr>
              <w:t>委派律师</w:t>
            </w:r>
            <w:r>
              <w:rPr>
                <w:rFonts w:hint="eastAsia" w:ascii="宋体" w:hAnsi="宋体" w:eastAsia="宋体" w:cs="宋体"/>
                <w:i w:val="0"/>
                <w:iCs w:val="0"/>
                <w:color w:val="auto"/>
                <w:sz w:val="24"/>
                <w:szCs w:val="24"/>
                <w:highlight w:val="none"/>
                <w:u w:val="none"/>
                <w:lang w:val="en-US" w:eastAsia="zh-CN"/>
              </w:rPr>
              <w:t>2年内代理标的500万元以上涉及港口作业、保管相关案件并胜诉1件得15分。</w:t>
            </w:r>
          </w:p>
        </w:tc>
      </w:tr>
    </w:tbl>
    <w:p>
      <w:pPr>
        <w:rPr>
          <w:rFonts w:hint="eastAsia"/>
        </w:rPr>
      </w:pPr>
      <w:r>
        <w:rPr>
          <w:rFonts w:hint="eastAsia"/>
          <w:lang w:val="en-US" w:eastAsia="zh-CN"/>
        </w:rPr>
        <w:t>注：以上计算时间</w:t>
      </w:r>
      <w:r>
        <w:rPr>
          <w:rFonts w:hint="default"/>
          <w:lang w:val="en-US" w:eastAsia="zh-CN"/>
        </w:rPr>
        <w:t>截至202</w:t>
      </w:r>
      <w:r>
        <w:rPr>
          <w:rFonts w:hint="eastAsia"/>
          <w:lang w:val="en-US" w:eastAsia="zh-CN"/>
        </w:rPr>
        <w:t>3</w:t>
      </w:r>
      <w:r>
        <w:rPr>
          <w:rFonts w:hint="default"/>
          <w:lang w:val="en-US" w:eastAsia="zh-CN"/>
        </w:rPr>
        <w:t>年</w:t>
      </w:r>
      <w:r>
        <w:rPr>
          <w:rFonts w:hint="eastAsia"/>
          <w:lang w:val="en-US" w:eastAsia="zh-CN"/>
        </w:rPr>
        <w:t>10</w:t>
      </w:r>
      <w:r>
        <w:rPr>
          <w:rFonts w:hint="default"/>
          <w:lang w:val="en-US" w:eastAsia="zh-CN"/>
        </w:rPr>
        <w:t>月</w:t>
      </w:r>
      <w:r>
        <w:rPr>
          <w:rFonts w:hint="eastAsia"/>
          <w:lang w:val="en-US" w:eastAsia="zh-CN"/>
        </w:rPr>
        <w:t>31日</w:t>
      </w:r>
      <w:r>
        <w:rPr>
          <w:rFonts w:hint="default"/>
          <w:lang w:val="en-US" w:eastAsia="zh-CN"/>
        </w:rPr>
        <w:t>止</w:t>
      </w:r>
      <w:r>
        <w:rPr>
          <w:rFonts w:hint="eastAsia"/>
          <w:lang w:val="en-US" w:eastAsia="zh-CN"/>
        </w:rPr>
        <w:t>。</w:t>
      </w:r>
    </w:p>
    <w:p>
      <w:pPr>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评</w:t>
      </w:r>
      <w:r>
        <w:rPr>
          <w:rFonts w:hint="eastAsia" w:ascii="方正仿宋_GBK" w:hAnsi="方正仿宋_GBK" w:eastAsia="方正仿宋_GBK" w:cs="方正仿宋_GBK"/>
          <w:color w:val="auto"/>
          <w:sz w:val="32"/>
          <w:szCs w:val="32"/>
          <w:highlight w:val="none"/>
          <w:lang w:val="en-US" w:eastAsia="zh-CN"/>
        </w:rPr>
        <w:t>审小组</w:t>
      </w:r>
      <w:r>
        <w:rPr>
          <w:rFonts w:hint="eastAsia" w:ascii="方正仿宋_GBK" w:hAnsi="方正仿宋_GBK" w:eastAsia="方正仿宋_GBK" w:cs="方正仿宋_GBK"/>
          <w:color w:val="auto"/>
          <w:sz w:val="32"/>
          <w:szCs w:val="32"/>
          <w:highlight w:val="none"/>
        </w:rPr>
        <w:t>由</w:t>
      </w:r>
      <w:r>
        <w:rPr>
          <w:rFonts w:hint="eastAsia" w:ascii="方正仿宋_GBK" w:hAnsi="方正仿宋_GBK" w:eastAsia="方正仿宋_GBK" w:cs="方正仿宋_GBK"/>
          <w:color w:val="auto"/>
          <w:sz w:val="32"/>
          <w:szCs w:val="32"/>
          <w:highlight w:val="none"/>
          <w:lang w:val="en-US" w:eastAsia="zh-CN"/>
        </w:rPr>
        <w:t>发包人</w:t>
      </w:r>
      <w:r>
        <w:rPr>
          <w:rFonts w:hint="eastAsia" w:ascii="方正仿宋_GBK" w:hAnsi="方正仿宋_GBK" w:eastAsia="方正仿宋_GBK" w:cs="方正仿宋_GBK"/>
          <w:color w:val="auto"/>
          <w:sz w:val="32"/>
          <w:szCs w:val="32"/>
          <w:highlight w:val="none"/>
        </w:rPr>
        <w:t xml:space="preserve">依法组建。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2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default" w:ascii="Times New Roman" w:hAnsi="Times New Roman" w:cs="Times New Roman" w:eastAsiaTheme="minorEastAsia"/>
          <w:color w:val="auto"/>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0" w:name="_Toc29194791"/>
      <w:bookmarkStart w:id="1" w:name="_Toc52097542"/>
      <w:r>
        <w:rPr>
          <w:rFonts w:hint="default" w:ascii="Times New Roman" w:hAnsi="Times New Roman" w:eastAsia="方正小标宋_GBK" w:cs="Times New Roman"/>
          <w:bCs/>
          <w:color w:val="auto"/>
          <w:sz w:val="44"/>
          <w:szCs w:val="44"/>
          <w:highlight w:val="none"/>
          <w:lang w:val="zh-CN" w:eastAsia="zh-CN"/>
        </w:rPr>
        <w:t>第三章</w:t>
      </w:r>
      <w:bookmarkEnd w:id="0"/>
      <w:bookmarkEnd w:id="1"/>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p>
    <w:p>
      <w:pPr>
        <w:rPr>
          <w:rFonts w:ascii="仿宋_GB2312" w:eastAsia="仿宋_GB2312"/>
          <w:sz w:val="24"/>
        </w:rPr>
      </w:pPr>
      <w:r>
        <w:rPr>
          <w:rFonts w:hint="eastAsia"/>
        </w:rPr>
        <w:t>编号：</w:t>
      </w:r>
      <w:r>
        <w:rPr>
          <w:rFonts w:hint="eastAsia" w:ascii="仿宋_GB2312" w:eastAsia="仿宋_GB2312"/>
          <w:sz w:val="24"/>
        </w:rPr>
        <w:t>重高集航发三江</w:t>
      </w:r>
      <w:r>
        <w:rPr>
          <w:rFonts w:hint="eastAsia" w:ascii="仿宋_GB2312" w:eastAsia="仿宋_GB2312"/>
          <w:sz w:val="24"/>
          <w:lang w:val="en-US" w:eastAsia="zh-CN"/>
        </w:rPr>
        <w:t>服务</w:t>
      </w:r>
      <w:r>
        <w:rPr>
          <w:rFonts w:hint="eastAsia" w:ascii="仿宋_GB2312" w:eastAsia="仿宋_GB2312"/>
          <w:sz w:val="24"/>
        </w:rPr>
        <w:t>类【202</w:t>
      </w:r>
      <w:r>
        <w:rPr>
          <w:rFonts w:hint="eastAsia" w:ascii="仿宋_GB2312" w:eastAsia="仿宋_GB2312"/>
          <w:sz w:val="24"/>
          <w:lang w:val="en-US" w:eastAsia="zh-CN"/>
        </w:rPr>
        <w:t>3</w:t>
      </w:r>
      <w:r>
        <w:rPr>
          <w:rFonts w:hint="eastAsia" w:ascii="仿宋_GB2312" w:eastAsia="仿宋_GB2312"/>
          <w:sz w:val="24"/>
        </w:rPr>
        <w:t>】年</w:t>
      </w:r>
      <w:r>
        <w:rPr>
          <w:rFonts w:hint="eastAsia" w:ascii="仿宋_GB2312" w:eastAsia="仿宋_GB2312"/>
          <w:sz w:val="24"/>
          <w:lang w:val="en-US" w:eastAsia="zh-CN"/>
        </w:rPr>
        <w:t>X</w:t>
      </w:r>
      <w:r>
        <w:rPr>
          <w:rFonts w:hint="eastAsia" w:ascii="仿宋_GB2312" w:eastAsia="仿宋_GB2312"/>
          <w:sz w:val="24"/>
        </w:rPr>
        <w:t>号</w:t>
      </w: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default" w:ascii="宋体" w:hAnsi="宋体" w:eastAsia="宋体"/>
          <w:sz w:val="30"/>
          <w:szCs w:val="30"/>
          <w:lang w:val="en-US"/>
        </w:rPr>
      </w:pPr>
      <w:r>
        <w:rPr>
          <w:rFonts w:hint="eastAsia" w:ascii="仿宋_GB2312" w:eastAsia="仿宋_GB2312"/>
          <w:sz w:val="44"/>
          <w:szCs w:val="44"/>
          <w:lang w:val="en-US" w:eastAsia="zh-CN"/>
        </w:rPr>
        <w:t>三江公司法律服务</w:t>
      </w: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default" w:ascii="宋体" w:hAnsi="宋体" w:eastAsia="宋体"/>
          <w:sz w:val="30"/>
          <w:szCs w:val="30"/>
          <w:lang w:val="en-US" w:eastAsia="zh-CN"/>
        </w:rPr>
      </w:pPr>
      <w:r>
        <w:rPr>
          <w:rFonts w:hint="eastAsia" w:ascii="宋体" w:hAnsi="宋体" w:eastAsia="宋体"/>
          <w:sz w:val="30"/>
          <w:szCs w:val="30"/>
        </w:rPr>
        <w:t>甲方（</w:t>
      </w:r>
      <w:r>
        <w:rPr>
          <w:rFonts w:hint="eastAsia" w:ascii="宋体" w:hAnsi="宋体" w:eastAsia="宋体"/>
          <w:sz w:val="30"/>
          <w:szCs w:val="30"/>
          <w:lang w:val="en-US" w:eastAsia="zh-CN"/>
        </w:rPr>
        <w:t>委托</w:t>
      </w:r>
      <w:r>
        <w:rPr>
          <w:rFonts w:hint="eastAsia" w:ascii="宋体" w:hAnsi="宋体" w:eastAsia="宋体"/>
          <w:sz w:val="30"/>
          <w:szCs w:val="30"/>
        </w:rPr>
        <w:t>方）：重庆航发三江港埠有限公司</w:t>
      </w:r>
      <w:r>
        <w:rPr>
          <w:rFonts w:hint="eastAsia" w:ascii="宋体" w:hAnsi="宋体" w:eastAsia="宋体"/>
          <w:sz w:val="30"/>
          <w:szCs w:val="30"/>
          <w:lang w:val="en-US" w:eastAsia="zh-CN"/>
        </w:rPr>
        <w:t>佛耳岩码头</w:t>
      </w:r>
    </w:p>
    <w:p>
      <w:pPr>
        <w:jc w:val="left"/>
        <w:rPr>
          <w:rFonts w:hint="eastAsia" w:ascii="宋体" w:hAnsi="宋体" w:eastAsia="宋体"/>
          <w:sz w:val="30"/>
          <w:szCs w:val="30"/>
        </w:rPr>
      </w:pPr>
    </w:p>
    <w:p>
      <w:pPr>
        <w:jc w:val="left"/>
        <w:rPr>
          <w:rFonts w:hint="default" w:ascii="宋体" w:hAnsi="宋体" w:eastAsia="宋体"/>
          <w:sz w:val="30"/>
          <w:szCs w:val="30"/>
          <w:lang w:val="en-US" w:eastAsia="zh-CN"/>
        </w:rPr>
      </w:pPr>
      <w:r>
        <w:rPr>
          <w:rFonts w:hint="eastAsia"/>
          <w:sz w:val="30"/>
          <w:szCs w:val="30"/>
          <w:lang w:val="en-US" w:eastAsia="zh-CN"/>
        </w:rPr>
        <w:t>乙方（受托方）：</w:t>
      </w:r>
    </w:p>
    <w:p>
      <w:pPr>
        <w:jc w:val="left"/>
        <w:rPr>
          <w:rFonts w:hint="eastAsia" w:ascii="宋体" w:hAnsi="宋体" w:eastAsia="宋体"/>
          <w:sz w:val="30"/>
          <w:szCs w:val="30"/>
        </w:rPr>
      </w:pPr>
    </w:p>
    <w:p>
      <w:pPr>
        <w:jc w:val="left"/>
        <w:rPr>
          <w:rFonts w:hint="eastAsia"/>
          <w:sz w:val="30"/>
          <w:szCs w:val="30"/>
          <w:lang w:val="en-US" w:eastAsia="zh-CN"/>
        </w:rPr>
      </w:pPr>
      <w:r>
        <w:rPr>
          <w:rFonts w:hint="eastAsia"/>
          <w:sz w:val="30"/>
          <w:szCs w:val="30"/>
          <w:lang w:val="en-US" w:eastAsia="zh-CN"/>
        </w:rPr>
        <w:t>日期：</w:t>
      </w:r>
    </w:p>
    <w:p>
      <w:pPr>
        <w:pStyle w:val="2"/>
        <w:rPr>
          <w:rFonts w:hint="eastAsia"/>
          <w:sz w:val="30"/>
          <w:szCs w:val="30"/>
          <w:lang w:val="en-US" w:eastAsia="zh-CN"/>
        </w:rPr>
      </w:pPr>
    </w:p>
    <w:p>
      <w:pPr>
        <w:pStyle w:val="11"/>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根据《中华人民共和国律师法》《中华人民共和国</w:t>
      </w:r>
      <w:r>
        <w:rPr>
          <w:rFonts w:hint="eastAsia" w:ascii="方正仿宋_GBK" w:hAnsi="方正仿宋_GBK" w:eastAsia="方正仿宋_GBK" w:cs="方正仿宋_GBK"/>
          <w:sz w:val="32"/>
          <w:szCs w:val="32"/>
          <w:lang w:val="en-US" w:eastAsia="zh-CN"/>
        </w:rPr>
        <w:t>民法典</w:t>
      </w:r>
      <w:r>
        <w:rPr>
          <w:rFonts w:hint="eastAsia" w:ascii="方正仿宋_GBK" w:hAnsi="方正仿宋_GBK" w:eastAsia="方正仿宋_GBK" w:cs="方正仿宋_GBK"/>
          <w:sz w:val="32"/>
          <w:szCs w:val="32"/>
        </w:rPr>
        <w:t>》等法律规定，甲方就本合同所涉法律事务委托乙方提供法律服务。甲、乙双方经协商，订立下列条款，以资共同遵守：</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eastAsiaTheme="minorEastAsia"/>
          <w:lang w:val="en-US" w:eastAsia="zh-CN"/>
        </w:rPr>
      </w:pPr>
      <w:r>
        <w:rPr>
          <w:rFonts w:hint="eastAsia" w:ascii="方正仿宋_GBK" w:hAnsi="方正仿宋_GBK" w:eastAsia="方正仿宋_GBK" w:cs="方正仿宋_GBK"/>
          <w:sz w:val="32"/>
          <w:szCs w:val="32"/>
          <w:lang w:val="en-US" w:eastAsia="zh-CN"/>
        </w:rPr>
        <w:t xml:space="preserve">第一条  </w:t>
      </w:r>
      <w:r>
        <w:rPr>
          <w:rFonts w:hint="eastAsia" w:ascii="方正仿宋_GBK" w:hAnsi="方正仿宋_GBK" w:eastAsia="方正仿宋_GBK" w:cs="方正仿宋_GBK"/>
          <w:sz w:val="32"/>
          <w:szCs w:val="32"/>
        </w:rPr>
        <w:t>乙方接受甲方委托，指派</w:t>
      </w:r>
      <w:r>
        <w:rPr>
          <w:rFonts w:hint="eastAsia" w:ascii="方正仿宋_GBK" w:hAnsi="方正仿宋_GBK" w:eastAsia="方正仿宋_GBK" w:cs="方正仿宋_GBK"/>
          <w:sz w:val="32"/>
          <w:szCs w:val="32"/>
          <w:u w:val="single"/>
          <w:lang w:val="en-US" w:eastAsia="zh-CN"/>
        </w:rPr>
        <w:t>XXX</w:t>
      </w:r>
      <w:r>
        <w:rPr>
          <w:rFonts w:hint="eastAsia" w:ascii="方正仿宋_GBK" w:hAnsi="方正仿宋_GBK" w:eastAsia="方正仿宋_GBK" w:cs="方正仿宋_GBK"/>
          <w:sz w:val="32"/>
          <w:szCs w:val="32"/>
          <w:u w:val="single"/>
        </w:rPr>
        <w:t>律师</w:t>
      </w: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u w:val="single"/>
        </w:rPr>
        <w:t>甲方</w:t>
      </w:r>
      <w:r>
        <w:rPr>
          <w:rFonts w:hint="eastAsia" w:ascii="方正仿宋_GBK" w:hAnsi="方正仿宋_GBK" w:eastAsia="方正仿宋_GBK" w:cs="方正仿宋_GBK"/>
          <w:sz w:val="32"/>
          <w:szCs w:val="32"/>
        </w:rPr>
        <w:t>因与</w:t>
      </w:r>
      <w:r>
        <w:rPr>
          <w:rFonts w:hint="eastAsia" w:ascii="方正仿宋_GBK" w:hAnsi="方正仿宋_GBK" w:eastAsia="方正仿宋_GBK" w:cs="方正仿宋_GBK"/>
          <w:sz w:val="32"/>
          <w:szCs w:val="32"/>
          <w:lang w:val="en-US" w:eastAsia="zh-CN"/>
        </w:rPr>
        <w:t>嘉兴麦特贸易有限公司</w:t>
      </w:r>
      <w:r>
        <w:rPr>
          <w:rFonts w:hint="eastAsia" w:ascii="方正仿宋_GBK" w:hAnsi="方正仿宋_GBK" w:eastAsia="方正仿宋_GBK" w:cs="方正仿宋_GBK"/>
          <w:sz w:val="32"/>
          <w:szCs w:val="32"/>
        </w:rPr>
        <w:t>就港口</w:t>
      </w:r>
      <w:r>
        <w:rPr>
          <w:rFonts w:hint="eastAsia" w:ascii="方正仿宋_GBK" w:hAnsi="方正仿宋_GBK" w:eastAsia="方正仿宋_GBK" w:cs="方正仿宋_GBK"/>
          <w:sz w:val="32"/>
          <w:szCs w:val="32"/>
          <w:lang w:val="en-US" w:eastAsia="zh-CN"/>
        </w:rPr>
        <w:t>货物保管</w:t>
      </w:r>
      <w:r>
        <w:rPr>
          <w:rFonts w:hint="eastAsia" w:ascii="方正仿宋_GBK" w:hAnsi="方正仿宋_GBK" w:eastAsia="方正仿宋_GBK" w:cs="方正仿宋_GBK"/>
          <w:sz w:val="32"/>
          <w:szCs w:val="32"/>
        </w:rPr>
        <w:t>合同纠纷一案在</w:t>
      </w:r>
      <w:r>
        <w:rPr>
          <w:rFonts w:hint="eastAsia" w:ascii="方正仿宋_GBK" w:hAnsi="方正仿宋_GBK" w:eastAsia="方正仿宋_GBK" w:cs="方正仿宋_GBK"/>
          <w:sz w:val="32"/>
          <w:szCs w:val="32"/>
          <w:u w:val="single"/>
        </w:rPr>
        <w:t>一审、</w:t>
      </w:r>
      <w:r>
        <w:rPr>
          <w:rFonts w:hint="eastAsia" w:ascii="方正仿宋_GBK" w:hAnsi="方正仿宋_GBK" w:eastAsia="方正仿宋_GBK" w:cs="方正仿宋_GBK"/>
          <w:sz w:val="32"/>
          <w:szCs w:val="32"/>
          <w:u w:val="single"/>
          <w:lang w:val="en-US" w:eastAsia="zh-CN"/>
        </w:rPr>
        <w:t>以及可能涉及</w:t>
      </w:r>
      <w:r>
        <w:rPr>
          <w:rFonts w:hint="eastAsia" w:ascii="方正仿宋_GBK" w:hAnsi="方正仿宋_GBK" w:eastAsia="方正仿宋_GBK" w:cs="方正仿宋_GBK"/>
          <w:sz w:val="32"/>
          <w:szCs w:val="32"/>
          <w:u w:val="single"/>
        </w:rPr>
        <w:t>二审诉讼</w:t>
      </w:r>
      <w:r>
        <w:rPr>
          <w:rFonts w:hint="eastAsia" w:ascii="方正仿宋_GBK" w:hAnsi="方正仿宋_GBK" w:eastAsia="方正仿宋_GBK" w:cs="方正仿宋_GBK"/>
          <w:sz w:val="32"/>
          <w:szCs w:val="32"/>
        </w:rPr>
        <w:t>程序中提供法律服务，担任代理人。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委托权限为本条所列第</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2</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项：</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1.特别授权：代为承认、放弃、变更诉讼请求，进行和解、调解，提起反诉、上诉；</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2.一般授权。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甲方的权利和义务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1.甲方应确保其有权签订本合同，与上述案件具有法律上的利害关系</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2.甲方应真实、完整、客观地向乙方律师介绍本合同所涉法律事务的有关情况，并提供有关的资料和证据，不得隐瞒虚构。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3.甲方应按照本合同约定的金额和支付方式向乙方支付</w:t>
      </w:r>
      <w:r>
        <w:rPr>
          <w:rFonts w:hint="eastAsia" w:ascii="方正仿宋_GBK" w:hAnsi="方正仿宋_GBK" w:eastAsia="方正仿宋_GBK" w:cs="方正仿宋_GBK"/>
          <w:sz w:val="32"/>
          <w:szCs w:val="32"/>
          <w:highlight w:val="none"/>
        </w:rPr>
        <w:t>律师服务费</w:t>
      </w:r>
      <w:r>
        <w:rPr>
          <w:rFonts w:hint="eastAsia" w:ascii="方正仿宋_GBK" w:hAnsi="方正仿宋_GBK" w:eastAsia="方正仿宋_GBK" w:cs="方正仿宋_GBK"/>
          <w:sz w:val="32"/>
          <w:szCs w:val="32"/>
        </w:rPr>
        <w:t>，不得向乙方律师个人支付合同约定之外的其他任何费用；若甲方未按约支付律师服务费的，</w:t>
      </w:r>
      <w:r>
        <w:rPr>
          <w:rFonts w:hint="eastAsia" w:ascii="方正仿宋_GBK" w:hAnsi="方正仿宋_GBK" w:eastAsia="方正仿宋_GBK" w:cs="方正仿宋_GBK"/>
          <w:sz w:val="32"/>
          <w:szCs w:val="32"/>
          <w:lang w:val="en-US" w:eastAsia="zh-CN"/>
        </w:rPr>
        <w:t>经乙方催付后仍不支付的，</w:t>
      </w:r>
      <w:r>
        <w:rPr>
          <w:rFonts w:hint="eastAsia" w:ascii="方正仿宋_GBK" w:hAnsi="方正仿宋_GBK" w:eastAsia="方正仿宋_GBK" w:cs="方正仿宋_GBK"/>
          <w:sz w:val="32"/>
          <w:szCs w:val="32"/>
        </w:rPr>
        <w:t>乙方律师有权停止工作（包括但不限于调查、取证、开庭、与办案机关接洽联系等），且不构成违约和违规。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4.甲方认为乙方指派律师在服务过程中不负责任或不适合办理甲方委托的法律事务，有权要求乙方更换。但甲方应向乙方说明要求更换律师的具体理由。</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5.甲方应在乙方办理法律事务终止时，如实完整地填写《重庆市律师服务质量反馈意见卡》，并及时交由乙方归档。</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6.甲方应积极配合乙方办案，并不得要求乙方律师进行违法犯罪活动。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7.乙方无正当理由单方解除本合同，甲方有权要求乙方退还未提供服务部分的相应律师服务费</w:t>
      </w:r>
      <w:r>
        <w:rPr>
          <w:rFonts w:hint="eastAsia" w:ascii="方正仿宋_GBK" w:hAnsi="方正仿宋_GBK" w:eastAsia="方正仿宋_GBK" w:cs="方正仿宋_GBK"/>
          <w:sz w:val="32"/>
          <w:szCs w:val="32"/>
          <w:lang w:val="en-US" w:eastAsia="zh-CN"/>
        </w:rPr>
        <w:t>等相关费用</w:t>
      </w:r>
      <w:r>
        <w:rPr>
          <w:rFonts w:hint="eastAsia" w:ascii="方正仿宋_GBK" w:hAnsi="方正仿宋_GBK" w:eastAsia="方正仿宋_GBK" w:cs="方正仿宋_GBK"/>
          <w:sz w:val="32"/>
          <w:szCs w:val="32"/>
        </w:rPr>
        <w:t>，乙方依法有权拒绝办理的除外。</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乙方的权利和义务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1.了解案情，根据案情的需要调查取证；分析案情，确定办案思路及策略。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2.出庭参与诉讼活动，依法提出有利于甲方的证据或意见。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3.在委托过程中，对涉及与本案有关的活动向甲方提供法律意见；若为特别授权代理，应遵循有利于甲方利益的原则按相应程序的法律规定谨慎行事。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z w:val="32"/>
          <w:szCs w:val="32"/>
        </w:rPr>
        <w:t>4.乙方律师应严格遵守律师职业道德和执业纪律，不得泄露在提供服务过程中所知悉的当事人的商业秘密或者个人隐私，</w:t>
      </w:r>
      <w:r>
        <w:rPr>
          <w:rFonts w:hint="eastAsia" w:ascii="方正仿宋_GBK" w:hAnsi="方正仿宋_GBK" w:eastAsia="方正仿宋_GBK" w:cs="方正仿宋_GBK"/>
          <w:kern w:val="0"/>
          <w:sz w:val="32"/>
          <w:szCs w:val="32"/>
        </w:rPr>
        <w:t>非因法律规定或当事人同意，不得向任何第三方披露。但此等事项除外：（1）当事人准备或者正在实施的危害国家安全、公共安全以及其他严重危害他人人身、财产安全的犯罪事实和信息；（2）可以公开查阅或取得的信息和资料；（3）为履行本合同约定的法律服务必须披露的信息和资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5.乙方按照本合同的约定收取律师服务费，但乙方律师不得私自向甲方收取其他费用。甲方无正当理由单方解除本合同，乙方收取的律师服务费不予退还，甲方尚未支付律师服务费的，乙方有权继续追讨。</w:t>
      </w:r>
    </w:p>
    <w:p>
      <w:pPr>
        <w:pStyle w:val="2"/>
        <w:keepNext w:val="0"/>
        <w:keepLines w:val="0"/>
        <w:pageBreakBefore w:val="0"/>
        <w:widowControl w:val="0"/>
        <w:kinsoku/>
        <w:wordWrap/>
        <w:overflowPunct/>
        <w:topLinePunct w:val="0"/>
        <w:autoSpaceDE/>
        <w:autoSpaceDN/>
        <w:bidi w:val="0"/>
        <w:adjustRightInd/>
        <w:spacing w:after="0"/>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6.如乙方代理的当事人与甲方存在利害关系的，应及时告知甲方，由双方协商处理。</w:t>
      </w:r>
    </w:p>
    <w:p>
      <w:pPr>
        <w:pStyle w:val="2"/>
        <w:keepNext w:val="0"/>
        <w:keepLines w:val="0"/>
        <w:pageBreakBefore w:val="0"/>
        <w:widowControl w:val="0"/>
        <w:kinsoku/>
        <w:wordWrap/>
        <w:overflowPunct/>
        <w:topLinePunct w:val="0"/>
        <w:autoSpaceDE/>
        <w:autoSpaceDN/>
        <w:bidi w:val="0"/>
        <w:adjustRightInd/>
        <w:spacing w:after="0"/>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7.乙方律师未按约定履行义务或其他未尽到忠诚履职义务给甲方造成损失的，应由乙方对甲方进行赔偿。</w:t>
      </w:r>
    </w:p>
    <w:p>
      <w:pPr>
        <w:pStyle w:val="2"/>
        <w:keepNext w:val="0"/>
        <w:keepLines w:val="0"/>
        <w:pageBreakBefore w:val="0"/>
        <w:widowControl w:val="0"/>
        <w:kinsoku/>
        <w:wordWrap/>
        <w:overflowPunct/>
        <w:topLinePunct w:val="0"/>
        <w:autoSpaceDE/>
        <w:autoSpaceDN/>
        <w:bidi w:val="0"/>
        <w:adjustRightInd/>
        <w:spacing w:after="0"/>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乙方承诺不以赠送现金、购物卡、礼品、礼券或其他方式向甲方工作人员行贿或变相行贿以违规获得利益，否则，甲方有权取消乙方业务合作资格，并由乙方向甲方支付合同金额20%或者相当于乙方所获违规利益数额（以金额高者为准）的违约金。</w:t>
      </w:r>
    </w:p>
    <w:p>
      <w:pPr>
        <w:keepNext w:val="0"/>
        <w:keepLines w:val="0"/>
        <w:pageBreakBefore w:val="0"/>
        <w:widowControl w:val="0"/>
        <w:kinsoku/>
        <w:wordWrap/>
        <w:overflowPunct/>
        <w:topLinePunct w:val="0"/>
        <w:autoSpaceDE/>
        <w:autoSpaceDN/>
        <w:bidi w:val="0"/>
        <w:adjustRightInd/>
        <w:snapToGrid w:val="0"/>
        <w:spacing w:line="594" w:lineRule="exact"/>
        <w:ind w:left="48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第五条 律师服务费、差旅费和其他费用计费及收取方式：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1、律师服务费实行基础费用加风险代理。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基础费用</w:t>
      </w:r>
      <w:r>
        <w:rPr>
          <w:rFonts w:hint="eastAsia" w:ascii="方正仿宋_GBK" w:hAnsi="方正仿宋_GBK" w:eastAsia="方正仿宋_GBK" w:cs="方正仿宋_GBK"/>
          <w:kern w:val="2"/>
          <w:sz w:val="32"/>
          <w:szCs w:val="32"/>
          <w:u w:val="single"/>
          <w:lang w:val="en-US" w:eastAsia="zh-CN" w:bidi="ar-SA"/>
        </w:rPr>
        <w:t xml:space="preserve">   </w:t>
      </w:r>
      <w:r>
        <w:rPr>
          <w:rFonts w:hint="eastAsia" w:ascii="方正仿宋_GBK" w:hAnsi="方正仿宋_GBK" w:eastAsia="方正仿宋_GBK" w:cs="方正仿宋_GBK"/>
          <w:kern w:val="2"/>
          <w:sz w:val="32"/>
          <w:szCs w:val="32"/>
          <w:lang w:val="en-US" w:eastAsia="zh-CN" w:bidi="ar-SA"/>
        </w:rPr>
        <w:t>万元，甲方在本合同签订并收到乙方发票后2周内一次性支付乙方。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风险代理部分：若一审判决驳回原告嘉兴麦特贸易有限公司的全部诉讼请求，或原告撤诉，甲方在收到判决书或裁定书和乙方发票后2周内先行支付乙方所报风险代理费的60%。若嘉兴公司在2025年8月23日前不再以侵权等向甲方起诉索赔，甲方也没有实际赔付的，甲方在收到乙方发票后2周内支付乙方所报风险代理费的40%。</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若一审判决不能判决驳回原告全部诉讼请求，判决减少赔付金额或调解、和解，或者二审改判，则以原告一审起诉金额作为基数，与生效法律文书最终确定甲方支付金额之差，按乙方报价比例计付服务费，甲方在收到生效法律文书和乙方发票后2周内先行支付乙方计付服务费的60%。若嘉兴公司在2025年8月23日前不再以侵权等向甲方起诉索赔，甲方也没有实际赔付的，甲方在收到乙方发票后2周内支付乙方余下的40%。</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若2025年8月23日前嘉兴公司再以侵权等向甲方起诉索赔，甲方有实际赔付的，双方按报价比例结算，服务费多退少补，税费由乙方自行承担。</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以上基础费用加风险代理费用总额不超过乙方所报总价金额。</w:t>
      </w:r>
    </w:p>
    <w:p>
      <w:pPr>
        <w:keepNext w:val="0"/>
        <w:keepLines w:val="0"/>
        <w:pageBreakBefore w:val="0"/>
        <w:widowControl w:val="0"/>
        <w:kinsoku/>
        <w:wordWrap/>
        <w:overflowPunct/>
        <w:topLinePunct w:val="0"/>
        <w:autoSpaceDE/>
        <w:autoSpaceDN/>
        <w:bidi w:val="0"/>
        <w:adjustRightInd w:val="0"/>
        <w:snapToGrid w:val="0"/>
        <w:spacing w:line="594" w:lineRule="exact"/>
        <w:ind w:firstLine="56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2、差旅费。乙方在办理甲方委托事项中所涉交通费、国内电话费、传真费、普通及挂号邮寄费、互联网上网费、资料打印费、复印费、特快专递费，应酬费等均由乙方承担。</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3、应由甲方支付国家行政机关、司法机关及其他行政事业的司法鉴定费、公证费、公告费、评估拍卖费、诉讼费等费用，由甲方直接向收费单位支付。</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第六条  本合同约定的法律事务至嘉兴公司因火灾所涉索赔纠纷全部处理完毕时为办理终结。如因甲方原因造成合同无需或不能继续履行，均应视为乙方已全面履行本合同约定的义务，甲方应依据本合同的约定全额支付费用。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第七条  甲方确认，下列通讯地址及联系人是乙方办理本合同委托法律事务向甲方履行通知义务的通讯地址及联系人：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u w:val="single"/>
        </w:rPr>
        <w:t xml:space="preserve">   联系人：                     电子邮箱：          /                       </w:t>
      </w:r>
    </w:p>
    <w:p>
      <w:pPr>
        <w:keepNext w:val="0"/>
        <w:keepLines w:val="0"/>
        <w:pageBreakBefore w:val="0"/>
        <w:widowControl w:val="0"/>
        <w:kinsoku/>
        <w:wordWrap/>
        <w:overflowPunct/>
        <w:topLinePunct w:val="0"/>
        <w:autoSpaceDE/>
        <w:autoSpaceDN/>
        <w:bidi w:val="0"/>
        <w:adjustRightInd/>
        <w:snapToGrid w:val="0"/>
        <w:spacing w:line="594" w:lineRule="exact"/>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color w:val="auto"/>
          <w:sz w:val="32"/>
          <w:szCs w:val="32"/>
          <w:highlight w:val="none"/>
          <w:u w:val="single"/>
        </w:rPr>
        <w:t xml:space="preserve">   电  话：                     地    址：          /</w:t>
      </w:r>
      <w:r>
        <w:rPr>
          <w:rFonts w:hint="eastAsia" w:ascii="方正仿宋_GBK" w:hAnsi="方正仿宋_GBK" w:eastAsia="方正仿宋_GBK" w:cs="方正仿宋_GBK"/>
          <w:kern w:val="2"/>
          <w:sz w:val="32"/>
          <w:szCs w:val="32"/>
          <w:u w:val="single"/>
          <w:lang w:val="en-US" w:eastAsia="zh-CN" w:bidi="ar-SA"/>
        </w:rPr>
        <w:t xml:space="preserve">     </w:t>
      </w:r>
      <w:r>
        <w:rPr>
          <w:rFonts w:hint="eastAsia" w:ascii="方正仿宋_GBK" w:hAnsi="方正仿宋_GBK" w:eastAsia="方正仿宋_GBK" w:cs="方正仿宋_GBK"/>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48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乙方按上述通讯地址向指定的联系人履行了通知义务，视为乙方已向甲方履行了通知义务。</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如果甲方需变更通讯地址或联系人，需提前七日通知乙方。</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本合同以上条款不能概明之事项，可在本条款下另行特别约定：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方正仿宋_GBK" w:hAnsi="方正仿宋_GBK" w:eastAsia="方正仿宋_GBK" w:cs="方正仿宋_GBK"/>
          <w:kern w:val="2"/>
          <w:sz w:val="32"/>
          <w:szCs w:val="32"/>
          <w:u w:val="single"/>
          <w:lang w:val="en-US" w:eastAsia="zh-CN" w:bidi="ar-SA"/>
        </w:rPr>
      </w:pPr>
      <w:r>
        <w:rPr>
          <w:rFonts w:hint="eastAsia" w:ascii="方正仿宋_GBK" w:hAnsi="方正仿宋_GBK" w:eastAsia="方正仿宋_GBK" w:cs="方正仿宋_GBK"/>
          <w:kern w:val="2"/>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第九条  本合同未尽事宜，甲乙双方或其授权人员可以协商另行达成书面补充协议，补充协议的效力由双方约定。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第十条  甲、乙双方在履行本合同中如发生纠纷，由乙方住所地的人民法院管辖。</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第十一条  本合同经双方签章生效。本合同壹式陆份，甲方持肆份，乙方持贰份，具有同等法律效力。</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（以下无正文）</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（本页为签署页）</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sz w:val="32"/>
          <w:szCs w:val="32"/>
          <w:highlight w:val="none"/>
        </w:rPr>
        <w:t>甲  方：</w:t>
      </w:r>
      <w:r>
        <w:rPr>
          <w:rFonts w:hint="eastAsia" w:ascii="方正仿宋_GBK" w:hAnsi="方正仿宋_GBK" w:eastAsia="方正仿宋_GBK" w:cs="方正仿宋_GBK"/>
          <w:b/>
          <w:sz w:val="32"/>
          <w:szCs w:val="32"/>
          <w:highlight w:val="none"/>
        </w:rPr>
        <w:t>重庆航发三江港埠有限公司佛耳岩码头</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 xml:space="preserve">签约代表：                                    </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   方：</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签约代表：</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签约时间： 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 xml:space="preserve">年     月     日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 xml:space="preserve">签约地点：      </w:t>
      </w:r>
    </w:p>
    <w:p>
      <w:pPr>
        <w:pStyle w:val="2"/>
        <w:ind w:left="0" w:leftChars="0" w:firstLine="0"/>
        <w:rPr>
          <w:rFonts w:hint="eastAsia" w:ascii="方正仿宋_GBK" w:hAnsi="方正仿宋_GBK" w:eastAsia="方正仿宋_GBK" w:cs="方正仿宋_GBK"/>
          <w:sz w:val="32"/>
          <w:szCs w:val="32"/>
          <w:lang w:val="en-US" w:eastAsia="zh-CN"/>
        </w:rPr>
      </w:pPr>
    </w:p>
    <w:p>
      <w:pPr>
        <w:pStyle w:val="2"/>
        <w:ind w:left="0" w:leftChars="0" w:firstLine="0"/>
        <w:rPr>
          <w:rFonts w:hint="eastAsia" w:ascii="方正仿宋_GBK" w:hAnsi="方正仿宋_GBK" w:eastAsia="方正仿宋_GBK" w:cs="方正仿宋_GBK"/>
          <w:sz w:val="32"/>
          <w:szCs w:val="32"/>
          <w:lang w:val="en-US" w:eastAsia="zh-CN"/>
        </w:rPr>
      </w:pPr>
    </w:p>
    <w:p>
      <w:pPr>
        <w:pStyle w:val="2"/>
        <w:ind w:left="0" w:leftChars="0" w:firstLine="0"/>
        <w:rPr>
          <w:rFonts w:hint="eastAsia" w:ascii="方正仿宋_GBK" w:hAnsi="方正仿宋_GBK" w:eastAsia="方正仿宋_GBK" w:cs="方正仿宋_GBK"/>
          <w:sz w:val="32"/>
          <w:szCs w:val="32"/>
          <w:lang w:val="en-US" w:eastAsia="zh-CN"/>
        </w:rPr>
      </w:pPr>
    </w:p>
    <w:p>
      <w:pPr>
        <w:pStyle w:val="2"/>
        <w:ind w:left="0" w:leftChars="0" w:firstLine="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附件1：廉政合同</w:t>
      </w:r>
    </w:p>
    <w:p>
      <w:pPr>
        <w:pStyle w:val="2"/>
        <w:ind w:left="0" w:leftChars="0" w:firstLine="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附件2：诚信合规协议</w:t>
      </w:r>
    </w:p>
    <w:p>
      <w:pPr>
        <w:pStyle w:val="2"/>
        <w:ind w:left="0" w:leftChars="0" w:firstLine="0"/>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default" w:ascii="Times New Roman" w:hAnsi="Times New Roman" w:eastAsia="宋体" w:cs="Times New Roman"/>
          <w:b/>
          <w:color w:val="auto"/>
          <w:szCs w:val="21"/>
          <w:highlight w:val="none"/>
        </w:rPr>
      </w:pPr>
      <w:r>
        <w:rPr>
          <w:rFonts w:hint="eastAsia" w:ascii="方正仿宋_GBK" w:hAnsi="方正仿宋_GBK" w:eastAsia="方正仿宋_GBK" w:cs="方正仿宋_GBK"/>
          <w:sz w:val="32"/>
          <w:szCs w:val="32"/>
          <w:lang w:val="en-US" w:eastAsia="zh-CN"/>
        </w:rPr>
        <w:t>附件1：</w:t>
      </w:r>
      <w:bookmarkStart w:id="2" w:name="_Toc418517429"/>
      <w:bookmarkStart w:id="3" w:name="_Toc420995074"/>
      <w:bookmarkStart w:id="4" w:name="_Toc420995178"/>
      <w:bookmarkStart w:id="5" w:name="_Toc421798219"/>
      <w:bookmarkStart w:id="6" w:name="_Toc416788188"/>
      <w:bookmarkStart w:id="7" w:name="_Toc24117"/>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廉政合同</w:t>
      </w:r>
      <w:bookmarkEnd w:id="2"/>
      <w:bookmarkEnd w:id="3"/>
      <w:bookmarkEnd w:id="4"/>
      <w:bookmarkEnd w:id="5"/>
      <w:bookmarkEnd w:id="6"/>
      <w:bookmarkEnd w:id="7"/>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根据有关</w:t>
      </w:r>
      <w:r>
        <w:rPr>
          <w:rFonts w:hint="eastAsia" w:ascii="方正仿宋_GBK" w:hAnsi="方正仿宋_GBK" w:eastAsia="方正仿宋_GBK" w:cs="方正仿宋_GBK"/>
          <w:color w:val="auto"/>
          <w:sz w:val="32"/>
          <w:szCs w:val="32"/>
          <w:highlight w:val="none"/>
          <w:lang w:val="en-US" w:eastAsia="zh-CN"/>
        </w:rPr>
        <w:t>法律服务</w:t>
      </w:r>
      <w:r>
        <w:rPr>
          <w:rFonts w:hint="eastAsia" w:ascii="方正仿宋_GBK" w:hAnsi="方正仿宋_GBK" w:eastAsia="方正仿宋_GBK" w:cs="方正仿宋_GBK"/>
          <w:color w:val="auto"/>
          <w:sz w:val="32"/>
          <w:szCs w:val="32"/>
          <w:highlight w:val="none"/>
          <w:lang w:val="zh-CN"/>
        </w:rPr>
        <w:t>、廉政建设的规定，为做好</w:t>
      </w:r>
      <w:r>
        <w:rPr>
          <w:rFonts w:hint="eastAsia" w:ascii="方正仿宋_GBK" w:hAnsi="方正仿宋_GBK" w:eastAsia="方正仿宋_GBK" w:cs="方正仿宋_GBK"/>
          <w:color w:val="auto"/>
          <w:sz w:val="32"/>
          <w:szCs w:val="32"/>
          <w:highlight w:val="none"/>
          <w:lang w:val="en-US" w:eastAsia="zh-CN"/>
        </w:rPr>
        <w:t>法律服务</w:t>
      </w:r>
      <w:r>
        <w:rPr>
          <w:rFonts w:hint="eastAsia" w:ascii="方正仿宋_GBK" w:hAnsi="方正仿宋_GBK" w:eastAsia="方正仿宋_GBK" w:cs="方正仿宋_GBK"/>
          <w:color w:val="auto"/>
          <w:sz w:val="32"/>
          <w:szCs w:val="32"/>
          <w:highlight w:val="none"/>
          <w:lang w:val="zh-CN"/>
        </w:rPr>
        <w:t>中的党风廉政建设，保证</w:t>
      </w:r>
      <w:r>
        <w:rPr>
          <w:rFonts w:hint="eastAsia" w:ascii="方正仿宋_GBK" w:hAnsi="方正仿宋_GBK" w:eastAsia="方正仿宋_GBK" w:cs="方正仿宋_GBK"/>
          <w:color w:val="auto"/>
          <w:sz w:val="32"/>
          <w:szCs w:val="32"/>
          <w:highlight w:val="none"/>
          <w:lang w:val="en-US" w:eastAsia="zh-CN"/>
        </w:rPr>
        <w:t>法律服务</w:t>
      </w:r>
      <w:r>
        <w:rPr>
          <w:rFonts w:hint="eastAsia" w:ascii="方正仿宋_GBK" w:hAnsi="方正仿宋_GBK" w:eastAsia="方正仿宋_GBK" w:cs="方正仿宋_GBK"/>
          <w:color w:val="auto"/>
          <w:sz w:val="32"/>
          <w:szCs w:val="32"/>
          <w:highlight w:val="none"/>
          <w:lang w:val="zh-CN"/>
        </w:rPr>
        <w:t>高效优质，（发包人）与（承包人），特订立如下合同：</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1.一般约定</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（1）严格遵守党的政策规定和国家有关法律法规及行业部门的有关规定。</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（2）严格执行合同文件，自觉按合同办事。</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（3）双方的业务活动坚持公开、公正、诚信、透明的原则（法律认定的商业秘密和合同文件另有规定除外），不得损害国家和集体利益，违反工程建设管理规章制度。</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（4）建立健全廉政制度，开展廉政教育，设立廉政告示牌，公布举报电话，监督并认真查处违法违纪行为。</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（5）发现对方在业务活动中有违反廉政规定的行为，有及时提醒对方纠正的权利和义务。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（6）发现对方严重违反本合同义务条款的行为，有向其上级有关部门举报、建议给予处理并要求告知处理结果的权利。</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2.发包人的义务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（1）发包人及其工作人员不得索要或接受承包人的礼金、有价证券和贵重物品，不得在承包人报销任何应由发包人或发包人工作人员个人支付的费用等。</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（2）发包人工作人员不得参加承包人安排的超标准宴请和娱乐活动；不得接受承包人提供的通讯工具、交通工具和高档办公用品等。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（3）发包人及其工作人员不得要求或者接受承包人为其住房装修、婚丧嫁娶活动、配偶子女的工作安排以及出国出境、旅游等提供方便等。</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（4）发包人工作人员及其配偶、子女不得从事与发包人工程有关的材料设备供应、工程分包、劳务等经济活动。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（5）发包人及其工作人员不得以任何理由向承包人推荐分包单位或推销材料，不得要求承包人购买合同规定外的材料和设备。</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（6）发包人工作人员要秉公办事，不准营私舞弊，不准利用职权从事各种个人有偿中介活动和安排个人施工队伍。</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3.承包人义务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（1）承包人不得以任何理由向发包人及其工作人员行贿或馈赠礼金、有价证券、贵重礼品。</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（2）承包人不得以任何名义为发包人及其工作人员报销应由发包人单位或个人支付的任何费用。</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（3）承包人不得以任何理由安排发包人工作人员参加超标准宴请及娱乐活动。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（4）承包人不得为发包人单位和个人购置或提供通讯工具、交通工具和高档办公用品等。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4.违约责任</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6.本合同有效期为甲乙双方签署之日起至该工程项目竣工验收后止。</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7.本合同作为承包合同的附件，与承包合同具有同等的法律效力，经合同双方签署立即生效。</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8.本合同一式八份，由甲乙双方各执三份，送交双方的监督单位各一份。</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 xml:space="preserve">发包人：                        承包人：                     </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法定代表人：                    法定代表人：</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或其授权的代理人：</w:t>
      </w:r>
      <w:r>
        <w:rPr>
          <w:rFonts w:hint="eastAsia" w:ascii="方正仿宋_GBK" w:hAnsi="方正仿宋_GBK" w:eastAsia="方正仿宋_GBK" w:cs="方正仿宋_GBK"/>
          <w:color w:val="auto"/>
          <w:sz w:val="32"/>
          <w:szCs w:val="32"/>
          <w:highlight w:val="none"/>
          <w:lang w:val="zh-CN"/>
        </w:rPr>
        <w:tab/>
      </w:r>
      <w:r>
        <w:rPr>
          <w:rFonts w:hint="eastAsia" w:ascii="方正仿宋_GBK" w:hAnsi="方正仿宋_GBK" w:eastAsia="方正仿宋_GBK" w:cs="方正仿宋_GBK"/>
          <w:color w:val="auto"/>
          <w:sz w:val="32"/>
          <w:szCs w:val="32"/>
          <w:highlight w:val="none"/>
          <w:lang w:val="zh-CN"/>
        </w:rPr>
        <w:t xml:space="preserve">            或其授权的代理人：</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540" w:lineRule="exact"/>
        <w:ind w:right="105" w:rightChars="50" w:firstLine="640" w:firstLineChars="200"/>
        <w:jc w:val="left"/>
        <w:textAlignment w:val="auto"/>
        <w:rPr>
          <w:rFonts w:hint="eastAsia" w:ascii="方正仿宋_GBK" w:hAnsi="方正仿宋_GBK" w:eastAsia="方正仿宋_GBK" w:cs="方正仿宋_GBK"/>
          <w:b/>
          <w:bCs/>
          <w:color w:val="auto"/>
          <w:kern w:val="44"/>
          <w:sz w:val="32"/>
          <w:szCs w:val="32"/>
          <w:highlight w:val="none"/>
        </w:rPr>
      </w:pPr>
      <w:r>
        <w:rPr>
          <w:rFonts w:hint="eastAsia" w:ascii="方正仿宋_GBK" w:hAnsi="方正仿宋_GBK" w:eastAsia="方正仿宋_GBK" w:cs="方正仿宋_GBK"/>
          <w:color w:val="auto"/>
          <w:sz w:val="32"/>
          <w:szCs w:val="32"/>
          <w:highlight w:val="none"/>
          <w:lang w:val="zh-CN"/>
        </w:rPr>
        <w:t>发包人监督单位：                承包人监督单位：</w:t>
      </w:r>
    </w:p>
    <w:p>
      <w:pPr>
        <w:pStyle w:val="2"/>
        <w:ind w:left="0" w:leftChars="0" w:firstLine="0" w:firstLineChars="0"/>
        <w:rPr>
          <w:rFonts w:hint="default" w:ascii="方正仿宋_GBK" w:hAnsi="方正仿宋_GBK" w:eastAsia="方正仿宋_GBK" w:cs="方正仿宋_GBK"/>
          <w:sz w:val="32"/>
          <w:szCs w:val="32"/>
          <w:lang w:val="en-US" w:eastAsia="zh-CN"/>
        </w:rPr>
      </w:pPr>
    </w:p>
    <w:p>
      <w:pPr>
        <w:pStyle w:val="2"/>
        <w:ind w:left="0" w:leftChars="0" w:firstLine="0" w:firstLineChars="0"/>
        <w:rPr>
          <w:rFonts w:hint="eastAsia" w:ascii="方正仿宋_GBK" w:hAnsi="方正仿宋_GBK" w:eastAsia="方正仿宋_GBK" w:cs="方正仿宋_GBK"/>
          <w:kern w:val="0"/>
          <w:sz w:val="32"/>
          <w:szCs w:val="32"/>
          <w:lang w:val="en-US" w:eastAsia="zh-CN" w:bidi="ar"/>
        </w:rPr>
      </w:pPr>
    </w:p>
    <w:p>
      <w:pPr>
        <w:widowControl/>
        <w:jc w:val="left"/>
        <w:rPr>
          <w:rFonts w:hint="eastAsia" w:ascii="方正仿宋_GBK" w:hAnsi="方正仿宋_GBK" w:eastAsia="方正仿宋_GBK" w:cs="方正仿宋_GBK"/>
          <w:kern w:val="0"/>
          <w:sz w:val="32"/>
          <w:szCs w:val="32"/>
          <w:lang w:val="en-US" w:eastAsia="zh-CN" w:bidi="ar"/>
        </w:rPr>
      </w:pPr>
    </w:p>
    <w:p>
      <w:pPr>
        <w:widowControl/>
        <w:jc w:val="left"/>
        <w:rPr>
          <w:rFonts w:hint="eastAsia" w:ascii="方正仿宋_GBK" w:hAnsi="方正仿宋_GBK" w:eastAsia="方正仿宋_GBK" w:cs="方正仿宋_GBK"/>
          <w:kern w:val="0"/>
          <w:sz w:val="32"/>
          <w:szCs w:val="32"/>
          <w:lang w:val="en-US" w:eastAsia="zh-CN" w:bidi="ar"/>
        </w:rPr>
      </w:pPr>
    </w:p>
    <w:p>
      <w:pPr>
        <w:widowControl/>
        <w:jc w:val="left"/>
        <w:rPr>
          <w:rFonts w:hint="eastAsia" w:ascii="方正仿宋_GBK" w:hAnsi="方正仿宋_GBK" w:eastAsia="方正仿宋_GBK" w:cs="方正仿宋_GBK"/>
          <w:kern w:val="0"/>
          <w:sz w:val="32"/>
          <w:szCs w:val="32"/>
          <w:lang w:val="en-US" w:eastAsia="zh-CN" w:bidi="ar"/>
        </w:rPr>
      </w:pPr>
    </w:p>
    <w:p>
      <w:pPr>
        <w:widowControl/>
        <w:jc w:val="left"/>
        <w:rPr>
          <w:rFonts w:hint="eastAsia" w:ascii="方正仿宋_GBK" w:hAnsi="方正仿宋_GBK" w:eastAsia="方正仿宋_GBK" w:cs="方正仿宋_GBK"/>
          <w:kern w:val="0"/>
          <w:sz w:val="32"/>
          <w:szCs w:val="32"/>
          <w:lang w:val="en-US" w:eastAsia="zh-CN" w:bidi="ar"/>
        </w:rPr>
      </w:pPr>
    </w:p>
    <w:p>
      <w:pPr>
        <w:widowControl/>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附件2：</w:t>
      </w:r>
    </w:p>
    <w:p>
      <w:pPr>
        <w:widowControl/>
        <w:jc w:val="center"/>
        <w:rPr>
          <w:rFonts w:ascii="方正小标宋_GBK" w:hAnsi="方正小标宋_GBK" w:eastAsia="方正小标宋_GBK" w:cs="方正小标宋_GBK"/>
          <w:kern w:val="0"/>
          <w:sz w:val="44"/>
          <w:szCs w:val="44"/>
          <w:lang w:bidi="ar"/>
        </w:rPr>
      </w:pPr>
      <w:r>
        <w:rPr>
          <w:rFonts w:ascii="方正小标宋_GBK" w:hAnsi="方正小标宋_GBK" w:eastAsia="方正小标宋_GBK" w:cs="方正小标宋_GBK"/>
          <w:kern w:val="0"/>
          <w:sz w:val="44"/>
          <w:szCs w:val="44"/>
          <w:lang w:bidi="ar"/>
        </w:rPr>
        <w:t>诚信合规协议</w:t>
      </w:r>
    </w:p>
    <w:p>
      <w:pPr>
        <w:pStyle w:val="25"/>
        <w:rPr>
          <w:rFonts w:hint="eastAsia"/>
          <w:sz w:val="44"/>
          <w:szCs w:val="44"/>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甲方：</w:t>
      </w:r>
      <w:r>
        <w:rPr>
          <w:rFonts w:hint="eastAsia" w:ascii="方正仿宋_GBK" w:hAnsi="方正仿宋_GBK" w:eastAsia="方正仿宋_GBK" w:cs="方正仿宋_GBK"/>
          <w:kern w:val="0"/>
          <w:sz w:val="32"/>
          <w:szCs w:val="32"/>
          <w:u w:val="single"/>
          <w:lang w:bidi="ar"/>
        </w:rPr>
        <w:t xml:space="preserve">重庆航发三江港埠有限公司佛耳岩码头   </w:t>
      </w:r>
      <w:r>
        <w:rPr>
          <w:rFonts w:hint="eastAsia" w:ascii="方正仿宋_GBK" w:hAnsi="方正仿宋_GBK" w:eastAsia="方正仿宋_GBK" w:cs="方正仿宋_GBK"/>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乙方：</w:t>
      </w:r>
      <w:r>
        <w:rPr>
          <w:rFonts w:hint="eastAsia" w:ascii="方正仿宋_GBK" w:hAnsi="方正仿宋_GBK" w:eastAsia="方正仿宋_GBK" w:cs="方正仿宋_GBK"/>
          <w:kern w:val="0"/>
          <w:sz w:val="32"/>
          <w:szCs w:val="32"/>
          <w:u w:val="single"/>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本协议为各方签订的佛耳岩码头</w:t>
      </w:r>
      <w:r>
        <w:rPr>
          <w:rFonts w:hint="eastAsia" w:ascii="方正仿宋_GBK" w:hAnsi="方正仿宋_GBK" w:eastAsia="方正仿宋_GBK" w:cs="方正仿宋_GBK"/>
          <w:sz w:val="32"/>
          <w:szCs w:val="32"/>
          <w:u w:val="single"/>
          <w:lang w:val="en-US" w:eastAsia="zh-CN"/>
        </w:rPr>
        <w:t>三江公司法律服务</w:t>
      </w:r>
      <w:r>
        <w:rPr>
          <w:rFonts w:hint="eastAsia" w:ascii="方正仿宋_GBK" w:hAnsi="方正仿宋_GBK" w:eastAsia="方正仿宋_GBK" w:cs="方正仿宋_GBK"/>
          <w:sz w:val="32"/>
          <w:szCs w:val="32"/>
          <w:u w:val="single"/>
        </w:rPr>
        <w:t>合同</w:t>
      </w:r>
      <w:r>
        <w:rPr>
          <w:rFonts w:hint="eastAsia" w:ascii="方正仿宋_GBK" w:hAnsi="方正仿宋_GBK" w:eastAsia="方正仿宋_GBK" w:cs="方正仿宋_GBK"/>
          <w:sz w:val="32"/>
          <w:szCs w:val="32"/>
        </w:rPr>
        <w:t>合同</w:t>
      </w:r>
      <w:r>
        <w:rPr>
          <w:rFonts w:hint="eastAsia" w:ascii="方正仿宋_GBK" w:hAnsi="方正仿宋_GBK" w:eastAsia="方正仿宋_GBK" w:cs="方正仿宋_GBK"/>
          <w:kern w:val="0"/>
          <w:sz w:val="32"/>
          <w:szCs w:val="32"/>
          <w:lang w:bidi="ar"/>
        </w:rPr>
        <w:t xml:space="preserve">（以下简称“合同”）的重要组成部分，经各方协商一致，同意共同遵守。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kern w:val="0"/>
          <w:sz w:val="32"/>
          <w:szCs w:val="32"/>
          <w:lang w:bidi="ar"/>
        </w:rPr>
        <w:t>一、遵守反腐败法律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（一）为以下目的给予或承诺给予公务人员、个人或法人任何利益：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1. 不当影响公务人员的行为或决定；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2. 诱使公务人员违反其法定职责从而作为或不作为；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3. 诱使公务人员直接通过其个人影响力，或通过其对国内外政府或政府部门的影响力，影响该政府或政府部门的行为或决定；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4. 协助各方不当获得或保持商业机会或使其获得不当优势。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（二）为以下目的给予或承诺给予个人任何利益，无论其是否为公务人员：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1、意图使该个人不当履行其应尽的职责或义务；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2、知晓该个人接受利益即构成不当履行其应尽的职责或义务。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二、持续义务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三、公务人员参与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四、无私设资金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 xml:space="preserve">五、免责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各方及其股东、董事、高级管理人员及员工不承担因其他方违反本协议约定的反腐败保证和承诺而造成的损失，包括但不限于罚金、损失赔偿金、或上述个人或相关方的经济损失。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 xml:space="preserve">六、终止权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kern w:val="0"/>
          <w:sz w:val="32"/>
          <w:szCs w:val="32"/>
          <w:lang w:bidi="ar"/>
        </w:rPr>
        <w:t>七、审核权</w:t>
      </w:r>
      <w:r>
        <w:rPr>
          <w:rFonts w:hint="eastAsia" w:ascii="方正仿宋_GBK" w:hAnsi="方正仿宋_GBK" w:eastAsia="方正仿宋_GBK" w:cs="方正仿宋_GBK"/>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 xml:space="preserve">八、调查通知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咨询举报邮箱：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 xml:space="preserve">九、本协议有效期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本协议有效期与合同的有效期一致。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kern w:val="0"/>
          <w:sz w:val="32"/>
          <w:szCs w:val="32"/>
          <w:lang w:bidi="ar"/>
        </w:rPr>
        <w:t>十、本协议生效</w:t>
      </w:r>
      <w:r>
        <w:rPr>
          <w:rFonts w:hint="eastAsia" w:ascii="方正仿宋_GBK" w:hAnsi="方正仿宋_GBK" w:eastAsia="方正仿宋_GBK" w:cs="方正仿宋_GBK"/>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本协议一式 份，经各方盖章后生效，具有同等法律效力。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附：公务人员的定义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本协议中的“公务人员”应包括但不限于其他单位的下列人员：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（一）政府部门的官员、雇员、代表以及代表政府或者经公共权力机构授权的人员；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（二）国际组织的官员、雇员和代表;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（三）行使公共权力的政治组织的官员、雇员、代表，或皇室成员;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（四）政府直接或间接控制或施加决定性影响力的国有企业的人员。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0"/>
          <w:sz w:val="32"/>
          <w:szCs w:val="32"/>
          <w:lang w:bidi="ar"/>
        </w:rPr>
      </w:pP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ind w:left="6115" w:hanging="8153" w:hangingChars="2548"/>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甲方：（公章）</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乙方：（公章）</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重庆航发三江港埠有限公司</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佛耳岩码头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                             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或委托代理人：                          或委托代理人：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pStyle w:val="25"/>
        <w:keepNext w:val="0"/>
        <w:keepLines w:val="0"/>
        <w:pageBreakBefore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日期：                                   日期：</w:t>
      </w:r>
    </w:p>
    <w:p>
      <w:pPr>
        <w:numPr>
          <w:ilvl w:val="0"/>
          <w:numId w:val="3"/>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eastAsia" w:ascii="Times New Roman" w:hAnsi="Times New Roman" w:eastAsia="方正仿宋_GBK" w:cs="Times New Roman"/>
          <w:color w:val="auto"/>
          <w:sz w:val="32"/>
          <w:szCs w:val="32"/>
          <w:highlight w:val="none"/>
          <w:lang w:val="en-US" w:eastAsia="zh-CN"/>
        </w:rPr>
        <w:t>负责</w:t>
      </w:r>
      <w:r>
        <w:rPr>
          <w:rFonts w:hint="default" w:ascii="Times New Roman" w:hAnsi="Times New Roman" w:eastAsia="方正仿宋_GBK" w:cs="Times New Roman"/>
          <w:color w:val="auto"/>
          <w:sz w:val="32"/>
          <w:szCs w:val="32"/>
          <w:highlight w:val="none"/>
          <w:lang w:eastAsia="zh-CN"/>
        </w:rPr>
        <w:t>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2"/>
        <w:ind w:left="0" w:leftChars="0" w:firstLine="0" w:firstLineChars="0"/>
        <w:rPr>
          <w:rFonts w:hint="default" w:ascii="方正仿宋_GBK" w:hAnsi="方正仿宋_GBK" w:eastAsia="方正仿宋_GBK" w:cs="方正仿宋_GBK"/>
          <w:sz w:val="32"/>
          <w:szCs w:val="32"/>
          <w:lang w:val="en-US" w:eastAsia="zh-CN"/>
        </w:rPr>
      </w:pPr>
    </w:p>
    <w:p>
      <w:pPr>
        <w:pStyle w:val="18"/>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8" w:name="bookmark291"/>
      <w:r>
        <w:rPr>
          <w:rFonts w:hint="default" w:ascii="Times New Roman" w:hAnsi="Times New Roman" w:eastAsia="方正仿宋_GBK" w:cs="Times New Roman"/>
          <w:color w:val="auto"/>
          <w:sz w:val="32"/>
          <w:szCs w:val="32"/>
          <w:highlight w:val="none"/>
          <w:lang w:eastAsia="zh-CN"/>
        </w:rPr>
        <w:t>一、</w:t>
      </w:r>
      <w:r>
        <w:rPr>
          <w:rFonts w:hint="eastAsia" w:ascii="Times New Roman" w:hAnsi="Times New Roman" w:eastAsia="方正仿宋_GBK" w:cs="Times New Roman"/>
          <w:color w:val="auto"/>
          <w:sz w:val="32"/>
          <w:szCs w:val="32"/>
          <w:highlight w:val="none"/>
          <w:lang w:val="en-US" w:eastAsia="zh-CN"/>
        </w:rPr>
        <w:t>负责</w:t>
      </w:r>
      <w:r>
        <w:rPr>
          <w:rFonts w:hint="default" w:ascii="Times New Roman" w:hAnsi="Times New Roman" w:eastAsia="方正仿宋_GBK" w:cs="Times New Roman"/>
          <w:color w:val="auto"/>
          <w:sz w:val="32"/>
          <w:szCs w:val="32"/>
          <w:highlight w:val="none"/>
          <w:lang w:eastAsia="zh-CN"/>
        </w:rPr>
        <w:t>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8"/>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五、其他资料</w:t>
      </w:r>
    </w:p>
    <w:p>
      <w:pPr>
        <w:pStyle w:val="2"/>
        <w:rPr>
          <w:rFonts w:hint="default" w:ascii="Times New Roman" w:hAnsi="Times New Roman" w:eastAsia="方正仿宋_GBK" w:cs="Times New Roman"/>
          <w:color w:val="auto"/>
          <w:sz w:val="32"/>
          <w:szCs w:val="32"/>
          <w:highlight w:val="none"/>
          <w:lang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bookmarkStart w:id="9" w:name="_Toc52097543"/>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default" w:ascii="Times New Roman" w:hAnsi="Times New Roman" w:eastAsia="方正小标宋_GBK" w:cs="Times New Roman"/>
          <w:color w:val="auto"/>
          <w:sz w:val="44"/>
          <w:szCs w:val="44"/>
          <w:highlight w:val="none"/>
          <w:lang w:val="en-US" w:eastAsia="zh-CN"/>
        </w:rPr>
        <w:sectPr>
          <w:pgSz w:w="11906" w:h="16838"/>
          <w:pgMar w:top="1440" w:right="1123" w:bottom="1100" w:left="1689" w:header="851" w:footer="992" w:gutter="0"/>
          <w:pgNumType w:fmt="decimal"/>
          <w:cols w:space="425" w:num="1"/>
          <w:docGrid w:type="lines" w:linePitch="312" w:charSpace="0"/>
        </w:sectPr>
      </w:pPr>
      <w:r>
        <w:rPr>
          <w:rFonts w:hint="eastAsia" w:ascii="Times New Roman" w:hAnsi="Times New Roman" w:eastAsia="方正小标宋_GBK" w:cs="Times New Roman"/>
          <w:color w:val="auto"/>
          <w:sz w:val="44"/>
          <w:szCs w:val="44"/>
          <w:highlight w:val="none"/>
          <w:lang w:val="en-US" w:eastAsia="zh-CN"/>
        </w:rPr>
        <w:t>一、负责</w:t>
      </w:r>
      <w:r>
        <w:rPr>
          <w:rFonts w:hint="default" w:ascii="Times New Roman" w:hAnsi="Times New Roman" w:eastAsia="方正小标宋_GBK" w:cs="Times New Roman"/>
          <w:color w:val="auto"/>
          <w:sz w:val="44"/>
          <w:szCs w:val="44"/>
          <w:highlight w:val="none"/>
        </w:rPr>
        <w:t>人身份证明或授权</w:t>
      </w:r>
      <w:bookmarkEnd w:id="9"/>
      <w:bookmarkStart w:id="10" w:name="_Toc52097544"/>
      <w:r>
        <w:rPr>
          <w:rFonts w:hint="eastAsia" w:ascii="Times New Roman" w:hAnsi="Times New Roman" w:eastAsia="方正小标宋_GBK" w:cs="Times New Roman"/>
          <w:color w:val="auto"/>
          <w:sz w:val="44"/>
          <w:szCs w:val="44"/>
          <w:highlight w:val="none"/>
          <w:lang w:val="en-US" w:eastAsia="zh-CN"/>
        </w:rPr>
        <w:t>委托书</w:t>
      </w:r>
    </w:p>
    <w:p>
      <w:pPr>
        <w:bidi w:val="0"/>
        <w:rPr>
          <w:rFonts w:hint="default"/>
        </w:rPr>
      </w:pPr>
    </w:p>
    <w:p>
      <w:pPr>
        <w:tabs>
          <w:tab w:val="center" w:pos="4153"/>
        </w:tabs>
        <w:bidi w:val="0"/>
        <w:jc w:val="left"/>
        <w:rPr>
          <w:rFonts w:hint="default" w:asciiTheme="minorAscii" w:hAnsiTheme="minorAscii" w:eastAsiaTheme="minorEastAsia"/>
          <w:vanish/>
          <w:sz w:val="21"/>
          <w:lang w:eastAsia="zh-CN"/>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lang w:eastAsia="zh-CN"/>
        </w:rPr>
        <w:tab/>
      </w:r>
    </w:p>
    <w:p>
      <w:pPr>
        <w:pStyle w:val="19"/>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二、报价函</w:t>
      </w:r>
      <w:bookmarkEnd w:id="10"/>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11"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11"/>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w:t>
      </w:r>
      <w:r>
        <w:rPr>
          <w:rFonts w:hint="eastAsia" w:ascii="Times New Roman" w:hAnsi="Times New Roman" w:eastAsia="方正仿宋_GBK" w:cs="Times New Roman"/>
          <w:color w:val="auto"/>
          <w:sz w:val="32"/>
          <w:szCs w:val="32"/>
          <w:highlight w:val="none"/>
          <w:lang w:val="en-US" w:eastAsia="zh-CN"/>
        </w:rPr>
        <w:t>已</w:t>
      </w:r>
      <w:r>
        <w:rPr>
          <w:rFonts w:hint="default" w:ascii="Times New Roman" w:hAnsi="Times New Roman" w:eastAsia="方正仿宋_GBK" w:cs="Times New Roman"/>
          <w:color w:val="auto"/>
          <w:sz w:val="32"/>
          <w:szCs w:val="32"/>
          <w:highlight w:val="none"/>
          <w:lang w:eastAsia="zh-CN"/>
        </w:rPr>
        <w:t>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函；（2）</w:t>
      </w:r>
      <w:r>
        <w:rPr>
          <w:rFonts w:hint="eastAsia" w:ascii="Times New Roman" w:hAnsi="Times New Roman" w:eastAsia="方正仿宋_GBK" w:cs="Times New Roman"/>
          <w:color w:val="auto"/>
          <w:sz w:val="32"/>
          <w:szCs w:val="32"/>
          <w:highlight w:val="none"/>
          <w:lang w:val="en-US" w:eastAsia="zh-CN"/>
        </w:rPr>
        <w:t>负责</w:t>
      </w:r>
      <w:r>
        <w:rPr>
          <w:rFonts w:hint="default" w:ascii="Times New Roman" w:hAnsi="Times New Roman" w:eastAsia="方正仿宋_GBK" w:cs="Times New Roman"/>
          <w:color w:val="auto"/>
          <w:sz w:val="32"/>
          <w:szCs w:val="32"/>
          <w:highlight w:val="none"/>
          <w:lang w:eastAsia="zh-CN"/>
        </w:rPr>
        <w:t>人身份证明或授权委托书；</w:t>
      </w:r>
    </w:p>
    <w:p>
      <w:pPr>
        <w:tabs>
          <w:tab w:val="left" w:pos="1088"/>
        </w:tabs>
        <w:adjustRightInd w:val="0"/>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（3）报价表；（4）资格审查资料；（</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）其它。</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函为准。</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w:t>
      </w:r>
      <w:r>
        <w:rPr>
          <w:rFonts w:hint="eastAsia" w:ascii="Times New Roman" w:hAnsi="Times New Roman" w:eastAsia="方正仿宋_GBK" w:cs="Times New Roman"/>
          <w:color w:val="auto"/>
          <w:sz w:val="32"/>
          <w:szCs w:val="32"/>
          <w:highlight w:val="none"/>
          <w:lang w:val="en-US" w:eastAsia="zh-CN"/>
        </w:rPr>
        <w:t>诺</w:t>
      </w:r>
      <w:r>
        <w:rPr>
          <w:rFonts w:hint="default" w:ascii="Times New Roman" w:hAnsi="Times New Roman" w:eastAsia="方正仿宋_GBK" w:cs="Times New Roman"/>
          <w:color w:val="auto"/>
          <w:sz w:val="32"/>
          <w:szCs w:val="32"/>
          <w:highlight w:val="none"/>
          <w:lang w:eastAsia="zh-CN"/>
        </w:rPr>
        <w:t>响应询价文件的全部要求。</w:t>
      </w:r>
    </w:p>
    <w:p>
      <w:pPr>
        <w:tabs>
          <w:tab w:val="left" w:pos="993"/>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有效期内不撤销报价文件。</w:t>
      </w:r>
    </w:p>
    <w:p>
      <w:pPr>
        <w:tabs>
          <w:tab w:val="left" w:pos="993"/>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（1）在收到中标通知后，在规定的期限内与你方签订合同；（2）在签订合同时不向你方提出附加条件；（</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）在合同约定的期限内完成合同规定的全部义务。</w:t>
      </w:r>
    </w:p>
    <w:p>
      <w:pPr>
        <w:tabs>
          <w:tab w:val="left" w:pos="84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84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Style w:val="20"/>
          <w:rFonts w:hint="default" w:ascii="Times New Roman" w:hAnsi="Times New Roman" w:eastAsia="方正仿宋_GBK" w:cs="Times New Roman"/>
          <w:color w:val="auto"/>
          <w:sz w:val="32"/>
          <w:szCs w:val="32"/>
          <w:highlight w:val="none"/>
        </w:rPr>
      </w:pPr>
    </w:p>
    <w:p>
      <w:pPr>
        <w:spacing w:line="510" w:lineRule="exact"/>
        <w:ind w:firstLine="2760" w:firstLineChars="600"/>
        <w:rPr>
          <w:rStyle w:val="21"/>
          <w:rFonts w:hint="default" w:ascii="Times New Roman" w:hAnsi="Times New Roman" w:eastAsia="方正仿宋_GBK" w:cs="Times New Roman"/>
          <w:color w:val="auto"/>
          <w:sz w:val="32"/>
          <w:szCs w:val="32"/>
          <w:highlight w:val="none"/>
          <w:lang w:val="en-US" w:eastAsia="zh-CN"/>
        </w:rPr>
      </w:pPr>
      <w:r>
        <w:rPr>
          <w:rStyle w:val="20"/>
          <w:rFonts w:hint="default" w:ascii="Times New Roman" w:hAnsi="Times New Roman" w:eastAsia="方正仿宋_GBK" w:cs="Times New Roman"/>
          <w:color w:val="auto"/>
          <w:sz w:val="32"/>
          <w:szCs w:val="32"/>
          <w:highlight w:val="none"/>
        </w:rPr>
        <w:t>报价人：</w:t>
      </w:r>
      <w:r>
        <w:rPr>
          <w:rStyle w:val="21"/>
          <w:rFonts w:hint="default" w:ascii="Times New Roman" w:hAnsi="Times New Roman" w:eastAsia="方正仿宋_GBK" w:cs="Times New Roman"/>
          <w:color w:val="auto"/>
          <w:sz w:val="32"/>
          <w:szCs w:val="32"/>
          <w:highlight w:val="none"/>
          <w:lang w:eastAsia="zh-CN"/>
        </w:rPr>
        <w:t>(盖</w:t>
      </w:r>
      <w:r>
        <w:rPr>
          <w:rStyle w:val="21"/>
          <w:rFonts w:hint="eastAsia" w:ascii="Times New Roman" w:hAnsi="Times New Roman" w:eastAsia="方正仿宋_GBK" w:cs="Times New Roman"/>
          <w:color w:val="auto"/>
          <w:sz w:val="32"/>
          <w:szCs w:val="32"/>
          <w:highlight w:val="none"/>
          <w:lang w:val="en-US" w:eastAsia="zh-CN"/>
        </w:rPr>
        <w:t>章）</w:t>
      </w:r>
    </w:p>
    <w:p>
      <w:pPr>
        <w:spacing w:line="510" w:lineRule="exact"/>
        <w:ind w:firstLine="2880" w:firstLineChars="900"/>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负责</w:t>
      </w:r>
      <w:r>
        <w:rPr>
          <w:rFonts w:hint="default" w:ascii="Times New Roman" w:hAnsi="Times New Roman" w:eastAsia="方正仿宋_GBK" w:cs="Times New Roman"/>
          <w:color w:val="auto"/>
          <w:sz w:val="32"/>
          <w:szCs w:val="32"/>
          <w:highlight w:val="none"/>
          <w:lang w:eastAsia="zh-CN"/>
        </w:rPr>
        <w:t>人或其委托代理人：</w:t>
      </w:r>
      <w:r>
        <w:rPr>
          <w:rStyle w:val="21"/>
          <w:rFonts w:hint="default" w:ascii="Times New Roman" w:hAnsi="Times New Roman" w:eastAsia="方正仿宋_GBK" w:cs="Times New Roman"/>
          <w:color w:val="auto"/>
          <w:sz w:val="32"/>
          <w:szCs w:val="32"/>
          <w:highlight w:val="none"/>
          <w:lang w:eastAsia="zh-CN"/>
        </w:rPr>
        <w:t>(签字</w:t>
      </w:r>
      <w:r>
        <w:rPr>
          <w:rStyle w:val="21"/>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firstLine="2880" w:firstLineChars="9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firstLine="2880" w:firstLineChars="9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pStyle w:val="19"/>
        <w:keepNext/>
        <w:keepLines/>
        <w:shd w:val="clear" w:color="auto" w:fill="auto"/>
        <w:spacing w:before="0" w:after="476" w:line="560" w:lineRule="exact"/>
        <w:jc w:val="center"/>
        <w:rPr>
          <w:rStyle w:val="22"/>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12" w:name="_Toc29194794"/>
      <w:bookmarkStart w:id="13" w:name="_Toc52097545"/>
      <w:bookmarkStart w:id="14" w:name="_Toc10710825"/>
      <w:r>
        <w:rPr>
          <w:rFonts w:hint="default" w:ascii="Times New Roman" w:hAnsi="Times New Roman" w:eastAsia="方正小标宋_GBK" w:cs="Times New Roman"/>
          <w:color w:val="auto"/>
          <w:sz w:val="44"/>
          <w:szCs w:val="44"/>
          <w:highlight w:val="none"/>
        </w:rPr>
        <w:t>三</w:t>
      </w:r>
      <w:r>
        <w:rPr>
          <w:rStyle w:val="22"/>
          <w:rFonts w:hint="default" w:ascii="Times New Roman" w:hAnsi="Times New Roman" w:eastAsia="方正小标宋_GBK" w:cs="Times New Roman"/>
          <w:color w:val="auto"/>
          <w:sz w:val="44"/>
          <w:szCs w:val="44"/>
          <w:highlight w:val="none"/>
        </w:rPr>
        <w:t>、报价表</w:t>
      </w:r>
      <w:bookmarkEnd w:id="12"/>
      <w:bookmarkEnd w:id="13"/>
      <w:bookmarkEnd w:id="14"/>
    </w:p>
    <w:p>
      <w:pPr>
        <w:keepNext w:val="0"/>
        <w:keepLines w:val="0"/>
        <w:pageBreakBefore w:val="0"/>
        <w:widowControl w:val="0"/>
        <w:tabs>
          <w:tab w:val="left" w:leader="underscore" w:pos="7582"/>
        </w:tabs>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lang w:eastAsia="zh-CN"/>
        </w:rPr>
        <w:t>1.报价说明</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（1）价格应按照本说明的要求报价，以人民币计价，单位为元，精确到个数位。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（2）报价表中的价格，</w:t>
      </w:r>
      <w:r>
        <w:rPr>
          <w:rFonts w:hint="eastAsia" w:ascii="方正仿宋_GBK" w:hAnsi="方正仿宋_GBK" w:eastAsia="方正仿宋_GBK" w:cs="方正仿宋_GBK"/>
          <w:b w:val="0"/>
          <w:bCs w:val="0"/>
          <w:sz w:val="28"/>
          <w:szCs w:val="28"/>
          <w:lang w:val="en-US" w:eastAsia="zh-CN"/>
        </w:rPr>
        <w:t>包含了乙方承接三江公司法律服务所涉及的</w:t>
      </w:r>
      <w:r>
        <w:rPr>
          <w:rFonts w:eastAsia="方正仿宋_GBK"/>
          <w:sz w:val="28"/>
          <w:szCs w:val="28"/>
        </w:rPr>
        <w:t>劳务、</w:t>
      </w:r>
      <w:r>
        <w:rPr>
          <w:rFonts w:hint="eastAsia" w:eastAsia="方正仿宋_GBK"/>
          <w:sz w:val="28"/>
          <w:szCs w:val="28"/>
        </w:rPr>
        <w:t>差旅</w:t>
      </w:r>
      <w:r>
        <w:rPr>
          <w:rFonts w:eastAsia="方正仿宋_GBK"/>
          <w:sz w:val="28"/>
          <w:szCs w:val="28"/>
        </w:rPr>
        <w:t>、管理、税费、利润</w:t>
      </w:r>
      <w:r>
        <w:rPr>
          <w:rFonts w:ascii="Calibri" w:hAnsi="Calibri" w:eastAsia="方正仿宋_GBK" w:cs="Times New Roman"/>
          <w:sz w:val="28"/>
          <w:szCs w:val="28"/>
        </w:rPr>
        <w:t>等所有费用，以及该项任务明示或暗示的所有责任、义务和风险。</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eastAsia="zh-CN"/>
        </w:rPr>
        <w:t>）依据国家法律、行政法规、国务院有关部门的规章以及重庆市的法规和规章的规定应由承包人缴纳的税金、费用均应按规定计入报价中。</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分项报价表应与报价汇总表相一致。</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440" w:lineRule="exact"/>
        <w:textAlignment w:val="auto"/>
        <w:rPr>
          <w:rFonts w:hint="default"/>
          <w:sz w:val="28"/>
          <w:szCs w:val="28"/>
          <w:lang w:eastAsia="zh-CN"/>
        </w:rPr>
      </w:pPr>
      <w:r>
        <w:rPr>
          <w:rFonts w:hint="default"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i/>
          <w:iCs/>
          <w:color w:val="auto"/>
          <w:sz w:val="28"/>
          <w:szCs w:val="28"/>
          <w:highlight w:val="none"/>
          <w:lang w:eastAsia="zh-CN"/>
        </w:rPr>
        <w:t>报价在合同有效期内固定不变</w:t>
      </w:r>
      <w:r>
        <w:rPr>
          <w:rFonts w:hint="default" w:ascii="Times New Roman" w:hAnsi="Times New Roman" w:eastAsia="方正仿宋_GBK" w:cs="Times New Roman"/>
          <w:color w:val="auto"/>
          <w:sz w:val="28"/>
          <w:szCs w:val="28"/>
          <w:highlight w:val="none"/>
          <w:lang w:eastAsia="zh-CN"/>
        </w:rPr>
        <w:t>，即合同价格不因国家和地方政策调整、物价变动等因数的影响而调整。</w:t>
      </w:r>
    </w:p>
    <w:p>
      <w:pPr>
        <w:numPr>
          <w:ilvl w:val="0"/>
          <w:numId w:val="4"/>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tbl>
      <w:tblPr>
        <w:tblStyle w:val="14"/>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182"/>
        <w:gridCol w:w="1595"/>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序号</w:t>
            </w:r>
          </w:p>
        </w:tc>
        <w:tc>
          <w:tcPr>
            <w:tcW w:w="3777"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firstLine="960" w:firstLineChars="3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项目</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lang w:val="en-US" w:eastAsia="zh-CN"/>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1</w:t>
            </w:r>
          </w:p>
        </w:tc>
        <w:tc>
          <w:tcPr>
            <w:tcW w:w="3777"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基本服务费</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lang w:val="en-US" w:eastAsia="zh-CN"/>
              </w:rPr>
              <w:t>2</w:t>
            </w:r>
          </w:p>
        </w:tc>
        <w:tc>
          <w:tcPr>
            <w:tcW w:w="3777"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lang w:val="en-US" w:eastAsia="zh-CN"/>
              </w:rPr>
              <w:t>风险部分比例（减损服务费）</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u w:val="none"/>
                <w:lang w:val="en-US" w:eastAsia="zh-CN" w:bidi="ar-SA"/>
              </w:rPr>
            </w:pPr>
            <w:r>
              <w:rPr>
                <w:rFonts w:hint="eastAsia" w:ascii="方正仿宋_GBK" w:hAnsi="方正仿宋_GBK" w:eastAsia="方正仿宋_GBK" w:cs="方正仿宋_GBK"/>
                <w:color w:val="auto"/>
                <w:kern w:val="2"/>
                <w:sz w:val="28"/>
                <w:szCs w:val="28"/>
                <w:highlight w:val="none"/>
                <w:u w:val="single"/>
                <w:lang w:val="en-US" w:eastAsia="zh-CN" w:bidi="ar-SA"/>
              </w:rPr>
              <w:t xml:space="preserve">   %（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gridSpan w:val="2"/>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总报价</w:t>
            </w:r>
          </w:p>
        </w:tc>
        <w:tc>
          <w:tcPr>
            <w:tcW w:w="5159"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u w:val="none"/>
                <w:lang w:val="en-US" w:eastAsia="zh-CN" w:bidi="ar-SA"/>
              </w:rPr>
            </w:pPr>
          </w:p>
        </w:tc>
      </w:tr>
    </w:tbl>
    <w:p>
      <w:pPr>
        <w:pStyle w:val="2"/>
        <w:ind w:left="0" w:leftChars="0" w:firstLine="0" w:firstLineChars="0"/>
        <w:rPr>
          <w:rFonts w:hint="default" w:ascii="Times New Roman" w:hAnsi="Times New Roman" w:cs="Times New Roman"/>
          <w:color w:val="auto"/>
          <w:szCs w:val="21"/>
          <w:highlight w:val="none"/>
          <w:vertAlign w:val="baseline"/>
          <w:lang w:val="en-US" w:eastAsia="zh-CN"/>
        </w:rPr>
      </w:pPr>
    </w:p>
    <w:p>
      <w:pPr>
        <w:pStyle w:val="2"/>
        <w:ind w:left="0" w:lef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说明：</w:t>
      </w:r>
    </w:p>
    <w:p>
      <w:pPr>
        <w:pStyle w:val="2"/>
        <w:ind w:left="0" w:leftChars="0" w:firstLine="480" w:firstLineChars="20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1、法律诉讼服务费由基本服务费和减损服务费两部分组成。</w:t>
      </w:r>
    </w:p>
    <w:p>
      <w:pPr>
        <w:pStyle w:val="2"/>
        <w:numPr>
          <w:ilvl w:val="0"/>
          <w:numId w:val="0"/>
        </w:numPr>
        <w:ind w:firstLine="480" w:firstLineChars="20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2、基本服务费是指代理本项目案件的基本费用，包干使用。</w:t>
      </w:r>
    </w:p>
    <w:p>
      <w:pPr>
        <w:pStyle w:val="2"/>
        <w:numPr>
          <w:ilvl w:val="0"/>
          <w:numId w:val="0"/>
        </w:numPr>
        <w:ind w:firstLine="480" w:firstLineChars="200"/>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减损服务费是指针对原告起诉被告要求赔付的争议标的额，经诉讼代理而实际减少赔付的费用部分的法律服务费，报价人需同时报风险部分比例（不超过12%）和减损服务费（不超过63万元，若按报价比例计算的减损服务费超过上限价63万元，则按63万元计）。报价时以零赔付（即全额减损）进行风险部分比例及服务费报价，实际结算时，以实际减损金额（即争议标的额减实际赔付额）和所报价的风险部分比例进行计算服务费，风险部分服务费实际最高结算金额不能超过63万，超出部分询价人不予支付。</w:t>
      </w:r>
    </w:p>
    <w:p>
      <w:pPr>
        <w:pStyle w:val="19"/>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5" w:name="_Toc52097546"/>
      <w:r>
        <w:rPr>
          <w:rFonts w:hint="default" w:ascii="Times New Roman" w:hAnsi="Times New Roman" w:eastAsia="方正小标宋_GBK" w:cs="Times New Roman"/>
          <w:color w:val="auto"/>
          <w:sz w:val="44"/>
          <w:szCs w:val="44"/>
          <w:highlight w:val="none"/>
        </w:rPr>
        <w:t>四、资格审查资料</w:t>
      </w:r>
      <w:bookmarkEnd w:id="15"/>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1.</w:t>
      </w:r>
      <w:r>
        <w:rPr>
          <w:rFonts w:hint="eastAsia" w:ascii="Times New Roman" w:hAnsi="Times New Roman" w:eastAsia="方正仿宋_GBK" w:cs="Times New Roman"/>
          <w:color w:val="auto"/>
          <w:sz w:val="32"/>
          <w:szCs w:val="32"/>
          <w:highlight w:val="none"/>
          <w:lang w:val="en-US" w:eastAsia="zh-CN"/>
        </w:rPr>
        <w:t>律师事务所执业许可证</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2.</w:t>
      </w:r>
      <w:r>
        <w:rPr>
          <w:rFonts w:hint="eastAsia" w:ascii="Times New Roman" w:hAnsi="Times New Roman" w:eastAsia="方正仿宋_GBK" w:cs="Times New Roman"/>
          <w:color w:val="auto"/>
          <w:sz w:val="32"/>
          <w:szCs w:val="32"/>
          <w:highlight w:val="none"/>
          <w:lang w:val="en-US" w:eastAsia="zh-CN"/>
        </w:rPr>
        <w:t>律师执业证</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4.其他</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.信用承诺书</w:t>
      </w:r>
    </w:p>
    <w:p>
      <w:pPr>
        <w:spacing w:line="510" w:lineRule="exact"/>
        <w:jc w:val="both"/>
        <w:rPr>
          <w:rFonts w:hint="default" w:ascii="Times New Roman" w:hAnsi="Times New Roman" w:eastAsia="方正仿宋_GBK" w:cs="Times New Roman"/>
          <w:bCs/>
          <w:color w:val="auto"/>
          <w:sz w:val="32"/>
          <w:szCs w:val="32"/>
          <w:highlight w:val="none"/>
          <w:lang w:eastAsia="zh-CN"/>
        </w:rPr>
      </w:pPr>
      <w:bookmarkStart w:id="16" w:name="_GoBack"/>
      <w:bookmarkEnd w:id="16"/>
      <w:r>
        <w:rPr>
          <w:rFonts w:hint="default" w:ascii="Times New Roman" w:hAnsi="Times New Roman" w:eastAsia="方正仿宋_GBK" w:cs="Times New Roman"/>
          <w:color w:val="auto"/>
          <w:sz w:val="32"/>
          <w:szCs w:val="32"/>
          <w:highlight w:val="none"/>
          <w:lang w:eastAsia="zh-CN"/>
        </w:rPr>
        <w:t>*注：以上报价文件均需加盖鲜章并装订成册。</w:t>
      </w:r>
      <w:r>
        <w:rPr>
          <w:rFonts w:hint="default" w:ascii="Times New Roman" w:hAnsi="Times New Roman" w:eastAsia="方正仿宋_GBK" w:cs="Times New Roman"/>
          <w:bCs/>
          <w:color w:val="auto"/>
          <w:sz w:val="32"/>
          <w:szCs w:val="32"/>
          <w:highlight w:val="none"/>
          <w:lang w:eastAsia="zh-CN"/>
        </w:rPr>
        <w:t>装订采用A4纸幅面，</w:t>
      </w:r>
      <w:r>
        <w:rPr>
          <w:rFonts w:hint="eastAsia" w:ascii="Times New Roman" w:hAnsi="Times New Roman" w:eastAsia="方正仿宋_GBK" w:cs="Times New Roman"/>
          <w:bCs/>
          <w:color w:val="auto"/>
          <w:sz w:val="32"/>
          <w:szCs w:val="32"/>
          <w:highlight w:val="none"/>
          <w:lang w:val="en-US" w:eastAsia="zh-CN"/>
        </w:rPr>
        <w:t>建议</w:t>
      </w:r>
      <w:r>
        <w:rPr>
          <w:rFonts w:hint="default" w:ascii="Times New Roman" w:hAnsi="Times New Roman" w:eastAsia="方正仿宋_GBK" w:cs="Times New Roman"/>
          <w:bCs/>
          <w:color w:val="auto"/>
          <w:sz w:val="32"/>
          <w:szCs w:val="32"/>
          <w:highlight w:val="none"/>
          <w:lang w:eastAsia="zh-CN"/>
        </w:rPr>
        <w:t>不采用活页夹等可随时拆换的方式装订，</w:t>
      </w:r>
      <w:r>
        <w:rPr>
          <w:rFonts w:hint="eastAsia" w:ascii="Times New Roman" w:hAnsi="Times New Roman" w:eastAsia="方正仿宋_GBK" w:cs="Times New Roman"/>
          <w:bCs/>
          <w:color w:val="auto"/>
          <w:sz w:val="32"/>
          <w:szCs w:val="32"/>
          <w:highlight w:val="none"/>
          <w:lang w:val="en-US" w:eastAsia="zh-CN"/>
        </w:rPr>
        <w:t>如采用</w:t>
      </w:r>
      <w:r>
        <w:rPr>
          <w:rFonts w:hint="default" w:ascii="Times New Roman" w:hAnsi="Times New Roman" w:eastAsia="方正仿宋_GBK" w:cs="Times New Roman"/>
          <w:bCs/>
          <w:color w:val="auto"/>
          <w:sz w:val="32"/>
          <w:szCs w:val="32"/>
          <w:highlight w:val="none"/>
          <w:lang w:eastAsia="zh-CN"/>
        </w:rPr>
        <w:t>活页夹等可随时拆换的方式装订</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须加盖骑缝章，</w:t>
      </w:r>
      <w:r>
        <w:rPr>
          <w:rFonts w:hint="default" w:ascii="Times New Roman" w:hAnsi="Times New Roman" w:eastAsia="方正仿宋_GBK" w:cs="Times New Roman"/>
          <w:bCs/>
          <w:color w:val="auto"/>
          <w:sz w:val="32"/>
          <w:szCs w:val="32"/>
          <w:highlight w:val="none"/>
          <w:lang w:eastAsia="zh-CN"/>
        </w:rPr>
        <w:t>否则其报价文件将被否决。</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方正小标宋_GBK" w:cs="Times New Roman"/>
          <w:color w:val="auto"/>
          <w:sz w:val="44"/>
          <w:szCs w:val="44"/>
          <w:highlight w:val="none"/>
          <w:lang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eastAsia="zh-CN"/>
        </w:rPr>
        <w:t>信用承诺书</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w:t>
      </w:r>
      <w:r>
        <w:rPr>
          <w:rFonts w:hint="eastAsia" w:ascii="Times New Roman" w:hAnsi="Times New Roman" w:eastAsia="方正仿宋_GBK" w:cs="Times New Roman"/>
          <w:color w:val="auto"/>
          <w:sz w:val="32"/>
          <w:szCs w:val="32"/>
          <w:highlight w:val="none"/>
          <w:lang w:val="en-US" w:eastAsia="zh-CN"/>
        </w:rPr>
        <w:t>发三江港埠有限公司</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w:t>
      </w:r>
      <w:r>
        <w:rPr>
          <w:rFonts w:hint="eastAsia" w:ascii="Times New Roman" w:hAnsi="Times New Roman" w:eastAsia="方正仿宋_GBK" w:cs="Times New Roman"/>
          <w:color w:val="auto"/>
          <w:sz w:val="32"/>
          <w:szCs w:val="32"/>
          <w:highlight w:val="none"/>
          <w:lang w:val="en-US" w:eastAsia="zh-CN"/>
        </w:rPr>
        <w:t>事务所</w:t>
      </w:r>
      <w:r>
        <w:rPr>
          <w:rFonts w:hint="default" w:ascii="Times New Roman" w:hAnsi="Times New Roman" w:eastAsia="方正仿宋_GBK" w:cs="Times New Roman"/>
          <w:color w:val="auto"/>
          <w:sz w:val="32"/>
          <w:szCs w:val="32"/>
          <w:highlight w:val="none"/>
          <w:lang w:eastAsia="zh-CN"/>
        </w:rPr>
        <w:t>（报价人名称）参加了贵单位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）被国家、重庆市（含市或任意区县）有关行政部门处以暂停投标资格行政处罚，且在处罚期限内；</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）被重庆市相关行政主管部门暂停在渝承揽新业务且在暂停期内。</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、我</w:t>
      </w:r>
      <w:r>
        <w:rPr>
          <w:rFonts w:hint="eastAsia" w:ascii="Times New Roman" w:hAnsi="Times New Roman" w:eastAsia="方正仿宋_GBK" w:cs="Times New Roman"/>
          <w:color w:val="auto"/>
          <w:sz w:val="32"/>
          <w:szCs w:val="32"/>
          <w:highlight w:val="none"/>
          <w:lang w:val="en-US" w:eastAsia="zh-CN"/>
        </w:rPr>
        <w:t>所</w:t>
      </w:r>
      <w:r>
        <w:rPr>
          <w:rFonts w:hint="default" w:ascii="Times New Roman" w:hAnsi="Times New Roman" w:eastAsia="方正仿宋_GBK" w:cs="Times New Roman"/>
          <w:color w:val="auto"/>
          <w:sz w:val="32"/>
          <w:szCs w:val="32"/>
          <w:highlight w:val="none"/>
          <w:lang w:eastAsia="zh-CN"/>
        </w:rPr>
        <w:t>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我</w:t>
      </w:r>
      <w:r>
        <w:rPr>
          <w:rFonts w:hint="eastAsia" w:ascii="Times New Roman" w:hAnsi="Times New Roman" w:eastAsia="方正仿宋_GBK" w:cs="Times New Roman"/>
          <w:color w:val="auto"/>
          <w:sz w:val="32"/>
          <w:szCs w:val="32"/>
          <w:highlight w:val="none"/>
          <w:lang w:val="en-US" w:eastAsia="zh-CN"/>
        </w:rPr>
        <w:t>所</w:t>
      </w:r>
      <w:r>
        <w:rPr>
          <w:rFonts w:hint="default" w:ascii="Times New Roman" w:hAnsi="Times New Roman" w:eastAsia="方正仿宋_GBK" w:cs="Times New Roman"/>
          <w:color w:val="auto"/>
          <w:sz w:val="32"/>
          <w:szCs w:val="32"/>
          <w:highlight w:val="none"/>
          <w:lang w:eastAsia="zh-CN"/>
        </w:rPr>
        <w:t>自愿承担因此造成的相关责任并赔偿相应损失。</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、询价文件符合 “技术标准和要求”规定。</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i/>
          <w:iCs/>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keepNext w:val="0"/>
        <w:keepLines w:val="0"/>
        <w:pageBreakBefore w:val="0"/>
        <w:widowControl w:val="0"/>
        <w:kinsoku/>
        <w:wordWrap/>
        <w:overflowPunct/>
        <w:topLinePunct w:val="0"/>
        <w:autoSpaceDE/>
        <w:autoSpaceDN/>
        <w:bidi w:val="0"/>
        <w:adjustRightInd w:val="0"/>
        <w:snapToGrid w:val="0"/>
        <w:spacing w:line="510" w:lineRule="exact"/>
        <w:jc w:val="center"/>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报价人：（盖单位</w:t>
      </w:r>
      <w:r>
        <w:rPr>
          <w:rFonts w:hint="eastAsia" w:ascii="Times New Roman" w:hAnsi="Times New Roman" w:eastAsia="方正仿宋_GBK" w:cs="Times New Roman"/>
          <w:color w:val="auto"/>
          <w:sz w:val="32"/>
          <w:szCs w:val="32"/>
          <w:highlight w:val="none"/>
          <w:lang w:val="en-US" w:eastAsia="zh-CN"/>
        </w:rPr>
        <w:t>公</w:t>
      </w:r>
      <w:r>
        <w:rPr>
          <w:rFonts w:hint="default" w:ascii="Times New Roman" w:hAnsi="Times New Roman" w:eastAsia="方正仿宋_GBK" w:cs="Times New Roman"/>
          <w:color w:val="auto"/>
          <w:sz w:val="32"/>
          <w:szCs w:val="32"/>
          <w:highlight w:val="none"/>
          <w:lang w:eastAsia="zh-CN"/>
        </w:rPr>
        <w:t>章）</w:t>
      </w:r>
    </w:p>
    <w:p>
      <w:pPr>
        <w:keepNext w:val="0"/>
        <w:keepLines w:val="0"/>
        <w:pageBreakBefore w:val="0"/>
        <w:widowControl w:val="0"/>
        <w:kinsoku/>
        <w:wordWrap/>
        <w:overflowPunct/>
        <w:topLinePunct w:val="0"/>
        <w:autoSpaceDE/>
        <w:autoSpaceDN/>
        <w:bidi w:val="0"/>
        <w:adjustRightInd w:val="0"/>
        <w:snapToGrid w:val="0"/>
        <w:spacing w:line="510" w:lineRule="exact"/>
        <w:jc w:val="right"/>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负责</w:t>
      </w:r>
      <w:r>
        <w:rPr>
          <w:rFonts w:hint="default" w:ascii="Times New Roman" w:hAnsi="Times New Roman" w:eastAsia="方正仿宋_GBK" w:cs="Times New Roman"/>
          <w:color w:val="auto"/>
          <w:sz w:val="32"/>
          <w:szCs w:val="32"/>
          <w:highlight w:val="none"/>
          <w:lang w:eastAsia="zh-CN"/>
        </w:rPr>
        <w:t>人：       （签字）</w:t>
      </w:r>
    </w:p>
    <w:p>
      <w:pPr>
        <w:pStyle w:val="2"/>
        <w:keepNext w:val="0"/>
        <w:keepLines w:val="0"/>
        <w:pageBreakBefore w:val="0"/>
        <w:widowControl w:val="0"/>
        <w:kinsoku/>
        <w:wordWrap/>
        <w:overflowPunct/>
        <w:topLinePunct w:val="0"/>
        <w:autoSpaceDE/>
        <w:autoSpaceDN/>
        <w:bidi w:val="0"/>
        <w:spacing w:after="0"/>
        <w:jc w:val="righ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年    月    日</w:t>
      </w:r>
    </w:p>
    <w:sectPr>
      <w:footerReference r:id="rId6" w:type="default"/>
      <w:pgSz w:w="11906" w:h="16838"/>
      <w:pgMar w:top="1440" w:right="1800" w:bottom="1440" w:left="1800" w:header="851" w:footer="992" w:gutter="0"/>
      <w:pgNumType w:fmt="decimal"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8925126"/>
                          </w:sdtPr>
                          <w:sdtContent>
                            <w:p>
                              <w:pPr>
                                <w:pStyle w:val="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68925126"/>
                    </w:sdtPr>
                    <w:sdtContent>
                      <w:p>
                        <w:pPr>
                          <w:pStyle w:val="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v:textbox>
            </v:shape>
          </w:pict>
        </mc:Fallback>
      </mc:AlternateContent>
    </w:r>
  </w:p>
  <w:p>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8925126"/>
                          </w:sdtPr>
                          <w:sdtContent>
                            <w:p>
                              <w:pPr>
                                <w:pStyle w:val="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68925126"/>
                    </w:sdtPr>
                    <w:sdtContent>
                      <w:p>
                        <w:pPr>
                          <w:pStyle w:val="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v:textbox>
            </v:shape>
          </w:pict>
        </mc:Fallback>
      </mc:AlternateContent>
    </w:r>
  </w:p>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FAD33"/>
    <w:multiLevelType w:val="singleLevel"/>
    <w:tmpl w:val="92AFAD33"/>
    <w:lvl w:ilvl="0" w:tentative="0">
      <w:start w:val="8"/>
      <w:numFmt w:val="chineseCounting"/>
      <w:suff w:val="space"/>
      <w:lvlText w:val="第%1条"/>
      <w:lvlJc w:val="left"/>
      <w:rPr>
        <w:rFonts w:hint="eastAsia"/>
      </w:rPr>
    </w:lvl>
  </w:abstractNum>
  <w:abstractNum w:abstractNumId="1">
    <w:nsid w:val="9CC73A23"/>
    <w:multiLevelType w:val="singleLevel"/>
    <w:tmpl w:val="9CC73A23"/>
    <w:lvl w:ilvl="0" w:tentative="0">
      <w:start w:val="1"/>
      <w:numFmt w:val="decimal"/>
      <w:lvlText w:val="%1."/>
      <w:lvlJc w:val="left"/>
      <w:pPr>
        <w:tabs>
          <w:tab w:val="left" w:pos="312"/>
        </w:tabs>
      </w:pPr>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zY3MTAyYjRkMjc3M2E3ZWExNDUwNmIwMGI2ZWQifQ=="/>
  </w:docVars>
  <w:rsids>
    <w:rsidRoot w:val="00172A27"/>
    <w:rsid w:val="006E4A62"/>
    <w:rsid w:val="00AB55F5"/>
    <w:rsid w:val="013E2686"/>
    <w:rsid w:val="01D54D98"/>
    <w:rsid w:val="020071A1"/>
    <w:rsid w:val="03CD4C6E"/>
    <w:rsid w:val="03E923A7"/>
    <w:rsid w:val="0751201A"/>
    <w:rsid w:val="07603356"/>
    <w:rsid w:val="07B55EA8"/>
    <w:rsid w:val="08245D52"/>
    <w:rsid w:val="088F0244"/>
    <w:rsid w:val="09610D43"/>
    <w:rsid w:val="09C000DC"/>
    <w:rsid w:val="0D270472"/>
    <w:rsid w:val="0D425D09"/>
    <w:rsid w:val="0EBC5553"/>
    <w:rsid w:val="1034712E"/>
    <w:rsid w:val="10B71B0D"/>
    <w:rsid w:val="11C72224"/>
    <w:rsid w:val="12D04BA7"/>
    <w:rsid w:val="13B90E40"/>
    <w:rsid w:val="1432733D"/>
    <w:rsid w:val="152D05F0"/>
    <w:rsid w:val="15604521"/>
    <w:rsid w:val="188B6770"/>
    <w:rsid w:val="18B828C6"/>
    <w:rsid w:val="19E62655"/>
    <w:rsid w:val="1A620419"/>
    <w:rsid w:val="1BD143CB"/>
    <w:rsid w:val="1C443E68"/>
    <w:rsid w:val="1C6726B4"/>
    <w:rsid w:val="1C6B7A57"/>
    <w:rsid w:val="1CC354E4"/>
    <w:rsid w:val="1D4806BC"/>
    <w:rsid w:val="1D6E2B2F"/>
    <w:rsid w:val="1D6F4158"/>
    <w:rsid w:val="1DE026A3"/>
    <w:rsid w:val="1E0061C1"/>
    <w:rsid w:val="1E1B3A7C"/>
    <w:rsid w:val="1F310317"/>
    <w:rsid w:val="1FC84ED6"/>
    <w:rsid w:val="1FCF29CF"/>
    <w:rsid w:val="214116AB"/>
    <w:rsid w:val="21DF216F"/>
    <w:rsid w:val="22511AAD"/>
    <w:rsid w:val="22CC038A"/>
    <w:rsid w:val="24983E20"/>
    <w:rsid w:val="25AA0C61"/>
    <w:rsid w:val="25EA07AB"/>
    <w:rsid w:val="26C32B62"/>
    <w:rsid w:val="26E2195D"/>
    <w:rsid w:val="281F026C"/>
    <w:rsid w:val="2AD25A69"/>
    <w:rsid w:val="2AFE5248"/>
    <w:rsid w:val="2B13434B"/>
    <w:rsid w:val="2CA46115"/>
    <w:rsid w:val="2CB216AE"/>
    <w:rsid w:val="2E1A01B5"/>
    <w:rsid w:val="2EBB4596"/>
    <w:rsid w:val="2EE93382"/>
    <w:rsid w:val="2F106B60"/>
    <w:rsid w:val="2F2E6FE6"/>
    <w:rsid w:val="2F6A4781"/>
    <w:rsid w:val="2FB4573E"/>
    <w:rsid w:val="2FF41FDE"/>
    <w:rsid w:val="303D3985"/>
    <w:rsid w:val="305F38FB"/>
    <w:rsid w:val="30DF2C8E"/>
    <w:rsid w:val="312005B1"/>
    <w:rsid w:val="31491BD6"/>
    <w:rsid w:val="31B00187"/>
    <w:rsid w:val="32B4641F"/>
    <w:rsid w:val="33E24B89"/>
    <w:rsid w:val="343155AF"/>
    <w:rsid w:val="349376F1"/>
    <w:rsid w:val="35FE3BB6"/>
    <w:rsid w:val="360B0081"/>
    <w:rsid w:val="384A30E3"/>
    <w:rsid w:val="384C6E5B"/>
    <w:rsid w:val="385775AE"/>
    <w:rsid w:val="3A5A6430"/>
    <w:rsid w:val="3B5E67FC"/>
    <w:rsid w:val="3E467EA9"/>
    <w:rsid w:val="3F304622"/>
    <w:rsid w:val="3F340649"/>
    <w:rsid w:val="3F412B97"/>
    <w:rsid w:val="3F5D36FC"/>
    <w:rsid w:val="3F6C1B91"/>
    <w:rsid w:val="3FCF300B"/>
    <w:rsid w:val="42BF6D6E"/>
    <w:rsid w:val="438000FD"/>
    <w:rsid w:val="448E07FB"/>
    <w:rsid w:val="44B738AE"/>
    <w:rsid w:val="45DC35E5"/>
    <w:rsid w:val="464C6278"/>
    <w:rsid w:val="46584C1D"/>
    <w:rsid w:val="46884159"/>
    <w:rsid w:val="47EE2E31"/>
    <w:rsid w:val="48435D16"/>
    <w:rsid w:val="48D227AF"/>
    <w:rsid w:val="492B143C"/>
    <w:rsid w:val="496F7BE3"/>
    <w:rsid w:val="49764700"/>
    <w:rsid w:val="4BE551A5"/>
    <w:rsid w:val="4EA44B8F"/>
    <w:rsid w:val="4FD73056"/>
    <w:rsid w:val="510C53FD"/>
    <w:rsid w:val="51C632B8"/>
    <w:rsid w:val="52ED2A5B"/>
    <w:rsid w:val="5345477B"/>
    <w:rsid w:val="545A5AA5"/>
    <w:rsid w:val="54B22746"/>
    <w:rsid w:val="54CA318A"/>
    <w:rsid w:val="5560589C"/>
    <w:rsid w:val="569A430A"/>
    <w:rsid w:val="577B69BD"/>
    <w:rsid w:val="57D7013B"/>
    <w:rsid w:val="5A1924BD"/>
    <w:rsid w:val="5B474DEC"/>
    <w:rsid w:val="5D796DF0"/>
    <w:rsid w:val="5DCA5FA9"/>
    <w:rsid w:val="5FD121AD"/>
    <w:rsid w:val="60AF5D95"/>
    <w:rsid w:val="60BF7C42"/>
    <w:rsid w:val="60D31B52"/>
    <w:rsid w:val="62C575DA"/>
    <w:rsid w:val="62C618DB"/>
    <w:rsid w:val="63AD43A2"/>
    <w:rsid w:val="64C74BD9"/>
    <w:rsid w:val="65670581"/>
    <w:rsid w:val="65FF6A0B"/>
    <w:rsid w:val="666C3A5C"/>
    <w:rsid w:val="66BC2B4E"/>
    <w:rsid w:val="6751773B"/>
    <w:rsid w:val="675516DE"/>
    <w:rsid w:val="679A69EC"/>
    <w:rsid w:val="68212C69"/>
    <w:rsid w:val="682D31FC"/>
    <w:rsid w:val="6A32554B"/>
    <w:rsid w:val="6A5F5E85"/>
    <w:rsid w:val="6A92742D"/>
    <w:rsid w:val="6AD246EE"/>
    <w:rsid w:val="6C5A2BED"/>
    <w:rsid w:val="6CE16E6B"/>
    <w:rsid w:val="6CE70886"/>
    <w:rsid w:val="6D5910F7"/>
    <w:rsid w:val="6D65184A"/>
    <w:rsid w:val="6D8D2958"/>
    <w:rsid w:val="6E8F005B"/>
    <w:rsid w:val="6E930639"/>
    <w:rsid w:val="705424DF"/>
    <w:rsid w:val="705F6A24"/>
    <w:rsid w:val="73ED39F1"/>
    <w:rsid w:val="73EE2A35"/>
    <w:rsid w:val="74283ECD"/>
    <w:rsid w:val="74472AA7"/>
    <w:rsid w:val="74DD43BC"/>
    <w:rsid w:val="75B30869"/>
    <w:rsid w:val="762F0C47"/>
    <w:rsid w:val="764F20A9"/>
    <w:rsid w:val="77323981"/>
    <w:rsid w:val="77A1189C"/>
    <w:rsid w:val="77A82937"/>
    <w:rsid w:val="793A1D26"/>
    <w:rsid w:val="7A2F7467"/>
    <w:rsid w:val="7C4A4A2C"/>
    <w:rsid w:val="7CD10CAA"/>
    <w:rsid w:val="7CDC13FD"/>
    <w:rsid w:val="7E0429B9"/>
    <w:rsid w:val="7E123328"/>
    <w:rsid w:val="7E197C2D"/>
    <w:rsid w:val="7EF62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qFormat/>
    <w:uiPriority w:val="0"/>
    <w:pPr>
      <w:ind w:left="100" w:right="113"/>
      <w:outlineLvl w:val="1"/>
    </w:pPr>
    <w:rPr>
      <w:rFonts w:ascii="Microsoft JhengHei" w:hAnsi="Microsoft JhengHei" w:eastAsia="Microsoft JhengHei" w:cs="Microsoft JhengHei"/>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after="120"/>
      <w:ind w:left="420" w:leftChars="200"/>
      <w:jc w:val="both"/>
    </w:pPr>
    <w:rPr>
      <w:rFonts w:asciiTheme="minorHAnsi" w:hAnsiTheme="minorHAnsi" w:cstheme="minorBidi"/>
      <w:kern w:val="2"/>
      <w:sz w:val="21"/>
      <w:szCs w:val="24"/>
      <w:lang w:eastAsia="zh-CN"/>
    </w:rPr>
  </w:style>
  <w:style w:type="paragraph" w:styleId="6">
    <w:name w:val="annotation text"/>
    <w:basedOn w:val="1"/>
    <w:qFormat/>
    <w:uiPriority w:val="0"/>
    <w:pPr>
      <w:jc w:val="left"/>
    </w:pPr>
  </w:style>
  <w:style w:type="paragraph" w:styleId="7">
    <w:name w:val="Body Text"/>
    <w:basedOn w:val="1"/>
    <w:qFormat/>
    <w:uiPriority w:val="0"/>
    <w:rPr>
      <w:sz w:val="21"/>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line="272" w:lineRule="exact"/>
      <w:ind w:left="100"/>
    </w:pPr>
    <w:rPr>
      <w:sz w:val="21"/>
      <w:szCs w:val="21"/>
    </w:rPr>
  </w:style>
  <w:style w:type="paragraph" w:styleId="11">
    <w:name w:val="Body Text Indent 3"/>
    <w:basedOn w:val="1"/>
    <w:qFormat/>
    <w:uiPriority w:val="0"/>
    <w:pPr>
      <w:snapToGrid w:val="0"/>
      <w:spacing w:line="300" w:lineRule="auto"/>
      <w:ind w:firstLine="630"/>
    </w:pPr>
    <w:rPr>
      <w:sz w:val="24"/>
    </w:rPr>
  </w:style>
  <w:style w:type="paragraph" w:styleId="12">
    <w:name w:val="toc 2"/>
    <w:basedOn w:val="1"/>
    <w:next w:val="1"/>
    <w:qFormat/>
    <w:uiPriority w:val="39"/>
    <w:pPr>
      <w:spacing w:line="272" w:lineRule="exact"/>
      <w:ind w:left="520"/>
    </w:pPr>
    <w:rPr>
      <w:sz w:val="21"/>
      <w:szCs w:val="21"/>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563C1" w:themeColor="hyperlink"/>
      <w:u w:val="single"/>
      <w14:textFill>
        <w14:solidFill>
          <w14:schemeClr w14:val="hlink"/>
        </w14:solidFill>
      </w14:textFill>
    </w:rPr>
  </w:style>
  <w:style w:type="paragraph" w:customStyle="1" w:styleId="18">
    <w:name w:val="5号正文"/>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paragraph" w:customStyle="1" w:styleId="19">
    <w:name w:val="标题 #2"/>
    <w:basedOn w:val="1"/>
    <w:qFormat/>
    <w:uiPriority w:val="0"/>
    <w:pPr>
      <w:shd w:val="clear" w:color="auto" w:fill="FFFFFF"/>
      <w:spacing w:before="780" w:after="420" w:line="0" w:lineRule="atLeast"/>
      <w:outlineLvl w:val="1"/>
    </w:pPr>
    <w:rPr>
      <w:rFonts w:eastAsiaTheme="minorEastAsia"/>
      <w:kern w:val="2"/>
      <w:sz w:val="32"/>
      <w:szCs w:val="32"/>
      <w:lang w:eastAsia="zh-CN"/>
    </w:rPr>
  </w:style>
  <w:style w:type="character" w:customStyle="1" w:styleId="2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21">
    <w:name w:val="正文文本 (2) Exact"/>
    <w:qFormat/>
    <w:uiPriority w:val="0"/>
    <w:rPr>
      <w:rFonts w:ascii="宋体" w:hAnsi="宋体" w:eastAsia="宋体" w:cs="宋体"/>
      <w:sz w:val="21"/>
      <w:szCs w:val="21"/>
      <w:u w:val="none"/>
    </w:rPr>
  </w:style>
  <w:style w:type="character" w:customStyle="1" w:styleId="2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paragraph" w:customStyle="1" w:styleId="23">
    <w:name w:val="List Paragraph"/>
    <w:basedOn w:val="1"/>
    <w:qFormat/>
    <w:uiPriority w:val="1"/>
  </w:style>
  <w:style w:type="paragraph" w:customStyle="1" w:styleId="24">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25">
    <w:name w:val="无间隔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9508</Words>
  <Characters>9932</Characters>
  <Lines>0</Lines>
  <Paragraphs>0</Paragraphs>
  <TotalTime>2</TotalTime>
  <ScaleCrop>false</ScaleCrop>
  <LinksUpToDate>false</LinksUpToDate>
  <CharactersWithSpaces>10738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2023-01-05T00:59:00Z</dcterms:created>
  <dc:creator>DELL</dc:creator>
  <cp:lastModifiedBy>DELL</cp:lastModifiedBy>
  <dcterms:modified xsi:type="dcterms:W3CDTF">2023-11-07T04:17:34Z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FC27DEA07A7A4480B435FDDA836E7DA8_13</vt:lpwstr>
  </property>
</Properties>
</file>