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default" w:ascii="宋体" w:hAnsi="宋体" w:cs="宋体"/>
          <w:b/>
          <w:sz w:val="32"/>
          <w:szCs w:val="32"/>
          <w:highlight w:val="none"/>
          <w:lang w:val="en-US"/>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铜永公司及中渝公司存储设备采购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eastAsia="宋体" w:cs="宋体"/>
          <w:b/>
          <w:sz w:val="48"/>
          <w:szCs w:val="48"/>
          <w:highlight w:val="none"/>
          <w:lang w:val="en-US" w:eastAsia="zh-CN"/>
        </w:rPr>
      </w:pPr>
      <w:r>
        <w:rPr>
          <w:rFonts w:hint="eastAsia" w:ascii="宋体" w:hAnsi="宋体" w:cs="宋体"/>
          <w:b/>
          <w:sz w:val="48"/>
          <w:szCs w:val="48"/>
          <w:highlight w:val="none"/>
          <w:lang w:val="en-US" w:eastAsia="zh-CN"/>
        </w:rPr>
        <w:t xml:space="preserve"> </w:t>
      </w: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12 </w:t>
      </w:r>
      <w:r>
        <w:rPr>
          <w:rFonts w:hint="eastAsia" w:ascii="宋体" w:hAnsi="宋体" w:cs="宋体"/>
          <w:b/>
          <w:sz w:val="28"/>
          <w:szCs w:val="28"/>
          <w:highlight w:val="none"/>
        </w:rPr>
        <w:t>月</w:t>
      </w:r>
    </w:p>
    <w:p>
      <w:pPr>
        <w:pStyle w:val="27"/>
        <w:jc w:val="center"/>
        <w:rPr>
          <w:rFonts w:ascii="宋体" w:hAnsi="宋体" w:cs="宋体"/>
          <w:szCs w:val="21"/>
          <w:highlight w:val="none"/>
        </w:rPr>
      </w:pPr>
      <w:r>
        <w:rPr>
          <w:highlight w:val="none"/>
        </w:rPr>
        <w:br w:type="page"/>
      </w:r>
      <w:bookmarkStart w:id="0" w:name="_Toc247085669"/>
      <w:bookmarkStart w:id="1" w:name="_Toc507319889"/>
      <w:bookmarkStart w:id="2" w:name="_Toc507428442"/>
      <w:bookmarkStart w:id="3" w:name="_Toc296602400"/>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7"/>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15</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17</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19</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2000404"/>
      <w:bookmarkStart w:id="6" w:name="_Toc152045511"/>
      <w:bookmarkStart w:id="7" w:name="_Toc507319890"/>
      <w:bookmarkStart w:id="8" w:name="_Toc247085671"/>
      <w:bookmarkStart w:id="9" w:name="_Toc246996900"/>
      <w:bookmarkStart w:id="10" w:name="_Toc246996157"/>
      <w:bookmarkStart w:id="11" w:name="_Toc179632527"/>
      <w:bookmarkStart w:id="12" w:name="_Toc247096243"/>
      <w:bookmarkStart w:id="13" w:name="_Toc152042287"/>
      <w:bookmarkStart w:id="14" w:name="_Toc144974479"/>
      <w:bookmarkStart w:id="15" w:name="_Toc2331"/>
      <w:bookmarkStart w:id="16"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3"/>
      <w:bookmarkStart w:id="18" w:name="OLE_LINK2"/>
      <w:r>
        <w:rPr>
          <w:rFonts w:hint="eastAsia" w:ascii="宋体" w:hAnsi="宋体" w:cs="宋体"/>
          <w:b/>
          <w:sz w:val="28"/>
          <w:szCs w:val="28"/>
          <w:highlight w:val="none"/>
          <w:lang w:val="en-US" w:eastAsia="zh-CN"/>
        </w:rPr>
        <w:t>铜永公司及中渝公司存储设备采购</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52045512"/>
      <w:bookmarkStart w:id="20" w:name="_Toc19148"/>
      <w:bookmarkStart w:id="21" w:name="_Toc6549"/>
      <w:bookmarkStart w:id="22" w:name="_Toc507319891"/>
      <w:bookmarkStart w:id="23" w:name="_Toc152042288"/>
      <w:bookmarkStart w:id="24" w:name="_Toc24874"/>
      <w:bookmarkStart w:id="25" w:name="_Toc10076"/>
      <w:bookmarkStart w:id="26" w:name="_Toc144974480"/>
      <w:bookmarkStart w:id="27" w:name="_Toc246996901"/>
      <w:bookmarkStart w:id="28" w:name="_Toc247085672"/>
      <w:bookmarkStart w:id="29" w:name="_Toc11329213"/>
      <w:bookmarkStart w:id="30" w:name="_Toc179632528"/>
      <w:bookmarkStart w:id="31" w:name="_Toc246996158"/>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铜永公司及中渝公司存储设备采购</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1329214"/>
      <w:bookmarkStart w:id="33" w:name="_Toc10321"/>
      <w:bookmarkStart w:id="34" w:name="_Toc18109"/>
      <w:bookmarkStart w:id="35" w:name="_Toc152045513"/>
      <w:bookmarkStart w:id="36" w:name="_Toc10952"/>
      <w:bookmarkStart w:id="37" w:name="_Toc507319892"/>
      <w:bookmarkStart w:id="38" w:name="_Toc247085673"/>
      <w:bookmarkStart w:id="39" w:name="_Toc21343"/>
      <w:bookmarkStart w:id="40" w:name="_Toc246996902"/>
      <w:bookmarkStart w:id="41" w:name="_Toc144974481"/>
      <w:bookmarkStart w:id="42" w:name="_Toc152042289"/>
      <w:bookmarkStart w:id="43" w:name="_Toc179632529"/>
      <w:bookmarkStart w:id="44" w:name="_Toc246996159"/>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rPr>
        <w:t>铜永公司2023年路段加装监控项目</w:t>
      </w:r>
      <w:r>
        <w:rPr>
          <w:rFonts w:hint="eastAsia" w:ascii="宋体" w:hAnsi="宋体" w:cs="宋体"/>
          <w:highlight w:val="none"/>
          <w:lang w:eastAsia="zh-CN"/>
        </w:rPr>
        <w:t>、2023年中渝公司自助车道建设项目</w:t>
      </w:r>
      <w:r>
        <w:rPr>
          <w:rFonts w:hint="eastAsia" w:ascii="宋体" w:hAnsi="宋体" w:cs="宋体"/>
          <w:highlight w:val="none"/>
        </w:rPr>
        <w:t>。</w:t>
      </w:r>
    </w:p>
    <w:p>
      <w:pPr>
        <w:pStyle w:val="11"/>
        <w:adjustRightInd w:val="0"/>
        <w:spacing w:line="400" w:lineRule="exact"/>
        <w:rPr>
          <w:rFonts w:hint="eastAsia" w:ascii="宋体" w:hAnsi="宋体" w:cs="宋体"/>
          <w:szCs w:val="21"/>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val="en-US" w:eastAsia="zh-CN"/>
        </w:rPr>
        <w:t>比选范围</w:t>
      </w:r>
      <w:r>
        <w:rPr>
          <w:rFonts w:hint="eastAsia" w:ascii="宋体" w:hAnsi="宋体" w:cs="宋体"/>
          <w:szCs w:val="21"/>
          <w:highlight w:val="none"/>
        </w:rPr>
        <w:t>：</w:t>
      </w:r>
      <w:r>
        <w:rPr>
          <w:rFonts w:hint="eastAsia" w:ascii="宋体" w:hAnsi="宋体" w:cs="宋体"/>
          <w:highlight w:val="none"/>
        </w:rPr>
        <w:t>铜永公司2023年路段加装监控项目</w:t>
      </w:r>
      <w:r>
        <w:rPr>
          <w:rFonts w:hint="eastAsia" w:ascii="宋体" w:hAnsi="宋体" w:cs="宋体"/>
          <w:highlight w:val="none"/>
          <w:lang w:eastAsia="zh-CN"/>
        </w:rPr>
        <w:t>、2023年中渝公司自助车道建设项目</w:t>
      </w:r>
      <w:r>
        <w:rPr>
          <w:rFonts w:hint="eastAsia" w:eastAsia="宋体" w:cs="Times New Roman"/>
          <w:highlight w:val="none"/>
          <w:lang w:val="en-US" w:eastAsia="zh-CN"/>
        </w:rPr>
        <w:t>项目</w:t>
      </w:r>
      <w:r>
        <w:rPr>
          <w:rFonts w:hint="eastAsia" w:ascii="宋体" w:hAnsi="宋体" w:cs="宋体"/>
          <w:szCs w:val="21"/>
          <w:lang w:val="en-US" w:eastAsia="zh-CN"/>
        </w:rPr>
        <w:t>存储</w:t>
      </w:r>
      <w:r>
        <w:rPr>
          <w:rFonts w:hint="eastAsia" w:ascii="Calibri" w:hAnsi="Calibri" w:eastAsia="宋体" w:cs="Times New Roman"/>
          <w:b w:val="0"/>
          <w:bCs w:val="0"/>
          <w:caps w:val="0"/>
          <w:kern w:val="2"/>
          <w:sz w:val="21"/>
          <w:szCs w:val="24"/>
          <w:lang w:val="en-US" w:eastAsia="zh-CN" w:bidi="ar-SA"/>
        </w:rPr>
        <w:t>设备</w:t>
      </w:r>
      <w:r>
        <w:rPr>
          <w:rFonts w:hint="eastAsia" w:ascii="Calibri" w:hAnsi="Calibri" w:cs="Times New Roman"/>
          <w:b w:val="0"/>
          <w:bCs w:val="0"/>
          <w:caps w:val="0"/>
          <w:kern w:val="2"/>
          <w:sz w:val="21"/>
          <w:szCs w:val="24"/>
          <w:lang w:val="en-US" w:eastAsia="zh-CN" w:bidi="ar-SA"/>
        </w:rPr>
        <w:t>供应及指导安装调试</w:t>
      </w:r>
      <w:r>
        <w:rPr>
          <w:rFonts w:hint="eastAsia" w:ascii="宋体" w:hAnsi="宋体" w:cs="宋体"/>
          <w:szCs w:val="21"/>
          <w:highlight w:val="none"/>
        </w:rPr>
        <w:t>，具体参数详见</w:t>
      </w:r>
      <w:r>
        <w:rPr>
          <w:rFonts w:hint="eastAsia" w:ascii="宋体" w:hAnsi="宋体" w:cs="宋体"/>
          <w:szCs w:val="21"/>
          <w:highlight w:val="none"/>
          <w:lang w:eastAsia="zh-CN"/>
        </w:rPr>
        <w:t>“第七章  技术标准和工作要求”。</w:t>
      </w:r>
    </w:p>
    <w:p>
      <w:pPr>
        <w:pStyle w:val="11"/>
        <w:adjustRightInd w:val="0"/>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2.3 </w:t>
      </w:r>
      <w:r>
        <w:rPr>
          <w:rFonts w:hint="eastAsia" w:ascii="宋体" w:hAnsi="宋体" w:cs="宋体"/>
          <w:szCs w:val="21"/>
          <w:highlight w:val="none"/>
          <w:lang w:val="en-US" w:eastAsia="zh-CN"/>
        </w:rPr>
        <w:t>本次采购估算金额：41.98万元。</w:t>
      </w:r>
    </w:p>
    <w:p>
      <w:pPr>
        <w:pStyle w:val="11"/>
        <w:adjustRightInd w:val="0"/>
        <w:spacing w:line="400" w:lineRule="exac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w:t>
      </w:r>
      <w:r>
        <w:rPr>
          <w:rFonts w:hint="eastAsia" w:ascii="宋体" w:hAnsi="宋体" w:cs="宋体"/>
          <w:highlight w:val="none"/>
          <w:lang w:val="en-US" w:eastAsia="zh-CN"/>
        </w:rPr>
        <w:t>工期要求</w:t>
      </w:r>
      <w:r>
        <w:rPr>
          <w:rFonts w:hint="eastAsia" w:ascii="宋体" w:hAnsi="宋体" w:cs="宋体"/>
          <w:highlight w:val="none"/>
        </w:rPr>
        <w:t>：收到甲方订单后15天内供货，具体以甲方通知为准。</w:t>
      </w:r>
      <w:bookmarkStart w:id="291" w:name="_GoBack"/>
      <w:bookmarkEnd w:id="291"/>
    </w:p>
    <w:p>
      <w:pPr>
        <w:pStyle w:val="11"/>
        <w:adjustRightInd w:val="0"/>
        <w:spacing w:line="400" w:lineRule="exact"/>
        <w:rPr>
          <w:rFonts w:hint="eastAsia" w:ascii="宋体" w:hAnsi="宋体" w:cs="宋体"/>
          <w:b/>
          <w:bCs/>
        </w:rPr>
      </w:pPr>
      <w:r>
        <w:rPr>
          <w:rFonts w:hint="eastAsia" w:ascii="宋体" w:hAnsi="宋体" w:cs="宋体"/>
          <w:b/>
          <w:bCs/>
          <w:lang w:val="en-US" w:eastAsia="zh-CN"/>
        </w:rPr>
        <w:t>2.4</w:t>
      </w:r>
      <w:r>
        <w:rPr>
          <w:rFonts w:hint="eastAsia" w:ascii="宋体" w:hAnsi="宋体" w:cs="宋体"/>
          <w:b/>
          <w:bCs/>
        </w:rPr>
        <w:t>特别声明：</w:t>
      </w:r>
    </w:p>
    <w:p>
      <w:pPr>
        <w:pStyle w:val="11"/>
        <w:adjustRightInd w:val="0"/>
        <w:spacing w:line="400" w:lineRule="exact"/>
        <w:rPr>
          <w:rFonts w:hint="eastAsia" w:ascii="宋体" w:hAnsi="宋体" w:cs="宋体"/>
          <w:b/>
          <w:bCs/>
        </w:rPr>
      </w:pPr>
      <w:r>
        <w:rPr>
          <w:rFonts w:hint="eastAsia" w:ascii="宋体" w:hAnsi="宋体" w:cs="宋体"/>
          <w:b/>
          <w:bCs/>
        </w:rPr>
        <w:t>（</w:t>
      </w:r>
      <w:r>
        <w:rPr>
          <w:rFonts w:hint="eastAsia" w:ascii="宋体" w:hAnsi="宋体" w:cs="宋体"/>
          <w:b/>
          <w:bCs/>
          <w:lang w:val="en-US" w:eastAsia="zh-CN"/>
        </w:rPr>
        <w:t>1</w:t>
      </w:r>
      <w:r>
        <w:rPr>
          <w:rFonts w:hint="eastAsia" w:ascii="宋体" w:hAnsi="宋体" w:cs="宋体"/>
          <w:b/>
          <w:bCs/>
        </w:rPr>
        <w:t>）所投设备</w:t>
      </w:r>
      <w:r>
        <w:rPr>
          <w:rFonts w:hint="eastAsia" w:ascii="宋体" w:hAnsi="宋体" w:cs="宋体"/>
          <w:b/>
          <w:bCs/>
          <w:lang w:val="en-US" w:eastAsia="zh-CN"/>
        </w:rPr>
        <w:t>若有需要</w:t>
      </w:r>
      <w:r>
        <w:rPr>
          <w:rFonts w:hint="eastAsia" w:ascii="宋体" w:hAnsi="宋体" w:cs="宋体"/>
          <w:b/>
          <w:bCs/>
        </w:rPr>
        <w:t>接入路网现有系统</w:t>
      </w:r>
      <w:r>
        <w:rPr>
          <w:rFonts w:hint="eastAsia" w:ascii="宋体" w:hAnsi="宋体" w:cs="宋体"/>
          <w:b/>
          <w:bCs/>
          <w:lang w:val="en-US" w:eastAsia="zh-CN"/>
        </w:rPr>
        <w:t>的，</w:t>
      </w:r>
      <w:r>
        <w:rPr>
          <w:rFonts w:hint="eastAsia" w:ascii="宋体" w:hAnsi="宋体" w:cs="宋体"/>
          <w:b/>
          <w:bCs/>
        </w:rPr>
        <w:t>需保证在合同工期内接入路网现有的系统；</w:t>
      </w:r>
    </w:p>
    <w:p>
      <w:pPr>
        <w:pStyle w:val="11"/>
        <w:adjustRightInd w:val="0"/>
        <w:spacing w:line="400" w:lineRule="exact"/>
        <w:rPr>
          <w:rFonts w:hint="eastAsia" w:ascii="宋体" w:hAnsi="宋体" w:cs="宋体"/>
          <w:b/>
          <w:bCs/>
        </w:rPr>
      </w:pPr>
      <w:r>
        <w:rPr>
          <w:rFonts w:hint="eastAsia" w:ascii="宋体" w:hAnsi="宋体" w:cs="宋体"/>
          <w:b/>
          <w:bCs/>
        </w:rPr>
        <w:t>（</w:t>
      </w:r>
      <w:r>
        <w:rPr>
          <w:rFonts w:hint="eastAsia" w:ascii="宋体" w:hAnsi="宋体" w:cs="宋体"/>
          <w:b/>
          <w:bCs/>
          <w:lang w:val="en-US" w:eastAsia="zh-CN"/>
        </w:rPr>
        <w:t>2</w:t>
      </w:r>
      <w:r>
        <w:rPr>
          <w:rFonts w:hint="eastAsia" w:ascii="宋体" w:hAnsi="宋体" w:cs="宋体"/>
          <w:b/>
          <w:bCs/>
        </w:rPr>
        <w:t>）所投设备品牌需通过业主联合设计审查后方可实施，若未通过，需更换为业主联合设计认可品牌；</w:t>
      </w:r>
    </w:p>
    <w:p>
      <w:pPr>
        <w:pStyle w:val="11"/>
        <w:adjustRightInd w:val="0"/>
        <w:spacing w:line="400" w:lineRule="exact"/>
        <w:rPr>
          <w:rFonts w:hint="eastAsia" w:ascii="宋体" w:hAnsi="宋体" w:cs="宋体"/>
          <w:highlight w:val="none"/>
        </w:rPr>
      </w:pPr>
      <w:r>
        <w:rPr>
          <w:rFonts w:hint="eastAsia" w:ascii="宋体" w:hAnsi="宋体" w:cs="宋体"/>
          <w:b/>
          <w:bCs/>
        </w:rPr>
        <w:t>（</w:t>
      </w:r>
      <w:r>
        <w:rPr>
          <w:rFonts w:hint="eastAsia" w:ascii="宋体" w:hAnsi="宋体" w:cs="宋体"/>
          <w:b/>
          <w:bCs/>
          <w:lang w:val="en-US" w:eastAsia="zh-CN"/>
        </w:rPr>
        <w:t>3</w:t>
      </w:r>
      <w:r>
        <w:rPr>
          <w:rFonts w:hint="eastAsia" w:ascii="宋体" w:hAnsi="宋体" w:cs="宋体"/>
          <w:b/>
          <w:bCs/>
        </w:rPr>
        <w:t>）如果所投设备不是路网运行可靠品牌型号的，需要在5个工作日内通过测试，否则需无条件换成路网运行可靠的设备品牌型号；</w:t>
      </w:r>
    </w:p>
    <w:p>
      <w:pPr>
        <w:pStyle w:val="4"/>
        <w:spacing w:before="120" w:after="0" w:line="360" w:lineRule="auto"/>
        <w:rPr>
          <w:rFonts w:ascii="宋体" w:hAnsi="宋体" w:eastAsia="宋体" w:cs="宋体"/>
          <w:highlight w:val="none"/>
        </w:rPr>
      </w:pPr>
      <w:bookmarkStart w:id="46" w:name="_Toc11329215"/>
      <w:bookmarkStart w:id="47" w:name="_Toc247085674"/>
      <w:bookmarkStart w:id="48" w:name="_Toc30356"/>
      <w:bookmarkStart w:id="49" w:name="_Toc152042290"/>
      <w:bookmarkStart w:id="50" w:name="_Toc507319893"/>
      <w:bookmarkStart w:id="51" w:name="_Toc144974482"/>
      <w:bookmarkStart w:id="52" w:name="_Toc246996160"/>
      <w:bookmarkStart w:id="53" w:name="_Toc152045514"/>
      <w:bookmarkStart w:id="54" w:name="_Toc8744"/>
      <w:bookmarkStart w:id="55" w:name="_Toc10171"/>
      <w:bookmarkStart w:id="56" w:name="_Toc246996903"/>
      <w:bookmarkStart w:id="57" w:name="_Toc7065"/>
      <w:bookmarkStart w:id="58" w:name="_Toc179632530"/>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pStyle w:val="11"/>
        <w:adjustRightInd w:val="0"/>
        <w:spacing w:line="400" w:lineRule="exact"/>
        <w:rPr>
          <w:rFonts w:hint="eastAsia" w:ascii="宋体" w:hAnsi="宋体" w:cs="宋体"/>
          <w:lang w:val="en-US" w:eastAsia="zh-CN"/>
        </w:rPr>
      </w:pPr>
      <w:bookmarkStart w:id="59" w:name="_Toc152042291"/>
      <w:bookmarkStart w:id="60" w:name="_Toc246996161"/>
      <w:bookmarkStart w:id="61" w:name="_Toc247085675"/>
      <w:bookmarkStart w:id="62" w:name="_Toc179632531"/>
      <w:bookmarkStart w:id="63" w:name="_Toc152045515"/>
      <w:bookmarkStart w:id="64" w:name="_Toc144974483"/>
      <w:bookmarkStart w:id="65" w:name="_Toc246996904"/>
      <w:r>
        <w:rPr>
          <w:rFonts w:hint="eastAsia" w:ascii="宋体" w:hAnsi="宋体" w:cs="宋体"/>
          <w:lang w:val="en-US" w:eastAsia="zh-CN"/>
        </w:rPr>
        <w:t>3.1 资质要求（以下资质文件若因疫情影响过期无法办理延续手续，需附相关行政部门下发的延期办理文件）：</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（1）具有独立法人资格；</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（2）具有有效的营业执照；</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（3）报价人需为设备制造商或授权代理商，设备代理商需具有设备厂家授权代理证书或项目授权证书（同一品牌的厂家和代理商不能同时参加）；</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（4）设备制造商具有有效的ISO9001质量管理体系认证，具有有效的ISO14001环境管理体系认证；</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（5）产品要求：投标产品须提供国家认可的第三方检测机构出具的有效检测报告。</w:t>
      </w:r>
    </w:p>
    <w:p>
      <w:pPr>
        <w:pStyle w:val="11"/>
        <w:adjustRightInd w:val="0"/>
        <w:spacing w:line="400" w:lineRule="exact"/>
        <w:ind w:left="0" w:leftChars="0" w:firstLine="420" w:firstLineChars="200"/>
        <w:rPr>
          <w:rFonts w:hint="eastAsia"/>
          <w:lang w:val="en-US" w:eastAsia="zh-CN"/>
        </w:rPr>
      </w:pPr>
      <w:r>
        <w:rPr>
          <w:rFonts w:hint="eastAsia" w:ascii="宋体" w:hAnsi="宋体" w:cs="宋体"/>
          <w:lang w:val="en-US" w:eastAsia="zh-CN"/>
        </w:rPr>
        <w:t>3.2业绩要求：报价人所投品牌设备在2020年1月1日至报价截止日期至少承担一项合同金额不低于15万元的高速公路应用业绩（提供合同扫描件及对应业绩的增值税发票复印件，以合同签订时间为准）。</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信誉要求：在国家企业信用信息公示系统（http://www.gsxt.gov.cn/）中未被列入严重违法失信企业名单（黑名单）信息；在“信用中国”网站（http://www.creditchina.gov.cn/）中未被列入失信惩戒执行人名单。</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报价人须提供采购人要求的所有资质要求、业绩要求、信誉要求的复印件并加盖单位鲜公章。</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 xml:space="preserve"> 本次比选不接受联合体报价。</w:t>
      </w:r>
    </w:p>
    <w:p>
      <w:pPr>
        <w:pStyle w:val="11"/>
        <w:adjustRightInd w:val="0"/>
        <w:spacing w:line="400" w:lineRule="exact"/>
        <w:rPr>
          <w:rFonts w:ascii="宋体" w:hAnsi="宋体" w:cs="宋体"/>
          <w:szCs w:val="21"/>
          <w:highlight w:val="none"/>
          <w:shd w:val="clear" w:color="auto" w:fill="FFFFFF"/>
        </w:rPr>
      </w:pPr>
      <w:r>
        <w:rPr>
          <w:rFonts w:hint="eastAsia" w:ascii="宋体" w:hAnsi="宋体" w:cs="宋体"/>
        </w:rPr>
        <w:t>3.</w:t>
      </w:r>
      <w:r>
        <w:rPr>
          <w:rFonts w:hint="eastAsia" w:ascii="宋体" w:hAnsi="宋体" w:cs="宋体"/>
          <w:lang w:val="en-US" w:eastAsia="zh-CN"/>
        </w:rPr>
        <w:t>6</w:t>
      </w:r>
      <w:r>
        <w:rPr>
          <w:rFonts w:hint="eastAsia" w:ascii="宋体" w:hAnsi="宋体" w:cs="宋体"/>
        </w:rPr>
        <w:t xml:space="preserve"> 单位负责人为同一人或者存在控股、管理关系的不同单位，不得同时参加本项目报价，否则均按无效报价处理</w:t>
      </w:r>
      <w:r>
        <w:rPr>
          <w:rFonts w:hint="eastAsia" w:ascii="宋体" w:hAnsi="宋体" w:cs="宋体"/>
          <w:szCs w:val="21"/>
          <w:highlight w:val="none"/>
          <w:shd w:val="clear" w:color="auto" w:fill="FFFFFF"/>
        </w:rPr>
        <w:t>。</w:t>
      </w:r>
    </w:p>
    <w:bookmarkEnd w:id="59"/>
    <w:bookmarkEnd w:id="60"/>
    <w:bookmarkEnd w:id="61"/>
    <w:bookmarkEnd w:id="62"/>
    <w:bookmarkEnd w:id="63"/>
    <w:bookmarkEnd w:id="64"/>
    <w:bookmarkEnd w:id="65"/>
    <w:p>
      <w:pPr>
        <w:pStyle w:val="4"/>
        <w:spacing w:before="120" w:after="0" w:line="400" w:lineRule="exact"/>
        <w:rPr>
          <w:rFonts w:ascii="宋体" w:hAnsi="宋体" w:eastAsia="宋体" w:cs="宋体"/>
          <w:highlight w:val="none"/>
        </w:rPr>
      </w:pPr>
      <w:bookmarkStart w:id="66" w:name="_Toc11329216"/>
      <w:bookmarkStart w:id="67" w:name="_Toc12460"/>
      <w:bookmarkStart w:id="68" w:name="_Toc20193"/>
      <w:bookmarkStart w:id="69" w:name="_Toc14361"/>
      <w:bookmarkStart w:id="70" w:name="_Toc25619"/>
      <w:bookmarkStart w:id="71" w:name="_Toc507319894"/>
      <w:bookmarkStart w:id="72" w:name="_Toc507319897"/>
      <w:bookmarkStart w:id="73" w:name="_Toc152042293"/>
      <w:bookmarkStart w:id="74" w:name="_Toc18402"/>
      <w:bookmarkStart w:id="75" w:name="_Toc246996907"/>
      <w:bookmarkStart w:id="76" w:name="_Toc246996164"/>
      <w:bookmarkStart w:id="77" w:name="_Toc144974485"/>
      <w:bookmarkStart w:id="78" w:name="_Toc179632534"/>
      <w:bookmarkStart w:id="79" w:name="_Toc21615"/>
      <w:bookmarkStart w:id="80" w:name="_Toc247085678"/>
      <w:bookmarkStart w:id="81" w:name="_Toc18284"/>
      <w:bookmarkStart w:id="82" w:name="_Toc11329219"/>
      <w:bookmarkStart w:id="83" w:name="_Toc152045517"/>
      <w:bookmarkStart w:id="84" w:name="_Toc393"/>
      <w:r>
        <w:rPr>
          <w:rFonts w:hint="eastAsia" w:ascii="宋体" w:hAnsi="宋体" w:eastAsia="宋体" w:cs="宋体"/>
          <w:highlight w:val="none"/>
        </w:rPr>
        <w:t>4. 比选文件的获取</w:t>
      </w:r>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85" w:name="_Toc152042292"/>
      <w:bookmarkStart w:id="86" w:name="_Toc507319895"/>
      <w:bookmarkStart w:id="87" w:name="_Toc11329217"/>
      <w:bookmarkStart w:id="88" w:name="_Toc152045516"/>
      <w:bookmarkStart w:id="89" w:name="_Toc246996905"/>
      <w:bookmarkStart w:id="90" w:name="_Toc246996162"/>
      <w:bookmarkStart w:id="91" w:name="_Toc247085676"/>
      <w:bookmarkStart w:id="92" w:name="_Toc179632532"/>
      <w:bookmarkStart w:id="93" w:name="_Toc144974484"/>
      <w:r>
        <w:rPr>
          <w:rFonts w:hint="eastAsia" w:ascii="宋体" w:hAnsi="宋体"/>
          <w:szCs w:val="21"/>
          <w:highlight w:val="none"/>
        </w:rPr>
        <w:t>凡愿意参加的潜在报价人，在</w:t>
      </w:r>
      <w:r>
        <w:rPr>
          <w:rFonts w:hint="eastAsia" w:ascii="宋体" w:hAnsi="宋体"/>
          <w:szCs w:val="21"/>
          <w:highlight w:val="none"/>
          <w:u w:val="single"/>
        </w:rPr>
        <w:t>2023年</w:t>
      </w:r>
      <w:r>
        <w:rPr>
          <w:rFonts w:hint="eastAsia" w:ascii="宋体" w:hAnsi="宋体"/>
          <w:szCs w:val="21"/>
          <w:highlight w:val="none"/>
          <w:u w:val="single"/>
          <w:lang w:val="en-US" w:eastAsia="zh-CN"/>
        </w:rPr>
        <w:t>12</w:t>
      </w:r>
      <w:r>
        <w:rPr>
          <w:rFonts w:hint="eastAsia" w:ascii="宋体" w:hAnsi="宋体"/>
          <w:szCs w:val="21"/>
          <w:highlight w:val="none"/>
          <w:u w:val="single"/>
        </w:rPr>
        <w:t>月</w:t>
      </w:r>
      <w:r>
        <w:rPr>
          <w:rFonts w:hint="eastAsia" w:ascii="宋体" w:hAnsi="宋体"/>
          <w:szCs w:val="21"/>
          <w:highlight w:val="none"/>
          <w:u w:val="single"/>
          <w:lang w:val="en-US" w:eastAsia="zh-CN"/>
        </w:rPr>
        <w:t>25</w:t>
      </w:r>
      <w:r>
        <w:rPr>
          <w:rFonts w:hint="eastAsia" w:ascii="宋体" w:hAnsi="宋体"/>
          <w:szCs w:val="21"/>
          <w:highlight w:val="none"/>
          <w:u w:val="single"/>
        </w:rPr>
        <w:t xml:space="preserve"> 日</w:t>
      </w:r>
      <w:r>
        <w:rPr>
          <w:rFonts w:hint="eastAsia" w:ascii="宋体" w:hAnsi="宋体"/>
          <w:szCs w:val="21"/>
          <w:highlight w:val="none"/>
          <w:u w:val="single"/>
          <w:lang w:val="en-US" w:eastAsia="zh-CN"/>
        </w:rPr>
        <w:t>下</w:t>
      </w:r>
      <w:r>
        <w:rPr>
          <w:rFonts w:hint="eastAsia" w:ascii="宋体" w:hAnsi="宋体"/>
          <w:szCs w:val="21"/>
          <w:highlight w:val="none"/>
          <w:u w:val="single"/>
        </w:rPr>
        <w:t>午1</w:t>
      </w:r>
      <w:r>
        <w:rPr>
          <w:rFonts w:hint="eastAsia" w:ascii="宋体" w:hAnsi="宋体"/>
          <w:szCs w:val="21"/>
          <w:highlight w:val="none"/>
          <w:u w:val="single"/>
          <w:lang w:val="en-US" w:eastAsia="zh-CN"/>
        </w:rPr>
        <w:t>5</w:t>
      </w:r>
      <w:r>
        <w:rPr>
          <w:rFonts w:hint="eastAsia" w:ascii="宋体" w:hAnsi="宋体"/>
          <w:szCs w:val="21"/>
          <w:highlight w:val="none"/>
          <w:u w:val="single"/>
        </w:rPr>
        <w:t>:00前</w:t>
      </w:r>
      <w:r>
        <w:rPr>
          <w:rFonts w:hint="eastAsia" w:ascii="宋体" w:hAnsi="宋体"/>
          <w:szCs w:val="21"/>
          <w:highlight w:val="none"/>
        </w:rPr>
        <w:t>在将响应性文件递交至重庆市渝北区新南路52号东界龙湖三楼重庆首讯科技股份有限公司东界龙湖办公区。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4" w:name="_Toc17832"/>
      <w:bookmarkStart w:id="95" w:name="_Toc31493"/>
      <w:bookmarkStart w:id="96" w:name="_Toc9131"/>
      <w:bookmarkStart w:id="97" w:name="_Toc16686"/>
      <w:r>
        <w:rPr>
          <w:rFonts w:hint="eastAsia" w:ascii="宋体" w:hAnsi="宋体" w:eastAsia="宋体" w:cs="宋体"/>
          <w:highlight w:val="none"/>
        </w:rPr>
        <w:t>5. 竞争性比选响应文件的递交</w:t>
      </w:r>
      <w:bookmarkEnd w:id="85"/>
      <w:bookmarkEnd w:id="86"/>
      <w:bookmarkEnd w:id="87"/>
      <w:bookmarkEnd w:id="88"/>
      <w:bookmarkEnd w:id="89"/>
      <w:bookmarkEnd w:id="90"/>
      <w:bookmarkEnd w:id="91"/>
      <w:bookmarkEnd w:id="92"/>
      <w:bookmarkEnd w:id="93"/>
      <w:r>
        <w:rPr>
          <w:rFonts w:hint="eastAsia" w:ascii="宋体" w:hAnsi="宋体" w:eastAsia="宋体" w:cs="宋体"/>
          <w:highlight w:val="none"/>
        </w:rPr>
        <w:t>及相关事宜</w:t>
      </w:r>
      <w:bookmarkEnd w:id="94"/>
      <w:bookmarkEnd w:id="95"/>
      <w:bookmarkEnd w:id="96"/>
      <w:bookmarkEnd w:id="97"/>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12</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25</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lang w:eastAsia="zh-CN"/>
        </w:rPr>
        <w:t>铜永公司及中渝公司存储设备采购</w:t>
      </w:r>
      <w:r>
        <w:rPr>
          <w:rFonts w:hint="eastAsia" w:ascii="宋体" w:hAnsi="宋体" w:cs="宋体"/>
          <w:b/>
          <w:bCs/>
          <w:szCs w:val="21"/>
          <w:u w:val="single"/>
        </w:rPr>
        <w:t>竞争性比选响应文件，在2023年</w:t>
      </w:r>
      <w:r>
        <w:rPr>
          <w:rFonts w:hint="eastAsia" w:ascii="宋体" w:hAnsi="宋体" w:cs="宋体"/>
          <w:b/>
          <w:bCs/>
          <w:szCs w:val="21"/>
          <w:u w:val="single"/>
          <w:lang w:val="en-US" w:eastAsia="zh-CN"/>
        </w:rPr>
        <w:t>12</w:t>
      </w:r>
      <w:r>
        <w:rPr>
          <w:rFonts w:hint="eastAsia" w:ascii="宋体" w:hAnsi="宋体" w:cs="宋体"/>
          <w:b/>
          <w:bCs/>
          <w:szCs w:val="21"/>
          <w:u w:val="single"/>
        </w:rPr>
        <w:t>月</w:t>
      </w:r>
      <w:r>
        <w:rPr>
          <w:rFonts w:hint="eastAsia" w:ascii="宋体" w:hAnsi="宋体" w:cs="宋体"/>
          <w:b/>
          <w:bCs/>
          <w:szCs w:val="21"/>
          <w:u w:val="single"/>
          <w:lang w:val="en-US" w:eastAsia="zh-CN"/>
        </w:rPr>
        <w:t>25</w:t>
      </w:r>
      <w:r>
        <w:rPr>
          <w:rFonts w:hint="eastAsia" w:ascii="宋体" w:hAnsi="宋体" w:cs="宋体"/>
          <w:b/>
          <w:bCs/>
          <w:szCs w:val="21"/>
          <w:u w:val="single"/>
        </w:rPr>
        <w:t>日1</w:t>
      </w:r>
      <w:r>
        <w:rPr>
          <w:rFonts w:hint="eastAsia" w:ascii="宋体" w:hAnsi="宋体" w:cs="宋体"/>
          <w:b/>
          <w:bCs/>
          <w:szCs w:val="21"/>
          <w:u w:val="single"/>
          <w:lang w:val="en-US" w:eastAsia="zh-CN"/>
        </w:rPr>
        <w:t>5</w:t>
      </w:r>
      <w:r>
        <w:rPr>
          <w:rFonts w:hint="eastAsia" w:ascii="宋体" w:hAnsi="宋体" w:cs="宋体"/>
          <w:b/>
          <w:bCs/>
          <w:szCs w:val="21"/>
          <w:u w:val="single"/>
        </w:rPr>
        <w:t>：00时前不得开启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r>
        <w:rPr>
          <w:rFonts w:ascii="宋体" w:hAnsi="宋体" w:cs="宋体"/>
          <w:szCs w:val="21"/>
          <w:highlight w:val="none"/>
        </w:rPr>
        <w:t>。</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6. 联系方式</w:t>
      </w:r>
      <w:bookmarkEnd w:id="72"/>
      <w:bookmarkEnd w:id="73"/>
      <w:bookmarkEnd w:id="74"/>
      <w:bookmarkEnd w:id="75"/>
      <w:bookmarkEnd w:id="76"/>
      <w:bookmarkEnd w:id="77"/>
      <w:bookmarkEnd w:id="78"/>
      <w:bookmarkEnd w:id="79"/>
      <w:bookmarkEnd w:id="80"/>
      <w:bookmarkEnd w:id="81"/>
      <w:bookmarkEnd w:id="82"/>
      <w:bookmarkEnd w:id="83"/>
      <w:bookmarkEnd w:id="84"/>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highlight w:val="none"/>
                <w:lang w:val="en-US" w:eastAsia="zh-CN"/>
              </w:rPr>
              <w:t>王老师  电 话：</w:t>
            </w:r>
            <w:r>
              <w:rPr>
                <w:rFonts w:hint="eastAsia" w:ascii="宋体" w:hAnsi="宋体" w:eastAsia="宋体" w:cs="宋体"/>
                <w:szCs w:val="21"/>
                <w:lang w:val="en-US" w:eastAsia="zh-CN"/>
              </w:rPr>
              <w:t>13650500946</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7"/>
        <w:rPr>
          <w:highlight w:val="none"/>
        </w:rPr>
      </w:pPr>
    </w:p>
    <w:bookmarkEnd w:id="17"/>
    <w:bookmarkEnd w:id="18"/>
    <w:p>
      <w:pPr>
        <w:pStyle w:val="3"/>
        <w:spacing w:before="0" w:after="0" w:line="360" w:lineRule="auto"/>
        <w:jc w:val="center"/>
        <w:rPr>
          <w:rFonts w:ascii="宋体" w:hAnsi="宋体" w:cs="宋体"/>
          <w:highlight w:val="none"/>
        </w:rPr>
      </w:pPr>
      <w:bookmarkStart w:id="98" w:name="_Toc152045527"/>
      <w:bookmarkStart w:id="99" w:name="_Toc246996173"/>
      <w:bookmarkStart w:id="100" w:name="_Toc21719"/>
      <w:bookmarkStart w:id="101" w:name="_Toc247085687"/>
      <w:bookmarkStart w:id="102" w:name="_Toc179632544"/>
      <w:bookmarkStart w:id="103" w:name="_Toc152042303"/>
      <w:bookmarkStart w:id="104" w:name="_Toc246996916"/>
      <w:bookmarkStart w:id="105" w:name="_Toc144974495"/>
      <w:bookmarkStart w:id="106" w:name="_Toc507319898"/>
      <w:bookmarkStart w:id="107" w:name="_Toc2000405"/>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eastAsia="zh-CN"/>
              </w:rPr>
              <w:t>铜永公司及中渝公司存储设备采购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24</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szCs w:val="21"/>
                <w:highlight w:val="none"/>
              </w:rPr>
              <w:t>综合单价取小数点后两位，小数点后第三位四舍五入。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 xml:space="preserve"> 419800.00 </w:t>
            </w:r>
            <w:r>
              <w:rPr>
                <w:rFonts w:hint="eastAsia" w:ascii="宋体" w:hAnsi="宋体"/>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right="0" w:firstLine="420" w:firstLineChars="200"/>
              <w:rPr>
                <w:rFonts w:hint="eastAsia"/>
                <w:highlight w:val="none"/>
              </w:rPr>
            </w:pPr>
            <w:r>
              <w:rPr>
                <w:rFonts w:hint="eastAsia"/>
                <w:highlight w:val="none"/>
                <w:lang w:eastAsia="zh-CN"/>
              </w:rPr>
              <w:t>（</w:t>
            </w:r>
            <w:r>
              <w:rPr>
                <w:rFonts w:hint="eastAsia"/>
                <w:highlight w:val="none"/>
              </w:rPr>
              <w:t>1）设备安装调试完成后，支付到货金额的95%；</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2）剩余5%作为质量保证金，质量保修期2年满后支付。由乙方主动提出书面申请，经甲方业务部门确认后，30个工作日内全额支付（质量保证金不计任何利息），若乙方未提出书面申请，则相应的延迟责任由乙方自行承担；</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乙方未能按合同进度计划及时完成合同约定的工作，已造成或预期造成工期延误，甲方有权终止乙方不能按合同约定或预期不能按时完成的剩余工程</w:t>
            </w:r>
            <w:r>
              <w:rPr>
                <w:rFonts w:hint="eastAsia"/>
                <w:highlight w:val="none"/>
                <w:lang w:val="en-US" w:eastAsia="zh-CN"/>
              </w:rPr>
              <w:t>量</w:t>
            </w:r>
            <w:r>
              <w:rPr>
                <w:rFonts w:hint="eastAsia"/>
                <w:highlight w:val="none"/>
              </w:rPr>
              <w:t>，并由甲方另行选择单位实施，且因此产生的费用由乙方承担。</w:t>
            </w: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b/>
                <w:bCs/>
                <w:color w:val="auto"/>
                <w:kern w:val="2"/>
                <w:sz w:val="21"/>
                <w:szCs w:val="21"/>
                <w:lang w:val="en-US" w:eastAsia="zh-CN"/>
              </w:rPr>
              <w:t>1000</w:t>
            </w:r>
            <w:r>
              <w:rPr>
                <w:rFonts w:hint="eastAsia" w:hAnsi="宋体"/>
                <w:color w:val="auto"/>
                <w:kern w:val="2"/>
                <w:sz w:val="21"/>
                <w:szCs w:val="21"/>
              </w:rPr>
              <w:t>元，由报价人从公司基本账户将投标保证金汇至以下指定账户：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保证金到账截止时间</w:t>
            </w:r>
            <w:r>
              <w:rPr>
                <w:rFonts w:hAnsi="宋体"/>
                <w:color w:val="auto"/>
                <w:kern w:val="2"/>
                <w:sz w:val="21"/>
                <w:szCs w:val="21"/>
                <w:highlight w:val="none"/>
              </w:rPr>
              <w:t>：202</w:t>
            </w:r>
            <w:r>
              <w:rPr>
                <w:rFonts w:hint="eastAsia" w:hAnsi="宋体"/>
                <w:color w:val="auto"/>
                <w:kern w:val="2"/>
                <w:sz w:val="21"/>
                <w:szCs w:val="21"/>
                <w:highlight w:val="none"/>
                <w:lang w:val="en-US" w:eastAsia="zh-CN"/>
              </w:rPr>
              <w:t>3</w:t>
            </w:r>
            <w:r>
              <w:rPr>
                <w:rFonts w:hAnsi="宋体"/>
                <w:color w:val="auto"/>
                <w:kern w:val="2"/>
                <w:sz w:val="21"/>
                <w:szCs w:val="21"/>
                <w:highlight w:val="none"/>
              </w:rPr>
              <w:t>年</w:t>
            </w:r>
            <w:r>
              <w:rPr>
                <w:rFonts w:hint="eastAsia" w:hAnsi="宋体"/>
                <w:color w:val="auto"/>
                <w:kern w:val="2"/>
                <w:sz w:val="21"/>
                <w:szCs w:val="21"/>
                <w:highlight w:val="none"/>
                <w:lang w:val="en-US" w:eastAsia="zh-CN"/>
              </w:rPr>
              <w:t>12</w:t>
            </w:r>
            <w:r>
              <w:rPr>
                <w:rFonts w:hAnsi="宋体"/>
                <w:color w:val="auto"/>
                <w:kern w:val="2"/>
                <w:sz w:val="21"/>
                <w:szCs w:val="21"/>
                <w:highlight w:val="none"/>
              </w:rPr>
              <w:t>月</w:t>
            </w:r>
            <w:r>
              <w:rPr>
                <w:rFonts w:hint="eastAsia" w:hAnsi="宋体"/>
                <w:color w:val="auto"/>
                <w:kern w:val="2"/>
                <w:sz w:val="21"/>
                <w:szCs w:val="21"/>
                <w:highlight w:val="none"/>
                <w:lang w:val="en-US" w:eastAsia="zh-CN"/>
              </w:rPr>
              <w:t>25</w:t>
            </w:r>
            <w:r>
              <w:rPr>
                <w:rFonts w:hAnsi="宋体"/>
                <w:color w:val="auto"/>
                <w:kern w:val="2"/>
                <w:sz w:val="21"/>
                <w:szCs w:val="21"/>
                <w:highlight w:val="none"/>
              </w:rPr>
              <w:t>日</w:t>
            </w:r>
            <w:r>
              <w:rPr>
                <w:rFonts w:hint="eastAsia" w:hAnsi="宋体"/>
                <w:color w:val="auto"/>
                <w:kern w:val="2"/>
                <w:sz w:val="21"/>
                <w:szCs w:val="21"/>
                <w:highlight w:val="none"/>
                <w:lang w:val="en-US" w:eastAsia="zh-CN"/>
              </w:rPr>
              <w:t>15</w:t>
            </w:r>
            <w:r>
              <w:rPr>
                <w:rFonts w:hAnsi="宋体"/>
                <w:color w:val="auto"/>
                <w:kern w:val="2"/>
                <w:sz w:val="21"/>
                <w:szCs w:val="21"/>
                <w:highlight w:val="none"/>
              </w:rPr>
              <w:t>时00分前；</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无</w:t>
            </w:r>
            <w:r>
              <w:rPr>
                <w:rFonts w:hint="eastAsia"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铜永公司及中渝公司存储设备采购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7"/>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rPr>
              <w:t>监督部门：合规监管部</w:t>
            </w:r>
          </w:p>
          <w:p>
            <w:pPr>
              <w:pStyle w:val="147"/>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7"/>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bl>
    <w:p>
      <w:pPr>
        <w:pStyle w:val="3"/>
        <w:spacing w:before="0" w:after="0" w:line="360" w:lineRule="auto"/>
        <w:jc w:val="center"/>
        <w:rPr>
          <w:rFonts w:ascii="宋体" w:hAnsi="宋体" w:cs="宋体"/>
          <w:highlight w:val="none"/>
        </w:rPr>
      </w:pPr>
    </w:p>
    <w:p>
      <w:pPr>
        <w:rPr>
          <w:highlight w:val="none"/>
        </w:rPr>
      </w:pP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09" w:name="_Toc17399"/>
      <w:bookmarkStart w:id="110" w:name="_Toc11329222"/>
      <w:bookmarkStart w:id="111" w:name="_Toc11284"/>
      <w:bookmarkStart w:id="112" w:name="_Toc17532"/>
      <w:bookmarkStart w:id="113" w:name="_Toc30198"/>
      <w:r>
        <w:rPr>
          <w:rFonts w:hint="eastAsia" w:ascii="宋体" w:hAnsi="宋体" w:eastAsia="宋体" w:cs="宋体"/>
          <w:sz w:val="28"/>
          <w:szCs w:val="28"/>
          <w:highlight w:val="none"/>
        </w:rPr>
        <w:t>附录1  资格审查条件（资质最低要求）</w:t>
      </w:r>
      <w:bookmarkEnd w:id="109"/>
      <w:bookmarkEnd w:id="110"/>
      <w:bookmarkEnd w:id="111"/>
      <w:bookmarkEnd w:id="112"/>
      <w:bookmarkEnd w:id="113"/>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08" w:type="dxa"/>
          </w:tcPr>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（1）报价人具有独立法人资格及有效的营业执照；</w:t>
            </w:r>
          </w:p>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（2）报价人需为设备制造商或授权代理商，设备代理商需具有设备厂家授权代理证书或项目授权证书（同一品牌的厂家和代理商不能同时参加）；</w:t>
            </w:r>
          </w:p>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（3）设备制造商具有有效的ISO9001质量管理体系认证，具有有效的ISO14001环境管理体系认证；</w:t>
            </w:r>
          </w:p>
          <w:p>
            <w:pPr>
              <w:tabs>
                <w:tab w:val="left" w:pos="1035"/>
              </w:tabs>
              <w:spacing w:line="240" w:lineRule="auto"/>
              <w:ind w:firstLine="420" w:firstLineChars="200"/>
              <w:jc w:val="left"/>
              <w:rPr>
                <w:rFonts w:hint="default" w:eastAsia="宋体"/>
                <w:highlight w:val="none"/>
                <w:lang w:val="en-US" w:eastAsia="zh-CN"/>
              </w:rPr>
            </w:pPr>
            <w:r>
              <w:rPr>
                <w:rFonts w:hint="eastAsia" w:ascii="Calibri" w:hAnsi="Calibri" w:eastAsia="宋体" w:cs="Times New Roman"/>
                <w:b w:val="0"/>
                <w:bCs w:val="0"/>
                <w:caps/>
                <w:kern w:val="2"/>
                <w:sz w:val="21"/>
                <w:szCs w:val="21"/>
                <w:highlight w:val="none"/>
                <w:lang w:val="en-US" w:eastAsia="zh-CN" w:bidi="ar-SA"/>
              </w:rPr>
              <w:t>（4）产品要求：投标产品须提供国家认可的第三方检测机构出具的有效检测报告</w:t>
            </w:r>
            <w:r>
              <w:rPr>
                <w:rFonts w:hint="eastAsia" w:ascii="Calibri" w:hAnsi="Calibri" w:cs="Times New Roman"/>
                <w:b w:val="0"/>
                <w:bCs w:val="0"/>
                <w:caps/>
                <w:kern w:val="2"/>
                <w:sz w:val="21"/>
                <w:szCs w:val="21"/>
                <w:highlight w:val="none"/>
                <w:lang w:val="en-US" w:eastAsia="zh-CN" w:bidi="ar-SA"/>
              </w:rPr>
              <w:t>。</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4" w:name="_Toc1778"/>
      <w:bookmarkStart w:id="115" w:name="_Toc11329223"/>
      <w:bookmarkStart w:id="116" w:name="_Toc30995"/>
      <w:bookmarkStart w:id="117" w:name="_Toc17235"/>
      <w:bookmarkStart w:id="118" w:name="_Toc30363"/>
      <w:r>
        <w:rPr>
          <w:rFonts w:hint="eastAsia" w:ascii="宋体" w:hAnsi="宋体" w:eastAsia="宋体" w:cs="宋体"/>
          <w:bCs w:val="0"/>
          <w:sz w:val="28"/>
          <w:szCs w:val="28"/>
          <w:highlight w:val="none"/>
        </w:rPr>
        <w:t>附录2  资格审查条件（财务最低要求）</w:t>
      </w:r>
      <w:bookmarkEnd w:id="114"/>
      <w:bookmarkEnd w:id="115"/>
      <w:bookmarkEnd w:id="116"/>
      <w:bookmarkEnd w:id="117"/>
      <w:bookmarkEnd w:id="118"/>
    </w:p>
    <w:tbl>
      <w:tblPr>
        <w:tblStyle w:val="4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w:t>
            </w:r>
          </w:p>
        </w:tc>
      </w:tr>
    </w:tbl>
    <w:p>
      <w:pPr>
        <w:pStyle w:val="4"/>
        <w:jc w:val="center"/>
        <w:rPr>
          <w:rFonts w:ascii="宋体" w:hAnsi="宋体" w:eastAsia="宋体" w:cs="宋体"/>
          <w:bCs w:val="0"/>
          <w:sz w:val="28"/>
          <w:szCs w:val="28"/>
          <w:highlight w:val="none"/>
        </w:rPr>
      </w:pPr>
      <w:bookmarkStart w:id="119" w:name="_Toc19507"/>
      <w:bookmarkStart w:id="120" w:name="_Toc28315"/>
      <w:bookmarkStart w:id="121" w:name="_Toc6263"/>
      <w:bookmarkStart w:id="122" w:name="_Toc11329224"/>
      <w:bookmarkStart w:id="123" w:name="_Toc16638"/>
      <w:r>
        <w:rPr>
          <w:rFonts w:hint="eastAsia" w:ascii="宋体" w:hAnsi="宋体" w:eastAsia="宋体" w:cs="宋体"/>
          <w:bCs w:val="0"/>
          <w:sz w:val="28"/>
          <w:szCs w:val="28"/>
          <w:highlight w:val="none"/>
        </w:rPr>
        <w:t>附录3  资格审查条件（业绩最低要求）</w:t>
      </w:r>
      <w:bookmarkEnd w:id="119"/>
      <w:bookmarkEnd w:id="120"/>
      <w:bookmarkEnd w:id="121"/>
      <w:bookmarkEnd w:id="122"/>
      <w:bookmarkEnd w:id="123"/>
    </w:p>
    <w:tbl>
      <w:tblPr>
        <w:tblStyle w:val="4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eastAsia" w:ascii="Calibri" w:hAnsi="Calibri" w:eastAsia="宋体" w:cs="Times New Roman"/>
                <w:b w:val="0"/>
                <w:bCs w:val="0"/>
                <w:caps/>
                <w:kern w:val="2"/>
                <w:sz w:val="21"/>
                <w:szCs w:val="21"/>
                <w:highlight w:val="none"/>
                <w:lang w:val="en-US" w:eastAsia="zh-CN" w:bidi="ar-SA"/>
              </w:rPr>
              <w:t>报价人所投品牌设备在2020年1月1日至报价截止日期至少承担一项合同金额不低于15万元的高速公路应用业绩（提供合同扫描件及对应业绩的增值税发票复印件，以合同签订时间为准）。</w:t>
            </w:r>
          </w:p>
        </w:tc>
      </w:tr>
    </w:tbl>
    <w:p>
      <w:pPr>
        <w:pStyle w:val="4"/>
        <w:ind w:firstLine="420" w:firstLineChars="200"/>
        <w:jc w:val="both"/>
        <w:rPr>
          <w:rFonts w:ascii="宋体" w:hAnsi="宋体" w:eastAsia="宋体" w:cs="宋体"/>
          <w:bCs w:val="0"/>
          <w:sz w:val="28"/>
          <w:szCs w:val="28"/>
          <w:highlight w:val="none"/>
        </w:rPr>
      </w:pPr>
      <w:bookmarkStart w:id="124"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注：须提供合同复印件,合同内容至少应包括货物名称、品牌、数量、合同签订日期、合同签订方名称等内容。合同中涉及商业机密的部分可隐去。</w:t>
      </w:r>
    </w:p>
    <w:p>
      <w:pPr>
        <w:pStyle w:val="4"/>
        <w:jc w:val="center"/>
        <w:rPr>
          <w:rFonts w:ascii="宋体" w:hAnsi="宋体" w:cs="宋体"/>
          <w:b w:val="0"/>
          <w:sz w:val="28"/>
          <w:szCs w:val="28"/>
          <w:highlight w:val="none"/>
        </w:rPr>
      </w:pPr>
      <w:bookmarkStart w:id="125" w:name="_Toc10083"/>
      <w:bookmarkStart w:id="126" w:name="_Toc26749"/>
      <w:bookmarkStart w:id="127" w:name="_Toc2830"/>
      <w:bookmarkStart w:id="128" w:name="_Toc12296"/>
      <w:r>
        <w:rPr>
          <w:rFonts w:hint="eastAsia" w:ascii="宋体" w:hAnsi="宋体" w:eastAsia="宋体" w:cs="宋体"/>
          <w:bCs w:val="0"/>
          <w:sz w:val="28"/>
          <w:szCs w:val="28"/>
          <w:highlight w:val="none"/>
        </w:rPr>
        <w:t>附录4 资格审查条件（信誉最低要求）</w:t>
      </w:r>
      <w:bookmarkEnd w:id="124"/>
      <w:bookmarkEnd w:id="125"/>
      <w:bookmarkEnd w:id="126"/>
      <w:bookmarkEnd w:id="127"/>
      <w:bookmarkEnd w:id="128"/>
    </w:p>
    <w:tbl>
      <w:tblPr>
        <w:tblStyle w:val="4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7"/>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hint="eastAsia" w:ascii="宋体" w:hAnsi="宋体" w:eastAsia="宋体" w:cs="宋体"/>
          <w:bCs w:val="0"/>
          <w:sz w:val="28"/>
          <w:szCs w:val="28"/>
          <w:highlight w:val="none"/>
        </w:rPr>
      </w:pPr>
      <w:bookmarkStart w:id="129" w:name="_Toc14083"/>
      <w:bookmarkStart w:id="130" w:name="_Toc25591"/>
      <w:bookmarkStart w:id="131" w:name="_Toc27096"/>
      <w:bookmarkStart w:id="132" w:name="_Toc12773"/>
      <w:bookmarkStart w:id="133" w:name="_Toc11329226"/>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9"/>
      <w:bookmarkEnd w:id="130"/>
      <w:bookmarkEnd w:id="131"/>
      <w:bookmarkEnd w:id="132"/>
      <w:bookmarkEnd w:id="133"/>
    </w:p>
    <w:p>
      <w:pPr>
        <w:spacing w:line="400" w:lineRule="exact"/>
        <w:jc w:val="center"/>
        <w:rPr>
          <w:highlight w:val="none"/>
        </w:rPr>
      </w:pPr>
      <w:r>
        <w:rPr>
          <w:rFonts w:hint="eastAsia" w:ascii="宋体" w:hAnsi="宋体" w:cs="宋体"/>
          <w:b/>
          <w:szCs w:val="21"/>
          <w:highlight w:val="none"/>
        </w:rPr>
        <w:t>主要管理人员最低要求</w:t>
      </w:r>
    </w:p>
    <w:tbl>
      <w:tblPr>
        <w:tblStyle w:val="41"/>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4" w:name="_Toc388534043"/>
            <w:bookmarkStart w:id="135"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val="en-US" w:eastAsia="zh-CN"/>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p>
    <w:p>
      <w:pPr>
        <w:pStyle w:val="27"/>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6" w:name="_Toc4169"/>
      <w:bookmarkStart w:id="137" w:name="_Toc17216"/>
      <w:bookmarkStart w:id="138" w:name="_Toc6096"/>
      <w:bookmarkStart w:id="139" w:name="_Toc17384"/>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6"/>
      <w:bookmarkEnd w:id="137"/>
      <w:bookmarkEnd w:id="138"/>
      <w:bookmarkEnd w:id="139"/>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7"/>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7"/>
        <w:adjustRightInd/>
        <w:spacing w:line="360" w:lineRule="auto"/>
        <w:jc w:val="both"/>
        <w:rPr>
          <w:rFonts w:hAnsi="宋体"/>
          <w:bCs/>
          <w:color w:val="auto"/>
          <w:sz w:val="21"/>
          <w:szCs w:val="21"/>
          <w:highlight w:val="none"/>
        </w:rPr>
      </w:pPr>
    </w:p>
    <w:bookmarkEnd w:id="134"/>
    <w:bookmarkEnd w:id="135"/>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0" w:name="_Toc246996230"/>
      <w:bookmarkStart w:id="141" w:name="_Toc152045587"/>
      <w:bookmarkStart w:id="142" w:name="_Toc247085745"/>
      <w:bookmarkStart w:id="143" w:name="_Toc507319957"/>
      <w:bookmarkStart w:id="144" w:name="_Toc144974554"/>
      <w:bookmarkStart w:id="145" w:name="_Toc246996973"/>
      <w:bookmarkStart w:id="146" w:name="_Toc179632605"/>
      <w:bookmarkStart w:id="147" w:name="_Toc7682"/>
      <w:bookmarkStart w:id="148" w:name="_Toc2000406"/>
      <w:bookmarkStart w:id="149" w:name="_Toc152042364"/>
      <w:bookmarkStart w:id="150" w:name="_Toc20774"/>
      <w:r>
        <w:rPr>
          <w:rFonts w:hint="eastAsia" w:ascii="宋体" w:hAnsi="宋体" w:cs="宋体"/>
          <w:highlight w:val="none"/>
        </w:rPr>
        <w:t>第三章 评标办法（经评审的最低投标价法）</w:t>
      </w:r>
      <w:bookmarkEnd w:id="140"/>
      <w:bookmarkEnd w:id="141"/>
      <w:bookmarkEnd w:id="142"/>
      <w:bookmarkEnd w:id="143"/>
      <w:bookmarkEnd w:id="144"/>
      <w:bookmarkEnd w:id="145"/>
      <w:bookmarkEnd w:id="146"/>
      <w:bookmarkEnd w:id="147"/>
      <w:bookmarkEnd w:id="148"/>
      <w:bookmarkEnd w:id="149"/>
      <w:bookmarkEnd w:id="150"/>
    </w:p>
    <w:p>
      <w:pPr>
        <w:rPr>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7"/>
        <w:jc w:val="center"/>
        <w:rPr>
          <w:highlight w:val="none"/>
        </w:rPr>
      </w:pPr>
      <w:r>
        <w:rPr>
          <w:rFonts w:hint="eastAsia"/>
          <w:highlight w:val="none"/>
        </w:rPr>
        <w:br w:type="page"/>
      </w:r>
      <w:bookmarkStart w:id="151" w:name="_Toc13787"/>
      <w:bookmarkStart w:id="152" w:name="_Toc9938"/>
      <w:r>
        <w:rPr>
          <w:rStyle w:val="80"/>
          <w:rFonts w:hint="eastAsia"/>
          <w:b/>
          <w:bCs/>
          <w:highlight w:val="none"/>
        </w:rPr>
        <w:t>第四章 报价说明</w:t>
      </w:r>
      <w:bookmarkEnd w:id="151"/>
      <w:bookmarkEnd w:id="152"/>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r>
        <w:rPr>
          <w:rFonts w:hint="eastAsia" w:ascii="宋体" w:hAnsi="宋体" w:cs="宋体"/>
          <w:b w:val="0"/>
          <w:bCs w:val="0"/>
          <w:sz w:val="21"/>
          <w:szCs w:val="21"/>
          <w:highlight w:val="none"/>
          <w:lang w:eastAsia="zh-CN"/>
        </w:rPr>
        <w:t>；</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（5）报价清单中各项金额均以人民币（元）结算</w:t>
      </w:r>
      <w:r>
        <w:rPr>
          <w:rFonts w:hint="eastAsia" w:ascii="宋体" w:hAnsi="宋体" w:cs="宋体"/>
          <w:b w:val="0"/>
          <w:bCs w:val="0"/>
          <w:sz w:val="21"/>
          <w:szCs w:val="21"/>
          <w:highlight w:val="none"/>
          <w:lang w:eastAsia="zh-CN"/>
        </w:rPr>
        <w:t>；</w:t>
      </w:r>
    </w:p>
    <w:p>
      <w:pPr>
        <w:pStyle w:val="27"/>
        <w:rPr>
          <w:rFonts w:hint="eastAsia" w:eastAsia="宋体"/>
          <w:highlight w:val="none"/>
          <w:lang w:eastAsia="zh-CN"/>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r>
        <w:rPr>
          <w:rFonts w:hint="eastAsia" w:ascii="宋体" w:hAnsi="宋体" w:cs="宋体"/>
          <w:b w:val="0"/>
          <w:bCs w:val="0"/>
          <w:sz w:val="21"/>
          <w:szCs w:val="21"/>
          <w:highlight w:val="none"/>
          <w:lang w:eastAsia="zh-CN"/>
        </w:rPr>
        <w:t>。</w:t>
      </w:r>
    </w:p>
    <w:p>
      <w:pPr>
        <w:spacing w:line="400" w:lineRule="exact"/>
        <w:rPr>
          <w:rFonts w:ascii="宋体" w:hAnsi="宋体" w:cs="宋体"/>
          <w:szCs w:val="21"/>
          <w:highlight w:val="none"/>
        </w:rPr>
      </w:pPr>
      <w:bookmarkStart w:id="153" w:name="_Toc144974855"/>
      <w:bookmarkStart w:id="154" w:name="_Toc152042575"/>
      <w:bookmarkStart w:id="155" w:name="_Toc246996354"/>
      <w:bookmarkStart w:id="156" w:name="_Toc246997097"/>
      <w:bookmarkStart w:id="157" w:name="_Toc179632806"/>
      <w:bookmarkStart w:id="158" w:name="_Toc152045786"/>
      <w:bookmarkStart w:id="159" w:name="_Toc247085872"/>
    </w:p>
    <w:p>
      <w:pPr>
        <w:pStyle w:val="3"/>
        <w:spacing w:before="0" w:after="0" w:line="360" w:lineRule="auto"/>
        <w:jc w:val="center"/>
        <w:rPr>
          <w:rFonts w:ascii="宋体" w:hAnsi="宋体" w:cs="宋体"/>
          <w:highlight w:val="none"/>
        </w:rPr>
      </w:pPr>
      <w:bookmarkStart w:id="160" w:name="_Toc179632789"/>
      <w:bookmarkStart w:id="161" w:name="_Toc246997083"/>
      <w:bookmarkStart w:id="162" w:name="_Toc514858705"/>
      <w:bookmarkStart w:id="163" w:name="_Toc24503"/>
      <w:bookmarkStart w:id="164" w:name="_Toc246996340"/>
      <w:bookmarkStart w:id="165" w:name="_Toc152045772"/>
      <w:bookmarkStart w:id="166" w:name="_Toc144974834"/>
      <w:bookmarkStart w:id="167" w:name="_Toc2000409"/>
      <w:bookmarkStart w:id="168" w:name="_Toc247085855"/>
      <w:bookmarkStart w:id="169" w:name="_Toc8745"/>
      <w:bookmarkStart w:id="170" w:name="_Toc152042554"/>
      <w:r>
        <w:rPr>
          <w:rFonts w:hint="eastAsia" w:ascii="宋体" w:hAnsi="宋体" w:cs="宋体"/>
          <w:highlight w:val="none"/>
        </w:rPr>
        <w:t>第五章  工程量清单</w:t>
      </w:r>
      <w:bookmarkEnd w:id="160"/>
      <w:bookmarkEnd w:id="161"/>
      <w:bookmarkEnd w:id="162"/>
      <w:bookmarkEnd w:id="163"/>
      <w:bookmarkEnd w:id="164"/>
      <w:bookmarkEnd w:id="165"/>
      <w:bookmarkEnd w:id="166"/>
      <w:bookmarkEnd w:id="167"/>
      <w:bookmarkEnd w:id="168"/>
      <w:bookmarkEnd w:id="169"/>
      <w:bookmarkEnd w:id="170"/>
    </w:p>
    <w:p>
      <w:pPr>
        <w:ind w:firstLine="420"/>
        <w:jc w:val="left"/>
        <w:rPr>
          <w:rFonts w:ascii="宋体" w:hAnsi="宋体" w:cs="宋体"/>
          <w:b/>
          <w:highlight w:val="none"/>
        </w:rPr>
      </w:pPr>
      <w:bookmarkStart w:id="171" w:name="_Toc246996350"/>
      <w:bookmarkStart w:id="172" w:name="_Toc247096438"/>
      <w:bookmarkStart w:id="173" w:name="_Toc179632800"/>
      <w:bookmarkStart w:id="174" w:name="_Toc152042571"/>
      <w:bookmarkStart w:id="175" w:name="_Toc152045782"/>
      <w:bookmarkStart w:id="176" w:name="_Toc144974851"/>
      <w:bookmarkStart w:id="177" w:name="_Toc246997093"/>
      <w:bookmarkStart w:id="178" w:name="_Toc247085866"/>
    </w:p>
    <w:p>
      <w:pPr>
        <w:jc w:val="center"/>
        <w:rPr>
          <w:rFonts w:hint="default" w:ascii="宋体" w:hAnsi="宋体" w:eastAsia="宋体" w:cs="宋体"/>
          <w:b/>
          <w:highlight w:val="none"/>
          <w:lang w:val="en-US" w:eastAsia="zh-CN"/>
        </w:rPr>
      </w:pPr>
      <w:r>
        <w:rPr>
          <w:rFonts w:hint="eastAsia" w:ascii="宋体" w:hAnsi="宋体" w:cs="宋体"/>
          <w:b/>
          <w:highlight w:val="none"/>
          <w:lang w:val="en-US" w:eastAsia="zh-CN"/>
        </w:rPr>
        <w:t>详见附件。</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3"/>
        <w:numPr>
          <w:ilvl w:val="0"/>
          <w:numId w:val="2"/>
        </w:numPr>
        <w:spacing w:before="0" w:after="0" w:line="360" w:lineRule="auto"/>
        <w:jc w:val="center"/>
        <w:rPr>
          <w:rFonts w:hint="eastAsia" w:ascii="宋体" w:hAnsi="宋体" w:cs="宋体"/>
          <w:highlight w:val="none"/>
        </w:rPr>
      </w:pPr>
      <w:bookmarkStart w:id="179" w:name="_Toc513633963"/>
      <w:bookmarkStart w:id="180" w:name="_Toc503951042"/>
      <w:bookmarkStart w:id="181" w:name="_Toc514858706"/>
      <w:bookmarkStart w:id="182" w:name="_Toc3008"/>
      <w:bookmarkStart w:id="183" w:name="_Toc12440"/>
      <w:bookmarkStart w:id="184" w:name="_Toc2000410"/>
      <w:bookmarkStart w:id="185" w:name="_Toc447827048"/>
      <w:r>
        <w:rPr>
          <w:rFonts w:hint="eastAsia" w:ascii="宋体" w:hAnsi="宋体" w:cs="宋体"/>
          <w:highlight w:val="none"/>
        </w:rPr>
        <w:t xml:space="preserve"> 图  纸</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7"/>
        <w:jc w:val="center"/>
        <w:rPr>
          <w:rFonts w:hint="default" w:eastAsia="宋体"/>
          <w:lang w:val="en-US" w:eastAsia="zh-CN"/>
        </w:rPr>
      </w:pPr>
      <w:r>
        <w:rPr>
          <w:rFonts w:hint="eastAsia"/>
          <w:lang w:val="en-US" w:eastAsia="zh-CN"/>
        </w:rPr>
        <w:t>无。</w:t>
      </w:r>
    </w:p>
    <w:p>
      <w:pPr>
        <w:rPr>
          <w:rFonts w:hint="default" w:eastAsia="宋体"/>
          <w:lang w:val="en-US" w:eastAsia="zh-CN"/>
        </w:rPr>
      </w:pPr>
    </w:p>
    <w:p>
      <w:pPr>
        <w:pStyle w:val="27"/>
        <w:rPr>
          <w:rFonts w:hint="default"/>
          <w:lang w:val="en-US" w:eastAsia="zh-CN"/>
        </w:rPr>
      </w:pPr>
    </w:p>
    <w:p>
      <w:r>
        <w:rPr>
          <w:rFonts w:hint="eastAsia"/>
          <w:lang w:val="en-US" w:eastAsia="zh-CN"/>
        </w:rPr>
        <w:t xml:space="preserve"> </w:t>
      </w:r>
    </w:p>
    <w:p/>
    <w:p/>
    <w:p/>
    <w:p>
      <w:pPr>
        <w:rPr>
          <w:rFonts w:ascii="宋体" w:hAnsi="宋体" w:cs="宋体"/>
          <w:b/>
          <w:highlight w:val="none"/>
        </w:rPr>
      </w:pPr>
      <w:r>
        <w:rPr>
          <w:rFonts w:hint="eastAsia"/>
          <w:lang w:val="en-US" w:eastAsia="zh-CN"/>
        </w:rPr>
        <w:t xml:space="preserve">            </w:t>
      </w:r>
    </w:p>
    <w:p>
      <w:pPr>
        <w:rPr>
          <w:rFonts w:ascii="宋体" w:hAnsi="宋体" w:cs="宋体"/>
          <w:b/>
          <w:highlight w:val="none"/>
        </w:rPr>
      </w:pPr>
    </w:p>
    <w:p>
      <w:pPr>
        <w:pStyle w:val="27"/>
      </w:pPr>
    </w:p>
    <w:p>
      <w:pPr>
        <w:spacing w:line="400" w:lineRule="exact"/>
        <w:rPr>
          <w:rFonts w:ascii="宋体" w:hAnsi="宋体" w:cs="宋体"/>
          <w:highlight w:val="none"/>
        </w:rPr>
      </w:pPr>
      <w:r>
        <w:rPr>
          <w:rFonts w:hint="eastAsia" w:ascii="宋体" w:hAnsi="宋体" w:cs="宋体"/>
          <w:highlight w:val="none"/>
        </w:rPr>
        <w:br w:type="page"/>
      </w:r>
      <w:bookmarkStart w:id="186" w:name="_Toc152042574"/>
      <w:bookmarkStart w:id="187" w:name="_Toc152045785"/>
      <w:bookmarkStart w:id="188" w:name="_Toc144974854"/>
    </w:p>
    <w:p>
      <w:pPr>
        <w:pStyle w:val="3"/>
        <w:spacing w:before="0" w:after="0" w:line="360" w:lineRule="auto"/>
        <w:jc w:val="center"/>
        <w:rPr>
          <w:rFonts w:ascii="宋体" w:hAnsi="宋体" w:cs="宋体"/>
          <w:highlight w:val="none"/>
        </w:rPr>
      </w:pPr>
      <w:bookmarkStart w:id="189" w:name="_Toc247085870"/>
      <w:bookmarkStart w:id="190" w:name="_Toc246997096"/>
      <w:bookmarkStart w:id="191" w:name="_Toc10887"/>
      <w:bookmarkStart w:id="192" w:name="_Toc514858707"/>
      <w:bookmarkStart w:id="193" w:name="_Toc513633964"/>
      <w:bookmarkStart w:id="194" w:name="_Toc2585"/>
      <w:bookmarkStart w:id="195" w:name="_Toc2000411"/>
      <w:bookmarkStart w:id="196" w:name="_Toc447827049"/>
      <w:bookmarkStart w:id="197" w:name="_Toc246996353"/>
      <w:bookmarkStart w:id="198" w:name="_Toc179632804"/>
      <w:bookmarkStart w:id="199" w:name="_Toc503951043"/>
      <w:r>
        <w:rPr>
          <w:rFonts w:hint="eastAsia" w:ascii="宋体" w:hAnsi="宋体" w:cs="宋体"/>
          <w:highlight w:val="none"/>
        </w:rPr>
        <w:t>第七章  技术标准和工作要求</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End w:id="153"/>
    <w:bookmarkEnd w:id="154"/>
    <w:bookmarkEnd w:id="155"/>
    <w:bookmarkEnd w:id="156"/>
    <w:bookmarkEnd w:id="157"/>
    <w:bookmarkEnd w:id="158"/>
    <w:bookmarkEnd w:id="159"/>
    <w:p>
      <w:pPr>
        <w:pStyle w:val="3"/>
        <w:spacing w:before="0" w:after="0" w:line="360" w:lineRule="auto"/>
        <w:jc w:val="center"/>
        <w:rPr>
          <w:rFonts w:ascii="宋体" w:hAnsi="宋体" w:cs="宋体"/>
          <w:highlight w:val="none"/>
        </w:rPr>
      </w:pPr>
      <w:bookmarkStart w:id="200" w:name="_Toc514430114"/>
      <w:bookmarkStart w:id="201" w:name="_Toc13280"/>
      <w:bookmarkStart w:id="202" w:name="_Toc514858708"/>
      <w:bookmarkStart w:id="203" w:name="_Toc2000412"/>
      <w:bookmarkStart w:id="204" w:name="_Toc12089"/>
      <w:bookmarkStart w:id="205" w:name="_Toc152042576"/>
      <w:bookmarkStart w:id="206" w:name="_Toc507320039"/>
      <w:bookmarkStart w:id="207" w:name="_Toc179632807"/>
      <w:bookmarkStart w:id="208" w:name="_Toc247085873"/>
      <w:bookmarkStart w:id="209" w:name="_Toc246997098"/>
      <w:bookmarkStart w:id="210" w:name="_Toc144974856"/>
      <w:bookmarkStart w:id="211" w:name="_Toc152045787"/>
      <w:bookmarkStart w:id="212" w:name="_Toc246996355"/>
      <w:r>
        <w:rPr>
          <w:rFonts w:hint="eastAsia" w:ascii="宋体" w:hAnsi="宋体" w:cs="宋体"/>
          <w:sz w:val="24"/>
          <w:szCs w:val="24"/>
          <w:highlight w:val="none"/>
          <w:lang w:val="en-US" w:eastAsia="zh-CN"/>
        </w:rPr>
        <w:t>详见清单要求。</w:t>
      </w:r>
      <w:r>
        <w:rPr>
          <w:rFonts w:hint="eastAsia" w:ascii="宋体" w:hAnsi="宋体" w:cs="宋体"/>
          <w:highlight w:val="none"/>
        </w:rPr>
        <w:br w:type="page"/>
      </w:r>
      <w:r>
        <w:rPr>
          <w:rFonts w:hint="eastAsia" w:ascii="宋体" w:hAnsi="宋体" w:cs="宋体"/>
          <w:highlight w:val="none"/>
        </w:rPr>
        <w:t>第八章  工程量清单计量规则</w:t>
      </w:r>
      <w:bookmarkEnd w:id="200"/>
      <w:bookmarkEnd w:id="201"/>
      <w:bookmarkEnd w:id="202"/>
      <w:bookmarkEnd w:id="203"/>
      <w:bookmarkEnd w:id="204"/>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3"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4" w:name="_Toc1416"/>
      <w:bookmarkStart w:id="215" w:name="_Toc2000413"/>
      <w:bookmarkStart w:id="216" w:name="_Toc514858709"/>
      <w:bookmarkStart w:id="217" w:name="_Toc24853"/>
      <w:r>
        <w:rPr>
          <w:rFonts w:hint="eastAsia" w:ascii="宋体" w:hAnsi="宋体" w:cs="宋体"/>
          <w:highlight w:val="none"/>
        </w:rPr>
        <w:t>第九章  竞争性比选响应文件格式</w:t>
      </w:r>
      <w:bookmarkEnd w:id="213"/>
      <w:bookmarkEnd w:id="214"/>
      <w:bookmarkEnd w:id="215"/>
      <w:bookmarkEnd w:id="216"/>
      <w:bookmarkEnd w:id="217"/>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8" w:name="_Toc513633967"/>
      <w:bookmarkStart w:id="219" w:name="_Toc503971829"/>
      <w:bookmarkStart w:id="220" w:name="_Toc514858710"/>
      <w:bookmarkStart w:id="221" w:name="_Toc503951046"/>
      <w:bookmarkStart w:id="222" w:name="_Toc513646738"/>
      <w:r>
        <w:rPr>
          <w:rFonts w:hint="eastAsia" w:ascii="宋体" w:hAnsi="宋体" w:cs="宋体"/>
          <w:b/>
          <w:bCs/>
          <w:sz w:val="48"/>
          <w:szCs w:val="56"/>
          <w:highlight w:val="none"/>
          <w:u w:val="single"/>
        </w:rPr>
        <w:t xml:space="preserve"> </w:t>
      </w:r>
      <w:bookmarkEnd w:id="218"/>
      <w:bookmarkEnd w:id="219"/>
      <w:bookmarkEnd w:id="220"/>
      <w:bookmarkEnd w:id="221"/>
      <w:bookmarkEnd w:id="222"/>
      <w:r>
        <w:rPr>
          <w:rFonts w:hint="eastAsia" w:ascii="宋体" w:hAnsi="宋体" w:cs="宋体"/>
          <w:b/>
          <w:bCs/>
          <w:sz w:val="48"/>
          <w:szCs w:val="56"/>
          <w:highlight w:val="none"/>
          <w:u w:val="single"/>
          <w:lang w:val="en-US" w:eastAsia="zh-CN"/>
        </w:rPr>
        <w:t>铜永公司及中渝公司存储设备采购</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3" w:name="_Toc5459"/>
      <w:bookmarkStart w:id="224" w:name="_Toc1368"/>
      <w:bookmarkStart w:id="225" w:name="_Toc28780"/>
      <w:bookmarkStart w:id="226" w:name="_Toc11329273"/>
      <w:bookmarkStart w:id="227" w:name="_Toc11078"/>
      <w:r>
        <w:rPr>
          <w:rFonts w:hint="eastAsia" w:ascii="宋体" w:hAnsi="宋体" w:eastAsia="宋体" w:cs="宋体"/>
          <w:highlight w:val="none"/>
        </w:rPr>
        <w:t>目    录</w:t>
      </w:r>
      <w:bookmarkEnd w:id="205"/>
      <w:bookmarkEnd w:id="206"/>
      <w:bookmarkEnd w:id="207"/>
      <w:bookmarkEnd w:id="208"/>
      <w:bookmarkEnd w:id="209"/>
      <w:bookmarkEnd w:id="210"/>
      <w:bookmarkEnd w:id="211"/>
      <w:bookmarkEnd w:id="212"/>
      <w:bookmarkEnd w:id="223"/>
      <w:bookmarkEnd w:id="224"/>
      <w:bookmarkEnd w:id="225"/>
      <w:bookmarkEnd w:id="226"/>
      <w:bookmarkEnd w:id="227"/>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hint="eastAsia" w:ascii="宋体" w:hAnsi="宋体" w:eastAsia="宋体" w:cs="宋体"/>
          <w:highlight w:val="none"/>
        </w:rPr>
      </w:pPr>
      <w:r>
        <w:rPr>
          <w:rFonts w:hint="eastAsia" w:ascii="宋体" w:hAnsi="宋体" w:cs="宋体"/>
          <w:highlight w:val="none"/>
        </w:rPr>
        <w:t>四、</w:t>
      </w:r>
      <w:r>
        <w:rPr>
          <w:rFonts w:hint="eastAsia" w:ascii="宋体" w:hAnsi="宋体" w:cs="宋体"/>
          <w:szCs w:val="21"/>
          <w:highlight w:val="none"/>
        </w:rPr>
        <w:t>报价人须知</w:t>
      </w:r>
      <w:r>
        <w:rPr>
          <w:rFonts w:hint="eastAsia" w:ascii="宋体" w:hAnsi="宋体" w:eastAsia="宋体" w:cs="宋体"/>
          <w:highlight w:val="none"/>
        </w:rPr>
        <w:t>前附表规定的其他材料</w:t>
      </w:r>
    </w:p>
    <w:p>
      <w:pPr>
        <w:spacing w:line="400" w:lineRule="exact"/>
        <w:rPr>
          <w:rFonts w:hint="eastAsia" w:ascii="宋体" w:hAnsi="宋体" w:eastAsia="宋体" w:cs="宋体"/>
          <w:highlight w:val="none"/>
        </w:rPr>
      </w:pPr>
      <w:r>
        <w:rPr>
          <w:rFonts w:hint="eastAsia" w:ascii="宋体" w:hAnsi="宋体" w:eastAsia="宋体" w:cs="宋体"/>
          <w:highlight w:val="none"/>
          <w:lang w:val="en-US" w:eastAsia="zh-CN"/>
        </w:rPr>
        <w:t>五、报价人基本信息及其他材料</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8" w:name="_Toc11329274"/>
      <w:bookmarkStart w:id="229" w:name="_Toc8870"/>
      <w:bookmarkStart w:id="230" w:name="_Toc15863"/>
      <w:bookmarkStart w:id="231" w:name="_Toc4828"/>
      <w:bookmarkStart w:id="232" w:name="_Toc29547"/>
      <w:bookmarkStart w:id="233" w:name="_Toc25874"/>
      <w:bookmarkStart w:id="234" w:name="_Toc447827053"/>
      <w:bookmarkStart w:id="235" w:name="_Toc503951048"/>
      <w:bookmarkStart w:id="236" w:name="_Toc513633969"/>
      <w:r>
        <w:rPr>
          <w:rFonts w:hint="eastAsia" w:ascii="宋体" w:hAnsi="宋体" w:eastAsia="宋体" w:cs="宋体"/>
          <w:sz w:val="28"/>
          <w:highlight w:val="none"/>
        </w:rPr>
        <w:t>一、</w:t>
      </w:r>
      <w:bookmarkEnd w:id="228"/>
      <w:bookmarkEnd w:id="229"/>
      <w:r>
        <w:rPr>
          <w:rFonts w:hint="eastAsia" w:ascii="宋体" w:hAnsi="宋体" w:eastAsia="宋体" w:cs="宋体"/>
          <w:sz w:val="28"/>
          <w:highlight w:val="none"/>
        </w:rPr>
        <w:t>竞争比选响应声明书</w:t>
      </w:r>
      <w:bookmarkEnd w:id="230"/>
      <w:bookmarkEnd w:id="231"/>
      <w:bookmarkEnd w:id="232"/>
      <w:bookmarkEnd w:id="233"/>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铜永公司及中渝公司存储设备采购</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hint="eastAsia" w:ascii="Arial" w:hAnsi="Arial" w:cs="Arial"/>
          <w:color w:val="000000"/>
          <w:sz w:val="24"/>
          <w:highlight w:val="none"/>
          <w:u w:val="single"/>
        </w:rPr>
        <w:t>（竞争比选响应单位名称）</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hint="eastAsia" w:ascii="宋体" w:hAnsi="宋体" w:eastAsia="宋体" w:cs="宋体"/>
          <w:sz w:val="24"/>
          <w:szCs w:val="24"/>
          <w:highlight w:val="none"/>
        </w:rPr>
      </w:pPr>
      <w:bookmarkStart w:id="237" w:name="_Toc14141"/>
      <w:r>
        <w:rPr>
          <w:rFonts w:hint="eastAsia" w:ascii="宋体" w:hAnsi="宋体" w:eastAsia="宋体" w:cs="宋体"/>
          <w:sz w:val="24"/>
          <w:szCs w:val="24"/>
          <w:highlight w:val="none"/>
        </w:rPr>
        <w:t>（一）法定代表人身份证明</w:t>
      </w:r>
      <w:bookmarkEnd w:id="237"/>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8" w:name="_Toc27897"/>
      <w:bookmarkStart w:id="239" w:name="_Toc369531698"/>
      <w:bookmarkStart w:id="240" w:name="_Toc352691662"/>
      <w:r>
        <w:rPr>
          <w:rFonts w:ascii="宋体" w:hAnsi="宋体"/>
          <w:highlight w:val="none"/>
          <w:u w:val="single"/>
        </w:rPr>
        <w:t xml:space="preserve">        </w:t>
      </w:r>
      <w:r>
        <w:rPr>
          <w:rFonts w:ascii="宋体" w:hAnsi="宋体"/>
          <w:highlight w:val="none"/>
        </w:rPr>
        <w:t>年</w:t>
      </w:r>
      <w:bookmarkEnd w:id="238"/>
      <w:bookmarkEnd w:id="239"/>
      <w:bookmarkEnd w:id="240"/>
      <w:r>
        <w:rPr>
          <w:rFonts w:ascii="宋体" w:hAnsi="宋体"/>
          <w:highlight w:val="none"/>
        </w:rPr>
        <w:t>龄</w:t>
      </w:r>
      <w:bookmarkStart w:id="241" w:name="_Toc247527829"/>
      <w:bookmarkStart w:id="242" w:name="_Toc152045789"/>
      <w:bookmarkStart w:id="243" w:name="_Toc15573"/>
      <w:bookmarkStart w:id="244" w:name="_Toc384308377"/>
      <w:bookmarkStart w:id="245" w:name="_Toc247514248"/>
      <w:bookmarkStart w:id="246" w:name="_Toc152042578"/>
      <w:bookmarkStart w:id="247" w:name="_Toc300835211"/>
      <w:bookmarkStart w:id="248" w:name="_Toc144974858"/>
      <w:bookmarkStart w:id="249" w:name="_Toc361508754"/>
      <w:bookmarkStart w:id="250" w:name="_Toc369531699"/>
      <w:bookmarkStart w:id="251" w:name="_Toc352691663"/>
      <w:r>
        <w:rPr>
          <w:rFonts w:ascii="宋体" w:hAnsi="宋体"/>
          <w:highlight w:val="none"/>
        </w:rPr>
        <w:t>：</w:t>
      </w:r>
      <w:bookmarkEnd w:id="241"/>
      <w:bookmarkEnd w:id="242"/>
      <w:bookmarkEnd w:id="243"/>
      <w:bookmarkEnd w:id="244"/>
      <w:bookmarkEnd w:id="245"/>
      <w:bookmarkEnd w:id="246"/>
      <w:bookmarkEnd w:id="247"/>
      <w:bookmarkEnd w:id="248"/>
      <w:bookmarkEnd w:id="249"/>
      <w:bookmarkEnd w:id="250"/>
      <w:bookmarkEnd w:id="251"/>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2" w:name="_Toc491883233"/>
      <w:bookmarkStart w:id="253" w:name="_Toc58"/>
      <w:r>
        <w:rPr>
          <w:rFonts w:hint="eastAsia" w:ascii="宋体" w:hAnsi="宋体" w:eastAsia="宋体" w:cs="宋体"/>
          <w:sz w:val="24"/>
          <w:szCs w:val="24"/>
          <w:highlight w:val="none"/>
        </w:rPr>
        <w:t>（二）</w:t>
      </w:r>
      <w:bookmarkEnd w:id="252"/>
      <w:r>
        <w:rPr>
          <w:rFonts w:hint="eastAsia" w:ascii="宋体" w:hAnsi="宋体" w:eastAsia="宋体" w:cs="宋体"/>
          <w:sz w:val="24"/>
          <w:szCs w:val="24"/>
          <w:highlight w:val="none"/>
        </w:rPr>
        <w:t>法定代表人授权委托书</w:t>
      </w:r>
      <w:bookmarkEnd w:id="2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outlineLvl w:val="0"/>
        <w:rPr>
          <w:b/>
          <w:sz w:val="24"/>
          <w:highlight w:val="none"/>
        </w:rPr>
      </w:pPr>
    </w:p>
    <w:p>
      <w:pPr>
        <w:jc w:val="center"/>
        <w:rPr>
          <w:rFonts w:ascii="宋体" w:hAnsi="宋体" w:cs="宋体"/>
          <w:b/>
          <w:highlight w:val="none"/>
        </w:rPr>
      </w:pPr>
      <w:bookmarkStart w:id="254" w:name="_Toc11329275"/>
      <w:r>
        <w:rPr>
          <w:rFonts w:hint="eastAsia" w:ascii="宋体" w:hAnsi="宋体" w:cs="宋体"/>
          <w:b/>
          <w:bCs/>
          <w:kern w:val="0"/>
          <w:sz w:val="28"/>
          <w:szCs w:val="32"/>
          <w:highlight w:val="none"/>
        </w:rPr>
        <w:t>二、</w:t>
      </w:r>
      <w:bookmarkEnd w:id="234"/>
      <w:bookmarkEnd w:id="235"/>
      <w:bookmarkEnd w:id="236"/>
      <w:bookmarkEnd w:id="254"/>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val="en-US" w:eastAsia="zh-CN"/>
        </w:rPr>
        <w:t>铜永公司及中渝公司存储设备采购</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tbl>
      <w:tblPr>
        <w:tblW w:w="8700"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5"/>
        <w:gridCol w:w="1470"/>
        <w:gridCol w:w="1125"/>
        <w:gridCol w:w="1485"/>
        <w:gridCol w:w="675"/>
        <w:gridCol w:w="675"/>
        <w:gridCol w:w="1065"/>
        <w:gridCol w:w="85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55" w:name="_Toc503951050"/>
            <w:bookmarkStart w:id="256" w:name="_Toc11329278"/>
            <w:bookmarkStart w:id="257" w:name="_Toc513633971"/>
            <w:bookmarkStart w:id="258" w:name="_Toc152045803"/>
            <w:bookmarkStart w:id="259" w:name="_Toc144974871"/>
            <w:bookmarkStart w:id="260" w:name="_Toc179632823"/>
            <w:bookmarkStart w:id="261" w:name="_Toc246996369"/>
            <w:bookmarkStart w:id="262" w:name="_Toc247085887"/>
            <w:bookmarkStart w:id="263" w:name="_Toc152042592"/>
            <w:bookmarkStart w:id="264" w:name="_Toc246997112"/>
            <w:bookmarkStart w:id="265" w:name="_Toc447827058"/>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使用项目</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设备名称</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技术参数</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含税单价（元）</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铜永公司2023年路段加装监控项目</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CVR</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12*6T，详细参数见图纸</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2023年中渝公司自助车道建设项目</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硬盘录像机</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16路视频，6╳4TB硬盘</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bl>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rPr>
        <w:br w:type="page"/>
      </w:r>
      <w:bookmarkStart w:id="266" w:name="_Toc19207"/>
      <w:bookmarkStart w:id="267" w:name="_Toc12910"/>
      <w:bookmarkStart w:id="268" w:name="_Toc11961"/>
      <w:bookmarkStart w:id="269" w:name="_Toc18757"/>
      <w:r>
        <w:rPr>
          <w:rFonts w:hint="eastAsia" w:ascii="宋体" w:hAnsi="宋体" w:eastAsia="宋体" w:cs="宋体"/>
          <w:sz w:val="28"/>
          <w:highlight w:val="none"/>
        </w:rPr>
        <w:t>三、资格审查资料</w:t>
      </w:r>
      <w:bookmarkEnd w:id="255"/>
      <w:bookmarkEnd w:id="256"/>
      <w:bookmarkEnd w:id="257"/>
      <w:bookmarkEnd w:id="266"/>
      <w:bookmarkEnd w:id="267"/>
      <w:bookmarkEnd w:id="268"/>
      <w:bookmarkEnd w:id="269"/>
    </w:p>
    <w:p>
      <w:pPr>
        <w:pStyle w:val="4"/>
        <w:spacing w:before="0" w:after="0" w:line="360" w:lineRule="auto"/>
        <w:jc w:val="center"/>
        <w:rPr>
          <w:rFonts w:ascii="宋体" w:hAnsi="宋体" w:eastAsia="宋体" w:cs="宋体"/>
          <w:sz w:val="28"/>
          <w:highlight w:val="none"/>
        </w:rPr>
      </w:pPr>
      <w:bookmarkStart w:id="270" w:name="_Toc22003"/>
      <w:bookmarkStart w:id="271" w:name="_Toc23731"/>
      <w:bookmarkStart w:id="272" w:name="_Toc17915"/>
      <w:bookmarkStart w:id="273" w:name="_Toc32456"/>
      <w:r>
        <w:rPr>
          <w:rFonts w:hint="eastAsia" w:ascii="宋体" w:hAnsi="宋体" w:eastAsia="宋体" w:cs="宋体"/>
          <w:sz w:val="28"/>
          <w:highlight w:val="none"/>
        </w:rPr>
        <w:t>（营业执照、资质证书等）</w:t>
      </w:r>
      <w:bookmarkEnd w:id="270"/>
      <w:bookmarkEnd w:id="271"/>
      <w:bookmarkEnd w:id="272"/>
      <w:bookmarkEnd w:id="273"/>
    </w:p>
    <w:bookmarkEnd w:id="258"/>
    <w:bookmarkEnd w:id="259"/>
    <w:bookmarkEnd w:id="260"/>
    <w:bookmarkEnd w:id="261"/>
    <w:bookmarkEnd w:id="262"/>
    <w:bookmarkEnd w:id="263"/>
    <w:bookmarkEnd w:id="264"/>
    <w:bookmarkEnd w:id="265"/>
    <w:p>
      <w:pPr>
        <w:rPr>
          <w:highlight w:val="none"/>
        </w:rPr>
      </w:pPr>
      <w:bookmarkStart w:id="274" w:name="_Toc447827068"/>
      <w:bookmarkStart w:id="275" w:name="_Toc503951055"/>
      <w:bookmarkStart w:id="276" w:name="_Toc513633973"/>
    </w:p>
    <w:p>
      <w:pPr>
        <w:pStyle w:val="4"/>
        <w:spacing w:before="0" w:after="0" w:line="360" w:lineRule="auto"/>
        <w:jc w:val="center"/>
        <w:rPr>
          <w:rFonts w:ascii="宋体" w:hAnsi="宋体" w:eastAsia="宋体" w:cs="宋体"/>
          <w:sz w:val="28"/>
          <w:highlight w:val="none"/>
        </w:rPr>
      </w:pPr>
      <w:bookmarkStart w:id="277" w:name="_Toc11672"/>
      <w:bookmarkStart w:id="278" w:name="_Toc11329281"/>
      <w:r>
        <w:rPr>
          <w:rFonts w:hint="eastAsia" w:ascii="宋体" w:hAnsi="宋体" w:eastAsia="宋体" w:cs="宋体"/>
          <w:sz w:val="28"/>
          <w:highlight w:val="none"/>
        </w:rPr>
        <w:br w:type="page"/>
      </w:r>
      <w:bookmarkStart w:id="279" w:name="_Toc11243"/>
      <w:bookmarkStart w:id="280" w:name="_Toc4378"/>
      <w:bookmarkStart w:id="281" w:name="_Toc29559"/>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03951058"/>
      <w:bookmarkStart w:id="284" w:name="_Toc513633974"/>
      <w:r>
        <w:rPr>
          <w:rFonts w:hint="eastAsia" w:ascii="宋体" w:hAnsi="宋体" w:cs="宋体"/>
          <w:sz w:val="28"/>
          <w:highlight w:val="none"/>
        </w:rPr>
        <w:t>（一）</w:t>
      </w:r>
      <w:bookmarkEnd w:id="282"/>
      <w:bookmarkStart w:id="285" w:name="_Toc504639215"/>
      <w:bookmarkStart w:id="286" w:name="_Toc507681488"/>
      <w:bookmarkStart w:id="287" w:name="_Toc507681700"/>
      <w:r>
        <w:rPr>
          <w:rFonts w:hint="eastAsia" w:ascii="宋体" w:hAnsi="宋体" w:cs="宋体"/>
          <w:sz w:val="28"/>
          <w:highlight w:val="none"/>
        </w:rPr>
        <w:t>报价人自行承诺部分</w:t>
      </w:r>
      <w:bookmarkEnd w:id="285"/>
      <w:bookmarkEnd w:id="286"/>
      <w:bookmarkEnd w:id="287"/>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铜永公司及中渝公司存储设备采购</w:t>
      </w:r>
      <w:r>
        <w:rPr>
          <w:rFonts w:hint="eastAsia" w:ascii="宋体" w:hAnsi="宋体" w:cs="宋体"/>
          <w:b/>
          <w:bCs/>
          <w:kern w:val="0"/>
          <w:szCs w:val="21"/>
          <w:highlight w:val="none"/>
          <w:lang w:val="en-US" w:eastAsia="zh-CN"/>
        </w:rPr>
        <w:t>的竞争性比选，对以下内容作出承诺：</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r>
        <w:rPr>
          <w:rFonts w:hint="eastAsia" w:ascii="宋体" w:hAnsi="宋体" w:eastAsia="宋体" w:cs="宋体"/>
          <w:kern w:val="0"/>
          <w:sz w:val="21"/>
          <w:szCs w:val="21"/>
          <w:highlight w:val="none"/>
          <w:u w:val="none"/>
          <w:lang w:val="en-US" w:eastAsia="zh-CN" w:bidi="ar-SA"/>
        </w:rPr>
        <w:t>。</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r>
        <w:rPr>
          <w:rFonts w:hint="eastAsia" w:ascii="宋体" w:hAnsi="宋体" w:eastAsia="宋体" w:cs="宋体"/>
          <w:kern w:val="0"/>
          <w:sz w:val="21"/>
          <w:szCs w:val="21"/>
          <w:highlight w:val="none"/>
          <w:u w:val="none"/>
          <w:lang w:val="en-US" w:eastAsia="zh-CN" w:bidi="ar-SA"/>
        </w:rPr>
        <w:t>。</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r>
        <w:rPr>
          <w:rFonts w:hint="eastAsia" w:ascii="宋体" w:hAnsi="宋体" w:eastAsia="宋体" w:cs="宋体"/>
          <w:kern w:val="0"/>
          <w:sz w:val="21"/>
          <w:szCs w:val="21"/>
          <w:highlight w:val="none"/>
          <w:u w:val="none"/>
          <w:lang w:val="en-US" w:eastAsia="zh-CN" w:bidi="ar-SA"/>
        </w:rPr>
        <w:t>。</w:t>
      </w:r>
    </w:p>
    <w:p>
      <w:pPr>
        <w:spacing w:line="360" w:lineRule="auto"/>
        <w:ind w:firstLine="420" w:firstLineChars="200"/>
        <w:jc w:val="left"/>
        <w:rPr>
          <w:rFonts w:hint="eastAsia" w:ascii="宋体" w:hAnsi="宋体" w:cs="宋体"/>
          <w:kern w:val="0"/>
          <w:szCs w:val="21"/>
          <w:highlight w:val="none"/>
        </w:rPr>
      </w:pPr>
      <w:r>
        <w:rPr>
          <w:rFonts w:hint="eastAsia"/>
          <w:lang w:val="en-US" w:eastAsia="zh-CN"/>
        </w:rPr>
        <w:t>（其余报价人需承诺部分自行往下编号添加）</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 xml:space="preserve">                         签字：</w:t>
      </w:r>
    </w:p>
    <w:p>
      <w:pPr>
        <w:pStyle w:val="5"/>
        <w:jc w:val="center"/>
        <w:rPr>
          <w:rFonts w:ascii="宋体" w:hAnsi="宋体" w:cs="宋体"/>
          <w:sz w:val="28"/>
          <w:highlight w:val="none"/>
        </w:rPr>
      </w:pPr>
      <w:r>
        <w:rPr>
          <w:rFonts w:hint="eastAsia" w:ascii="宋体" w:hAnsi="宋体" w:eastAsia="宋体" w:cs="宋体"/>
          <w:b/>
          <w:bCs/>
          <w:kern w:val="0"/>
          <w:sz w:val="21"/>
          <w:szCs w:val="21"/>
          <w:highlight w:val="none"/>
          <w:lang w:val="en-US" w:eastAsia="zh-CN" w:bidi="ar-SA"/>
        </w:rPr>
        <w:t xml:space="preserve">                         盖章：</w:t>
      </w: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
      <w:pPr>
        <w:pStyle w:val="5"/>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88" w:name="_Toc4375"/>
      <w:bookmarkStart w:id="289" w:name="_Toc508110857"/>
      <w:bookmarkStart w:id="290" w:name="_Toc45210713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88"/>
      <w:bookmarkEnd w:id="289"/>
      <w:bookmarkEnd w:id="290"/>
    </w:p>
    <w:p>
      <w:pPr>
        <w:pStyle w:val="25"/>
        <w:rPr>
          <w:highlight w:val="none"/>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5"/>
        <w:jc w:val="center"/>
        <w:rPr>
          <w:rFonts w:hint="eastAsia"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w:t>
      </w:r>
      <w:r>
        <w:rPr>
          <w:rFonts w:hint="eastAsia" w:ascii="宋体" w:hAnsi="宋体" w:cs="宋体"/>
          <w:sz w:val="28"/>
          <w:highlight w:val="none"/>
          <w:lang w:val="en-US" w:eastAsia="zh-CN"/>
        </w:rPr>
        <w:t>投标保证金等</w:t>
      </w:r>
      <w:r>
        <w:rPr>
          <w:rFonts w:hint="eastAsia" w:ascii="宋体" w:hAnsi="宋体" w:cs="宋体"/>
          <w:sz w:val="28"/>
          <w:highlight w:val="none"/>
        </w:rPr>
        <w:t>）</w:t>
      </w:r>
    </w:p>
    <w:p>
      <w:pPr>
        <w:outlineLvl w:val="0"/>
        <w:rPr>
          <w:b/>
          <w:sz w:val="24"/>
          <w:highlight w:val="none"/>
        </w:rPr>
      </w:pPr>
    </w:p>
    <w:p>
      <w:pPr>
        <w:pStyle w:val="5"/>
        <w:jc w:val="center"/>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bookmarkEnd w:id="283"/>
    <w:bookmarkEnd w:id="284"/>
    <w:p>
      <w:pPr>
        <w:pStyle w:val="27"/>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BF63EF-39D0-4ABF-8703-903A2C0BAB9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E2022B4-AB6C-4E87-A803-CA8499D6FD77}"/>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17</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6</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05BA1E1"/>
    <w:multiLevelType w:val="singleLevel"/>
    <w:tmpl w:val="605BA1E1"/>
    <w:lvl w:ilvl="0" w:tentative="0">
      <w:start w:val="6"/>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1F7"/>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4DE8"/>
    <w:rsid w:val="00855C88"/>
    <w:rsid w:val="00857785"/>
    <w:rsid w:val="00857AD8"/>
    <w:rsid w:val="008601D6"/>
    <w:rsid w:val="0086066C"/>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2741"/>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86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773477"/>
    <w:rsid w:val="017A43FC"/>
    <w:rsid w:val="01852BD3"/>
    <w:rsid w:val="0197794F"/>
    <w:rsid w:val="022E5ECA"/>
    <w:rsid w:val="02780A9B"/>
    <w:rsid w:val="02812C2F"/>
    <w:rsid w:val="029E0ABC"/>
    <w:rsid w:val="02A800C5"/>
    <w:rsid w:val="02C31095"/>
    <w:rsid w:val="02C540E4"/>
    <w:rsid w:val="02D032D3"/>
    <w:rsid w:val="034B5451"/>
    <w:rsid w:val="036C5E11"/>
    <w:rsid w:val="037D0CD2"/>
    <w:rsid w:val="038A3F97"/>
    <w:rsid w:val="038B3366"/>
    <w:rsid w:val="03981B5E"/>
    <w:rsid w:val="03996EAD"/>
    <w:rsid w:val="039F467D"/>
    <w:rsid w:val="03F60BFA"/>
    <w:rsid w:val="04023CC8"/>
    <w:rsid w:val="042674F4"/>
    <w:rsid w:val="04601D6A"/>
    <w:rsid w:val="04C12ED8"/>
    <w:rsid w:val="04DC5749"/>
    <w:rsid w:val="04E26FED"/>
    <w:rsid w:val="04E7565C"/>
    <w:rsid w:val="04ED4500"/>
    <w:rsid w:val="04FD6633"/>
    <w:rsid w:val="057326B6"/>
    <w:rsid w:val="05871A0A"/>
    <w:rsid w:val="05A70EA9"/>
    <w:rsid w:val="05D55D36"/>
    <w:rsid w:val="05E8737A"/>
    <w:rsid w:val="060C2525"/>
    <w:rsid w:val="062756FD"/>
    <w:rsid w:val="063362B9"/>
    <w:rsid w:val="067C53E7"/>
    <w:rsid w:val="067C79B2"/>
    <w:rsid w:val="06820F5E"/>
    <w:rsid w:val="06923122"/>
    <w:rsid w:val="06AE2ABA"/>
    <w:rsid w:val="06AF5A0D"/>
    <w:rsid w:val="06DD02BB"/>
    <w:rsid w:val="06E71F51"/>
    <w:rsid w:val="07041E52"/>
    <w:rsid w:val="07050666"/>
    <w:rsid w:val="07362674"/>
    <w:rsid w:val="073B54B2"/>
    <w:rsid w:val="07652F63"/>
    <w:rsid w:val="077B3234"/>
    <w:rsid w:val="078801B7"/>
    <w:rsid w:val="078E1545"/>
    <w:rsid w:val="07943000"/>
    <w:rsid w:val="081748AE"/>
    <w:rsid w:val="08406399"/>
    <w:rsid w:val="08575FBE"/>
    <w:rsid w:val="08635851"/>
    <w:rsid w:val="08C2359B"/>
    <w:rsid w:val="09041814"/>
    <w:rsid w:val="092D7BDC"/>
    <w:rsid w:val="09332D2B"/>
    <w:rsid w:val="093E2D64"/>
    <w:rsid w:val="098B1DA7"/>
    <w:rsid w:val="09A31A61"/>
    <w:rsid w:val="09D92F4C"/>
    <w:rsid w:val="09DE1094"/>
    <w:rsid w:val="09E2475B"/>
    <w:rsid w:val="09EC3E56"/>
    <w:rsid w:val="0A062E2F"/>
    <w:rsid w:val="0A3F34B7"/>
    <w:rsid w:val="0A4B11BE"/>
    <w:rsid w:val="0A877245"/>
    <w:rsid w:val="0A8E5B8D"/>
    <w:rsid w:val="0AA240FA"/>
    <w:rsid w:val="0AAC0CBB"/>
    <w:rsid w:val="0AAD0691"/>
    <w:rsid w:val="0AD84BD3"/>
    <w:rsid w:val="0AFA16FB"/>
    <w:rsid w:val="0B0443BA"/>
    <w:rsid w:val="0B1061C6"/>
    <w:rsid w:val="0B2B08D5"/>
    <w:rsid w:val="0B3A0C9A"/>
    <w:rsid w:val="0B616E15"/>
    <w:rsid w:val="0BB825ED"/>
    <w:rsid w:val="0BC0647C"/>
    <w:rsid w:val="0BF26817"/>
    <w:rsid w:val="0C22464A"/>
    <w:rsid w:val="0C623EAC"/>
    <w:rsid w:val="0CAD24AF"/>
    <w:rsid w:val="0CE2641B"/>
    <w:rsid w:val="0CE8154F"/>
    <w:rsid w:val="0CEA34BE"/>
    <w:rsid w:val="0CF45A62"/>
    <w:rsid w:val="0D662EE5"/>
    <w:rsid w:val="0D7445F1"/>
    <w:rsid w:val="0D9339BE"/>
    <w:rsid w:val="0D9F0DC4"/>
    <w:rsid w:val="0DDE695A"/>
    <w:rsid w:val="0E023FCF"/>
    <w:rsid w:val="0E2D072E"/>
    <w:rsid w:val="0E3B295D"/>
    <w:rsid w:val="0E47249B"/>
    <w:rsid w:val="0E551882"/>
    <w:rsid w:val="0E887A67"/>
    <w:rsid w:val="0E96111C"/>
    <w:rsid w:val="0E9E2292"/>
    <w:rsid w:val="0EA31D7A"/>
    <w:rsid w:val="0EF375AF"/>
    <w:rsid w:val="0EF8359E"/>
    <w:rsid w:val="0F105091"/>
    <w:rsid w:val="0F4C19DA"/>
    <w:rsid w:val="0F4C7D05"/>
    <w:rsid w:val="0F5B1FBE"/>
    <w:rsid w:val="0F5F17BD"/>
    <w:rsid w:val="0F90531D"/>
    <w:rsid w:val="0FA805FB"/>
    <w:rsid w:val="0FAD64B5"/>
    <w:rsid w:val="0FE444A1"/>
    <w:rsid w:val="0FEB1B4B"/>
    <w:rsid w:val="0FFF5930"/>
    <w:rsid w:val="101C207C"/>
    <w:rsid w:val="10421816"/>
    <w:rsid w:val="10701B06"/>
    <w:rsid w:val="1087479C"/>
    <w:rsid w:val="10A265EF"/>
    <w:rsid w:val="110732FE"/>
    <w:rsid w:val="111B31CE"/>
    <w:rsid w:val="11485B0D"/>
    <w:rsid w:val="11586E4C"/>
    <w:rsid w:val="11653417"/>
    <w:rsid w:val="117076B2"/>
    <w:rsid w:val="117533BA"/>
    <w:rsid w:val="11D56D08"/>
    <w:rsid w:val="122136E2"/>
    <w:rsid w:val="125E1A9C"/>
    <w:rsid w:val="1276289F"/>
    <w:rsid w:val="1288522D"/>
    <w:rsid w:val="129D6A95"/>
    <w:rsid w:val="12AF4046"/>
    <w:rsid w:val="12B677C2"/>
    <w:rsid w:val="12CE506D"/>
    <w:rsid w:val="12DE7753"/>
    <w:rsid w:val="12F65490"/>
    <w:rsid w:val="12F73D2A"/>
    <w:rsid w:val="13112273"/>
    <w:rsid w:val="13511DF6"/>
    <w:rsid w:val="135466C4"/>
    <w:rsid w:val="138B4634"/>
    <w:rsid w:val="138F1214"/>
    <w:rsid w:val="13D101C7"/>
    <w:rsid w:val="13D65F2A"/>
    <w:rsid w:val="1400440E"/>
    <w:rsid w:val="14214815"/>
    <w:rsid w:val="144729D8"/>
    <w:rsid w:val="14AB614D"/>
    <w:rsid w:val="14D56A06"/>
    <w:rsid w:val="14FC0EBF"/>
    <w:rsid w:val="15411A54"/>
    <w:rsid w:val="15507C7E"/>
    <w:rsid w:val="15664AEF"/>
    <w:rsid w:val="158E23E1"/>
    <w:rsid w:val="159D7EA6"/>
    <w:rsid w:val="159F1BF9"/>
    <w:rsid w:val="15AC518D"/>
    <w:rsid w:val="15B17923"/>
    <w:rsid w:val="160B0227"/>
    <w:rsid w:val="165D4F05"/>
    <w:rsid w:val="1674139D"/>
    <w:rsid w:val="167C24BB"/>
    <w:rsid w:val="16CF02A2"/>
    <w:rsid w:val="16F512D4"/>
    <w:rsid w:val="17081A7A"/>
    <w:rsid w:val="170D377F"/>
    <w:rsid w:val="17292C0C"/>
    <w:rsid w:val="176F50FE"/>
    <w:rsid w:val="17A45CB6"/>
    <w:rsid w:val="17DD0B49"/>
    <w:rsid w:val="180E6EF9"/>
    <w:rsid w:val="181C1400"/>
    <w:rsid w:val="18223BBF"/>
    <w:rsid w:val="18D435BC"/>
    <w:rsid w:val="18E36FE2"/>
    <w:rsid w:val="18F11B7B"/>
    <w:rsid w:val="193844ED"/>
    <w:rsid w:val="198310E9"/>
    <w:rsid w:val="19BA69A5"/>
    <w:rsid w:val="19BB1243"/>
    <w:rsid w:val="19DF6D3F"/>
    <w:rsid w:val="19E24459"/>
    <w:rsid w:val="19F0782F"/>
    <w:rsid w:val="19FB72C6"/>
    <w:rsid w:val="1A3D7EBE"/>
    <w:rsid w:val="1A4353A0"/>
    <w:rsid w:val="1A7E4804"/>
    <w:rsid w:val="1A9C5527"/>
    <w:rsid w:val="1AC75EFD"/>
    <w:rsid w:val="1ACE5888"/>
    <w:rsid w:val="1AD00D8B"/>
    <w:rsid w:val="1ADA27A4"/>
    <w:rsid w:val="1B075A0C"/>
    <w:rsid w:val="1B114159"/>
    <w:rsid w:val="1B67066F"/>
    <w:rsid w:val="1B6A6854"/>
    <w:rsid w:val="1B7229E4"/>
    <w:rsid w:val="1B7A5EC7"/>
    <w:rsid w:val="1B9724FE"/>
    <w:rsid w:val="1BA13662"/>
    <w:rsid w:val="1BA35EDC"/>
    <w:rsid w:val="1C2017B0"/>
    <w:rsid w:val="1CB30939"/>
    <w:rsid w:val="1CF6260F"/>
    <w:rsid w:val="1CF83AEA"/>
    <w:rsid w:val="1D6914D5"/>
    <w:rsid w:val="1D7E09CF"/>
    <w:rsid w:val="1DF33318"/>
    <w:rsid w:val="1E2123EB"/>
    <w:rsid w:val="1E7F32B0"/>
    <w:rsid w:val="1E81362E"/>
    <w:rsid w:val="1E8B15D7"/>
    <w:rsid w:val="1EBB622E"/>
    <w:rsid w:val="1EEA13A6"/>
    <w:rsid w:val="1EFE0AE6"/>
    <w:rsid w:val="1EFE64E9"/>
    <w:rsid w:val="1F612D89"/>
    <w:rsid w:val="1F6207D0"/>
    <w:rsid w:val="1F7E34F3"/>
    <w:rsid w:val="1F882FF2"/>
    <w:rsid w:val="1FE1627D"/>
    <w:rsid w:val="1FEA603B"/>
    <w:rsid w:val="201A1476"/>
    <w:rsid w:val="20293E2F"/>
    <w:rsid w:val="203B3D71"/>
    <w:rsid w:val="206E3E8E"/>
    <w:rsid w:val="207277F1"/>
    <w:rsid w:val="208247DE"/>
    <w:rsid w:val="2093114F"/>
    <w:rsid w:val="209B57AA"/>
    <w:rsid w:val="20A87B06"/>
    <w:rsid w:val="20D83D6E"/>
    <w:rsid w:val="20EA6084"/>
    <w:rsid w:val="20F01139"/>
    <w:rsid w:val="20F1461D"/>
    <w:rsid w:val="212152E8"/>
    <w:rsid w:val="212B522B"/>
    <w:rsid w:val="216B5207"/>
    <w:rsid w:val="21736537"/>
    <w:rsid w:val="21977807"/>
    <w:rsid w:val="219D77BC"/>
    <w:rsid w:val="21EF5E3F"/>
    <w:rsid w:val="22031056"/>
    <w:rsid w:val="22446344"/>
    <w:rsid w:val="226827C0"/>
    <w:rsid w:val="227875E3"/>
    <w:rsid w:val="227C6EFF"/>
    <w:rsid w:val="22942795"/>
    <w:rsid w:val="229B25D6"/>
    <w:rsid w:val="22A10D06"/>
    <w:rsid w:val="22E46F4A"/>
    <w:rsid w:val="22F20159"/>
    <w:rsid w:val="23486890"/>
    <w:rsid w:val="238B1EDE"/>
    <w:rsid w:val="23AB4CDF"/>
    <w:rsid w:val="23C37A75"/>
    <w:rsid w:val="23D964C1"/>
    <w:rsid w:val="23EB6BB8"/>
    <w:rsid w:val="242A2CE1"/>
    <w:rsid w:val="24436391"/>
    <w:rsid w:val="24AD6D9A"/>
    <w:rsid w:val="24C42510"/>
    <w:rsid w:val="254A5C25"/>
    <w:rsid w:val="258E0271"/>
    <w:rsid w:val="259358AB"/>
    <w:rsid w:val="259E376E"/>
    <w:rsid w:val="25CE5F37"/>
    <w:rsid w:val="26154215"/>
    <w:rsid w:val="26666FDC"/>
    <w:rsid w:val="26B267E7"/>
    <w:rsid w:val="26C80CCF"/>
    <w:rsid w:val="26CD51A3"/>
    <w:rsid w:val="26F65310"/>
    <w:rsid w:val="27352534"/>
    <w:rsid w:val="27357F9F"/>
    <w:rsid w:val="27EF1935"/>
    <w:rsid w:val="27F66ABE"/>
    <w:rsid w:val="280A1B75"/>
    <w:rsid w:val="28105ECB"/>
    <w:rsid w:val="28256D6A"/>
    <w:rsid w:val="283962F8"/>
    <w:rsid w:val="28A9637D"/>
    <w:rsid w:val="28B740DA"/>
    <w:rsid w:val="28BD3A65"/>
    <w:rsid w:val="28C17575"/>
    <w:rsid w:val="290212C1"/>
    <w:rsid w:val="29403128"/>
    <w:rsid w:val="29656DCE"/>
    <w:rsid w:val="298B4B23"/>
    <w:rsid w:val="29C0316B"/>
    <w:rsid w:val="29D875FE"/>
    <w:rsid w:val="2A194E5D"/>
    <w:rsid w:val="2A594BC2"/>
    <w:rsid w:val="2A6C7505"/>
    <w:rsid w:val="2AA90FA0"/>
    <w:rsid w:val="2AB53836"/>
    <w:rsid w:val="2B326E78"/>
    <w:rsid w:val="2B33404E"/>
    <w:rsid w:val="2B552F60"/>
    <w:rsid w:val="2B726FF9"/>
    <w:rsid w:val="2BA576C3"/>
    <w:rsid w:val="2BB367B9"/>
    <w:rsid w:val="2BB611C4"/>
    <w:rsid w:val="2C184D47"/>
    <w:rsid w:val="2C543302"/>
    <w:rsid w:val="2C796A89"/>
    <w:rsid w:val="2C856399"/>
    <w:rsid w:val="2CBD3A96"/>
    <w:rsid w:val="2CC74339"/>
    <w:rsid w:val="2CCE1414"/>
    <w:rsid w:val="2CD43C7E"/>
    <w:rsid w:val="2CF93ABF"/>
    <w:rsid w:val="2D1E27A3"/>
    <w:rsid w:val="2D465DBB"/>
    <w:rsid w:val="2D766528"/>
    <w:rsid w:val="2DE2142E"/>
    <w:rsid w:val="2E3229C1"/>
    <w:rsid w:val="2E6510BC"/>
    <w:rsid w:val="2E6A704D"/>
    <w:rsid w:val="2E8A6255"/>
    <w:rsid w:val="2EBC0FFC"/>
    <w:rsid w:val="2EE04EF4"/>
    <w:rsid w:val="2F0B1048"/>
    <w:rsid w:val="2F141AAA"/>
    <w:rsid w:val="2F6F34DE"/>
    <w:rsid w:val="2FF23F99"/>
    <w:rsid w:val="30236367"/>
    <w:rsid w:val="30331BC6"/>
    <w:rsid w:val="303E7E03"/>
    <w:rsid w:val="304A182B"/>
    <w:rsid w:val="30666D3B"/>
    <w:rsid w:val="30757C00"/>
    <w:rsid w:val="30761B12"/>
    <w:rsid w:val="307852E8"/>
    <w:rsid w:val="307D5D65"/>
    <w:rsid w:val="30B34CE3"/>
    <w:rsid w:val="30CB1C83"/>
    <w:rsid w:val="31450491"/>
    <w:rsid w:val="31832D29"/>
    <w:rsid w:val="31AE3364"/>
    <w:rsid w:val="31D20CDE"/>
    <w:rsid w:val="31EF007A"/>
    <w:rsid w:val="31F37E23"/>
    <w:rsid w:val="320D762A"/>
    <w:rsid w:val="32223DC6"/>
    <w:rsid w:val="32665008"/>
    <w:rsid w:val="327B6CAD"/>
    <w:rsid w:val="329032EF"/>
    <w:rsid w:val="32930B88"/>
    <w:rsid w:val="329970EF"/>
    <w:rsid w:val="32B35AAA"/>
    <w:rsid w:val="334459AC"/>
    <w:rsid w:val="335311DB"/>
    <w:rsid w:val="33705A64"/>
    <w:rsid w:val="337449DC"/>
    <w:rsid w:val="33B07D78"/>
    <w:rsid w:val="33C024F3"/>
    <w:rsid w:val="33D55126"/>
    <w:rsid w:val="33F44ABC"/>
    <w:rsid w:val="342645AD"/>
    <w:rsid w:val="34335C8F"/>
    <w:rsid w:val="34617CD8"/>
    <w:rsid w:val="34646885"/>
    <w:rsid w:val="34731A2E"/>
    <w:rsid w:val="348F6779"/>
    <w:rsid w:val="34A61339"/>
    <w:rsid w:val="34F26E0C"/>
    <w:rsid w:val="34F3793E"/>
    <w:rsid w:val="35185DCE"/>
    <w:rsid w:val="35545DA9"/>
    <w:rsid w:val="35574E9C"/>
    <w:rsid w:val="35712E34"/>
    <w:rsid w:val="357D1550"/>
    <w:rsid w:val="35ED793B"/>
    <w:rsid w:val="35F25212"/>
    <w:rsid w:val="366C082D"/>
    <w:rsid w:val="36C90DD1"/>
    <w:rsid w:val="3703397C"/>
    <w:rsid w:val="374A2D3B"/>
    <w:rsid w:val="37704489"/>
    <w:rsid w:val="377D1FF4"/>
    <w:rsid w:val="37925427"/>
    <w:rsid w:val="37A55DCC"/>
    <w:rsid w:val="37CA04FF"/>
    <w:rsid w:val="37FD2868"/>
    <w:rsid w:val="38643511"/>
    <w:rsid w:val="38AD49B0"/>
    <w:rsid w:val="39082AF0"/>
    <w:rsid w:val="394C68A5"/>
    <w:rsid w:val="395E479A"/>
    <w:rsid w:val="39A36C2D"/>
    <w:rsid w:val="39AA29B9"/>
    <w:rsid w:val="39C9079C"/>
    <w:rsid w:val="39E71AEC"/>
    <w:rsid w:val="39F60058"/>
    <w:rsid w:val="3A104089"/>
    <w:rsid w:val="3A6C5593"/>
    <w:rsid w:val="3AA14ABB"/>
    <w:rsid w:val="3AAC6550"/>
    <w:rsid w:val="3AB8426E"/>
    <w:rsid w:val="3ACF765C"/>
    <w:rsid w:val="3AD278CD"/>
    <w:rsid w:val="3AFA4BE5"/>
    <w:rsid w:val="3B144639"/>
    <w:rsid w:val="3B2A44B8"/>
    <w:rsid w:val="3B2B6476"/>
    <w:rsid w:val="3BBC038E"/>
    <w:rsid w:val="3C1F017C"/>
    <w:rsid w:val="3C852047"/>
    <w:rsid w:val="3C926C30"/>
    <w:rsid w:val="3CA13116"/>
    <w:rsid w:val="3CA925AE"/>
    <w:rsid w:val="3CF877AB"/>
    <w:rsid w:val="3CFC071D"/>
    <w:rsid w:val="3D0F5CEC"/>
    <w:rsid w:val="3D131743"/>
    <w:rsid w:val="3D306CB2"/>
    <w:rsid w:val="3D613D22"/>
    <w:rsid w:val="3D667959"/>
    <w:rsid w:val="3D8230F2"/>
    <w:rsid w:val="3D881916"/>
    <w:rsid w:val="3D886E2C"/>
    <w:rsid w:val="3DA60864"/>
    <w:rsid w:val="3DD83D60"/>
    <w:rsid w:val="3DF044B2"/>
    <w:rsid w:val="3E044CAE"/>
    <w:rsid w:val="3E4E4383"/>
    <w:rsid w:val="3EAD4174"/>
    <w:rsid w:val="3EAD7F9C"/>
    <w:rsid w:val="3EB32892"/>
    <w:rsid w:val="3EBC3336"/>
    <w:rsid w:val="3F064AE9"/>
    <w:rsid w:val="3F3B0C43"/>
    <w:rsid w:val="3F4C62B0"/>
    <w:rsid w:val="3F5160C2"/>
    <w:rsid w:val="3F63690D"/>
    <w:rsid w:val="3F677511"/>
    <w:rsid w:val="3FB2668C"/>
    <w:rsid w:val="3FC06492"/>
    <w:rsid w:val="3FC27B53"/>
    <w:rsid w:val="401F3C2B"/>
    <w:rsid w:val="402A34B8"/>
    <w:rsid w:val="40360CD1"/>
    <w:rsid w:val="405C39B3"/>
    <w:rsid w:val="40613E30"/>
    <w:rsid w:val="40736573"/>
    <w:rsid w:val="409B4A07"/>
    <w:rsid w:val="40A96C24"/>
    <w:rsid w:val="40F66678"/>
    <w:rsid w:val="4120577A"/>
    <w:rsid w:val="412368EE"/>
    <w:rsid w:val="4134460A"/>
    <w:rsid w:val="4167053C"/>
    <w:rsid w:val="416C6B92"/>
    <w:rsid w:val="41FD121E"/>
    <w:rsid w:val="421A7627"/>
    <w:rsid w:val="421B512C"/>
    <w:rsid w:val="4233112B"/>
    <w:rsid w:val="42613503"/>
    <w:rsid w:val="42721624"/>
    <w:rsid w:val="428E5F29"/>
    <w:rsid w:val="42F057B4"/>
    <w:rsid w:val="432F7565"/>
    <w:rsid w:val="43352B14"/>
    <w:rsid w:val="43702851"/>
    <w:rsid w:val="44183734"/>
    <w:rsid w:val="4424604A"/>
    <w:rsid w:val="44490F85"/>
    <w:rsid w:val="445014AB"/>
    <w:rsid w:val="44FE409C"/>
    <w:rsid w:val="454A7807"/>
    <w:rsid w:val="454F0B76"/>
    <w:rsid w:val="457E2BBE"/>
    <w:rsid w:val="45CC2B61"/>
    <w:rsid w:val="45D43F84"/>
    <w:rsid w:val="45E076C0"/>
    <w:rsid w:val="460C5E7C"/>
    <w:rsid w:val="461971A9"/>
    <w:rsid w:val="4662498C"/>
    <w:rsid w:val="46A022D9"/>
    <w:rsid w:val="46A9554B"/>
    <w:rsid w:val="46BE1A6C"/>
    <w:rsid w:val="46D7175B"/>
    <w:rsid w:val="4716722E"/>
    <w:rsid w:val="471B3499"/>
    <w:rsid w:val="47391B5A"/>
    <w:rsid w:val="477C2455"/>
    <w:rsid w:val="47B440D5"/>
    <w:rsid w:val="48037A8A"/>
    <w:rsid w:val="48377D23"/>
    <w:rsid w:val="485F04C9"/>
    <w:rsid w:val="486634EE"/>
    <w:rsid w:val="48807890"/>
    <w:rsid w:val="48A64B98"/>
    <w:rsid w:val="48BC156D"/>
    <w:rsid w:val="48E804E2"/>
    <w:rsid w:val="48F765BE"/>
    <w:rsid w:val="492568A0"/>
    <w:rsid w:val="492C1C18"/>
    <w:rsid w:val="49320F23"/>
    <w:rsid w:val="49DD73AE"/>
    <w:rsid w:val="49F308E0"/>
    <w:rsid w:val="49F95BD6"/>
    <w:rsid w:val="4A007BF5"/>
    <w:rsid w:val="4A225551"/>
    <w:rsid w:val="4A2D058F"/>
    <w:rsid w:val="4A5B655E"/>
    <w:rsid w:val="4A6F0523"/>
    <w:rsid w:val="4AD703A4"/>
    <w:rsid w:val="4B5B0245"/>
    <w:rsid w:val="4B86504E"/>
    <w:rsid w:val="4B866AF8"/>
    <w:rsid w:val="4BD07B58"/>
    <w:rsid w:val="4BDC276F"/>
    <w:rsid w:val="4BF97BFE"/>
    <w:rsid w:val="4C2B00B1"/>
    <w:rsid w:val="4C3176AB"/>
    <w:rsid w:val="4C5B2226"/>
    <w:rsid w:val="4C6E278E"/>
    <w:rsid w:val="4CD55307"/>
    <w:rsid w:val="4CF73C3A"/>
    <w:rsid w:val="4CFF2296"/>
    <w:rsid w:val="4D0478AD"/>
    <w:rsid w:val="4D52686A"/>
    <w:rsid w:val="4D7251FF"/>
    <w:rsid w:val="4D86623D"/>
    <w:rsid w:val="4DC614FB"/>
    <w:rsid w:val="4E275DC7"/>
    <w:rsid w:val="4E472C92"/>
    <w:rsid w:val="4E5A4335"/>
    <w:rsid w:val="4E9D5C2D"/>
    <w:rsid w:val="4EBA57C1"/>
    <w:rsid w:val="4F0E39D4"/>
    <w:rsid w:val="4F1F1461"/>
    <w:rsid w:val="4F2B696A"/>
    <w:rsid w:val="4F5819BC"/>
    <w:rsid w:val="4FA91AAC"/>
    <w:rsid w:val="4FBD0FF5"/>
    <w:rsid w:val="4FC854D7"/>
    <w:rsid w:val="50142DE1"/>
    <w:rsid w:val="5015687B"/>
    <w:rsid w:val="501926CA"/>
    <w:rsid w:val="503A7FC5"/>
    <w:rsid w:val="50450BAF"/>
    <w:rsid w:val="505E3D68"/>
    <w:rsid w:val="5094143C"/>
    <w:rsid w:val="509C7E88"/>
    <w:rsid w:val="50D435EA"/>
    <w:rsid w:val="50DC432B"/>
    <w:rsid w:val="514F4075"/>
    <w:rsid w:val="516A440A"/>
    <w:rsid w:val="51791341"/>
    <w:rsid w:val="517D38BF"/>
    <w:rsid w:val="51C42E16"/>
    <w:rsid w:val="51D41EEE"/>
    <w:rsid w:val="51D46493"/>
    <w:rsid w:val="525351F4"/>
    <w:rsid w:val="52584DFB"/>
    <w:rsid w:val="525A6FBC"/>
    <w:rsid w:val="525D2F2D"/>
    <w:rsid w:val="52634E37"/>
    <w:rsid w:val="526C0997"/>
    <w:rsid w:val="52753BB2"/>
    <w:rsid w:val="52882C0B"/>
    <w:rsid w:val="52A64626"/>
    <w:rsid w:val="52D41C73"/>
    <w:rsid w:val="52EA77AF"/>
    <w:rsid w:val="533D33D1"/>
    <w:rsid w:val="53670B33"/>
    <w:rsid w:val="53775B6A"/>
    <w:rsid w:val="53D43855"/>
    <w:rsid w:val="53EE1101"/>
    <w:rsid w:val="53FC4E8E"/>
    <w:rsid w:val="541717DC"/>
    <w:rsid w:val="54186A87"/>
    <w:rsid w:val="54414309"/>
    <w:rsid w:val="54446DEC"/>
    <w:rsid w:val="547364BE"/>
    <w:rsid w:val="547A32A8"/>
    <w:rsid w:val="54934F61"/>
    <w:rsid w:val="54DD7595"/>
    <w:rsid w:val="551C5030"/>
    <w:rsid w:val="55322232"/>
    <w:rsid w:val="553C46BA"/>
    <w:rsid w:val="55494082"/>
    <w:rsid w:val="55545189"/>
    <w:rsid w:val="557D5B60"/>
    <w:rsid w:val="55834A19"/>
    <w:rsid w:val="55A74BDB"/>
    <w:rsid w:val="55B619AB"/>
    <w:rsid w:val="55F0088B"/>
    <w:rsid w:val="55F526C6"/>
    <w:rsid w:val="56066DC9"/>
    <w:rsid w:val="56107FAC"/>
    <w:rsid w:val="564E1228"/>
    <w:rsid w:val="56A6131D"/>
    <w:rsid w:val="56A82B00"/>
    <w:rsid w:val="56BC5AD0"/>
    <w:rsid w:val="56D00C68"/>
    <w:rsid w:val="56E9175C"/>
    <w:rsid w:val="571373FF"/>
    <w:rsid w:val="57895A45"/>
    <w:rsid w:val="57BD3F39"/>
    <w:rsid w:val="57C5313B"/>
    <w:rsid w:val="57D807D4"/>
    <w:rsid w:val="57DE3E13"/>
    <w:rsid w:val="57EA7969"/>
    <w:rsid w:val="581C6180"/>
    <w:rsid w:val="58750691"/>
    <w:rsid w:val="58AB575D"/>
    <w:rsid w:val="59445F91"/>
    <w:rsid w:val="59815208"/>
    <w:rsid w:val="59AB1B93"/>
    <w:rsid w:val="59F001A4"/>
    <w:rsid w:val="5A1E2DE7"/>
    <w:rsid w:val="5A825684"/>
    <w:rsid w:val="5A953392"/>
    <w:rsid w:val="5B123FA7"/>
    <w:rsid w:val="5B3D683F"/>
    <w:rsid w:val="5B613C0E"/>
    <w:rsid w:val="5B913B2C"/>
    <w:rsid w:val="5BB47782"/>
    <w:rsid w:val="5BB67B93"/>
    <w:rsid w:val="5BBC1352"/>
    <w:rsid w:val="5BCA6564"/>
    <w:rsid w:val="5BE2525D"/>
    <w:rsid w:val="5BF97EFA"/>
    <w:rsid w:val="5C1E3775"/>
    <w:rsid w:val="5C381264"/>
    <w:rsid w:val="5C413204"/>
    <w:rsid w:val="5C527E32"/>
    <w:rsid w:val="5C672644"/>
    <w:rsid w:val="5C8132C7"/>
    <w:rsid w:val="5C9D7700"/>
    <w:rsid w:val="5CA23A25"/>
    <w:rsid w:val="5CBD6D10"/>
    <w:rsid w:val="5CBF44B1"/>
    <w:rsid w:val="5CC26330"/>
    <w:rsid w:val="5CD67F41"/>
    <w:rsid w:val="5D017C51"/>
    <w:rsid w:val="5D0266BB"/>
    <w:rsid w:val="5D463591"/>
    <w:rsid w:val="5D4F2A78"/>
    <w:rsid w:val="5D792AE4"/>
    <w:rsid w:val="5DF91E52"/>
    <w:rsid w:val="5E2F58D3"/>
    <w:rsid w:val="5E4222CF"/>
    <w:rsid w:val="5E5A06FD"/>
    <w:rsid w:val="5E6D3270"/>
    <w:rsid w:val="5E731DF1"/>
    <w:rsid w:val="5E7A120F"/>
    <w:rsid w:val="5E9342EC"/>
    <w:rsid w:val="5EAB19DE"/>
    <w:rsid w:val="5F1E4EC5"/>
    <w:rsid w:val="5F200E8F"/>
    <w:rsid w:val="5F226D5E"/>
    <w:rsid w:val="5F2F1FEB"/>
    <w:rsid w:val="5F3815EE"/>
    <w:rsid w:val="5F5C32D6"/>
    <w:rsid w:val="5F7F6212"/>
    <w:rsid w:val="5FCF62BD"/>
    <w:rsid w:val="600E788A"/>
    <w:rsid w:val="604130CF"/>
    <w:rsid w:val="60624750"/>
    <w:rsid w:val="60794FD4"/>
    <w:rsid w:val="607B1928"/>
    <w:rsid w:val="60814FEF"/>
    <w:rsid w:val="60D32F5A"/>
    <w:rsid w:val="610E2B4C"/>
    <w:rsid w:val="619C5EAE"/>
    <w:rsid w:val="61A23C3A"/>
    <w:rsid w:val="61DE43D4"/>
    <w:rsid w:val="61E06967"/>
    <w:rsid w:val="624216A0"/>
    <w:rsid w:val="626736F9"/>
    <w:rsid w:val="62792BC7"/>
    <w:rsid w:val="628E1BE9"/>
    <w:rsid w:val="62BD52E8"/>
    <w:rsid w:val="62D06FF9"/>
    <w:rsid w:val="62D765EB"/>
    <w:rsid w:val="62DB47B4"/>
    <w:rsid w:val="630665EC"/>
    <w:rsid w:val="636B22CC"/>
    <w:rsid w:val="637F4381"/>
    <w:rsid w:val="63B65AC7"/>
    <w:rsid w:val="63D7428B"/>
    <w:rsid w:val="64061766"/>
    <w:rsid w:val="640C4C0D"/>
    <w:rsid w:val="645830D7"/>
    <w:rsid w:val="6470717E"/>
    <w:rsid w:val="647258C3"/>
    <w:rsid w:val="64AA2E73"/>
    <w:rsid w:val="64CC53EB"/>
    <w:rsid w:val="64E8446E"/>
    <w:rsid w:val="65262602"/>
    <w:rsid w:val="6534541F"/>
    <w:rsid w:val="65376B47"/>
    <w:rsid w:val="654042F5"/>
    <w:rsid w:val="660447CA"/>
    <w:rsid w:val="6635284A"/>
    <w:rsid w:val="665622BC"/>
    <w:rsid w:val="665E5759"/>
    <w:rsid w:val="666C4EE6"/>
    <w:rsid w:val="66FB0FDC"/>
    <w:rsid w:val="66FC5AFF"/>
    <w:rsid w:val="6731395C"/>
    <w:rsid w:val="67901777"/>
    <w:rsid w:val="67AE7B43"/>
    <w:rsid w:val="67BA7741"/>
    <w:rsid w:val="680D0CA5"/>
    <w:rsid w:val="68A45648"/>
    <w:rsid w:val="68A5668C"/>
    <w:rsid w:val="6911241F"/>
    <w:rsid w:val="69145B6D"/>
    <w:rsid w:val="69147344"/>
    <w:rsid w:val="691722BE"/>
    <w:rsid w:val="6918360E"/>
    <w:rsid w:val="692A1518"/>
    <w:rsid w:val="69771617"/>
    <w:rsid w:val="697933DA"/>
    <w:rsid w:val="69943146"/>
    <w:rsid w:val="69AC31D4"/>
    <w:rsid w:val="69B67115"/>
    <w:rsid w:val="69CB5649"/>
    <w:rsid w:val="69DF2DDC"/>
    <w:rsid w:val="69EF53B4"/>
    <w:rsid w:val="6A126DD2"/>
    <w:rsid w:val="6A254DE4"/>
    <w:rsid w:val="6A2B0508"/>
    <w:rsid w:val="6A420E56"/>
    <w:rsid w:val="6A627350"/>
    <w:rsid w:val="6A924E32"/>
    <w:rsid w:val="6A94008C"/>
    <w:rsid w:val="6AC83870"/>
    <w:rsid w:val="6AC954A6"/>
    <w:rsid w:val="6AE60947"/>
    <w:rsid w:val="6B0B374F"/>
    <w:rsid w:val="6B172843"/>
    <w:rsid w:val="6B1F0CCB"/>
    <w:rsid w:val="6B6234E5"/>
    <w:rsid w:val="6BBD11F5"/>
    <w:rsid w:val="6BD12800"/>
    <w:rsid w:val="6C5E02FC"/>
    <w:rsid w:val="6C721812"/>
    <w:rsid w:val="6C8B0F52"/>
    <w:rsid w:val="6C8B53A2"/>
    <w:rsid w:val="6C967106"/>
    <w:rsid w:val="6CA74665"/>
    <w:rsid w:val="6CC30D7F"/>
    <w:rsid w:val="6CD408F6"/>
    <w:rsid w:val="6CDD0DD0"/>
    <w:rsid w:val="6CEF589A"/>
    <w:rsid w:val="6D0127E4"/>
    <w:rsid w:val="6D19028F"/>
    <w:rsid w:val="6D1C168A"/>
    <w:rsid w:val="6D3113B3"/>
    <w:rsid w:val="6D3668DD"/>
    <w:rsid w:val="6DB941BD"/>
    <w:rsid w:val="6E0365A1"/>
    <w:rsid w:val="6E114BDF"/>
    <w:rsid w:val="6E5F1098"/>
    <w:rsid w:val="6E616947"/>
    <w:rsid w:val="6E797EBB"/>
    <w:rsid w:val="6E872302"/>
    <w:rsid w:val="6EA41FA2"/>
    <w:rsid w:val="6EA9571C"/>
    <w:rsid w:val="6EB5235D"/>
    <w:rsid w:val="6F193452"/>
    <w:rsid w:val="6F381CAC"/>
    <w:rsid w:val="6F6E41E1"/>
    <w:rsid w:val="6F9C6902"/>
    <w:rsid w:val="6FA0729C"/>
    <w:rsid w:val="6FCE02DD"/>
    <w:rsid w:val="70100CA2"/>
    <w:rsid w:val="702A63A5"/>
    <w:rsid w:val="70393572"/>
    <w:rsid w:val="703E1036"/>
    <w:rsid w:val="705F5C3A"/>
    <w:rsid w:val="707324D0"/>
    <w:rsid w:val="70893D25"/>
    <w:rsid w:val="709D5E1B"/>
    <w:rsid w:val="70A24D48"/>
    <w:rsid w:val="70BA64EF"/>
    <w:rsid w:val="70C900DF"/>
    <w:rsid w:val="71326D32"/>
    <w:rsid w:val="713623DF"/>
    <w:rsid w:val="71410E09"/>
    <w:rsid w:val="715A596A"/>
    <w:rsid w:val="717C247D"/>
    <w:rsid w:val="71816B8E"/>
    <w:rsid w:val="71832D29"/>
    <w:rsid w:val="71907818"/>
    <w:rsid w:val="71B50A76"/>
    <w:rsid w:val="71C33899"/>
    <w:rsid w:val="71E95916"/>
    <w:rsid w:val="723C2E63"/>
    <w:rsid w:val="7250588C"/>
    <w:rsid w:val="725D4136"/>
    <w:rsid w:val="726F5278"/>
    <w:rsid w:val="727E786A"/>
    <w:rsid w:val="72B843C0"/>
    <w:rsid w:val="72BD0544"/>
    <w:rsid w:val="72C0472D"/>
    <w:rsid w:val="72D11D5C"/>
    <w:rsid w:val="72D54114"/>
    <w:rsid w:val="72E85DAD"/>
    <w:rsid w:val="730B14BE"/>
    <w:rsid w:val="732303D9"/>
    <w:rsid w:val="733A6A18"/>
    <w:rsid w:val="73532CC9"/>
    <w:rsid w:val="74124849"/>
    <w:rsid w:val="744975DD"/>
    <w:rsid w:val="744E5F5D"/>
    <w:rsid w:val="74624413"/>
    <w:rsid w:val="746920A5"/>
    <w:rsid w:val="74977656"/>
    <w:rsid w:val="74C87E25"/>
    <w:rsid w:val="74DE73F5"/>
    <w:rsid w:val="752A7E05"/>
    <w:rsid w:val="755169C7"/>
    <w:rsid w:val="75A43ED1"/>
    <w:rsid w:val="75AD509E"/>
    <w:rsid w:val="75BC19B7"/>
    <w:rsid w:val="75D07F8B"/>
    <w:rsid w:val="75D83E8B"/>
    <w:rsid w:val="75DF1DCE"/>
    <w:rsid w:val="75E066F3"/>
    <w:rsid w:val="75EE5669"/>
    <w:rsid w:val="75F249EA"/>
    <w:rsid w:val="76187DE5"/>
    <w:rsid w:val="767D7C04"/>
    <w:rsid w:val="76957051"/>
    <w:rsid w:val="76AF3454"/>
    <w:rsid w:val="76EC474C"/>
    <w:rsid w:val="771F0FD0"/>
    <w:rsid w:val="773E064E"/>
    <w:rsid w:val="774E1211"/>
    <w:rsid w:val="777B71D8"/>
    <w:rsid w:val="77884142"/>
    <w:rsid w:val="77A54D53"/>
    <w:rsid w:val="77E31623"/>
    <w:rsid w:val="77F936FE"/>
    <w:rsid w:val="77FC6767"/>
    <w:rsid w:val="781A0BEC"/>
    <w:rsid w:val="78202415"/>
    <w:rsid w:val="78213FC9"/>
    <w:rsid w:val="783B1525"/>
    <w:rsid w:val="78701D9C"/>
    <w:rsid w:val="78757A9E"/>
    <w:rsid w:val="788409DA"/>
    <w:rsid w:val="78EC5072"/>
    <w:rsid w:val="795E1548"/>
    <w:rsid w:val="795E693A"/>
    <w:rsid w:val="7A0C1011"/>
    <w:rsid w:val="7A0E7A81"/>
    <w:rsid w:val="7A321CDB"/>
    <w:rsid w:val="7A63199E"/>
    <w:rsid w:val="7A6D1D3E"/>
    <w:rsid w:val="7A6E32C8"/>
    <w:rsid w:val="7AC900CF"/>
    <w:rsid w:val="7AFC6F17"/>
    <w:rsid w:val="7B052FBD"/>
    <w:rsid w:val="7B5A5A6C"/>
    <w:rsid w:val="7B5C250E"/>
    <w:rsid w:val="7B5E7074"/>
    <w:rsid w:val="7B6D0F87"/>
    <w:rsid w:val="7B783FD8"/>
    <w:rsid w:val="7B9A3DB8"/>
    <w:rsid w:val="7BF20E1E"/>
    <w:rsid w:val="7C3206D2"/>
    <w:rsid w:val="7C9408F4"/>
    <w:rsid w:val="7CAA0021"/>
    <w:rsid w:val="7CB90CC2"/>
    <w:rsid w:val="7CBC4000"/>
    <w:rsid w:val="7CBE5CE6"/>
    <w:rsid w:val="7CD97919"/>
    <w:rsid w:val="7CFA62C0"/>
    <w:rsid w:val="7CFB2CE9"/>
    <w:rsid w:val="7D04126C"/>
    <w:rsid w:val="7D212CA5"/>
    <w:rsid w:val="7D255EE2"/>
    <w:rsid w:val="7D293184"/>
    <w:rsid w:val="7D69777E"/>
    <w:rsid w:val="7DB34706"/>
    <w:rsid w:val="7DBF2C63"/>
    <w:rsid w:val="7DC06473"/>
    <w:rsid w:val="7DD21409"/>
    <w:rsid w:val="7E176B90"/>
    <w:rsid w:val="7E1A0A9F"/>
    <w:rsid w:val="7E3C401A"/>
    <w:rsid w:val="7E435C16"/>
    <w:rsid w:val="7E641213"/>
    <w:rsid w:val="7E6E0173"/>
    <w:rsid w:val="7E7427D8"/>
    <w:rsid w:val="7E797F46"/>
    <w:rsid w:val="7EA2583A"/>
    <w:rsid w:val="7EA447C6"/>
    <w:rsid w:val="7EC16AFC"/>
    <w:rsid w:val="7EF34773"/>
    <w:rsid w:val="7F0D08DC"/>
    <w:rsid w:val="7F4029E3"/>
    <w:rsid w:val="7F714EE5"/>
    <w:rsid w:val="7F795BB0"/>
    <w:rsid w:val="7F7F2734"/>
    <w:rsid w:val="7FA63F96"/>
    <w:rsid w:val="7FB9287C"/>
    <w:rsid w:val="7FCC47FD"/>
    <w:rsid w:val="7FD20E4A"/>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Normal Indent"/>
    <w:basedOn w:val="1"/>
    <w:link w:val="66"/>
    <w:qFormat/>
    <w:uiPriority w:val="0"/>
    <w:pPr>
      <w:ind w:firstLine="420" w:firstLineChars="200"/>
    </w:pPr>
  </w:style>
  <w:style w:type="paragraph" w:styleId="12">
    <w:name w:val="Document Map"/>
    <w:basedOn w:val="1"/>
    <w:link w:val="73"/>
    <w:qFormat/>
    <w:uiPriority w:val="0"/>
    <w:pPr>
      <w:shd w:val="clear" w:color="auto" w:fill="000080"/>
    </w:pPr>
    <w:rPr>
      <w:kern w:val="0"/>
      <w:sz w:val="20"/>
    </w:rPr>
  </w:style>
  <w:style w:type="paragraph" w:styleId="13">
    <w:name w:val="annotation text"/>
    <w:basedOn w:val="1"/>
    <w:link w:val="55"/>
    <w:unhideWhenUsed/>
    <w:qFormat/>
    <w:uiPriority w:val="99"/>
    <w:pPr>
      <w:jc w:val="left"/>
    </w:pPr>
    <w:rPr>
      <w:kern w:val="0"/>
      <w:sz w:val="20"/>
    </w:rPr>
  </w:style>
  <w:style w:type="paragraph" w:styleId="14">
    <w:name w:val="Body Text 3"/>
    <w:basedOn w:val="1"/>
    <w:link w:val="59"/>
    <w:qFormat/>
    <w:uiPriority w:val="0"/>
    <w:rPr>
      <w:rFonts w:ascii="宋体"/>
      <w:kern w:val="0"/>
      <w:sz w:val="24"/>
      <w:szCs w:val="20"/>
    </w:rPr>
  </w:style>
  <w:style w:type="paragraph" w:styleId="15">
    <w:name w:val="Body Text"/>
    <w:basedOn w:val="1"/>
    <w:next w:val="1"/>
    <w:link w:val="62"/>
    <w:qFormat/>
    <w:uiPriority w:val="0"/>
    <w:pPr>
      <w:spacing w:after="120"/>
    </w:pPr>
    <w:rPr>
      <w:kern w:val="0"/>
      <w:sz w:val="20"/>
    </w:rPr>
  </w:style>
  <w:style w:type="paragraph" w:styleId="16">
    <w:name w:val="Body Text Indent"/>
    <w:basedOn w:val="1"/>
    <w:next w:val="1"/>
    <w:link w:val="72"/>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5"/>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79"/>
    <w:qFormat/>
    <w:uiPriority w:val="0"/>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7"/>
    <w:qFormat/>
    <w:uiPriority w:val="0"/>
    <w:rPr>
      <w:kern w:val="0"/>
      <w:sz w:val="18"/>
      <w:szCs w:val="18"/>
    </w:rPr>
  </w:style>
  <w:style w:type="paragraph" w:styleId="25">
    <w:name w:val="footer"/>
    <w:basedOn w:val="1"/>
    <w:link w:val="91"/>
    <w:qFormat/>
    <w:uiPriority w:val="99"/>
    <w:pPr>
      <w:tabs>
        <w:tab w:val="center" w:pos="4153"/>
        <w:tab w:val="right" w:pos="8306"/>
      </w:tabs>
      <w:snapToGrid w:val="0"/>
      <w:jc w:val="left"/>
    </w:pPr>
    <w:rPr>
      <w:kern w:val="0"/>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3"/>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3"/>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65"/>
    <w:qFormat/>
    <w:uiPriority w:val="0"/>
    <w:rPr>
      <w:b/>
      <w:bCs/>
    </w:rPr>
  </w:style>
  <w:style w:type="paragraph" w:styleId="40">
    <w:name w:val="Body Text First Indent 2"/>
    <w:basedOn w:val="16"/>
    <w:unhideWhenUsed/>
    <w:qFormat/>
    <w:uiPriority w:val="0"/>
    <w:pPr>
      <w:ind w:firstLine="420"/>
    </w:p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3"/>
    <w:semiHidden/>
    <w:qFormat/>
    <w:uiPriority w:val="99"/>
    <w:rPr>
      <w:rFonts w:ascii="Times New Roman" w:hAnsi="Times New Roman" w:eastAsia="宋体" w:cs="Times New Roman"/>
      <w:szCs w:val="24"/>
    </w:rPr>
  </w:style>
  <w:style w:type="character" w:customStyle="1" w:styleId="56">
    <w:name w:val="标题 6 字符"/>
    <w:link w:val="6"/>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4"/>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15"/>
    <w:qFormat/>
    <w:uiPriority w:val="0"/>
    <w:rPr>
      <w:rFonts w:eastAsia="宋体"/>
      <w:szCs w:val="24"/>
    </w:rPr>
  </w:style>
  <w:style w:type="character" w:customStyle="1" w:styleId="63">
    <w:name w:val="脚注文本 字符"/>
    <w:link w:val="29"/>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39"/>
    <w:qFormat/>
    <w:uiPriority w:val="0"/>
    <w:rPr>
      <w:rFonts w:ascii="Times New Roman" w:hAnsi="Times New Roman" w:eastAsia="宋体" w:cs="Times New Roman"/>
      <w:b/>
      <w:bCs/>
      <w:szCs w:val="24"/>
    </w:rPr>
  </w:style>
  <w:style w:type="character" w:customStyle="1" w:styleId="66">
    <w:name w:val="正文缩进 字符"/>
    <w:link w:val="11"/>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6"/>
    <w:qFormat/>
    <w:uiPriority w:val="0"/>
    <w:rPr>
      <w:rFonts w:ascii="Times New Roman" w:hAnsi="Times New Roman" w:eastAsia="宋体" w:cs="Times New Roman"/>
      <w:sz w:val="18"/>
      <w:szCs w:val="18"/>
    </w:rPr>
  </w:style>
  <w:style w:type="character" w:customStyle="1" w:styleId="70">
    <w:name w:val="标题 9 字符"/>
    <w:link w:val="9"/>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6"/>
    <w:qFormat/>
    <w:uiPriority w:val="0"/>
    <w:rPr>
      <w:szCs w:val="24"/>
    </w:rPr>
  </w:style>
  <w:style w:type="character" w:customStyle="1" w:styleId="73">
    <w:name w:val="文档结构图 字符"/>
    <w:link w:val="12"/>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8"/>
    <w:qFormat/>
    <w:uiPriority w:val="0"/>
    <w:rPr>
      <w:rFonts w:ascii="Arial" w:hAnsi="Arial"/>
      <w:b/>
      <w:sz w:val="32"/>
    </w:rPr>
  </w:style>
  <w:style w:type="character" w:customStyle="1" w:styleId="77">
    <w:name w:val="批注框文本 字符"/>
    <w:link w:val="24"/>
    <w:qFormat/>
    <w:uiPriority w:val="0"/>
    <w:rPr>
      <w:rFonts w:ascii="Times New Roman" w:hAnsi="Times New Roman" w:eastAsia="宋体" w:cs="Times New Roman"/>
      <w:sz w:val="18"/>
      <w:szCs w:val="18"/>
    </w:rPr>
  </w:style>
  <w:style w:type="character" w:customStyle="1" w:styleId="78">
    <w:name w:val="标题 8 字符"/>
    <w:link w:val="8"/>
    <w:qFormat/>
    <w:uiPriority w:val="0"/>
    <w:rPr>
      <w:rFonts w:ascii="Arial" w:hAnsi="Arial" w:eastAsia="黑体" w:cs="Times New Roman"/>
      <w:kern w:val="0"/>
      <w:sz w:val="24"/>
      <w:szCs w:val="24"/>
    </w:rPr>
  </w:style>
  <w:style w:type="character" w:customStyle="1" w:styleId="79">
    <w:name w:val="日期 字符"/>
    <w:link w:val="22"/>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1"/>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2"/>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5"/>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5"/>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0"/>
    <w:qFormat/>
    <w:uiPriority w:val="99"/>
    <w:rPr>
      <w:rFonts w:ascii="Courier New" w:hAnsi="Courier New"/>
    </w:rPr>
  </w:style>
  <w:style w:type="character" w:customStyle="1" w:styleId="96">
    <w:name w:val="标题 7 字符"/>
    <w:link w:val="7"/>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出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5131</Words>
  <Characters>5389</Characters>
  <Lines>61</Lines>
  <Paragraphs>17</Paragraphs>
  <TotalTime>2</TotalTime>
  <ScaleCrop>false</ScaleCrop>
  <LinksUpToDate>false</LinksUpToDate>
  <CharactersWithSpaces>5803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2022-06-08T09:13:00Z</cp:lastPrinted>
  <dcterms:modified xsi:type="dcterms:W3CDTF">2023-12-20T02:30:31Z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