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both"/>
        <w:rPr>
          <w:rFonts w:ascii="Times New Roman" w:hAnsi="Times New Roman" w:cs="Times New Roman" w:eastAsiaTheme="minorEastAsia"/>
          <w:b/>
          <w:bCs/>
          <w:sz w:val="48"/>
          <w:szCs w:val="48"/>
          <w:lang w:val="zh-CN" w:eastAsia="zh-CN"/>
        </w:rPr>
      </w:pPr>
    </w:p>
    <w:p>
      <w:pPr>
        <w:autoSpaceDE w:val="0"/>
        <w:autoSpaceDN w:val="0"/>
        <w:adjustRightInd w:val="0"/>
        <w:spacing w:line="360" w:lineRule="auto"/>
        <w:jc w:val="center"/>
        <w:rPr>
          <w:rFonts w:ascii="Times New Roman" w:hAnsi="Times New Roman" w:eastAsia="方正小标宋_GBK" w:cs="Times New Roman"/>
          <w:bCs/>
          <w:sz w:val="48"/>
          <w:szCs w:val="48"/>
          <w:lang w:val="zh-CN" w:eastAsia="zh-CN"/>
        </w:rPr>
      </w:pPr>
    </w:p>
    <w:p>
      <w:pPr>
        <w:snapToGrid w:val="0"/>
        <w:spacing w:line="360" w:lineRule="auto"/>
        <w:jc w:val="center"/>
        <w:rPr>
          <w:rFonts w:ascii="黑体" w:eastAsia="黑体"/>
          <w:color w:val="000000" w:themeColor="text1"/>
          <w:sz w:val="48"/>
          <w:lang w:eastAsia="zh-CN"/>
          <w14:textFill>
            <w14:solidFill>
              <w14:schemeClr w14:val="tx1"/>
            </w14:solidFill>
          </w14:textFill>
        </w:rPr>
      </w:pPr>
      <w:r>
        <w:rPr>
          <w:rFonts w:hint="eastAsia" w:ascii="黑体" w:eastAsia="黑体"/>
          <w:color w:val="000000" w:themeColor="text1"/>
          <w:sz w:val="48"/>
          <w:lang w:eastAsia="zh-CN"/>
          <w14:textFill>
            <w14:solidFill>
              <w14:schemeClr w14:val="tx1"/>
            </w14:solidFill>
          </w14:textFill>
        </w:rPr>
        <w:t>涪江干流梯级渠化双江航电枢纽工程</w:t>
      </w:r>
    </w:p>
    <w:p>
      <w:pPr>
        <w:autoSpaceDE w:val="0"/>
        <w:autoSpaceDN w:val="0"/>
        <w:adjustRightInd w:val="0"/>
        <w:spacing w:line="360" w:lineRule="auto"/>
        <w:jc w:val="center"/>
        <w:rPr>
          <w:rFonts w:hint="default" w:ascii="Times New Roman" w:hAnsi="Times New Roman" w:eastAsia="方正小标宋_GBK" w:cs="Times New Roman"/>
          <w:color w:val="FF0000"/>
          <w:sz w:val="20"/>
          <w:szCs w:val="20"/>
          <w:lang w:val="en-US" w:eastAsia="zh-CN"/>
        </w:rPr>
      </w:pPr>
      <w:r>
        <w:rPr>
          <w:rFonts w:hint="eastAsia" w:ascii="黑体" w:eastAsia="黑体"/>
          <w:color w:val="000000" w:themeColor="text1"/>
          <w:sz w:val="48"/>
          <w:lang w:val="en-US" w:eastAsia="zh-CN"/>
          <w14:textFill>
            <w14:solidFill>
              <w14:schemeClr w14:val="tx1"/>
            </w14:solidFill>
          </w14:textFill>
        </w:rPr>
        <w:t>厂区空调设备</w:t>
      </w:r>
      <w:r>
        <w:rPr>
          <w:rFonts w:hint="eastAsia" w:ascii="黑体" w:eastAsia="黑体"/>
          <w:color w:val="000000" w:themeColor="text1"/>
          <w:sz w:val="48"/>
          <w:lang w:eastAsia="zh-CN"/>
          <w14:textFill>
            <w14:solidFill>
              <w14:schemeClr w14:val="tx1"/>
            </w14:solidFill>
          </w14:textFill>
        </w:rPr>
        <w:t>采购</w:t>
      </w:r>
      <w:r>
        <w:rPr>
          <w:rFonts w:hint="eastAsia" w:ascii="黑体" w:eastAsia="黑体"/>
          <w:color w:val="000000" w:themeColor="text1"/>
          <w:sz w:val="48"/>
          <w:lang w:val="en-US" w:eastAsia="zh-CN"/>
          <w14:textFill>
            <w14:solidFill>
              <w14:schemeClr w14:val="tx1"/>
            </w14:solidFill>
          </w14:textFill>
        </w:rPr>
        <w:t>安装</w:t>
      </w: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jc w:val="center"/>
        <w:rPr>
          <w:rFonts w:ascii="Times New Roman" w:hAnsi="Times New Roman" w:eastAsia="方正小标宋_GBK" w:cs="Times New Roman"/>
          <w:bCs/>
          <w:sz w:val="72"/>
          <w:szCs w:val="72"/>
          <w:lang w:eastAsia="zh-CN"/>
        </w:rPr>
      </w:pPr>
      <w:r>
        <w:rPr>
          <w:rFonts w:ascii="Times New Roman" w:hAnsi="Times New Roman" w:eastAsia="方正小标宋_GBK" w:cs="Times New Roman"/>
          <w:bCs/>
          <w:sz w:val="72"/>
          <w:szCs w:val="72"/>
          <w:lang w:val="zh-CN" w:eastAsia="zh-CN"/>
        </w:rPr>
        <w:t>询价文件</w:t>
      </w:r>
    </w:p>
    <w:p>
      <w:pPr>
        <w:autoSpaceDE w:val="0"/>
        <w:autoSpaceDN w:val="0"/>
        <w:adjustRightInd w:val="0"/>
        <w:spacing w:line="360" w:lineRule="auto"/>
        <w:rPr>
          <w:rFonts w:ascii="Times New Roman" w:hAnsi="Times New Roman" w:cs="Times New Roman" w:eastAsiaTheme="minorEastAsia"/>
          <w:sz w:val="24"/>
          <w:szCs w:val="24"/>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ind w:firstLine="400"/>
        <w:rPr>
          <w:rFonts w:ascii="Times New Roman" w:hAnsi="Times New Roman" w:cs="Times New Roman" w:eastAsiaTheme="minorEastAsia"/>
          <w:sz w:val="20"/>
          <w:szCs w:val="20"/>
          <w:lang w:eastAsia="zh-CN"/>
        </w:rPr>
      </w:pPr>
    </w:p>
    <w:p>
      <w:pPr>
        <w:autoSpaceDE w:val="0"/>
        <w:autoSpaceDN w:val="0"/>
        <w:adjustRightInd w:val="0"/>
        <w:spacing w:line="360" w:lineRule="auto"/>
        <w:ind w:firstLine="400"/>
        <w:jc w:val="center"/>
        <w:rPr>
          <w:rFonts w:ascii="Times New Roman" w:hAnsi="Times New Roman" w:eastAsia="方正小标宋_GBK" w:cs="Times New Roman"/>
          <w:sz w:val="36"/>
          <w:szCs w:val="36"/>
          <w:lang w:eastAsia="zh-CN"/>
        </w:rPr>
      </w:pPr>
      <w:r>
        <w:rPr>
          <w:rFonts w:hint="eastAsia" w:ascii="Times New Roman" w:hAnsi="Times New Roman" w:eastAsia="方正小标宋_GBK" w:cs="Times New Roman"/>
          <w:sz w:val="36"/>
          <w:szCs w:val="36"/>
          <w:lang w:eastAsia="zh-CN"/>
        </w:rPr>
        <w:t>询价人：重庆双江航运发展有限公司</w:t>
      </w:r>
    </w:p>
    <w:p>
      <w:pPr>
        <w:autoSpaceDE w:val="0"/>
        <w:autoSpaceDN w:val="0"/>
        <w:adjustRightInd w:val="0"/>
        <w:spacing w:line="360" w:lineRule="auto"/>
        <w:ind w:firstLine="1280" w:firstLineChars="400"/>
        <w:rPr>
          <w:rFonts w:ascii="Times New Roman" w:hAnsi="Times New Roman" w:eastAsia="方正小标宋_GBK" w:cs="Times New Roman"/>
          <w:bCs/>
          <w:sz w:val="32"/>
          <w:szCs w:val="32"/>
          <w:lang w:val="zh-CN" w:eastAsia="zh-CN"/>
        </w:rPr>
      </w:pPr>
    </w:p>
    <w:p>
      <w:pPr>
        <w:autoSpaceDE w:val="0"/>
        <w:autoSpaceDN w:val="0"/>
        <w:adjustRightInd w:val="0"/>
        <w:jc w:val="center"/>
        <w:rPr>
          <w:rFonts w:ascii="Times New Roman" w:hAnsi="Times New Roman" w:eastAsia="方正小标宋_GBK" w:cs="Times New Roman"/>
          <w:bCs/>
          <w:sz w:val="32"/>
          <w:szCs w:val="32"/>
          <w:lang w:val="zh-CN" w:eastAsia="zh-CN"/>
        </w:rPr>
        <w:sectPr>
          <w:footerReference r:id="rId4" w:type="first"/>
          <w:footerReference r:id="rId3" w:type="default"/>
          <w:pgSz w:w="12240" w:h="15840"/>
          <w:pgMar w:top="1418" w:right="1588" w:bottom="1134" w:left="1588" w:header="0" w:footer="919" w:gutter="0"/>
          <w:pgNumType w:start="1"/>
          <w:cols w:space="720" w:num="1"/>
          <w:docGrid w:linePitch="299" w:charSpace="0"/>
        </w:sectPr>
      </w:pPr>
      <w:r>
        <w:rPr>
          <w:rFonts w:hint="eastAsia" w:ascii="Times New Roman" w:hAnsi="Times New Roman" w:eastAsia="方正小标宋_GBK" w:cs="Times New Roman"/>
          <w:bCs/>
          <w:sz w:val="32"/>
          <w:szCs w:val="32"/>
          <w:lang w:eastAsia="zh-CN"/>
        </w:rPr>
        <w:t>2023</w:t>
      </w:r>
      <w:r>
        <w:rPr>
          <w:rFonts w:ascii="Times New Roman" w:hAnsi="Times New Roman" w:eastAsia="方正小标宋_GBK" w:cs="Times New Roman"/>
          <w:bCs/>
          <w:sz w:val="32"/>
          <w:szCs w:val="32"/>
          <w:lang w:val="zh-CN" w:eastAsia="zh-CN"/>
        </w:rPr>
        <w:t>年</w:t>
      </w:r>
      <w:r>
        <w:rPr>
          <w:rFonts w:hint="eastAsia" w:ascii="Times New Roman" w:hAnsi="Times New Roman" w:eastAsia="方正小标宋_GBK" w:cs="Times New Roman"/>
          <w:bCs/>
          <w:sz w:val="32"/>
          <w:szCs w:val="32"/>
          <w:lang w:val="en-US" w:eastAsia="zh-CN"/>
        </w:rPr>
        <w:t>12</w:t>
      </w:r>
      <w:r>
        <w:rPr>
          <w:rFonts w:ascii="Times New Roman" w:hAnsi="Times New Roman" w:eastAsia="方正小标宋_GBK" w:cs="Times New Roman"/>
          <w:bCs/>
          <w:sz w:val="32"/>
          <w:szCs w:val="32"/>
          <w:lang w:val="zh-CN" w:eastAsia="zh-CN"/>
        </w:rPr>
        <w:t>月</w:t>
      </w:r>
    </w:p>
    <w:sdt>
      <w:sdtPr>
        <w:rPr>
          <w:rFonts w:hint="eastAsia" w:ascii="仿宋" w:hAnsi="仿宋" w:eastAsia="仿宋" w:cs="仿宋"/>
          <w:b w:val="0"/>
          <w:bCs w:val="0"/>
          <w:color w:val="auto"/>
          <w:sz w:val="24"/>
          <w:szCs w:val="24"/>
          <w:lang w:val="zh-CN" w:eastAsia="en-US"/>
        </w:rPr>
        <w:id w:val="-1379861479"/>
      </w:sdtPr>
      <w:sdtEndPr>
        <w:rPr>
          <w:rFonts w:hint="eastAsia" w:ascii="仿宋" w:hAnsi="仿宋" w:eastAsia="仿宋" w:cs="仿宋"/>
          <w:b w:val="0"/>
          <w:bCs w:val="0"/>
          <w:color w:val="auto"/>
          <w:sz w:val="24"/>
          <w:szCs w:val="24"/>
          <w:lang w:val="zh-CN" w:eastAsia="en-US"/>
        </w:rPr>
      </w:sdtEndPr>
      <w:sdtContent>
        <w:p>
          <w:pPr>
            <w:pStyle w:val="81"/>
            <w:jc w:val="center"/>
            <w:rPr>
              <w:rFonts w:ascii="仿宋" w:hAnsi="仿宋" w:eastAsia="仿宋" w:cs="仿宋"/>
              <w:b w:val="0"/>
              <w:bCs w:val="0"/>
              <w:color w:val="auto"/>
              <w:sz w:val="24"/>
              <w:szCs w:val="24"/>
              <w:lang w:val="zh-CN"/>
            </w:rPr>
          </w:pPr>
          <w:r>
            <w:rPr>
              <w:rFonts w:hint="eastAsia" w:ascii="仿宋" w:hAnsi="仿宋" w:eastAsia="仿宋" w:cs="仿宋"/>
              <w:color w:val="auto"/>
              <w:sz w:val="24"/>
              <w:szCs w:val="24"/>
              <w:lang w:val="zh-CN"/>
            </w:rPr>
            <w:t>目录</w:t>
          </w:r>
        </w:p>
        <w:p>
          <w:pPr>
            <w:pStyle w:val="29"/>
            <w:tabs>
              <w:tab w:val="right" w:leader="dot" w:pos="9064"/>
            </w:tabs>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TOC \o "1-3" \h \z \u </w:instrText>
          </w:r>
          <w:r>
            <w:rPr>
              <w:rFonts w:hint="eastAsia" w:ascii="仿宋" w:hAnsi="仿宋" w:eastAsia="仿宋" w:cs="仿宋"/>
              <w:sz w:val="24"/>
              <w:szCs w:val="24"/>
            </w:rPr>
            <w:fldChar w:fldCharType="separate"/>
          </w:r>
          <w:r>
            <w:fldChar w:fldCharType="begin"/>
          </w:r>
          <w:r>
            <w:instrText xml:space="preserve"> HYPERLINK \l "_Toc13760" </w:instrText>
          </w:r>
          <w:r>
            <w:fldChar w:fldCharType="separate"/>
          </w:r>
          <w:r>
            <w:rPr>
              <w:rFonts w:hint="eastAsia" w:ascii="黑体" w:hAnsi="黑体" w:eastAsia="黑体" w:cs="黑体"/>
              <w:bCs/>
              <w:sz w:val="24"/>
              <w:szCs w:val="24"/>
              <w:lang w:val="zh-CN" w:eastAsia="zh-CN"/>
            </w:rPr>
            <w:t>第一章 询价公告</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_Toc13760 \h </w:instrText>
          </w:r>
          <w:r>
            <w:rPr>
              <w:rFonts w:hint="eastAsia" w:ascii="黑体" w:hAnsi="黑体" w:eastAsia="黑体" w:cs="黑体"/>
              <w:sz w:val="24"/>
              <w:szCs w:val="24"/>
            </w:rPr>
            <w:fldChar w:fldCharType="separate"/>
          </w:r>
          <w:r>
            <w:rPr>
              <w:rFonts w:hint="eastAsia" w:ascii="黑体" w:hAnsi="黑体" w:eastAsia="黑体" w:cs="黑体"/>
              <w:sz w:val="24"/>
              <w:szCs w:val="24"/>
            </w:rPr>
            <w:t>3</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"_Toc17963" </w:instrText>
          </w:r>
          <w:r>
            <w:fldChar w:fldCharType="separate"/>
          </w:r>
          <w:r>
            <w:rPr>
              <w:rFonts w:hint="eastAsia" w:ascii="仿宋" w:hAnsi="仿宋" w:eastAsia="仿宋" w:cs="仿宋"/>
              <w:sz w:val="24"/>
              <w:szCs w:val="24"/>
              <w:lang w:eastAsia="zh-CN"/>
            </w:rPr>
            <w:t>1.询价条件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_Toc17963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"_Toc30567" </w:instrText>
          </w:r>
          <w:r>
            <w:fldChar w:fldCharType="separate"/>
          </w:r>
          <w:r>
            <w:rPr>
              <w:rFonts w:hint="eastAsia" w:ascii="仿宋" w:hAnsi="仿宋" w:eastAsia="仿宋" w:cs="仿宋"/>
              <w:sz w:val="24"/>
              <w:szCs w:val="24"/>
              <w:lang w:eastAsia="zh-CN"/>
            </w:rPr>
            <w:t>2.项目概况与工作范围</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_Toc30567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"_Toc8682" </w:instrText>
          </w:r>
          <w:r>
            <w:fldChar w:fldCharType="separate"/>
          </w:r>
          <w:r>
            <w:rPr>
              <w:rFonts w:hint="eastAsia" w:ascii="仿宋" w:hAnsi="仿宋" w:eastAsia="仿宋" w:cs="仿宋"/>
              <w:sz w:val="24"/>
              <w:szCs w:val="24"/>
              <w:lang w:eastAsia="zh-CN"/>
            </w:rPr>
            <w:t>3.报价人资格要求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_Toc8682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"_Toc30379" </w:instrText>
          </w:r>
          <w:r>
            <w:fldChar w:fldCharType="separate"/>
          </w:r>
          <w:r>
            <w:rPr>
              <w:rFonts w:hint="eastAsia" w:ascii="仿宋" w:hAnsi="仿宋" w:eastAsia="仿宋" w:cs="仿宋"/>
              <w:sz w:val="24"/>
              <w:szCs w:val="24"/>
              <w:lang w:eastAsia="zh-CN"/>
            </w:rPr>
            <w:t>4. 报价文件的递交</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_Toc30379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"_Toc3769" </w:instrText>
          </w:r>
          <w:r>
            <w:fldChar w:fldCharType="separate"/>
          </w:r>
          <w:r>
            <w:rPr>
              <w:rFonts w:hint="eastAsia" w:ascii="仿宋" w:hAnsi="仿宋" w:eastAsia="仿宋" w:cs="仿宋"/>
              <w:sz w:val="24"/>
              <w:szCs w:val="24"/>
              <w:lang w:eastAsia="zh-CN"/>
            </w:rPr>
            <w:t>5.发布公告的媒介</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_Toc3769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9"/>
            <w:tabs>
              <w:tab w:val="right" w:leader="dot" w:pos="9064"/>
            </w:tabs>
            <w:rPr>
              <w:rFonts w:ascii="黑体" w:hAnsi="黑体" w:eastAsia="黑体" w:cs="黑体"/>
              <w:sz w:val="24"/>
              <w:szCs w:val="24"/>
            </w:rPr>
          </w:pPr>
          <w:r>
            <w:fldChar w:fldCharType="begin"/>
          </w:r>
          <w:r>
            <w:instrText xml:space="preserve"> HYPERLINK \l "_Toc2577" </w:instrText>
          </w:r>
          <w:r>
            <w:fldChar w:fldCharType="separate"/>
          </w:r>
          <w:r>
            <w:rPr>
              <w:rFonts w:hint="eastAsia" w:ascii="黑体" w:hAnsi="黑体" w:eastAsia="黑体" w:cs="黑体"/>
              <w:bCs/>
              <w:sz w:val="24"/>
              <w:szCs w:val="24"/>
              <w:lang w:val="zh-CN" w:eastAsia="zh-CN"/>
            </w:rPr>
            <w:t>第二章 报价文件要求与评审办法</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_Toc2577 \h </w:instrText>
          </w:r>
          <w:r>
            <w:rPr>
              <w:rFonts w:hint="eastAsia" w:ascii="黑体" w:hAnsi="黑体" w:eastAsia="黑体" w:cs="黑体"/>
              <w:sz w:val="24"/>
              <w:szCs w:val="24"/>
            </w:rPr>
            <w:fldChar w:fldCharType="separate"/>
          </w:r>
          <w:r>
            <w:rPr>
              <w:rFonts w:hint="eastAsia" w:ascii="黑体" w:hAnsi="黑体" w:eastAsia="黑体" w:cs="黑体"/>
              <w:sz w:val="24"/>
              <w:szCs w:val="24"/>
            </w:rPr>
            <w:t>6</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29"/>
            <w:tabs>
              <w:tab w:val="right" w:leader="dot" w:pos="9064"/>
            </w:tabs>
            <w:rPr>
              <w:rFonts w:ascii="仿宋" w:hAnsi="仿宋" w:eastAsia="仿宋" w:cs="仿宋"/>
              <w:sz w:val="24"/>
              <w:szCs w:val="24"/>
            </w:rPr>
          </w:pPr>
          <w:r>
            <w:fldChar w:fldCharType="begin"/>
          </w:r>
          <w:r>
            <w:instrText xml:space="preserve"> HYPERLINK \l "_Toc15704" </w:instrText>
          </w:r>
          <w:r>
            <w:fldChar w:fldCharType="separate"/>
          </w:r>
          <w:r>
            <w:rPr>
              <w:rFonts w:hint="eastAsia" w:ascii="黑体" w:hAnsi="黑体" w:eastAsia="黑体" w:cs="黑体"/>
              <w:bCs/>
              <w:sz w:val="24"/>
              <w:szCs w:val="24"/>
              <w:lang w:val="zh-CN" w:eastAsia="zh-CN"/>
            </w:rPr>
            <w:t>第三章 合同条款</w:t>
          </w:r>
          <w:r>
            <w:rPr>
              <w:rFonts w:hint="eastAsia" w:ascii="黑体" w:hAnsi="黑体" w:eastAsia="黑体" w:cs="黑体"/>
              <w:bCs/>
              <w:sz w:val="24"/>
              <w:szCs w:val="24"/>
              <w:lang w:eastAsia="zh-CN"/>
            </w:rPr>
            <w:t>及格式</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_Toc15704 \h </w:instrText>
          </w:r>
          <w:r>
            <w:rPr>
              <w:rFonts w:hint="eastAsia" w:ascii="黑体" w:hAnsi="黑体" w:eastAsia="黑体" w:cs="黑体"/>
              <w:sz w:val="24"/>
              <w:szCs w:val="24"/>
            </w:rPr>
            <w:fldChar w:fldCharType="separate"/>
          </w:r>
          <w:r>
            <w:rPr>
              <w:rFonts w:hint="eastAsia" w:ascii="黑体" w:hAnsi="黑体" w:eastAsia="黑体" w:cs="黑体"/>
              <w:sz w:val="24"/>
              <w:szCs w:val="24"/>
            </w:rPr>
            <w:t>7</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"_Toc19342" </w:instrText>
          </w:r>
          <w:r>
            <w:fldChar w:fldCharType="separate"/>
          </w:r>
          <w:r>
            <w:rPr>
              <w:rFonts w:hint="eastAsia" w:ascii="仿宋" w:hAnsi="仿宋" w:eastAsia="仿宋" w:cs="仿宋"/>
              <w:sz w:val="24"/>
              <w:szCs w:val="24"/>
            </w:rPr>
            <w:t>第一节 通用合同条款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_Toc19342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"_Toc9024" </w:instrText>
          </w:r>
          <w:r>
            <w:fldChar w:fldCharType="separate"/>
          </w:r>
          <w:r>
            <w:rPr>
              <w:rFonts w:hint="eastAsia" w:ascii="仿宋" w:hAnsi="仿宋" w:eastAsia="仿宋" w:cs="仿宋"/>
              <w:sz w:val="24"/>
              <w:szCs w:val="24"/>
            </w:rPr>
            <w:t>1.一般约定</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_Toc9024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"_Toc14554" </w:instrText>
          </w:r>
          <w:r>
            <w:fldChar w:fldCharType="separate"/>
          </w:r>
          <w:r>
            <w:rPr>
              <w:rFonts w:hint="eastAsia" w:ascii="仿宋" w:hAnsi="仿宋" w:eastAsia="仿宋" w:cs="仿宋"/>
              <w:sz w:val="24"/>
              <w:szCs w:val="24"/>
            </w:rPr>
            <w:t>2.合同范围</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_Toc14554 \h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"_Toc30442" </w:instrText>
          </w:r>
          <w:r>
            <w:fldChar w:fldCharType="separate"/>
          </w:r>
          <w:r>
            <w:rPr>
              <w:rFonts w:hint="eastAsia" w:ascii="仿宋" w:hAnsi="仿宋" w:eastAsia="仿宋" w:cs="仿宋"/>
              <w:sz w:val="24"/>
              <w:szCs w:val="24"/>
            </w:rPr>
            <w:t>3.合同价格与支付</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_Toc30442 \h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"_Toc335" </w:instrText>
          </w:r>
          <w:r>
            <w:fldChar w:fldCharType="separate"/>
          </w:r>
          <w:r>
            <w:rPr>
              <w:rFonts w:hint="eastAsia" w:ascii="仿宋" w:hAnsi="仿宋" w:eastAsia="仿宋" w:cs="仿宋"/>
              <w:sz w:val="24"/>
              <w:szCs w:val="24"/>
            </w:rPr>
            <w:t>4.监造及交货前检验</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_Toc335 \h </w:instrText>
          </w:r>
          <w:r>
            <w:rPr>
              <w:rFonts w:hint="eastAsia" w:ascii="仿宋" w:hAnsi="仿宋" w:eastAsia="仿宋" w:cs="仿宋"/>
              <w:sz w:val="24"/>
              <w:szCs w:val="24"/>
            </w:rPr>
            <w:fldChar w:fldCharType="separate"/>
          </w:r>
          <w:r>
            <w:rPr>
              <w:rFonts w:hint="eastAsia" w:ascii="仿宋" w:hAnsi="仿宋" w:eastAsia="仿宋" w:cs="仿宋"/>
              <w:sz w:val="24"/>
              <w:szCs w:val="24"/>
            </w:rPr>
            <w:t>13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"_Toc4308" </w:instrText>
          </w:r>
          <w:r>
            <w:fldChar w:fldCharType="separate"/>
          </w:r>
          <w:r>
            <w:rPr>
              <w:rFonts w:hint="eastAsia" w:ascii="仿宋" w:hAnsi="仿宋" w:eastAsia="仿宋" w:cs="仿宋"/>
              <w:sz w:val="24"/>
              <w:szCs w:val="24"/>
            </w:rPr>
            <w:t>5.包装、标记、运输和交付</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_Toc4308 \h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"_Toc8410" </w:instrText>
          </w:r>
          <w:r>
            <w:fldChar w:fldCharType="separate"/>
          </w:r>
          <w:r>
            <w:rPr>
              <w:rFonts w:hint="eastAsia" w:ascii="仿宋" w:hAnsi="仿宋" w:eastAsia="仿宋" w:cs="仿宋"/>
              <w:sz w:val="24"/>
              <w:szCs w:val="24"/>
            </w:rPr>
            <w:t>6.开箱检验、安装、调试、考核、验收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_Toc8410 \h </w:instrText>
          </w:r>
          <w:r>
            <w:rPr>
              <w:rFonts w:hint="eastAsia" w:ascii="仿宋" w:hAnsi="仿宋" w:eastAsia="仿宋" w:cs="仿宋"/>
              <w:sz w:val="24"/>
              <w:szCs w:val="24"/>
            </w:rPr>
            <w:fldChar w:fldCharType="separate"/>
          </w:r>
          <w:r>
            <w:rPr>
              <w:rFonts w:hint="eastAsia" w:ascii="仿宋" w:hAnsi="仿宋" w:eastAsia="仿宋" w:cs="仿宋"/>
              <w:sz w:val="24"/>
              <w:szCs w:val="24"/>
            </w:rPr>
            <w:t>16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"_Toc5364" </w:instrText>
          </w:r>
          <w:r>
            <w:fldChar w:fldCharType="separate"/>
          </w:r>
          <w:r>
            <w:rPr>
              <w:rFonts w:hint="eastAsia" w:ascii="仿宋" w:hAnsi="仿宋" w:eastAsia="仿宋" w:cs="仿宋"/>
              <w:sz w:val="24"/>
              <w:szCs w:val="24"/>
            </w:rPr>
            <w:t>7.技术服务</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_Toc5364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"_Toc27736" </w:instrText>
          </w:r>
          <w:r>
            <w:fldChar w:fldCharType="separate"/>
          </w:r>
          <w:r>
            <w:rPr>
              <w:rFonts w:hint="eastAsia" w:ascii="仿宋" w:hAnsi="仿宋" w:eastAsia="仿宋" w:cs="仿宋"/>
              <w:sz w:val="24"/>
              <w:szCs w:val="24"/>
            </w:rPr>
            <w:t>8.质量保证期</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_Toc27736 \h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"_Toc17554" </w:instrText>
          </w:r>
          <w:r>
            <w:fldChar w:fldCharType="separate"/>
          </w:r>
          <w:r>
            <w:rPr>
              <w:rFonts w:hint="eastAsia" w:ascii="仿宋" w:hAnsi="仿宋" w:eastAsia="仿宋" w:cs="仿宋"/>
              <w:sz w:val="24"/>
              <w:szCs w:val="24"/>
            </w:rPr>
            <w:t>9.质保期服务</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_Toc17554 \h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"_Toc21398" </w:instrText>
          </w:r>
          <w:r>
            <w:fldChar w:fldCharType="separate"/>
          </w:r>
          <w:r>
            <w:rPr>
              <w:rFonts w:hint="eastAsia" w:ascii="仿宋" w:hAnsi="仿宋" w:eastAsia="仿宋" w:cs="仿宋"/>
              <w:sz w:val="24"/>
              <w:szCs w:val="24"/>
            </w:rPr>
            <w:t>10.履约保证金</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_Toc21398 \h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"_Toc15955" </w:instrText>
          </w:r>
          <w:r>
            <w:fldChar w:fldCharType="separate"/>
          </w:r>
          <w:r>
            <w:rPr>
              <w:rFonts w:hint="eastAsia" w:ascii="仿宋" w:hAnsi="仿宋" w:eastAsia="仿宋" w:cs="仿宋"/>
              <w:sz w:val="24"/>
              <w:szCs w:val="24"/>
            </w:rPr>
            <w:t>11.保证</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_Toc15955 \h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"_Toc26927" </w:instrText>
          </w:r>
          <w:r>
            <w:fldChar w:fldCharType="separate"/>
          </w:r>
          <w:r>
            <w:rPr>
              <w:rFonts w:hint="eastAsia" w:ascii="仿宋" w:hAnsi="仿宋" w:eastAsia="仿宋" w:cs="仿宋"/>
              <w:sz w:val="24"/>
              <w:szCs w:val="24"/>
            </w:rPr>
            <w:t>12.知识产权</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_Toc26927 \h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"_Toc20500" </w:instrText>
          </w:r>
          <w:r>
            <w:fldChar w:fldCharType="separate"/>
          </w:r>
          <w:r>
            <w:rPr>
              <w:rFonts w:hint="eastAsia" w:ascii="仿宋" w:hAnsi="仿宋" w:eastAsia="仿宋" w:cs="仿宋"/>
              <w:sz w:val="24"/>
              <w:szCs w:val="24"/>
            </w:rPr>
            <w:t>13.保密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_Toc20500 \h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"_Toc10985" </w:instrText>
          </w:r>
          <w:r>
            <w:fldChar w:fldCharType="separate"/>
          </w:r>
          <w:r>
            <w:rPr>
              <w:rFonts w:hint="eastAsia" w:ascii="仿宋" w:hAnsi="仿宋" w:eastAsia="仿宋" w:cs="仿宋"/>
              <w:sz w:val="24"/>
              <w:szCs w:val="24"/>
            </w:rPr>
            <w:t>14.违约责任</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_Toc10985 \h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"_Toc23049" </w:instrText>
          </w:r>
          <w:r>
            <w:fldChar w:fldCharType="separate"/>
          </w:r>
          <w:r>
            <w:rPr>
              <w:rFonts w:hint="eastAsia" w:ascii="仿宋" w:hAnsi="仿宋" w:eastAsia="仿宋" w:cs="仿宋"/>
              <w:sz w:val="24"/>
              <w:szCs w:val="24"/>
            </w:rPr>
            <w:t>15.合同的解除</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_Toc23049 \h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"_Toc829" </w:instrText>
          </w:r>
          <w:r>
            <w:fldChar w:fldCharType="separate"/>
          </w:r>
          <w:r>
            <w:rPr>
              <w:rFonts w:hint="eastAsia" w:ascii="仿宋" w:hAnsi="仿宋" w:eastAsia="仿宋" w:cs="仿宋"/>
              <w:sz w:val="24"/>
              <w:szCs w:val="24"/>
            </w:rPr>
            <w:t>16.不可抗力</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_Toc829 \h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"_Toc17303" </w:instrText>
          </w:r>
          <w:r>
            <w:fldChar w:fldCharType="separate"/>
          </w:r>
          <w:r>
            <w:rPr>
              <w:rFonts w:hint="eastAsia" w:ascii="仿宋" w:hAnsi="仿宋" w:eastAsia="仿宋" w:cs="仿宋"/>
              <w:sz w:val="24"/>
              <w:szCs w:val="24"/>
            </w:rPr>
            <w:t>17.争议的解决</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_Toc17303 \h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"_Toc28573" </w:instrText>
          </w:r>
          <w:r>
            <w:fldChar w:fldCharType="separate"/>
          </w:r>
          <w:r>
            <w:rPr>
              <w:rFonts w:hint="eastAsia" w:ascii="仿宋" w:hAnsi="仿宋" w:eastAsia="仿宋" w:cs="仿宋"/>
              <w:sz w:val="24"/>
              <w:szCs w:val="24"/>
            </w:rPr>
            <w:t>第二节专用合同条款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_Toc28573 \h </w:instrText>
          </w:r>
          <w:r>
            <w:rPr>
              <w:rFonts w:hint="eastAsia" w:ascii="仿宋" w:hAnsi="仿宋" w:eastAsia="仿宋" w:cs="仿宋"/>
              <w:sz w:val="24"/>
              <w:szCs w:val="24"/>
            </w:rPr>
            <w:fldChar w:fldCharType="separate"/>
          </w:r>
          <w:r>
            <w:rPr>
              <w:rFonts w:hint="eastAsia" w:ascii="仿宋" w:hAnsi="仿宋" w:eastAsia="仿宋" w:cs="仿宋"/>
              <w:sz w:val="24"/>
              <w:szCs w:val="24"/>
            </w:rPr>
            <w:t>25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064"/>
            </w:tabs>
            <w:rPr>
              <w:rFonts w:ascii="仿宋" w:hAnsi="仿宋" w:eastAsia="仿宋" w:cs="仿宋"/>
              <w:sz w:val="24"/>
              <w:szCs w:val="24"/>
            </w:rPr>
          </w:pPr>
          <w:r>
            <w:fldChar w:fldCharType="begin"/>
          </w:r>
          <w:r>
            <w:instrText xml:space="preserve"> HYPERLINK \l "_Toc377" </w:instrText>
          </w:r>
          <w:r>
            <w:fldChar w:fldCharType="separate"/>
          </w:r>
          <w:r>
            <w:rPr>
              <w:rFonts w:hint="eastAsia" w:ascii="仿宋" w:hAnsi="仿宋" w:eastAsia="仿宋" w:cs="仿宋"/>
              <w:sz w:val="24"/>
              <w:szCs w:val="24"/>
              <w:lang w:eastAsia="zh-CN"/>
            </w:rPr>
            <w:t>1.一般约定</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_Toc377 \h </w:instrText>
          </w:r>
          <w:r>
            <w:rPr>
              <w:rFonts w:hint="eastAsia" w:ascii="仿宋" w:hAnsi="仿宋" w:eastAsia="仿宋" w:cs="仿宋"/>
              <w:sz w:val="24"/>
              <w:szCs w:val="24"/>
            </w:rPr>
            <w:fldChar w:fldCharType="separate"/>
          </w:r>
          <w:r>
            <w:rPr>
              <w:rFonts w:hint="eastAsia" w:ascii="仿宋" w:hAnsi="仿宋" w:eastAsia="仿宋" w:cs="仿宋"/>
              <w:sz w:val="24"/>
              <w:szCs w:val="24"/>
            </w:rPr>
            <w:t>25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064"/>
            </w:tabs>
            <w:rPr>
              <w:rFonts w:ascii="仿宋" w:hAnsi="仿宋" w:eastAsia="仿宋" w:cs="仿宋"/>
              <w:sz w:val="24"/>
              <w:szCs w:val="24"/>
            </w:rPr>
          </w:pPr>
          <w:r>
            <w:fldChar w:fldCharType="begin"/>
          </w:r>
          <w:r>
            <w:instrText xml:space="preserve"> HYPERLINK \l "_Toc12936" </w:instrText>
          </w:r>
          <w:r>
            <w:fldChar w:fldCharType="separate"/>
          </w:r>
          <w:r>
            <w:rPr>
              <w:rFonts w:hint="eastAsia" w:ascii="仿宋" w:hAnsi="仿宋" w:eastAsia="仿宋" w:cs="仿宋"/>
              <w:sz w:val="24"/>
              <w:szCs w:val="24"/>
              <w:lang w:val="zh-CN" w:eastAsia="zh-CN"/>
            </w:rPr>
            <w:t>2.合同范围</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_Toc12936 \h </w:instrText>
          </w:r>
          <w:r>
            <w:rPr>
              <w:rFonts w:hint="eastAsia" w:ascii="仿宋" w:hAnsi="仿宋" w:eastAsia="仿宋" w:cs="仿宋"/>
              <w:sz w:val="24"/>
              <w:szCs w:val="24"/>
            </w:rPr>
            <w:fldChar w:fldCharType="separate"/>
          </w:r>
          <w:r>
            <w:rPr>
              <w:rFonts w:hint="eastAsia" w:ascii="仿宋" w:hAnsi="仿宋" w:eastAsia="仿宋" w:cs="仿宋"/>
              <w:sz w:val="24"/>
              <w:szCs w:val="24"/>
            </w:rPr>
            <w:t>27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064"/>
            </w:tabs>
            <w:rPr>
              <w:rFonts w:ascii="仿宋" w:hAnsi="仿宋" w:eastAsia="仿宋" w:cs="仿宋"/>
              <w:sz w:val="24"/>
              <w:szCs w:val="24"/>
            </w:rPr>
          </w:pPr>
          <w:r>
            <w:fldChar w:fldCharType="begin"/>
          </w:r>
          <w:r>
            <w:instrText xml:space="preserve"> HYPERLINK \l "_Toc12837" </w:instrText>
          </w:r>
          <w:r>
            <w:fldChar w:fldCharType="separate"/>
          </w:r>
          <w:r>
            <w:rPr>
              <w:rFonts w:hint="eastAsia" w:ascii="仿宋" w:hAnsi="仿宋" w:eastAsia="仿宋" w:cs="仿宋"/>
              <w:sz w:val="24"/>
              <w:szCs w:val="24"/>
            </w:rPr>
            <w:t>3.</w:t>
          </w:r>
          <w:r>
            <w:rPr>
              <w:rFonts w:hint="eastAsia" w:ascii="仿宋" w:hAnsi="仿宋" w:eastAsia="仿宋" w:cs="仿宋"/>
              <w:sz w:val="24"/>
              <w:szCs w:val="24"/>
              <w:lang w:val="zh-CN"/>
            </w:rPr>
            <w:t>合同价格与支付</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_Toc12837 \h </w:instrText>
          </w:r>
          <w:r>
            <w:rPr>
              <w:rFonts w:hint="eastAsia" w:ascii="仿宋" w:hAnsi="仿宋" w:eastAsia="仿宋" w:cs="仿宋"/>
              <w:sz w:val="24"/>
              <w:szCs w:val="24"/>
            </w:rPr>
            <w:fldChar w:fldCharType="separate"/>
          </w:r>
          <w:r>
            <w:rPr>
              <w:rFonts w:hint="eastAsia" w:ascii="仿宋" w:hAnsi="仿宋" w:eastAsia="仿宋" w:cs="仿宋"/>
              <w:sz w:val="24"/>
              <w:szCs w:val="24"/>
            </w:rPr>
            <w:t>27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064"/>
            </w:tabs>
            <w:rPr>
              <w:rFonts w:ascii="仿宋" w:hAnsi="仿宋" w:eastAsia="仿宋" w:cs="仿宋"/>
              <w:sz w:val="24"/>
              <w:szCs w:val="24"/>
            </w:rPr>
          </w:pPr>
          <w:r>
            <w:fldChar w:fldCharType="begin"/>
          </w:r>
          <w:r>
            <w:instrText xml:space="preserve"> HYPERLINK \l "_Toc26337" </w:instrText>
          </w:r>
          <w:r>
            <w:fldChar w:fldCharType="separate"/>
          </w:r>
          <w:r>
            <w:rPr>
              <w:rFonts w:hint="eastAsia" w:ascii="仿宋" w:hAnsi="仿宋" w:eastAsia="仿宋" w:cs="仿宋"/>
              <w:sz w:val="24"/>
              <w:szCs w:val="24"/>
              <w:lang w:val="zh-CN" w:eastAsia="zh-CN"/>
            </w:rPr>
            <w:t>4.监造及交货前检验</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_Toc26337 \h </w:instrText>
          </w:r>
          <w:r>
            <w:rPr>
              <w:rFonts w:hint="eastAsia" w:ascii="仿宋" w:hAnsi="仿宋" w:eastAsia="仿宋" w:cs="仿宋"/>
              <w:sz w:val="24"/>
              <w:szCs w:val="24"/>
            </w:rPr>
            <w:fldChar w:fldCharType="separate"/>
          </w:r>
          <w:r>
            <w:rPr>
              <w:rFonts w:hint="eastAsia" w:ascii="仿宋" w:hAnsi="仿宋" w:eastAsia="仿宋" w:cs="仿宋"/>
              <w:sz w:val="24"/>
              <w:szCs w:val="24"/>
            </w:rPr>
            <w:t>28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064"/>
            </w:tabs>
            <w:rPr>
              <w:rFonts w:ascii="仿宋" w:hAnsi="仿宋" w:eastAsia="仿宋" w:cs="仿宋"/>
              <w:sz w:val="24"/>
              <w:szCs w:val="24"/>
            </w:rPr>
          </w:pPr>
          <w:r>
            <w:fldChar w:fldCharType="begin"/>
          </w:r>
          <w:r>
            <w:instrText xml:space="preserve"> HYPERLINK \l "_Toc10791" </w:instrText>
          </w:r>
          <w:r>
            <w:fldChar w:fldCharType="separate"/>
          </w:r>
          <w:r>
            <w:rPr>
              <w:rFonts w:hint="eastAsia" w:ascii="仿宋" w:hAnsi="仿宋" w:eastAsia="仿宋" w:cs="仿宋"/>
              <w:sz w:val="24"/>
              <w:szCs w:val="24"/>
              <w:lang w:val="zh-CN" w:eastAsia="zh-CN"/>
            </w:rPr>
            <w:t>5.包装、标记、运输和交付</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_Toc10791 \h </w:instrText>
          </w:r>
          <w:r>
            <w:rPr>
              <w:rFonts w:hint="eastAsia" w:ascii="仿宋" w:hAnsi="仿宋" w:eastAsia="仿宋" w:cs="仿宋"/>
              <w:sz w:val="24"/>
              <w:szCs w:val="24"/>
            </w:rPr>
            <w:fldChar w:fldCharType="separate"/>
          </w:r>
          <w:r>
            <w:rPr>
              <w:rFonts w:hint="eastAsia" w:ascii="仿宋" w:hAnsi="仿宋" w:eastAsia="仿宋" w:cs="仿宋"/>
              <w:sz w:val="24"/>
              <w:szCs w:val="24"/>
            </w:rPr>
            <w:t>29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064"/>
            </w:tabs>
            <w:rPr>
              <w:rFonts w:ascii="仿宋" w:hAnsi="仿宋" w:eastAsia="仿宋" w:cs="仿宋"/>
              <w:sz w:val="24"/>
              <w:szCs w:val="24"/>
            </w:rPr>
          </w:pPr>
          <w:r>
            <w:fldChar w:fldCharType="begin"/>
          </w:r>
          <w:r>
            <w:instrText xml:space="preserve"> HYPERLINK \l "_Toc1872" </w:instrText>
          </w:r>
          <w:r>
            <w:fldChar w:fldCharType="separate"/>
          </w:r>
          <w:r>
            <w:rPr>
              <w:rFonts w:hint="eastAsia" w:ascii="仿宋" w:hAnsi="仿宋" w:eastAsia="仿宋" w:cs="仿宋"/>
              <w:sz w:val="24"/>
              <w:szCs w:val="24"/>
              <w:lang w:val="zh-CN" w:eastAsia="zh-CN"/>
            </w:rPr>
            <w:t>6.考核、验收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_Toc1872 \h </w:instrText>
          </w:r>
          <w:r>
            <w:rPr>
              <w:rFonts w:hint="eastAsia" w:ascii="仿宋" w:hAnsi="仿宋" w:eastAsia="仿宋" w:cs="仿宋"/>
              <w:sz w:val="24"/>
              <w:szCs w:val="24"/>
            </w:rPr>
            <w:fldChar w:fldCharType="separate"/>
          </w:r>
          <w:r>
            <w:rPr>
              <w:rFonts w:hint="eastAsia" w:ascii="仿宋" w:hAnsi="仿宋" w:eastAsia="仿宋" w:cs="仿宋"/>
              <w:sz w:val="24"/>
              <w:szCs w:val="24"/>
            </w:rPr>
            <w:t>32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064"/>
            </w:tabs>
            <w:rPr>
              <w:rFonts w:ascii="仿宋" w:hAnsi="仿宋" w:eastAsia="仿宋" w:cs="仿宋"/>
              <w:sz w:val="24"/>
              <w:szCs w:val="24"/>
            </w:rPr>
          </w:pPr>
          <w:r>
            <w:fldChar w:fldCharType="begin"/>
          </w:r>
          <w:r>
            <w:instrText xml:space="preserve"> HYPERLINK \l "_Toc22675" </w:instrText>
          </w:r>
          <w:r>
            <w:fldChar w:fldCharType="separate"/>
          </w:r>
          <w:r>
            <w:rPr>
              <w:rFonts w:hint="eastAsia" w:ascii="仿宋" w:hAnsi="仿宋" w:eastAsia="仿宋" w:cs="仿宋"/>
              <w:sz w:val="24"/>
              <w:szCs w:val="24"/>
              <w:lang w:val="zh-CN" w:eastAsia="zh-CN"/>
            </w:rPr>
            <w:t>7. 技术服务</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_Toc22675 \h </w:instrText>
          </w:r>
          <w:r>
            <w:rPr>
              <w:rFonts w:hint="eastAsia" w:ascii="仿宋" w:hAnsi="仿宋" w:eastAsia="仿宋" w:cs="仿宋"/>
              <w:sz w:val="24"/>
              <w:szCs w:val="24"/>
            </w:rPr>
            <w:fldChar w:fldCharType="separate"/>
          </w:r>
          <w:r>
            <w:rPr>
              <w:rFonts w:hint="eastAsia" w:ascii="仿宋" w:hAnsi="仿宋" w:eastAsia="仿宋" w:cs="仿宋"/>
              <w:sz w:val="24"/>
              <w:szCs w:val="24"/>
            </w:rPr>
            <w:t>33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064"/>
            </w:tabs>
            <w:rPr>
              <w:rFonts w:ascii="仿宋" w:hAnsi="仿宋" w:eastAsia="仿宋" w:cs="仿宋"/>
              <w:sz w:val="24"/>
              <w:szCs w:val="24"/>
            </w:rPr>
          </w:pPr>
          <w:r>
            <w:fldChar w:fldCharType="begin"/>
          </w:r>
          <w:r>
            <w:instrText xml:space="preserve"> HYPERLINK \l "_Toc20867" </w:instrText>
          </w:r>
          <w:r>
            <w:fldChar w:fldCharType="separate"/>
          </w:r>
          <w:r>
            <w:rPr>
              <w:rFonts w:hint="eastAsia" w:ascii="仿宋" w:hAnsi="仿宋" w:eastAsia="仿宋" w:cs="仿宋"/>
              <w:sz w:val="24"/>
              <w:szCs w:val="24"/>
              <w:lang w:val="zh-CN" w:eastAsia="zh-CN"/>
            </w:rPr>
            <w:t>8.质量保证期</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_Toc20867 \h </w:instrText>
          </w:r>
          <w:r>
            <w:rPr>
              <w:rFonts w:hint="eastAsia" w:ascii="仿宋" w:hAnsi="仿宋" w:eastAsia="仿宋" w:cs="仿宋"/>
              <w:sz w:val="24"/>
              <w:szCs w:val="24"/>
            </w:rPr>
            <w:fldChar w:fldCharType="separate"/>
          </w:r>
          <w:r>
            <w:rPr>
              <w:rFonts w:hint="eastAsia" w:ascii="仿宋" w:hAnsi="仿宋" w:eastAsia="仿宋" w:cs="仿宋"/>
              <w:sz w:val="24"/>
              <w:szCs w:val="24"/>
            </w:rPr>
            <w:t>33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064"/>
            </w:tabs>
            <w:rPr>
              <w:rFonts w:ascii="仿宋" w:hAnsi="仿宋" w:eastAsia="仿宋" w:cs="仿宋"/>
              <w:sz w:val="24"/>
              <w:szCs w:val="24"/>
            </w:rPr>
          </w:pPr>
          <w:r>
            <w:fldChar w:fldCharType="begin"/>
          </w:r>
          <w:r>
            <w:instrText xml:space="preserve"> HYPERLINK \l "_Toc27575" </w:instrText>
          </w:r>
          <w:r>
            <w:fldChar w:fldCharType="separate"/>
          </w:r>
          <w:r>
            <w:rPr>
              <w:rFonts w:hint="eastAsia" w:ascii="仿宋" w:hAnsi="仿宋" w:eastAsia="仿宋" w:cs="仿宋"/>
              <w:sz w:val="24"/>
              <w:szCs w:val="24"/>
              <w:lang w:val="zh-CN" w:eastAsia="zh-CN"/>
            </w:rPr>
            <w:t>9. 质保期服务</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_Toc27575 \h </w:instrText>
          </w:r>
          <w:r>
            <w:rPr>
              <w:rFonts w:hint="eastAsia" w:ascii="仿宋" w:hAnsi="仿宋" w:eastAsia="仿宋" w:cs="仿宋"/>
              <w:sz w:val="24"/>
              <w:szCs w:val="24"/>
            </w:rPr>
            <w:fldChar w:fldCharType="separate"/>
          </w:r>
          <w:r>
            <w:rPr>
              <w:rFonts w:hint="eastAsia" w:ascii="仿宋" w:hAnsi="仿宋" w:eastAsia="仿宋" w:cs="仿宋"/>
              <w:sz w:val="24"/>
              <w:szCs w:val="24"/>
            </w:rPr>
            <w:t>34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064"/>
            </w:tabs>
            <w:rPr>
              <w:rFonts w:ascii="仿宋" w:hAnsi="仿宋" w:eastAsia="仿宋" w:cs="仿宋"/>
              <w:sz w:val="24"/>
              <w:szCs w:val="24"/>
            </w:rPr>
          </w:pPr>
          <w:r>
            <w:fldChar w:fldCharType="begin"/>
          </w:r>
          <w:r>
            <w:instrText xml:space="preserve"> HYPERLINK \l "_Toc27773" </w:instrText>
          </w:r>
          <w:r>
            <w:fldChar w:fldCharType="separate"/>
          </w:r>
          <w:r>
            <w:rPr>
              <w:rFonts w:hint="eastAsia" w:ascii="仿宋" w:hAnsi="仿宋" w:eastAsia="仿宋" w:cs="仿宋"/>
              <w:sz w:val="24"/>
              <w:szCs w:val="24"/>
              <w:lang w:val="zh-CN" w:eastAsia="zh-CN"/>
            </w:rPr>
            <w:t>10. 履约保证金</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_Toc27773 \h </w:instrText>
          </w:r>
          <w:r>
            <w:rPr>
              <w:rFonts w:hint="eastAsia" w:ascii="仿宋" w:hAnsi="仿宋" w:eastAsia="仿宋" w:cs="仿宋"/>
              <w:sz w:val="24"/>
              <w:szCs w:val="24"/>
            </w:rPr>
            <w:fldChar w:fldCharType="separate"/>
          </w:r>
          <w:r>
            <w:rPr>
              <w:rFonts w:hint="eastAsia" w:ascii="仿宋" w:hAnsi="仿宋" w:eastAsia="仿宋" w:cs="仿宋"/>
              <w:sz w:val="24"/>
              <w:szCs w:val="24"/>
            </w:rPr>
            <w:t>34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064"/>
            </w:tabs>
            <w:rPr>
              <w:rFonts w:ascii="仿宋" w:hAnsi="仿宋" w:eastAsia="仿宋" w:cs="仿宋"/>
              <w:sz w:val="24"/>
              <w:szCs w:val="24"/>
            </w:rPr>
          </w:pPr>
          <w:r>
            <w:fldChar w:fldCharType="begin"/>
          </w:r>
          <w:r>
            <w:instrText xml:space="preserve"> HYPERLINK \l "_Toc12889" </w:instrText>
          </w:r>
          <w:r>
            <w:fldChar w:fldCharType="separate"/>
          </w:r>
          <w:r>
            <w:rPr>
              <w:rFonts w:hint="eastAsia" w:ascii="仿宋" w:hAnsi="仿宋" w:eastAsia="仿宋" w:cs="仿宋"/>
              <w:sz w:val="24"/>
              <w:szCs w:val="24"/>
              <w:lang w:val="zh-CN" w:eastAsia="zh-CN"/>
            </w:rPr>
            <w:t>11.保证</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_Toc12889 \h </w:instrText>
          </w:r>
          <w:r>
            <w:rPr>
              <w:rFonts w:hint="eastAsia" w:ascii="仿宋" w:hAnsi="仿宋" w:eastAsia="仿宋" w:cs="仿宋"/>
              <w:sz w:val="24"/>
              <w:szCs w:val="24"/>
            </w:rPr>
            <w:fldChar w:fldCharType="separate"/>
          </w:r>
          <w:r>
            <w:rPr>
              <w:rFonts w:hint="eastAsia" w:ascii="仿宋" w:hAnsi="仿宋" w:eastAsia="仿宋" w:cs="仿宋"/>
              <w:sz w:val="24"/>
              <w:szCs w:val="24"/>
            </w:rPr>
            <w:t>34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064"/>
            </w:tabs>
            <w:rPr>
              <w:rFonts w:ascii="仿宋" w:hAnsi="仿宋" w:eastAsia="仿宋" w:cs="仿宋"/>
              <w:sz w:val="24"/>
              <w:szCs w:val="24"/>
            </w:rPr>
          </w:pPr>
          <w:r>
            <w:fldChar w:fldCharType="begin"/>
          </w:r>
          <w:r>
            <w:instrText xml:space="preserve"> HYPERLINK \l "_Toc15546" </w:instrText>
          </w:r>
          <w:r>
            <w:fldChar w:fldCharType="separate"/>
          </w:r>
          <w:r>
            <w:rPr>
              <w:rFonts w:hint="eastAsia" w:ascii="仿宋" w:hAnsi="仿宋" w:eastAsia="仿宋" w:cs="仿宋"/>
              <w:sz w:val="24"/>
              <w:szCs w:val="24"/>
              <w:lang w:val="zh-CN" w:eastAsia="zh-CN"/>
            </w:rPr>
            <w:t>14.违约责任</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_Toc15546 \h </w:instrText>
          </w:r>
          <w:r>
            <w:rPr>
              <w:rFonts w:hint="eastAsia" w:ascii="仿宋" w:hAnsi="仿宋" w:eastAsia="仿宋" w:cs="仿宋"/>
              <w:sz w:val="24"/>
              <w:szCs w:val="24"/>
            </w:rPr>
            <w:fldChar w:fldCharType="separate"/>
          </w:r>
          <w:r>
            <w:rPr>
              <w:rFonts w:hint="eastAsia" w:ascii="仿宋" w:hAnsi="仿宋" w:eastAsia="仿宋" w:cs="仿宋"/>
              <w:sz w:val="24"/>
              <w:szCs w:val="24"/>
            </w:rPr>
            <w:t>35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064"/>
            </w:tabs>
            <w:rPr>
              <w:rFonts w:ascii="仿宋" w:hAnsi="仿宋" w:eastAsia="仿宋" w:cs="仿宋"/>
              <w:sz w:val="24"/>
              <w:szCs w:val="24"/>
            </w:rPr>
          </w:pPr>
          <w:r>
            <w:fldChar w:fldCharType="begin"/>
          </w:r>
          <w:r>
            <w:instrText xml:space="preserve"> HYPERLINK \l "_Toc16681" </w:instrText>
          </w:r>
          <w:r>
            <w:fldChar w:fldCharType="separate"/>
          </w:r>
          <w:r>
            <w:rPr>
              <w:rFonts w:hint="eastAsia" w:ascii="仿宋" w:hAnsi="仿宋" w:eastAsia="仿宋" w:cs="仿宋"/>
              <w:sz w:val="24"/>
              <w:szCs w:val="24"/>
              <w:lang w:val="zh-CN" w:eastAsia="zh-CN"/>
            </w:rPr>
            <w:t>17.争议的解决</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_Toc16681 \h </w:instrText>
          </w:r>
          <w:r>
            <w:rPr>
              <w:rFonts w:hint="eastAsia" w:ascii="仿宋" w:hAnsi="仿宋" w:eastAsia="仿宋" w:cs="仿宋"/>
              <w:sz w:val="24"/>
              <w:szCs w:val="24"/>
            </w:rPr>
            <w:fldChar w:fldCharType="separate"/>
          </w:r>
          <w:r>
            <w:rPr>
              <w:rFonts w:hint="eastAsia" w:ascii="仿宋" w:hAnsi="仿宋" w:eastAsia="仿宋" w:cs="仿宋"/>
              <w:sz w:val="24"/>
              <w:szCs w:val="24"/>
            </w:rPr>
            <w:t>36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064"/>
            </w:tabs>
            <w:rPr>
              <w:rFonts w:ascii="仿宋" w:hAnsi="仿宋" w:eastAsia="仿宋" w:cs="仿宋"/>
              <w:sz w:val="24"/>
              <w:szCs w:val="24"/>
            </w:rPr>
          </w:pPr>
          <w:r>
            <w:fldChar w:fldCharType="begin"/>
          </w:r>
          <w:r>
            <w:instrText xml:space="preserve"> HYPERLINK \l "_Toc25812" </w:instrText>
          </w:r>
          <w:r>
            <w:fldChar w:fldCharType="separate"/>
          </w:r>
          <w:r>
            <w:rPr>
              <w:rFonts w:hint="eastAsia" w:ascii="仿宋" w:hAnsi="仿宋" w:eastAsia="仿宋" w:cs="仿宋"/>
              <w:sz w:val="24"/>
              <w:szCs w:val="24"/>
              <w:lang w:val="zh-CN" w:eastAsia="zh-CN"/>
            </w:rPr>
            <w:t>18.索赔</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_Toc25812 \h </w:instrText>
          </w:r>
          <w:r>
            <w:rPr>
              <w:rFonts w:hint="eastAsia" w:ascii="仿宋" w:hAnsi="仿宋" w:eastAsia="仿宋" w:cs="仿宋"/>
              <w:sz w:val="24"/>
              <w:szCs w:val="24"/>
            </w:rPr>
            <w:fldChar w:fldCharType="separate"/>
          </w:r>
          <w:r>
            <w:rPr>
              <w:rFonts w:hint="eastAsia" w:ascii="仿宋" w:hAnsi="仿宋" w:eastAsia="仿宋" w:cs="仿宋"/>
              <w:sz w:val="24"/>
              <w:szCs w:val="24"/>
            </w:rPr>
            <w:t>36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064"/>
            </w:tabs>
            <w:rPr>
              <w:rFonts w:ascii="仿宋" w:hAnsi="仿宋" w:eastAsia="仿宋" w:cs="仿宋"/>
              <w:sz w:val="24"/>
              <w:szCs w:val="24"/>
            </w:rPr>
          </w:pPr>
          <w:r>
            <w:fldChar w:fldCharType="begin"/>
          </w:r>
          <w:r>
            <w:instrText xml:space="preserve"> HYPERLINK \l "_Toc21471" </w:instrText>
          </w:r>
          <w:r>
            <w:fldChar w:fldCharType="separate"/>
          </w:r>
          <w:r>
            <w:rPr>
              <w:rFonts w:hint="eastAsia" w:ascii="仿宋" w:hAnsi="仿宋" w:eastAsia="仿宋" w:cs="仿宋"/>
              <w:sz w:val="24"/>
              <w:szCs w:val="24"/>
              <w:lang w:val="zh-CN" w:eastAsia="zh-CN"/>
            </w:rPr>
            <w:t>19.税费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_Toc21471 \h </w:instrText>
          </w:r>
          <w:r>
            <w:rPr>
              <w:rFonts w:hint="eastAsia" w:ascii="仿宋" w:hAnsi="仿宋" w:eastAsia="仿宋" w:cs="仿宋"/>
              <w:sz w:val="24"/>
              <w:szCs w:val="24"/>
            </w:rPr>
            <w:fldChar w:fldCharType="separate"/>
          </w:r>
          <w:r>
            <w:rPr>
              <w:rFonts w:hint="eastAsia" w:ascii="仿宋" w:hAnsi="仿宋" w:eastAsia="仿宋" w:cs="仿宋"/>
              <w:sz w:val="24"/>
              <w:szCs w:val="24"/>
            </w:rPr>
            <w:t>37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064"/>
            </w:tabs>
            <w:rPr>
              <w:rFonts w:ascii="仿宋" w:hAnsi="仿宋" w:eastAsia="仿宋" w:cs="仿宋"/>
              <w:sz w:val="24"/>
              <w:szCs w:val="24"/>
            </w:rPr>
          </w:pPr>
          <w:r>
            <w:fldChar w:fldCharType="begin"/>
          </w:r>
          <w:r>
            <w:instrText xml:space="preserve"> HYPERLINK \l "_Toc29128" </w:instrText>
          </w:r>
          <w:r>
            <w:fldChar w:fldCharType="separate"/>
          </w:r>
          <w:r>
            <w:rPr>
              <w:rFonts w:hint="eastAsia" w:ascii="仿宋" w:hAnsi="仿宋" w:eastAsia="仿宋" w:cs="仿宋"/>
              <w:sz w:val="24"/>
              <w:szCs w:val="24"/>
              <w:lang w:val="zh-CN" w:eastAsia="zh-CN"/>
            </w:rPr>
            <w:t>20.保险</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_Toc29128 \h </w:instrText>
          </w:r>
          <w:r>
            <w:rPr>
              <w:rFonts w:hint="eastAsia" w:ascii="仿宋" w:hAnsi="仿宋" w:eastAsia="仿宋" w:cs="仿宋"/>
              <w:sz w:val="24"/>
              <w:szCs w:val="24"/>
            </w:rPr>
            <w:fldChar w:fldCharType="separate"/>
          </w:r>
          <w:r>
            <w:rPr>
              <w:rFonts w:hint="eastAsia" w:ascii="仿宋" w:hAnsi="仿宋" w:eastAsia="仿宋" w:cs="仿宋"/>
              <w:sz w:val="24"/>
              <w:szCs w:val="24"/>
            </w:rPr>
            <w:t>37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"_Toc11102" </w:instrText>
          </w:r>
          <w:r>
            <w:fldChar w:fldCharType="separate"/>
          </w:r>
          <w:r>
            <w:rPr>
              <w:rFonts w:hint="eastAsia" w:ascii="仿宋" w:hAnsi="仿宋" w:eastAsia="仿宋" w:cs="仿宋"/>
              <w:sz w:val="24"/>
              <w:szCs w:val="24"/>
            </w:rPr>
            <w:t>第三节 合同附件格式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_Toc11102 \h </w:instrText>
          </w:r>
          <w:r>
            <w:rPr>
              <w:rFonts w:hint="eastAsia" w:ascii="仿宋" w:hAnsi="仿宋" w:eastAsia="仿宋" w:cs="仿宋"/>
              <w:sz w:val="24"/>
              <w:szCs w:val="24"/>
            </w:rPr>
            <w:fldChar w:fldCharType="separate"/>
          </w:r>
          <w:r>
            <w:rPr>
              <w:rFonts w:hint="eastAsia" w:ascii="仿宋" w:hAnsi="仿宋" w:eastAsia="仿宋" w:cs="仿宋"/>
              <w:sz w:val="24"/>
              <w:szCs w:val="24"/>
            </w:rPr>
            <w:t>38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"_Toc1881" </w:instrText>
          </w:r>
          <w:r>
            <w:fldChar w:fldCharType="separate"/>
          </w:r>
          <w:r>
            <w:rPr>
              <w:rFonts w:hint="eastAsia" w:ascii="仿宋" w:hAnsi="仿宋" w:eastAsia="仿宋" w:cs="仿宋"/>
              <w:sz w:val="24"/>
              <w:szCs w:val="24"/>
            </w:rPr>
            <w:t>附件一：合同协议书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_Toc1881 \h </w:instrText>
          </w:r>
          <w:r>
            <w:rPr>
              <w:rFonts w:hint="eastAsia" w:ascii="仿宋" w:hAnsi="仿宋" w:eastAsia="仿宋" w:cs="仿宋"/>
              <w:sz w:val="24"/>
              <w:szCs w:val="24"/>
            </w:rPr>
            <w:fldChar w:fldCharType="separate"/>
          </w:r>
          <w:r>
            <w:rPr>
              <w:rFonts w:hint="eastAsia" w:ascii="仿宋" w:hAnsi="仿宋" w:eastAsia="仿宋" w:cs="仿宋"/>
              <w:sz w:val="24"/>
              <w:szCs w:val="24"/>
            </w:rPr>
            <w:t>38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064"/>
            </w:tabs>
            <w:rPr>
              <w:rFonts w:ascii="仿宋" w:hAnsi="仿宋" w:eastAsia="仿宋" w:cs="仿宋"/>
              <w:sz w:val="24"/>
              <w:szCs w:val="24"/>
            </w:rPr>
          </w:pPr>
        </w:p>
        <w:p>
          <w:pPr>
            <w:pStyle w:val="35"/>
            <w:tabs>
              <w:tab w:val="right" w:leader="dot" w:pos="9064"/>
            </w:tabs>
            <w:rPr>
              <w:rFonts w:ascii="仿宋" w:hAnsi="仿宋" w:eastAsia="仿宋" w:cs="仿宋"/>
              <w:sz w:val="24"/>
              <w:szCs w:val="24"/>
            </w:rPr>
          </w:pPr>
          <w:r>
            <w:fldChar w:fldCharType="begin"/>
          </w:r>
          <w:r>
            <w:instrText xml:space="preserve"> HYPERLINK \l "_Toc2081" </w:instrText>
          </w:r>
          <w:r>
            <w:fldChar w:fldCharType="separate"/>
          </w:r>
          <w:r>
            <w:rPr>
              <w:rFonts w:hint="eastAsia" w:ascii="仿宋" w:hAnsi="仿宋" w:eastAsia="仿宋" w:cs="仿宋"/>
              <w:sz w:val="24"/>
              <w:szCs w:val="24"/>
            </w:rPr>
            <w:t>附件二：履约保函格式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_Toc2081 \h </w:instrText>
          </w:r>
          <w:r>
            <w:rPr>
              <w:rFonts w:hint="eastAsia" w:ascii="仿宋" w:hAnsi="仿宋" w:eastAsia="仿宋" w:cs="仿宋"/>
              <w:sz w:val="24"/>
              <w:szCs w:val="24"/>
            </w:rPr>
            <w:fldChar w:fldCharType="separate"/>
          </w:r>
          <w:r>
            <w:rPr>
              <w:rFonts w:hint="eastAsia" w:ascii="仿宋" w:hAnsi="仿宋" w:eastAsia="仿宋" w:cs="仿宋"/>
              <w:sz w:val="24"/>
              <w:szCs w:val="24"/>
            </w:rPr>
            <w:t>39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"_Toc13003" </w:instrText>
          </w:r>
          <w:r>
            <w:fldChar w:fldCharType="separate"/>
          </w:r>
          <w:r>
            <w:rPr>
              <w:rFonts w:hint="eastAsia" w:ascii="仿宋" w:hAnsi="仿宋" w:eastAsia="仿宋" w:cs="仿宋"/>
              <w:sz w:val="24"/>
              <w:szCs w:val="24"/>
              <w:lang w:eastAsia="zh-CN"/>
            </w:rPr>
            <w:t>附件三：廉政合同格式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_Toc13003 \h </w:instrText>
          </w:r>
          <w:r>
            <w:rPr>
              <w:rFonts w:hint="eastAsia" w:ascii="仿宋" w:hAnsi="仿宋" w:eastAsia="仿宋" w:cs="仿宋"/>
              <w:sz w:val="24"/>
              <w:szCs w:val="24"/>
            </w:rPr>
            <w:fldChar w:fldCharType="separate"/>
          </w:r>
          <w:r>
            <w:rPr>
              <w:rFonts w:hint="eastAsia" w:ascii="仿宋" w:hAnsi="仿宋" w:eastAsia="仿宋" w:cs="仿宋"/>
              <w:sz w:val="24"/>
              <w:szCs w:val="24"/>
            </w:rPr>
            <w:t>41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064"/>
            </w:tabs>
            <w:ind w:left="0"/>
            <w:rPr>
              <w:rFonts w:ascii="仿宋" w:hAnsi="仿宋" w:eastAsia="仿宋" w:cs="仿宋"/>
              <w:sz w:val="24"/>
              <w:szCs w:val="24"/>
            </w:rPr>
          </w:pPr>
        </w:p>
        <w:p>
          <w:pPr>
            <w:pStyle w:val="29"/>
            <w:tabs>
              <w:tab w:val="right" w:leader="dot" w:pos="9064"/>
            </w:tabs>
            <w:rPr>
              <w:rFonts w:ascii="黑体" w:hAnsi="黑体" w:eastAsia="黑体" w:cs="黑体"/>
              <w:sz w:val="24"/>
              <w:szCs w:val="24"/>
            </w:rPr>
          </w:pPr>
          <w:r>
            <w:rPr>
              <w:rFonts w:hint="eastAsia" w:ascii="黑体" w:hAnsi="黑体" w:eastAsia="黑体" w:cs="黑体"/>
              <w:bCs/>
              <w:sz w:val="24"/>
              <w:szCs w:val="24"/>
              <w:lang w:val="zh-CN"/>
            </w:rPr>
            <w:fldChar w:fldCharType="begin"/>
          </w:r>
          <w:r>
            <w:rPr>
              <w:rFonts w:ascii="黑体" w:hAnsi="黑体" w:eastAsia="黑体" w:cs="黑体"/>
              <w:bCs/>
              <w:sz w:val="24"/>
              <w:szCs w:val="24"/>
              <w:lang w:val="zh-CN"/>
            </w:rPr>
            <w:instrText xml:space="preserve"> HYPERLINK \l _Toc2528 </w:instrText>
          </w:r>
          <w:r>
            <w:rPr>
              <w:rFonts w:hint="eastAsia" w:ascii="黑体" w:hAnsi="黑体" w:eastAsia="黑体" w:cs="黑体"/>
              <w:bCs/>
              <w:sz w:val="24"/>
              <w:szCs w:val="24"/>
              <w:lang w:val="zh-CN"/>
            </w:rPr>
            <w:fldChar w:fldCharType="separate"/>
          </w:r>
          <w:r>
            <w:rPr>
              <w:rFonts w:hint="eastAsia" w:ascii="黑体" w:hAnsi="黑体" w:eastAsia="黑体" w:cs="黑体"/>
              <w:bCs/>
              <w:sz w:val="24"/>
              <w:szCs w:val="24"/>
              <w:lang w:val="zh-CN" w:eastAsia="zh-CN"/>
            </w:rPr>
            <w:t>第四章</w:t>
          </w:r>
          <w:r>
            <w:rPr>
              <w:rFonts w:ascii="黑体" w:hAnsi="黑体" w:eastAsia="黑体" w:cs="黑体"/>
              <w:bCs/>
              <w:sz w:val="24"/>
              <w:szCs w:val="24"/>
              <w:lang w:eastAsia="zh-CN"/>
            </w:rPr>
            <w:t xml:space="preserve"> </w:t>
          </w:r>
          <w:r>
            <w:rPr>
              <w:rFonts w:hint="eastAsia" w:ascii="黑体" w:hAnsi="黑体" w:eastAsia="黑体" w:cs="黑体"/>
              <w:bCs/>
              <w:sz w:val="24"/>
              <w:szCs w:val="24"/>
              <w:lang w:val="zh-CN" w:eastAsia="zh-CN"/>
            </w:rPr>
            <w:t>报价文件格式</w:t>
          </w:r>
          <w:r>
            <w:rPr>
              <w:rFonts w:ascii="黑体" w:hAnsi="黑体" w:eastAsia="黑体" w:cs="黑体"/>
              <w:sz w:val="24"/>
              <w:szCs w:val="24"/>
            </w:rPr>
            <w:tab/>
          </w:r>
          <w:r>
            <w:rPr>
              <w:rFonts w:hint="eastAsia" w:ascii="黑体" w:hAnsi="黑体" w:eastAsia="黑体" w:cs="黑体"/>
              <w:sz w:val="24"/>
              <w:szCs w:val="24"/>
            </w:rPr>
            <w:fldChar w:fldCharType="begin"/>
          </w:r>
          <w:r>
            <w:rPr>
              <w:rFonts w:ascii="黑体" w:hAnsi="黑体" w:eastAsia="黑体" w:cs="黑体"/>
              <w:sz w:val="24"/>
              <w:szCs w:val="24"/>
            </w:rPr>
            <w:instrText xml:space="preserve"> PAGEREF _Toc2528 \h </w:instrText>
          </w:r>
          <w:r>
            <w:rPr>
              <w:rFonts w:hint="eastAsia" w:ascii="黑体" w:hAnsi="黑体" w:eastAsia="黑体" w:cs="黑体"/>
              <w:sz w:val="24"/>
              <w:szCs w:val="24"/>
            </w:rPr>
            <w:fldChar w:fldCharType="separate"/>
          </w:r>
          <w:r>
            <w:rPr>
              <w:rFonts w:ascii="黑体" w:hAnsi="黑体" w:eastAsia="黑体" w:cs="黑体"/>
              <w:sz w:val="24"/>
              <w:szCs w:val="24"/>
            </w:rPr>
            <w:t>43</w:t>
          </w:r>
          <w:r>
            <w:rPr>
              <w:rFonts w:hint="eastAsia" w:ascii="黑体" w:hAnsi="黑体" w:eastAsia="黑体" w:cs="黑体"/>
              <w:sz w:val="24"/>
              <w:szCs w:val="24"/>
            </w:rPr>
            <w:fldChar w:fldCharType="end"/>
          </w:r>
          <w:r>
            <w:rPr>
              <w:rFonts w:hint="eastAsia" w:ascii="黑体" w:hAnsi="黑体" w:eastAsia="黑体" w:cs="黑体"/>
              <w:bCs/>
              <w:sz w:val="24"/>
              <w:szCs w:val="24"/>
              <w:lang w:val="zh-CN"/>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"_Toc29942" </w:instrText>
          </w:r>
          <w:r>
            <w:fldChar w:fldCharType="separate"/>
          </w:r>
          <w:r>
            <w:rPr>
              <w:rFonts w:hint="eastAsia" w:ascii="仿宋" w:hAnsi="仿宋" w:eastAsia="仿宋" w:cs="仿宋"/>
              <w:sz w:val="24"/>
              <w:szCs w:val="24"/>
            </w:rPr>
            <w:t>一、法定代表人身份证明或授权委托书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_Toc29942 \h </w:instrText>
          </w:r>
          <w:r>
            <w:rPr>
              <w:rFonts w:hint="eastAsia" w:ascii="仿宋" w:hAnsi="仿宋" w:eastAsia="仿宋" w:cs="仿宋"/>
              <w:sz w:val="24"/>
              <w:szCs w:val="24"/>
            </w:rPr>
            <w:fldChar w:fldCharType="separate"/>
          </w:r>
          <w:r>
            <w:rPr>
              <w:rFonts w:hint="eastAsia" w:ascii="仿宋" w:hAnsi="仿宋" w:eastAsia="仿宋" w:cs="仿宋"/>
              <w:sz w:val="24"/>
              <w:szCs w:val="24"/>
            </w:rPr>
            <w:t>45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"_Toc12431" </w:instrText>
          </w:r>
          <w:r>
            <w:fldChar w:fldCharType="separate"/>
          </w:r>
          <w:r>
            <w:rPr>
              <w:rFonts w:hint="eastAsia" w:ascii="仿宋" w:hAnsi="仿宋" w:eastAsia="仿宋" w:cs="仿宋"/>
              <w:sz w:val="24"/>
              <w:szCs w:val="24"/>
              <w:lang w:eastAsia="zh-CN"/>
            </w:rPr>
            <w:t>二、报价函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_Toc12431 \h </w:instrText>
          </w:r>
          <w:r>
            <w:rPr>
              <w:rFonts w:hint="eastAsia" w:ascii="仿宋" w:hAnsi="仿宋" w:eastAsia="仿宋" w:cs="仿宋"/>
              <w:sz w:val="24"/>
              <w:szCs w:val="24"/>
            </w:rPr>
            <w:fldChar w:fldCharType="separate"/>
          </w:r>
          <w:r>
            <w:rPr>
              <w:rFonts w:hint="eastAsia" w:ascii="仿宋" w:hAnsi="仿宋" w:eastAsia="仿宋" w:cs="仿宋"/>
              <w:sz w:val="24"/>
              <w:szCs w:val="24"/>
            </w:rPr>
            <w:t>48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"_Toc7096" </w:instrText>
          </w:r>
          <w:r>
            <w:fldChar w:fldCharType="separate"/>
          </w:r>
          <w:r>
            <w:rPr>
              <w:rFonts w:hint="eastAsia" w:ascii="仿宋" w:hAnsi="仿宋" w:eastAsia="仿宋" w:cs="仿宋"/>
              <w:sz w:val="24"/>
              <w:szCs w:val="24"/>
            </w:rPr>
            <w:t>三、报价表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_Toc7096 \h </w:instrText>
          </w:r>
          <w:r>
            <w:rPr>
              <w:rFonts w:hint="eastAsia" w:ascii="仿宋" w:hAnsi="仿宋" w:eastAsia="仿宋" w:cs="仿宋"/>
              <w:sz w:val="24"/>
              <w:szCs w:val="24"/>
            </w:rPr>
            <w:fldChar w:fldCharType="separate"/>
          </w:r>
          <w:r>
            <w:rPr>
              <w:rFonts w:hint="eastAsia" w:ascii="仿宋" w:hAnsi="仿宋" w:eastAsia="仿宋" w:cs="仿宋"/>
              <w:sz w:val="24"/>
              <w:szCs w:val="24"/>
            </w:rPr>
            <w:t>50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"_Toc18883" </w:instrText>
          </w:r>
          <w:r>
            <w:fldChar w:fldCharType="separate"/>
          </w:r>
          <w:r>
            <w:rPr>
              <w:rFonts w:hint="eastAsia" w:ascii="仿宋" w:hAnsi="仿宋" w:eastAsia="仿宋" w:cs="仿宋"/>
              <w:sz w:val="24"/>
              <w:szCs w:val="24"/>
            </w:rPr>
            <w:t>四、资格审查资料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_Toc18883 \h </w:instrText>
          </w:r>
          <w:r>
            <w:rPr>
              <w:rFonts w:hint="eastAsia" w:ascii="仿宋" w:hAnsi="仿宋" w:eastAsia="仿宋" w:cs="仿宋"/>
              <w:sz w:val="24"/>
              <w:szCs w:val="24"/>
            </w:rPr>
            <w:fldChar w:fldCharType="separate"/>
          </w:r>
          <w:r>
            <w:rPr>
              <w:rFonts w:hint="eastAsia" w:ascii="仿宋" w:hAnsi="仿宋" w:eastAsia="仿宋" w:cs="仿宋"/>
              <w:sz w:val="24"/>
              <w:szCs w:val="24"/>
            </w:rPr>
            <w:t>56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"_Toc30363" </w:instrText>
          </w:r>
          <w:r>
            <w:fldChar w:fldCharType="separate"/>
          </w:r>
          <w:r>
            <w:rPr>
              <w:rFonts w:hint="eastAsia" w:ascii="仿宋" w:hAnsi="仿宋" w:eastAsia="仿宋" w:cs="仿宋"/>
              <w:sz w:val="24"/>
              <w:szCs w:val="24"/>
            </w:rPr>
            <w:t>五、项目方案</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_Toc30363 \h </w:instrText>
          </w:r>
          <w:r>
            <w:rPr>
              <w:rFonts w:hint="eastAsia" w:ascii="仿宋" w:hAnsi="仿宋" w:eastAsia="仿宋" w:cs="仿宋"/>
              <w:sz w:val="24"/>
              <w:szCs w:val="24"/>
            </w:rPr>
            <w:fldChar w:fldCharType="separate"/>
          </w:r>
          <w:r>
            <w:rPr>
              <w:rFonts w:hint="eastAsia" w:ascii="仿宋" w:hAnsi="仿宋" w:eastAsia="仿宋" w:cs="仿宋"/>
              <w:sz w:val="24"/>
              <w:szCs w:val="24"/>
            </w:rPr>
            <w:t>59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9"/>
            <w:tabs>
              <w:tab w:val="right" w:leader="dot" w:pos="9064"/>
            </w:tabs>
            <w:rPr>
              <w:rFonts w:ascii="仿宋" w:hAnsi="仿宋" w:eastAsia="仿宋" w:cs="仿宋"/>
              <w:sz w:val="24"/>
              <w:szCs w:val="24"/>
            </w:rPr>
          </w:pPr>
          <w:r>
            <w:rPr>
              <w:rFonts w:hint="eastAsia" w:ascii="黑体" w:hAnsi="黑体" w:eastAsia="黑体" w:cs="黑体"/>
              <w:bCs/>
              <w:sz w:val="24"/>
              <w:szCs w:val="24"/>
              <w:lang w:val="zh-CN"/>
            </w:rPr>
            <w:fldChar w:fldCharType="begin"/>
          </w:r>
          <w:r>
            <w:rPr>
              <w:rFonts w:ascii="黑体" w:hAnsi="黑体" w:eastAsia="黑体" w:cs="黑体"/>
              <w:bCs/>
              <w:sz w:val="24"/>
              <w:szCs w:val="24"/>
              <w:lang w:val="zh-CN"/>
            </w:rPr>
            <w:instrText xml:space="preserve"> HYPERLINK \l _Toc20296 </w:instrText>
          </w:r>
          <w:r>
            <w:rPr>
              <w:rFonts w:hint="eastAsia" w:ascii="黑体" w:hAnsi="黑体" w:eastAsia="黑体" w:cs="黑体"/>
              <w:bCs/>
              <w:sz w:val="24"/>
              <w:szCs w:val="24"/>
              <w:lang w:val="zh-CN"/>
            </w:rPr>
            <w:fldChar w:fldCharType="separate"/>
          </w:r>
          <w:r>
            <w:rPr>
              <w:rFonts w:hint="eastAsia" w:ascii="黑体" w:hAnsi="黑体" w:eastAsia="黑体" w:cs="黑体"/>
              <w:bCs/>
              <w:sz w:val="24"/>
              <w:szCs w:val="24"/>
              <w:lang w:val="zh-CN" w:eastAsia="zh-CN"/>
            </w:rPr>
            <w:t>第五章</w:t>
          </w:r>
          <w:r>
            <w:rPr>
              <w:rFonts w:ascii="黑体" w:hAnsi="黑体" w:eastAsia="黑体" w:cs="黑体"/>
              <w:bCs/>
              <w:sz w:val="24"/>
              <w:szCs w:val="24"/>
              <w:lang w:eastAsia="zh-CN"/>
            </w:rPr>
            <w:t xml:space="preserve"> </w:t>
          </w:r>
          <w:r>
            <w:rPr>
              <w:rFonts w:hint="eastAsia" w:ascii="黑体" w:hAnsi="黑体" w:eastAsia="黑体" w:cs="黑体"/>
              <w:bCs/>
              <w:sz w:val="24"/>
              <w:szCs w:val="24"/>
              <w:lang w:val="zh-CN" w:eastAsia="zh-CN"/>
            </w:rPr>
            <w:t>技术标准和要求</w:t>
          </w:r>
          <w:r>
            <w:rPr>
              <w:rFonts w:ascii="黑体" w:hAnsi="黑体" w:eastAsia="黑体" w:cs="黑体"/>
              <w:sz w:val="24"/>
              <w:szCs w:val="24"/>
            </w:rPr>
            <w:tab/>
          </w:r>
          <w:r>
            <w:rPr>
              <w:rFonts w:hint="eastAsia" w:ascii="黑体" w:hAnsi="黑体" w:eastAsia="黑体" w:cs="黑体"/>
              <w:sz w:val="24"/>
              <w:szCs w:val="24"/>
            </w:rPr>
            <w:fldChar w:fldCharType="begin"/>
          </w:r>
          <w:r>
            <w:rPr>
              <w:rFonts w:ascii="黑体" w:hAnsi="黑体" w:eastAsia="黑体" w:cs="黑体"/>
              <w:sz w:val="24"/>
              <w:szCs w:val="24"/>
            </w:rPr>
            <w:instrText xml:space="preserve"> PAGEREF _Toc20296 \h </w:instrText>
          </w:r>
          <w:r>
            <w:rPr>
              <w:rFonts w:hint="eastAsia" w:ascii="黑体" w:hAnsi="黑体" w:eastAsia="黑体" w:cs="黑体"/>
              <w:sz w:val="24"/>
              <w:szCs w:val="24"/>
            </w:rPr>
            <w:fldChar w:fldCharType="separate"/>
          </w:r>
          <w:r>
            <w:rPr>
              <w:rFonts w:ascii="黑体" w:hAnsi="黑体" w:eastAsia="黑体" w:cs="黑体"/>
              <w:sz w:val="24"/>
              <w:szCs w:val="24"/>
            </w:rPr>
            <w:t>62</w:t>
          </w:r>
          <w:r>
            <w:rPr>
              <w:rFonts w:hint="eastAsia" w:ascii="黑体" w:hAnsi="黑体" w:eastAsia="黑体" w:cs="黑体"/>
              <w:sz w:val="24"/>
              <w:szCs w:val="24"/>
            </w:rPr>
            <w:fldChar w:fldCharType="end"/>
          </w:r>
          <w:r>
            <w:rPr>
              <w:rFonts w:hint="eastAsia" w:ascii="黑体" w:hAnsi="黑体" w:eastAsia="黑体" w:cs="黑体"/>
              <w:bCs/>
              <w:sz w:val="24"/>
              <w:szCs w:val="24"/>
              <w:lang w:val="zh-CN"/>
            </w:rPr>
            <w:fldChar w:fldCharType="end"/>
          </w:r>
        </w:p>
        <w:p>
          <w:pPr>
            <w:rPr>
              <w:rFonts w:ascii="Times New Roman" w:hAnsi="Times New Roman" w:cs="Times New Roman"/>
            </w:rPr>
          </w:pPr>
          <w:r>
            <w:rPr>
              <w:rFonts w:hint="eastAsia" w:ascii="仿宋" w:hAnsi="仿宋" w:eastAsia="仿宋" w:cs="仿宋"/>
              <w:b/>
              <w:bCs/>
              <w:sz w:val="24"/>
              <w:szCs w:val="24"/>
              <w:lang w:val="zh-CN"/>
            </w:rPr>
            <w:fldChar w:fldCharType="end"/>
          </w:r>
        </w:p>
      </w:sdtContent>
    </w:sdt>
    <w:p>
      <w:pPr>
        <w:rPr>
          <w:rFonts w:ascii="Times New Roman" w:hAnsi="Times New Roman" w:cs="Times New Roman" w:eastAsiaTheme="minorEastAsia"/>
          <w:b/>
          <w:bCs/>
          <w:sz w:val="28"/>
          <w:szCs w:val="28"/>
          <w:lang w:eastAsia="zh-CN"/>
        </w:rPr>
        <w:sectPr>
          <w:pgSz w:w="12240" w:h="15840"/>
          <w:pgMar w:top="1418" w:right="1588" w:bottom="1134" w:left="1588" w:header="0" w:footer="919" w:gutter="0"/>
          <w:pgNumType w:start="1"/>
          <w:cols w:space="720" w:num="1"/>
          <w:docGrid w:linePitch="299" w:charSpace="0"/>
        </w:sectPr>
      </w:pPr>
    </w:p>
    <w:p>
      <w:pPr>
        <w:rPr>
          <w:rFonts w:ascii="Times New Roman" w:hAnsi="Times New Roman" w:eastAsia="方正小标宋_GBK" w:cs="Times New Roman"/>
          <w:bCs/>
          <w:sz w:val="44"/>
          <w:szCs w:val="44"/>
          <w:lang w:val="zh-CN" w:eastAsia="zh-CN"/>
        </w:rPr>
      </w:pPr>
      <w:bookmarkStart w:id="0" w:name="_Toc52097499"/>
      <w:bookmarkStart w:id="1" w:name="_Toc29194680"/>
    </w:p>
    <w:bookmarkEnd w:id="0"/>
    <w:bookmarkEnd w:id="1"/>
    <w:p>
      <w:pPr>
        <w:autoSpaceDE w:val="0"/>
        <w:autoSpaceDN w:val="0"/>
        <w:adjustRightInd w:val="0"/>
        <w:spacing w:line="510" w:lineRule="exact"/>
        <w:ind w:right="117"/>
        <w:jc w:val="center"/>
        <w:outlineLvl w:val="0"/>
        <w:rPr>
          <w:rFonts w:ascii="Times New Roman" w:hAnsi="Times New Roman" w:cs="Times New Roman" w:eastAsiaTheme="minorEastAsia"/>
          <w:b/>
          <w:bCs/>
          <w:color w:val="000000" w:themeColor="text1"/>
          <w:sz w:val="30"/>
          <w:szCs w:val="30"/>
          <w:lang w:eastAsia="zh-CN"/>
          <w14:textFill>
            <w14:solidFill>
              <w14:schemeClr w14:val="tx1"/>
            </w14:solidFill>
          </w14:textFill>
        </w:rPr>
      </w:pPr>
      <w:bookmarkStart w:id="2" w:name="_Toc18976"/>
      <w:bookmarkStart w:id="3" w:name="_Toc5878"/>
      <w:bookmarkStart w:id="4" w:name="_Toc6697"/>
      <w:bookmarkStart w:id="5" w:name="_Toc13760"/>
      <w:r>
        <w:rPr>
          <w:rFonts w:ascii="Times New Roman" w:hAnsi="Times New Roman" w:eastAsia="方正小标宋_GBK" w:cs="Times New Roman"/>
          <w:bCs/>
          <w:color w:val="000000" w:themeColor="text1"/>
          <w:sz w:val="44"/>
          <w:szCs w:val="44"/>
          <w:lang w:val="zh-CN" w:eastAsia="zh-CN"/>
          <w14:textFill>
            <w14:solidFill>
              <w14:schemeClr w14:val="tx1"/>
            </w14:solidFill>
          </w14:textFill>
        </w:rPr>
        <w:t>第一章 询价公告</w:t>
      </w:r>
      <w:bookmarkEnd w:id="2"/>
      <w:bookmarkEnd w:id="3"/>
      <w:bookmarkEnd w:id="4"/>
      <w:bookmarkEnd w:id="5"/>
    </w:p>
    <w:p>
      <w:pPr>
        <w:spacing w:line="510" w:lineRule="exact"/>
        <w:jc w:val="center"/>
        <w:rPr>
          <w:rFonts w:ascii="Times New Roman" w:hAnsi="Times New Roman" w:eastAsia="方正小标宋_GBK" w:cs="Times New Roman"/>
          <w:color w:val="000000" w:themeColor="text1"/>
          <w:sz w:val="36"/>
          <w:szCs w:val="36"/>
          <w:lang w:eastAsia="zh-CN"/>
          <w14:textFill>
            <w14:solidFill>
              <w14:schemeClr w14:val="tx1"/>
            </w14:solidFill>
          </w14:textFill>
        </w:rPr>
      </w:pPr>
      <w:r>
        <w:rPr>
          <w:rFonts w:hint="eastAsia" w:ascii="Times New Roman" w:hAnsi="Times New Roman" w:eastAsia="方正小标宋_GBK" w:cs="Times New Roman"/>
          <w:color w:val="000000" w:themeColor="text1"/>
          <w:sz w:val="36"/>
          <w:szCs w:val="36"/>
          <w:lang w:eastAsia="zh-CN"/>
          <w14:textFill>
            <w14:solidFill>
              <w14:schemeClr w14:val="tx1"/>
            </w14:solidFill>
          </w14:textFill>
        </w:rPr>
        <w:t>涪江干流梯级渠化双江航电枢纽工程</w:t>
      </w:r>
    </w:p>
    <w:p>
      <w:pPr>
        <w:spacing w:line="510" w:lineRule="exact"/>
        <w:jc w:val="center"/>
        <w:rPr>
          <w:rFonts w:ascii="Times New Roman" w:hAnsi="Times New Roman" w:eastAsia="方正小标宋_GBK" w:cs="Times New Roman"/>
          <w:color w:val="000000" w:themeColor="text1"/>
          <w:sz w:val="36"/>
          <w:szCs w:val="36"/>
          <w:lang w:eastAsia="zh-CN"/>
          <w14:textFill>
            <w14:solidFill>
              <w14:schemeClr w14:val="tx1"/>
            </w14:solidFill>
          </w14:textFill>
        </w:rPr>
      </w:pPr>
      <w:r>
        <w:rPr>
          <w:rFonts w:hint="eastAsia" w:ascii="Times New Roman" w:hAnsi="Times New Roman" w:eastAsia="方正小标宋_GBK" w:cs="Times New Roman"/>
          <w:color w:val="000000" w:themeColor="text1"/>
          <w:sz w:val="36"/>
          <w:szCs w:val="36"/>
          <w:lang w:val="en-US" w:eastAsia="zh-CN"/>
          <w14:textFill>
            <w14:solidFill>
              <w14:schemeClr w14:val="tx1"/>
            </w14:solidFill>
          </w14:textFill>
        </w:rPr>
        <w:t>厂区空调</w:t>
      </w:r>
      <w:r>
        <w:rPr>
          <w:rFonts w:hint="eastAsia" w:ascii="Times New Roman" w:hAnsi="Times New Roman" w:eastAsia="方正小标宋_GBK" w:cs="Times New Roman"/>
          <w:color w:val="000000" w:themeColor="text1"/>
          <w:sz w:val="36"/>
          <w:szCs w:val="36"/>
          <w:lang w:eastAsia="zh-CN"/>
          <w14:textFill>
            <w14:solidFill>
              <w14:schemeClr w14:val="tx1"/>
            </w14:solidFill>
          </w14:textFill>
        </w:rPr>
        <w:t>设备采购</w:t>
      </w:r>
      <w:r>
        <w:rPr>
          <w:rFonts w:ascii="Times New Roman" w:hAnsi="Times New Roman" w:eastAsia="方正小标宋_GBK" w:cs="Times New Roman"/>
          <w:color w:val="000000" w:themeColor="text1"/>
          <w:sz w:val="36"/>
          <w:szCs w:val="36"/>
          <w:lang w:eastAsia="zh-CN"/>
          <w14:textFill>
            <w14:solidFill>
              <w14:schemeClr w14:val="tx1"/>
            </w14:solidFill>
          </w14:textFill>
        </w:rPr>
        <w:t>项目询价公告</w:t>
      </w:r>
    </w:p>
    <w:p>
      <w:pPr>
        <w:spacing w:line="510" w:lineRule="exact"/>
        <w:jc w:val="center"/>
        <w:rPr>
          <w:rFonts w:ascii="Times New Roman" w:hAnsi="Times New Roman" w:cs="Times New Roman" w:eastAsiaTheme="minorEastAsia"/>
          <w:color w:val="000000" w:themeColor="text1"/>
          <w:sz w:val="30"/>
          <w:szCs w:val="30"/>
          <w:lang w:eastAsia="zh-CN"/>
          <w14:textFill>
            <w14:solidFill>
              <w14:schemeClr w14:val="tx1"/>
            </w14:solidFill>
          </w14:textFill>
        </w:rPr>
      </w:pPr>
    </w:p>
    <w:p>
      <w:pPr>
        <w:pStyle w:val="4"/>
        <w:spacing w:line="510" w:lineRule="exact"/>
        <w:rPr>
          <w:rFonts w:ascii="Times New Roman" w:hAnsi="Times New Roman" w:eastAsia="黑体" w:cs="Times New Roman"/>
          <w:b w:val="0"/>
          <w:lang w:eastAsia="zh-CN"/>
        </w:rPr>
      </w:pPr>
      <w:bookmarkStart w:id="6" w:name="_Toc29194681"/>
      <w:bookmarkEnd w:id="6"/>
      <w:bookmarkStart w:id="7" w:name="_Toc375641571"/>
      <w:bookmarkEnd w:id="7"/>
      <w:bookmarkStart w:id="8" w:name="_Toc52097500"/>
      <w:bookmarkEnd w:id="8"/>
      <w:bookmarkStart w:id="9" w:name="_Toc370126361"/>
      <w:bookmarkEnd w:id="9"/>
      <w:bookmarkStart w:id="10" w:name="_Toc6230450"/>
      <w:bookmarkEnd w:id="10"/>
      <w:bookmarkStart w:id="11" w:name="_Toc31830"/>
      <w:bookmarkStart w:id="12" w:name="_Toc17963"/>
      <w:bookmarkStart w:id="13" w:name="_Toc7509"/>
      <w:bookmarkStart w:id="14" w:name="_Toc2141"/>
      <w:r>
        <w:rPr>
          <w:rFonts w:hint="eastAsia" w:ascii="Times New Roman" w:hAnsi="Times New Roman" w:eastAsia="黑体" w:cs="Times New Roman"/>
          <w:b w:val="0"/>
          <w:lang w:eastAsia="zh-CN"/>
        </w:rPr>
        <w:t>1.询价条件</w:t>
      </w:r>
      <w:bookmarkEnd w:id="11"/>
      <w:bookmarkEnd w:id="12"/>
      <w:bookmarkEnd w:id="13"/>
      <w:bookmarkEnd w:id="14"/>
    </w:p>
    <w:p>
      <w:pPr>
        <w:spacing w:line="510" w:lineRule="exact"/>
        <w:ind w:firstLine="480" w:firstLineChars="200"/>
        <w:jc w:val="both"/>
        <w:rPr>
          <w:rFonts w:ascii="Times New Roman" w:hAnsi="Times New Roman" w:eastAsia="方正仿宋_GBK" w:cs="Times New Roman"/>
          <w:bCs/>
          <w:sz w:val="32"/>
          <w:szCs w:val="32"/>
          <w:lang w:eastAsia="zh-CN"/>
        </w:rPr>
      </w:pPr>
      <w:r>
        <w:rPr>
          <w:rFonts w:hint="eastAsia"/>
          <w:snapToGrid w:val="0"/>
          <w:sz w:val="24"/>
          <w:szCs w:val="24"/>
          <w:u w:val="single"/>
          <w:lang w:eastAsia="zh-CN"/>
        </w:rPr>
        <w:t>涪江干流梯级渠化双江航电枢纽工程</w:t>
      </w:r>
      <w:r>
        <w:rPr>
          <w:rFonts w:hint="eastAsia"/>
          <w:snapToGrid w:val="0"/>
          <w:sz w:val="24"/>
          <w:szCs w:val="24"/>
          <w:u w:val="single"/>
          <w:lang w:val="en-US" w:eastAsia="zh-CN"/>
        </w:rPr>
        <w:t>厂区空调设备采购安装</w:t>
      </w:r>
      <w:r>
        <w:rPr>
          <w:rFonts w:hint="eastAsia"/>
          <w:snapToGrid w:val="0"/>
          <w:sz w:val="24"/>
          <w:szCs w:val="24"/>
          <w:lang w:eastAsia="zh-CN"/>
        </w:rPr>
        <w:t>项目已具备询价条件，询价人为</w:t>
      </w:r>
      <w:r>
        <w:rPr>
          <w:rFonts w:hint="eastAsia"/>
          <w:snapToGrid w:val="0"/>
          <w:sz w:val="24"/>
          <w:szCs w:val="24"/>
          <w:u w:val="single"/>
          <w:lang w:eastAsia="zh-CN"/>
        </w:rPr>
        <w:t>重庆双江航运发展有限公司</w:t>
      </w:r>
      <w:r>
        <w:rPr>
          <w:rFonts w:hint="eastAsia"/>
          <w:snapToGrid w:val="0"/>
          <w:sz w:val="24"/>
          <w:szCs w:val="24"/>
          <w:lang w:eastAsia="zh-CN"/>
        </w:rPr>
        <w:t>。根据实际工作需要，现计划对该项目采取公开询价方式确定服务单位。</w:t>
      </w:r>
    </w:p>
    <w:p>
      <w:pPr>
        <w:pStyle w:val="4"/>
        <w:spacing w:line="510" w:lineRule="exact"/>
        <w:rPr>
          <w:rFonts w:ascii="Times New Roman" w:hAnsi="Times New Roman" w:eastAsia="方正仿宋_GBK" w:cs="Times New Roman"/>
          <w:lang w:eastAsia="zh-CN"/>
        </w:rPr>
      </w:pPr>
      <w:bookmarkStart w:id="15" w:name="_Toc29194682"/>
      <w:bookmarkEnd w:id="15"/>
      <w:bookmarkStart w:id="16" w:name="_Toc6230451"/>
      <w:bookmarkEnd w:id="16"/>
      <w:bookmarkStart w:id="17" w:name="_Toc52097501"/>
      <w:bookmarkEnd w:id="17"/>
      <w:bookmarkStart w:id="18" w:name="_Toc30567"/>
      <w:bookmarkStart w:id="19" w:name="_Toc25238"/>
      <w:bookmarkStart w:id="20" w:name="_Toc27290"/>
      <w:bookmarkStart w:id="21" w:name="_Toc9387"/>
      <w:bookmarkStart w:id="22" w:name="_Toc21092"/>
      <w:bookmarkStart w:id="23" w:name="_Toc323734100"/>
      <w:bookmarkStart w:id="24" w:name="_Toc324429695"/>
      <w:r>
        <w:rPr>
          <w:rFonts w:ascii="Times New Roman" w:hAnsi="Times New Roman" w:eastAsia="黑体" w:cs="Times New Roman"/>
          <w:b w:val="0"/>
          <w:lang w:eastAsia="zh-CN"/>
        </w:rPr>
        <w:t>2.项目概况与工作范围</w:t>
      </w:r>
      <w:bookmarkEnd w:id="18"/>
      <w:bookmarkEnd w:id="19"/>
      <w:bookmarkEnd w:id="20"/>
      <w:bookmarkEnd w:id="21"/>
      <w:r>
        <w:rPr>
          <w:rFonts w:ascii="Times New Roman" w:hAnsi="Times New Roman" w:eastAsia="方正仿宋_GBK" w:cs="Times New Roman"/>
          <w:lang w:eastAsia="zh-CN"/>
        </w:rPr>
        <w:t xml:space="preserve">                               </w:t>
      </w:r>
    </w:p>
    <w:p>
      <w:pPr>
        <w:spacing w:line="510" w:lineRule="exact"/>
        <w:ind w:firstLine="480" w:firstLineChars="200"/>
        <w:jc w:val="both"/>
        <w:rPr>
          <w:snapToGrid w:val="0"/>
          <w:sz w:val="24"/>
          <w:szCs w:val="24"/>
          <w:lang w:eastAsia="zh-CN"/>
        </w:rPr>
      </w:pPr>
      <w:r>
        <w:rPr>
          <w:rFonts w:hint="eastAsia"/>
          <w:snapToGrid w:val="0"/>
          <w:sz w:val="24"/>
          <w:szCs w:val="24"/>
          <w:lang w:eastAsia="zh-CN"/>
        </w:rPr>
        <w:t xml:space="preserve"> 2.1项目概况</w:t>
      </w:r>
    </w:p>
    <w:p>
      <w:pPr>
        <w:spacing w:line="510" w:lineRule="exact"/>
        <w:ind w:firstLine="480" w:firstLineChars="200"/>
        <w:jc w:val="both"/>
        <w:rPr>
          <w:rFonts w:hint="eastAsia"/>
          <w:snapToGrid w:val="0"/>
          <w:sz w:val="24"/>
          <w:szCs w:val="24"/>
          <w:lang w:eastAsia="zh-CN"/>
        </w:rPr>
      </w:pPr>
      <w:r>
        <w:rPr>
          <w:rFonts w:hint="eastAsia"/>
          <w:snapToGrid w:val="0"/>
          <w:sz w:val="24"/>
          <w:szCs w:val="24"/>
          <w:lang w:eastAsia="zh-CN"/>
        </w:rPr>
        <w:t>双江航电枢纽工程位于潼南区双江镇原三块石溢流坝下游约500m处，上接四川省遂宁市三星航电枢纽，下连潼南航电枢纽。主要建设内容为枢纽工程、大坝下游航道整治、生产生活区建筑及配套工程。枢纽建成后可渠化航道约28公里，其中重庆境内15公里，航道等级为内河IV级，船闸有效尺度150x23x4.2米(长度x宽度x门槛水深)，可通行1000吨级船舶，单向年通过能力近期481万吨、远期611万吨；枢纽正常蓄水位249.00m,水库总库容1.61亿m3，日调节库容871万m3；装机总容量4.8万kW,年发电量1.885亿kW .h。工程于2022年10月开工，</w:t>
      </w:r>
      <w:r>
        <w:rPr>
          <w:rFonts w:hint="eastAsia"/>
          <w:snapToGrid w:val="0"/>
          <w:sz w:val="24"/>
          <w:szCs w:val="24"/>
          <w:lang w:val="en-US" w:eastAsia="zh-CN"/>
        </w:rPr>
        <w:t>计划</w:t>
      </w:r>
      <w:r>
        <w:rPr>
          <w:rFonts w:hint="eastAsia"/>
          <w:snapToGrid w:val="0"/>
          <w:sz w:val="24"/>
          <w:szCs w:val="24"/>
          <w:lang w:eastAsia="zh-CN"/>
        </w:rPr>
        <w:t>2024年</w:t>
      </w:r>
      <w:r>
        <w:rPr>
          <w:rFonts w:hint="eastAsia"/>
          <w:snapToGrid w:val="0"/>
          <w:sz w:val="24"/>
          <w:szCs w:val="24"/>
          <w:lang w:val="en-US" w:eastAsia="zh-CN"/>
        </w:rPr>
        <w:t>4</w:t>
      </w:r>
      <w:r>
        <w:rPr>
          <w:rFonts w:hint="eastAsia"/>
          <w:snapToGrid w:val="0"/>
          <w:sz w:val="24"/>
          <w:szCs w:val="24"/>
          <w:lang w:eastAsia="zh-CN"/>
        </w:rPr>
        <w:t>月底首台机组具备发电条件，</w:t>
      </w:r>
      <w:r>
        <w:rPr>
          <w:rFonts w:hint="eastAsia"/>
          <w:snapToGrid w:val="0"/>
          <w:sz w:val="24"/>
          <w:szCs w:val="24"/>
          <w:lang w:val="en-US" w:eastAsia="zh-CN"/>
        </w:rPr>
        <w:t>2024年底船闸具备通航条件，</w:t>
      </w:r>
      <w:r>
        <w:rPr>
          <w:rFonts w:hint="eastAsia"/>
          <w:snapToGrid w:val="0"/>
          <w:sz w:val="24"/>
          <w:szCs w:val="24"/>
          <w:lang w:eastAsia="zh-CN"/>
        </w:rPr>
        <w:t>2025年</w:t>
      </w:r>
      <w:r>
        <w:rPr>
          <w:rFonts w:hint="eastAsia"/>
          <w:snapToGrid w:val="0"/>
          <w:sz w:val="24"/>
          <w:szCs w:val="24"/>
          <w:lang w:val="en-US" w:eastAsia="zh-CN"/>
        </w:rPr>
        <w:t>3月</w:t>
      </w:r>
      <w:r>
        <w:rPr>
          <w:rFonts w:hint="eastAsia"/>
          <w:snapToGrid w:val="0"/>
          <w:sz w:val="24"/>
          <w:szCs w:val="24"/>
          <w:lang w:eastAsia="zh-CN"/>
        </w:rPr>
        <w:t>完工，整个工程投资概算为25.84亿元。</w:t>
      </w:r>
    </w:p>
    <w:p>
      <w:pPr>
        <w:spacing w:line="510" w:lineRule="exact"/>
        <w:ind w:firstLine="480" w:firstLineChars="200"/>
        <w:jc w:val="both"/>
        <w:rPr>
          <w:rFonts w:hint="default"/>
          <w:snapToGrid w:val="0"/>
          <w:sz w:val="24"/>
          <w:szCs w:val="24"/>
          <w:lang w:val="en-US" w:eastAsia="zh-CN"/>
        </w:rPr>
      </w:pPr>
      <w:r>
        <w:rPr>
          <w:rFonts w:hint="eastAsia"/>
          <w:snapToGrid w:val="0"/>
          <w:sz w:val="24"/>
          <w:szCs w:val="24"/>
          <w:lang w:val="en-US" w:eastAsia="zh-CN"/>
        </w:rPr>
        <w:t>本次采购的设备</w:t>
      </w:r>
      <w:r>
        <w:rPr>
          <w:rFonts w:hint="eastAsia"/>
          <w:snapToGrid w:val="0"/>
          <w:sz w:val="24"/>
          <w:szCs w:val="24"/>
          <w:lang w:eastAsia="zh-CN"/>
        </w:rPr>
        <w:t>主要包括多联机空调设备、防爆空调及除湿机其所有配套附件，</w:t>
      </w:r>
      <w:r>
        <w:rPr>
          <w:rFonts w:hint="eastAsia"/>
          <w:snapToGrid w:val="0"/>
          <w:sz w:val="24"/>
          <w:szCs w:val="24"/>
          <w:lang w:val="en-US" w:eastAsia="zh-CN"/>
        </w:rPr>
        <w:t>满足工作环境所需的通风和除湿要求。</w:t>
      </w:r>
    </w:p>
    <w:p>
      <w:pPr>
        <w:spacing w:line="510" w:lineRule="exact"/>
        <w:ind w:firstLine="480" w:firstLineChars="200"/>
        <w:jc w:val="both"/>
        <w:rPr>
          <w:rFonts w:hint="eastAsia"/>
          <w:snapToGrid w:val="0"/>
          <w:sz w:val="24"/>
          <w:szCs w:val="24"/>
          <w:lang w:eastAsia="zh-CN"/>
        </w:rPr>
      </w:pPr>
      <w:r>
        <w:rPr>
          <w:rFonts w:hint="eastAsia"/>
          <w:snapToGrid w:val="0"/>
          <w:sz w:val="24"/>
          <w:szCs w:val="24"/>
          <w:lang w:eastAsia="zh-CN"/>
        </w:rPr>
        <w:t>2.2本次项目最高限价金额：</w:t>
      </w:r>
      <w:r>
        <w:rPr>
          <w:rFonts w:hint="eastAsia"/>
          <w:snapToGrid w:val="0"/>
          <w:sz w:val="24"/>
          <w:szCs w:val="24"/>
          <w:lang w:val="en-US" w:eastAsia="zh-CN"/>
        </w:rPr>
        <w:t>1530000</w:t>
      </w:r>
      <w:r>
        <w:rPr>
          <w:rFonts w:hint="eastAsia"/>
          <w:snapToGrid w:val="0"/>
          <w:sz w:val="24"/>
          <w:szCs w:val="24"/>
          <w:lang w:eastAsia="zh-CN"/>
        </w:rPr>
        <w:t>元。</w:t>
      </w:r>
    </w:p>
    <w:p>
      <w:pPr>
        <w:spacing w:line="510" w:lineRule="exact"/>
        <w:ind w:firstLine="480" w:firstLineChars="200"/>
        <w:jc w:val="both"/>
        <w:rPr>
          <w:rFonts w:hint="eastAsia"/>
          <w:snapToGrid w:val="0"/>
          <w:sz w:val="24"/>
          <w:szCs w:val="24"/>
          <w:lang w:eastAsia="zh-CN"/>
        </w:rPr>
      </w:pPr>
      <w:r>
        <w:rPr>
          <w:rFonts w:hint="eastAsia"/>
          <w:snapToGrid w:val="0"/>
          <w:sz w:val="24"/>
          <w:szCs w:val="24"/>
          <w:lang w:eastAsia="zh-CN"/>
        </w:rPr>
        <w:t>2.3工作范围</w:t>
      </w:r>
    </w:p>
    <w:p>
      <w:pPr>
        <w:spacing w:line="510" w:lineRule="exact"/>
        <w:ind w:firstLine="480" w:firstLineChars="200"/>
        <w:jc w:val="both"/>
        <w:rPr>
          <w:rFonts w:hint="eastAsia"/>
          <w:snapToGrid w:val="0"/>
          <w:sz w:val="24"/>
          <w:szCs w:val="24"/>
          <w:lang w:eastAsia="zh-CN"/>
        </w:rPr>
      </w:pPr>
      <w:r>
        <w:rPr>
          <w:rFonts w:hint="eastAsia"/>
          <w:snapToGrid w:val="0"/>
          <w:sz w:val="24"/>
          <w:szCs w:val="24"/>
          <w:lang w:eastAsia="zh-CN"/>
        </w:rPr>
        <w:t>按照询价函要求提供全新的、完整的、符合本</w:t>
      </w:r>
      <w:r>
        <w:rPr>
          <w:rFonts w:hint="eastAsia"/>
          <w:snapToGrid w:val="0"/>
          <w:sz w:val="24"/>
          <w:szCs w:val="24"/>
          <w:lang w:val="en-US" w:eastAsia="zh-CN"/>
        </w:rPr>
        <w:t>询价</w:t>
      </w:r>
      <w:r>
        <w:rPr>
          <w:rFonts w:hint="eastAsia"/>
          <w:snapToGrid w:val="0"/>
          <w:sz w:val="24"/>
          <w:szCs w:val="24"/>
          <w:lang w:eastAsia="zh-CN"/>
        </w:rPr>
        <w:t>文件规定运行功能和性能要求的且是成套的</w:t>
      </w:r>
      <w:r>
        <w:rPr>
          <w:rFonts w:hint="eastAsia"/>
          <w:snapToGrid w:val="0"/>
          <w:sz w:val="24"/>
          <w:szCs w:val="24"/>
          <w:lang w:val="en-US" w:eastAsia="zh-CN"/>
        </w:rPr>
        <w:t>空调设备等</w:t>
      </w:r>
      <w:r>
        <w:rPr>
          <w:rFonts w:hint="eastAsia"/>
          <w:snapToGrid w:val="0"/>
          <w:sz w:val="24"/>
          <w:szCs w:val="24"/>
          <w:lang w:eastAsia="zh-CN"/>
        </w:rPr>
        <w:t>，包括不限于以下：</w:t>
      </w:r>
    </w:p>
    <w:p>
      <w:pPr>
        <w:spacing w:line="510" w:lineRule="exact"/>
        <w:ind w:firstLine="480" w:firstLineChars="200"/>
        <w:jc w:val="both"/>
        <w:rPr>
          <w:rFonts w:hint="eastAsia"/>
          <w:snapToGrid w:val="0"/>
          <w:sz w:val="24"/>
          <w:szCs w:val="24"/>
          <w:lang w:eastAsia="zh-CN"/>
        </w:rPr>
      </w:pPr>
      <w:r>
        <w:rPr>
          <w:rFonts w:hint="eastAsia"/>
          <w:snapToGrid w:val="0"/>
          <w:sz w:val="24"/>
          <w:szCs w:val="24"/>
          <w:lang w:eastAsia="zh-CN"/>
        </w:rPr>
        <w:t>（1）本招标范围由双江航电枢纽工程空调设备及其附件组成。卖方应提供全新的合同设备，并保证设备质量与使用寿命；对合同设备的设计、制造、所需材料和部件的采购、</w:t>
      </w:r>
      <w:bookmarkStart w:id="25" w:name="_Hlt37488170"/>
      <w:r>
        <w:rPr>
          <w:rFonts w:hint="eastAsia"/>
          <w:snapToGrid w:val="0"/>
          <w:sz w:val="24"/>
          <w:szCs w:val="24"/>
          <w:lang w:eastAsia="zh-CN"/>
        </w:rPr>
        <w:t>成套、工厂检验、出厂前的组装检查、出厂试验、包装、保管、运输及保险、交货、现场开箱检验、安装、调试、消缺等全面负责；</w:t>
      </w:r>
      <w:bookmarkEnd w:id="25"/>
      <w:r>
        <w:rPr>
          <w:rFonts w:hint="eastAsia"/>
          <w:snapToGrid w:val="0"/>
          <w:sz w:val="24"/>
          <w:szCs w:val="24"/>
          <w:lang w:eastAsia="zh-CN"/>
        </w:rPr>
        <w:t>提供安装、调试、检查的维修设备、试验设备和仪器仪表；提交全套技术文件、三维设计模型等；负责合同设备与合同设备安装卖方的协调工作；提供设计联络会等服务；培训买方技术人员；对合同设备的现场调试、现场试验和交接验收等提供技术指导和监督服务。</w:t>
      </w:r>
    </w:p>
    <w:p>
      <w:pPr>
        <w:spacing w:line="510" w:lineRule="exact"/>
        <w:ind w:firstLine="480" w:firstLineChars="200"/>
        <w:jc w:val="both"/>
        <w:rPr>
          <w:rFonts w:hint="eastAsia"/>
          <w:snapToGrid w:val="0"/>
          <w:sz w:val="24"/>
          <w:szCs w:val="24"/>
          <w:lang w:eastAsia="zh-CN"/>
        </w:rPr>
      </w:pPr>
      <w:r>
        <w:rPr>
          <w:rFonts w:hint="eastAsia"/>
          <w:snapToGrid w:val="0"/>
          <w:sz w:val="24"/>
          <w:szCs w:val="24"/>
          <w:lang w:eastAsia="zh-CN"/>
        </w:rPr>
        <w:t>（2）空调设备（包括多联机空调设备、防爆空调及除湿机</w:t>
      </w:r>
      <w:r>
        <w:rPr>
          <w:rFonts w:hint="eastAsia"/>
          <w:snapToGrid w:val="0"/>
          <w:sz w:val="24"/>
          <w:szCs w:val="24"/>
          <w:lang w:val="en-US" w:eastAsia="zh-CN"/>
        </w:rPr>
        <w:t>等</w:t>
      </w:r>
      <w:r>
        <w:rPr>
          <w:rFonts w:hint="eastAsia"/>
          <w:snapToGrid w:val="0"/>
          <w:sz w:val="24"/>
          <w:szCs w:val="24"/>
          <w:lang w:eastAsia="zh-CN"/>
        </w:rPr>
        <w:t>其所有配套附件）为交钥匙工程，由卖方负责运输、安装、调试、试运行等全部工作，空调设备及附属设备本体涉及到的所有制冷剂、制冷剂铜管、铜管保温材料、铜管支吊架、分歧管、动力电缆、控制电缆、冷凝水管、冷凝水管保温材料、冷凝水管支吊架、空调机支吊架、室外机电控箱、无线遥控器、有线集控器等附件均由卖方提供。</w:t>
      </w:r>
    </w:p>
    <w:p>
      <w:pPr>
        <w:spacing w:line="510" w:lineRule="exact"/>
        <w:ind w:firstLine="480" w:firstLineChars="200"/>
        <w:jc w:val="both"/>
        <w:rPr>
          <w:rFonts w:hint="eastAsia"/>
          <w:snapToGrid w:val="0"/>
          <w:sz w:val="24"/>
          <w:szCs w:val="24"/>
          <w:lang w:eastAsia="zh-CN"/>
        </w:rPr>
      </w:pPr>
      <w:r>
        <w:rPr>
          <w:rFonts w:hint="eastAsia"/>
          <w:snapToGrid w:val="0"/>
          <w:sz w:val="24"/>
          <w:szCs w:val="24"/>
          <w:lang w:eastAsia="zh-CN"/>
        </w:rPr>
        <w:t>（3）在本合同供货范围的说明中没有专门提及的设备及元件，但属一套完整的性能优良的通风机设备及其附件必不可少的或对改善通风机设备及其附件运行品质所必需的设备及元件，均属合同设备范围，卖方仍应提供，以保证设备的完整和运行安全。</w:t>
      </w:r>
    </w:p>
    <w:p>
      <w:pPr>
        <w:spacing w:line="510" w:lineRule="exact"/>
        <w:ind w:firstLine="480" w:firstLineChars="200"/>
        <w:jc w:val="both"/>
        <w:rPr>
          <w:rFonts w:hint="default"/>
          <w:snapToGrid w:val="0"/>
          <w:sz w:val="24"/>
          <w:szCs w:val="24"/>
          <w:lang w:val="en-US" w:eastAsia="zh-CN"/>
        </w:rPr>
      </w:pPr>
      <w:r>
        <w:rPr>
          <w:rFonts w:hint="eastAsia"/>
          <w:snapToGrid w:val="0"/>
          <w:sz w:val="24"/>
          <w:szCs w:val="24"/>
          <w:lang w:eastAsia="zh-CN"/>
        </w:rPr>
        <w:t>（</w:t>
      </w:r>
      <w:r>
        <w:rPr>
          <w:rFonts w:hint="eastAsia"/>
          <w:snapToGrid w:val="0"/>
          <w:sz w:val="24"/>
          <w:szCs w:val="24"/>
          <w:lang w:val="en-US" w:eastAsia="zh-CN"/>
        </w:rPr>
        <w:t>4</w:t>
      </w:r>
      <w:r>
        <w:rPr>
          <w:rFonts w:hint="eastAsia"/>
          <w:snapToGrid w:val="0"/>
          <w:sz w:val="24"/>
          <w:szCs w:val="24"/>
          <w:lang w:eastAsia="zh-CN"/>
        </w:rPr>
        <w:t>）本工程所有空调设备为交钥匙工程（包括提供全套设备及安装、调试等）。</w:t>
      </w:r>
    </w:p>
    <w:p>
      <w:pPr>
        <w:spacing w:line="510" w:lineRule="exact"/>
        <w:ind w:firstLine="480" w:firstLineChars="200"/>
        <w:jc w:val="both"/>
        <w:rPr>
          <w:rFonts w:hint="eastAsia"/>
          <w:snapToGrid w:val="0"/>
          <w:sz w:val="24"/>
          <w:szCs w:val="24"/>
          <w:lang w:eastAsia="zh-CN"/>
        </w:rPr>
      </w:pPr>
      <w:r>
        <w:rPr>
          <w:rFonts w:hint="eastAsia"/>
          <w:snapToGrid w:val="0"/>
          <w:sz w:val="24"/>
          <w:szCs w:val="24"/>
          <w:lang w:eastAsia="zh-CN"/>
        </w:rPr>
        <w:t>2.4工期（交货期、服务期）：计划2024年</w:t>
      </w:r>
      <w:r>
        <w:rPr>
          <w:rFonts w:hint="eastAsia"/>
          <w:snapToGrid w:val="0"/>
          <w:sz w:val="24"/>
          <w:szCs w:val="24"/>
          <w:lang w:val="en-US" w:eastAsia="zh-CN"/>
        </w:rPr>
        <w:t>3</w:t>
      </w:r>
      <w:r>
        <w:rPr>
          <w:rFonts w:hint="eastAsia"/>
          <w:snapToGrid w:val="0"/>
          <w:sz w:val="24"/>
          <w:szCs w:val="24"/>
          <w:lang w:eastAsia="zh-CN"/>
        </w:rPr>
        <w:t>月</w:t>
      </w:r>
      <w:r>
        <w:rPr>
          <w:rFonts w:hint="eastAsia"/>
          <w:snapToGrid w:val="0"/>
          <w:sz w:val="24"/>
          <w:szCs w:val="24"/>
          <w:lang w:val="en-US" w:eastAsia="zh-CN"/>
        </w:rPr>
        <w:t>30</w:t>
      </w:r>
      <w:r>
        <w:rPr>
          <w:rFonts w:hint="eastAsia"/>
          <w:snapToGrid w:val="0"/>
          <w:sz w:val="24"/>
          <w:szCs w:val="24"/>
          <w:lang w:eastAsia="zh-CN"/>
        </w:rPr>
        <w:t>日前交货，具体交货时间由询价人书面通知。</w:t>
      </w:r>
    </w:p>
    <w:p>
      <w:pPr>
        <w:spacing w:line="510" w:lineRule="exact"/>
        <w:ind w:firstLine="480" w:firstLineChars="200"/>
        <w:jc w:val="both"/>
        <w:rPr>
          <w:rFonts w:hint="eastAsia"/>
          <w:snapToGrid w:val="0"/>
          <w:sz w:val="24"/>
          <w:szCs w:val="24"/>
          <w:lang w:eastAsia="zh-CN"/>
        </w:rPr>
      </w:pPr>
      <w:r>
        <w:rPr>
          <w:rFonts w:hint="eastAsia"/>
          <w:snapToGrid w:val="0"/>
          <w:sz w:val="24"/>
          <w:szCs w:val="24"/>
          <w:lang w:eastAsia="zh-CN"/>
        </w:rPr>
        <w:t>2.5交货地点：重庆市潼南区双江航电枢纽工程工地现场询价人指定地点。</w:t>
      </w:r>
    </w:p>
    <w:bookmarkEnd w:id="22"/>
    <w:bookmarkEnd w:id="23"/>
    <w:bookmarkEnd w:id="24"/>
    <w:p>
      <w:pPr>
        <w:pStyle w:val="4"/>
        <w:spacing w:line="510" w:lineRule="exact"/>
        <w:rPr>
          <w:rFonts w:ascii="Times New Roman" w:hAnsi="Times New Roman" w:eastAsia="黑体" w:cs="Times New Roman"/>
          <w:b w:val="0"/>
          <w:sz w:val="28"/>
          <w:szCs w:val="28"/>
          <w:lang w:eastAsia="zh-CN"/>
        </w:rPr>
      </w:pPr>
      <w:bookmarkStart w:id="26" w:name="_Toc29194683"/>
      <w:bookmarkEnd w:id="26"/>
      <w:bookmarkStart w:id="27" w:name="_Toc6230452"/>
      <w:bookmarkEnd w:id="27"/>
      <w:bookmarkStart w:id="28" w:name="_Toc52097502"/>
      <w:bookmarkEnd w:id="28"/>
      <w:bookmarkStart w:id="29" w:name="_Toc8682"/>
      <w:bookmarkStart w:id="30" w:name="_Toc10530"/>
      <w:bookmarkStart w:id="31" w:name="_Toc7634"/>
      <w:bookmarkStart w:id="32" w:name="_Toc5299"/>
      <w:r>
        <w:rPr>
          <w:rFonts w:ascii="Times New Roman" w:hAnsi="Times New Roman" w:eastAsia="黑体" w:cs="Times New Roman"/>
          <w:b w:val="0"/>
          <w:sz w:val="28"/>
          <w:szCs w:val="28"/>
          <w:lang w:eastAsia="zh-CN"/>
        </w:rPr>
        <w:t>3.报价人资格要求</w:t>
      </w:r>
      <w:bookmarkEnd w:id="29"/>
      <w:bookmarkEnd w:id="30"/>
      <w:bookmarkEnd w:id="31"/>
      <w:bookmarkEnd w:id="32"/>
    </w:p>
    <w:p>
      <w:pPr>
        <w:spacing w:line="510" w:lineRule="exact"/>
        <w:ind w:firstLine="480" w:firstLineChars="200"/>
        <w:jc w:val="both"/>
        <w:rPr>
          <w:rFonts w:hint="eastAsia"/>
          <w:snapToGrid w:val="0"/>
          <w:sz w:val="24"/>
          <w:szCs w:val="24"/>
          <w:lang w:eastAsia="zh-CN"/>
        </w:rPr>
      </w:pPr>
      <w:r>
        <w:rPr>
          <w:rFonts w:hint="eastAsia"/>
          <w:snapToGrid w:val="0"/>
          <w:sz w:val="24"/>
          <w:szCs w:val="24"/>
          <w:lang w:eastAsia="zh-CN"/>
        </w:rPr>
        <w:t>3.1报价人应同时满足下列资格条件：</w:t>
      </w:r>
    </w:p>
    <w:p>
      <w:pPr>
        <w:spacing w:line="510" w:lineRule="exact"/>
        <w:ind w:firstLine="480" w:firstLineChars="200"/>
        <w:jc w:val="both"/>
        <w:rPr>
          <w:rFonts w:hint="eastAsia"/>
          <w:snapToGrid w:val="0"/>
          <w:sz w:val="24"/>
          <w:szCs w:val="24"/>
          <w:lang w:eastAsia="zh-CN"/>
        </w:rPr>
      </w:pPr>
      <w:r>
        <w:rPr>
          <w:rFonts w:hint="eastAsia"/>
          <w:snapToGrid w:val="0"/>
          <w:sz w:val="24"/>
          <w:szCs w:val="24"/>
          <w:lang w:eastAsia="zh-CN"/>
        </w:rPr>
        <w:t>（1）报价人为中国境内注册的独立法人企业，具有有效营业执照、税务登记证、组织机构代码证，多证合一的需备注；</w:t>
      </w:r>
    </w:p>
    <w:p>
      <w:pPr>
        <w:spacing w:line="510" w:lineRule="exact"/>
        <w:ind w:firstLine="480" w:firstLineChars="200"/>
        <w:jc w:val="both"/>
        <w:rPr>
          <w:rFonts w:hint="eastAsia"/>
          <w:snapToGrid w:val="0"/>
          <w:sz w:val="24"/>
          <w:szCs w:val="24"/>
          <w:lang w:eastAsia="zh-CN"/>
        </w:rPr>
      </w:pPr>
      <w:r>
        <w:rPr>
          <w:rFonts w:hint="eastAsia"/>
          <w:snapToGrid w:val="0"/>
          <w:sz w:val="24"/>
          <w:szCs w:val="24"/>
          <w:lang w:eastAsia="zh-CN"/>
        </w:rPr>
        <w:t>（</w:t>
      </w:r>
      <w:r>
        <w:rPr>
          <w:rFonts w:hint="eastAsia"/>
          <w:snapToGrid w:val="0"/>
          <w:sz w:val="24"/>
          <w:szCs w:val="24"/>
          <w:lang w:val="en-US" w:eastAsia="zh-CN"/>
        </w:rPr>
        <w:t>2</w:t>
      </w:r>
      <w:r>
        <w:rPr>
          <w:rFonts w:hint="eastAsia"/>
          <w:snapToGrid w:val="0"/>
          <w:sz w:val="24"/>
          <w:szCs w:val="24"/>
          <w:lang w:eastAsia="zh-CN"/>
        </w:rPr>
        <w:t>）报价人具有以下业绩：报价人自2018年1月1日至报价截止日止，至少有</w:t>
      </w:r>
      <w:r>
        <w:rPr>
          <w:rFonts w:hint="eastAsia"/>
          <w:snapToGrid w:val="0"/>
          <w:sz w:val="24"/>
          <w:szCs w:val="24"/>
          <w:lang w:val="en-US" w:eastAsia="zh-CN"/>
        </w:rPr>
        <w:t>3</w:t>
      </w:r>
      <w:r>
        <w:rPr>
          <w:rFonts w:hint="eastAsia"/>
          <w:snapToGrid w:val="0"/>
          <w:sz w:val="24"/>
          <w:szCs w:val="24"/>
          <w:lang w:eastAsia="zh-CN"/>
        </w:rPr>
        <w:t>个合同金额在</w:t>
      </w:r>
      <w:r>
        <w:rPr>
          <w:rFonts w:hint="eastAsia"/>
          <w:snapToGrid w:val="0"/>
          <w:sz w:val="24"/>
          <w:szCs w:val="24"/>
          <w:lang w:val="en-US" w:eastAsia="zh-CN"/>
        </w:rPr>
        <w:t>50</w:t>
      </w:r>
      <w:r>
        <w:rPr>
          <w:rFonts w:hint="eastAsia"/>
          <w:snapToGrid w:val="0"/>
          <w:sz w:val="24"/>
          <w:szCs w:val="24"/>
          <w:lang w:eastAsia="zh-CN"/>
        </w:rPr>
        <w:t>万</w:t>
      </w:r>
      <w:r>
        <w:rPr>
          <w:rFonts w:hint="eastAsia"/>
          <w:snapToGrid w:val="0"/>
          <w:sz w:val="24"/>
          <w:szCs w:val="24"/>
          <w:lang w:val="en-US" w:eastAsia="zh-CN"/>
        </w:rPr>
        <w:t>及以上</w:t>
      </w:r>
      <w:r>
        <w:rPr>
          <w:rFonts w:hint="eastAsia"/>
          <w:snapToGrid w:val="0"/>
          <w:sz w:val="24"/>
          <w:szCs w:val="24"/>
          <w:lang w:eastAsia="zh-CN"/>
        </w:rPr>
        <w:t>的</w:t>
      </w:r>
      <w:r>
        <w:rPr>
          <w:rFonts w:hint="eastAsia"/>
          <w:snapToGrid w:val="0"/>
          <w:sz w:val="24"/>
          <w:szCs w:val="24"/>
          <w:lang w:val="en-US" w:eastAsia="zh-CN"/>
        </w:rPr>
        <w:t>空调设备供货</w:t>
      </w:r>
      <w:r>
        <w:rPr>
          <w:rFonts w:hint="eastAsia"/>
          <w:snapToGrid w:val="0"/>
          <w:sz w:val="24"/>
          <w:szCs w:val="24"/>
          <w:lang w:eastAsia="zh-CN"/>
        </w:rPr>
        <w:t>业绩。</w:t>
      </w:r>
    </w:p>
    <w:p>
      <w:pPr>
        <w:spacing w:line="510" w:lineRule="exact"/>
        <w:ind w:firstLine="480" w:firstLineChars="200"/>
        <w:jc w:val="both"/>
        <w:rPr>
          <w:rFonts w:hint="default"/>
          <w:snapToGrid w:val="0"/>
          <w:sz w:val="24"/>
          <w:szCs w:val="24"/>
          <w:lang w:val="en-US" w:eastAsia="zh-CN"/>
        </w:rPr>
      </w:pPr>
      <w:r>
        <w:rPr>
          <w:rFonts w:hint="eastAsia"/>
          <w:snapToGrid w:val="0"/>
          <w:sz w:val="24"/>
          <w:szCs w:val="24"/>
          <w:lang w:eastAsia="zh-CN"/>
        </w:rPr>
        <w:t>（</w:t>
      </w:r>
      <w:r>
        <w:rPr>
          <w:rFonts w:hint="eastAsia"/>
          <w:snapToGrid w:val="0"/>
          <w:sz w:val="24"/>
          <w:szCs w:val="24"/>
          <w:lang w:val="en-US" w:eastAsia="zh-CN"/>
        </w:rPr>
        <w:t>3</w:t>
      </w:r>
      <w:r>
        <w:rPr>
          <w:rFonts w:hint="eastAsia"/>
          <w:snapToGrid w:val="0"/>
          <w:sz w:val="24"/>
          <w:szCs w:val="24"/>
          <w:lang w:eastAsia="zh-CN"/>
        </w:rPr>
        <w:t>）</w:t>
      </w:r>
      <w:r>
        <w:rPr>
          <w:rFonts w:hint="eastAsia"/>
          <w:snapToGrid w:val="0"/>
          <w:sz w:val="24"/>
          <w:szCs w:val="24"/>
          <w:lang w:val="en-US" w:eastAsia="zh-CN"/>
        </w:rPr>
        <w:t>报价人为制造商或一级经销商，报价人提供制造商对本项目的售后服务承诺书。</w:t>
      </w:r>
    </w:p>
    <w:p>
      <w:pPr>
        <w:spacing w:line="510" w:lineRule="exact"/>
        <w:ind w:firstLine="480" w:firstLineChars="200"/>
        <w:jc w:val="both"/>
        <w:rPr>
          <w:rFonts w:hint="eastAsia"/>
          <w:snapToGrid w:val="0"/>
          <w:sz w:val="24"/>
          <w:szCs w:val="24"/>
          <w:lang w:eastAsia="zh-CN"/>
        </w:rPr>
      </w:pPr>
      <w:r>
        <w:rPr>
          <w:rFonts w:hint="eastAsia"/>
          <w:snapToGrid w:val="0"/>
          <w:sz w:val="24"/>
          <w:szCs w:val="24"/>
          <w:lang w:eastAsia="zh-CN"/>
        </w:rPr>
        <w:t>注：1、业绩时间以合同签订时间为准。</w:t>
      </w:r>
    </w:p>
    <w:p>
      <w:pPr>
        <w:spacing w:line="510" w:lineRule="exact"/>
        <w:ind w:firstLine="480" w:firstLineChars="200"/>
        <w:jc w:val="both"/>
        <w:rPr>
          <w:rFonts w:hint="eastAsia"/>
          <w:snapToGrid w:val="0"/>
          <w:sz w:val="24"/>
          <w:szCs w:val="24"/>
          <w:lang w:eastAsia="zh-CN"/>
        </w:rPr>
      </w:pPr>
      <w:r>
        <w:rPr>
          <w:rFonts w:hint="eastAsia"/>
          <w:snapToGrid w:val="0"/>
          <w:sz w:val="24"/>
          <w:szCs w:val="24"/>
          <w:lang w:eastAsia="zh-CN"/>
        </w:rPr>
        <w:t xml:space="preserve">    2、业绩证明材料形式不限于：合同协议书、</w:t>
      </w:r>
      <w:r>
        <w:rPr>
          <w:rFonts w:hint="eastAsia"/>
          <w:snapToGrid w:val="0"/>
          <w:sz w:val="24"/>
          <w:szCs w:val="24"/>
          <w:lang w:val="en-US" w:eastAsia="zh-CN"/>
        </w:rPr>
        <w:t>供货</w:t>
      </w:r>
      <w:r>
        <w:rPr>
          <w:rFonts w:hint="eastAsia"/>
          <w:snapToGrid w:val="0"/>
          <w:sz w:val="24"/>
          <w:szCs w:val="24"/>
          <w:lang w:eastAsia="zh-CN"/>
        </w:rPr>
        <w:t>证明材料、中标通知书等。</w:t>
      </w:r>
    </w:p>
    <w:p>
      <w:pPr>
        <w:spacing w:line="510" w:lineRule="exact"/>
        <w:ind w:firstLine="480" w:firstLineChars="200"/>
        <w:jc w:val="both"/>
        <w:rPr>
          <w:rFonts w:hint="eastAsia"/>
          <w:snapToGrid w:val="0"/>
          <w:sz w:val="24"/>
          <w:szCs w:val="24"/>
          <w:lang w:eastAsia="zh-CN"/>
        </w:rPr>
      </w:pPr>
      <w:r>
        <w:rPr>
          <w:rFonts w:hint="eastAsia"/>
          <w:snapToGrid w:val="0"/>
          <w:sz w:val="24"/>
          <w:szCs w:val="24"/>
          <w:lang w:eastAsia="zh-CN"/>
        </w:rPr>
        <w:t>3.2报价人没有被列入重庆高速公路集团有限公司黑名单（</w:t>
      </w:r>
      <w:r>
        <w:rPr>
          <w:rFonts w:hint="eastAsia"/>
          <w:snapToGrid w:val="0"/>
          <w:sz w:val="24"/>
          <w:szCs w:val="24"/>
          <w:lang w:val="en-US" w:eastAsia="zh-CN"/>
        </w:rPr>
        <w:t>报价人提供承诺书</w:t>
      </w:r>
      <w:r>
        <w:rPr>
          <w:rFonts w:hint="eastAsia"/>
          <w:snapToGrid w:val="0"/>
          <w:sz w:val="24"/>
          <w:szCs w:val="24"/>
          <w:lang w:eastAsia="zh-CN"/>
        </w:rPr>
        <w:t>）。</w:t>
      </w:r>
    </w:p>
    <w:p>
      <w:pPr>
        <w:spacing w:line="510" w:lineRule="exact"/>
        <w:ind w:firstLine="480" w:firstLineChars="200"/>
        <w:jc w:val="both"/>
        <w:rPr>
          <w:rFonts w:hint="eastAsia"/>
          <w:snapToGrid w:val="0"/>
          <w:sz w:val="24"/>
          <w:szCs w:val="24"/>
          <w:lang w:val="en-US" w:eastAsia="zh-CN"/>
        </w:rPr>
      </w:pPr>
      <w:r>
        <w:rPr>
          <w:rFonts w:hint="eastAsia"/>
          <w:snapToGrid w:val="0"/>
          <w:sz w:val="24"/>
          <w:szCs w:val="24"/>
          <w:lang w:val="en-US" w:eastAsia="zh-CN"/>
        </w:rPr>
        <w:t>3.3报价人</w:t>
      </w:r>
      <w:r>
        <w:rPr>
          <w:rFonts w:hint="eastAsia"/>
          <w:snapToGrid w:val="0"/>
          <w:sz w:val="24"/>
          <w:szCs w:val="24"/>
          <w:lang w:eastAsia="zh-CN"/>
        </w:rPr>
        <w:t>不得与</w:t>
      </w:r>
      <w:r>
        <w:rPr>
          <w:rFonts w:hint="eastAsia"/>
          <w:snapToGrid w:val="0"/>
          <w:sz w:val="24"/>
          <w:szCs w:val="24"/>
          <w:lang w:val="en-US" w:eastAsia="zh-CN"/>
        </w:rPr>
        <w:t>询价人、</w:t>
      </w:r>
      <w:r>
        <w:rPr>
          <w:rFonts w:hint="eastAsia"/>
          <w:snapToGrid w:val="0"/>
          <w:sz w:val="24"/>
          <w:szCs w:val="24"/>
          <w:lang w:eastAsia="zh-CN"/>
        </w:rPr>
        <w:t>监理</w:t>
      </w:r>
      <w:r>
        <w:rPr>
          <w:rFonts w:hint="eastAsia"/>
          <w:snapToGrid w:val="0"/>
          <w:sz w:val="24"/>
          <w:szCs w:val="24"/>
          <w:lang w:val="en-US" w:eastAsia="zh-CN"/>
        </w:rPr>
        <w:t>人</w:t>
      </w:r>
      <w:r>
        <w:rPr>
          <w:rFonts w:hint="eastAsia"/>
          <w:snapToGrid w:val="0"/>
          <w:sz w:val="24"/>
          <w:szCs w:val="24"/>
          <w:lang w:eastAsia="zh-CN"/>
        </w:rPr>
        <w:t>有隶属关系或者其他利害关系。</w:t>
      </w:r>
    </w:p>
    <w:p>
      <w:pPr>
        <w:spacing w:line="510" w:lineRule="exact"/>
        <w:ind w:firstLine="480" w:firstLineChars="200"/>
        <w:jc w:val="both"/>
        <w:rPr>
          <w:rFonts w:hint="eastAsia"/>
          <w:snapToGrid w:val="0"/>
          <w:sz w:val="24"/>
          <w:szCs w:val="24"/>
          <w:lang w:eastAsia="zh-CN"/>
        </w:rPr>
      </w:pPr>
      <w:bookmarkStart w:id="33" w:name="_Toc16019"/>
      <w:bookmarkStart w:id="34" w:name="_Toc28207"/>
      <w:bookmarkStart w:id="35" w:name="_Toc30379"/>
      <w:bookmarkStart w:id="36" w:name="_Toc13385"/>
      <w:r>
        <w:rPr>
          <w:rFonts w:hint="eastAsia"/>
          <w:snapToGrid w:val="0"/>
          <w:sz w:val="24"/>
          <w:szCs w:val="24"/>
          <w:lang w:eastAsia="zh-CN"/>
        </w:rPr>
        <w:t>4. 报价文件的递交</w:t>
      </w:r>
      <w:bookmarkEnd w:id="33"/>
      <w:bookmarkEnd w:id="34"/>
      <w:bookmarkEnd w:id="35"/>
      <w:bookmarkEnd w:id="36"/>
    </w:p>
    <w:p>
      <w:pPr>
        <w:spacing w:line="510" w:lineRule="exact"/>
        <w:ind w:firstLine="480" w:firstLineChars="200"/>
        <w:jc w:val="both"/>
        <w:rPr>
          <w:rFonts w:hint="eastAsia"/>
          <w:snapToGrid w:val="0"/>
          <w:sz w:val="24"/>
          <w:szCs w:val="24"/>
          <w:lang w:eastAsia="zh-CN"/>
        </w:rPr>
      </w:pPr>
      <w:r>
        <w:rPr>
          <w:rFonts w:hint="eastAsia"/>
          <w:snapToGrid w:val="0"/>
          <w:sz w:val="24"/>
          <w:szCs w:val="24"/>
          <w:lang w:eastAsia="zh-CN"/>
        </w:rPr>
        <w:t>4.1报价文件递交地点：重庆市潼南区桂林街道春阳街460号重庆双江航运发展有限公司合同管理部。</w:t>
      </w:r>
    </w:p>
    <w:p>
      <w:pPr>
        <w:spacing w:line="510" w:lineRule="exact"/>
        <w:ind w:firstLine="480" w:firstLineChars="200"/>
        <w:jc w:val="both"/>
        <w:rPr>
          <w:rFonts w:hint="eastAsia"/>
          <w:snapToGrid w:val="0"/>
          <w:sz w:val="24"/>
          <w:szCs w:val="24"/>
          <w:lang w:eastAsia="zh-CN"/>
        </w:rPr>
      </w:pPr>
      <w:r>
        <w:rPr>
          <w:rFonts w:hint="eastAsia"/>
          <w:snapToGrid w:val="0"/>
          <w:sz w:val="24"/>
          <w:szCs w:val="24"/>
          <w:lang w:eastAsia="zh-CN"/>
        </w:rPr>
        <w:t xml:space="preserve">4.2报价文件递交截止时间：挂网公示后第5个工作日17时 </w:t>
      </w:r>
      <w:r>
        <w:rPr>
          <w:rFonts w:hint="eastAsia"/>
          <w:snapToGrid w:val="0"/>
          <w:sz w:val="24"/>
          <w:szCs w:val="24"/>
          <w:lang w:val="en-US" w:eastAsia="zh-CN"/>
        </w:rPr>
        <w:t>0</w:t>
      </w:r>
      <w:r>
        <w:rPr>
          <w:rFonts w:hint="eastAsia"/>
          <w:snapToGrid w:val="0"/>
          <w:sz w:val="24"/>
          <w:szCs w:val="24"/>
          <w:lang w:eastAsia="zh-CN"/>
        </w:rPr>
        <w:t>0分为止（北京时间）。</w:t>
      </w:r>
    </w:p>
    <w:p>
      <w:pPr>
        <w:spacing w:line="510" w:lineRule="exact"/>
        <w:ind w:firstLine="480" w:firstLineChars="200"/>
        <w:jc w:val="both"/>
        <w:rPr>
          <w:rFonts w:hint="eastAsia"/>
          <w:snapToGrid w:val="0"/>
          <w:sz w:val="24"/>
          <w:szCs w:val="24"/>
          <w:lang w:eastAsia="zh-CN"/>
        </w:rPr>
      </w:pPr>
      <w:r>
        <w:rPr>
          <w:rFonts w:hint="eastAsia"/>
          <w:snapToGrid w:val="0"/>
          <w:sz w:val="24"/>
          <w:szCs w:val="24"/>
          <w:lang w:eastAsia="zh-CN"/>
        </w:rPr>
        <w:t>4.3逾期送达的、未送达指定地点的或者不按照询价文件要求密封的报价文件，将予以拒收。</w:t>
      </w:r>
    </w:p>
    <w:p>
      <w:pPr>
        <w:spacing w:line="510" w:lineRule="exact"/>
        <w:ind w:firstLine="480" w:firstLineChars="200"/>
        <w:jc w:val="both"/>
        <w:rPr>
          <w:rFonts w:hint="eastAsia"/>
          <w:snapToGrid w:val="0"/>
          <w:sz w:val="24"/>
          <w:szCs w:val="24"/>
          <w:lang w:eastAsia="zh-CN"/>
        </w:rPr>
      </w:pPr>
      <w:r>
        <w:rPr>
          <w:rFonts w:hint="eastAsia"/>
          <w:snapToGrid w:val="0"/>
          <w:sz w:val="24"/>
          <w:szCs w:val="24"/>
          <w:lang w:eastAsia="zh-CN"/>
        </w:rPr>
        <w:t>4.4采用邮寄等其他方式递交报价文件的，所有风险由报价人自行承担。</w:t>
      </w:r>
    </w:p>
    <w:p>
      <w:pPr>
        <w:spacing w:line="510" w:lineRule="exact"/>
        <w:ind w:firstLine="480" w:firstLineChars="200"/>
        <w:jc w:val="both"/>
        <w:rPr>
          <w:rFonts w:hint="eastAsia"/>
          <w:snapToGrid w:val="0"/>
          <w:sz w:val="24"/>
          <w:szCs w:val="24"/>
          <w:lang w:eastAsia="zh-CN"/>
        </w:rPr>
      </w:pPr>
      <w:bookmarkStart w:id="37" w:name="_Toc29169"/>
      <w:bookmarkStart w:id="38" w:name="_Toc3769"/>
      <w:bookmarkStart w:id="39" w:name="_Toc6944"/>
      <w:bookmarkStart w:id="40" w:name="_Toc20420"/>
      <w:r>
        <w:rPr>
          <w:rFonts w:hint="eastAsia"/>
          <w:snapToGrid w:val="0"/>
          <w:sz w:val="24"/>
          <w:szCs w:val="24"/>
          <w:lang w:eastAsia="zh-CN"/>
        </w:rPr>
        <w:t>5.发布公告的媒介</w:t>
      </w:r>
      <w:bookmarkEnd w:id="37"/>
      <w:bookmarkEnd w:id="38"/>
      <w:bookmarkEnd w:id="39"/>
      <w:bookmarkEnd w:id="40"/>
    </w:p>
    <w:p>
      <w:pPr>
        <w:spacing w:line="510" w:lineRule="exact"/>
        <w:ind w:firstLine="480" w:firstLineChars="200"/>
        <w:jc w:val="both"/>
        <w:rPr>
          <w:rFonts w:hint="eastAsia"/>
          <w:snapToGrid w:val="0"/>
          <w:sz w:val="24"/>
          <w:szCs w:val="24"/>
          <w:lang w:eastAsia="zh-CN"/>
        </w:rPr>
      </w:pPr>
      <w:r>
        <w:rPr>
          <w:rFonts w:hint="eastAsia"/>
          <w:snapToGrid w:val="0"/>
          <w:sz w:val="24"/>
          <w:szCs w:val="24"/>
          <w:lang w:eastAsia="zh-CN"/>
        </w:rPr>
        <w:t>5.1本次询价公告及结果公示将在重庆高速公路集团官方网站（https://www.cegc.com.cn/index.html）上发布。</w:t>
      </w:r>
    </w:p>
    <w:p>
      <w:pPr>
        <w:spacing w:line="510" w:lineRule="exact"/>
        <w:ind w:firstLine="480" w:firstLineChars="200"/>
        <w:jc w:val="both"/>
        <w:rPr>
          <w:rFonts w:hint="eastAsia"/>
          <w:snapToGrid w:val="0"/>
          <w:sz w:val="24"/>
          <w:szCs w:val="24"/>
          <w:lang w:eastAsia="zh-CN"/>
        </w:rPr>
      </w:pPr>
      <w:r>
        <w:rPr>
          <w:rFonts w:hint="eastAsia"/>
          <w:snapToGrid w:val="0"/>
          <w:sz w:val="24"/>
          <w:szCs w:val="24"/>
          <w:lang w:eastAsia="zh-CN"/>
        </w:rPr>
        <w:t>5.2凡愿意参加的单位，从公告发布之日起至报价递交截止时间前，在本项目公开询价公告中的获取方式（链接）自行下载询价文件。本项目不需要报名，直接提交报价文件。</w:t>
      </w:r>
    </w:p>
    <w:p>
      <w:pPr>
        <w:spacing w:line="510" w:lineRule="exact"/>
        <w:ind w:firstLine="480" w:firstLineChars="200"/>
        <w:jc w:val="both"/>
        <w:rPr>
          <w:rFonts w:hint="eastAsia"/>
          <w:snapToGrid w:val="0"/>
          <w:sz w:val="24"/>
          <w:szCs w:val="24"/>
          <w:lang w:eastAsia="zh-CN"/>
        </w:rPr>
      </w:pPr>
      <w:r>
        <w:rPr>
          <w:rFonts w:hint="eastAsia"/>
          <w:snapToGrid w:val="0"/>
          <w:sz w:val="24"/>
          <w:szCs w:val="24"/>
          <w:lang w:eastAsia="zh-CN"/>
        </w:rPr>
        <w:t>6.联系方式</w:t>
      </w:r>
    </w:p>
    <w:p>
      <w:pPr>
        <w:spacing w:line="510" w:lineRule="exact"/>
        <w:ind w:firstLine="480" w:firstLineChars="200"/>
        <w:jc w:val="both"/>
        <w:rPr>
          <w:rFonts w:hint="eastAsia"/>
          <w:snapToGrid w:val="0"/>
          <w:sz w:val="24"/>
          <w:szCs w:val="24"/>
          <w:lang w:eastAsia="zh-CN"/>
        </w:rPr>
      </w:pPr>
      <w:r>
        <w:rPr>
          <w:rFonts w:hint="eastAsia"/>
          <w:snapToGrid w:val="0"/>
          <w:sz w:val="24"/>
          <w:szCs w:val="24"/>
          <w:lang w:eastAsia="zh-CN"/>
        </w:rPr>
        <w:t>询价人：重庆双江航运发展有限公司</w:t>
      </w:r>
    </w:p>
    <w:p>
      <w:pPr>
        <w:spacing w:line="510" w:lineRule="exact"/>
        <w:ind w:firstLine="480" w:firstLineChars="200"/>
        <w:jc w:val="both"/>
        <w:rPr>
          <w:rFonts w:hint="eastAsia"/>
          <w:snapToGrid w:val="0"/>
          <w:sz w:val="24"/>
          <w:szCs w:val="24"/>
          <w:lang w:eastAsia="zh-CN"/>
        </w:rPr>
      </w:pPr>
      <w:r>
        <w:rPr>
          <w:rFonts w:hint="eastAsia"/>
          <w:snapToGrid w:val="0"/>
          <w:sz w:val="24"/>
          <w:szCs w:val="24"/>
          <w:lang w:eastAsia="zh-CN"/>
        </w:rPr>
        <w:t>地  址：重庆市潼南区桂林街道春阳街460号</w:t>
      </w:r>
    </w:p>
    <w:p>
      <w:pPr>
        <w:spacing w:line="510" w:lineRule="exact"/>
        <w:ind w:firstLine="480" w:firstLineChars="200"/>
        <w:jc w:val="both"/>
        <w:rPr>
          <w:rFonts w:hint="eastAsia"/>
          <w:snapToGrid w:val="0"/>
          <w:sz w:val="24"/>
          <w:szCs w:val="24"/>
          <w:lang w:eastAsia="zh-CN"/>
        </w:rPr>
      </w:pPr>
      <w:r>
        <w:rPr>
          <w:rFonts w:hint="eastAsia"/>
          <w:snapToGrid w:val="0"/>
          <w:sz w:val="24"/>
          <w:szCs w:val="24"/>
          <w:lang w:eastAsia="zh-CN"/>
        </w:rPr>
        <w:t>联系人：支先生</w:t>
      </w:r>
    </w:p>
    <w:p>
      <w:pPr>
        <w:spacing w:line="510" w:lineRule="exact"/>
        <w:ind w:firstLine="480" w:firstLineChars="200"/>
        <w:jc w:val="both"/>
        <w:rPr>
          <w:rFonts w:hint="eastAsia"/>
          <w:snapToGrid w:val="0"/>
          <w:sz w:val="24"/>
          <w:szCs w:val="24"/>
          <w:lang w:eastAsia="zh-CN"/>
        </w:rPr>
      </w:pPr>
      <w:r>
        <w:rPr>
          <w:rFonts w:hint="eastAsia"/>
          <w:snapToGrid w:val="0"/>
          <w:sz w:val="24"/>
          <w:szCs w:val="24"/>
          <w:lang w:eastAsia="zh-CN"/>
        </w:rPr>
        <w:t>电  话：023-87288000</w:t>
      </w:r>
    </w:p>
    <w:p>
      <w:pPr>
        <w:spacing w:line="510" w:lineRule="exact"/>
        <w:ind w:firstLine="480" w:firstLineChars="200"/>
        <w:jc w:val="both"/>
        <w:rPr>
          <w:rFonts w:hint="eastAsia"/>
          <w:snapToGrid w:val="0"/>
          <w:sz w:val="24"/>
          <w:szCs w:val="24"/>
          <w:lang w:eastAsia="zh-CN"/>
        </w:rPr>
      </w:pPr>
      <w:r>
        <w:rPr>
          <w:rFonts w:hint="eastAsia"/>
          <w:snapToGrid w:val="0"/>
          <w:sz w:val="24"/>
          <w:szCs w:val="24"/>
          <w:lang w:eastAsia="zh-CN"/>
        </w:rPr>
        <w:t>7.监督部门</w:t>
      </w:r>
    </w:p>
    <w:p>
      <w:pPr>
        <w:spacing w:line="510" w:lineRule="exact"/>
        <w:ind w:firstLine="480" w:firstLineChars="200"/>
        <w:jc w:val="both"/>
        <w:rPr>
          <w:rFonts w:hint="eastAsia"/>
          <w:snapToGrid w:val="0"/>
          <w:sz w:val="24"/>
          <w:szCs w:val="24"/>
          <w:lang w:eastAsia="zh-CN"/>
        </w:rPr>
      </w:pPr>
      <w:r>
        <w:rPr>
          <w:rFonts w:hint="eastAsia"/>
          <w:snapToGrid w:val="0"/>
          <w:sz w:val="24"/>
          <w:szCs w:val="24"/>
          <w:lang w:eastAsia="zh-CN"/>
        </w:rPr>
        <w:t>监督部门：重庆双江航运发展有限公司</w:t>
      </w:r>
    </w:p>
    <w:p>
      <w:pPr>
        <w:spacing w:line="510" w:lineRule="exact"/>
        <w:ind w:firstLine="480" w:firstLineChars="200"/>
        <w:jc w:val="both"/>
        <w:rPr>
          <w:rFonts w:hint="eastAsia"/>
          <w:snapToGrid w:val="0"/>
          <w:sz w:val="24"/>
          <w:szCs w:val="24"/>
          <w:lang w:eastAsia="zh-CN"/>
        </w:rPr>
      </w:pPr>
      <w:r>
        <w:rPr>
          <w:rFonts w:hint="eastAsia"/>
          <w:snapToGrid w:val="0"/>
          <w:sz w:val="24"/>
          <w:szCs w:val="24"/>
          <w:lang w:eastAsia="zh-CN"/>
        </w:rPr>
        <w:t>联系电话：023-87285692</w:t>
      </w:r>
    </w:p>
    <w:p>
      <w:pPr>
        <w:jc w:val="right"/>
        <w:rPr>
          <w:lang w:eastAsia="zh-CN"/>
        </w:rPr>
      </w:pPr>
      <w:r>
        <w:rPr>
          <w:lang w:eastAsia="zh-CN"/>
        </w:rPr>
        <w:br w:type="page"/>
      </w:r>
    </w:p>
    <w:p>
      <w:pPr>
        <w:jc w:val="right"/>
        <w:rPr>
          <w:lang w:eastAsia="zh-CN"/>
        </w:rPr>
      </w:pPr>
    </w:p>
    <w:p>
      <w:pPr>
        <w:widowControl/>
        <w:rPr>
          <w:rFonts w:ascii="Times New Roman" w:hAnsi="Times New Roman" w:eastAsia="方正小标宋_GBK" w:cs="Times New Roman"/>
          <w:bCs/>
          <w:sz w:val="44"/>
          <w:szCs w:val="44"/>
          <w:lang w:eastAsia="zh-CN"/>
        </w:rPr>
      </w:pPr>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bookmarkStart w:id="41" w:name="_Toc6594"/>
      <w:bookmarkStart w:id="42" w:name="_Toc22272"/>
      <w:bookmarkStart w:id="43" w:name="_Toc2577"/>
      <w:bookmarkStart w:id="44" w:name="_Toc6116"/>
      <w:r>
        <w:rPr>
          <w:rFonts w:ascii="Times New Roman" w:hAnsi="Times New Roman" w:eastAsia="方正小标宋_GBK" w:cs="Times New Roman"/>
          <w:bCs/>
          <w:sz w:val="44"/>
          <w:szCs w:val="44"/>
          <w:lang w:val="zh-CN" w:eastAsia="zh-CN"/>
        </w:rPr>
        <w:t>第二章 报价文件要求与评审办法</w:t>
      </w:r>
      <w:bookmarkEnd w:id="41"/>
      <w:bookmarkEnd w:id="42"/>
      <w:bookmarkEnd w:id="43"/>
      <w:bookmarkEnd w:id="44"/>
    </w:p>
    <w:p>
      <w:pPr>
        <w:pStyle w:val="4"/>
        <w:spacing w:line="510" w:lineRule="exact"/>
        <w:rPr>
          <w:rFonts w:ascii="Times New Roman" w:hAnsi="Times New Roman" w:eastAsia="黑体" w:cs="Times New Roman"/>
          <w:b w:val="0"/>
          <w:lang w:eastAsia="zh-CN"/>
        </w:rPr>
      </w:pPr>
    </w:p>
    <w:p>
      <w:pPr>
        <w:pStyle w:val="4"/>
        <w:spacing w:line="510" w:lineRule="exact"/>
        <w:rPr>
          <w:rFonts w:ascii="Times New Roman" w:hAnsi="Times New Roman" w:eastAsia="黑体" w:cs="Times New Roman"/>
          <w:b w:val="0"/>
          <w:lang w:eastAsia="zh-CN"/>
        </w:rPr>
      </w:pPr>
      <w:bookmarkStart w:id="45" w:name="_Toc31559"/>
      <w:bookmarkStart w:id="46" w:name="_Toc31278"/>
      <w:bookmarkStart w:id="47" w:name="_Toc13314"/>
      <w:bookmarkStart w:id="48" w:name="_Toc28459"/>
      <w:r>
        <w:rPr>
          <w:rFonts w:ascii="Times New Roman" w:hAnsi="Times New Roman" w:eastAsia="黑体" w:cs="Times New Roman"/>
          <w:b w:val="0"/>
          <w:sz w:val="30"/>
          <w:szCs w:val="30"/>
          <w:lang w:eastAsia="zh-CN"/>
        </w:rPr>
        <w:t>1.报价文件要求</w:t>
      </w:r>
      <w:bookmarkEnd w:id="45"/>
      <w:bookmarkEnd w:id="46"/>
      <w:bookmarkEnd w:id="47"/>
      <w:bookmarkEnd w:id="48"/>
    </w:p>
    <w:p>
      <w:pPr>
        <w:spacing w:line="510" w:lineRule="exact"/>
        <w:ind w:firstLine="480" w:firstLineChars="200"/>
        <w:jc w:val="both"/>
        <w:rPr>
          <w:snapToGrid w:val="0"/>
          <w:sz w:val="24"/>
          <w:szCs w:val="24"/>
          <w:lang w:eastAsia="zh-CN"/>
        </w:rPr>
      </w:pPr>
      <w:r>
        <w:rPr>
          <w:rFonts w:hint="eastAsia"/>
          <w:snapToGrid w:val="0"/>
          <w:sz w:val="24"/>
          <w:szCs w:val="24"/>
          <w:lang w:eastAsia="zh-CN"/>
        </w:rPr>
        <w:t>1.1本项目总价最高限价为人民币</w:t>
      </w:r>
      <w:r>
        <w:rPr>
          <w:rFonts w:hint="eastAsia"/>
          <w:snapToGrid w:val="0"/>
          <w:sz w:val="24"/>
          <w:szCs w:val="24"/>
          <w:highlight w:val="none"/>
          <w:u w:val="single"/>
          <w:lang w:val="en-US" w:eastAsia="zh-CN"/>
        </w:rPr>
        <w:t>1530000</w:t>
      </w:r>
      <w:r>
        <w:rPr>
          <w:rFonts w:hint="eastAsia"/>
          <w:snapToGrid w:val="0"/>
          <w:sz w:val="24"/>
          <w:szCs w:val="24"/>
          <w:highlight w:val="none"/>
          <w:lang w:eastAsia="zh-CN"/>
        </w:rPr>
        <w:t>元整（￥</w:t>
      </w:r>
      <w:r>
        <w:rPr>
          <w:rFonts w:hint="eastAsia"/>
          <w:snapToGrid w:val="0"/>
          <w:sz w:val="24"/>
          <w:szCs w:val="24"/>
          <w:highlight w:val="none"/>
          <w:u w:val="single"/>
          <w:lang w:val="en-US" w:eastAsia="zh-CN"/>
        </w:rPr>
        <w:t>153</w:t>
      </w:r>
      <w:r>
        <w:rPr>
          <w:rFonts w:hint="eastAsia"/>
          <w:snapToGrid w:val="0"/>
          <w:sz w:val="24"/>
          <w:szCs w:val="24"/>
          <w:highlight w:val="none"/>
          <w:lang w:eastAsia="zh-CN"/>
        </w:rPr>
        <w:t>万元）</w:t>
      </w:r>
      <w:r>
        <w:rPr>
          <w:rFonts w:hint="eastAsia"/>
          <w:snapToGrid w:val="0"/>
          <w:sz w:val="24"/>
          <w:szCs w:val="24"/>
          <w:lang w:eastAsia="zh-CN"/>
        </w:rPr>
        <w:t>。报价人的报价不得高于最高限价，否则其报价文件将被否决。其它要求详见报价表中的报价说明。</w:t>
      </w:r>
    </w:p>
    <w:p>
      <w:pPr>
        <w:spacing w:line="510" w:lineRule="exact"/>
        <w:ind w:firstLine="480" w:firstLineChars="200"/>
        <w:jc w:val="both"/>
        <w:rPr>
          <w:snapToGrid w:val="0"/>
          <w:sz w:val="24"/>
          <w:szCs w:val="24"/>
          <w:lang w:eastAsia="zh-CN"/>
        </w:rPr>
      </w:pPr>
      <w:r>
        <w:rPr>
          <w:rFonts w:hint="eastAsia"/>
          <w:snapToGrid w:val="0"/>
          <w:sz w:val="24"/>
          <w:szCs w:val="24"/>
          <w:lang w:eastAsia="zh-CN"/>
        </w:rPr>
        <w:t>1.2报价文件内容格式详见第四章格式要求；装订采用A4纸幅面。</w:t>
      </w:r>
    </w:p>
    <w:p>
      <w:pPr>
        <w:spacing w:line="510" w:lineRule="exact"/>
        <w:ind w:firstLine="480" w:firstLineChars="200"/>
        <w:jc w:val="both"/>
        <w:rPr>
          <w:snapToGrid w:val="0"/>
          <w:sz w:val="24"/>
          <w:szCs w:val="24"/>
          <w:lang w:eastAsia="zh-CN"/>
        </w:rPr>
      </w:pPr>
      <w:r>
        <w:rPr>
          <w:rFonts w:hint="eastAsia"/>
          <w:snapToGrid w:val="0"/>
          <w:sz w:val="24"/>
          <w:szCs w:val="24"/>
          <w:lang w:eastAsia="zh-CN"/>
        </w:rPr>
        <w:t>1.3报价文件</w:t>
      </w:r>
      <w:r>
        <w:rPr>
          <w:rFonts w:hint="eastAsia"/>
          <w:snapToGrid w:val="0"/>
          <w:sz w:val="24"/>
          <w:szCs w:val="24"/>
          <w:lang w:val="en-US" w:eastAsia="zh-CN"/>
        </w:rPr>
        <w:t>1份</w:t>
      </w:r>
      <w:r>
        <w:rPr>
          <w:rFonts w:hint="eastAsia"/>
          <w:snapToGrid w:val="0"/>
          <w:sz w:val="24"/>
          <w:szCs w:val="24"/>
          <w:lang w:eastAsia="zh-CN"/>
        </w:rPr>
        <w:t>应装入封套，密封完好并在封口处加盖报价人单位公章，否则其报价文件将被否决。封套上应注明：</w:t>
      </w:r>
      <w:r>
        <w:rPr>
          <w:rFonts w:hint="eastAsia"/>
          <w:snapToGrid w:val="0"/>
          <w:sz w:val="24"/>
          <w:szCs w:val="24"/>
          <w:u w:val="single"/>
          <w:lang w:eastAsia="zh-CN"/>
        </w:rPr>
        <w:t>双江航电</w:t>
      </w:r>
      <w:r>
        <w:rPr>
          <w:rFonts w:hint="eastAsia"/>
          <w:snapToGrid w:val="0"/>
          <w:sz w:val="24"/>
          <w:szCs w:val="24"/>
          <w:u w:val="single"/>
          <w:lang w:val="en-US" w:eastAsia="zh-CN"/>
        </w:rPr>
        <w:t>空调设备</w:t>
      </w:r>
      <w:r>
        <w:rPr>
          <w:rFonts w:hint="eastAsia"/>
          <w:snapToGrid w:val="0"/>
          <w:sz w:val="24"/>
          <w:szCs w:val="24"/>
          <w:lang w:eastAsia="zh-CN"/>
        </w:rPr>
        <w:t>项目，以及提交报价文件当天日期。</w:t>
      </w:r>
    </w:p>
    <w:p>
      <w:pPr>
        <w:pStyle w:val="4"/>
        <w:spacing w:line="510" w:lineRule="exact"/>
        <w:ind w:firstLine="600" w:firstLineChars="200"/>
        <w:jc w:val="both"/>
        <w:rPr>
          <w:rFonts w:ascii="Times New Roman" w:hAnsi="Times New Roman" w:eastAsia="黑体" w:cs="Times New Roman"/>
          <w:b w:val="0"/>
          <w:sz w:val="30"/>
          <w:szCs w:val="30"/>
          <w:lang w:eastAsia="zh-CN"/>
        </w:rPr>
      </w:pPr>
      <w:r>
        <w:rPr>
          <w:rFonts w:ascii="Times New Roman" w:hAnsi="Times New Roman" w:eastAsia="黑体" w:cs="Times New Roman"/>
          <w:b w:val="0"/>
          <w:sz w:val="30"/>
          <w:szCs w:val="30"/>
          <w:lang w:eastAsia="zh-CN"/>
        </w:rPr>
        <w:t>2.评审办法</w:t>
      </w:r>
    </w:p>
    <w:p>
      <w:pPr>
        <w:spacing w:line="510" w:lineRule="exact"/>
        <w:ind w:firstLine="480" w:firstLineChars="200"/>
        <w:jc w:val="both"/>
        <w:rPr>
          <w:snapToGrid w:val="0"/>
          <w:sz w:val="24"/>
          <w:szCs w:val="24"/>
          <w:lang w:eastAsia="zh-CN"/>
        </w:rPr>
      </w:pPr>
      <w:r>
        <w:rPr>
          <w:rFonts w:hint="eastAsia"/>
          <w:snapToGrid w:val="0"/>
          <w:sz w:val="24"/>
          <w:szCs w:val="24"/>
          <w:lang w:eastAsia="zh-CN"/>
        </w:rPr>
        <w:t>本项目采用经评审的最低价法。</w:t>
      </w:r>
    </w:p>
    <w:p>
      <w:pPr>
        <w:widowControl/>
        <w:spacing w:line="360" w:lineRule="auto"/>
        <w:jc w:val="center"/>
        <w:outlineLvl w:val="0"/>
        <w:rPr>
          <w:b/>
          <w:sz w:val="28"/>
          <w:szCs w:val="28"/>
          <w:u w:val="single"/>
          <w:lang w:eastAsia="zh-CN"/>
        </w:rPr>
      </w:pPr>
      <w:bookmarkStart w:id="49" w:name="_Toc113559467"/>
    </w:p>
    <w:p>
      <w:pPr>
        <w:widowControl/>
        <w:spacing w:line="360" w:lineRule="auto"/>
        <w:jc w:val="center"/>
        <w:outlineLvl w:val="0"/>
        <w:rPr>
          <w:b/>
          <w:sz w:val="28"/>
          <w:szCs w:val="28"/>
          <w:u w:val="single"/>
          <w:lang w:eastAsia="zh-CN"/>
        </w:rPr>
      </w:pPr>
      <w:r>
        <w:rPr>
          <w:rFonts w:hint="eastAsia"/>
          <w:b/>
          <w:sz w:val="28"/>
          <w:szCs w:val="28"/>
          <w:u w:val="single"/>
          <w:lang w:eastAsia="zh-CN"/>
        </w:rPr>
        <w:t>附件：经评审的最低价法否决报价情况一览表</w:t>
      </w:r>
      <w:bookmarkEnd w:id="49"/>
    </w:p>
    <w:p>
      <w:pPr>
        <w:widowControl/>
        <w:spacing w:line="360" w:lineRule="auto"/>
        <w:ind w:firstLine="440" w:firstLineChars="200"/>
        <w:rPr>
          <w:szCs w:val="21"/>
          <w:lang w:eastAsia="zh-CN"/>
        </w:rPr>
      </w:pPr>
      <w:r>
        <w:rPr>
          <w:rFonts w:hint="eastAsia"/>
          <w:szCs w:val="21"/>
          <w:lang w:eastAsia="zh-CN"/>
        </w:rPr>
        <w:t>报价文件存在本一览表下列情形之一的，报价文件视为重大偏差并作否决报价处理，否则，评标小组不得视为重大偏差而否决报价人的报价文件。</w:t>
      </w:r>
    </w:p>
    <w:tbl>
      <w:tblPr>
        <w:tblStyle w:val="44"/>
        <w:tblW w:w="9045"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898"/>
        <w:gridCol w:w="714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8" w:type="dxa"/>
            <w:tcBorders>
              <w:top w:val="single" w:color="000000" w:sz="8" w:space="0"/>
              <w:left w:val="single" w:color="000000" w:sz="8" w:space="0"/>
              <w:bottom w:val="single" w:color="000000" w:sz="4" w:space="0"/>
              <w:right w:val="single" w:color="000000" w:sz="4" w:space="0"/>
            </w:tcBorders>
            <w:vAlign w:val="center"/>
          </w:tcPr>
          <w:p>
            <w:pPr>
              <w:spacing w:line="400" w:lineRule="exact"/>
              <w:jc w:val="center"/>
              <w:rPr>
                <w:b/>
                <w:szCs w:val="21"/>
              </w:rPr>
            </w:pPr>
            <w:r>
              <w:rPr>
                <w:rFonts w:hint="eastAsia"/>
                <w:b/>
                <w:szCs w:val="21"/>
              </w:rPr>
              <w:t>条款名称</w:t>
            </w:r>
          </w:p>
        </w:tc>
        <w:tc>
          <w:tcPr>
            <w:tcW w:w="7147" w:type="dxa"/>
            <w:tcBorders>
              <w:top w:val="single" w:color="000000" w:sz="8" w:space="0"/>
              <w:left w:val="single" w:color="000000" w:sz="4" w:space="0"/>
              <w:bottom w:val="single" w:color="000000" w:sz="4" w:space="0"/>
              <w:right w:val="single" w:color="000000" w:sz="8" w:space="0"/>
            </w:tcBorders>
            <w:vAlign w:val="center"/>
          </w:tcPr>
          <w:p>
            <w:pPr>
              <w:spacing w:line="400" w:lineRule="exact"/>
              <w:jc w:val="center"/>
              <w:rPr>
                <w:b/>
                <w:szCs w:val="21"/>
              </w:rPr>
            </w:pPr>
            <w:r>
              <w:rPr>
                <w:rFonts w:hint="eastAsia"/>
                <w:b/>
                <w:szCs w:val="21"/>
              </w:rPr>
              <w:t>否决</w:t>
            </w:r>
            <w:r>
              <w:rPr>
                <w:rFonts w:hint="eastAsia"/>
                <w:b/>
                <w:szCs w:val="21"/>
                <w:lang w:eastAsia="zh-CN"/>
              </w:rPr>
              <w:t>报价</w:t>
            </w:r>
            <w:r>
              <w:rPr>
                <w:rFonts w:hint="eastAsia"/>
                <w:b/>
                <w:szCs w:val="21"/>
              </w:rPr>
              <w:t>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898" w:type="dxa"/>
            <w:vMerge w:val="restart"/>
            <w:tcBorders>
              <w:top w:val="single" w:color="000000" w:sz="4" w:space="0"/>
              <w:left w:val="single" w:color="000000" w:sz="8" w:space="0"/>
              <w:bottom w:val="single" w:color="000000" w:sz="4" w:space="0"/>
              <w:right w:val="single" w:color="000000" w:sz="4" w:space="0"/>
            </w:tcBorders>
            <w:vAlign w:val="center"/>
          </w:tcPr>
          <w:p>
            <w:pPr>
              <w:spacing w:line="400" w:lineRule="exact"/>
              <w:jc w:val="center"/>
              <w:rPr>
                <w:szCs w:val="21"/>
              </w:rPr>
            </w:pPr>
            <w:r>
              <w:rPr>
                <w:rFonts w:hint="eastAsia"/>
                <w:szCs w:val="21"/>
              </w:rPr>
              <w:t>资格评审</w:t>
            </w:r>
          </w:p>
        </w:tc>
        <w:tc>
          <w:tcPr>
            <w:tcW w:w="7147"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40" w:firstLineChars="200"/>
              <w:rPr>
                <w:szCs w:val="21"/>
                <w:lang w:eastAsia="zh-CN"/>
              </w:rPr>
            </w:pPr>
            <w:r>
              <w:rPr>
                <w:rFonts w:hint="eastAsia"/>
                <w:szCs w:val="21"/>
                <w:lang w:eastAsia="zh-CN"/>
              </w:rPr>
              <w:t>A-1报价人的营业执照须满足询价公告3.报价人资格要求的要求，否则由评标小组作否决报价处理。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898" w:type="dxa"/>
            <w:vMerge w:val="continue"/>
            <w:tcBorders>
              <w:top w:val="single" w:color="000000" w:sz="4" w:space="0"/>
              <w:left w:val="single" w:color="000000" w:sz="8" w:space="0"/>
              <w:bottom w:val="single" w:color="000000" w:sz="4" w:space="0"/>
              <w:right w:val="single" w:color="000000" w:sz="4" w:space="0"/>
            </w:tcBorders>
            <w:vAlign w:val="center"/>
          </w:tcPr>
          <w:p>
            <w:pPr>
              <w:widowControl/>
              <w:rPr>
                <w:szCs w:val="21"/>
                <w:lang w:eastAsia="zh-CN"/>
              </w:rPr>
            </w:pPr>
          </w:p>
        </w:tc>
        <w:tc>
          <w:tcPr>
            <w:tcW w:w="7147"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40" w:firstLineChars="200"/>
              <w:rPr>
                <w:szCs w:val="21"/>
                <w:lang w:eastAsia="zh-CN"/>
              </w:rPr>
            </w:pPr>
            <w:r>
              <w:rPr>
                <w:rFonts w:hint="eastAsia"/>
                <w:szCs w:val="21"/>
                <w:lang w:eastAsia="zh-CN"/>
              </w:rPr>
              <w:t>A-2报价人的业绩须满足询价公告3.报价人资格要求的要求，否则由评标小组作否决报价处理（如有）。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898" w:type="dxa"/>
            <w:vMerge w:val="continue"/>
            <w:tcBorders>
              <w:top w:val="single" w:color="000000" w:sz="4" w:space="0"/>
              <w:left w:val="single" w:color="000000" w:sz="8" w:space="0"/>
              <w:bottom w:val="single" w:color="000000" w:sz="4" w:space="0"/>
              <w:right w:val="single" w:color="000000" w:sz="4" w:space="0"/>
            </w:tcBorders>
            <w:vAlign w:val="center"/>
          </w:tcPr>
          <w:p>
            <w:pPr>
              <w:widowControl/>
              <w:rPr>
                <w:szCs w:val="21"/>
                <w:lang w:eastAsia="zh-CN"/>
              </w:rPr>
            </w:pPr>
          </w:p>
        </w:tc>
        <w:tc>
          <w:tcPr>
            <w:tcW w:w="7147"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40" w:firstLineChars="200"/>
              <w:rPr>
                <w:szCs w:val="21"/>
                <w:lang w:eastAsia="zh-CN"/>
              </w:rPr>
            </w:pPr>
            <w:r>
              <w:rPr>
                <w:rFonts w:hint="eastAsia"/>
                <w:szCs w:val="21"/>
                <w:lang w:eastAsia="zh-CN"/>
              </w:rPr>
              <w:t>A-3报价人的报价截止日报价资格情况须满足询价公告3.报价人资格要求的要求，否则由评标小组作否决报价处理。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898" w:type="dxa"/>
            <w:vMerge w:val="continue"/>
            <w:tcBorders>
              <w:top w:val="single" w:color="000000" w:sz="4" w:space="0"/>
              <w:left w:val="single" w:color="000000" w:sz="8" w:space="0"/>
              <w:bottom w:val="single" w:color="000000" w:sz="4" w:space="0"/>
              <w:right w:val="single" w:color="000000" w:sz="4" w:space="0"/>
            </w:tcBorders>
            <w:vAlign w:val="center"/>
          </w:tcPr>
          <w:p>
            <w:pPr>
              <w:widowControl/>
              <w:rPr>
                <w:szCs w:val="21"/>
                <w:lang w:eastAsia="zh-CN"/>
              </w:rPr>
            </w:pPr>
          </w:p>
        </w:tc>
        <w:tc>
          <w:tcPr>
            <w:tcW w:w="7147"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40" w:firstLineChars="200"/>
              <w:rPr>
                <w:szCs w:val="21"/>
                <w:lang w:eastAsia="zh-CN"/>
              </w:rPr>
            </w:pPr>
            <w:r>
              <w:rPr>
                <w:rFonts w:hint="eastAsia"/>
                <w:szCs w:val="21"/>
                <w:lang w:eastAsia="zh-CN"/>
              </w:rPr>
              <w:t>A-4报价人的其他要求须满足询价公告3.报价人资格要求的要求，否则由评标小组作否决报价处理。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8" w:type="dxa"/>
            <w:vMerge w:val="restart"/>
            <w:tcBorders>
              <w:top w:val="single" w:color="000000" w:sz="4" w:space="0"/>
              <w:left w:val="single" w:color="000000" w:sz="8" w:space="0"/>
              <w:bottom w:val="single" w:color="000000" w:sz="4" w:space="0"/>
              <w:right w:val="single" w:color="000000" w:sz="4" w:space="0"/>
            </w:tcBorders>
            <w:vAlign w:val="center"/>
          </w:tcPr>
          <w:p>
            <w:pPr>
              <w:spacing w:line="400" w:lineRule="exact"/>
              <w:jc w:val="center"/>
              <w:rPr>
                <w:szCs w:val="21"/>
              </w:rPr>
            </w:pPr>
            <w:r>
              <w:rPr>
                <w:rFonts w:hint="eastAsia"/>
                <w:szCs w:val="21"/>
              </w:rPr>
              <w:t>形式评审</w:t>
            </w:r>
          </w:p>
        </w:tc>
        <w:tc>
          <w:tcPr>
            <w:tcW w:w="7147" w:type="dxa"/>
            <w:tcBorders>
              <w:top w:val="single" w:color="000000" w:sz="4" w:space="0"/>
              <w:left w:val="single" w:color="000000" w:sz="4" w:space="0"/>
              <w:bottom w:val="single" w:color="000000" w:sz="4" w:space="0"/>
              <w:right w:val="single" w:color="000000" w:sz="8" w:space="0"/>
            </w:tcBorders>
          </w:tcPr>
          <w:p>
            <w:pPr>
              <w:spacing w:line="400" w:lineRule="exact"/>
              <w:ind w:firstLine="440" w:firstLineChars="200"/>
              <w:rPr>
                <w:szCs w:val="21"/>
                <w:lang w:eastAsia="zh-CN"/>
              </w:rPr>
            </w:pPr>
            <w:r>
              <w:rPr>
                <w:rFonts w:hint="eastAsia"/>
                <w:szCs w:val="21"/>
                <w:lang w:eastAsia="zh-CN"/>
              </w:rPr>
              <w:t>A-5报价人名称必须与营业执照一致，依法变更名称的应提交相应证明材料，否则由评标小组作否决报价处理。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8" w:type="dxa"/>
            <w:vMerge w:val="continue"/>
            <w:tcBorders>
              <w:top w:val="single" w:color="000000" w:sz="4" w:space="0"/>
              <w:left w:val="single" w:color="000000" w:sz="8" w:space="0"/>
              <w:bottom w:val="single" w:color="000000" w:sz="4" w:space="0"/>
              <w:right w:val="single" w:color="000000" w:sz="4" w:space="0"/>
            </w:tcBorders>
            <w:vAlign w:val="center"/>
          </w:tcPr>
          <w:p>
            <w:pPr>
              <w:widowControl/>
              <w:rPr>
                <w:szCs w:val="21"/>
                <w:lang w:eastAsia="zh-CN"/>
              </w:rPr>
            </w:pPr>
          </w:p>
        </w:tc>
        <w:tc>
          <w:tcPr>
            <w:tcW w:w="7147" w:type="dxa"/>
            <w:tcBorders>
              <w:top w:val="single" w:color="000000" w:sz="4" w:space="0"/>
              <w:left w:val="single" w:color="000000" w:sz="4" w:space="0"/>
              <w:bottom w:val="single" w:color="000000" w:sz="4" w:space="0"/>
              <w:right w:val="single" w:color="000000" w:sz="8" w:space="0"/>
            </w:tcBorders>
          </w:tcPr>
          <w:p>
            <w:pPr>
              <w:spacing w:line="400" w:lineRule="exact"/>
              <w:ind w:firstLine="440" w:firstLineChars="200"/>
              <w:rPr>
                <w:szCs w:val="21"/>
                <w:lang w:eastAsia="zh-CN"/>
              </w:rPr>
            </w:pPr>
            <w:r>
              <w:rPr>
                <w:rFonts w:hint="eastAsia"/>
                <w:szCs w:val="21"/>
                <w:lang w:eastAsia="zh-CN"/>
              </w:rPr>
              <w:t>A-6编制报价文件时不得对第四章“报价文件格式”的相应要素作实质性修改，否则视为重大偏差，由评标小组作否决报价处理。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8" w:type="dxa"/>
            <w:vMerge w:val="continue"/>
            <w:tcBorders>
              <w:top w:val="single" w:color="000000" w:sz="4" w:space="0"/>
              <w:left w:val="single" w:color="000000" w:sz="8" w:space="0"/>
              <w:bottom w:val="single" w:color="000000" w:sz="4" w:space="0"/>
              <w:right w:val="single" w:color="000000" w:sz="4" w:space="0"/>
            </w:tcBorders>
            <w:vAlign w:val="center"/>
          </w:tcPr>
          <w:p>
            <w:pPr>
              <w:widowControl/>
              <w:rPr>
                <w:szCs w:val="21"/>
                <w:lang w:eastAsia="zh-CN"/>
              </w:rPr>
            </w:pPr>
          </w:p>
        </w:tc>
        <w:tc>
          <w:tcPr>
            <w:tcW w:w="7147" w:type="dxa"/>
            <w:tcBorders>
              <w:top w:val="single" w:color="000000" w:sz="4" w:space="0"/>
              <w:left w:val="single" w:color="000000" w:sz="4" w:space="0"/>
              <w:bottom w:val="single" w:color="000000" w:sz="4" w:space="0"/>
              <w:right w:val="single" w:color="000000" w:sz="8" w:space="0"/>
            </w:tcBorders>
          </w:tcPr>
          <w:p>
            <w:pPr>
              <w:spacing w:line="400" w:lineRule="exact"/>
              <w:ind w:firstLine="440" w:firstLineChars="200"/>
              <w:rPr>
                <w:szCs w:val="21"/>
                <w:lang w:eastAsia="zh-CN"/>
              </w:rPr>
            </w:pPr>
            <w:r>
              <w:rPr>
                <w:rFonts w:hint="eastAsia"/>
                <w:szCs w:val="21"/>
                <w:lang w:eastAsia="zh-CN"/>
              </w:rPr>
              <w:t>A-7第四章 报价文件格式</w:t>
            </w:r>
            <w:r>
              <w:rPr>
                <w:rFonts w:hint="eastAsia"/>
                <w:lang w:eastAsia="zh-CN"/>
              </w:rPr>
              <w:t>（不含报价函部分）</w:t>
            </w:r>
            <w:r>
              <w:rPr>
                <w:rFonts w:hint="eastAsia"/>
                <w:szCs w:val="21"/>
                <w:lang w:eastAsia="zh-CN"/>
              </w:rPr>
              <w:t>要求法定代表人或其委托代理人签名（或盖章）的须齐全</w:t>
            </w:r>
            <w:r>
              <w:rPr>
                <w:rFonts w:hint="eastAsia"/>
                <w:lang w:eastAsia="zh-CN"/>
              </w:rPr>
              <w:t>。要求签名的，签名采用手写签名或签章均可。</w:t>
            </w:r>
            <w:r>
              <w:rPr>
                <w:rFonts w:hint="eastAsia"/>
                <w:szCs w:val="21"/>
                <w:lang w:eastAsia="zh-CN"/>
              </w:rPr>
              <w:t>否则由评标小组作否决报价处理。</w:t>
            </w:r>
          </w:p>
          <w:p>
            <w:pPr>
              <w:spacing w:line="400" w:lineRule="exact"/>
              <w:ind w:firstLine="440" w:firstLineChars="200"/>
              <w:rPr>
                <w:szCs w:val="21"/>
                <w:lang w:eastAsia="zh-CN"/>
              </w:rPr>
            </w:pPr>
            <w:r>
              <w:rPr>
                <w:rFonts w:hint="eastAsia"/>
                <w:lang w:eastAsia="zh-CN"/>
              </w:rPr>
              <w:t>第四章 报价文件格式（不含报价函部分）要求加盖单位</w:t>
            </w:r>
            <w:r>
              <w:rPr>
                <w:rFonts w:hint="eastAsia"/>
                <w:szCs w:val="21"/>
                <w:lang w:eastAsia="zh-CN"/>
              </w:rPr>
              <w:t>法人章的须齐全</w:t>
            </w:r>
            <w:r>
              <w:rPr>
                <w:rFonts w:hint="eastAsia"/>
                <w:lang w:eastAsia="zh-CN"/>
              </w:rPr>
              <w:t>，</w:t>
            </w:r>
            <w:r>
              <w:rPr>
                <w:rFonts w:hint="eastAsia"/>
                <w:szCs w:val="21"/>
                <w:lang w:eastAsia="zh-CN"/>
              </w:rPr>
              <w:t>否则由评标小组作否决报价处理</w:t>
            </w:r>
            <w:r>
              <w:rPr>
                <w:rFonts w:hint="eastAsia"/>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8" w:type="dxa"/>
            <w:vMerge w:val="continue"/>
            <w:tcBorders>
              <w:top w:val="single" w:color="000000" w:sz="4" w:space="0"/>
              <w:left w:val="single" w:color="000000" w:sz="8" w:space="0"/>
              <w:bottom w:val="single" w:color="000000" w:sz="4" w:space="0"/>
              <w:right w:val="single" w:color="000000" w:sz="4" w:space="0"/>
            </w:tcBorders>
            <w:vAlign w:val="center"/>
          </w:tcPr>
          <w:p>
            <w:pPr>
              <w:widowControl/>
              <w:rPr>
                <w:szCs w:val="21"/>
                <w:lang w:eastAsia="zh-CN"/>
              </w:rPr>
            </w:pPr>
          </w:p>
        </w:tc>
        <w:tc>
          <w:tcPr>
            <w:tcW w:w="7147" w:type="dxa"/>
            <w:tcBorders>
              <w:top w:val="single" w:color="000000" w:sz="4" w:space="0"/>
              <w:left w:val="single" w:color="000000" w:sz="4" w:space="0"/>
              <w:bottom w:val="single" w:color="000000" w:sz="4" w:space="0"/>
              <w:right w:val="single" w:color="000000" w:sz="8" w:space="0"/>
            </w:tcBorders>
          </w:tcPr>
          <w:p>
            <w:pPr>
              <w:spacing w:line="400" w:lineRule="exact"/>
              <w:ind w:firstLine="440" w:firstLineChars="200"/>
              <w:rPr>
                <w:szCs w:val="21"/>
                <w:lang w:eastAsia="zh-CN"/>
              </w:rPr>
            </w:pPr>
            <w:r>
              <w:rPr>
                <w:rFonts w:hint="eastAsia"/>
                <w:szCs w:val="21"/>
                <w:lang w:eastAsia="zh-CN"/>
              </w:rPr>
              <w:t>A-8报价人法定代表人的委托代理人有法定代表人签署的授权委托书，否则由评标小组作否决报价处理。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8" w:type="dxa"/>
            <w:vMerge w:val="restart"/>
            <w:tcBorders>
              <w:top w:val="single" w:color="000000" w:sz="4" w:space="0"/>
              <w:left w:val="single" w:color="000000" w:sz="8" w:space="0"/>
              <w:right w:val="single" w:color="000000" w:sz="4" w:space="0"/>
            </w:tcBorders>
            <w:vAlign w:val="center"/>
          </w:tcPr>
          <w:p>
            <w:pPr>
              <w:widowControl/>
              <w:jc w:val="center"/>
              <w:rPr>
                <w:szCs w:val="21"/>
              </w:rPr>
            </w:pPr>
            <w:r>
              <w:rPr>
                <w:rFonts w:hint="eastAsia"/>
                <w:szCs w:val="21"/>
              </w:rPr>
              <w:t>响应性评审</w:t>
            </w:r>
          </w:p>
        </w:tc>
        <w:tc>
          <w:tcPr>
            <w:tcW w:w="7147" w:type="dxa"/>
            <w:tcBorders>
              <w:top w:val="single" w:color="000000" w:sz="4" w:space="0"/>
              <w:left w:val="single" w:color="000000" w:sz="4" w:space="0"/>
              <w:bottom w:val="single" w:color="000000" w:sz="4" w:space="0"/>
              <w:right w:val="single" w:color="000000" w:sz="8" w:space="0"/>
            </w:tcBorders>
          </w:tcPr>
          <w:p>
            <w:pPr>
              <w:spacing w:line="400" w:lineRule="exact"/>
              <w:ind w:firstLine="440" w:firstLineChars="200"/>
              <w:rPr>
                <w:szCs w:val="21"/>
                <w:lang w:eastAsia="zh-CN"/>
              </w:rPr>
            </w:pPr>
            <w:r>
              <w:rPr>
                <w:rFonts w:hint="eastAsia"/>
                <w:szCs w:val="21"/>
                <w:lang w:eastAsia="zh-CN"/>
              </w:rPr>
              <w:t>A-9报价内容符合询价公告规定，否则由评标小组作否决报价处理。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8" w:type="dxa"/>
            <w:vMerge w:val="continue"/>
            <w:tcBorders>
              <w:left w:val="single" w:color="000000" w:sz="8" w:space="0"/>
              <w:right w:val="single" w:color="000000" w:sz="4" w:space="0"/>
            </w:tcBorders>
            <w:vAlign w:val="center"/>
          </w:tcPr>
          <w:p>
            <w:pPr>
              <w:widowControl/>
              <w:rPr>
                <w:szCs w:val="21"/>
                <w:lang w:eastAsia="zh-CN"/>
              </w:rPr>
            </w:pPr>
          </w:p>
        </w:tc>
        <w:tc>
          <w:tcPr>
            <w:tcW w:w="7147" w:type="dxa"/>
            <w:tcBorders>
              <w:top w:val="single" w:color="000000" w:sz="4" w:space="0"/>
              <w:left w:val="single" w:color="000000" w:sz="4" w:space="0"/>
              <w:bottom w:val="single" w:color="000000" w:sz="4" w:space="0"/>
              <w:right w:val="single" w:color="000000" w:sz="8" w:space="0"/>
            </w:tcBorders>
          </w:tcPr>
          <w:p>
            <w:pPr>
              <w:spacing w:line="400" w:lineRule="exact"/>
              <w:ind w:firstLine="440" w:firstLineChars="200"/>
              <w:rPr>
                <w:szCs w:val="21"/>
              </w:rPr>
            </w:pPr>
            <w:r>
              <w:rPr>
                <w:rFonts w:hint="eastAsia"/>
                <w:szCs w:val="21"/>
                <w:lang w:eastAsia="zh-CN"/>
              </w:rPr>
              <w:t>A-10符合第三章“合同条款及格式”规定，报价文件不应附有询价人不能接受的条件。否则由评标小组作否决报价处理。</w:t>
            </w:r>
            <w:r>
              <w:rPr>
                <w:rFonts w:hint="eastAsia"/>
                <w:lang w:eastAsia="zh-CN"/>
              </w:rPr>
              <w:t>（由报价人承诺，承诺书格式详见第六章报价文件格式。</w:t>
            </w:r>
            <w:r>
              <w:rPr>
                <w:rFonts w:hint="eastAsia"/>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8" w:type="dxa"/>
            <w:vMerge w:val="continue"/>
            <w:tcBorders>
              <w:left w:val="single" w:color="000000" w:sz="8" w:space="0"/>
              <w:right w:val="single" w:color="000000" w:sz="4" w:space="0"/>
            </w:tcBorders>
            <w:vAlign w:val="center"/>
          </w:tcPr>
          <w:p>
            <w:pPr>
              <w:widowControl/>
              <w:rPr>
                <w:szCs w:val="21"/>
              </w:rPr>
            </w:pPr>
          </w:p>
        </w:tc>
        <w:tc>
          <w:tcPr>
            <w:tcW w:w="7147" w:type="dxa"/>
            <w:tcBorders>
              <w:top w:val="single" w:color="000000" w:sz="4" w:space="0"/>
              <w:left w:val="single" w:color="000000" w:sz="4" w:space="0"/>
              <w:bottom w:val="single" w:color="000000" w:sz="4" w:space="0"/>
              <w:right w:val="single" w:color="000000" w:sz="8" w:space="0"/>
            </w:tcBorders>
          </w:tcPr>
          <w:p>
            <w:pPr>
              <w:jc w:val="left"/>
              <w:rPr>
                <w:rFonts w:hint="eastAsia"/>
                <w:highlight w:val="none"/>
                <w:lang w:val="en-US" w:eastAsia="zh-CN"/>
              </w:rPr>
            </w:pPr>
            <w:r>
              <w:rPr>
                <w:rFonts w:hint="eastAsia"/>
                <w:szCs w:val="22"/>
                <w:highlight w:val="none"/>
                <w:lang w:eastAsia="zh-CN"/>
              </w:rPr>
              <w:t>A-11</w:t>
            </w:r>
            <w:r>
              <w:rPr>
                <w:rFonts w:hint="eastAsia"/>
                <w:highlight w:val="none"/>
                <w:lang w:eastAsia="zh-CN"/>
              </w:rPr>
              <w:t>供货要求应</w:t>
            </w:r>
            <w:r>
              <w:rPr>
                <w:rFonts w:hint="eastAsia"/>
                <w:highlight w:val="none"/>
                <w:lang w:val="en-US" w:eastAsia="zh-CN"/>
              </w:rPr>
              <w:t>满足</w:t>
            </w:r>
            <w:r>
              <w:rPr>
                <w:rFonts w:hint="eastAsia"/>
                <w:highlight w:val="none"/>
                <w:lang w:eastAsia="zh-CN"/>
              </w:rPr>
              <w:t>第五章“</w:t>
            </w:r>
            <w:r>
              <w:rPr>
                <w:rFonts w:hint="eastAsia"/>
                <w:highlight w:val="none"/>
                <w:lang w:val="zh-CN" w:eastAsia="zh-CN"/>
              </w:rPr>
              <w:t>技术标准和要求</w:t>
            </w:r>
            <w:r>
              <w:rPr>
                <w:rFonts w:hint="eastAsia"/>
                <w:highlight w:val="none"/>
                <w:lang w:eastAsia="zh-CN"/>
              </w:rPr>
              <w:t>”中的</w:t>
            </w:r>
            <w:r>
              <w:rPr>
                <w:rFonts w:hint="eastAsia"/>
                <w:sz w:val="22"/>
                <w:szCs w:val="22"/>
                <w:highlight w:val="none"/>
                <w:lang w:val="en-US" w:eastAsia="zh-CN"/>
              </w:rPr>
              <w:t>技术参数相应表</w:t>
            </w:r>
          </w:p>
          <w:p>
            <w:pPr>
              <w:spacing w:line="240" w:lineRule="auto"/>
              <w:ind w:firstLine="0" w:firstLineChars="0"/>
              <w:rPr>
                <w:szCs w:val="21"/>
                <w:lang w:eastAsia="zh-CN"/>
              </w:rPr>
            </w:pPr>
            <w:r>
              <w:rPr>
                <w:rFonts w:hint="eastAsia"/>
                <w:highlight w:val="none"/>
                <w:lang w:val="en-US" w:eastAsia="zh-CN"/>
              </w:rPr>
              <w:t>中</w:t>
            </w:r>
            <w:r>
              <w:rPr>
                <w:rFonts w:hint="eastAsia"/>
                <w:highlight w:val="none"/>
                <w:lang w:eastAsia="zh-CN"/>
              </w:rPr>
              <w:t>要求。由报价人承诺，承诺书格式详见</w:t>
            </w:r>
            <w:r>
              <w:rPr>
                <w:rFonts w:hint="eastAsia"/>
                <w:szCs w:val="22"/>
                <w:highlight w:val="none"/>
                <w:lang w:eastAsia="zh-CN"/>
              </w:rPr>
              <w:t>第四章</w:t>
            </w:r>
            <w:r>
              <w:rPr>
                <w:rFonts w:hint="eastAsia"/>
                <w:highlight w:val="none"/>
                <w:lang w:eastAsia="zh-CN"/>
              </w:rPr>
              <w:t>报价文件格式，</w:t>
            </w:r>
            <w:r>
              <w:rPr>
                <w:rFonts w:hint="eastAsia"/>
                <w:szCs w:val="22"/>
                <w:highlight w:val="none"/>
                <w:lang w:eastAsia="zh-CN"/>
              </w:rPr>
              <w:t>否则由评标小组作否决报价处理。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8" w:type="dxa"/>
            <w:vMerge w:val="continue"/>
            <w:tcBorders>
              <w:left w:val="single" w:color="000000" w:sz="8" w:space="0"/>
              <w:bottom w:val="single" w:color="000000" w:sz="4" w:space="0"/>
              <w:right w:val="single" w:color="000000" w:sz="4" w:space="0"/>
            </w:tcBorders>
            <w:vAlign w:val="center"/>
          </w:tcPr>
          <w:p>
            <w:pPr>
              <w:widowControl/>
              <w:rPr>
                <w:szCs w:val="21"/>
                <w:lang w:eastAsia="zh-CN"/>
              </w:rPr>
            </w:pPr>
          </w:p>
        </w:tc>
        <w:tc>
          <w:tcPr>
            <w:tcW w:w="7147" w:type="dxa"/>
            <w:tcBorders>
              <w:top w:val="single" w:color="000000" w:sz="4" w:space="0"/>
              <w:left w:val="single" w:color="000000" w:sz="4" w:space="0"/>
              <w:bottom w:val="single" w:color="000000" w:sz="4" w:space="0"/>
              <w:right w:val="single" w:color="000000" w:sz="8" w:space="0"/>
            </w:tcBorders>
          </w:tcPr>
          <w:p>
            <w:pPr>
              <w:spacing w:line="400" w:lineRule="exact"/>
              <w:ind w:firstLine="440" w:firstLineChars="200"/>
              <w:rPr>
                <w:szCs w:val="21"/>
                <w:lang w:eastAsia="zh-CN"/>
              </w:rPr>
            </w:pPr>
            <w:r>
              <w:rPr>
                <w:rFonts w:hint="eastAsia"/>
                <w:szCs w:val="21"/>
                <w:lang w:eastAsia="zh-CN"/>
              </w:rPr>
              <w:t>A-12报价人有以下情形之一的，其报价文件由评标小组作否决报价处理：</w:t>
            </w:r>
          </w:p>
          <w:p>
            <w:pPr>
              <w:spacing w:line="400" w:lineRule="exact"/>
              <w:ind w:firstLine="440" w:firstLineChars="200"/>
              <w:rPr>
                <w:szCs w:val="21"/>
                <w:lang w:eastAsia="zh-CN"/>
              </w:rPr>
            </w:pPr>
            <w:r>
              <w:rPr>
                <w:rFonts w:hint="eastAsia"/>
                <w:szCs w:val="21"/>
                <w:lang w:eastAsia="zh-CN"/>
              </w:rPr>
              <w:t>1.询价公告3.</w:t>
            </w:r>
            <w:r>
              <w:rPr>
                <w:rFonts w:hint="eastAsia"/>
                <w:szCs w:val="21"/>
                <w:lang w:val="en-US" w:eastAsia="zh-CN"/>
              </w:rPr>
              <w:t>3</w:t>
            </w:r>
            <w:r>
              <w:rPr>
                <w:rFonts w:hint="eastAsia"/>
                <w:szCs w:val="21"/>
                <w:lang w:eastAsia="zh-CN"/>
              </w:rPr>
              <w:t>项规定的任何一种情形的；</w:t>
            </w:r>
          </w:p>
          <w:p>
            <w:pPr>
              <w:spacing w:line="400" w:lineRule="exact"/>
              <w:ind w:firstLine="440" w:firstLineChars="200"/>
              <w:rPr>
                <w:szCs w:val="21"/>
                <w:lang w:eastAsia="zh-CN"/>
              </w:rPr>
            </w:pPr>
            <w:r>
              <w:rPr>
                <w:rFonts w:hint="eastAsia"/>
                <w:szCs w:val="21"/>
                <w:lang w:eastAsia="zh-CN"/>
              </w:rPr>
              <w:t>2.本次报价有串通报价、弄虚作假等违反招报价相关法律、法规的行为的；</w:t>
            </w:r>
          </w:p>
          <w:p>
            <w:pPr>
              <w:spacing w:line="400" w:lineRule="exact"/>
              <w:ind w:firstLine="440" w:firstLineChars="200"/>
              <w:rPr>
                <w:szCs w:val="21"/>
                <w:lang w:eastAsia="zh-CN"/>
              </w:rPr>
            </w:pPr>
            <w:r>
              <w:rPr>
                <w:rFonts w:hint="eastAsia"/>
                <w:szCs w:val="21"/>
                <w:lang w:eastAsia="zh-CN"/>
              </w:rPr>
              <w:t>3.拒绝按评标小组要求澄清、说明或补正的。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8" w:type="dxa"/>
            <w:vMerge w:val="restart"/>
            <w:tcBorders>
              <w:top w:val="single" w:color="000000" w:sz="4" w:space="0"/>
              <w:left w:val="single" w:color="000000" w:sz="8" w:space="0"/>
              <w:bottom w:val="single" w:color="000000" w:sz="4" w:space="0"/>
              <w:right w:val="single" w:color="000000" w:sz="4" w:space="0"/>
            </w:tcBorders>
            <w:vAlign w:val="center"/>
          </w:tcPr>
          <w:p>
            <w:pPr>
              <w:spacing w:line="400" w:lineRule="exact"/>
              <w:jc w:val="center"/>
              <w:rPr>
                <w:szCs w:val="21"/>
                <w:lang w:eastAsia="zh-CN"/>
              </w:rPr>
            </w:pPr>
            <w:r>
              <w:rPr>
                <w:rFonts w:hint="eastAsia"/>
                <w:lang w:eastAsia="zh-CN"/>
              </w:rPr>
              <w:t>报价函及报价文件</w:t>
            </w:r>
            <w:r>
              <w:rPr>
                <w:rFonts w:hint="eastAsia"/>
                <w:szCs w:val="21"/>
                <w:lang w:eastAsia="zh-CN"/>
              </w:rPr>
              <w:t>评审</w:t>
            </w:r>
          </w:p>
        </w:tc>
        <w:tc>
          <w:tcPr>
            <w:tcW w:w="7147"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40" w:firstLineChars="200"/>
              <w:rPr>
                <w:szCs w:val="21"/>
              </w:rPr>
            </w:pPr>
            <w:r>
              <w:rPr>
                <w:rFonts w:hint="eastAsia"/>
                <w:szCs w:val="21"/>
                <w:lang w:eastAsia="zh-CN"/>
              </w:rPr>
              <w:t>A-13</w:t>
            </w:r>
            <w:r>
              <w:rPr>
                <w:rFonts w:hint="eastAsia"/>
                <w:lang w:eastAsia="zh-CN"/>
              </w:rPr>
              <w:t>报价函部分的格式要求法定代表人或其委托代理人签名（或盖章）的须齐全。要求签名的，签名采用手写签名或签章均可。要求加盖单位法人章的，应加盖报价人的单位法人章。</w:t>
            </w:r>
            <w:r>
              <w:rPr>
                <w:rFonts w:hint="eastAsia"/>
              </w:rPr>
              <w:t>否则由</w:t>
            </w:r>
            <w:r>
              <w:rPr>
                <w:rFonts w:hint="eastAsia"/>
                <w:lang w:eastAsia="zh-CN"/>
              </w:rPr>
              <w:t>评标小组</w:t>
            </w:r>
            <w:r>
              <w:rPr>
                <w:rFonts w:hint="eastAsia"/>
              </w:rPr>
              <w:t>作否决</w:t>
            </w:r>
            <w:r>
              <w:rPr>
                <w:rFonts w:hint="eastAsia"/>
                <w:lang w:eastAsia="zh-CN"/>
              </w:rPr>
              <w:t>报价</w:t>
            </w:r>
            <w:r>
              <w:rPr>
                <w:rFonts w:hint="eastAsia"/>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8" w:type="dxa"/>
            <w:vMerge w:val="continue"/>
            <w:tcBorders>
              <w:top w:val="single" w:color="000000" w:sz="4" w:space="0"/>
              <w:left w:val="single" w:color="000000" w:sz="8" w:space="0"/>
              <w:bottom w:val="single" w:color="000000" w:sz="4" w:space="0"/>
              <w:right w:val="single" w:color="000000" w:sz="4" w:space="0"/>
            </w:tcBorders>
            <w:vAlign w:val="center"/>
          </w:tcPr>
          <w:p>
            <w:pPr>
              <w:widowControl/>
              <w:rPr>
                <w:szCs w:val="21"/>
              </w:rPr>
            </w:pPr>
          </w:p>
        </w:tc>
        <w:tc>
          <w:tcPr>
            <w:tcW w:w="7147"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40" w:firstLineChars="200"/>
              <w:rPr>
                <w:szCs w:val="21"/>
                <w:lang w:eastAsia="zh-CN"/>
              </w:rPr>
            </w:pPr>
            <w:r>
              <w:rPr>
                <w:rFonts w:hint="eastAsia"/>
                <w:szCs w:val="21"/>
                <w:lang w:eastAsia="zh-CN"/>
              </w:rPr>
              <w:t>A-14</w:t>
            </w:r>
            <w:r>
              <w:rPr>
                <w:rFonts w:hint="eastAsia"/>
                <w:lang w:eastAsia="zh-CN"/>
              </w:rPr>
              <w:t>交货地点符合“询价公告”第</w:t>
            </w:r>
            <w:r>
              <w:rPr>
                <w:rFonts w:hint="eastAsia"/>
                <w:szCs w:val="21"/>
                <w:lang w:eastAsia="zh-CN"/>
              </w:rPr>
              <w:t>2.5</w:t>
            </w:r>
            <w:r>
              <w:rPr>
                <w:rFonts w:hint="eastAsia"/>
                <w:lang w:eastAsia="zh-CN"/>
              </w:rPr>
              <w:t>项规定</w:t>
            </w:r>
            <w:r>
              <w:rPr>
                <w:rFonts w:hint="eastAsia"/>
                <w:szCs w:val="21"/>
                <w:lang w:eastAsia="zh-CN"/>
              </w:rPr>
              <w:t>，否则由评标小组作否决报价处理。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8" w:type="dxa"/>
            <w:vMerge w:val="continue"/>
            <w:tcBorders>
              <w:top w:val="single" w:color="000000" w:sz="4" w:space="0"/>
              <w:left w:val="single" w:color="000000" w:sz="8" w:space="0"/>
              <w:bottom w:val="single" w:color="000000" w:sz="4" w:space="0"/>
              <w:right w:val="single" w:color="000000" w:sz="4" w:space="0"/>
            </w:tcBorders>
            <w:vAlign w:val="center"/>
          </w:tcPr>
          <w:p>
            <w:pPr>
              <w:widowControl/>
              <w:rPr>
                <w:szCs w:val="21"/>
                <w:lang w:eastAsia="zh-CN"/>
              </w:rPr>
            </w:pPr>
          </w:p>
        </w:tc>
        <w:tc>
          <w:tcPr>
            <w:tcW w:w="7147"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40" w:firstLineChars="200"/>
              <w:rPr>
                <w:szCs w:val="21"/>
                <w:lang w:eastAsia="zh-CN"/>
              </w:rPr>
            </w:pPr>
            <w:r>
              <w:rPr>
                <w:rFonts w:hint="eastAsia"/>
                <w:szCs w:val="21"/>
                <w:lang w:eastAsia="zh-CN"/>
              </w:rPr>
              <w:t>A-15交货期符合</w:t>
            </w:r>
            <w:r>
              <w:rPr>
                <w:rFonts w:hint="eastAsia"/>
                <w:lang w:eastAsia="zh-CN"/>
              </w:rPr>
              <w:t>“询价公告”第</w:t>
            </w:r>
            <w:r>
              <w:rPr>
                <w:rFonts w:hint="eastAsia"/>
                <w:szCs w:val="21"/>
                <w:lang w:eastAsia="zh-CN"/>
              </w:rPr>
              <w:t>2.4</w:t>
            </w:r>
            <w:r>
              <w:rPr>
                <w:rFonts w:hint="eastAsia"/>
                <w:lang w:eastAsia="zh-CN"/>
              </w:rPr>
              <w:t>项规定</w:t>
            </w:r>
            <w:r>
              <w:rPr>
                <w:rFonts w:hint="eastAsia"/>
                <w:szCs w:val="21"/>
                <w:lang w:eastAsia="zh-CN"/>
              </w:rPr>
              <w:t>，否则由评标小组作否决报价处理。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8" w:type="dxa"/>
            <w:vMerge w:val="continue"/>
            <w:tcBorders>
              <w:top w:val="single" w:color="000000" w:sz="4" w:space="0"/>
              <w:left w:val="single" w:color="000000" w:sz="8" w:space="0"/>
              <w:bottom w:val="single" w:color="000000" w:sz="4" w:space="0"/>
              <w:right w:val="single" w:color="000000" w:sz="4" w:space="0"/>
            </w:tcBorders>
            <w:vAlign w:val="center"/>
          </w:tcPr>
          <w:p>
            <w:pPr>
              <w:widowControl/>
              <w:rPr>
                <w:szCs w:val="21"/>
                <w:lang w:eastAsia="zh-CN"/>
              </w:rPr>
            </w:pPr>
          </w:p>
        </w:tc>
        <w:tc>
          <w:tcPr>
            <w:tcW w:w="7147"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40" w:firstLineChars="200"/>
              <w:rPr>
                <w:szCs w:val="21"/>
                <w:lang w:eastAsia="zh-CN"/>
              </w:rPr>
            </w:pPr>
            <w:r>
              <w:rPr>
                <w:rFonts w:hint="eastAsia"/>
                <w:szCs w:val="21"/>
                <w:lang w:eastAsia="zh-CN"/>
              </w:rPr>
              <w:t>A-16报价有效期符合</w:t>
            </w:r>
            <w:r>
              <w:rPr>
                <w:rFonts w:hint="eastAsia"/>
                <w:lang w:eastAsia="zh-CN"/>
              </w:rPr>
              <w:t>“询价公告”第</w:t>
            </w:r>
            <w:r>
              <w:rPr>
                <w:rFonts w:hint="eastAsia"/>
                <w:szCs w:val="21"/>
                <w:lang w:eastAsia="zh-CN"/>
              </w:rPr>
              <w:t>4.2</w:t>
            </w:r>
            <w:r>
              <w:rPr>
                <w:rFonts w:hint="eastAsia"/>
                <w:lang w:eastAsia="zh-CN"/>
              </w:rPr>
              <w:t>项规定</w:t>
            </w:r>
            <w:r>
              <w:rPr>
                <w:rFonts w:hint="eastAsia"/>
                <w:szCs w:val="21"/>
                <w:lang w:eastAsia="zh-CN"/>
              </w:rPr>
              <w:t>，否则由评标小组作否决报价处理。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8" w:type="dxa"/>
            <w:vMerge w:val="continue"/>
            <w:tcBorders>
              <w:top w:val="single" w:color="000000" w:sz="4" w:space="0"/>
              <w:left w:val="single" w:color="000000" w:sz="8" w:space="0"/>
              <w:bottom w:val="single" w:color="000000" w:sz="4" w:space="0"/>
              <w:right w:val="single" w:color="000000" w:sz="4" w:space="0"/>
            </w:tcBorders>
            <w:vAlign w:val="center"/>
          </w:tcPr>
          <w:p>
            <w:pPr>
              <w:widowControl/>
              <w:rPr>
                <w:szCs w:val="21"/>
                <w:lang w:eastAsia="zh-CN"/>
              </w:rPr>
            </w:pPr>
          </w:p>
        </w:tc>
        <w:tc>
          <w:tcPr>
            <w:tcW w:w="7147"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40" w:firstLineChars="200"/>
              <w:rPr>
                <w:szCs w:val="21"/>
                <w:lang w:eastAsia="zh-CN"/>
              </w:rPr>
            </w:pPr>
            <w:r>
              <w:rPr>
                <w:rFonts w:hint="eastAsia"/>
                <w:szCs w:val="21"/>
                <w:lang w:eastAsia="zh-CN"/>
              </w:rPr>
              <w:t>A-17符合符合</w:t>
            </w:r>
            <w:r>
              <w:rPr>
                <w:rFonts w:hint="eastAsia"/>
                <w:lang w:eastAsia="zh-CN"/>
              </w:rPr>
              <w:t>“询价公告”第</w:t>
            </w:r>
            <w:r>
              <w:rPr>
                <w:rFonts w:hint="eastAsia"/>
                <w:szCs w:val="21"/>
                <w:lang w:eastAsia="zh-CN"/>
              </w:rPr>
              <w:t>2.2</w:t>
            </w:r>
            <w:r>
              <w:rPr>
                <w:rFonts w:hint="eastAsia"/>
                <w:lang w:eastAsia="zh-CN"/>
              </w:rPr>
              <w:t>项规定</w:t>
            </w:r>
            <w:r>
              <w:rPr>
                <w:rFonts w:hint="eastAsia"/>
                <w:szCs w:val="21"/>
                <w:lang w:eastAsia="zh-CN"/>
              </w:rPr>
              <w:t>，报价人的报价报价不得超过最高限价，否则由评标小组作否决报价处理。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8" w:type="dxa"/>
            <w:vMerge w:val="continue"/>
            <w:tcBorders>
              <w:top w:val="single" w:color="000000" w:sz="4" w:space="0"/>
              <w:left w:val="single" w:color="000000" w:sz="8" w:space="0"/>
              <w:bottom w:val="single" w:color="000000" w:sz="4" w:space="0"/>
              <w:right w:val="single" w:color="000000" w:sz="4" w:space="0"/>
            </w:tcBorders>
            <w:vAlign w:val="center"/>
          </w:tcPr>
          <w:p>
            <w:pPr>
              <w:widowControl/>
              <w:rPr>
                <w:szCs w:val="21"/>
                <w:lang w:eastAsia="zh-CN"/>
              </w:rPr>
            </w:pPr>
          </w:p>
        </w:tc>
        <w:tc>
          <w:tcPr>
            <w:tcW w:w="7147"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40" w:firstLineChars="200"/>
              <w:rPr>
                <w:szCs w:val="21"/>
                <w:lang w:eastAsia="zh-CN"/>
              </w:rPr>
            </w:pPr>
            <w:r>
              <w:rPr>
                <w:rFonts w:hint="eastAsia"/>
                <w:szCs w:val="21"/>
                <w:lang w:eastAsia="zh-CN"/>
              </w:rPr>
              <w:t>A-18只能有一个有效报价。在询价文件没有规定的情况下，不得提交选择性报价，否则由评标小组作否决报价处理。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8" w:type="dxa"/>
            <w:vMerge w:val="continue"/>
            <w:tcBorders>
              <w:top w:val="single" w:color="000000" w:sz="4" w:space="0"/>
              <w:left w:val="single" w:color="000000" w:sz="8" w:space="0"/>
              <w:bottom w:val="single" w:color="000000" w:sz="4" w:space="0"/>
              <w:right w:val="single" w:color="000000" w:sz="4" w:space="0"/>
            </w:tcBorders>
            <w:vAlign w:val="center"/>
          </w:tcPr>
          <w:p>
            <w:pPr>
              <w:widowControl/>
              <w:rPr>
                <w:szCs w:val="21"/>
                <w:lang w:eastAsia="zh-CN"/>
              </w:rPr>
            </w:pPr>
          </w:p>
        </w:tc>
        <w:tc>
          <w:tcPr>
            <w:tcW w:w="7147"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40" w:firstLineChars="200"/>
              <w:rPr>
                <w:szCs w:val="21"/>
                <w:lang w:eastAsia="zh-CN"/>
              </w:rPr>
            </w:pPr>
            <w:r>
              <w:rPr>
                <w:rFonts w:hint="eastAsia"/>
                <w:szCs w:val="21"/>
                <w:lang w:eastAsia="zh-CN"/>
              </w:rPr>
              <w:t>A-19报价有算术错误的，由评标小组作否决报价处理。</w:t>
            </w:r>
          </w:p>
        </w:tc>
      </w:tr>
    </w:tbl>
    <w:p>
      <w:pPr>
        <w:pStyle w:val="2"/>
        <w:rPr>
          <w:lang w:eastAsia="zh-CN"/>
        </w:rPr>
      </w:pPr>
    </w:p>
    <w:p>
      <w:pPr>
        <w:jc w:val="both"/>
        <w:rPr>
          <w:rFonts w:ascii="Times New Roman" w:hAnsi="Times New Roman" w:cs="Times New Roman" w:eastAsiaTheme="minorEastAsia"/>
          <w:b/>
          <w:bCs/>
          <w:sz w:val="44"/>
          <w:szCs w:val="44"/>
          <w:lang w:val="zh-CN" w:eastAsia="zh-CN"/>
        </w:rPr>
      </w:pPr>
      <w:r>
        <w:rPr>
          <w:lang w:eastAsia="zh-CN"/>
        </w:rPr>
        <w:br w:type="page"/>
      </w:r>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eastAsia="zh-CN"/>
        </w:rPr>
      </w:pPr>
      <w:bookmarkStart w:id="50" w:name="_Toc29194791"/>
      <w:bookmarkEnd w:id="50"/>
      <w:bookmarkStart w:id="51" w:name="_Toc52097542"/>
      <w:bookmarkEnd w:id="51"/>
      <w:bookmarkStart w:id="52" w:name="_Toc7245"/>
      <w:bookmarkStart w:id="53" w:name="_Toc12204"/>
      <w:bookmarkStart w:id="54" w:name="_Toc8414"/>
      <w:bookmarkStart w:id="55" w:name="_Toc15704"/>
      <w:r>
        <w:rPr>
          <w:rFonts w:ascii="Times New Roman" w:hAnsi="Times New Roman" w:eastAsia="方正小标宋_GBK" w:cs="Times New Roman"/>
          <w:bCs/>
          <w:sz w:val="44"/>
          <w:szCs w:val="44"/>
          <w:lang w:val="zh-CN" w:eastAsia="zh-CN"/>
        </w:rPr>
        <w:t>第三章 合同条款</w:t>
      </w:r>
      <w:r>
        <w:rPr>
          <w:rFonts w:hint="eastAsia" w:ascii="Times New Roman" w:hAnsi="Times New Roman" w:eastAsia="方正小标宋_GBK" w:cs="Times New Roman"/>
          <w:bCs/>
          <w:sz w:val="44"/>
          <w:szCs w:val="44"/>
          <w:lang w:eastAsia="zh-CN"/>
        </w:rPr>
        <w:t>及格式</w:t>
      </w:r>
      <w:bookmarkEnd w:id="52"/>
      <w:bookmarkEnd w:id="53"/>
      <w:bookmarkEnd w:id="54"/>
      <w:bookmarkEnd w:id="55"/>
    </w:p>
    <w:p>
      <w:pPr>
        <w:spacing w:line="510" w:lineRule="exact"/>
        <w:rPr>
          <w:rFonts w:ascii="Times New Roman" w:hAnsi="Times New Roman" w:eastAsia="黑体" w:cs="Times New Roman"/>
          <w:sz w:val="32"/>
          <w:szCs w:val="32"/>
          <w:lang w:eastAsia="zh-CN"/>
        </w:rPr>
      </w:pPr>
    </w:p>
    <w:p>
      <w:pPr>
        <w:pStyle w:val="173"/>
        <w:keepNext/>
        <w:keepLines/>
        <w:shd w:val="clear" w:color="auto" w:fill="auto"/>
        <w:spacing w:before="0" w:after="582" w:line="320" w:lineRule="exact"/>
        <w:ind w:right="40"/>
        <w:jc w:val="center"/>
      </w:pPr>
      <w:bookmarkStart w:id="56" w:name="_Toc340"/>
      <w:bookmarkStart w:id="57" w:name="_Toc113559469"/>
      <w:bookmarkStart w:id="58" w:name="_Toc22032757"/>
      <w:bookmarkStart w:id="59" w:name="_Toc26869"/>
      <w:bookmarkStart w:id="60" w:name="_Toc5459"/>
      <w:bookmarkStart w:id="61" w:name="_Toc19342"/>
      <w:r>
        <w:t>第一节</w:t>
      </w:r>
      <w:r>
        <w:rPr>
          <w:rFonts w:hint="eastAsia"/>
        </w:rPr>
        <w:t xml:space="preserve"> </w:t>
      </w:r>
      <w:r>
        <w:t>通用合同条款</w:t>
      </w:r>
      <w:bookmarkEnd w:id="56"/>
      <w:bookmarkEnd w:id="57"/>
      <w:bookmarkEnd w:id="58"/>
      <w:bookmarkEnd w:id="59"/>
      <w:bookmarkEnd w:id="60"/>
      <w:bookmarkEnd w:id="61"/>
    </w:p>
    <w:p>
      <w:pPr>
        <w:pStyle w:val="173"/>
        <w:keepNext/>
        <w:keepLines/>
        <w:adjustRightInd w:val="0"/>
        <w:snapToGrid w:val="0"/>
        <w:spacing w:before="0" w:after="0" w:line="440" w:lineRule="exact"/>
        <w:outlineLvl w:val="2"/>
        <w:rPr>
          <w:sz w:val="21"/>
          <w:szCs w:val="21"/>
        </w:rPr>
      </w:pPr>
      <w:bookmarkStart w:id="62" w:name="_Toc102983269"/>
      <w:bookmarkStart w:id="63" w:name="_Toc8"/>
      <w:bookmarkStart w:id="64" w:name="_Toc9024"/>
      <w:bookmarkStart w:id="65" w:name="_Toc29381"/>
      <w:bookmarkStart w:id="66" w:name="_Toc113559470"/>
      <w:bookmarkStart w:id="67" w:name="_Toc22032758"/>
      <w:bookmarkStart w:id="68" w:name="_Toc4805"/>
      <w:r>
        <w:rPr>
          <w:rFonts w:hint="eastAsia"/>
          <w:sz w:val="21"/>
          <w:szCs w:val="21"/>
        </w:rPr>
        <w:t>1.一般约定</w:t>
      </w:r>
      <w:bookmarkEnd w:id="62"/>
      <w:bookmarkEnd w:id="63"/>
      <w:bookmarkEnd w:id="64"/>
      <w:bookmarkEnd w:id="65"/>
      <w:bookmarkEnd w:id="66"/>
      <w:bookmarkEnd w:id="67"/>
      <w:bookmarkEnd w:id="68"/>
    </w:p>
    <w:p>
      <w:pPr>
        <w:adjustRightInd w:val="0"/>
        <w:snapToGrid w:val="0"/>
        <w:spacing w:line="440" w:lineRule="exact"/>
        <w:outlineLvl w:val="3"/>
        <w:rPr>
          <w:szCs w:val="21"/>
          <w:lang w:eastAsia="zh-CN"/>
        </w:rPr>
      </w:pPr>
      <w:r>
        <w:rPr>
          <w:rFonts w:hint="eastAsia"/>
          <w:szCs w:val="21"/>
          <w:lang w:eastAsia="zh-CN"/>
        </w:rPr>
        <w:t>1.1词语定义</w:t>
      </w:r>
    </w:p>
    <w:p>
      <w:pPr>
        <w:adjustRightInd w:val="0"/>
        <w:snapToGrid w:val="0"/>
        <w:spacing w:line="440" w:lineRule="exact"/>
        <w:ind w:firstLine="440" w:firstLineChars="200"/>
        <w:rPr>
          <w:szCs w:val="21"/>
          <w:lang w:eastAsia="zh-CN"/>
        </w:rPr>
      </w:pPr>
      <w:r>
        <w:rPr>
          <w:rFonts w:hint="eastAsia"/>
          <w:szCs w:val="21"/>
          <w:lang w:eastAsia="zh-CN"/>
        </w:rPr>
        <w:t>除专用合同条款另有约定外，合同中的下列词语应具有本款所赋予的含义。</w:t>
      </w:r>
    </w:p>
    <w:p>
      <w:pPr>
        <w:adjustRightInd w:val="0"/>
        <w:snapToGrid w:val="0"/>
        <w:spacing w:line="440" w:lineRule="exact"/>
        <w:ind w:firstLine="440" w:firstLineChars="200"/>
        <w:outlineLvl w:val="4"/>
        <w:rPr>
          <w:szCs w:val="21"/>
          <w:lang w:eastAsia="zh-CN"/>
        </w:rPr>
      </w:pPr>
      <w:r>
        <w:rPr>
          <w:rFonts w:hint="eastAsia"/>
          <w:szCs w:val="21"/>
          <w:lang w:eastAsia="zh-CN"/>
        </w:rPr>
        <w:t>1.1.1合同</w:t>
      </w:r>
    </w:p>
    <w:p>
      <w:pPr>
        <w:adjustRightInd w:val="0"/>
        <w:snapToGrid w:val="0"/>
        <w:spacing w:line="440" w:lineRule="exact"/>
        <w:ind w:firstLine="440" w:firstLineChars="200"/>
        <w:rPr>
          <w:szCs w:val="21"/>
          <w:lang w:eastAsia="zh-CN"/>
        </w:rPr>
      </w:pPr>
      <w:r>
        <w:rPr>
          <w:rFonts w:hint="eastAsia"/>
          <w:szCs w:val="21"/>
          <w:lang w:eastAsia="zh-CN"/>
        </w:rPr>
        <w:t>1.1.1.1合同文件（或称合同）：指合同协议书、中标通知书、报价函、商务和技术偏差表、专用合同条款、通用合同条款、供货要求、分项报价表、中标设备技术性能指标的详细描述、技术服务和质保期服务计划，以及其他构成合同组成部分的文件。</w:t>
      </w:r>
    </w:p>
    <w:p>
      <w:pPr>
        <w:adjustRightInd w:val="0"/>
        <w:snapToGrid w:val="0"/>
        <w:spacing w:line="440" w:lineRule="exact"/>
        <w:ind w:firstLine="440" w:firstLineChars="200"/>
        <w:rPr>
          <w:szCs w:val="21"/>
          <w:lang w:eastAsia="zh-CN"/>
        </w:rPr>
      </w:pPr>
      <w:r>
        <w:rPr>
          <w:rFonts w:hint="eastAsia"/>
          <w:szCs w:val="21"/>
          <w:lang w:eastAsia="zh-CN"/>
        </w:rPr>
        <w:t>1.1.1.2合同协议书：指买方和卖方共同签署的合同协议书。</w:t>
      </w:r>
    </w:p>
    <w:p>
      <w:pPr>
        <w:adjustRightInd w:val="0"/>
        <w:snapToGrid w:val="0"/>
        <w:spacing w:line="440" w:lineRule="exact"/>
        <w:ind w:firstLine="440" w:firstLineChars="200"/>
        <w:rPr>
          <w:szCs w:val="21"/>
          <w:lang w:eastAsia="zh-CN"/>
        </w:rPr>
      </w:pPr>
      <w:r>
        <w:rPr>
          <w:rFonts w:hint="eastAsia"/>
          <w:szCs w:val="21"/>
          <w:lang w:eastAsia="zh-CN"/>
        </w:rPr>
        <w:t>1.1.1.3中标通知书：指招标人通知卖方中标的函件。</w:t>
      </w:r>
    </w:p>
    <w:p>
      <w:pPr>
        <w:adjustRightInd w:val="0"/>
        <w:snapToGrid w:val="0"/>
        <w:spacing w:line="440" w:lineRule="exact"/>
        <w:ind w:firstLine="440" w:firstLineChars="200"/>
        <w:rPr>
          <w:szCs w:val="21"/>
          <w:lang w:eastAsia="zh-CN"/>
        </w:rPr>
      </w:pPr>
      <w:r>
        <w:rPr>
          <w:rFonts w:hint="eastAsia"/>
          <w:szCs w:val="21"/>
          <w:lang w:eastAsia="zh-CN"/>
        </w:rPr>
        <w:t>1.1.1.4报价函：指由卖方填写并签署的，名为“报价函”的函件。</w:t>
      </w:r>
    </w:p>
    <w:p>
      <w:pPr>
        <w:adjustRightInd w:val="0"/>
        <w:snapToGrid w:val="0"/>
        <w:spacing w:line="440" w:lineRule="exact"/>
        <w:ind w:firstLine="440" w:firstLineChars="200"/>
        <w:rPr>
          <w:szCs w:val="21"/>
          <w:lang w:eastAsia="zh-CN"/>
        </w:rPr>
      </w:pPr>
      <w:r>
        <w:rPr>
          <w:rFonts w:hint="eastAsia"/>
          <w:szCs w:val="21"/>
          <w:lang w:eastAsia="zh-CN"/>
        </w:rPr>
        <w:t>1.1.1.5商务和技术偏差表：指卖方报价文件中的商务和技术偏差表。</w:t>
      </w:r>
    </w:p>
    <w:p>
      <w:pPr>
        <w:adjustRightInd w:val="0"/>
        <w:snapToGrid w:val="0"/>
        <w:spacing w:line="440" w:lineRule="exact"/>
        <w:ind w:firstLine="440" w:firstLineChars="200"/>
        <w:rPr>
          <w:szCs w:val="21"/>
          <w:lang w:eastAsia="zh-CN"/>
        </w:rPr>
      </w:pPr>
      <w:r>
        <w:rPr>
          <w:rFonts w:hint="eastAsia"/>
          <w:szCs w:val="21"/>
          <w:lang w:eastAsia="zh-CN"/>
        </w:rPr>
        <w:t>1.1.1.6供货要求：指合同文件中名为“供货要求”的文件。</w:t>
      </w:r>
    </w:p>
    <w:p>
      <w:pPr>
        <w:adjustRightInd w:val="0"/>
        <w:snapToGrid w:val="0"/>
        <w:spacing w:line="440" w:lineRule="exact"/>
        <w:ind w:firstLine="440" w:firstLineChars="200"/>
        <w:rPr>
          <w:szCs w:val="21"/>
          <w:lang w:eastAsia="zh-CN"/>
        </w:rPr>
      </w:pPr>
      <w:r>
        <w:rPr>
          <w:rFonts w:hint="eastAsia"/>
          <w:szCs w:val="21"/>
          <w:lang w:eastAsia="zh-CN"/>
        </w:rPr>
        <w:t>1.1.1.7中标设备技术性能指标的详细描述：指卖方报价文件中的报价设备技术性能指标的详细描述。</w:t>
      </w:r>
    </w:p>
    <w:p>
      <w:pPr>
        <w:adjustRightInd w:val="0"/>
        <w:snapToGrid w:val="0"/>
        <w:spacing w:line="440" w:lineRule="exact"/>
        <w:ind w:left="440" w:leftChars="200"/>
        <w:rPr>
          <w:rFonts w:hint="eastAsia"/>
          <w:szCs w:val="21"/>
          <w:lang w:eastAsia="zh-CN"/>
        </w:rPr>
      </w:pPr>
      <w:r>
        <w:rPr>
          <w:rFonts w:hint="eastAsia"/>
          <w:szCs w:val="21"/>
          <w:lang w:eastAsia="zh-CN"/>
        </w:rPr>
        <w:t>1.1.1.8技术服务和质保期服务计划：指卖方报价文件中的技术服务和质保期服务计划。</w:t>
      </w:r>
    </w:p>
    <w:p>
      <w:pPr>
        <w:adjustRightInd w:val="0"/>
        <w:snapToGrid w:val="0"/>
        <w:spacing w:line="440" w:lineRule="exact"/>
        <w:ind w:left="440" w:leftChars="200"/>
        <w:rPr>
          <w:szCs w:val="21"/>
          <w:lang w:eastAsia="zh-CN"/>
        </w:rPr>
      </w:pPr>
      <w:r>
        <w:rPr>
          <w:rFonts w:hint="eastAsia"/>
          <w:szCs w:val="21"/>
          <w:lang w:eastAsia="zh-CN"/>
        </w:rPr>
        <w:t>1.1.1.9分项报价表：指卖方报价文件中的分项报价表。</w:t>
      </w:r>
    </w:p>
    <w:p>
      <w:pPr>
        <w:adjustRightInd w:val="0"/>
        <w:snapToGrid w:val="0"/>
        <w:spacing w:line="440" w:lineRule="exact"/>
        <w:ind w:firstLine="440" w:firstLineChars="200"/>
        <w:rPr>
          <w:szCs w:val="21"/>
          <w:lang w:eastAsia="zh-CN"/>
        </w:rPr>
      </w:pPr>
      <w:r>
        <w:rPr>
          <w:rFonts w:hint="eastAsia"/>
          <w:szCs w:val="21"/>
          <w:lang w:eastAsia="zh-CN"/>
        </w:rPr>
        <w:t>1.1.1.10其他合同文件：指经合同双方当事人确认构成合同文件的其他文件。</w:t>
      </w:r>
    </w:p>
    <w:p>
      <w:pPr>
        <w:adjustRightInd w:val="0"/>
        <w:snapToGrid w:val="0"/>
        <w:spacing w:line="440" w:lineRule="exact"/>
        <w:ind w:firstLine="440" w:firstLineChars="200"/>
        <w:outlineLvl w:val="4"/>
        <w:rPr>
          <w:szCs w:val="21"/>
          <w:lang w:eastAsia="zh-CN"/>
        </w:rPr>
      </w:pPr>
      <w:r>
        <w:rPr>
          <w:rFonts w:hint="eastAsia"/>
          <w:szCs w:val="21"/>
          <w:lang w:eastAsia="zh-CN"/>
        </w:rPr>
        <w:t>1.1.2合同当事人</w:t>
      </w:r>
    </w:p>
    <w:p>
      <w:pPr>
        <w:adjustRightInd w:val="0"/>
        <w:snapToGrid w:val="0"/>
        <w:spacing w:line="440" w:lineRule="exact"/>
        <w:ind w:firstLine="440" w:firstLineChars="200"/>
        <w:rPr>
          <w:szCs w:val="21"/>
          <w:lang w:eastAsia="zh-CN"/>
        </w:rPr>
      </w:pPr>
      <w:r>
        <w:rPr>
          <w:rFonts w:hint="eastAsia"/>
          <w:szCs w:val="21"/>
          <w:lang w:eastAsia="zh-CN"/>
        </w:rPr>
        <w:t>1.1.2.1合同当事人：指买方和（或）卖方。</w:t>
      </w:r>
    </w:p>
    <w:p>
      <w:pPr>
        <w:adjustRightInd w:val="0"/>
        <w:snapToGrid w:val="0"/>
        <w:spacing w:line="440" w:lineRule="exact"/>
        <w:ind w:firstLine="440" w:firstLineChars="200"/>
        <w:rPr>
          <w:szCs w:val="21"/>
          <w:lang w:eastAsia="zh-CN"/>
        </w:rPr>
      </w:pPr>
      <w:r>
        <w:rPr>
          <w:rFonts w:hint="eastAsia"/>
          <w:szCs w:val="21"/>
          <w:lang w:eastAsia="zh-CN"/>
        </w:rPr>
        <w:t>1.1.2.2买方：指与卖方签订合同协议书，购买合同设备和技术服务和质保期服务的当事人，</w:t>
      </w:r>
    </w:p>
    <w:p>
      <w:pPr>
        <w:adjustRightInd w:val="0"/>
        <w:snapToGrid w:val="0"/>
        <w:spacing w:line="440" w:lineRule="exact"/>
        <w:ind w:firstLine="440" w:firstLineChars="200"/>
        <w:rPr>
          <w:szCs w:val="21"/>
          <w:lang w:eastAsia="zh-CN"/>
        </w:rPr>
      </w:pPr>
      <w:r>
        <w:rPr>
          <w:rFonts w:hint="eastAsia"/>
          <w:szCs w:val="21"/>
          <w:lang w:eastAsia="zh-CN"/>
        </w:rPr>
        <w:t>及其合法继承人。</w:t>
      </w:r>
    </w:p>
    <w:p>
      <w:pPr>
        <w:adjustRightInd w:val="0"/>
        <w:snapToGrid w:val="0"/>
        <w:spacing w:line="440" w:lineRule="exact"/>
        <w:ind w:firstLine="440" w:firstLineChars="200"/>
        <w:rPr>
          <w:szCs w:val="21"/>
          <w:lang w:eastAsia="zh-CN"/>
        </w:rPr>
      </w:pPr>
      <w:r>
        <w:rPr>
          <w:rFonts w:hint="eastAsia"/>
          <w:szCs w:val="21"/>
          <w:lang w:eastAsia="zh-CN"/>
        </w:rPr>
        <w:t>1.1.2.3卖方：指与买方签订合同协议书，提供合同设备和技术服务和质保期服务的当事人，</w:t>
      </w:r>
    </w:p>
    <w:p>
      <w:pPr>
        <w:adjustRightInd w:val="0"/>
        <w:snapToGrid w:val="0"/>
        <w:spacing w:line="440" w:lineRule="exact"/>
        <w:ind w:firstLine="440" w:firstLineChars="200"/>
        <w:rPr>
          <w:szCs w:val="21"/>
          <w:lang w:eastAsia="zh-CN"/>
        </w:rPr>
      </w:pPr>
      <w:r>
        <w:rPr>
          <w:rFonts w:hint="eastAsia"/>
          <w:szCs w:val="21"/>
          <w:lang w:eastAsia="zh-CN"/>
        </w:rPr>
        <w:t>及其合法继承人。</w:t>
      </w:r>
    </w:p>
    <w:p>
      <w:pPr>
        <w:adjustRightInd w:val="0"/>
        <w:snapToGrid w:val="0"/>
        <w:spacing w:line="440" w:lineRule="exact"/>
        <w:ind w:firstLine="440" w:firstLineChars="200"/>
        <w:outlineLvl w:val="4"/>
        <w:rPr>
          <w:szCs w:val="21"/>
          <w:lang w:eastAsia="zh-CN"/>
        </w:rPr>
      </w:pPr>
      <w:r>
        <w:rPr>
          <w:rFonts w:hint="eastAsia"/>
          <w:szCs w:val="21"/>
          <w:lang w:eastAsia="zh-CN"/>
        </w:rPr>
        <w:t>1.1.3合同价格</w:t>
      </w:r>
    </w:p>
    <w:p>
      <w:pPr>
        <w:adjustRightInd w:val="0"/>
        <w:snapToGrid w:val="0"/>
        <w:spacing w:line="440" w:lineRule="exact"/>
        <w:ind w:firstLine="440" w:firstLineChars="200"/>
        <w:rPr>
          <w:szCs w:val="21"/>
          <w:lang w:eastAsia="zh-CN"/>
        </w:rPr>
      </w:pPr>
      <w:r>
        <w:rPr>
          <w:rFonts w:hint="eastAsia"/>
          <w:szCs w:val="21"/>
          <w:lang w:eastAsia="zh-CN"/>
        </w:rPr>
        <w:t>1.1.3.1签约合同价：是签订合同时合同协议书中写明的合同总金额。</w:t>
      </w:r>
    </w:p>
    <w:p>
      <w:pPr>
        <w:adjustRightInd w:val="0"/>
        <w:snapToGrid w:val="0"/>
        <w:spacing w:line="440" w:lineRule="exact"/>
        <w:ind w:left="440" w:leftChars="200"/>
        <w:rPr>
          <w:szCs w:val="21"/>
          <w:lang w:eastAsia="zh-CN"/>
        </w:rPr>
      </w:pPr>
      <w:r>
        <w:rPr>
          <w:rFonts w:hint="eastAsia"/>
          <w:szCs w:val="21"/>
          <w:lang w:eastAsia="zh-CN"/>
        </w:rPr>
        <w:t>1.1.3.2合同价格：指卖方按合同约定履行了全部合同义务后，买方应付给卖方的金额。</w:t>
      </w:r>
    </w:p>
    <w:p>
      <w:pPr>
        <w:adjustRightInd w:val="0"/>
        <w:snapToGrid w:val="0"/>
        <w:spacing w:line="440" w:lineRule="exact"/>
        <w:ind w:left="440" w:leftChars="200"/>
        <w:rPr>
          <w:szCs w:val="21"/>
          <w:lang w:eastAsia="zh-CN"/>
        </w:rPr>
      </w:pPr>
      <w:r>
        <w:rPr>
          <w:rFonts w:hint="eastAsia"/>
          <w:szCs w:val="21"/>
          <w:lang w:eastAsia="zh-CN"/>
        </w:rPr>
        <w:t>1.1.4合同设备：指卖方按合同约定应向买方提供的设备、装置、备品、备件、易损易耗件、配套使用的软件或其他辅助电子应用程序及技术资料，或其中任何一部分。</w:t>
      </w:r>
    </w:p>
    <w:p>
      <w:pPr>
        <w:adjustRightInd w:val="0"/>
        <w:snapToGrid w:val="0"/>
        <w:spacing w:line="440" w:lineRule="exact"/>
        <w:ind w:firstLine="440" w:firstLineChars="200"/>
        <w:rPr>
          <w:szCs w:val="21"/>
          <w:lang w:eastAsia="zh-CN"/>
        </w:rPr>
      </w:pPr>
      <w:r>
        <w:rPr>
          <w:rFonts w:hint="eastAsia"/>
          <w:szCs w:val="21"/>
          <w:lang w:eastAsia="zh-CN"/>
        </w:rPr>
        <w:t>1.1.5技术资料：指各种纸质及电子载体的与合同设备的设计、检验、安装、调试、考核、操作、维修以及保养等有关的技术指标、规格、图纸和说明文件。</w:t>
      </w:r>
    </w:p>
    <w:p>
      <w:pPr>
        <w:adjustRightInd w:val="0"/>
        <w:snapToGrid w:val="0"/>
        <w:spacing w:line="440" w:lineRule="exact"/>
        <w:ind w:firstLine="440" w:firstLineChars="200"/>
        <w:rPr>
          <w:szCs w:val="21"/>
          <w:lang w:eastAsia="zh-CN"/>
        </w:rPr>
      </w:pPr>
      <w:r>
        <w:rPr>
          <w:rFonts w:hint="eastAsia"/>
          <w:szCs w:val="21"/>
          <w:lang w:eastAsia="zh-CN"/>
        </w:rPr>
        <w:t>1.1.6安装：指对合同设备进行的组装、连接以及根据需要将合同设备固定在施工场地内一定的位置上，使其就位并与相关设备、工程实现连接。</w:t>
      </w:r>
    </w:p>
    <w:p>
      <w:pPr>
        <w:adjustRightInd w:val="0"/>
        <w:snapToGrid w:val="0"/>
        <w:spacing w:line="440" w:lineRule="exact"/>
        <w:ind w:firstLine="440" w:firstLineChars="200"/>
        <w:rPr>
          <w:szCs w:val="21"/>
          <w:lang w:eastAsia="zh-CN"/>
        </w:rPr>
      </w:pPr>
      <w:r>
        <w:rPr>
          <w:rFonts w:hint="eastAsia"/>
          <w:szCs w:val="21"/>
          <w:lang w:eastAsia="zh-CN"/>
        </w:rPr>
        <w:t>1.1.7调试：指在合同设备安装完成后，对合同设备所进行的调校和测试。</w:t>
      </w:r>
    </w:p>
    <w:p>
      <w:pPr>
        <w:adjustRightInd w:val="0"/>
        <w:snapToGrid w:val="0"/>
        <w:spacing w:line="440" w:lineRule="exact"/>
        <w:ind w:firstLine="440" w:firstLineChars="200"/>
        <w:rPr>
          <w:szCs w:val="21"/>
          <w:lang w:eastAsia="zh-CN"/>
        </w:rPr>
      </w:pPr>
      <w:r>
        <w:rPr>
          <w:rFonts w:hint="eastAsia"/>
          <w:szCs w:val="21"/>
          <w:lang w:eastAsia="zh-CN"/>
        </w:rPr>
        <w:t>1.1.8考核：指在合同设备调试完成后，对合同设备进行的用于确定其是否达到合同约定的技术性能考核指标的考核。</w:t>
      </w:r>
    </w:p>
    <w:p>
      <w:pPr>
        <w:adjustRightInd w:val="0"/>
        <w:snapToGrid w:val="0"/>
        <w:spacing w:line="440" w:lineRule="exact"/>
        <w:ind w:firstLine="440" w:firstLineChars="200"/>
        <w:rPr>
          <w:szCs w:val="21"/>
          <w:lang w:eastAsia="zh-CN"/>
        </w:rPr>
      </w:pPr>
      <w:r>
        <w:rPr>
          <w:rFonts w:hint="eastAsia"/>
          <w:szCs w:val="21"/>
          <w:lang w:eastAsia="zh-CN"/>
        </w:rPr>
        <w:t>1.1.9验收：指合同设备通过考核达到合同约定的技术性能考核指标后，买方作出接受合同设备的确认。</w:t>
      </w:r>
    </w:p>
    <w:p>
      <w:pPr>
        <w:adjustRightInd w:val="0"/>
        <w:snapToGrid w:val="0"/>
        <w:spacing w:line="440" w:lineRule="exact"/>
        <w:ind w:firstLine="440" w:firstLineChars="200"/>
        <w:rPr>
          <w:szCs w:val="21"/>
          <w:lang w:eastAsia="zh-CN"/>
        </w:rPr>
      </w:pPr>
      <w:r>
        <w:rPr>
          <w:rFonts w:hint="eastAsia"/>
          <w:szCs w:val="21"/>
          <w:lang w:eastAsia="zh-CN"/>
        </w:rPr>
        <w:t>1.1.10技术服务：指卖方按合同约定，在合同设备验收前，向买方提供的安装、调试服务，或者在由买方负责的安装、调试、考核中对买方进行的技术指导、协助、监督和培训等。</w:t>
      </w:r>
    </w:p>
    <w:p>
      <w:pPr>
        <w:adjustRightInd w:val="0"/>
        <w:snapToGrid w:val="0"/>
        <w:spacing w:line="440" w:lineRule="exact"/>
        <w:ind w:firstLine="440" w:firstLineChars="200"/>
        <w:rPr>
          <w:szCs w:val="21"/>
          <w:lang w:eastAsia="zh-CN"/>
        </w:rPr>
      </w:pPr>
      <w:r>
        <w:rPr>
          <w:rFonts w:hint="eastAsia"/>
          <w:szCs w:val="21"/>
          <w:lang w:eastAsia="zh-CN"/>
        </w:rPr>
        <w:t>1.1.11质量保证期：指合同设备验收后，卖方按合同约定保证合同设备适当、稳定运行，并负责消除合同设备故障的期限。</w:t>
      </w:r>
    </w:p>
    <w:p>
      <w:pPr>
        <w:adjustRightInd w:val="0"/>
        <w:snapToGrid w:val="0"/>
        <w:spacing w:line="440" w:lineRule="exact"/>
        <w:ind w:firstLine="440" w:firstLineChars="200"/>
        <w:rPr>
          <w:szCs w:val="21"/>
          <w:lang w:eastAsia="zh-CN"/>
        </w:rPr>
      </w:pPr>
      <w:r>
        <w:rPr>
          <w:rFonts w:hint="eastAsia"/>
          <w:szCs w:val="21"/>
          <w:lang w:eastAsia="zh-CN"/>
        </w:rPr>
        <w:t>1.1.12质保期服务：指在质量保证期内，卖方向买方提供的合同设备维护服务、咨询服务、技术指导、协助以及对出现故障的合同设备进行修理或更换的服务。</w:t>
      </w:r>
    </w:p>
    <w:p>
      <w:pPr>
        <w:adjustRightInd w:val="0"/>
        <w:snapToGrid w:val="0"/>
        <w:spacing w:line="440" w:lineRule="exact"/>
        <w:ind w:firstLine="440" w:firstLineChars="200"/>
        <w:outlineLvl w:val="4"/>
        <w:rPr>
          <w:szCs w:val="21"/>
          <w:lang w:eastAsia="zh-CN"/>
        </w:rPr>
      </w:pPr>
      <w:r>
        <w:rPr>
          <w:rFonts w:hint="eastAsia"/>
          <w:szCs w:val="21"/>
          <w:lang w:eastAsia="zh-CN"/>
        </w:rPr>
        <w:t>1.1.13工程</w:t>
      </w:r>
    </w:p>
    <w:p>
      <w:pPr>
        <w:adjustRightInd w:val="0"/>
        <w:snapToGrid w:val="0"/>
        <w:spacing w:line="440" w:lineRule="exact"/>
        <w:ind w:firstLine="440" w:firstLineChars="200"/>
        <w:rPr>
          <w:szCs w:val="21"/>
          <w:lang w:eastAsia="zh-CN"/>
        </w:rPr>
      </w:pPr>
      <w:r>
        <w:rPr>
          <w:rFonts w:hint="eastAsia"/>
          <w:szCs w:val="21"/>
          <w:lang w:eastAsia="zh-CN"/>
        </w:rPr>
        <w:t>1.1.13.1工程：指在专用合同条款中指明的，安装运行合同设备的工程。</w:t>
      </w:r>
    </w:p>
    <w:p>
      <w:pPr>
        <w:adjustRightInd w:val="0"/>
        <w:snapToGrid w:val="0"/>
        <w:spacing w:line="440" w:lineRule="exact"/>
        <w:ind w:firstLine="440" w:firstLineChars="200"/>
        <w:rPr>
          <w:szCs w:val="21"/>
          <w:lang w:eastAsia="zh-CN"/>
        </w:rPr>
      </w:pPr>
      <w:r>
        <w:rPr>
          <w:rFonts w:hint="eastAsia"/>
          <w:szCs w:val="21"/>
          <w:lang w:eastAsia="zh-CN"/>
        </w:rPr>
        <w:t>1.1.13.2施工场地（或称工地、施工现场）：指专用合同条款中指明的工程所在场所。</w:t>
      </w:r>
    </w:p>
    <w:p>
      <w:pPr>
        <w:adjustRightInd w:val="0"/>
        <w:snapToGrid w:val="0"/>
        <w:spacing w:line="440" w:lineRule="exact"/>
        <w:ind w:firstLine="440" w:firstLineChars="200"/>
        <w:rPr>
          <w:szCs w:val="21"/>
          <w:lang w:eastAsia="zh-CN"/>
        </w:rPr>
      </w:pPr>
      <w:r>
        <w:rPr>
          <w:rFonts w:hint="eastAsia"/>
          <w:szCs w:val="21"/>
          <w:lang w:eastAsia="zh-CN"/>
        </w:rPr>
        <w:t>1.1.14天（或称日）：除特别指明外，指日历天。合同中按天计算时间的，开始当天不计入，从次日开始计算。合同约定的期间的最后一天是星期日或者其他法定休假日的，以休假日的次日为期间的最后一天。</w:t>
      </w:r>
    </w:p>
    <w:p>
      <w:pPr>
        <w:adjustRightInd w:val="0"/>
        <w:snapToGrid w:val="0"/>
        <w:spacing w:line="440" w:lineRule="exact"/>
        <w:ind w:firstLine="440" w:firstLineChars="200"/>
        <w:rPr>
          <w:szCs w:val="21"/>
          <w:lang w:eastAsia="zh-CN"/>
        </w:rPr>
      </w:pPr>
      <w:r>
        <w:rPr>
          <w:rFonts w:hint="eastAsia"/>
          <w:szCs w:val="21"/>
          <w:lang w:eastAsia="zh-CN"/>
        </w:rPr>
        <w:t>1.1.15月：按照公历月计算。合同中按月计算时间的，开始当天不计入，从次日开始计算。合同约定的期间的最后一天是星期日或者其他法定休假日的，以休假日的次日为期间的最后一天。</w:t>
      </w:r>
    </w:p>
    <w:p>
      <w:pPr>
        <w:adjustRightInd w:val="0"/>
        <w:snapToGrid w:val="0"/>
        <w:spacing w:line="440" w:lineRule="exact"/>
        <w:ind w:firstLine="440" w:firstLineChars="200"/>
        <w:rPr>
          <w:szCs w:val="21"/>
          <w:lang w:eastAsia="zh-CN"/>
        </w:rPr>
      </w:pPr>
      <w:r>
        <w:rPr>
          <w:rFonts w:hint="eastAsia"/>
          <w:szCs w:val="21"/>
          <w:lang w:eastAsia="zh-CN"/>
        </w:rPr>
        <w:t>1.1.16书面形式：指合同文件、信件和数据电文（包括电报、电传、传真、电子数据交换和电子邮件）等可以有形地表现所载内容的形式。</w:t>
      </w:r>
    </w:p>
    <w:p>
      <w:pPr>
        <w:adjustRightInd w:val="0"/>
        <w:snapToGrid w:val="0"/>
        <w:spacing w:line="440" w:lineRule="exact"/>
        <w:outlineLvl w:val="3"/>
        <w:rPr>
          <w:szCs w:val="21"/>
          <w:lang w:eastAsia="zh-CN"/>
        </w:rPr>
      </w:pPr>
      <w:r>
        <w:rPr>
          <w:rFonts w:hint="eastAsia"/>
          <w:szCs w:val="21"/>
          <w:lang w:eastAsia="zh-CN"/>
        </w:rPr>
        <w:t>1.2语言文字</w:t>
      </w:r>
    </w:p>
    <w:p>
      <w:pPr>
        <w:adjustRightInd w:val="0"/>
        <w:snapToGrid w:val="0"/>
        <w:spacing w:line="440" w:lineRule="exact"/>
        <w:ind w:firstLine="440" w:firstLineChars="200"/>
        <w:rPr>
          <w:szCs w:val="21"/>
          <w:lang w:eastAsia="zh-CN"/>
        </w:rPr>
      </w:pPr>
      <w:r>
        <w:rPr>
          <w:rFonts w:hint="eastAsia"/>
          <w:szCs w:val="21"/>
          <w:lang w:eastAsia="zh-CN"/>
        </w:rPr>
        <w:t>合同使用的语言文字为中文。专用术语使用外文的，应附有中文注释。</w:t>
      </w:r>
    </w:p>
    <w:p>
      <w:pPr>
        <w:adjustRightInd w:val="0"/>
        <w:snapToGrid w:val="0"/>
        <w:spacing w:line="440" w:lineRule="exact"/>
        <w:outlineLvl w:val="3"/>
        <w:rPr>
          <w:szCs w:val="21"/>
          <w:lang w:eastAsia="zh-CN"/>
        </w:rPr>
      </w:pPr>
      <w:r>
        <w:rPr>
          <w:rFonts w:hint="eastAsia"/>
          <w:szCs w:val="21"/>
          <w:lang w:eastAsia="zh-CN"/>
        </w:rPr>
        <w:t>1.3合同文件的优先顺序</w:t>
      </w:r>
    </w:p>
    <w:p>
      <w:pPr>
        <w:adjustRightInd w:val="0"/>
        <w:snapToGrid w:val="0"/>
        <w:spacing w:line="440" w:lineRule="exact"/>
        <w:ind w:firstLine="440" w:firstLineChars="200"/>
        <w:rPr>
          <w:szCs w:val="21"/>
          <w:lang w:eastAsia="zh-CN"/>
        </w:rPr>
      </w:pPr>
      <w:r>
        <w:rPr>
          <w:rFonts w:hint="eastAsia"/>
          <w:szCs w:val="21"/>
          <w:lang w:eastAsia="zh-CN"/>
        </w:rPr>
        <w:t>组成合同的各项文件应互相解释，互为说明。除专用合同条款另有约定外，解释合同文件的优先顺序如下：</w:t>
      </w:r>
    </w:p>
    <w:p>
      <w:pPr>
        <w:adjustRightInd w:val="0"/>
        <w:snapToGrid w:val="0"/>
        <w:spacing w:line="440" w:lineRule="exact"/>
        <w:ind w:firstLine="440" w:firstLineChars="200"/>
        <w:rPr>
          <w:szCs w:val="21"/>
          <w:lang w:eastAsia="zh-CN"/>
        </w:rPr>
      </w:pPr>
      <w:r>
        <w:rPr>
          <w:rFonts w:hint="eastAsia"/>
          <w:szCs w:val="21"/>
          <w:lang w:eastAsia="zh-CN"/>
        </w:rPr>
        <w:t>(1)</w:t>
      </w:r>
      <w:r>
        <w:rPr>
          <w:rFonts w:hint="eastAsia"/>
          <w:szCs w:val="21"/>
          <w:lang w:eastAsia="zh-CN"/>
        </w:rPr>
        <w:tab/>
      </w:r>
      <w:r>
        <w:rPr>
          <w:rFonts w:hint="eastAsia"/>
          <w:szCs w:val="21"/>
          <w:lang w:eastAsia="zh-CN"/>
        </w:rPr>
        <w:t>合同协议书；</w:t>
      </w:r>
    </w:p>
    <w:p>
      <w:pPr>
        <w:adjustRightInd w:val="0"/>
        <w:snapToGrid w:val="0"/>
        <w:spacing w:line="440" w:lineRule="exact"/>
        <w:ind w:firstLine="440" w:firstLineChars="200"/>
        <w:rPr>
          <w:szCs w:val="21"/>
          <w:lang w:eastAsia="zh-CN"/>
        </w:rPr>
      </w:pPr>
      <w:r>
        <w:rPr>
          <w:rFonts w:hint="eastAsia"/>
          <w:szCs w:val="21"/>
          <w:lang w:eastAsia="zh-CN"/>
        </w:rPr>
        <w:t>(2)</w:t>
      </w:r>
      <w:r>
        <w:rPr>
          <w:rFonts w:hint="eastAsia"/>
          <w:szCs w:val="21"/>
          <w:lang w:eastAsia="zh-CN"/>
        </w:rPr>
        <w:tab/>
      </w:r>
      <w:r>
        <w:rPr>
          <w:rFonts w:hint="eastAsia"/>
          <w:szCs w:val="21"/>
          <w:lang w:eastAsia="zh-CN"/>
        </w:rPr>
        <w:t>中标通知书；</w:t>
      </w:r>
    </w:p>
    <w:p>
      <w:pPr>
        <w:adjustRightInd w:val="0"/>
        <w:snapToGrid w:val="0"/>
        <w:spacing w:line="440" w:lineRule="exact"/>
        <w:ind w:firstLine="440" w:firstLineChars="200"/>
        <w:rPr>
          <w:szCs w:val="21"/>
          <w:lang w:eastAsia="zh-CN"/>
        </w:rPr>
      </w:pPr>
      <w:r>
        <w:rPr>
          <w:rFonts w:hint="eastAsia"/>
          <w:szCs w:val="21"/>
          <w:lang w:eastAsia="zh-CN"/>
        </w:rPr>
        <w:t>(3)</w:t>
      </w:r>
      <w:r>
        <w:rPr>
          <w:rFonts w:hint="eastAsia"/>
          <w:szCs w:val="21"/>
          <w:lang w:eastAsia="zh-CN"/>
        </w:rPr>
        <w:tab/>
      </w:r>
      <w:r>
        <w:rPr>
          <w:rFonts w:hint="eastAsia"/>
          <w:szCs w:val="21"/>
          <w:lang w:eastAsia="zh-CN"/>
        </w:rPr>
        <w:t>报价函；</w:t>
      </w:r>
    </w:p>
    <w:p>
      <w:pPr>
        <w:adjustRightInd w:val="0"/>
        <w:snapToGrid w:val="0"/>
        <w:spacing w:line="440" w:lineRule="exact"/>
        <w:ind w:firstLine="440" w:firstLineChars="200"/>
        <w:rPr>
          <w:szCs w:val="21"/>
          <w:lang w:eastAsia="zh-CN"/>
        </w:rPr>
      </w:pPr>
      <w:r>
        <w:rPr>
          <w:rFonts w:hint="eastAsia"/>
          <w:szCs w:val="21"/>
          <w:lang w:eastAsia="zh-CN"/>
        </w:rPr>
        <w:t>(4)</w:t>
      </w:r>
      <w:r>
        <w:rPr>
          <w:rFonts w:hint="eastAsia"/>
          <w:szCs w:val="21"/>
          <w:lang w:eastAsia="zh-CN"/>
        </w:rPr>
        <w:tab/>
      </w:r>
      <w:r>
        <w:rPr>
          <w:rFonts w:hint="eastAsia"/>
          <w:szCs w:val="21"/>
          <w:lang w:eastAsia="zh-CN"/>
        </w:rPr>
        <w:t>专用合同条款；</w:t>
      </w:r>
    </w:p>
    <w:p>
      <w:pPr>
        <w:adjustRightInd w:val="0"/>
        <w:snapToGrid w:val="0"/>
        <w:spacing w:line="440" w:lineRule="exact"/>
        <w:ind w:firstLine="440" w:firstLineChars="200"/>
        <w:rPr>
          <w:szCs w:val="21"/>
          <w:lang w:eastAsia="zh-CN"/>
        </w:rPr>
      </w:pPr>
      <w:r>
        <w:rPr>
          <w:rFonts w:hint="eastAsia"/>
          <w:szCs w:val="21"/>
          <w:lang w:eastAsia="zh-CN"/>
        </w:rPr>
        <w:t>(5)</w:t>
      </w:r>
      <w:r>
        <w:rPr>
          <w:rFonts w:hint="eastAsia"/>
          <w:szCs w:val="21"/>
          <w:lang w:eastAsia="zh-CN"/>
        </w:rPr>
        <w:tab/>
      </w:r>
      <w:r>
        <w:rPr>
          <w:rFonts w:hint="eastAsia"/>
          <w:szCs w:val="21"/>
          <w:lang w:eastAsia="zh-CN"/>
        </w:rPr>
        <w:t>通用合同条款；</w:t>
      </w:r>
    </w:p>
    <w:p>
      <w:pPr>
        <w:adjustRightInd w:val="0"/>
        <w:snapToGrid w:val="0"/>
        <w:spacing w:line="440" w:lineRule="exact"/>
        <w:ind w:firstLine="440" w:firstLineChars="200"/>
        <w:rPr>
          <w:szCs w:val="21"/>
          <w:lang w:eastAsia="zh-CN"/>
        </w:rPr>
      </w:pPr>
      <w:r>
        <w:rPr>
          <w:rFonts w:hint="eastAsia"/>
          <w:szCs w:val="21"/>
          <w:lang w:eastAsia="zh-CN"/>
        </w:rPr>
        <w:t>(7)</w:t>
      </w:r>
      <w:r>
        <w:rPr>
          <w:rFonts w:hint="eastAsia"/>
          <w:szCs w:val="21"/>
          <w:lang w:eastAsia="zh-CN"/>
        </w:rPr>
        <w:tab/>
      </w:r>
      <w:r>
        <w:rPr>
          <w:rFonts w:hint="eastAsia"/>
          <w:szCs w:val="21"/>
          <w:lang w:eastAsia="zh-CN"/>
        </w:rPr>
        <w:t>供货要求；</w:t>
      </w:r>
    </w:p>
    <w:p>
      <w:pPr>
        <w:adjustRightInd w:val="0"/>
        <w:snapToGrid w:val="0"/>
        <w:spacing w:line="440" w:lineRule="exact"/>
        <w:ind w:firstLine="440" w:firstLineChars="200"/>
        <w:rPr>
          <w:szCs w:val="21"/>
          <w:lang w:eastAsia="zh-CN"/>
        </w:rPr>
      </w:pPr>
      <w:r>
        <w:rPr>
          <w:rFonts w:hint="eastAsia"/>
          <w:szCs w:val="21"/>
          <w:lang w:eastAsia="zh-CN"/>
        </w:rPr>
        <w:t>(8)</w:t>
      </w:r>
      <w:r>
        <w:rPr>
          <w:rFonts w:hint="eastAsia"/>
          <w:szCs w:val="21"/>
          <w:lang w:eastAsia="zh-CN"/>
        </w:rPr>
        <w:tab/>
      </w:r>
      <w:r>
        <w:rPr>
          <w:rFonts w:hint="eastAsia"/>
          <w:szCs w:val="21"/>
          <w:lang w:eastAsia="zh-CN"/>
        </w:rPr>
        <w:t>分项报价表；</w:t>
      </w:r>
    </w:p>
    <w:p>
      <w:pPr>
        <w:adjustRightInd w:val="0"/>
        <w:snapToGrid w:val="0"/>
        <w:spacing w:line="440" w:lineRule="exact"/>
        <w:ind w:firstLine="440" w:firstLineChars="200"/>
        <w:rPr>
          <w:szCs w:val="21"/>
          <w:lang w:eastAsia="zh-CN"/>
        </w:rPr>
      </w:pPr>
      <w:r>
        <w:rPr>
          <w:rFonts w:hint="eastAsia"/>
          <w:szCs w:val="21"/>
          <w:lang w:eastAsia="zh-CN"/>
        </w:rPr>
        <w:t>(9)</w:t>
      </w:r>
      <w:r>
        <w:rPr>
          <w:rFonts w:hint="eastAsia"/>
          <w:szCs w:val="21"/>
          <w:lang w:eastAsia="zh-CN"/>
        </w:rPr>
        <w:tab/>
      </w:r>
      <w:r>
        <w:rPr>
          <w:rFonts w:hint="eastAsia"/>
          <w:szCs w:val="21"/>
          <w:lang w:eastAsia="zh-CN"/>
        </w:rPr>
        <w:t>中标设备技术性能指标的详细描述；</w:t>
      </w:r>
    </w:p>
    <w:p>
      <w:pPr>
        <w:adjustRightInd w:val="0"/>
        <w:snapToGrid w:val="0"/>
        <w:spacing w:line="440" w:lineRule="exact"/>
        <w:ind w:firstLine="440" w:firstLineChars="200"/>
        <w:rPr>
          <w:szCs w:val="21"/>
          <w:lang w:eastAsia="zh-CN"/>
        </w:rPr>
      </w:pPr>
      <w:r>
        <w:rPr>
          <w:rFonts w:hint="eastAsia"/>
          <w:szCs w:val="21"/>
          <w:lang w:eastAsia="zh-CN"/>
        </w:rPr>
        <w:t>(11)其他合同文件。</w:t>
      </w:r>
    </w:p>
    <w:p>
      <w:pPr>
        <w:adjustRightInd w:val="0"/>
        <w:snapToGrid w:val="0"/>
        <w:spacing w:line="440" w:lineRule="exact"/>
        <w:outlineLvl w:val="3"/>
        <w:rPr>
          <w:szCs w:val="21"/>
          <w:lang w:eastAsia="zh-CN"/>
        </w:rPr>
      </w:pPr>
      <w:r>
        <w:rPr>
          <w:rFonts w:hint="eastAsia"/>
          <w:szCs w:val="21"/>
          <w:lang w:eastAsia="zh-CN"/>
        </w:rPr>
        <w:t>1.4合同的生效及变更</w:t>
      </w:r>
    </w:p>
    <w:p>
      <w:pPr>
        <w:adjustRightInd w:val="0"/>
        <w:snapToGrid w:val="0"/>
        <w:spacing w:line="440" w:lineRule="exact"/>
        <w:ind w:firstLine="440" w:firstLineChars="200"/>
        <w:rPr>
          <w:szCs w:val="21"/>
          <w:lang w:eastAsia="zh-CN"/>
        </w:rPr>
      </w:pPr>
      <w:r>
        <w:rPr>
          <w:rFonts w:hint="eastAsia"/>
          <w:szCs w:val="21"/>
          <w:lang w:eastAsia="zh-CN"/>
        </w:rPr>
        <w:t>1.4.1除专用合同条款另有约定外，买方和卖方的法定代表人（单位负责人）或其授权代表在合同协议书上签名并加盖单位章后，合同生效。</w:t>
      </w:r>
    </w:p>
    <w:p>
      <w:pPr>
        <w:adjustRightInd w:val="0"/>
        <w:snapToGrid w:val="0"/>
        <w:spacing w:line="440" w:lineRule="exact"/>
        <w:ind w:firstLine="440" w:firstLineChars="200"/>
        <w:rPr>
          <w:szCs w:val="21"/>
          <w:lang w:eastAsia="zh-CN"/>
        </w:rPr>
      </w:pPr>
      <w:r>
        <w:rPr>
          <w:rFonts w:hint="eastAsia"/>
          <w:szCs w:val="21"/>
          <w:lang w:eastAsia="zh-CN"/>
        </w:rPr>
        <w:t>1.4.2除专用合同条款另有约定外，在合同履行过程中，如需对合同进行变更，双方应签订书面协议，并经双方法定代表人（单位负责人）或其授权代表签名并加盖单位章后生效。</w:t>
      </w:r>
    </w:p>
    <w:p>
      <w:pPr>
        <w:adjustRightInd w:val="0"/>
        <w:snapToGrid w:val="0"/>
        <w:spacing w:line="440" w:lineRule="exact"/>
        <w:outlineLvl w:val="3"/>
        <w:rPr>
          <w:szCs w:val="21"/>
          <w:lang w:eastAsia="zh-CN"/>
        </w:rPr>
      </w:pPr>
      <w:r>
        <w:rPr>
          <w:rFonts w:hint="eastAsia"/>
          <w:szCs w:val="21"/>
          <w:lang w:eastAsia="zh-CN"/>
        </w:rPr>
        <w:t>1.5联络</w:t>
      </w:r>
    </w:p>
    <w:p>
      <w:pPr>
        <w:adjustRightInd w:val="0"/>
        <w:snapToGrid w:val="0"/>
        <w:spacing w:line="440" w:lineRule="exact"/>
        <w:ind w:firstLine="440" w:firstLineChars="200"/>
        <w:rPr>
          <w:szCs w:val="21"/>
          <w:lang w:eastAsia="zh-CN"/>
        </w:rPr>
      </w:pPr>
      <w:r>
        <w:rPr>
          <w:rFonts w:hint="eastAsia"/>
          <w:szCs w:val="21"/>
          <w:lang w:eastAsia="zh-CN"/>
        </w:rPr>
        <w:t>1.5.1买卖双方应就合同履行中有关的事项及时进行联络，重要事项应通过书面形式进行联络或确认。合同履行过程中的任何联络及相关文件的签署，均应通过专用合同条款指定的联系人和联系方式进行。合同履行过程中，双方可以书面形式増加或变更指定联系人。</w:t>
      </w:r>
    </w:p>
    <w:p>
      <w:pPr>
        <w:adjustRightInd w:val="0"/>
        <w:snapToGrid w:val="0"/>
        <w:spacing w:line="440" w:lineRule="exact"/>
        <w:ind w:firstLine="440" w:firstLineChars="200"/>
        <w:rPr>
          <w:szCs w:val="21"/>
          <w:lang w:eastAsia="zh-CN"/>
        </w:rPr>
      </w:pPr>
      <w:r>
        <w:rPr>
          <w:rFonts w:hint="eastAsia"/>
          <w:szCs w:val="21"/>
          <w:lang w:eastAsia="zh-CN"/>
        </w:rPr>
        <w:t>1.5.2合同履行中或与合同有关的任何联络，送达到第1.5.1项指定的联系人即视为送达。</w:t>
      </w:r>
    </w:p>
    <w:p>
      <w:pPr>
        <w:adjustRightInd w:val="0"/>
        <w:snapToGrid w:val="0"/>
        <w:spacing w:line="440" w:lineRule="exact"/>
        <w:ind w:firstLine="440" w:firstLineChars="200"/>
        <w:rPr>
          <w:szCs w:val="21"/>
          <w:lang w:eastAsia="zh-CN"/>
        </w:rPr>
      </w:pPr>
      <w:r>
        <w:rPr>
          <w:rFonts w:hint="eastAsia"/>
          <w:szCs w:val="21"/>
          <w:lang w:eastAsia="zh-CN"/>
        </w:rPr>
        <w:t>1.5.3买方可以安排监理等相关人员作为买方人员，与卖方进行联络或参加合同设备的监造(如有）、交货前检验（如有）、开箱检验、安装、调试、考核、验收等，但应按照第1.5.1项的约定事先书面通知卖方。</w:t>
      </w:r>
    </w:p>
    <w:p>
      <w:pPr>
        <w:adjustRightInd w:val="0"/>
        <w:snapToGrid w:val="0"/>
        <w:spacing w:line="440" w:lineRule="exact"/>
        <w:outlineLvl w:val="3"/>
        <w:rPr>
          <w:szCs w:val="21"/>
          <w:lang w:eastAsia="zh-CN"/>
        </w:rPr>
      </w:pPr>
      <w:r>
        <w:rPr>
          <w:rFonts w:hint="eastAsia"/>
          <w:szCs w:val="21"/>
          <w:lang w:eastAsia="zh-CN"/>
        </w:rPr>
        <w:t>1.6联合体</w:t>
      </w:r>
    </w:p>
    <w:p>
      <w:pPr>
        <w:adjustRightInd w:val="0"/>
        <w:snapToGrid w:val="0"/>
        <w:spacing w:line="440" w:lineRule="exact"/>
        <w:ind w:firstLine="440" w:firstLineChars="200"/>
        <w:rPr>
          <w:szCs w:val="21"/>
          <w:lang w:eastAsia="zh-CN"/>
        </w:rPr>
      </w:pPr>
      <w:r>
        <w:rPr>
          <w:rFonts w:hint="eastAsia"/>
          <w:szCs w:val="21"/>
          <w:lang w:eastAsia="zh-CN"/>
        </w:rPr>
        <w:t>1.6.1卖方为联合体的，联合体各方应当共同与买方签订合同，并向买方为履行合同承担连带责任。</w:t>
      </w:r>
    </w:p>
    <w:p>
      <w:pPr>
        <w:adjustRightInd w:val="0"/>
        <w:snapToGrid w:val="0"/>
        <w:spacing w:line="440" w:lineRule="exact"/>
        <w:ind w:firstLine="440" w:firstLineChars="200"/>
        <w:rPr>
          <w:szCs w:val="21"/>
          <w:lang w:eastAsia="zh-CN"/>
        </w:rPr>
      </w:pPr>
      <w:r>
        <w:rPr>
          <w:rFonts w:hint="eastAsia"/>
          <w:szCs w:val="21"/>
          <w:lang w:eastAsia="zh-CN"/>
        </w:rPr>
        <w:t>1.6.2在合同履行过程中，未经买方同意，不得修改联合体协议。联合体协议中关于联合体成员间权利义务的划分，并不影响或减损联合体各方应就履行合同向买方承担的连带责任。</w:t>
      </w:r>
    </w:p>
    <w:p>
      <w:pPr>
        <w:adjustRightInd w:val="0"/>
        <w:snapToGrid w:val="0"/>
        <w:spacing w:line="440" w:lineRule="exact"/>
        <w:ind w:firstLine="440" w:firstLineChars="200"/>
        <w:rPr>
          <w:szCs w:val="21"/>
          <w:lang w:eastAsia="zh-CN"/>
        </w:rPr>
      </w:pPr>
      <w:r>
        <w:rPr>
          <w:rFonts w:hint="eastAsia"/>
          <w:szCs w:val="21"/>
          <w:lang w:eastAsia="zh-CN"/>
        </w:rPr>
        <w:t>1.6.3联合体牵头人代表联合体与买方联系，并接受指示，负责组织联合体各成员全面履行合同。除非专用合同条款另有约定，牵头人在履行合同中的所有行为均视为己获得联合体各方的授权。买方可将合同价款全部支付给牵头人并视为其己适当履行了付款义务。如牵头人的行为将构成对合同内容的变更，则牵头人须事先获得联合体各方的特别授权。</w:t>
      </w:r>
    </w:p>
    <w:p>
      <w:pPr>
        <w:adjustRightInd w:val="0"/>
        <w:snapToGrid w:val="0"/>
        <w:spacing w:line="440" w:lineRule="exact"/>
        <w:outlineLvl w:val="3"/>
        <w:rPr>
          <w:szCs w:val="21"/>
          <w:lang w:eastAsia="zh-CN"/>
        </w:rPr>
      </w:pPr>
      <w:r>
        <w:rPr>
          <w:rFonts w:hint="eastAsia"/>
          <w:szCs w:val="21"/>
          <w:lang w:eastAsia="zh-CN"/>
        </w:rPr>
        <w:t>1.7转让</w:t>
      </w:r>
    </w:p>
    <w:p>
      <w:pPr>
        <w:adjustRightInd w:val="0"/>
        <w:snapToGrid w:val="0"/>
        <w:spacing w:line="440" w:lineRule="exact"/>
        <w:ind w:firstLine="440" w:firstLineChars="200"/>
        <w:rPr>
          <w:szCs w:val="21"/>
          <w:lang w:eastAsia="zh-CN"/>
        </w:rPr>
      </w:pPr>
      <w:r>
        <w:rPr>
          <w:rFonts w:hint="eastAsia"/>
          <w:szCs w:val="21"/>
          <w:lang w:eastAsia="zh-CN"/>
        </w:rPr>
        <w:t>未经对方当事人书面同意，合同任何一方均不得转让其在合同项下的权利和（或）义务。</w:t>
      </w:r>
    </w:p>
    <w:p>
      <w:pPr>
        <w:pStyle w:val="173"/>
        <w:keepNext/>
        <w:keepLines/>
        <w:adjustRightInd w:val="0"/>
        <w:snapToGrid w:val="0"/>
        <w:spacing w:before="0" w:after="0" w:line="440" w:lineRule="exact"/>
        <w:outlineLvl w:val="2"/>
        <w:rPr>
          <w:sz w:val="21"/>
          <w:szCs w:val="21"/>
        </w:rPr>
      </w:pPr>
      <w:bookmarkStart w:id="69" w:name="_Toc4712"/>
      <w:bookmarkStart w:id="70" w:name="_Toc14554"/>
      <w:bookmarkStart w:id="71" w:name="_Toc22032759"/>
      <w:bookmarkStart w:id="72" w:name="_Toc113559471"/>
      <w:bookmarkStart w:id="73" w:name="_Toc102983270"/>
      <w:bookmarkStart w:id="74" w:name="_Toc6175"/>
      <w:bookmarkStart w:id="75" w:name="_Toc9771"/>
      <w:r>
        <w:rPr>
          <w:rFonts w:hint="eastAsia"/>
          <w:sz w:val="21"/>
          <w:szCs w:val="21"/>
        </w:rPr>
        <w:t>2.合同范围</w:t>
      </w:r>
      <w:bookmarkEnd w:id="69"/>
      <w:bookmarkEnd w:id="70"/>
      <w:bookmarkEnd w:id="71"/>
      <w:bookmarkEnd w:id="72"/>
      <w:bookmarkEnd w:id="73"/>
      <w:bookmarkEnd w:id="74"/>
      <w:bookmarkEnd w:id="75"/>
    </w:p>
    <w:p>
      <w:pPr>
        <w:adjustRightInd w:val="0"/>
        <w:snapToGrid w:val="0"/>
        <w:spacing w:line="440" w:lineRule="exact"/>
        <w:ind w:firstLine="440" w:firstLineChars="200"/>
        <w:rPr>
          <w:szCs w:val="21"/>
          <w:lang w:eastAsia="zh-CN"/>
        </w:rPr>
      </w:pPr>
      <w:r>
        <w:rPr>
          <w:rFonts w:hint="eastAsia"/>
          <w:szCs w:val="21"/>
          <w:lang w:eastAsia="zh-CN"/>
        </w:rPr>
        <w:t>卖方应根据供货要求、中标设备技术性能指标的详细描述、技术服务和质保期服务计划等合同文件的约定向买方提供合同设备、技术服务和质保期服务。</w:t>
      </w:r>
    </w:p>
    <w:p>
      <w:pPr>
        <w:pStyle w:val="173"/>
        <w:keepNext/>
        <w:keepLines/>
        <w:adjustRightInd w:val="0"/>
        <w:snapToGrid w:val="0"/>
        <w:spacing w:before="0" w:after="0" w:line="440" w:lineRule="exact"/>
        <w:outlineLvl w:val="2"/>
        <w:rPr>
          <w:sz w:val="21"/>
          <w:szCs w:val="21"/>
        </w:rPr>
      </w:pPr>
      <w:bookmarkStart w:id="76" w:name="_Toc29750"/>
      <w:bookmarkStart w:id="77" w:name="_Toc25095"/>
      <w:bookmarkStart w:id="78" w:name="_Toc102983271"/>
      <w:bookmarkStart w:id="79" w:name="_Toc30442"/>
      <w:bookmarkStart w:id="80" w:name="_Toc31384"/>
      <w:bookmarkStart w:id="81" w:name="_Toc113559472"/>
      <w:bookmarkStart w:id="82" w:name="_Toc22032760"/>
      <w:r>
        <w:rPr>
          <w:rFonts w:hint="eastAsia"/>
          <w:sz w:val="21"/>
          <w:szCs w:val="21"/>
        </w:rPr>
        <w:t>3.合同价格与支付</w:t>
      </w:r>
      <w:bookmarkEnd w:id="76"/>
      <w:bookmarkEnd w:id="77"/>
      <w:bookmarkEnd w:id="78"/>
      <w:bookmarkEnd w:id="79"/>
      <w:bookmarkEnd w:id="80"/>
      <w:bookmarkEnd w:id="81"/>
      <w:bookmarkEnd w:id="82"/>
    </w:p>
    <w:p>
      <w:pPr>
        <w:adjustRightInd w:val="0"/>
        <w:snapToGrid w:val="0"/>
        <w:spacing w:line="440" w:lineRule="exact"/>
        <w:outlineLvl w:val="3"/>
        <w:rPr>
          <w:szCs w:val="21"/>
        </w:rPr>
      </w:pPr>
      <w:r>
        <w:rPr>
          <w:rFonts w:hint="eastAsia"/>
          <w:szCs w:val="21"/>
        </w:rPr>
        <w:t>3.1合同价格</w:t>
      </w:r>
    </w:p>
    <w:p>
      <w:pPr>
        <w:adjustRightInd w:val="0"/>
        <w:snapToGrid w:val="0"/>
        <w:spacing w:line="440" w:lineRule="exact"/>
        <w:ind w:firstLine="440" w:firstLineChars="200"/>
        <w:rPr>
          <w:szCs w:val="21"/>
          <w:lang w:eastAsia="zh-CN"/>
        </w:rPr>
      </w:pPr>
      <w:r>
        <w:rPr>
          <w:rFonts w:hint="eastAsia"/>
          <w:szCs w:val="21"/>
          <w:lang w:eastAsia="zh-CN"/>
        </w:rPr>
        <w:t>3.1.1合同协议书中载明的签约合同价包括卖方为完成合同全部义务应承担的一切成本、费用和支出以及卖方的合理利润。</w:t>
      </w:r>
    </w:p>
    <w:p>
      <w:pPr>
        <w:adjustRightInd w:val="0"/>
        <w:snapToGrid w:val="0"/>
        <w:spacing w:line="440" w:lineRule="exact"/>
        <w:ind w:firstLine="440" w:firstLineChars="200"/>
        <w:outlineLvl w:val="4"/>
        <w:rPr>
          <w:szCs w:val="21"/>
          <w:lang w:eastAsia="zh-CN"/>
        </w:rPr>
      </w:pPr>
      <w:r>
        <w:rPr>
          <w:rFonts w:hint="eastAsia"/>
          <w:szCs w:val="21"/>
          <w:lang w:eastAsia="zh-CN"/>
        </w:rPr>
        <w:t>3.1.2除专用合同条款另有约定外，签约合同价为固定价格。</w:t>
      </w:r>
    </w:p>
    <w:p>
      <w:pPr>
        <w:adjustRightInd w:val="0"/>
        <w:snapToGrid w:val="0"/>
        <w:spacing w:line="440" w:lineRule="exact"/>
        <w:outlineLvl w:val="3"/>
        <w:rPr>
          <w:szCs w:val="21"/>
          <w:lang w:eastAsia="zh-CN"/>
        </w:rPr>
      </w:pPr>
      <w:r>
        <w:rPr>
          <w:rFonts w:hint="eastAsia"/>
          <w:szCs w:val="21"/>
          <w:lang w:eastAsia="zh-CN"/>
        </w:rPr>
        <w:t>3.2合同价款的支付</w:t>
      </w:r>
    </w:p>
    <w:p>
      <w:pPr>
        <w:adjustRightInd w:val="0"/>
        <w:snapToGrid w:val="0"/>
        <w:spacing w:line="440" w:lineRule="exact"/>
        <w:ind w:firstLine="440" w:firstLineChars="200"/>
        <w:rPr>
          <w:szCs w:val="21"/>
          <w:lang w:eastAsia="zh-CN"/>
        </w:rPr>
      </w:pPr>
      <w:r>
        <w:rPr>
          <w:rFonts w:hint="eastAsia"/>
          <w:szCs w:val="21"/>
          <w:lang w:eastAsia="zh-CN"/>
        </w:rPr>
        <w:t>除专用合同条款另有约定外，买方应通过以下方式和比例向卖方支付合同价款：</w:t>
      </w:r>
    </w:p>
    <w:p>
      <w:pPr>
        <w:adjustRightInd w:val="0"/>
        <w:snapToGrid w:val="0"/>
        <w:spacing w:line="440" w:lineRule="exact"/>
        <w:ind w:firstLine="440" w:firstLineChars="200"/>
        <w:outlineLvl w:val="4"/>
        <w:rPr>
          <w:szCs w:val="21"/>
          <w:lang w:eastAsia="zh-CN"/>
        </w:rPr>
      </w:pPr>
      <w:r>
        <w:rPr>
          <w:rFonts w:hint="eastAsia"/>
          <w:szCs w:val="21"/>
          <w:lang w:eastAsia="zh-CN"/>
        </w:rPr>
        <w:t>3.2.1预付款</w:t>
      </w:r>
    </w:p>
    <w:p>
      <w:pPr>
        <w:adjustRightInd w:val="0"/>
        <w:snapToGrid w:val="0"/>
        <w:spacing w:line="440" w:lineRule="exact"/>
        <w:ind w:firstLine="440" w:firstLineChars="200"/>
        <w:rPr>
          <w:szCs w:val="21"/>
          <w:lang w:eastAsia="zh-CN"/>
        </w:rPr>
      </w:pPr>
      <w:r>
        <w:rPr>
          <w:rFonts w:hint="eastAsia"/>
          <w:szCs w:val="21"/>
          <w:lang w:eastAsia="zh-CN"/>
        </w:rPr>
        <w:t>合同生效后，买方在收到卖方开具的注明应付预付款金额的财务收据正本一份并经审核无误后28日内，向卖方支付签约合同价的10%作为预付款。</w:t>
      </w:r>
    </w:p>
    <w:p>
      <w:pPr>
        <w:adjustRightInd w:val="0"/>
        <w:snapToGrid w:val="0"/>
        <w:spacing w:line="440" w:lineRule="exact"/>
        <w:ind w:firstLine="440" w:firstLineChars="200"/>
        <w:rPr>
          <w:szCs w:val="21"/>
          <w:lang w:eastAsia="zh-CN"/>
        </w:rPr>
      </w:pPr>
      <w:r>
        <w:rPr>
          <w:rFonts w:hint="eastAsia"/>
          <w:szCs w:val="21"/>
          <w:lang w:eastAsia="zh-CN"/>
        </w:rPr>
        <w:t>买方支付预付款后，如卖方未履行合同义务，则买方有权收回预付款；如卖方依约履行了合同义务，则预付款抵作合同价款。</w:t>
      </w:r>
    </w:p>
    <w:p>
      <w:pPr>
        <w:adjustRightInd w:val="0"/>
        <w:snapToGrid w:val="0"/>
        <w:spacing w:line="440" w:lineRule="exact"/>
        <w:ind w:firstLine="440" w:firstLineChars="200"/>
        <w:outlineLvl w:val="4"/>
        <w:rPr>
          <w:szCs w:val="21"/>
          <w:lang w:eastAsia="zh-CN"/>
        </w:rPr>
      </w:pPr>
      <w:r>
        <w:rPr>
          <w:rFonts w:hint="eastAsia"/>
          <w:szCs w:val="21"/>
          <w:lang w:eastAsia="zh-CN"/>
        </w:rPr>
        <w:t>3.2.2交货款</w:t>
      </w:r>
    </w:p>
    <w:p>
      <w:pPr>
        <w:adjustRightInd w:val="0"/>
        <w:snapToGrid w:val="0"/>
        <w:spacing w:line="440" w:lineRule="exact"/>
        <w:ind w:firstLine="440" w:firstLineChars="200"/>
        <w:rPr>
          <w:szCs w:val="21"/>
          <w:lang w:eastAsia="zh-CN"/>
        </w:rPr>
      </w:pPr>
      <w:r>
        <w:rPr>
          <w:rFonts w:hint="eastAsia"/>
          <w:szCs w:val="21"/>
          <w:lang w:eastAsia="zh-CN"/>
        </w:rPr>
        <w:t>卖方按合同约定交付全部合同设备后，买方在收到卖方提交的下列全部单据并经审核无误后28日内，向卖方支付合同价格的60%：</w:t>
      </w:r>
    </w:p>
    <w:p>
      <w:pPr>
        <w:adjustRightInd w:val="0"/>
        <w:snapToGrid w:val="0"/>
        <w:spacing w:line="440" w:lineRule="exact"/>
        <w:ind w:firstLine="440" w:firstLineChars="200"/>
        <w:rPr>
          <w:szCs w:val="21"/>
          <w:lang w:eastAsia="zh-CN"/>
        </w:rPr>
      </w:pPr>
      <w:r>
        <w:rPr>
          <w:rFonts w:hint="eastAsia"/>
          <w:szCs w:val="21"/>
          <w:lang w:eastAsia="zh-CN"/>
        </w:rPr>
        <w:t>(1)</w:t>
      </w:r>
      <w:r>
        <w:rPr>
          <w:rFonts w:hint="eastAsia"/>
          <w:szCs w:val="21"/>
          <w:lang w:eastAsia="zh-CN"/>
        </w:rPr>
        <w:tab/>
      </w:r>
      <w:r>
        <w:rPr>
          <w:rFonts w:hint="eastAsia"/>
          <w:szCs w:val="21"/>
          <w:lang w:eastAsia="zh-CN"/>
        </w:rPr>
        <w:t>卖方出具的交货清单正本一份；</w:t>
      </w:r>
    </w:p>
    <w:p>
      <w:pPr>
        <w:adjustRightInd w:val="0"/>
        <w:snapToGrid w:val="0"/>
        <w:spacing w:line="440" w:lineRule="exact"/>
        <w:ind w:firstLine="440" w:firstLineChars="200"/>
        <w:rPr>
          <w:szCs w:val="21"/>
          <w:lang w:eastAsia="zh-CN"/>
        </w:rPr>
      </w:pPr>
      <w:r>
        <w:rPr>
          <w:rFonts w:hint="eastAsia"/>
          <w:szCs w:val="21"/>
          <w:lang w:eastAsia="zh-CN"/>
        </w:rPr>
        <w:t>(2)</w:t>
      </w:r>
      <w:r>
        <w:rPr>
          <w:rFonts w:hint="eastAsia"/>
          <w:szCs w:val="21"/>
          <w:lang w:eastAsia="zh-CN"/>
        </w:rPr>
        <w:tab/>
      </w:r>
      <w:r>
        <w:rPr>
          <w:rFonts w:hint="eastAsia"/>
          <w:szCs w:val="21"/>
          <w:lang w:eastAsia="zh-CN"/>
        </w:rPr>
        <w:t>买方签署的收货清单正本一份；</w:t>
      </w:r>
    </w:p>
    <w:p>
      <w:pPr>
        <w:adjustRightInd w:val="0"/>
        <w:snapToGrid w:val="0"/>
        <w:spacing w:line="440" w:lineRule="exact"/>
        <w:ind w:firstLine="440" w:firstLineChars="200"/>
        <w:rPr>
          <w:szCs w:val="21"/>
          <w:lang w:eastAsia="zh-CN"/>
        </w:rPr>
      </w:pPr>
      <w:r>
        <w:rPr>
          <w:rFonts w:hint="eastAsia"/>
          <w:szCs w:val="21"/>
          <w:lang w:eastAsia="zh-CN"/>
        </w:rPr>
        <w:t>(3)</w:t>
      </w:r>
      <w:r>
        <w:rPr>
          <w:rFonts w:hint="eastAsia"/>
          <w:szCs w:val="21"/>
          <w:lang w:eastAsia="zh-CN"/>
        </w:rPr>
        <w:tab/>
      </w:r>
      <w:r>
        <w:rPr>
          <w:rFonts w:hint="eastAsia"/>
          <w:szCs w:val="21"/>
          <w:lang w:eastAsia="zh-CN"/>
        </w:rPr>
        <w:t>制造商出具的出厂质量合格证正本一份；</w:t>
      </w:r>
    </w:p>
    <w:p>
      <w:pPr>
        <w:adjustRightInd w:val="0"/>
        <w:snapToGrid w:val="0"/>
        <w:spacing w:line="440" w:lineRule="exact"/>
        <w:ind w:firstLine="440" w:firstLineChars="200"/>
        <w:rPr>
          <w:szCs w:val="21"/>
          <w:lang w:eastAsia="zh-CN"/>
        </w:rPr>
      </w:pPr>
      <w:r>
        <w:rPr>
          <w:rFonts w:hint="eastAsia"/>
          <w:szCs w:val="21"/>
          <w:lang w:eastAsia="zh-CN"/>
        </w:rPr>
        <w:t>(4)</w:t>
      </w:r>
      <w:r>
        <w:rPr>
          <w:rFonts w:hint="eastAsia"/>
          <w:szCs w:val="21"/>
          <w:lang w:eastAsia="zh-CN"/>
        </w:rPr>
        <w:tab/>
      </w:r>
      <w:r>
        <w:rPr>
          <w:rFonts w:hint="eastAsia"/>
          <w:szCs w:val="21"/>
          <w:lang w:eastAsia="zh-CN"/>
        </w:rPr>
        <w:t>合同价格100%金额的増值税发票正本一份。</w:t>
      </w:r>
    </w:p>
    <w:p>
      <w:pPr>
        <w:adjustRightInd w:val="0"/>
        <w:snapToGrid w:val="0"/>
        <w:spacing w:line="440" w:lineRule="exact"/>
        <w:ind w:firstLine="440" w:firstLineChars="200"/>
        <w:outlineLvl w:val="4"/>
        <w:rPr>
          <w:szCs w:val="21"/>
          <w:lang w:eastAsia="zh-CN"/>
        </w:rPr>
      </w:pPr>
      <w:r>
        <w:rPr>
          <w:rFonts w:hint="eastAsia"/>
          <w:szCs w:val="21"/>
          <w:lang w:eastAsia="zh-CN"/>
        </w:rPr>
        <w:t>3.2.3验收款</w:t>
      </w:r>
    </w:p>
    <w:p>
      <w:pPr>
        <w:adjustRightInd w:val="0"/>
        <w:snapToGrid w:val="0"/>
        <w:spacing w:line="440" w:lineRule="exact"/>
        <w:ind w:firstLine="440" w:firstLineChars="200"/>
        <w:rPr>
          <w:szCs w:val="21"/>
          <w:lang w:eastAsia="zh-CN"/>
        </w:rPr>
      </w:pPr>
      <w:r>
        <w:rPr>
          <w:rFonts w:hint="eastAsia"/>
          <w:szCs w:val="21"/>
          <w:lang w:eastAsia="zh-CN"/>
        </w:rPr>
        <w:t>买方在收到卖方提交的买卖双方签署的合同设备验收证书或己生效的验收款支付函正本一份并经审核无误后28日内，向卖方支付合同价格的25%。</w:t>
      </w:r>
    </w:p>
    <w:p>
      <w:pPr>
        <w:adjustRightInd w:val="0"/>
        <w:snapToGrid w:val="0"/>
        <w:spacing w:line="440" w:lineRule="exact"/>
        <w:ind w:firstLine="440" w:firstLineChars="200"/>
        <w:outlineLvl w:val="4"/>
        <w:rPr>
          <w:szCs w:val="21"/>
          <w:lang w:eastAsia="zh-CN"/>
        </w:rPr>
      </w:pPr>
      <w:r>
        <w:rPr>
          <w:rFonts w:hint="eastAsia"/>
          <w:szCs w:val="21"/>
          <w:lang w:eastAsia="zh-CN"/>
        </w:rPr>
        <w:t>3.2.4结清款</w:t>
      </w:r>
    </w:p>
    <w:p>
      <w:pPr>
        <w:adjustRightInd w:val="0"/>
        <w:snapToGrid w:val="0"/>
        <w:spacing w:line="440" w:lineRule="exact"/>
        <w:ind w:firstLine="440" w:firstLineChars="200"/>
        <w:rPr>
          <w:szCs w:val="21"/>
          <w:lang w:eastAsia="zh-CN"/>
        </w:rPr>
      </w:pPr>
      <w:r>
        <w:rPr>
          <w:rFonts w:hint="eastAsia"/>
          <w:szCs w:val="21"/>
          <w:lang w:eastAsia="zh-CN"/>
        </w:rPr>
        <w:t>买方在收到卖方提交的买方签署的质量保证期届满证书或己生效的结清款支付函正本一份并经审核无误后28日内，向卖方支付合同价格的5%。</w:t>
      </w:r>
    </w:p>
    <w:p>
      <w:pPr>
        <w:adjustRightInd w:val="0"/>
        <w:snapToGrid w:val="0"/>
        <w:spacing w:line="440" w:lineRule="exact"/>
        <w:ind w:firstLine="440" w:firstLineChars="200"/>
        <w:rPr>
          <w:szCs w:val="21"/>
          <w:lang w:eastAsia="zh-CN"/>
        </w:rPr>
      </w:pPr>
      <w:r>
        <w:rPr>
          <w:rFonts w:hint="eastAsia"/>
          <w:szCs w:val="21"/>
          <w:lang w:eastAsia="zh-CN"/>
        </w:rPr>
        <w:t>如果依照合同第9.1项，卖方应向买方支付费用的，买方有权从结清款中直接扣除该笔费用。</w:t>
      </w:r>
    </w:p>
    <w:p>
      <w:pPr>
        <w:adjustRightInd w:val="0"/>
        <w:snapToGrid w:val="0"/>
        <w:spacing w:line="440" w:lineRule="exact"/>
        <w:ind w:firstLine="440" w:firstLineChars="200"/>
        <w:rPr>
          <w:szCs w:val="21"/>
          <w:lang w:eastAsia="zh-CN"/>
        </w:rPr>
      </w:pPr>
      <w:r>
        <w:rPr>
          <w:rFonts w:hint="eastAsia"/>
          <w:szCs w:val="21"/>
          <w:lang w:eastAsia="zh-CN"/>
        </w:rPr>
        <w:t>除专用合同条款另有约定外，在买方向卖方支付验收款的同时或其后的任何时间内，卖方可在向买方提交买方可接受的金额为合同价格5%的合同结清款保函的前提下，要求买方支付合同结清款，买方不得拒绝。</w:t>
      </w:r>
    </w:p>
    <w:p>
      <w:pPr>
        <w:adjustRightInd w:val="0"/>
        <w:snapToGrid w:val="0"/>
        <w:spacing w:line="440" w:lineRule="exact"/>
        <w:outlineLvl w:val="3"/>
        <w:rPr>
          <w:szCs w:val="21"/>
          <w:lang w:eastAsia="zh-CN"/>
        </w:rPr>
      </w:pPr>
      <w:r>
        <w:rPr>
          <w:rFonts w:hint="eastAsia"/>
          <w:szCs w:val="21"/>
          <w:lang w:eastAsia="zh-CN"/>
        </w:rPr>
        <w:t>3.3买方扣款的权利</w:t>
      </w:r>
    </w:p>
    <w:p>
      <w:pPr>
        <w:adjustRightInd w:val="0"/>
        <w:snapToGrid w:val="0"/>
        <w:spacing w:line="440" w:lineRule="exact"/>
        <w:ind w:firstLine="440" w:firstLineChars="200"/>
        <w:rPr>
          <w:szCs w:val="21"/>
          <w:lang w:eastAsia="zh-CN"/>
        </w:rPr>
      </w:pPr>
      <w:r>
        <w:rPr>
          <w:rFonts w:hint="eastAsia"/>
          <w:szCs w:val="21"/>
          <w:lang w:eastAsia="zh-CN"/>
        </w:rPr>
        <w:t>当卖方应向买方支付合同项下的违约金或赔偿金时，买方有权从上述任何一笔应付款中予以直接扣除和（或）兑付履约保证金。</w:t>
      </w:r>
    </w:p>
    <w:p>
      <w:pPr>
        <w:pStyle w:val="173"/>
        <w:keepNext/>
        <w:keepLines/>
        <w:adjustRightInd w:val="0"/>
        <w:snapToGrid w:val="0"/>
        <w:spacing w:before="0" w:after="0" w:line="440" w:lineRule="exact"/>
        <w:outlineLvl w:val="2"/>
        <w:rPr>
          <w:sz w:val="21"/>
          <w:szCs w:val="21"/>
        </w:rPr>
      </w:pPr>
      <w:bookmarkStart w:id="83" w:name="_Toc102983272"/>
      <w:bookmarkStart w:id="84" w:name="_Toc2114"/>
      <w:bookmarkStart w:id="85" w:name="_Toc12050"/>
      <w:bookmarkStart w:id="86" w:name="_Toc113559473"/>
      <w:bookmarkStart w:id="87" w:name="_Toc19173"/>
      <w:bookmarkStart w:id="88" w:name="_Toc22032761"/>
      <w:bookmarkStart w:id="89" w:name="_Toc335"/>
      <w:r>
        <w:rPr>
          <w:rFonts w:hint="eastAsia"/>
          <w:sz w:val="21"/>
          <w:szCs w:val="21"/>
        </w:rPr>
        <w:t>4.监造及交货前检验</w:t>
      </w:r>
      <w:bookmarkEnd w:id="83"/>
      <w:bookmarkEnd w:id="84"/>
      <w:bookmarkEnd w:id="85"/>
      <w:bookmarkEnd w:id="86"/>
      <w:bookmarkEnd w:id="87"/>
      <w:bookmarkEnd w:id="88"/>
      <w:bookmarkEnd w:id="89"/>
    </w:p>
    <w:p>
      <w:pPr>
        <w:adjustRightInd w:val="0"/>
        <w:snapToGrid w:val="0"/>
        <w:spacing w:line="440" w:lineRule="exact"/>
        <w:outlineLvl w:val="3"/>
        <w:rPr>
          <w:szCs w:val="21"/>
          <w:lang w:eastAsia="zh-CN"/>
        </w:rPr>
      </w:pPr>
      <w:r>
        <w:rPr>
          <w:rFonts w:hint="eastAsia"/>
          <w:szCs w:val="21"/>
          <w:lang w:eastAsia="zh-CN"/>
        </w:rPr>
        <w:t>4.1监造</w:t>
      </w:r>
    </w:p>
    <w:p>
      <w:pPr>
        <w:adjustRightInd w:val="0"/>
        <w:snapToGrid w:val="0"/>
        <w:spacing w:line="440" w:lineRule="exact"/>
        <w:ind w:firstLine="440" w:firstLineChars="200"/>
        <w:rPr>
          <w:szCs w:val="21"/>
          <w:lang w:eastAsia="zh-CN"/>
        </w:rPr>
      </w:pPr>
      <w:r>
        <w:rPr>
          <w:rFonts w:hint="eastAsia"/>
          <w:szCs w:val="21"/>
          <w:lang w:eastAsia="zh-CN"/>
        </w:rPr>
        <w:t>专用合同条款约定买方对合同设备进行监造的，双方应按本款及专用合同条款约定履行。</w:t>
      </w:r>
    </w:p>
    <w:p>
      <w:pPr>
        <w:adjustRightInd w:val="0"/>
        <w:snapToGrid w:val="0"/>
        <w:spacing w:line="440" w:lineRule="exact"/>
        <w:ind w:firstLine="440" w:firstLineChars="200"/>
        <w:rPr>
          <w:szCs w:val="21"/>
          <w:lang w:eastAsia="zh-CN"/>
        </w:rPr>
      </w:pPr>
      <w:r>
        <w:rPr>
          <w:rFonts w:hint="eastAsia"/>
          <w:szCs w:val="21"/>
          <w:lang w:eastAsia="zh-CN"/>
        </w:rPr>
        <w:t>4.1.1在合同设备的制造过程中，买方可派出监造人员，对合同设备的生产制造进行监造，监督合同设备制造、检验等情况。监造的范围、方式等应符合专用合同条款和（或）供货要求等合同文件的约定。</w:t>
      </w:r>
    </w:p>
    <w:p>
      <w:pPr>
        <w:adjustRightInd w:val="0"/>
        <w:snapToGrid w:val="0"/>
        <w:spacing w:line="440" w:lineRule="exact"/>
        <w:ind w:firstLine="440" w:firstLineChars="200"/>
        <w:rPr>
          <w:szCs w:val="21"/>
          <w:lang w:eastAsia="zh-CN"/>
        </w:rPr>
      </w:pPr>
      <w:r>
        <w:rPr>
          <w:rFonts w:hint="eastAsia"/>
          <w:szCs w:val="21"/>
          <w:lang w:eastAsia="zh-CN"/>
        </w:rPr>
        <w:t>4.1.2除专用合同条款和（或）供货要求等合同文件另有约定外，买方监造人员可到合同设备及其关键部件的生产制造现场进行监造，卖方应予配合。卖方应免费为买方监造人员提供工作条件及便利，包括但不限于必要的办公场所、技术资料、检测工具及出入许可等。除专用合同条款另有约定外，买方监造人员的交通、食宿费用由买方承担。</w:t>
      </w:r>
    </w:p>
    <w:p>
      <w:pPr>
        <w:adjustRightInd w:val="0"/>
        <w:snapToGrid w:val="0"/>
        <w:spacing w:line="440" w:lineRule="exact"/>
        <w:ind w:firstLine="440" w:firstLineChars="200"/>
        <w:rPr>
          <w:szCs w:val="21"/>
          <w:lang w:eastAsia="zh-CN"/>
        </w:rPr>
      </w:pPr>
      <w:r>
        <w:rPr>
          <w:rFonts w:hint="eastAsia"/>
          <w:szCs w:val="21"/>
          <w:lang w:eastAsia="zh-CN"/>
        </w:rPr>
        <w:t>4.1.3卖方制订生产制造合同设备的进度计划时，应将买方监造纳入计划安排，并提前通知买方；买方进行监造不应影响合同设备的正常生产。除专用合同条款和（或）供货要求等合同文件另有约定外，卖方应提前7日将需要买方监造人员现场监造事项通知买方；如买方监造人员未按通知出席，不影响合同设备及其关键部件的制造或检验，但买方监造人员有权事后了解、查阅、复制相关制造或检验记录。</w:t>
      </w:r>
    </w:p>
    <w:p>
      <w:pPr>
        <w:adjustRightInd w:val="0"/>
        <w:snapToGrid w:val="0"/>
        <w:spacing w:line="440" w:lineRule="exact"/>
        <w:ind w:firstLine="440" w:firstLineChars="200"/>
        <w:rPr>
          <w:szCs w:val="21"/>
          <w:lang w:eastAsia="zh-CN"/>
        </w:rPr>
      </w:pPr>
      <w:r>
        <w:rPr>
          <w:rFonts w:hint="eastAsia"/>
          <w:szCs w:val="21"/>
          <w:lang w:eastAsia="zh-CN"/>
        </w:rPr>
        <w:t>4.1.4买方监造人员在监造中如发现合同设备及其关键部件不符合合同约定的标准，则有权提出意见和建议。卖方应采取必要措施消除合同设备的不符，由此増加的费用和（或）造成的延误由卖方负责。</w:t>
      </w:r>
    </w:p>
    <w:p>
      <w:pPr>
        <w:adjustRightInd w:val="0"/>
        <w:snapToGrid w:val="0"/>
        <w:spacing w:line="440" w:lineRule="exact"/>
        <w:ind w:firstLine="440" w:firstLineChars="200"/>
        <w:rPr>
          <w:szCs w:val="21"/>
          <w:lang w:eastAsia="zh-CN"/>
        </w:rPr>
      </w:pPr>
      <w:r>
        <w:rPr>
          <w:rFonts w:hint="eastAsia"/>
          <w:szCs w:val="21"/>
          <w:lang w:eastAsia="zh-CN"/>
        </w:rPr>
        <w:t>4.1.5买方监造人员对合同设备的监造，不视为对合同设备质量的确认，不影响卖方交货后买方依照合同约定对合同设备提出质量异议和（或）退货的权利，也不免除卖方依照合同约定对合同设备所应承担的任何义务或责任。</w:t>
      </w:r>
    </w:p>
    <w:p>
      <w:pPr>
        <w:adjustRightInd w:val="0"/>
        <w:snapToGrid w:val="0"/>
        <w:spacing w:line="440" w:lineRule="exact"/>
        <w:outlineLvl w:val="3"/>
        <w:rPr>
          <w:szCs w:val="21"/>
          <w:lang w:eastAsia="zh-CN"/>
        </w:rPr>
      </w:pPr>
      <w:r>
        <w:rPr>
          <w:rFonts w:hint="eastAsia"/>
          <w:szCs w:val="21"/>
          <w:lang w:eastAsia="zh-CN"/>
        </w:rPr>
        <w:t>4.2交货前检验</w:t>
      </w:r>
    </w:p>
    <w:p>
      <w:pPr>
        <w:adjustRightInd w:val="0"/>
        <w:snapToGrid w:val="0"/>
        <w:spacing w:line="440" w:lineRule="exact"/>
        <w:ind w:firstLine="440" w:firstLineChars="200"/>
        <w:rPr>
          <w:szCs w:val="21"/>
          <w:lang w:eastAsia="zh-CN"/>
        </w:rPr>
      </w:pPr>
      <w:r>
        <w:rPr>
          <w:rFonts w:hint="eastAsia"/>
          <w:szCs w:val="21"/>
          <w:lang w:eastAsia="zh-CN"/>
        </w:rPr>
        <w:t>专用合同条款约定买方参与交货前检验的，双方应按本款及专用合同条款约定履行。</w:t>
      </w:r>
    </w:p>
    <w:p>
      <w:pPr>
        <w:adjustRightInd w:val="0"/>
        <w:snapToGrid w:val="0"/>
        <w:spacing w:line="440" w:lineRule="exact"/>
        <w:ind w:firstLine="440" w:firstLineChars="200"/>
        <w:rPr>
          <w:szCs w:val="21"/>
          <w:lang w:eastAsia="zh-CN"/>
        </w:rPr>
      </w:pPr>
      <w:r>
        <w:rPr>
          <w:rFonts w:hint="eastAsia"/>
          <w:szCs w:val="21"/>
          <w:lang w:eastAsia="zh-CN"/>
        </w:rPr>
        <w:t>4.2.1合同设备交货前，卖方应会同买方代表根据合同约定对合同设备进行交货前检验并出具交货前检验记录，有关费用由卖方承担。卖方应免费为买方代表提供工作条件及便利，包括但不限于必要的办公场所、技术资料、检测工具及出入许可等。除专用合同条款另有约定外，买方代表的交通、食宿费用由买方承担。</w:t>
      </w:r>
    </w:p>
    <w:p>
      <w:pPr>
        <w:adjustRightInd w:val="0"/>
        <w:snapToGrid w:val="0"/>
        <w:spacing w:line="440" w:lineRule="exact"/>
        <w:ind w:firstLine="440" w:firstLineChars="200"/>
        <w:rPr>
          <w:szCs w:val="21"/>
          <w:lang w:eastAsia="zh-CN"/>
        </w:rPr>
      </w:pPr>
      <w:r>
        <w:rPr>
          <w:rFonts w:hint="eastAsia"/>
          <w:szCs w:val="21"/>
          <w:lang w:eastAsia="zh-CN"/>
        </w:rPr>
        <w:t>4.2.2除专用合同条款和（或）供货要求等合同文件另有约定外，卖方应提前7日将需要买方代表检验事项通知买方；如买方代表未按通知出席，不影响合同设备的检验。若卖方未依照合同约定提前通知买方而自行检验，则买方有权要求卖方暂停发货并重新进行检验，由此増加的费用和（或）造成的延误由卖方负责。</w:t>
      </w:r>
    </w:p>
    <w:p>
      <w:pPr>
        <w:adjustRightInd w:val="0"/>
        <w:snapToGrid w:val="0"/>
        <w:spacing w:line="440" w:lineRule="exact"/>
        <w:ind w:firstLine="440" w:firstLineChars="200"/>
        <w:rPr>
          <w:szCs w:val="21"/>
          <w:lang w:eastAsia="zh-CN"/>
        </w:rPr>
      </w:pPr>
      <w:r>
        <w:rPr>
          <w:rFonts w:hint="eastAsia"/>
          <w:szCs w:val="21"/>
          <w:lang w:eastAsia="zh-CN"/>
        </w:rPr>
        <w:t>4.2.3买方代表在检验中如发现合同设备不符合合同约定的标准，则有权提出异议。卖方应采取必要措施消除合同设备的不符，由此増加的费用和（或）造成的延误由卖方负责。</w:t>
      </w:r>
    </w:p>
    <w:p>
      <w:pPr>
        <w:adjustRightInd w:val="0"/>
        <w:snapToGrid w:val="0"/>
        <w:spacing w:line="440" w:lineRule="exact"/>
        <w:ind w:firstLine="440" w:firstLineChars="200"/>
        <w:rPr>
          <w:szCs w:val="21"/>
          <w:lang w:eastAsia="zh-CN"/>
        </w:rPr>
      </w:pPr>
      <w:r>
        <w:rPr>
          <w:rFonts w:hint="eastAsia"/>
          <w:szCs w:val="21"/>
          <w:lang w:eastAsia="zh-CN"/>
        </w:rPr>
        <w:t>4.2.4买方代表参与交货前检验及签署交货前检验记录的行为，不视为对合同设备质量的确认，不影响卖方交货后买方依照合同约定对合同设备提出质量异议和（或）退货的权利，也不免除卖方依照合同约定对合同设备所应承担的任何义务或责任。</w:t>
      </w:r>
    </w:p>
    <w:p>
      <w:pPr>
        <w:pStyle w:val="173"/>
        <w:keepNext/>
        <w:keepLines/>
        <w:adjustRightInd w:val="0"/>
        <w:snapToGrid w:val="0"/>
        <w:spacing w:before="0" w:after="0" w:line="440" w:lineRule="exact"/>
        <w:outlineLvl w:val="2"/>
        <w:rPr>
          <w:sz w:val="21"/>
          <w:szCs w:val="21"/>
        </w:rPr>
      </w:pPr>
      <w:bookmarkStart w:id="90" w:name="_Toc5180"/>
      <w:bookmarkStart w:id="91" w:name="_Toc113559474"/>
      <w:bookmarkStart w:id="92" w:name="_Toc4308"/>
      <w:bookmarkStart w:id="93" w:name="_Toc102983273"/>
      <w:bookmarkStart w:id="94" w:name="_Toc22032762"/>
      <w:bookmarkStart w:id="95" w:name="_Toc13941"/>
      <w:bookmarkStart w:id="96" w:name="_Toc19205"/>
      <w:r>
        <w:rPr>
          <w:rFonts w:hint="eastAsia"/>
          <w:sz w:val="21"/>
          <w:szCs w:val="21"/>
        </w:rPr>
        <w:t>5.包装、标记、运输和交付</w:t>
      </w:r>
      <w:bookmarkEnd w:id="90"/>
      <w:bookmarkEnd w:id="91"/>
      <w:bookmarkEnd w:id="92"/>
      <w:bookmarkEnd w:id="93"/>
      <w:bookmarkEnd w:id="94"/>
      <w:bookmarkEnd w:id="95"/>
      <w:bookmarkEnd w:id="96"/>
    </w:p>
    <w:p>
      <w:pPr>
        <w:adjustRightInd w:val="0"/>
        <w:snapToGrid w:val="0"/>
        <w:spacing w:line="440" w:lineRule="exact"/>
        <w:outlineLvl w:val="3"/>
        <w:rPr>
          <w:szCs w:val="21"/>
          <w:lang w:eastAsia="zh-CN"/>
        </w:rPr>
      </w:pPr>
      <w:r>
        <w:rPr>
          <w:rFonts w:hint="eastAsia"/>
          <w:szCs w:val="21"/>
          <w:lang w:eastAsia="zh-CN"/>
        </w:rPr>
        <w:t>5.1包装</w:t>
      </w:r>
    </w:p>
    <w:p>
      <w:pPr>
        <w:adjustRightInd w:val="0"/>
        <w:snapToGrid w:val="0"/>
        <w:spacing w:line="440" w:lineRule="exact"/>
        <w:ind w:firstLine="440" w:firstLineChars="200"/>
        <w:rPr>
          <w:szCs w:val="21"/>
          <w:lang w:eastAsia="zh-CN"/>
        </w:rPr>
      </w:pPr>
      <w:r>
        <w:rPr>
          <w:rFonts w:hint="eastAsia"/>
          <w:szCs w:val="21"/>
          <w:lang w:eastAsia="zh-CN"/>
        </w:rPr>
        <w:t>5.1.1卖方应对合同设备进行妥善包装，以满足合同设备运至施工场地及在施工场地保管的需要。包装应采取防潮、防晒、防锈、防腐蚀、防震动及防止其它损坏的必要保护措施，从而保护合同设备能够经受多次搬运、装卸、长途运输并适宜保管。</w:t>
      </w:r>
    </w:p>
    <w:p>
      <w:pPr>
        <w:adjustRightInd w:val="0"/>
        <w:snapToGrid w:val="0"/>
        <w:spacing w:line="440" w:lineRule="exact"/>
        <w:ind w:firstLine="440" w:firstLineChars="200"/>
        <w:rPr>
          <w:szCs w:val="21"/>
          <w:lang w:eastAsia="zh-CN"/>
        </w:rPr>
      </w:pPr>
      <w:r>
        <w:rPr>
          <w:rFonts w:hint="eastAsia"/>
          <w:szCs w:val="21"/>
          <w:lang w:eastAsia="zh-CN"/>
        </w:rPr>
        <w:t>5.1.2每个独立包装箱内应附装箱清单、质量合格证、装配图、说明书、操作指南等资料。</w:t>
      </w:r>
    </w:p>
    <w:p>
      <w:pPr>
        <w:adjustRightInd w:val="0"/>
        <w:snapToGrid w:val="0"/>
        <w:spacing w:line="440" w:lineRule="exact"/>
        <w:ind w:firstLine="440" w:firstLineChars="200"/>
        <w:rPr>
          <w:szCs w:val="21"/>
          <w:lang w:eastAsia="zh-CN"/>
        </w:rPr>
      </w:pPr>
      <w:r>
        <w:rPr>
          <w:rFonts w:hint="eastAsia"/>
          <w:szCs w:val="21"/>
          <w:lang w:eastAsia="zh-CN"/>
        </w:rPr>
        <w:t>5.1.3除专用合同条款另有约定外，买方无需将包装物退还给卖方。</w:t>
      </w:r>
    </w:p>
    <w:p>
      <w:pPr>
        <w:adjustRightInd w:val="0"/>
        <w:snapToGrid w:val="0"/>
        <w:spacing w:line="440" w:lineRule="exact"/>
        <w:outlineLvl w:val="3"/>
        <w:rPr>
          <w:szCs w:val="21"/>
          <w:lang w:eastAsia="zh-CN"/>
        </w:rPr>
      </w:pPr>
      <w:r>
        <w:rPr>
          <w:rFonts w:hint="eastAsia"/>
          <w:szCs w:val="21"/>
          <w:lang w:eastAsia="zh-CN"/>
        </w:rPr>
        <w:t>5.2标记</w:t>
      </w:r>
    </w:p>
    <w:p>
      <w:pPr>
        <w:adjustRightInd w:val="0"/>
        <w:snapToGrid w:val="0"/>
        <w:spacing w:line="440" w:lineRule="exact"/>
        <w:ind w:firstLine="440" w:firstLineChars="200"/>
        <w:rPr>
          <w:szCs w:val="21"/>
          <w:lang w:eastAsia="zh-CN"/>
        </w:rPr>
      </w:pPr>
      <w:r>
        <w:rPr>
          <w:rFonts w:hint="eastAsia"/>
          <w:szCs w:val="21"/>
          <w:lang w:eastAsia="zh-CN"/>
        </w:rPr>
        <w:t>5.2.1除专用合同条款另有约定外，卖方应在每一包装箱相邻的四个侧面以不可擦除的、明显的方式标记必要的装运信息和标记，以满足合同设备运输和保管的需要。</w:t>
      </w:r>
    </w:p>
    <w:p>
      <w:pPr>
        <w:adjustRightInd w:val="0"/>
        <w:snapToGrid w:val="0"/>
        <w:spacing w:line="440" w:lineRule="exact"/>
        <w:ind w:firstLine="440" w:firstLineChars="200"/>
        <w:rPr>
          <w:szCs w:val="21"/>
          <w:lang w:eastAsia="zh-CN"/>
        </w:rPr>
      </w:pPr>
      <w:r>
        <w:rPr>
          <w:rFonts w:hint="eastAsia"/>
          <w:szCs w:val="21"/>
          <w:lang w:eastAsia="zh-CN"/>
        </w:rPr>
        <w:t>5.2.2根据合同设备的特点和运输、保管的不同要求，卖方应在包装箱上清楚地标注“小心轻放”、“此端朝上，请勿倒置”、“保持干燥”等字样和其他适当标记。对于专用合同条款约定的超大超重件，卖方应在包装箱两侧标注“重心”和“起吊点”以便装卸和搬运。如果发运合同设备中含有易燃易爆物品、腐蚀物品、放射性物质等危险品，则应在包装箱上标明危险品标志。</w:t>
      </w:r>
    </w:p>
    <w:p>
      <w:pPr>
        <w:adjustRightInd w:val="0"/>
        <w:snapToGrid w:val="0"/>
        <w:spacing w:line="440" w:lineRule="exact"/>
        <w:outlineLvl w:val="3"/>
        <w:rPr>
          <w:szCs w:val="21"/>
          <w:lang w:eastAsia="zh-CN"/>
        </w:rPr>
      </w:pPr>
      <w:r>
        <w:rPr>
          <w:rFonts w:hint="eastAsia"/>
          <w:szCs w:val="21"/>
          <w:lang w:eastAsia="zh-CN"/>
        </w:rPr>
        <w:t>5.3运输</w:t>
      </w:r>
    </w:p>
    <w:p>
      <w:pPr>
        <w:adjustRightInd w:val="0"/>
        <w:snapToGrid w:val="0"/>
        <w:spacing w:line="440" w:lineRule="exact"/>
        <w:ind w:firstLine="440" w:firstLineChars="200"/>
        <w:rPr>
          <w:szCs w:val="21"/>
          <w:lang w:eastAsia="zh-CN"/>
        </w:rPr>
      </w:pPr>
      <w:r>
        <w:rPr>
          <w:rFonts w:hint="eastAsia"/>
          <w:szCs w:val="21"/>
          <w:lang w:eastAsia="zh-CN"/>
        </w:rPr>
        <w:t>5.3.1卖方应自行选择适宜的运输工具及线路安排合同设备运输。</w:t>
      </w:r>
    </w:p>
    <w:p>
      <w:pPr>
        <w:adjustRightInd w:val="0"/>
        <w:snapToGrid w:val="0"/>
        <w:spacing w:line="440" w:lineRule="exact"/>
        <w:ind w:firstLine="440" w:firstLineChars="200"/>
        <w:rPr>
          <w:szCs w:val="21"/>
          <w:lang w:eastAsia="zh-CN"/>
        </w:rPr>
      </w:pPr>
      <w:r>
        <w:rPr>
          <w:rFonts w:hint="eastAsia"/>
          <w:szCs w:val="21"/>
          <w:lang w:eastAsia="zh-CN"/>
        </w:rPr>
        <w:t>5.3.2除专用合同条款另有约定外，每件能够独立运行的设备应整套装运。该设备安装、调试、考核和运行所使用的备品、备件、易损易耗件等应随相关的主机一齐装运。</w:t>
      </w:r>
    </w:p>
    <w:p>
      <w:pPr>
        <w:adjustRightInd w:val="0"/>
        <w:snapToGrid w:val="0"/>
        <w:spacing w:line="440" w:lineRule="exact"/>
        <w:ind w:firstLine="440" w:firstLineChars="200"/>
        <w:rPr>
          <w:szCs w:val="21"/>
          <w:lang w:eastAsia="zh-CN"/>
        </w:rPr>
      </w:pPr>
      <w:r>
        <w:rPr>
          <w:rFonts w:hint="eastAsia"/>
          <w:szCs w:val="21"/>
          <w:lang w:eastAsia="zh-CN"/>
        </w:rPr>
        <w:t>5.3.3除专用合同条款另有约定外，卖方应在合同设备预计启运7日前，将合同设备名称、数量、箱数、总毛重、总体积（用m3表示）、每箱尺寸（长x宽x高）、装运合同设备总金额、运输方式、预计交付日期和合同设备在运输、装卸、保管中的注意事项等预通知买方，并在合同设备启运后24小时之内正式通知买方。</w:t>
      </w:r>
    </w:p>
    <w:p>
      <w:pPr>
        <w:adjustRightInd w:val="0"/>
        <w:snapToGrid w:val="0"/>
        <w:spacing w:line="440" w:lineRule="exact"/>
        <w:ind w:firstLine="440" w:firstLineChars="200"/>
        <w:rPr>
          <w:szCs w:val="21"/>
          <w:lang w:eastAsia="zh-CN"/>
        </w:rPr>
      </w:pPr>
      <w:r>
        <w:rPr>
          <w:rFonts w:hint="eastAsia"/>
          <w:szCs w:val="21"/>
          <w:lang w:eastAsia="zh-CN"/>
        </w:rPr>
        <w:t>5.3.4卖方在根据第5.3.3项进行通知时，如果发运合同设备中包括专用合同条款约定的超大超重包装，则卖方应将超大和（或）超重的每个包装箱的重量和尺寸通知买方；如果发运合同设备中包括易燃易爆物品、腐蚀物品、放射性物质等危险品，则危险品的品名、性质、在运输、装卸、保管方面的特殊要求、注意事项和处理意外情况的方法等，也应一并通知买方。</w:t>
      </w:r>
    </w:p>
    <w:p>
      <w:pPr>
        <w:adjustRightInd w:val="0"/>
        <w:snapToGrid w:val="0"/>
        <w:spacing w:line="440" w:lineRule="exact"/>
        <w:outlineLvl w:val="3"/>
        <w:rPr>
          <w:szCs w:val="21"/>
          <w:lang w:eastAsia="zh-CN"/>
        </w:rPr>
      </w:pPr>
      <w:r>
        <w:rPr>
          <w:rFonts w:hint="eastAsia"/>
          <w:szCs w:val="21"/>
          <w:lang w:eastAsia="zh-CN"/>
        </w:rPr>
        <w:t>5.4交付</w:t>
      </w:r>
    </w:p>
    <w:p>
      <w:pPr>
        <w:adjustRightInd w:val="0"/>
        <w:snapToGrid w:val="0"/>
        <w:spacing w:line="440" w:lineRule="exact"/>
        <w:ind w:firstLine="440" w:firstLineChars="200"/>
        <w:rPr>
          <w:szCs w:val="21"/>
          <w:lang w:eastAsia="zh-CN"/>
        </w:rPr>
      </w:pPr>
      <w:r>
        <w:rPr>
          <w:rFonts w:hint="eastAsia"/>
          <w:szCs w:val="21"/>
          <w:lang w:eastAsia="zh-CN"/>
        </w:rPr>
        <w:t>5.4.1除专用合同条款另有约定外，卖方应根据合同约定的交付时间和批次在施工场地车面上将合同设备交付给买方。买方对卖方交付的包装的合同设备的外观及件数进行清点核验后应签发收货清单，并自负风险和费用进行卸货。买方签发收货清单不代表对合同设备的接受，双方还应按合同约定进行后续的检验和验收。</w:t>
      </w:r>
    </w:p>
    <w:p>
      <w:pPr>
        <w:adjustRightInd w:val="0"/>
        <w:snapToGrid w:val="0"/>
        <w:spacing w:line="440" w:lineRule="exact"/>
        <w:ind w:firstLine="440" w:firstLineChars="200"/>
        <w:rPr>
          <w:szCs w:val="21"/>
          <w:lang w:eastAsia="zh-CN"/>
        </w:rPr>
      </w:pPr>
      <w:r>
        <w:rPr>
          <w:rFonts w:hint="eastAsia"/>
          <w:szCs w:val="21"/>
          <w:lang w:eastAsia="zh-CN"/>
        </w:rPr>
        <w:t>5.4.2合同设备的所有权和风险自交付时起由卖方转移至买方，合同设备交付给买方之前包括运输在内的所有风险均由卖方承担。</w:t>
      </w:r>
    </w:p>
    <w:p>
      <w:pPr>
        <w:adjustRightInd w:val="0"/>
        <w:snapToGrid w:val="0"/>
        <w:spacing w:line="440" w:lineRule="exact"/>
        <w:ind w:firstLine="440" w:firstLineChars="200"/>
        <w:rPr>
          <w:szCs w:val="21"/>
          <w:lang w:eastAsia="zh-CN"/>
        </w:rPr>
      </w:pPr>
      <w:r>
        <w:rPr>
          <w:rFonts w:hint="eastAsia"/>
          <w:szCs w:val="21"/>
          <w:lang w:eastAsia="zh-CN"/>
        </w:rPr>
        <w:t>5.4.3除专用合同条款另有约定外，买方如果发现技术资料存在短缺和（或）损坏，卖方应在收到买方的通知后7日内免费补齐短缺和（或）损坏的部分。如果买方发现卖方提供的技术资料有误，卖方应在收到买方通知后7日内免费替换。如由于买方原因导致技术资料丢失和（或)损坏，卖方应在收到买方的通知后7日内补齐丢失和（或）损坏的部分，但买方应向卖方支付合理的复制、邮寄费用。</w:t>
      </w:r>
    </w:p>
    <w:p>
      <w:pPr>
        <w:pStyle w:val="173"/>
        <w:keepNext/>
        <w:keepLines/>
        <w:adjustRightInd w:val="0"/>
        <w:snapToGrid w:val="0"/>
        <w:spacing w:before="0" w:after="0" w:line="440" w:lineRule="exact"/>
        <w:outlineLvl w:val="2"/>
        <w:rPr>
          <w:sz w:val="21"/>
          <w:szCs w:val="21"/>
        </w:rPr>
      </w:pPr>
      <w:bookmarkStart w:id="97" w:name="_Toc17297"/>
      <w:bookmarkStart w:id="98" w:name="_Toc102983274"/>
      <w:bookmarkStart w:id="99" w:name="_Toc31355"/>
      <w:bookmarkStart w:id="100" w:name="_Toc22032763"/>
      <w:bookmarkStart w:id="101" w:name="_Toc8410"/>
      <w:bookmarkStart w:id="102" w:name="_Toc12031"/>
      <w:bookmarkStart w:id="103" w:name="_Toc113559475"/>
      <w:r>
        <w:rPr>
          <w:rFonts w:hint="eastAsia"/>
          <w:sz w:val="21"/>
          <w:szCs w:val="21"/>
        </w:rPr>
        <w:t>6.开箱检验、安装、调试、考核、验收</w:t>
      </w:r>
      <w:bookmarkEnd w:id="97"/>
      <w:bookmarkEnd w:id="98"/>
      <w:bookmarkEnd w:id="99"/>
      <w:bookmarkEnd w:id="100"/>
      <w:bookmarkEnd w:id="101"/>
      <w:bookmarkEnd w:id="102"/>
      <w:bookmarkEnd w:id="103"/>
    </w:p>
    <w:p>
      <w:pPr>
        <w:adjustRightInd w:val="0"/>
        <w:snapToGrid w:val="0"/>
        <w:spacing w:line="440" w:lineRule="exact"/>
        <w:outlineLvl w:val="3"/>
        <w:rPr>
          <w:szCs w:val="21"/>
          <w:lang w:eastAsia="zh-CN"/>
        </w:rPr>
      </w:pPr>
      <w:r>
        <w:rPr>
          <w:rFonts w:hint="eastAsia"/>
          <w:szCs w:val="21"/>
          <w:lang w:eastAsia="zh-CN"/>
        </w:rPr>
        <w:t>6.1开箱检验</w:t>
      </w:r>
    </w:p>
    <w:p>
      <w:pPr>
        <w:adjustRightInd w:val="0"/>
        <w:snapToGrid w:val="0"/>
        <w:spacing w:line="440" w:lineRule="exact"/>
        <w:ind w:firstLine="440" w:firstLineChars="200"/>
        <w:rPr>
          <w:szCs w:val="21"/>
          <w:lang w:eastAsia="zh-CN"/>
        </w:rPr>
      </w:pPr>
      <w:r>
        <w:rPr>
          <w:rFonts w:hint="eastAsia"/>
          <w:szCs w:val="21"/>
          <w:lang w:eastAsia="zh-CN"/>
        </w:rPr>
        <w:t>6.1.1合同设备交付后应进行开箱检验，即合同设备数量及外观检验。开箱检验在专用合同条款约定的下列任一种时间进行：</w:t>
      </w:r>
    </w:p>
    <w:p>
      <w:pPr>
        <w:adjustRightInd w:val="0"/>
        <w:snapToGrid w:val="0"/>
        <w:spacing w:line="440" w:lineRule="exact"/>
        <w:ind w:firstLine="440" w:firstLineChars="200"/>
        <w:rPr>
          <w:szCs w:val="21"/>
          <w:lang w:eastAsia="zh-CN"/>
        </w:rPr>
      </w:pPr>
      <w:r>
        <w:rPr>
          <w:rFonts w:hint="eastAsia"/>
          <w:szCs w:val="21"/>
          <w:lang w:eastAsia="zh-CN"/>
        </w:rPr>
        <w:t>(1)</w:t>
      </w:r>
      <w:r>
        <w:rPr>
          <w:rFonts w:hint="eastAsia"/>
          <w:szCs w:val="21"/>
          <w:lang w:eastAsia="zh-CN"/>
        </w:rPr>
        <w:tab/>
      </w:r>
      <w:r>
        <w:rPr>
          <w:rFonts w:hint="eastAsia"/>
          <w:szCs w:val="21"/>
          <w:lang w:eastAsia="zh-CN"/>
        </w:rPr>
        <w:t>合同设备交付时；</w:t>
      </w:r>
    </w:p>
    <w:p>
      <w:pPr>
        <w:adjustRightInd w:val="0"/>
        <w:snapToGrid w:val="0"/>
        <w:spacing w:line="440" w:lineRule="exact"/>
        <w:ind w:firstLine="440" w:firstLineChars="200"/>
        <w:rPr>
          <w:szCs w:val="21"/>
          <w:lang w:eastAsia="zh-CN"/>
        </w:rPr>
      </w:pPr>
      <w:r>
        <w:rPr>
          <w:rFonts w:hint="eastAsia"/>
          <w:szCs w:val="21"/>
          <w:lang w:eastAsia="zh-CN"/>
        </w:rPr>
        <w:t>(2)</w:t>
      </w:r>
      <w:r>
        <w:rPr>
          <w:rFonts w:hint="eastAsia"/>
          <w:szCs w:val="21"/>
          <w:lang w:eastAsia="zh-CN"/>
        </w:rPr>
        <w:tab/>
      </w:r>
      <w:r>
        <w:rPr>
          <w:rFonts w:hint="eastAsia"/>
          <w:szCs w:val="21"/>
          <w:lang w:eastAsia="zh-CN"/>
        </w:rPr>
        <w:t>合同设备交付后的一定期限内。</w:t>
      </w:r>
    </w:p>
    <w:p>
      <w:pPr>
        <w:adjustRightInd w:val="0"/>
        <w:snapToGrid w:val="0"/>
        <w:spacing w:line="440" w:lineRule="exact"/>
        <w:ind w:firstLine="440" w:firstLineChars="200"/>
        <w:rPr>
          <w:szCs w:val="21"/>
          <w:lang w:eastAsia="zh-CN"/>
        </w:rPr>
      </w:pPr>
      <w:r>
        <w:rPr>
          <w:rFonts w:hint="eastAsia"/>
          <w:szCs w:val="21"/>
          <w:lang w:eastAsia="zh-CN"/>
        </w:rPr>
        <w:t>如开箱检验不在合同设备交付时进行，买方应在开箱检验3日前将开箱检验的时间和地点通知卖方。</w:t>
      </w:r>
    </w:p>
    <w:p>
      <w:pPr>
        <w:adjustRightInd w:val="0"/>
        <w:snapToGrid w:val="0"/>
        <w:spacing w:line="440" w:lineRule="exact"/>
        <w:ind w:firstLine="440" w:firstLineChars="200"/>
        <w:rPr>
          <w:szCs w:val="21"/>
          <w:lang w:eastAsia="zh-CN"/>
        </w:rPr>
      </w:pPr>
      <w:r>
        <w:rPr>
          <w:rFonts w:hint="eastAsia"/>
          <w:szCs w:val="21"/>
          <w:lang w:eastAsia="zh-CN"/>
        </w:rPr>
        <w:t>6.1.2除专用合同条款另有约定外，合同设备的开箱检验应在施工场地进行。</w:t>
      </w:r>
    </w:p>
    <w:p>
      <w:pPr>
        <w:adjustRightInd w:val="0"/>
        <w:snapToGrid w:val="0"/>
        <w:spacing w:line="440" w:lineRule="exact"/>
        <w:ind w:firstLine="440" w:firstLineChars="200"/>
        <w:rPr>
          <w:szCs w:val="21"/>
          <w:lang w:eastAsia="zh-CN"/>
        </w:rPr>
      </w:pPr>
      <w:r>
        <w:rPr>
          <w:rFonts w:hint="eastAsia"/>
          <w:szCs w:val="21"/>
          <w:lang w:eastAsia="zh-CN"/>
        </w:rPr>
        <w:t>6.1.3开箱检验由买卖双方共同进行，卖方应自负费用派遣代表到场参加开箱检验。</w:t>
      </w:r>
    </w:p>
    <w:p>
      <w:pPr>
        <w:adjustRightInd w:val="0"/>
        <w:snapToGrid w:val="0"/>
        <w:spacing w:line="440" w:lineRule="exact"/>
        <w:ind w:firstLine="440" w:firstLineChars="200"/>
        <w:rPr>
          <w:szCs w:val="21"/>
          <w:lang w:eastAsia="zh-CN"/>
        </w:rPr>
      </w:pPr>
      <w:r>
        <w:rPr>
          <w:rFonts w:hint="eastAsia"/>
          <w:szCs w:val="21"/>
          <w:lang w:eastAsia="zh-CN"/>
        </w:rPr>
        <w:t>6.1.4在开箱检验中，买方和卖方应共同签署数量、外观检验报告，报告应列明检验结果，包括检验合格或发现的任何短缺、损坏或其它与合同约定不符的情形。</w:t>
      </w:r>
    </w:p>
    <w:p>
      <w:pPr>
        <w:adjustRightInd w:val="0"/>
        <w:snapToGrid w:val="0"/>
        <w:spacing w:line="440" w:lineRule="exact"/>
        <w:ind w:firstLine="440" w:firstLineChars="200"/>
        <w:rPr>
          <w:szCs w:val="21"/>
          <w:lang w:eastAsia="zh-CN"/>
        </w:rPr>
      </w:pPr>
      <w:r>
        <w:rPr>
          <w:rFonts w:hint="eastAsia"/>
          <w:szCs w:val="21"/>
          <w:lang w:eastAsia="zh-CN"/>
        </w:rPr>
        <w:t>6.1.5如果卖方代表未能依约或按买方通知到场参加开箱检验，买方有权在卖方代表未在场的情况下进行开箱检验，并签署数量、外观检验报告，对于该检验报告和检验结果，视为卖方己接受，但卖方确有合理理由且事先与买方协商推迟开箱检验时间的除外。</w:t>
      </w:r>
    </w:p>
    <w:p>
      <w:pPr>
        <w:adjustRightInd w:val="0"/>
        <w:snapToGrid w:val="0"/>
        <w:spacing w:line="440" w:lineRule="exact"/>
        <w:ind w:firstLine="440" w:firstLineChars="200"/>
        <w:rPr>
          <w:szCs w:val="21"/>
          <w:lang w:eastAsia="zh-CN"/>
        </w:rPr>
      </w:pPr>
      <w:r>
        <w:rPr>
          <w:rFonts w:hint="eastAsia"/>
          <w:szCs w:val="21"/>
          <w:lang w:eastAsia="zh-CN"/>
        </w:rPr>
        <w:t>6.1.6如开箱检验不在合同设备交付时进行，则合同设备交付以后到开箱检验之前，应由买方负责按交货时外包装原样对合同设备进行妥善保管。除专用合同条款另有约定外，在开箱检验时如果合同设备外包装与交货时一致，则开箱检验中发现的合同设备的短缺、损坏或其它与合同约定不符的情形，由卖方负责，卖方应补齐、更换及采取其他补救措施。如果在开箱检验时合同设备外包装不是交货时的包装或虽是交货时的包装但与交货时不一致且出现很可能导致合同设备短缺或损坏的包装破损，则开箱检验中发现合同设备短缺、损坏或其它与合同约定不符的情形的风险，由买方承担，但买方能够证明是由于卖方原因或合同设备交付前非买方原因导致的除外。</w:t>
      </w:r>
    </w:p>
    <w:p>
      <w:pPr>
        <w:adjustRightInd w:val="0"/>
        <w:snapToGrid w:val="0"/>
        <w:spacing w:line="440" w:lineRule="exact"/>
        <w:ind w:firstLine="440" w:firstLineChars="200"/>
        <w:rPr>
          <w:szCs w:val="21"/>
          <w:lang w:eastAsia="zh-CN"/>
        </w:rPr>
      </w:pPr>
      <w:r>
        <w:rPr>
          <w:rFonts w:hint="eastAsia"/>
          <w:szCs w:val="21"/>
          <w:lang w:eastAsia="zh-CN"/>
        </w:rPr>
        <w:t>6.1.7如双方在专用合同条款和（或）供货要求等合同文件中约定由第三方检测机构对合同设备进行开箱检验或在开箱检验过程中另行约定由第三方检验的，则第三方检测机构的检验结果对双方均具有约束力。</w:t>
      </w:r>
    </w:p>
    <w:p>
      <w:pPr>
        <w:adjustRightInd w:val="0"/>
        <w:snapToGrid w:val="0"/>
        <w:spacing w:line="440" w:lineRule="exact"/>
        <w:ind w:firstLine="440" w:firstLineChars="200"/>
        <w:rPr>
          <w:szCs w:val="21"/>
          <w:lang w:eastAsia="zh-CN"/>
        </w:rPr>
      </w:pPr>
      <w:r>
        <w:rPr>
          <w:rFonts w:hint="eastAsia"/>
          <w:szCs w:val="21"/>
          <w:lang w:eastAsia="zh-CN"/>
        </w:rPr>
        <w:t>6.1.8开箱检验的检验结果不能对抗在合同设备的安装、调试、考核、验收中及质量保证期内发现的合同设备质量问题，也不能免除或影响卖方依照合同约定对买方负有的包括合同设备质量在内的任何义务或责任。</w:t>
      </w:r>
    </w:p>
    <w:p>
      <w:pPr>
        <w:adjustRightInd w:val="0"/>
        <w:snapToGrid w:val="0"/>
        <w:spacing w:line="440" w:lineRule="exact"/>
        <w:outlineLvl w:val="3"/>
        <w:rPr>
          <w:szCs w:val="21"/>
          <w:lang w:eastAsia="zh-CN"/>
        </w:rPr>
      </w:pPr>
      <w:r>
        <w:rPr>
          <w:rFonts w:hint="eastAsia"/>
          <w:szCs w:val="21"/>
          <w:lang w:eastAsia="zh-CN"/>
        </w:rPr>
        <w:t>6.2安装、调试</w:t>
      </w:r>
    </w:p>
    <w:p>
      <w:pPr>
        <w:adjustRightInd w:val="0"/>
        <w:snapToGrid w:val="0"/>
        <w:spacing w:line="440" w:lineRule="exact"/>
        <w:ind w:firstLine="440" w:firstLineChars="200"/>
        <w:rPr>
          <w:szCs w:val="21"/>
          <w:lang w:eastAsia="zh-CN"/>
        </w:rPr>
      </w:pPr>
      <w:r>
        <w:rPr>
          <w:rFonts w:hint="eastAsia"/>
          <w:szCs w:val="21"/>
          <w:lang w:eastAsia="zh-CN"/>
        </w:rPr>
        <w:t>6.2.1开箱检验完成后，双方应对合同设备进行安装、调试，以使其具备考核的状态。安装、调试应按照专用合同条款约定的下列任一种方式进行：</w:t>
      </w:r>
    </w:p>
    <w:p>
      <w:pPr>
        <w:adjustRightInd w:val="0"/>
        <w:snapToGrid w:val="0"/>
        <w:spacing w:line="440" w:lineRule="exact"/>
        <w:ind w:firstLine="440" w:firstLineChars="200"/>
        <w:rPr>
          <w:szCs w:val="21"/>
          <w:lang w:eastAsia="zh-CN"/>
        </w:rPr>
      </w:pPr>
      <w:r>
        <w:rPr>
          <w:rFonts w:hint="eastAsia"/>
          <w:szCs w:val="21"/>
          <w:lang w:eastAsia="zh-CN"/>
        </w:rPr>
        <w:t>(1)</w:t>
      </w:r>
      <w:r>
        <w:rPr>
          <w:rFonts w:hint="eastAsia"/>
          <w:szCs w:val="21"/>
          <w:lang w:eastAsia="zh-CN"/>
        </w:rPr>
        <w:tab/>
      </w:r>
      <w:r>
        <w:rPr>
          <w:rFonts w:hint="eastAsia"/>
          <w:szCs w:val="21"/>
          <w:lang w:eastAsia="zh-CN"/>
        </w:rPr>
        <w:t>卖方按照合同约定完成合同设备的安装、调试工作；</w:t>
      </w:r>
    </w:p>
    <w:p>
      <w:pPr>
        <w:adjustRightInd w:val="0"/>
        <w:snapToGrid w:val="0"/>
        <w:spacing w:line="440" w:lineRule="exact"/>
        <w:ind w:firstLine="440" w:firstLineChars="200"/>
        <w:rPr>
          <w:szCs w:val="21"/>
          <w:lang w:eastAsia="zh-CN"/>
        </w:rPr>
      </w:pPr>
      <w:r>
        <w:rPr>
          <w:rFonts w:hint="eastAsia"/>
          <w:szCs w:val="21"/>
          <w:lang w:eastAsia="zh-CN"/>
        </w:rPr>
        <w:t>(2)</w:t>
      </w:r>
      <w:r>
        <w:rPr>
          <w:rFonts w:hint="eastAsia"/>
          <w:szCs w:val="21"/>
          <w:lang w:eastAsia="zh-CN"/>
        </w:rPr>
        <w:tab/>
      </w:r>
      <w:r>
        <w:rPr>
          <w:rFonts w:hint="eastAsia"/>
          <w:szCs w:val="21"/>
          <w:lang w:eastAsia="zh-CN"/>
        </w:rPr>
        <w:t>买方或买方安排第三方负责合同设备的安装、调试工作，卖方提供技术服务。</w:t>
      </w:r>
    </w:p>
    <w:p>
      <w:pPr>
        <w:adjustRightInd w:val="0"/>
        <w:snapToGrid w:val="0"/>
        <w:spacing w:line="440" w:lineRule="exact"/>
        <w:ind w:firstLine="440" w:firstLineChars="200"/>
        <w:rPr>
          <w:szCs w:val="21"/>
          <w:lang w:eastAsia="zh-CN"/>
        </w:rPr>
      </w:pPr>
      <w:r>
        <w:rPr>
          <w:rFonts w:hint="eastAsia"/>
          <w:szCs w:val="21"/>
          <w:lang w:eastAsia="zh-CN"/>
        </w:rPr>
        <w:t>除专用合同条款另有约定外，在安装、调试过程中，如由于买方或买方安排的第三方未按照卖方现场服务人员的指导导致安装、调试不成功和（或）出现合同设备损坏，买方应自行承担责任。如在买方或买方安排的第三方按照卖方现场服务人员的指导进行安装、调试的情况下出现安装、调试不成功和（或）造成合同设备损坏的情况，卖方应承担责任。</w:t>
      </w:r>
    </w:p>
    <w:p>
      <w:pPr>
        <w:adjustRightInd w:val="0"/>
        <w:snapToGrid w:val="0"/>
        <w:spacing w:line="440" w:lineRule="exact"/>
        <w:ind w:firstLine="440" w:firstLineChars="200"/>
        <w:rPr>
          <w:szCs w:val="21"/>
          <w:lang w:eastAsia="zh-CN"/>
        </w:rPr>
      </w:pPr>
      <w:r>
        <w:rPr>
          <w:rFonts w:hint="eastAsia"/>
          <w:szCs w:val="21"/>
          <w:lang w:eastAsia="zh-CN"/>
        </w:rPr>
        <w:t>6.2.2除专用合同条款另有约定外，安装、调试中合同设备运行需要的用水、用电、其他动力和原材料（如需要）等均由买方承担。</w:t>
      </w:r>
    </w:p>
    <w:p>
      <w:pPr>
        <w:adjustRightInd w:val="0"/>
        <w:snapToGrid w:val="0"/>
        <w:spacing w:line="440" w:lineRule="exact"/>
        <w:ind w:firstLine="440" w:firstLineChars="200"/>
        <w:outlineLvl w:val="4"/>
        <w:rPr>
          <w:szCs w:val="21"/>
          <w:lang w:eastAsia="zh-CN"/>
        </w:rPr>
      </w:pPr>
      <w:r>
        <w:rPr>
          <w:rFonts w:hint="eastAsia"/>
          <w:szCs w:val="21"/>
          <w:lang w:eastAsia="zh-CN"/>
        </w:rPr>
        <w:t>6.2.3双方应对合同设备的安装、调试情况共同及时进行记录。</w:t>
      </w:r>
    </w:p>
    <w:p>
      <w:pPr>
        <w:adjustRightInd w:val="0"/>
        <w:snapToGrid w:val="0"/>
        <w:spacing w:line="440" w:lineRule="exact"/>
        <w:outlineLvl w:val="3"/>
        <w:rPr>
          <w:szCs w:val="21"/>
          <w:lang w:eastAsia="zh-CN"/>
        </w:rPr>
      </w:pPr>
      <w:r>
        <w:rPr>
          <w:rFonts w:hint="eastAsia"/>
          <w:szCs w:val="21"/>
          <w:lang w:eastAsia="zh-CN"/>
        </w:rPr>
        <w:t>6.3考核</w:t>
      </w:r>
    </w:p>
    <w:p>
      <w:pPr>
        <w:adjustRightInd w:val="0"/>
        <w:snapToGrid w:val="0"/>
        <w:spacing w:line="440" w:lineRule="exact"/>
        <w:ind w:firstLine="440" w:firstLineChars="200"/>
        <w:rPr>
          <w:szCs w:val="21"/>
          <w:lang w:eastAsia="zh-CN"/>
        </w:rPr>
      </w:pPr>
      <w:r>
        <w:rPr>
          <w:rFonts w:hint="eastAsia"/>
          <w:szCs w:val="21"/>
          <w:lang w:eastAsia="zh-CN"/>
        </w:rPr>
        <w:t>6.3.1安装、调试完成后，双方应对合同设备进行考核，以确定合同设备是否达到合同约定的技术性能考核指标。除专用合同条款另有约定外，考核中合同设备运行需要的用水、用电、其他动力和原材料（如需要）等均由买方承担。</w:t>
      </w:r>
    </w:p>
    <w:p>
      <w:pPr>
        <w:adjustRightInd w:val="0"/>
        <w:snapToGrid w:val="0"/>
        <w:spacing w:line="440" w:lineRule="exact"/>
        <w:ind w:firstLine="440" w:firstLineChars="200"/>
        <w:rPr>
          <w:szCs w:val="21"/>
          <w:lang w:eastAsia="zh-CN"/>
        </w:rPr>
      </w:pPr>
      <w:r>
        <w:rPr>
          <w:rFonts w:hint="eastAsia"/>
          <w:szCs w:val="21"/>
          <w:lang w:eastAsia="zh-CN"/>
        </w:rPr>
        <w:t>6.3.2如由于卖方原因合同设备在考核中未能达到合同约定的技术性能考核指标，则卖方应在双方同意的期限内采取措施消除合同设备中存在的缺陷，并在缺陷消除以后，尽快进行再次考核。</w:t>
      </w:r>
    </w:p>
    <w:p>
      <w:pPr>
        <w:adjustRightInd w:val="0"/>
        <w:snapToGrid w:val="0"/>
        <w:spacing w:line="440" w:lineRule="exact"/>
        <w:ind w:firstLine="440" w:firstLineChars="200"/>
        <w:rPr>
          <w:szCs w:val="21"/>
          <w:lang w:eastAsia="zh-CN"/>
        </w:rPr>
      </w:pPr>
      <w:r>
        <w:rPr>
          <w:rFonts w:hint="eastAsia"/>
          <w:szCs w:val="21"/>
          <w:lang w:eastAsia="zh-CN"/>
        </w:rPr>
        <w:t>6.3.3由于卖方原因未能达到技术性能考核指标时，为卖方进行考核的机会不超过三次。如果由于卖方原因，三次考核均未能达到合同约定的技术性能考核指标，则买卖双方应就合同的后续履行进行协商，协商不成的，买方有权解除合同。但如合同中约定了或双方在考核中另行达成了合同设备的最低技术性能考核指标，且合同设备达到了最低技术性能考核指标的，视为合同设备己达到技术性能考核指标，买方无权解除合同，且应接受合同设备，但卖方应按专用合同条款的约定进行减价或向买方支付补偿金。</w:t>
      </w:r>
    </w:p>
    <w:p>
      <w:pPr>
        <w:adjustRightInd w:val="0"/>
        <w:snapToGrid w:val="0"/>
        <w:spacing w:line="440" w:lineRule="exact"/>
        <w:ind w:firstLine="440" w:firstLineChars="200"/>
        <w:rPr>
          <w:szCs w:val="21"/>
          <w:lang w:eastAsia="zh-CN"/>
        </w:rPr>
      </w:pPr>
      <w:r>
        <w:rPr>
          <w:rFonts w:hint="eastAsia"/>
          <w:szCs w:val="21"/>
          <w:lang w:eastAsia="zh-CN"/>
        </w:rPr>
        <w:t>6.3.4如由于买方原因合同设备在考核中未能达到合同约定的技术性能考核指标，则卖方应协助买方安排再次考核。由于买方原因未能达到技术性能考核指标时，为买方进行考核的机会不超过三次。</w:t>
      </w:r>
    </w:p>
    <w:p>
      <w:pPr>
        <w:adjustRightInd w:val="0"/>
        <w:snapToGrid w:val="0"/>
        <w:spacing w:line="440" w:lineRule="exact"/>
        <w:ind w:firstLine="440" w:firstLineChars="200"/>
        <w:rPr>
          <w:szCs w:val="21"/>
          <w:lang w:eastAsia="zh-CN"/>
        </w:rPr>
      </w:pPr>
      <w:r>
        <w:rPr>
          <w:rFonts w:hint="eastAsia"/>
          <w:szCs w:val="21"/>
          <w:lang w:eastAsia="zh-CN"/>
        </w:rPr>
        <w:t>6.3.5考核期间，双方应及时共同记录合同设备的用水、用电、其他动力和原材料（如有)的使用及设备考核情况。对于未达到技术性能考核指标的，应如实记录设备表现、可能原因及处理情况等。</w:t>
      </w:r>
    </w:p>
    <w:p>
      <w:pPr>
        <w:adjustRightInd w:val="0"/>
        <w:snapToGrid w:val="0"/>
        <w:spacing w:line="440" w:lineRule="exact"/>
        <w:outlineLvl w:val="3"/>
        <w:rPr>
          <w:szCs w:val="21"/>
          <w:lang w:eastAsia="zh-CN"/>
        </w:rPr>
      </w:pPr>
      <w:r>
        <w:rPr>
          <w:rFonts w:hint="eastAsia"/>
          <w:szCs w:val="21"/>
          <w:lang w:eastAsia="zh-CN"/>
        </w:rPr>
        <w:t>6.4验收</w:t>
      </w:r>
    </w:p>
    <w:p>
      <w:pPr>
        <w:adjustRightInd w:val="0"/>
        <w:snapToGrid w:val="0"/>
        <w:spacing w:line="440" w:lineRule="exact"/>
        <w:ind w:firstLine="440" w:firstLineChars="200"/>
        <w:rPr>
          <w:szCs w:val="21"/>
          <w:lang w:eastAsia="zh-CN"/>
        </w:rPr>
      </w:pPr>
      <w:r>
        <w:rPr>
          <w:rFonts w:hint="eastAsia"/>
          <w:szCs w:val="21"/>
          <w:lang w:eastAsia="zh-CN"/>
        </w:rPr>
        <w:t>6.4.1如合同设备在考核中达到或视为达到技术性能考核指标，则买卖双方应在考核完成后7日内或专用合同条款另行约定的时间内签署合同设备验收证书一式二份，双方各持一份。验收日期应为合同设备达到或视为达到技术性能考核指标的日期。</w:t>
      </w:r>
    </w:p>
    <w:p>
      <w:pPr>
        <w:adjustRightInd w:val="0"/>
        <w:snapToGrid w:val="0"/>
        <w:spacing w:line="440" w:lineRule="exact"/>
        <w:ind w:firstLine="440" w:firstLineChars="200"/>
        <w:rPr>
          <w:szCs w:val="21"/>
          <w:lang w:eastAsia="zh-CN"/>
        </w:rPr>
      </w:pPr>
      <w:r>
        <w:rPr>
          <w:rFonts w:hint="eastAsia"/>
          <w:szCs w:val="21"/>
          <w:lang w:eastAsia="zh-CN"/>
        </w:rPr>
        <w:t>6.4.2如由于买方原因合同设备在三次考核中均未能达到技术性能考核指标，买卖双方应在考核结束后7日内或专用合同条款另行约定的时间内签署验收款支付函。</w:t>
      </w:r>
    </w:p>
    <w:p>
      <w:pPr>
        <w:adjustRightInd w:val="0"/>
        <w:snapToGrid w:val="0"/>
        <w:spacing w:line="440" w:lineRule="exact"/>
        <w:ind w:firstLine="440" w:firstLineChars="200"/>
        <w:rPr>
          <w:szCs w:val="21"/>
          <w:lang w:eastAsia="zh-CN"/>
        </w:rPr>
      </w:pPr>
      <w:r>
        <w:rPr>
          <w:rFonts w:hint="eastAsia"/>
          <w:szCs w:val="21"/>
          <w:lang w:eastAsia="zh-CN"/>
        </w:rPr>
        <w:t>除专用合同条款另有约定外，卖方有义务在验收款支付函签署后12个月内应买方要求提供相关技术服务，协助买方采取一切必要措施使合同设备达到技术性能考核指标。买方应承担卖方因此产生的全部费用。</w:t>
      </w:r>
    </w:p>
    <w:p>
      <w:pPr>
        <w:adjustRightInd w:val="0"/>
        <w:snapToGrid w:val="0"/>
        <w:spacing w:line="440" w:lineRule="exact"/>
        <w:ind w:firstLine="440" w:firstLineChars="200"/>
        <w:rPr>
          <w:szCs w:val="21"/>
          <w:lang w:eastAsia="zh-CN"/>
        </w:rPr>
      </w:pPr>
      <w:r>
        <w:rPr>
          <w:rFonts w:hint="eastAsia"/>
          <w:szCs w:val="21"/>
          <w:lang w:eastAsia="zh-CN"/>
        </w:rPr>
        <w:t>在上述12个月的期限内，如合同设备经过考核达到或视为达到技术性能考核指标，则买卖双方应按照第6.4.1项的约定签署合同设备验收证书。</w:t>
      </w:r>
    </w:p>
    <w:p>
      <w:pPr>
        <w:adjustRightInd w:val="0"/>
        <w:snapToGrid w:val="0"/>
        <w:spacing w:line="440" w:lineRule="exact"/>
        <w:ind w:firstLine="440" w:firstLineChars="200"/>
        <w:rPr>
          <w:szCs w:val="21"/>
          <w:lang w:eastAsia="zh-CN"/>
        </w:rPr>
      </w:pPr>
      <w:r>
        <w:rPr>
          <w:rFonts w:hint="eastAsia"/>
          <w:szCs w:val="21"/>
          <w:lang w:eastAsia="zh-CN"/>
        </w:rPr>
        <w:t>6.4.3除专用合同条款另有约定外，如由于买方原因在最后一批合同设备交货后6个月内未能开始考核，则买卖双方应在上述期限届满后7日内或专用合同条款另行约定的时间内签署验收款支付函。</w:t>
      </w:r>
    </w:p>
    <w:p>
      <w:pPr>
        <w:adjustRightInd w:val="0"/>
        <w:snapToGrid w:val="0"/>
        <w:spacing w:line="440" w:lineRule="exact"/>
        <w:ind w:firstLine="440" w:firstLineChars="200"/>
        <w:rPr>
          <w:szCs w:val="21"/>
          <w:lang w:eastAsia="zh-CN"/>
        </w:rPr>
      </w:pPr>
      <w:r>
        <w:rPr>
          <w:rFonts w:hint="eastAsia"/>
          <w:szCs w:val="21"/>
          <w:lang w:eastAsia="zh-CN"/>
        </w:rPr>
        <w:t>除专用合同条款另有约定外，卖方有义务在验收款支付函签署后6个月内应买方要求提供不超出合同范围的技术服务，协助买方采取一切必要措施使合同设备达到技术性能考核指标，且买方无需因此向卖方支付费用。</w:t>
      </w:r>
    </w:p>
    <w:p>
      <w:pPr>
        <w:adjustRightInd w:val="0"/>
        <w:snapToGrid w:val="0"/>
        <w:spacing w:line="440" w:lineRule="exact"/>
        <w:ind w:firstLine="440" w:firstLineChars="200"/>
        <w:rPr>
          <w:szCs w:val="21"/>
          <w:lang w:eastAsia="zh-CN"/>
        </w:rPr>
      </w:pPr>
      <w:r>
        <w:rPr>
          <w:rFonts w:hint="eastAsia"/>
          <w:szCs w:val="21"/>
          <w:lang w:eastAsia="zh-CN"/>
        </w:rPr>
        <w:t>在上述6个月的期限内，如合同设备经过考核达到或视为达到技术性能考核指标，则买卖双方应按照第6.4.1项的约定签署合同设备验收证书。</w:t>
      </w:r>
    </w:p>
    <w:p>
      <w:pPr>
        <w:adjustRightInd w:val="0"/>
        <w:snapToGrid w:val="0"/>
        <w:spacing w:line="440" w:lineRule="exact"/>
        <w:ind w:firstLine="440" w:firstLineChars="200"/>
        <w:rPr>
          <w:szCs w:val="21"/>
          <w:lang w:eastAsia="zh-CN"/>
        </w:rPr>
      </w:pPr>
      <w:r>
        <w:rPr>
          <w:rFonts w:hint="eastAsia"/>
          <w:szCs w:val="21"/>
          <w:lang w:eastAsia="zh-CN"/>
        </w:rPr>
        <w:t>6.4.4在第6.4.2项和第6.4.3项情形下，卖方也可单方签署验收款支付函提交买方，如果买方在收到卖方签署的验收款支付函后14日内未向卖方提出书面异议，则验收款支付函自签署之日起生效。</w:t>
      </w:r>
    </w:p>
    <w:p>
      <w:pPr>
        <w:adjustRightInd w:val="0"/>
        <w:snapToGrid w:val="0"/>
        <w:spacing w:line="440" w:lineRule="exact"/>
        <w:ind w:firstLine="440" w:firstLineChars="200"/>
        <w:rPr>
          <w:szCs w:val="21"/>
          <w:lang w:eastAsia="zh-CN"/>
        </w:rPr>
      </w:pPr>
      <w:r>
        <w:rPr>
          <w:rFonts w:hint="eastAsia"/>
          <w:szCs w:val="21"/>
          <w:lang w:eastAsia="zh-CN"/>
        </w:rPr>
        <w:t>6.4.5合同设备验收证书的签署不能免除卖方在质量保证期内对合同设备应承担的保证责任。</w:t>
      </w:r>
    </w:p>
    <w:p>
      <w:pPr>
        <w:pStyle w:val="173"/>
        <w:keepNext/>
        <w:keepLines/>
        <w:adjustRightInd w:val="0"/>
        <w:snapToGrid w:val="0"/>
        <w:spacing w:before="0" w:after="0" w:line="440" w:lineRule="exact"/>
        <w:outlineLvl w:val="2"/>
        <w:rPr>
          <w:sz w:val="21"/>
          <w:szCs w:val="21"/>
        </w:rPr>
      </w:pPr>
      <w:bookmarkStart w:id="104" w:name="_Toc4319"/>
      <w:bookmarkStart w:id="105" w:name="_Toc102983275"/>
      <w:bookmarkStart w:id="106" w:name="_Toc28592"/>
      <w:bookmarkStart w:id="107" w:name="_Toc113559476"/>
      <w:bookmarkStart w:id="108" w:name="_Toc5364"/>
      <w:bookmarkStart w:id="109" w:name="_Toc22032764"/>
      <w:bookmarkStart w:id="110" w:name="_Toc22185"/>
      <w:r>
        <w:rPr>
          <w:rFonts w:hint="eastAsia"/>
          <w:sz w:val="21"/>
          <w:szCs w:val="21"/>
        </w:rPr>
        <w:t>7.技术服务</w:t>
      </w:r>
      <w:bookmarkEnd w:id="104"/>
      <w:bookmarkEnd w:id="105"/>
      <w:bookmarkEnd w:id="106"/>
      <w:bookmarkEnd w:id="107"/>
      <w:bookmarkEnd w:id="108"/>
      <w:bookmarkEnd w:id="109"/>
      <w:bookmarkEnd w:id="110"/>
    </w:p>
    <w:p>
      <w:pPr>
        <w:adjustRightInd w:val="0"/>
        <w:snapToGrid w:val="0"/>
        <w:spacing w:line="440" w:lineRule="exact"/>
        <w:ind w:firstLine="440" w:firstLineChars="200"/>
        <w:rPr>
          <w:szCs w:val="21"/>
          <w:lang w:eastAsia="zh-CN"/>
        </w:rPr>
      </w:pPr>
      <w:r>
        <w:rPr>
          <w:rFonts w:hint="eastAsia"/>
          <w:szCs w:val="21"/>
          <w:lang w:eastAsia="zh-CN"/>
        </w:rPr>
        <w:t>7.1卖方应派遣技术熟练、称职的技术人员到施工场地为买方提供技术服务。卖方的技术服务应符合合同的约定。</w:t>
      </w:r>
    </w:p>
    <w:p>
      <w:pPr>
        <w:adjustRightInd w:val="0"/>
        <w:snapToGrid w:val="0"/>
        <w:spacing w:line="440" w:lineRule="exact"/>
        <w:ind w:firstLine="440" w:firstLineChars="200"/>
        <w:rPr>
          <w:szCs w:val="21"/>
          <w:lang w:eastAsia="zh-CN"/>
        </w:rPr>
      </w:pPr>
      <w:r>
        <w:rPr>
          <w:rFonts w:hint="eastAsia"/>
          <w:szCs w:val="21"/>
          <w:lang w:eastAsia="zh-CN"/>
        </w:rPr>
        <w:t>7.2买方应免费为卖方技术人员提供工作条件及便利，包括但不限于必要的办公场所、技术资料及出入许可等。除专用合同条款另有约定外，卖方技术人员的交通、食宿费用由卖方承担。</w:t>
      </w:r>
    </w:p>
    <w:p>
      <w:pPr>
        <w:adjustRightInd w:val="0"/>
        <w:snapToGrid w:val="0"/>
        <w:spacing w:line="440" w:lineRule="exact"/>
        <w:ind w:firstLine="440" w:firstLineChars="200"/>
        <w:rPr>
          <w:szCs w:val="21"/>
          <w:lang w:eastAsia="zh-CN"/>
        </w:rPr>
      </w:pPr>
      <w:r>
        <w:rPr>
          <w:rFonts w:hint="eastAsia"/>
          <w:szCs w:val="21"/>
          <w:lang w:eastAsia="zh-CN"/>
        </w:rPr>
        <w:t>7.3卖方技术人员应遵守买方施工现场的各项规章制度和安全操作规程，并服从买方的现场管理。</w:t>
      </w:r>
    </w:p>
    <w:p>
      <w:pPr>
        <w:adjustRightInd w:val="0"/>
        <w:snapToGrid w:val="0"/>
        <w:spacing w:line="440" w:lineRule="exact"/>
        <w:ind w:firstLine="440" w:firstLineChars="200"/>
        <w:rPr>
          <w:szCs w:val="21"/>
          <w:lang w:eastAsia="zh-CN"/>
        </w:rPr>
      </w:pPr>
      <w:r>
        <w:rPr>
          <w:rFonts w:hint="eastAsia"/>
          <w:szCs w:val="21"/>
          <w:lang w:eastAsia="zh-CN"/>
        </w:rPr>
        <w:t>7.4如果任何技术人员不合格，买方有权要求卖方撤换，因撤换而产生的费用应由卖方承担。在不影响技术服务并且征得买方同意的条件下，卖方也可自负费用更换其技术人员。</w:t>
      </w:r>
    </w:p>
    <w:p>
      <w:pPr>
        <w:pStyle w:val="173"/>
        <w:keepNext/>
        <w:keepLines/>
        <w:adjustRightInd w:val="0"/>
        <w:snapToGrid w:val="0"/>
        <w:spacing w:before="0" w:after="0" w:line="440" w:lineRule="exact"/>
        <w:outlineLvl w:val="2"/>
        <w:rPr>
          <w:sz w:val="21"/>
          <w:szCs w:val="21"/>
        </w:rPr>
      </w:pPr>
      <w:bookmarkStart w:id="111" w:name="_Toc19727"/>
      <w:bookmarkStart w:id="112" w:name="_Toc27736"/>
      <w:bookmarkStart w:id="113" w:name="_Toc23213"/>
      <w:bookmarkStart w:id="114" w:name="_Toc102983276"/>
      <w:bookmarkStart w:id="115" w:name="_Toc113559477"/>
      <w:bookmarkStart w:id="116" w:name="_Toc28610"/>
      <w:bookmarkStart w:id="117" w:name="_Toc22032765"/>
      <w:r>
        <w:rPr>
          <w:rFonts w:hint="eastAsia"/>
          <w:sz w:val="21"/>
          <w:szCs w:val="21"/>
        </w:rPr>
        <w:t>8.质量保证期</w:t>
      </w:r>
      <w:bookmarkEnd w:id="111"/>
      <w:bookmarkEnd w:id="112"/>
      <w:bookmarkEnd w:id="113"/>
      <w:bookmarkEnd w:id="114"/>
      <w:bookmarkEnd w:id="115"/>
      <w:bookmarkEnd w:id="116"/>
      <w:bookmarkEnd w:id="117"/>
    </w:p>
    <w:p>
      <w:pPr>
        <w:adjustRightInd w:val="0"/>
        <w:snapToGrid w:val="0"/>
        <w:spacing w:line="440" w:lineRule="exact"/>
        <w:ind w:firstLine="440" w:firstLineChars="200"/>
        <w:rPr>
          <w:szCs w:val="21"/>
          <w:lang w:eastAsia="zh-CN"/>
        </w:rPr>
      </w:pPr>
      <w:r>
        <w:rPr>
          <w:rFonts w:hint="eastAsia"/>
          <w:szCs w:val="21"/>
          <w:lang w:eastAsia="zh-CN"/>
        </w:rPr>
        <w:t>8.1除专用合同条款和（或）供货要求等合同文件另有约定外，合同设备整体质量保证期为验收之日起12个月。如对合同设备中关键部件的质量保证期有特殊要求的，买卖双方可在专用合同条款中约定。在合同第6.4.2项情形下，无论合同设备何时验收，其质量保证期最长为签署验收款支付函后12个月。在合同第6.4.3项情形下，无论合同设备何时验收，其质量保证期最长为签署验收款支付函后6个月。</w:t>
      </w:r>
    </w:p>
    <w:p>
      <w:pPr>
        <w:adjustRightInd w:val="0"/>
        <w:snapToGrid w:val="0"/>
        <w:spacing w:line="440" w:lineRule="exact"/>
        <w:ind w:firstLine="440" w:firstLineChars="200"/>
        <w:rPr>
          <w:szCs w:val="21"/>
          <w:lang w:eastAsia="zh-CN"/>
        </w:rPr>
      </w:pPr>
      <w:r>
        <w:rPr>
          <w:rFonts w:hint="eastAsia"/>
          <w:szCs w:val="21"/>
          <w:lang w:eastAsia="zh-CN"/>
        </w:rPr>
        <w:t>8.2在质量保证期内如果合同设备出现故障，卖方应自负费用提供质保期服务，对相关合同设备进行修理或更换以消除故障。更换的合同设备和（或）关键部件的质量保证期应重新计算。但如果合同设备的故障是由于买方原因造成的，则对合同设备进行修理和更换的费用应由买方承担。</w:t>
      </w:r>
    </w:p>
    <w:p>
      <w:pPr>
        <w:adjustRightInd w:val="0"/>
        <w:snapToGrid w:val="0"/>
        <w:spacing w:line="440" w:lineRule="exact"/>
        <w:ind w:firstLine="440" w:firstLineChars="200"/>
        <w:rPr>
          <w:szCs w:val="21"/>
          <w:lang w:eastAsia="zh-CN"/>
        </w:rPr>
      </w:pPr>
      <w:r>
        <w:rPr>
          <w:rFonts w:hint="eastAsia"/>
          <w:szCs w:val="21"/>
          <w:lang w:eastAsia="zh-CN"/>
        </w:rPr>
        <w:t>8.3质量保证期届满后，买方应在7日内或专用合同条款另行约定的时间内向卖方出具合同设备的质量保证期届满证书。</w:t>
      </w:r>
    </w:p>
    <w:p>
      <w:pPr>
        <w:adjustRightInd w:val="0"/>
        <w:snapToGrid w:val="0"/>
        <w:spacing w:line="440" w:lineRule="exact"/>
        <w:ind w:firstLine="440" w:firstLineChars="200"/>
        <w:rPr>
          <w:szCs w:val="21"/>
          <w:lang w:eastAsia="zh-CN"/>
        </w:rPr>
      </w:pPr>
      <w:r>
        <w:rPr>
          <w:rFonts w:hint="eastAsia"/>
          <w:szCs w:val="21"/>
          <w:lang w:eastAsia="zh-CN"/>
        </w:rPr>
        <w:t>8.4在合同第6.4.2项情形下，如在验收款支付函签署后12个月内由于买方原因合同设备仍未能达到技术性能考核指标，则买卖双方应在该12个月届满后7日内或专用合同条款另行约定的时间内签署结清款支付函。</w:t>
      </w:r>
    </w:p>
    <w:p>
      <w:pPr>
        <w:adjustRightInd w:val="0"/>
        <w:snapToGrid w:val="0"/>
        <w:spacing w:line="440" w:lineRule="exact"/>
        <w:ind w:firstLine="440" w:firstLineChars="200"/>
        <w:rPr>
          <w:szCs w:val="21"/>
          <w:lang w:eastAsia="zh-CN"/>
        </w:rPr>
      </w:pPr>
      <w:r>
        <w:rPr>
          <w:rFonts w:hint="eastAsia"/>
          <w:szCs w:val="21"/>
          <w:lang w:eastAsia="zh-CN"/>
        </w:rPr>
        <w:t>8.5在合同第6.4.3项情形下，如在验收款支付函签署后6个月内由于买方原因合同设备仍未进行考核或仍未达到技术性能考核指标，则买卖双方应在该6个月届满后7日内或专用合同条款另行约定的时间内签署结清款支付函。</w:t>
      </w:r>
    </w:p>
    <w:p>
      <w:pPr>
        <w:adjustRightInd w:val="0"/>
        <w:snapToGrid w:val="0"/>
        <w:spacing w:line="440" w:lineRule="exact"/>
        <w:ind w:firstLine="440" w:firstLineChars="200"/>
        <w:rPr>
          <w:szCs w:val="21"/>
          <w:lang w:eastAsia="zh-CN"/>
        </w:rPr>
      </w:pPr>
      <w:r>
        <w:rPr>
          <w:rFonts w:hint="eastAsia"/>
          <w:szCs w:val="21"/>
          <w:lang w:eastAsia="zh-CN"/>
        </w:rPr>
        <w:t>8.6在第8.4款和第8.5款情形下，卖方也可单方签署结清款支付函提交买方，如果买方在收到卖方签署的结清款支付函后14日内未向卖方提出书面异议，则结清款支付函自签署之日起生效。</w:t>
      </w:r>
    </w:p>
    <w:p>
      <w:pPr>
        <w:pStyle w:val="173"/>
        <w:keepNext/>
        <w:keepLines/>
        <w:adjustRightInd w:val="0"/>
        <w:snapToGrid w:val="0"/>
        <w:spacing w:before="0" w:after="0" w:line="440" w:lineRule="exact"/>
        <w:outlineLvl w:val="2"/>
        <w:rPr>
          <w:sz w:val="21"/>
          <w:szCs w:val="21"/>
        </w:rPr>
      </w:pPr>
      <w:bookmarkStart w:id="118" w:name="_Toc17554"/>
      <w:bookmarkStart w:id="119" w:name="_Toc20645"/>
      <w:bookmarkStart w:id="120" w:name="_Toc31158"/>
      <w:bookmarkStart w:id="121" w:name="_Toc22032766"/>
      <w:bookmarkStart w:id="122" w:name="_Toc25082"/>
      <w:bookmarkStart w:id="123" w:name="_Toc102983277"/>
      <w:bookmarkStart w:id="124" w:name="_Toc113559478"/>
      <w:r>
        <w:rPr>
          <w:rFonts w:hint="eastAsia"/>
          <w:sz w:val="21"/>
          <w:szCs w:val="21"/>
        </w:rPr>
        <w:t>9.质保期服务</w:t>
      </w:r>
      <w:bookmarkEnd w:id="118"/>
      <w:bookmarkEnd w:id="119"/>
      <w:bookmarkEnd w:id="120"/>
      <w:bookmarkEnd w:id="121"/>
      <w:bookmarkEnd w:id="122"/>
      <w:bookmarkEnd w:id="123"/>
      <w:bookmarkEnd w:id="124"/>
    </w:p>
    <w:p>
      <w:pPr>
        <w:adjustRightInd w:val="0"/>
        <w:snapToGrid w:val="0"/>
        <w:spacing w:line="440" w:lineRule="exact"/>
        <w:ind w:firstLine="440" w:firstLineChars="200"/>
        <w:rPr>
          <w:szCs w:val="21"/>
          <w:lang w:eastAsia="zh-CN"/>
        </w:rPr>
      </w:pPr>
      <w:r>
        <w:rPr>
          <w:rFonts w:hint="eastAsia"/>
          <w:szCs w:val="21"/>
          <w:lang w:eastAsia="zh-CN"/>
        </w:rPr>
        <w:t>9.1卖方应为质保期服务配备充足的技术人员、工具和备件并保证提供的联系方式畅通。除专用合同条款和（或）供货要求等合同文件另有约定外，卖方应在收到买方通知后24小时内做出响应，如需卖方到合同设备现场，卖方应在收到买方通知后48小时内到达，并在到达后7日内解决合同设备的故障（重大故障除外）。如果卖方未在上述时间内作出响应，则买方有权自行或委托他人解决相关问题或查找和解决合同设备的故障，卖方应承担由此发生的全部费用。</w:t>
      </w:r>
    </w:p>
    <w:p>
      <w:pPr>
        <w:adjustRightInd w:val="0"/>
        <w:snapToGrid w:val="0"/>
        <w:spacing w:line="440" w:lineRule="exact"/>
        <w:ind w:firstLine="440" w:firstLineChars="200"/>
        <w:rPr>
          <w:szCs w:val="21"/>
          <w:lang w:eastAsia="zh-CN"/>
        </w:rPr>
      </w:pPr>
      <w:r>
        <w:rPr>
          <w:rFonts w:hint="eastAsia"/>
          <w:szCs w:val="21"/>
          <w:lang w:eastAsia="zh-CN"/>
        </w:rPr>
        <w:t>9.2如卖方技术人员需到合同设备现场进行质保期服务，则买方应免费为卖方技术人员提供工作条件及便利，包括但不限于必要的办公场所、技术资料及出入许可等。除专用合同条款另有约定外，卖方技术人员的交通、食宿费用由卖方承担。卖方技术人员应遵守买方施工现场的各项规章制度和安全操作规程，并服从买方的现场管理。</w:t>
      </w:r>
    </w:p>
    <w:p>
      <w:pPr>
        <w:adjustRightInd w:val="0"/>
        <w:snapToGrid w:val="0"/>
        <w:spacing w:line="440" w:lineRule="exact"/>
        <w:ind w:firstLine="440" w:firstLineChars="200"/>
        <w:rPr>
          <w:szCs w:val="21"/>
          <w:lang w:eastAsia="zh-CN"/>
        </w:rPr>
      </w:pPr>
      <w:r>
        <w:rPr>
          <w:rFonts w:hint="eastAsia"/>
          <w:szCs w:val="21"/>
          <w:lang w:eastAsia="zh-CN"/>
        </w:rPr>
        <w:t>9.3如果任何技术人员不合格，买方有权要求卖方撤换，因撤换而产生的费用应由卖方承担。在不影响质保期服务并且征得买方同意的条件下，卖方也可自负费用更换其技术人员。</w:t>
      </w:r>
    </w:p>
    <w:p>
      <w:pPr>
        <w:adjustRightInd w:val="0"/>
        <w:snapToGrid w:val="0"/>
        <w:spacing w:line="440" w:lineRule="exact"/>
        <w:ind w:firstLine="440" w:firstLineChars="200"/>
        <w:rPr>
          <w:szCs w:val="21"/>
          <w:lang w:eastAsia="zh-CN"/>
        </w:rPr>
      </w:pPr>
      <w:r>
        <w:rPr>
          <w:rFonts w:hint="eastAsia"/>
          <w:szCs w:val="21"/>
          <w:lang w:eastAsia="zh-CN"/>
        </w:rPr>
        <w:t>9.4除专用合同条款另有约定外，卖方应就在施工现场进行质保期服务的情况进行记录，记载合同设备故障发生的时间、原因及解决情况等，由买方签名确认，并在质量保证期结束后提交给买方。</w:t>
      </w:r>
    </w:p>
    <w:p>
      <w:pPr>
        <w:pStyle w:val="173"/>
        <w:keepNext/>
        <w:keepLines/>
        <w:adjustRightInd w:val="0"/>
        <w:snapToGrid w:val="0"/>
        <w:spacing w:before="0" w:after="0" w:line="440" w:lineRule="exact"/>
        <w:outlineLvl w:val="2"/>
        <w:rPr>
          <w:sz w:val="21"/>
          <w:szCs w:val="21"/>
        </w:rPr>
      </w:pPr>
      <w:bookmarkStart w:id="125" w:name="_Toc12309"/>
      <w:bookmarkStart w:id="126" w:name="_Toc21398"/>
      <w:bookmarkStart w:id="127" w:name="_Toc113559479"/>
      <w:bookmarkStart w:id="128" w:name="_Toc1803"/>
      <w:bookmarkStart w:id="129" w:name="_Toc32647"/>
      <w:bookmarkStart w:id="130" w:name="_Toc102983278"/>
      <w:bookmarkStart w:id="131" w:name="_Toc22032767"/>
      <w:r>
        <w:rPr>
          <w:rFonts w:hint="eastAsia"/>
          <w:sz w:val="21"/>
          <w:szCs w:val="21"/>
        </w:rPr>
        <w:t>10.履约保证金</w:t>
      </w:r>
      <w:bookmarkEnd w:id="125"/>
      <w:bookmarkEnd w:id="126"/>
      <w:bookmarkEnd w:id="127"/>
      <w:bookmarkEnd w:id="128"/>
      <w:bookmarkEnd w:id="129"/>
      <w:bookmarkEnd w:id="130"/>
      <w:bookmarkEnd w:id="131"/>
    </w:p>
    <w:p>
      <w:pPr>
        <w:adjustRightInd w:val="0"/>
        <w:snapToGrid w:val="0"/>
        <w:spacing w:line="440" w:lineRule="exact"/>
        <w:ind w:firstLine="440" w:firstLineChars="200"/>
        <w:rPr>
          <w:szCs w:val="21"/>
          <w:lang w:eastAsia="zh-CN"/>
        </w:rPr>
      </w:pPr>
      <w:r>
        <w:rPr>
          <w:rFonts w:hint="eastAsia"/>
          <w:szCs w:val="21"/>
          <w:lang w:eastAsia="zh-CN"/>
        </w:rPr>
        <w:t>除专用合同条款另有约定外，履约保证金自合同生效之日起生效，在合同设备验收证书或验收款支付函签署之日起28日后失效。如果卖方不履行合同约定的义务或其履行不符合合同的约定，买方有权扣划相应金额的履约保证金。</w:t>
      </w:r>
    </w:p>
    <w:p>
      <w:pPr>
        <w:pStyle w:val="173"/>
        <w:keepNext/>
        <w:keepLines/>
        <w:adjustRightInd w:val="0"/>
        <w:snapToGrid w:val="0"/>
        <w:spacing w:before="0" w:after="0" w:line="440" w:lineRule="exact"/>
        <w:outlineLvl w:val="2"/>
        <w:rPr>
          <w:sz w:val="21"/>
          <w:szCs w:val="21"/>
        </w:rPr>
      </w:pPr>
      <w:bookmarkStart w:id="132" w:name="_Toc24498"/>
      <w:bookmarkStart w:id="133" w:name="_Toc32668"/>
      <w:bookmarkStart w:id="134" w:name="_Toc102983279"/>
      <w:bookmarkStart w:id="135" w:name="_Toc113559480"/>
      <w:bookmarkStart w:id="136" w:name="_Toc22032768"/>
      <w:bookmarkStart w:id="137" w:name="_Toc15955"/>
      <w:bookmarkStart w:id="138" w:name="_Toc16491"/>
      <w:r>
        <w:rPr>
          <w:rFonts w:hint="eastAsia"/>
          <w:sz w:val="21"/>
          <w:szCs w:val="21"/>
        </w:rPr>
        <w:t>11.保证</w:t>
      </w:r>
      <w:bookmarkEnd w:id="132"/>
      <w:bookmarkEnd w:id="133"/>
      <w:bookmarkEnd w:id="134"/>
      <w:bookmarkEnd w:id="135"/>
      <w:bookmarkEnd w:id="136"/>
      <w:bookmarkEnd w:id="137"/>
      <w:bookmarkEnd w:id="138"/>
    </w:p>
    <w:p>
      <w:pPr>
        <w:adjustRightInd w:val="0"/>
        <w:snapToGrid w:val="0"/>
        <w:spacing w:line="440" w:lineRule="exact"/>
        <w:ind w:firstLine="440" w:firstLineChars="200"/>
        <w:outlineLvl w:val="3"/>
        <w:rPr>
          <w:szCs w:val="21"/>
          <w:lang w:eastAsia="zh-CN"/>
        </w:rPr>
      </w:pPr>
      <w:r>
        <w:rPr>
          <w:rFonts w:hint="eastAsia"/>
          <w:szCs w:val="21"/>
          <w:lang w:eastAsia="zh-CN"/>
        </w:rPr>
        <w:t>11.1卖方保证其具有完全的能力履行本合同项下的全部义务。</w:t>
      </w:r>
    </w:p>
    <w:p>
      <w:pPr>
        <w:adjustRightInd w:val="0"/>
        <w:snapToGrid w:val="0"/>
        <w:spacing w:line="440" w:lineRule="exact"/>
        <w:ind w:firstLine="440" w:firstLineChars="200"/>
        <w:rPr>
          <w:szCs w:val="21"/>
          <w:lang w:eastAsia="zh-CN"/>
        </w:rPr>
      </w:pPr>
      <w:r>
        <w:rPr>
          <w:rFonts w:hint="eastAsia"/>
          <w:szCs w:val="21"/>
          <w:lang w:eastAsia="zh-CN"/>
        </w:rPr>
        <w:t>11.2卖方保证其所提供的合同设备及对合同的履行符合所有应适用的法律、行政法规、地方性法规、自治条例和单行条例、规章及其他规范性文件的强制性规定。</w:t>
      </w:r>
    </w:p>
    <w:p>
      <w:pPr>
        <w:adjustRightInd w:val="0"/>
        <w:snapToGrid w:val="0"/>
        <w:spacing w:line="440" w:lineRule="exact"/>
        <w:ind w:firstLine="440" w:firstLineChars="200"/>
        <w:rPr>
          <w:szCs w:val="21"/>
          <w:lang w:eastAsia="zh-CN"/>
        </w:rPr>
      </w:pPr>
      <w:r>
        <w:rPr>
          <w:rFonts w:hint="eastAsia"/>
          <w:szCs w:val="21"/>
          <w:lang w:eastAsia="zh-CN"/>
        </w:rPr>
        <w:t>11.3卖方保证其对合同设备的销售不损害任何第三方的合法权益和社会公众利益。任何第三方不会因卖方原因而基于所有权、抵押权、留置权或其他任何权利或事由对合同设备主张权利。</w:t>
      </w:r>
    </w:p>
    <w:p>
      <w:pPr>
        <w:adjustRightInd w:val="0"/>
        <w:snapToGrid w:val="0"/>
        <w:spacing w:line="440" w:lineRule="exact"/>
        <w:ind w:firstLine="440" w:firstLineChars="200"/>
        <w:rPr>
          <w:szCs w:val="21"/>
          <w:lang w:eastAsia="zh-CN"/>
        </w:rPr>
      </w:pPr>
      <w:r>
        <w:rPr>
          <w:rFonts w:hint="eastAsia"/>
          <w:szCs w:val="21"/>
          <w:lang w:eastAsia="zh-CN"/>
        </w:rPr>
        <w:t>11.4卖方保证合同设备符合合同约定的规格、标准、技术性能考核指标等，能够安全和稳定地运行，且合同设备（包括全部部件）全新、完整、未使用过，除非专用合同条款和（或）供货要求等合同文件另有约定。</w:t>
      </w:r>
    </w:p>
    <w:p>
      <w:pPr>
        <w:adjustRightInd w:val="0"/>
        <w:snapToGrid w:val="0"/>
        <w:spacing w:line="440" w:lineRule="exact"/>
        <w:ind w:firstLine="440" w:firstLineChars="200"/>
        <w:rPr>
          <w:szCs w:val="21"/>
          <w:lang w:eastAsia="zh-CN"/>
        </w:rPr>
      </w:pPr>
      <w:r>
        <w:rPr>
          <w:rFonts w:hint="eastAsia"/>
          <w:szCs w:val="21"/>
          <w:lang w:eastAsia="zh-CN"/>
        </w:rPr>
        <w:t>11.5卖方保证，卖方所提供的技术资料完整、清晰、准确，符合合同约定并且能够满足合同设备的安装、调试、考核、操作以及维修和保养的需要。</w:t>
      </w:r>
    </w:p>
    <w:p>
      <w:pPr>
        <w:adjustRightInd w:val="0"/>
        <w:snapToGrid w:val="0"/>
        <w:spacing w:line="440" w:lineRule="exact"/>
        <w:ind w:firstLine="440" w:firstLineChars="200"/>
        <w:rPr>
          <w:szCs w:val="21"/>
          <w:lang w:eastAsia="zh-CN"/>
        </w:rPr>
      </w:pPr>
      <w:r>
        <w:rPr>
          <w:rFonts w:hint="eastAsia"/>
          <w:szCs w:val="21"/>
          <w:lang w:eastAsia="zh-CN"/>
        </w:rPr>
        <w:t>11.6卖方保证合同范围内提供的备品备件能够满足合同设备在质量保证期结束前正常运行及维修的需要，如在质量保证期结束前因卖方原因出现备品备件短缺影响合同设备正常运行的，卖方应免费提供。</w:t>
      </w:r>
    </w:p>
    <w:p>
      <w:pPr>
        <w:adjustRightInd w:val="0"/>
        <w:snapToGrid w:val="0"/>
        <w:spacing w:line="440" w:lineRule="exact"/>
        <w:ind w:firstLine="440" w:firstLineChars="200"/>
        <w:rPr>
          <w:szCs w:val="21"/>
          <w:lang w:eastAsia="zh-CN"/>
        </w:rPr>
      </w:pPr>
      <w:r>
        <w:rPr>
          <w:rFonts w:hint="eastAsia"/>
          <w:szCs w:val="21"/>
          <w:lang w:eastAsia="zh-CN"/>
        </w:rPr>
        <w:t>11.7除专用合同条款和（或）供货要求等合同文件另有约定外，如果在合同设备设计使用寿命期内发生合同项下备品备件停止生产的情况，卖方应事先将拟停止生产的计划通知买方，使买方有足够的时间考虑备品备件的需求量。根据买方要求，卖方应：</w:t>
      </w:r>
    </w:p>
    <w:p>
      <w:pPr>
        <w:adjustRightInd w:val="0"/>
        <w:snapToGrid w:val="0"/>
        <w:spacing w:line="440" w:lineRule="exact"/>
        <w:ind w:firstLine="440" w:firstLineChars="200"/>
        <w:rPr>
          <w:szCs w:val="21"/>
          <w:lang w:eastAsia="zh-CN"/>
        </w:rPr>
      </w:pPr>
      <w:r>
        <w:rPr>
          <w:rFonts w:hint="eastAsia"/>
          <w:szCs w:val="21"/>
          <w:lang w:eastAsia="zh-CN"/>
        </w:rPr>
        <w:t>(1)</w:t>
      </w:r>
      <w:r>
        <w:rPr>
          <w:rFonts w:hint="eastAsia"/>
          <w:szCs w:val="21"/>
          <w:lang w:eastAsia="zh-CN"/>
        </w:rPr>
        <w:tab/>
      </w:r>
      <w:r>
        <w:rPr>
          <w:rFonts w:hint="eastAsia"/>
          <w:szCs w:val="21"/>
          <w:lang w:eastAsia="zh-CN"/>
        </w:rPr>
        <w:t>以不高于同期市场价格或其向任何第三方销售同类产品的价格提供合同设备正常运行所需的全部备品备件。</w:t>
      </w:r>
    </w:p>
    <w:p>
      <w:pPr>
        <w:adjustRightInd w:val="0"/>
        <w:snapToGrid w:val="0"/>
        <w:spacing w:line="440" w:lineRule="exact"/>
        <w:ind w:firstLine="440" w:firstLineChars="200"/>
        <w:rPr>
          <w:szCs w:val="21"/>
          <w:lang w:eastAsia="zh-CN"/>
        </w:rPr>
      </w:pPr>
      <w:r>
        <w:rPr>
          <w:rFonts w:hint="eastAsia"/>
          <w:szCs w:val="21"/>
          <w:lang w:eastAsia="zh-CN"/>
        </w:rPr>
        <w:t>(2)</w:t>
      </w:r>
      <w:r>
        <w:rPr>
          <w:rFonts w:hint="eastAsia"/>
          <w:szCs w:val="21"/>
          <w:lang w:eastAsia="zh-CN"/>
        </w:rPr>
        <w:tab/>
      </w:r>
      <w:r>
        <w:rPr>
          <w:rFonts w:hint="eastAsia"/>
          <w:szCs w:val="21"/>
          <w:lang w:eastAsia="zh-CN"/>
        </w:rPr>
        <w:t>免费提供可供买方或第三方制造停产备品备件所需的全部技术资料，以便买方持续获得上述备品备件以满足合同设备在寿命期内正常运行的需要。卖方保证买方或买方委托的第三方制造及买方使用这些备品备件不侵犯任何人的知识产权。</w:t>
      </w:r>
    </w:p>
    <w:p>
      <w:pPr>
        <w:adjustRightInd w:val="0"/>
        <w:snapToGrid w:val="0"/>
        <w:spacing w:line="440" w:lineRule="exact"/>
        <w:ind w:firstLine="440" w:firstLineChars="200"/>
        <w:rPr>
          <w:szCs w:val="21"/>
          <w:lang w:eastAsia="zh-CN"/>
        </w:rPr>
      </w:pPr>
      <w:r>
        <w:rPr>
          <w:rFonts w:hint="eastAsia"/>
          <w:szCs w:val="21"/>
          <w:lang w:eastAsia="zh-CN"/>
        </w:rPr>
        <w:t>11.8卖方保证，在合同设备设计使用寿命期内，如果卖方发现合同设备由于设计、制造、标识等原因存在足以危及人身、财产安全的缺陷，卖方将及时通知买方并及时采取修正或者补充标识、修理、更换等措施消除缺陷。</w:t>
      </w:r>
    </w:p>
    <w:p>
      <w:pPr>
        <w:pStyle w:val="173"/>
        <w:keepNext/>
        <w:keepLines/>
        <w:adjustRightInd w:val="0"/>
        <w:snapToGrid w:val="0"/>
        <w:spacing w:before="0" w:after="0" w:line="440" w:lineRule="exact"/>
        <w:outlineLvl w:val="2"/>
        <w:rPr>
          <w:sz w:val="21"/>
          <w:szCs w:val="21"/>
        </w:rPr>
      </w:pPr>
      <w:bookmarkStart w:id="139" w:name="_Toc22032769"/>
      <w:bookmarkStart w:id="140" w:name="_Toc5225"/>
      <w:bookmarkStart w:id="141" w:name="_Toc102983280"/>
      <w:bookmarkStart w:id="142" w:name="_Toc26927"/>
      <w:bookmarkStart w:id="143" w:name="_Toc113559481"/>
      <w:bookmarkStart w:id="144" w:name="_Toc19999"/>
      <w:bookmarkStart w:id="145" w:name="_Toc559"/>
      <w:r>
        <w:rPr>
          <w:rFonts w:hint="eastAsia"/>
          <w:sz w:val="21"/>
          <w:szCs w:val="21"/>
        </w:rPr>
        <w:t>12.知识产权</w:t>
      </w:r>
      <w:bookmarkEnd w:id="139"/>
      <w:bookmarkEnd w:id="140"/>
      <w:bookmarkEnd w:id="141"/>
      <w:bookmarkEnd w:id="142"/>
      <w:bookmarkEnd w:id="143"/>
      <w:bookmarkEnd w:id="144"/>
      <w:bookmarkEnd w:id="145"/>
    </w:p>
    <w:p>
      <w:pPr>
        <w:adjustRightInd w:val="0"/>
        <w:snapToGrid w:val="0"/>
        <w:spacing w:line="440" w:lineRule="exact"/>
        <w:ind w:firstLine="440" w:firstLineChars="200"/>
        <w:rPr>
          <w:szCs w:val="21"/>
          <w:lang w:eastAsia="zh-CN"/>
        </w:rPr>
      </w:pPr>
      <w:r>
        <w:rPr>
          <w:rFonts w:hint="eastAsia"/>
          <w:szCs w:val="21"/>
          <w:lang w:eastAsia="zh-CN"/>
        </w:rPr>
        <w:t>12.1买方在履行合同过程中提供给卖方的全部图纸、文件和其他含有数据和信息的资料，其知识产权属于买方。</w:t>
      </w:r>
    </w:p>
    <w:p>
      <w:pPr>
        <w:adjustRightInd w:val="0"/>
        <w:snapToGrid w:val="0"/>
        <w:spacing w:line="440" w:lineRule="exact"/>
        <w:ind w:firstLine="440" w:firstLineChars="200"/>
        <w:rPr>
          <w:szCs w:val="21"/>
          <w:lang w:eastAsia="zh-CN"/>
        </w:rPr>
      </w:pPr>
      <w:r>
        <w:rPr>
          <w:rFonts w:hint="eastAsia"/>
          <w:szCs w:val="21"/>
          <w:lang w:eastAsia="zh-CN"/>
        </w:rPr>
        <w:t>12.2除专用合同条款另有约定外，买方不因签署和履行合同而享有卖方在履行合同过程中提供给买方的图纸、文件、配套软件、电子辅助程序和其他含有数据和信息的资料的知识产权。</w:t>
      </w:r>
    </w:p>
    <w:p>
      <w:pPr>
        <w:adjustRightInd w:val="0"/>
        <w:snapToGrid w:val="0"/>
        <w:spacing w:line="440" w:lineRule="exact"/>
        <w:ind w:firstLine="440" w:firstLineChars="200"/>
        <w:rPr>
          <w:szCs w:val="21"/>
          <w:lang w:eastAsia="zh-CN"/>
        </w:rPr>
      </w:pPr>
      <w:r>
        <w:rPr>
          <w:rFonts w:hint="eastAsia"/>
          <w:szCs w:val="21"/>
          <w:lang w:eastAsia="zh-CN"/>
        </w:rPr>
        <w:t>12.3如合同设备涉及知识产权，则卖方保证买方在使用合同设备过程中免于受到第三方提出的有关知识产权侵权的主张、索赔或诉讼的伤害。</w:t>
      </w:r>
    </w:p>
    <w:p>
      <w:pPr>
        <w:adjustRightInd w:val="0"/>
        <w:snapToGrid w:val="0"/>
        <w:spacing w:line="440" w:lineRule="exact"/>
        <w:ind w:firstLine="440" w:firstLineChars="200"/>
        <w:rPr>
          <w:szCs w:val="21"/>
          <w:lang w:eastAsia="zh-CN"/>
        </w:rPr>
      </w:pPr>
      <w:r>
        <w:rPr>
          <w:rFonts w:hint="eastAsia"/>
          <w:szCs w:val="21"/>
          <w:lang w:eastAsia="zh-CN"/>
        </w:rPr>
        <w:t>12.4如果买方收到任何第三方有关知识产权的主张、索赔或诉讼，卖方在收到买方通知后，应以买方名义并在买方的协助下，自负费用处理与第三方的索赔或诉讼，并赔偿买方因此发生的费用和遭受的损失。除专用合同条款另有约定外，如果卖方拒绝处理前述索赔或诉讼或在收到买方通知后28日内未作表示，买方可以自己的名义进行这些索赔或诉讼，因此发生的费用和遭受的损失均应由卖方承担。</w:t>
      </w:r>
    </w:p>
    <w:p>
      <w:pPr>
        <w:pStyle w:val="173"/>
        <w:keepNext/>
        <w:keepLines/>
        <w:adjustRightInd w:val="0"/>
        <w:snapToGrid w:val="0"/>
        <w:spacing w:before="0" w:after="0" w:line="440" w:lineRule="exact"/>
        <w:outlineLvl w:val="2"/>
        <w:rPr>
          <w:sz w:val="21"/>
          <w:szCs w:val="21"/>
        </w:rPr>
      </w:pPr>
      <w:bookmarkStart w:id="146" w:name="_Toc102983281"/>
      <w:bookmarkStart w:id="147" w:name="_Toc2799"/>
      <w:bookmarkStart w:id="148" w:name="_Toc20500"/>
      <w:bookmarkStart w:id="149" w:name="_Toc22032770"/>
      <w:bookmarkStart w:id="150" w:name="_Toc113559482"/>
      <w:bookmarkStart w:id="151" w:name="_Toc25489"/>
      <w:bookmarkStart w:id="152" w:name="_Toc7608"/>
      <w:r>
        <w:rPr>
          <w:rFonts w:hint="eastAsia"/>
          <w:sz w:val="21"/>
          <w:szCs w:val="21"/>
        </w:rPr>
        <w:t>13.保密</w:t>
      </w:r>
      <w:bookmarkEnd w:id="146"/>
      <w:bookmarkEnd w:id="147"/>
      <w:bookmarkEnd w:id="148"/>
      <w:bookmarkEnd w:id="149"/>
      <w:bookmarkEnd w:id="150"/>
      <w:bookmarkEnd w:id="151"/>
      <w:bookmarkEnd w:id="152"/>
    </w:p>
    <w:p>
      <w:pPr>
        <w:adjustRightInd w:val="0"/>
        <w:snapToGrid w:val="0"/>
        <w:spacing w:line="440" w:lineRule="exact"/>
        <w:ind w:firstLine="440" w:firstLineChars="200"/>
        <w:rPr>
          <w:szCs w:val="21"/>
          <w:lang w:eastAsia="zh-CN"/>
        </w:rPr>
      </w:pPr>
      <w:r>
        <w:rPr>
          <w:rFonts w:hint="eastAsia"/>
          <w:szCs w:val="21"/>
          <w:lang w:eastAsia="zh-CN"/>
        </w:rPr>
        <w:t>合同双方应对因履行合同而取得的另一方当事人的信息、资料等予以保密。未经另一方当事人书面同意，任何一方均不得为与履行合同无关的目的使用或向第三方披露另一方当事人提供的信息、资料。</w:t>
      </w:r>
    </w:p>
    <w:p>
      <w:pPr>
        <w:adjustRightInd w:val="0"/>
        <w:snapToGrid w:val="0"/>
        <w:spacing w:line="440" w:lineRule="exact"/>
        <w:ind w:firstLine="440" w:firstLineChars="200"/>
        <w:rPr>
          <w:szCs w:val="21"/>
          <w:lang w:eastAsia="zh-CN"/>
        </w:rPr>
      </w:pPr>
      <w:r>
        <w:rPr>
          <w:rFonts w:hint="eastAsia"/>
          <w:szCs w:val="21"/>
          <w:lang w:eastAsia="zh-CN"/>
        </w:rPr>
        <w:t>合同当事人的保密义务不适用于下列信息：</w:t>
      </w:r>
    </w:p>
    <w:p>
      <w:pPr>
        <w:adjustRightInd w:val="0"/>
        <w:snapToGrid w:val="0"/>
        <w:spacing w:line="440" w:lineRule="exact"/>
        <w:ind w:firstLine="440" w:firstLineChars="200"/>
        <w:rPr>
          <w:szCs w:val="21"/>
          <w:lang w:eastAsia="zh-CN"/>
        </w:rPr>
      </w:pPr>
      <w:r>
        <w:rPr>
          <w:rFonts w:hint="eastAsia"/>
          <w:szCs w:val="21"/>
          <w:lang w:eastAsia="zh-CN"/>
        </w:rPr>
        <w:t>(1)</w:t>
      </w:r>
      <w:r>
        <w:rPr>
          <w:rFonts w:hint="eastAsia"/>
          <w:szCs w:val="21"/>
          <w:lang w:eastAsia="zh-CN"/>
        </w:rPr>
        <w:tab/>
      </w:r>
      <w:r>
        <w:rPr>
          <w:rFonts w:hint="eastAsia"/>
          <w:szCs w:val="21"/>
          <w:lang w:eastAsia="zh-CN"/>
        </w:rPr>
        <w:t>非因接受信息一方的过失现在或以后进入公共领域的信息；</w:t>
      </w:r>
    </w:p>
    <w:p>
      <w:pPr>
        <w:adjustRightInd w:val="0"/>
        <w:snapToGrid w:val="0"/>
        <w:spacing w:line="440" w:lineRule="exact"/>
        <w:ind w:firstLine="440" w:firstLineChars="200"/>
        <w:rPr>
          <w:szCs w:val="21"/>
          <w:lang w:eastAsia="zh-CN"/>
        </w:rPr>
      </w:pPr>
      <w:r>
        <w:rPr>
          <w:rFonts w:hint="eastAsia"/>
          <w:szCs w:val="21"/>
          <w:lang w:eastAsia="zh-CN"/>
        </w:rPr>
        <w:t>(2)</w:t>
      </w:r>
      <w:r>
        <w:rPr>
          <w:rFonts w:hint="eastAsia"/>
          <w:szCs w:val="21"/>
          <w:lang w:eastAsia="zh-CN"/>
        </w:rPr>
        <w:tab/>
      </w:r>
      <w:r>
        <w:rPr>
          <w:rFonts w:hint="eastAsia"/>
          <w:szCs w:val="21"/>
          <w:lang w:eastAsia="zh-CN"/>
        </w:rPr>
        <w:t>接受信息一方当事人合法地从第三方获得并且据其善意了解第三方也不对此承担保密义务的信息；</w:t>
      </w:r>
    </w:p>
    <w:p>
      <w:pPr>
        <w:adjustRightInd w:val="0"/>
        <w:snapToGrid w:val="0"/>
        <w:spacing w:line="440" w:lineRule="exact"/>
        <w:ind w:firstLine="440" w:firstLineChars="200"/>
        <w:rPr>
          <w:szCs w:val="21"/>
          <w:lang w:eastAsia="zh-CN"/>
        </w:rPr>
      </w:pPr>
      <w:r>
        <w:rPr>
          <w:rFonts w:hint="eastAsia"/>
          <w:szCs w:val="21"/>
          <w:lang w:eastAsia="zh-CN"/>
        </w:rPr>
        <w:t>(3)</w:t>
      </w:r>
      <w:r>
        <w:rPr>
          <w:rFonts w:hint="eastAsia"/>
          <w:szCs w:val="21"/>
          <w:lang w:eastAsia="zh-CN"/>
        </w:rPr>
        <w:tab/>
      </w:r>
      <w:r>
        <w:rPr>
          <w:rFonts w:hint="eastAsia"/>
          <w:szCs w:val="21"/>
          <w:lang w:eastAsia="zh-CN"/>
        </w:rPr>
        <w:t>法律或法律的执行要求披露的信息。</w:t>
      </w:r>
    </w:p>
    <w:p>
      <w:pPr>
        <w:pStyle w:val="173"/>
        <w:keepNext/>
        <w:keepLines/>
        <w:adjustRightInd w:val="0"/>
        <w:snapToGrid w:val="0"/>
        <w:spacing w:before="0" w:after="0" w:line="440" w:lineRule="exact"/>
        <w:outlineLvl w:val="2"/>
        <w:rPr>
          <w:sz w:val="21"/>
          <w:szCs w:val="21"/>
        </w:rPr>
      </w:pPr>
      <w:bookmarkStart w:id="153" w:name="_Toc22032771"/>
      <w:bookmarkStart w:id="154" w:name="_Toc4672"/>
      <w:bookmarkStart w:id="155" w:name="_Toc113559483"/>
      <w:bookmarkStart w:id="156" w:name="_Toc102983282"/>
      <w:bookmarkStart w:id="157" w:name="_Toc10985"/>
      <w:bookmarkStart w:id="158" w:name="_Toc21368"/>
      <w:bookmarkStart w:id="159" w:name="_Toc10084"/>
      <w:r>
        <w:rPr>
          <w:rFonts w:hint="eastAsia"/>
          <w:sz w:val="21"/>
          <w:szCs w:val="21"/>
        </w:rPr>
        <w:t>14.违约责任</w:t>
      </w:r>
      <w:bookmarkEnd w:id="153"/>
      <w:bookmarkEnd w:id="154"/>
      <w:bookmarkEnd w:id="155"/>
      <w:bookmarkEnd w:id="156"/>
      <w:bookmarkEnd w:id="157"/>
      <w:bookmarkEnd w:id="158"/>
      <w:bookmarkEnd w:id="159"/>
    </w:p>
    <w:p>
      <w:pPr>
        <w:adjustRightInd w:val="0"/>
        <w:snapToGrid w:val="0"/>
        <w:spacing w:line="440" w:lineRule="exact"/>
        <w:ind w:firstLine="440" w:firstLineChars="200"/>
        <w:rPr>
          <w:szCs w:val="21"/>
          <w:lang w:eastAsia="zh-CN"/>
        </w:rPr>
      </w:pPr>
      <w:r>
        <w:rPr>
          <w:rFonts w:hint="eastAsia"/>
          <w:szCs w:val="21"/>
          <w:lang w:eastAsia="zh-CN"/>
        </w:rPr>
        <w:t>14.1合同一方不履行合同义务、履行合同义务不符合约定或者违反合同项下所作保证的，应向对方承担继续履行、采取修理、更换、退货等补救措施或者赔偿损失等违约责任。</w:t>
      </w:r>
    </w:p>
    <w:p>
      <w:pPr>
        <w:adjustRightInd w:val="0"/>
        <w:snapToGrid w:val="0"/>
        <w:spacing w:line="440" w:lineRule="exact"/>
        <w:ind w:firstLine="440" w:firstLineChars="200"/>
        <w:rPr>
          <w:szCs w:val="21"/>
          <w:lang w:eastAsia="zh-CN"/>
        </w:rPr>
      </w:pPr>
      <w:r>
        <w:rPr>
          <w:rFonts w:hint="eastAsia"/>
          <w:szCs w:val="21"/>
          <w:lang w:eastAsia="zh-CN"/>
        </w:rPr>
        <w:t>14.2卖方未能按时交付合同设备（包括仅迟延交付技术资料但足以导致合同设备安装、调试、考核、验收工作推迟的）的，应向买方支付迟延交付违约金。除专用合同条款另有约定外，迟延交付违约金的计算方法如下：</w:t>
      </w:r>
    </w:p>
    <w:p>
      <w:pPr>
        <w:adjustRightInd w:val="0"/>
        <w:snapToGrid w:val="0"/>
        <w:spacing w:line="440" w:lineRule="exact"/>
        <w:ind w:firstLine="440" w:firstLineChars="200"/>
        <w:rPr>
          <w:szCs w:val="21"/>
          <w:lang w:eastAsia="zh-CN"/>
        </w:rPr>
      </w:pPr>
      <w:r>
        <w:rPr>
          <w:rFonts w:hint="eastAsia"/>
          <w:szCs w:val="21"/>
          <w:lang w:eastAsia="zh-CN"/>
        </w:rPr>
        <w:t>(1)</w:t>
      </w:r>
      <w:r>
        <w:rPr>
          <w:rFonts w:hint="eastAsia"/>
          <w:szCs w:val="21"/>
          <w:lang w:eastAsia="zh-CN"/>
        </w:rPr>
        <w:tab/>
      </w:r>
      <w:r>
        <w:rPr>
          <w:rFonts w:hint="eastAsia"/>
          <w:szCs w:val="21"/>
          <w:lang w:eastAsia="zh-CN"/>
        </w:rPr>
        <w:t>从迟交的第一周到第四周，每周迟延交付违约金为迟交合同设备价格的0.5%;</w:t>
      </w:r>
    </w:p>
    <w:p>
      <w:pPr>
        <w:adjustRightInd w:val="0"/>
        <w:snapToGrid w:val="0"/>
        <w:spacing w:line="440" w:lineRule="exact"/>
        <w:ind w:firstLine="440" w:firstLineChars="200"/>
        <w:rPr>
          <w:szCs w:val="21"/>
          <w:lang w:eastAsia="zh-CN"/>
        </w:rPr>
      </w:pPr>
      <w:r>
        <w:rPr>
          <w:rFonts w:hint="eastAsia"/>
          <w:szCs w:val="21"/>
          <w:lang w:eastAsia="zh-CN"/>
        </w:rPr>
        <w:t>(2)</w:t>
      </w:r>
      <w:r>
        <w:rPr>
          <w:rFonts w:hint="eastAsia"/>
          <w:szCs w:val="21"/>
          <w:lang w:eastAsia="zh-CN"/>
        </w:rPr>
        <w:tab/>
      </w:r>
      <w:r>
        <w:rPr>
          <w:rFonts w:hint="eastAsia"/>
          <w:szCs w:val="21"/>
          <w:lang w:eastAsia="zh-CN"/>
        </w:rPr>
        <w:t>从迟交的第五周到第八周，每周迟延交付违约金为迟交合同设备价格的1%;</w:t>
      </w:r>
    </w:p>
    <w:p>
      <w:pPr>
        <w:adjustRightInd w:val="0"/>
        <w:snapToGrid w:val="0"/>
        <w:spacing w:line="440" w:lineRule="exact"/>
        <w:ind w:firstLine="440" w:firstLineChars="200"/>
        <w:rPr>
          <w:szCs w:val="21"/>
          <w:lang w:eastAsia="zh-CN"/>
        </w:rPr>
      </w:pPr>
      <w:r>
        <w:rPr>
          <w:rFonts w:hint="eastAsia"/>
          <w:szCs w:val="21"/>
          <w:lang w:eastAsia="zh-CN"/>
        </w:rPr>
        <w:t>(3)</w:t>
      </w:r>
      <w:r>
        <w:rPr>
          <w:rFonts w:hint="eastAsia"/>
          <w:szCs w:val="21"/>
          <w:lang w:eastAsia="zh-CN"/>
        </w:rPr>
        <w:tab/>
      </w:r>
      <w:r>
        <w:rPr>
          <w:rFonts w:hint="eastAsia"/>
          <w:szCs w:val="21"/>
          <w:lang w:eastAsia="zh-CN"/>
        </w:rPr>
        <w:t>从迟交第九周起，每周迟延交付违约金为迟交合同设备价格的1.5%。</w:t>
      </w:r>
    </w:p>
    <w:p>
      <w:pPr>
        <w:adjustRightInd w:val="0"/>
        <w:snapToGrid w:val="0"/>
        <w:spacing w:line="440" w:lineRule="exact"/>
        <w:ind w:firstLine="440" w:firstLineChars="200"/>
        <w:rPr>
          <w:szCs w:val="21"/>
          <w:lang w:eastAsia="zh-CN"/>
        </w:rPr>
      </w:pPr>
      <w:r>
        <w:rPr>
          <w:rFonts w:hint="eastAsia"/>
          <w:szCs w:val="21"/>
          <w:lang w:eastAsia="zh-CN"/>
        </w:rPr>
        <w:t>在计算迟延交付违约金时，迟交不足一周的按一周计算。迟延交付违约金的总额不得超过合同价格的10%。</w:t>
      </w:r>
    </w:p>
    <w:p>
      <w:pPr>
        <w:adjustRightInd w:val="0"/>
        <w:snapToGrid w:val="0"/>
        <w:spacing w:line="440" w:lineRule="exact"/>
        <w:ind w:firstLine="440" w:firstLineChars="200"/>
        <w:rPr>
          <w:szCs w:val="21"/>
          <w:lang w:eastAsia="zh-CN"/>
        </w:rPr>
      </w:pPr>
      <w:r>
        <w:rPr>
          <w:rFonts w:hint="eastAsia"/>
          <w:szCs w:val="21"/>
          <w:lang w:eastAsia="zh-CN"/>
        </w:rPr>
        <w:t>迟延交付违约金的支付不能免除卖方继续交付相关合同设备的义务，但如迟延交付必然导致合同设备安装、调试、考核、验收工作推迟的，相关工作应相应顺延。</w:t>
      </w:r>
    </w:p>
    <w:p>
      <w:pPr>
        <w:adjustRightInd w:val="0"/>
        <w:snapToGrid w:val="0"/>
        <w:spacing w:line="440" w:lineRule="exact"/>
        <w:ind w:firstLine="440" w:firstLineChars="200"/>
        <w:rPr>
          <w:szCs w:val="21"/>
          <w:lang w:eastAsia="zh-CN"/>
        </w:rPr>
      </w:pPr>
      <w:r>
        <w:rPr>
          <w:rFonts w:hint="eastAsia"/>
          <w:szCs w:val="21"/>
          <w:lang w:eastAsia="zh-CN"/>
        </w:rPr>
        <w:t>14.3买方未能按合同约定支付合同价款的，应向卖方支付延迟付款违约金。除专用合同条款另有约定外，迟延付款违约金的计算方法如下：</w:t>
      </w:r>
    </w:p>
    <w:p>
      <w:pPr>
        <w:adjustRightInd w:val="0"/>
        <w:snapToGrid w:val="0"/>
        <w:spacing w:line="440" w:lineRule="exact"/>
        <w:ind w:firstLine="440" w:firstLineChars="200"/>
        <w:rPr>
          <w:szCs w:val="21"/>
          <w:lang w:eastAsia="zh-CN"/>
        </w:rPr>
      </w:pPr>
      <w:r>
        <w:rPr>
          <w:rFonts w:hint="eastAsia"/>
          <w:szCs w:val="21"/>
          <w:lang w:eastAsia="zh-CN"/>
        </w:rPr>
        <w:t>(1)</w:t>
      </w:r>
      <w:r>
        <w:rPr>
          <w:rFonts w:hint="eastAsia"/>
          <w:szCs w:val="21"/>
          <w:lang w:eastAsia="zh-CN"/>
        </w:rPr>
        <w:tab/>
      </w:r>
      <w:r>
        <w:rPr>
          <w:rFonts w:hint="eastAsia"/>
          <w:szCs w:val="21"/>
          <w:lang w:eastAsia="zh-CN"/>
        </w:rPr>
        <w:t>从迟付的第一周到第四周，每周迟延付款违约金为迟延付款金额的0.5%;</w:t>
      </w:r>
    </w:p>
    <w:p>
      <w:pPr>
        <w:adjustRightInd w:val="0"/>
        <w:snapToGrid w:val="0"/>
        <w:spacing w:line="440" w:lineRule="exact"/>
        <w:ind w:firstLine="440" w:firstLineChars="200"/>
        <w:rPr>
          <w:szCs w:val="21"/>
          <w:lang w:eastAsia="zh-CN"/>
        </w:rPr>
      </w:pPr>
      <w:r>
        <w:rPr>
          <w:rFonts w:hint="eastAsia"/>
          <w:szCs w:val="21"/>
          <w:lang w:eastAsia="zh-CN"/>
        </w:rPr>
        <w:t>(2)</w:t>
      </w:r>
      <w:r>
        <w:rPr>
          <w:rFonts w:hint="eastAsia"/>
          <w:szCs w:val="21"/>
          <w:lang w:eastAsia="zh-CN"/>
        </w:rPr>
        <w:tab/>
      </w:r>
      <w:r>
        <w:rPr>
          <w:rFonts w:hint="eastAsia"/>
          <w:szCs w:val="21"/>
          <w:lang w:eastAsia="zh-CN"/>
        </w:rPr>
        <w:t>从迟付的第五周到第八周，每周迟延付款违约金为迟延付款金额的1%;</w:t>
      </w:r>
    </w:p>
    <w:p>
      <w:pPr>
        <w:adjustRightInd w:val="0"/>
        <w:snapToGrid w:val="0"/>
        <w:spacing w:line="440" w:lineRule="exact"/>
        <w:ind w:firstLine="440" w:firstLineChars="200"/>
        <w:rPr>
          <w:szCs w:val="21"/>
          <w:lang w:eastAsia="zh-CN"/>
        </w:rPr>
      </w:pPr>
      <w:r>
        <w:rPr>
          <w:rFonts w:hint="eastAsia"/>
          <w:szCs w:val="21"/>
          <w:lang w:eastAsia="zh-CN"/>
        </w:rPr>
        <w:t>(3)</w:t>
      </w:r>
      <w:r>
        <w:rPr>
          <w:rFonts w:hint="eastAsia"/>
          <w:szCs w:val="21"/>
          <w:lang w:eastAsia="zh-CN"/>
        </w:rPr>
        <w:tab/>
      </w:r>
      <w:r>
        <w:rPr>
          <w:rFonts w:hint="eastAsia"/>
          <w:szCs w:val="21"/>
          <w:lang w:eastAsia="zh-CN"/>
        </w:rPr>
        <w:t>从迟付第九周起，每周迟延付款违约金为迟延付款金额的1.5%。</w:t>
      </w:r>
    </w:p>
    <w:p>
      <w:pPr>
        <w:adjustRightInd w:val="0"/>
        <w:snapToGrid w:val="0"/>
        <w:spacing w:line="440" w:lineRule="exact"/>
        <w:ind w:firstLine="440" w:firstLineChars="200"/>
        <w:rPr>
          <w:szCs w:val="21"/>
          <w:lang w:eastAsia="zh-CN"/>
        </w:rPr>
      </w:pPr>
      <w:r>
        <w:rPr>
          <w:rFonts w:hint="eastAsia"/>
          <w:szCs w:val="21"/>
          <w:lang w:eastAsia="zh-CN"/>
        </w:rPr>
        <w:t>在计算迟延付款违约金时，迟付不足一周的按一周计算。迟延付款违约金的总额不得超过合同价格的10%。</w:t>
      </w:r>
    </w:p>
    <w:p>
      <w:pPr>
        <w:pStyle w:val="173"/>
        <w:keepNext/>
        <w:keepLines/>
        <w:adjustRightInd w:val="0"/>
        <w:snapToGrid w:val="0"/>
        <w:spacing w:before="0" w:after="0" w:line="440" w:lineRule="exact"/>
        <w:outlineLvl w:val="2"/>
        <w:rPr>
          <w:sz w:val="21"/>
          <w:szCs w:val="21"/>
        </w:rPr>
      </w:pPr>
      <w:bookmarkStart w:id="160" w:name="_Toc25184"/>
      <w:bookmarkStart w:id="161" w:name="_Toc22032772"/>
      <w:bookmarkStart w:id="162" w:name="_Toc7291"/>
      <w:bookmarkStart w:id="163" w:name="_Toc102983283"/>
      <w:bookmarkStart w:id="164" w:name="_Toc113559484"/>
      <w:bookmarkStart w:id="165" w:name="_Toc23049"/>
      <w:bookmarkStart w:id="166" w:name="_Toc21744"/>
      <w:r>
        <w:rPr>
          <w:rFonts w:hint="eastAsia"/>
          <w:sz w:val="21"/>
          <w:szCs w:val="21"/>
        </w:rPr>
        <w:t>15.合同的解除</w:t>
      </w:r>
      <w:bookmarkEnd w:id="160"/>
      <w:bookmarkEnd w:id="161"/>
      <w:bookmarkEnd w:id="162"/>
      <w:bookmarkEnd w:id="163"/>
      <w:bookmarkEnd w:id="164"/>
      <w:bookmarkEnd w:id="165"/>
      <w:bookmarkEnd w:id="166"/>
    </w:p>
    <w:p>
      <w:pPr>
        <w:adjustRightInd w:val="0"/>
        <w:snapToGrid w:val="0"/>
        <w:spacing w:line="440" w:lineRule="exact"/>
        <w:ind w:firstLine="440" w:firstLineChars="200"/>
        <w:rPr>
          <w:szCs w:val="21"/>
          <w:lang w:eastAsia="zh-CN"/>
        </w:rPr>
      </w:pPr>
      <w:r>
        <w:rPr>
          <w:rFonts w:hint="eastAsia"/>
          <w:szCs w:val="21"/>
          <w:lang w:eastAsia="zh-CN"/>
        </w:rPr>
        <w:t>除专用合同条款另有约定外，有下述情形之一，当事人可发出书面通知全部或部分地解除合同，合同自通知到达对方时全部或部分地解除：</w:t>
      </w:r>
    </w:p>
    <w:p>
      <w:pPr>
        <w:adjustRightInd w:val="0"/>
        <w:snapToGrid w:val="0"/>
        <w:spacing w:line="440" w:lineRule="exact"/>
        <w:ind w:firstLine="440" w:firstLineChars="200"/>
        <w:rPr>
          <w:szCs w:val="21"/>
          <w:lang w:eastAsia="zh-CN"/>
        </w:rPr>
      </w:pPr>
      <w:r>
        <w:rPr>
          <w:rFonts w:hint="eastAsia"/>
          <w:szCs w:val="21"/>
          <w:lang w:eastAsia="zh-CN"/>
        </w:rPr>
        <w:t>(1)</w:t>
      </w:r>
      <w:r>
        <w:rPr>
          <w:rFonts w:hint="eastAsia"/>
          <w:szCs w:val="21"/>
          <w:lang w:eastAsia="zh-CN"/>
        </w:rPr>
        <w:tab/>
      </w:r>
      <w:r>
        <w:rPr>
          <w:rFonts w:hint="eastAsia"/>
          <w:szCs w:val="21"/>
          <w:lang w:eastAsia="zh-CN"/>
        </w:rPr>
        <w:t>卖方迟延交付合同设备超过3个月；</w:t>
      </w:r>
    </w:p>
    <w:p>
      <w:pPr>
        <w:adjustRightInd w:val="0"/>
        <w:snapToGrid w:val="0"/>
        <w:spacing w:line="440" w:lineRule="exact"/>
        <w:ind w:firstLine="440" w:firstLineChars="200"/>
        <w:rPr>
          <w:szCs w:val="21"/>
          <w:lang w:eastAsia="zh-CN"/>
        </w:rPr>
      </w:pPr>
      <w:r>
        <w:rPr>
          <w:rFonts w:hint="eastAsia"/>
          <w:szCs w:val="21"/>
          <w:lang w:eastAsia="zh-CN"/>
        </w:rPr>
        <w:t>(2)</w:t>
      </w:r>
      <w:r>
        <w:rPr>
          <w:rFonts w:hint="eastAsia"/>
          <w:szCs w:val="21"/>
          <w:lang w:eastAsia="zh-CN"/>
        </w:rPr>
        <w:tab/>
      </w:r>
      <w:r>
        <w:rPr>
          <w:rFonts w:hint="eastAsia"/>
          <w:szCs w:val="21"/>
          <w:lang w:eastAsia="zh-CN"/>
        </w:rPr>
        <w:t>合同设备由于卖方原因三次考核均未能达到技术性能考核指标或在合同约定了或双方在考核中另行达成了最低技术性能考核指标时均未能达到最低技术性能考核指标，且买卖双方未就合同的后续履行协商达成一致；</w:t>
      </w:r>
    </w:p>
    <w:p>
      <w:pPr>
        <w:adjustRightInd w:val="0"/>
        <w:snapToGrid w:val="0"/>
        <w:spacing w:line="440" w:lineRule="exact"/>
        <w:ind w:firstLine="440" w:firstLineChars="200"/>
        <w:rPr>
          <w:szCs w:val="21"/>
          <w:lang w:eastAsia="zh-CN"/>
        </w:rPr>
      </w:pPr>
      <w:r>
        <w:rPr>
          <w:rFonts w:hint="eastAsia"/>
          <w:szCs w:val="21"/>
          <w:lang w:eastAsia="zh-CN"/>
        </w:rPr>
        <w:t>(3)</w:t>
      </w:r>
      <w:r>
        <w:rPr>
          <w:rFonts w:hint="eastAsia"/>
          <w:szCs w:val="21"/>
          <w:lang w:eastAsia="zh-CN"/>
        </w:rPr>
        <w:tab/>
      </w:r>
      <w:r>
        <w:rPr>
          <w:rFonts w:hint="eastAsia"/>
          <w:szCs w:val="21"/>
          <w:lang w:eastAsia="zh-CN"/>
        </w:rPr>
        <w:t>买方迟延付款超过3个月；</w:t>
      </w:r>
    </w:p>
    <w:p>
      <w:pPr>
        <w:adjustRightInd w:val="0"/>
        <w:snapToGrid w:val="0"/>
        <w:spacing w:line="440" w:lineRule="exact"/>
        <w:ind w:firstLine="440" w:firstLineChars="200"/>
        <w:rPr>
          <w:szCs w:val="21"/>
          <w:lang w:eastAsia="zh-CN"/>
        </w:rPr>
      </w:pPr>
      <w:r>
        <w:rPr>
          <w:rFonts w:hint="eastAsia"/>
          <w:szCs w:val="21"/>
          <w:lang w:eastAsia="zh-CN"/>
        </w:rPr>
        <w:t>(4)</w:t>
      </w:r>
      <w:r>
        <w:rPr>
          <w:rFonts w:hint="eastAsia"/>
          <w:szCs w:val="21"/>
          <w:lang w:eastAsia="zh-CN"/>
        </w:rPr>
        <w:tab/>
      </w:r>
      <w:r>
        <w:rPr>
          <w:rFonts w:hint="eastAsia"/>
          <w:szCs w:val="21"/>
          <w:lang w:eastAsia="zh-CN"/>
        </w:rPr>
        <w:t>合同一方当事人未能履行合同项下任何其它义务（细微义务除外），或在未事先征得另一方当事人同意的情况下，从事任何可能在实质上不利影响其履行合同能力的活动，经另一方当事人书面通知后14日内或在专用合同条款约定的其他期限内未能对其行为作出补救；</w:t>
      </w:r>
    </w:p>
    <w:p>
      <w:pPr>
        <w:adjustRightInd w:val="0"/>
        <w:snapToGrid w:val="0"/>
        <w:spacing w:line="440" w:lineRule="exact"/>
        <w:ind w:firstLine="440" w:firstLineChars="200"/>
        <w:rPr>
          <w:szCs w:val="21"/>
          <w:lang w:eastAsia="zh-CN"/>
        </w:rPr>
      </w:pPr>
      <w:r>
        <w:rPr>
          <w:rFonts w:hint="eastAsia"/>
          <w:szCs w:val="21"/>
          <w:lang w:eastAsia="zh-CN"/>
        </w:rPr>
        <w:t>(5)</w:t>
      </w:r>
      <w:r>
        <w:rPr>
          <w:rFonts w:hint="eastAsia"/>
          <w:szCs w:val="21"/>
          <w:lang w:eastAsia="zh-CN"/>
        </w:rPr>
        <w:tab/>
      </w:r>
      <w:r>
        <w:rPr>
          <w:rFonts w:hint="eastAsia"/>
          <w:szCs w:val="21"/>
          <w:lang w:eastAsia="zh-CN"/>
        </w:rPr>
        <w:t>合同一方当事人出现破产、清算、资不抵债、成为失信被执行人等可能丧失履约能力的情形，且未能提供令对方满意的履约保证金。</w:t>
      </w:r>
    </w:p>
    <w:p>
      <w:pPr>
        <w:pStyle w:val="173"/>
        <w:keepNext/>
        <w:keepLines/>
        <w:adjustRightInd w:val="0"/>
        <w:snapToGrid w:val="0"/>
        <w:spacing w:before="0" w:after="0" w:line="440" w:lineRule="exact"/>
        <w:outlineLvl w:val="2"/>
        <w:rPr>
          <w:sz w:val="21"/>
          <w:szCs w:val="21"/>
        </w:rPr>
      </w:pPr>
      <w:bookmarkStart w:id="167" w:name="_Toc29954"/>
      <w:bookmarkStart w:id="168" w:name="_Toc102983284"/>
      <w:bookmarkStart w:id="169" w:name="_Toc8646"/>
      <w:bookmarkStart w:id="170" w:name="_Toc113559485"/>
      <w:bookmarkStart w:id="171" w:name="_Toc15922"/>
      <w:bookmarkStart w:id="172" w:name="_Toc829"/>
      <w:bookmarkStart w:id="173" w:name="_Toc22032773"/>
      <w:r>
        <w:rPr>
          <w:rFonts w:hint="eastAsia"/>
          <w:sz w:val="21"/>
          <w:szCs w:val="21"/>
        </w:rPr>
        <w:t>16.不可抗力</w:t>
      </w:r>
      <w:bookmarkEnd w:id="167"/>
      <w:bookmarkEnd w:id="168"/>
      <w:bookmarkEnd w:id="169"/>
      <w:bookmarkEnd w:id="170"/>
      <w:bookmarkEnd w:id="171"/>
      <w:bookmarkEnd w:id="172"/>
      <w:bookmarkEnd w:id="173"/>
    </w:p>
    <w:p>
      <w:pPr>
        <w:adjustRightInd w:val="0"/>
        <w:snapToGrid w:val="0"/>
        <w:spacing w:line="440" w:lineRule="exact"/>
        <w:ind w:firstLine="440" w:firstLineChars="200"/>
        <w:rPr>
          <w:szCs w:val="21"/>
          <w:lang w:eastAsia="zh-CN"/>
        </w:rPr>
      </w:pPr>
      <w:r>
        <w:rPr>
          <w:rFonts w:hint="eastAsia"/>
          <w:szCs w:val="21"/>
          <w:lang w:eastAsia="zh-CN"/>
        </w:rPr>
        <w:t>16.1如果任何一方当事人受到不能预见、不能避免且不能克服的不可抗力事件的影响，例如战争、严重的火灾、台风、地震、洪水和专用合同条款约定的其他情形，而无法履行合同项下的任何义务，则受影响的一方当事人应立即将此类事件的发生通知另一方当事人，并应在不可抗力事件发生后28日内将有关当局或机构出具的证明文件提交给另一方当事人。</w:t>
      </w:r>
    </w:p>
    <w:p>
      <w:pPr>
        <w:adjustRightInd w:val="0"/>
        <w:snapToGrid w:val="0"/>
        <w:spacing w:line="440" w:lineRule="exact"/>
        <w:ind w:firstLine="440" w:firstLineChars="200"/>
        <w:rPr>
          <w:szCs w:val="21"/>
          <w:lang w:eastAsia="zh-CN"/>
        </w:rPr>
      </w:pPr>
      <w:r>
        <w:rPr>
          <w:rFonts w:hint="eastAsia"/>
          <w:szCs w:val="21"/>
          <w:lang w:eastAsia="zh-CN"/>
        </w:rPr>
        <w:t>16.2受不可抗力事件影响的一方当事人对于不可抗力事件导致的任何合同义务的迟延履行或不能履行不承担违约责任。但该方当事人应尽快将不可抗力事件结束或消除的情况通知另一方当事人。</w:t>
      </w:r>
    </w:p>
    <w:p>
      <w:pPr>
        <w:adjustRightInd w:val="0"/>
        <w:snapToGrid w:val="0"/>
        <w:spacing w:line="440" w:lineRule="exact"/>
        <w:ind w:firstLine="440" w:firstLineChars="200"/>
        <w:rPr>
          <w:szCs w:val="21"/>
          <w:lang w:eastAsia="zh-CN"/>
        </w:rPr>
      </w:pPr>
      <w:r>
        <w:rPr>
          <w:rFonts w:hint="eastAsia"/>
          <w:szCs w:val="21"/>
          <w:lang w:eastAsia="zh-CN"/>
        </w:rPr>
        <w:t>16.3双方当事人应在不可抗力事件结束或其影响消除后立即继续履行其合同义务，合同期限也应相应顺延。除专用合同条款另有约定外，如果不可抗力事件的影响持续超过140日，则任何一方当事人均有权以书面通知解除合同。</w:t>
      </w:r>
    </w:p>
    <w:p>
      <w:pPr>
        <w:pStyle w:val="173"/>
        <w:keepNext/>
        <w:keepLines/>
        <w:adjustRightInd w:val="0"/>
        <w:snapToGrid w:val="0"/>
        <w:spacing w:before="0" w:after="0" w:line="440" w:lineRule="exact"/>
        <w:outlineLvl w:val="2"/>
        <w:rPr>
          <w:sz w:val="21"/>
          <w:szCs w:val="21"/>
        </w:rPr>
      </w:pPr>
      <w:bookmarkStart w:id="174" w:name="_Toc113559486"/>
      <w:bookmarkStart w:id="175" w:name="_Toc102983285"/>
      <w:bookmarkStart w:id="176" w:name="_Toc17303"/>
      <w:bookmarkStart w:id="177" w:name="_Toc27001"/>
      <w:bookmarkStart w:id="178" w:name="_Toc22032774"/>
      <w:bookmarkStart w:id="179" w:name="_Toc17996"/>
      <w:bookmarkStart w:id="180" w:name="_Toc19973"/>
      <w:r>
        <w:rPr>
          <w:rFonts w:hint="eastAsia"/>
          <w:sz w:val="21"/>
          <w:szCs w:val="21"/>
        </w:rPr>
        <w:t>17.争议的解决</w:t>
      </w:r>
      <w:bookmarkEnd w:id="174"/>
      <w:bookmarkEnd w:id="175"/>
      <w:bookmarkEnd w:id="176"/>
      <w:bookmarkEnd w:id="177"/>
      <w:bookmarkEnd w:id="178"/>
      <w:bookmarkEnd w:id="179"/>
      <w:bookmarkEnd w:id="180"/>
    </w:p>
    <w:p>
      <w:pPr>
        <w:adjustRightInd w:val="0"/>
        <w:snapToGrid w:val="0"/>
        <w:spacing w:line="440" w:lineRule="exact"/>
        <w:ind w:firstLine="440" w:firstLineChars="200"/>
        <w:rPr>
          <w:szCs w:val="21"/>
          <w:lang w:eastAsia="zh-CN"/>
        </w:rPr>
      </w:pPr>
      <w:r>
        <w:rPr>
          <w:rFonts w:hint="eastAsia"/>
          <w:szCs w:val="21"/>
          <w:lang w:eastAsia="zh-CN"/>
        </w:rPr>
        <w:t>因本合同引起的或与本合同有关的任何争议，双方可通过友好协商解决。友好协商解决不成的，可在专用合同条款中约定下列一种方式解决：</w:t>
      </w:r>
    </w:p>
    <w:p>
      <w:pPr>
        <w:adjustRightInd w:val="0"/>
        <w:snapToGrid w:val="0"/>
        <w:spacing w:line="440" w:lineRule="exact"/>
        <w:ind w:firstLine="440" w:firstLineChars="200"/>
        <w:rPr>
          <w:szCs w:val="21"/>
          <w:lang w:eastAsia="zh-CN"/>
        </w:rPr>
      </w:pPr>
      <w:r>
        <w:rPr>
          <w:rFonts w:hint="eastAsia"/>
          <w:szCs w:val="21"/>
          <w:lang w:eastAsia="zh-CN"/>
        </w:rPr>
        <w:t>(1)</w:t>
      </w:r>
      <w:r>
        <w:rPr>
          <w:rFonts w:hint="eastAsia"/>
          <w:szCs w:val="21"/>
          <w:lang w:eastAsia="zh-CN"/>
        </w:rPr>
        <w:tab/>
      </w:r>
      <w:r>
        <w:rPr>
          <w:rFonts w:hint="eastAsia"/>
          <w:szCs w:val="21"/>
          <w:lang w:eastAsia="zh-CN"/>
        </w:rPr>
        <w:t>向约定的仲裁委员会申请仲裁；</w:t>
      </w:r>
    </w:p>
    <w:p>
      <w:pPr>
        <w:adjustRightInd w:val="0"/>
        <w:snapToGrid w:val="0"/>
        <w:spacing w:line="440" w:lineRule="exact"/>
        <w:ind w:firstLine="440" w:firstLineChars="200"/>
        <w:rPr>
          <w:szCs w:val="21"/>
          <w:lang w:eastAsia="zh-CN"/>
        </w:rPr>
      </w:pPr>
      <w:r>
        <w:rPr>
          <w:rFonts w:hint="eastAsia"/>
          <w:szCs w:val="21"/>
          <w:lang w:eastAsia="zh-CN"/>
        </w:rPr>
        <w:t>(2)</w:t>
      </w:r>
      <w:r>
        <w:rPr>
          <w:rFonts w:hint="eastAsia"/>
          <w:szCs w:val="21"/>
          <w:lang w:eastAsia="zh-CN"/>
        </w:rPr>
        <w:tab/>
      </w:r>
      <w:r>
        <w:rPr>
          <w:rFonts w:hint="eastAsia"/>
          <w:szCs w:val="21"/>
          <w:lang w:eastAsia="zh-CN"/>
        </w:rPr>
        <w:t>向有管辖权的人民法院提起诉讼。</w:t>
      </w:r>
    </w:p>
    <w:p>
      <w:pPr>
        <w:pStyle w:val="176"/>
        <w:rPr>
          <w:rFonts w:hint="eastAsia"/>
        </w:rPr>
      </w:pPr>
      <w:bookmarkStart w:id="181" w:name="_Toc288"/>
      <w:bookmarkStart w:id="182" w:name="_Toc28573"/>
      <w:bookmarkStart w:id="183" w:name="_Toc8478"/>
      <w:bookmarkStart w:id="184" w:name="_Toc6101"/>
    </w:p>
    <w:p>
      <w:pPr>
        <w:pStyle w:val="173"/>
        <w:keepNext/>
        <w:keepLines/>
        <w:shd w:val="clear" w:color="auto" w:fill="auto"/>
        <w:spacing w:before="0" w:after="582" w:line="320" w:lineRule="exact"/>
        <w:ind w:right="40"/>
        <w:jc w:val="center"/>
      </w:pPr>
      <w:r>
        <w:rPr>
          <w:rFonts w:hint="eastAsia"/>
        </w:rPr>
        <w:t>第二节</w:t>
      </w:r>
      <w:r>
        <w:t>专用合同条款</w:t>
      </w:r>
      <w:bookmarkEnd w:id="181"/>
      <w:bookmarkEnd w:id="182"/>
      <w:bookmarkEnd w:id="183"/>
      <w:bookmarkEnd w:id="184"/>
    </w:p>
    <w:p>
      <w:pPr>
        <w:spacing w:line="360" w:lineRule="auto"/>
        <w:ind w:firstLine="440" w:firstLineChars="200"/>
        <w:rPr>
          <w:szCs w:val="21"/>
          <w:lang w:eastAsia="zh-CN"/>
        </w:rPr>
      </w:pPr>
      <w:r>
        <w:rPr>
          <w:rFonts w:hint="eastAsia"/>
          <w:szCs w:val="21"/>
          <w:lang w:eastAsia="zh-CN"/>
        </w:rPr>
        <w:t>专用合同条款是对合同通用条款的补充、完善或具体化。应对照通用合同条款中同一条款一起阅读和理解。</w:t>
      </w:r>
    </w:p>
    <w:p>
      <w:pPr>
        <w:spacing w:line="360" w:lineRule="auto"/>
        <w:ind w:firstLine="440" w:firstLineChars="200"/>
        <w:rPr>
          <w:szCs w:val="21"/>
          <w:lang w:eastAsia="zh-CN"/>
        </w:rPr>
      </w:pPr>
      <w:r>
        <w:rPr>
          <w:rFonts w:hint="eastAsia"/>
          <w:szCs w:val="21"/>
          <w:lang w:eastAsia="zh-CN"/>
        </w:rPr>
        <w:t>如果通用合同条款与专用合同条款之间有不一致之处，以专用合同条款为准。</w:t>
      </w:r>
    </w:p>
    <w:p>
      <w:pPr>
        <w:keepNext/>
        <w:keepLines/>
        <w:shd w:val="clear" w:color="auto" w:fill="FFFFFF"/>
        <w:adjustRightInd w:val="0"/>
        <w:snapToGrid w:val="0"/>
        <w:spacing w:line="360" w:lineRule="auto"/>
        <w:outlineLvl w:val="2"/>
        <w:rPr>
          <w:szCs w:val="21"/>
          <w:lang w:eastAsia="zh-CN"/>
        </w:rPr>
      </w:pPr>
      <w:bookmarkStart w:id="185" w:name="_Toc21515"/>
      <w:bookmarkStart w:id="186" w:name="_Toc22571383"/>
      <w:bookmarkStart w:id="187" w:name="_Toc12993"/>
      <w:bookmarkStart w:id="188" w:name="_Toc15104"/>
      <w:bookmarkStart w:id="189" w:name="_Toc113559488"/>
      <w:bookmarkStart w:id="190" w:name="_Toc29980"/>
      <w:bookmarkStart w:id="191" w:name="_Toc11419"/>
      <w:bookmarkStart w:id="192" w:name="_Toc377"/>
      <w:bookmarkStart w:id="193" w:name="_Toc100946801"/>
      <w:bookmarkStart w:id="194" w:name="_Toc101259170"/>
      <w:bookmarkStart w:id="195" w:name="_Toc3578"/>
      <w:bookmarkStart w:id="196" w:name="_Toc1533"/>
      <w:r>
        <w:rPr>
          <w:rFonts w:hint="eastAsia"/>
          <w:szCs w:val="21"/>
          <w:lang w:eastAsia="zh-CN"/>
        </w:rPr>
        <w:t>1.一般约定</w:t>
      </w:r>
      <w:bookmarkEnd w:id="185"/>
      <w:bookmarkEnd w:id="186"/>
      <w:bookmarkEnd w:id="187"/>
      <w:bookmarkEnd w:id="188"/>
      <w:bookmarkEnd w:id="189"/>
      <w:bookmarkEnd w:id="190"/>
      <w:bookmarkEnd w:id="191"/>
      <w:bookmarkEnd w:id="192"/>
      <w:bookmarkEnd w:id="193"/>
      <w:bookmarkEnd w:id="194"/>
      <w:bookmarkEnd w:id="195"/>
      <w:bookmarkEnd w:id="196"/>
    </w:p>
    <w:p>
      <w:pPr>
        <w:adjustRightInd w:val="0"/>
        <w:snapToGrid w:val="0"/>
        <w:spacing w:line="360" w:lineRule="auto"/>
        <w:outlineLvl w:val="3"/>
        <w:rPr>
          <w:szCs w:val="21"/>
          <w:lang w:eastAsia="zh-CN"/>
        </w:rPr>
      </w:pPr>
      <w:r>
        <w:rPr>
          <w:rFonts w:hint="eastAsia"/>
          <w:szCs w:val="21"/>
          <w:lang w:eastAsia="zh-CN"/>
        </w:rPr>
        <w:t>1.1词语定义</w:t>
      </w:r>
    </w:p>
    <w:p>
      <w:pPr>
        <w:spacing w:line="360" w:lineRule="auto"/>
        <w:ind w:firstLine="440" w:firstLineChars="200"/>
        <w:rPr>
          <w:szCs w:val="21"/>
          <w:lang w:eastAsia="zh-CN"/>
        </w:rPr>
      </w:pPr>
      <w:r>
        <w:rPr>
          <w:rFonts w:hint="eastAsia"/>
          <w:szCs w:val="21"/>
          <w:lang w:eastAsia="zh-CN"/>
        </w:rPr>
        <w:t>本合同中以下词语应具有本条所赋予的涵义。</w:t>
      </w:r>
    </w:p>
    <w:p>
      <w:pPr>
        <w:adjustRightInd w:val="0"/>
        <w:snapToGrid w:val="0"/>
        <w:spacing w:line="360" w:lineRule="auto"/>
        <w:ind w:firstLine="440" w:firstLineChars="200"/>
        <w:rPr>
          <w:szCs w:val="21"/>
          <w:lang w:eastAsia="zh-CN"/>
        </w:rPr>
      </w:pPr>
      <w:r>
        <w:rPr>
          <w:rFonts w:hint="eastAsia"/>
          <w:szCs w:val="21"/>
          <w:lang w:eastAsia="zh-CN"/>
        </w:rPr>
        <w:t>1.1.2合同当事人</w:t>
      </w:r>
    </w:p>
    <w:p>
      <w:pPr>
        <w:adjustRightInd w:val="0"/>
        <w:snapToGrid w:val="0"/>
        <w:spacing w:line="360" w:lineRule="auto"/>
        <w:ind w:firstLine="440" w:firstLineChars="200"/>
        <w:rPr>
          <w:szCs w:val="21"/>
          <w:lang w:eastAsia="zh-CN"/>
        </w:rPr>
      </w:pPr>
      <w:r>
        <w:rPr>
          <w:rFonts w:hint="eastAsia"/>
          <w:szCs w:val="21"/>
          <w:lang w:eastAsia="zh-CN"/>
        </w:rPr>
        <w:t>1.1.2.2发包人：即买方。</w:t>
      </w:r>
    </w:p>
    <w:p>
      <w:pPr>
        <w:adjustRightInd w:val="0"/>
        <w:snapToGrid w:val="0"/>
        <w:spacing w:line="360" w:lineRule="auto"/>
        <w:ind w:firstLine="440" w:firstLineChars="200"/>
        <w:rPr>
          <w:szCs w:val="21"/>
          <w:lang w:eastAsia="zh-CN"/>
        </w:rPr>
      </w:pPr>
      <w:r>
        <w:rPr>
          <w:rFonts w:hint="eastAsia"/>
          <w:szCs w:val="21"/>
          <w:lang w:eastAsia="zh-CN"/>
        </w:rPr>
        <w:t>1.1.2.3承包人：即卖方。</w:t>
      </w:r>
    </w:p>
    <w:p>
      <w:pPr>
        <w:adjustRightInd w:val="0"/>
        <w:snapToGrid w:val="0"/>
        <w:spacing w:line="360" w:lineRule="auto"/>
        <w:ind w:firstLine="440" w:firstLineChars="200"/>
        <w:rPr>
          <w:szCs w:val="21"/>
          <w:lang w:eastAsia="zh-CN"/>
        </w:rPr>
      </w:pPr>
      <w:r>
        <w:rPr>
          <w:rFonts w:hint="eastAsia"/>
          <w:szCs w:val="21"/>
          <w:lang w:eastAsia="zh-CN"/>
        </w:rPr>
        <w:t>1.1.13.1工程：涪江干流梯级渠化双江航电枢纽工程。</w:t>
      </w:r>
    </w:p>
    <w:p>
      <w:pPr>
        <w:adjustRightInd w:val="0"/>
        <w:snapToGrid w:val="0"/>
        <w:spacing w:line="360" w:lineRule="auto"/>
        <w:ind w:firstLine="440" w:firstLineChars="200"/>
        <w:rPr>
          <w:szCs w:val="21"/>
          <w:lang w:eastAsia="zh-CN"/>
        </w:rPr>
      </w:pPr>
      <w:r>
        <w:rPr>
          <w:rFonts w:hint="eastAsia"/>
          <w:szCs w:val="21"/>
          <w:lang w:eastAsia="zh-CN"/>
        </w:rPr>
        <w:t>1.1.13.2施工场地（或称工地、施工现场）：双江航电枢纽工程工地现场买方指定的存放地点。</w:t>
      </w:r>
    </w:p>
    <w:p>
      <w:pPr>
        <w:adjustRightInd w:val="0"/>
        <w:snapToGrid w:val="0"/>
        <w:spacing w:line="360" w:lineRule="auto"/>
        <w:ind w:firstLine="440" w:firstLineChars="200"/>
        <w:rPr>
          <w:szCs w:val="21"/>
          <w:lang w:eastAsia="zh-CN"/>
        </w:rPr>
      </w:pPr>
      <w:bookmarkStart w:id="197" w:name="_Toc138217102"/>
      <w:bookmarkStart w:id="198" w:name="_Toc138218238"/>
      <w:bookmarkStart w:id="199" w:name="_Toc140303281"/>
      <w:bookmarkStart w:id="200" w:name="_Toc138143805"/>
      <w:bookmarkStart w:id="201" w:name="_Toc149722250"/>
      <w:r>
        <w:rPr>
          <w:rFonts w:hint="eastAsia"/>
          <w:szCs w:val="21"/>
          <w:lang w:eastAsia="zh-CN"/>
        </w:rPr>
        <w:t>增加以下条款：</w:t>
      </w:r>
    </w:p>
    <w:p>
      <w:pPr>
        <w:adjustRightInd w:val="0"/>
        <w:snapToGrid w:val="0"/>
        <w:spacing w:line="360" w:lineRule="auto"/>
        <w:ind w:firstLine="440" w:firstLineChars="200"/>
        <w:rPr>
          <w:szCs w:val="21"/>
          <w:lang w:eastAsia="zh-CN"/>
        </w:rPr>
      </w:pPr>
      <w:r>
        <w:rPr>
          <w:rFonts w:hint="eastAsia"/>
          <w:szCs w:val="21"/>
          <w:lang w:eastAsia="zh-CN"/>
        </w:rPr>
        <w:t xml:space="preserve">1.1.17 </w:t>
      </w:r>
      <w:r>
        <w:rPr>
          <w:szCs w:val="21"/>
          <w:lang w:eastAsia="zh-CN"/>
        </w:rPr>
        <w:t>设计单位：受买方委托负责</w:t>
      </w:r>
      <w:r>
        <w:rPr>
          <w:rFonts w:hint="eastAsia"/>
          <w:szCs w:val="21"/>
          <w:lang w:eastAsia="zh-CN"/>
        </w:rPr>
        <w:t>本合同所属</w:t>
      </w:r>
      <w:r>
        <w:rPr>
          <w:szCs w:val="21"/>
          <w:lang w:eastAsia="zh-CN"/>
        </w:rPr>
        <w:t>工程设计的单位。</w:t>
      </w:r>
      <w:bookmarkEnd w:id="197"/>
      <w:bookmarkEnd w:id="198"/>
      <w:bookmarkEnd w:id="199"/>
      <w:bookmarkEnd w:id="200"/>
      <w:bookmarkEnd w:id="201"/>
    </w:p>
    <w:p>
      <w:pPr>
        <w:adjustRightInd w:val="0"/>
        <w:snapToGrid w:val="0"/>
        <w:spacing w:line="360" w:lineRule="auto"/>
        <w:ind w:firstLine="440" w:firstLineChars="200"/>
        <w:rPr>
          <w:szCs w:val="21"/>
          <w:lang w:eastAsia="zh-CN"/>
        </w:rPr>
      </w:pPr>
      <w:bookmarkStart w:id="202" w:name="_Toc149722252"/>
      <w:bookmarkStart w:id="203" w:name="_Toc140303283"/>
      <w:bookmarkStart w:id="204" w:name="_Toc138143807"/>
      <w:bookmarkStart w:id="205" w:name="_Toc138218240"/>
      <w:bookmarkStart w:id="206" w:name="_Toc138217104"/>
      <w:r>
        <w:rPr>
          <w:rFonts w:hint="eastAsia"/>
          <w:szCs w:val="21"/>
          <w:lang w:eastAsia="zh-CN"/>
        </w:rPr>
        <w:t>1.1.18</w:t>
      </w:r>
      <w:r>
        <w:rPr>
          <w:szCs w:val="21"/>
          <w:lang w:eastAsia="zh-CN"/>
        </w:rPr>
        <w:t>驻工地代表：卖方派驻</w:t>
      </w:r>
      <w:r>
        <w:rPr>
          <w:rFonts w:hint="eastAsia"/>
          <w:szCs w:val="21"/>
          <w:lang w:eastAsia="zh-CN"/>
        </w:rPr>
        <w:t>本合同所属</w:t>
      </w:r>
      <w:r>
        <w:rPr>
          <w:szCs w:val="21"/>
          <w:lang w:eastAsia="zh-CN"/>
        </w:rPr>
        <w:t>工程工地现场服务的代表。</w:t>
      </w:r>
      <w:bookmarkEnd w:id="202"/>
      <w:bookmarkEnd w:id="203"/>
      <w:bookmarkEnd w:id="204"/>
      <w:bookmarkEnd w:id="205"/>
      <w:bookmarkEnd w:id="206"/>
    </w:p>
    <w:p>
      <w:pPr>
        <w:adjustRightInd w:val="0"/>
        <w:snapToGrid w:val="0"/>
        <w:spacing w:line="360" w:lineRule="auto"/>
        <w:ind w:firstLine="440" w:firstLineChars="200"/>
        <w:rPr>
          <w:szCs w:val="21"/>
          <w:highlight w:val="none"/>
          <w:lang w:eastAsia="zh-CN"/>
        </w:rPr>
      </w:pPr>
      <w:bookmarkStart w:id="207" w:name="_Toc53730337"/>
      <w:bookmarkStart w:id="208" w:name="_Toc138218245"/>
      <w:bookmarkStart w:id="209" w:name="_Toc140303288"/>
      <w:bookmarkStart w:id="210" w:name="_Toc138217109"/>
      <w:bookmarkStart w:id="211" w:name="_Toc53730610"/>
      <w:bookmarkStart w:id="212" w:name="_Toc149722257"/>
      <w:bookmarkStart w:id="213" w:name="_Toc138143812"/>
      <w:r>
        <w:rPr>
          <w:rFonts w:hint="eastAsia"/>
          <w:szCs w:val="21"/>
          <w:lang w:eastAsia="zh-CN"/>
        </w:rPr>
        <w:t>1.1.19安装承包人</w:t>
      </w:r>
      <w:r>
        <w:rPr>
          <w:szCs w:val="21"/>
          <w:highlight w:val="none"/>
          <w:lang w:eastAsia="zh-CN"/>
        </w:rPr>
        <w:t>：受买方委托负责在工地现场对合同设备进行安装的单位。</w:t>
      </w:r>
      <w:bookmarkEnd w:id="207"/>
      <w:bookmarkEnd w:id="208"/>
      <w:bookmarkEnd w:id="209"/>
      <w:bookmarkEnd w:id="210"/>
      <w:bookmarkEnd w:id="211"/>
      <w:bookmarkEnd w:id="212"/>
      <w:bookmarkEnd w:id="213"/>
    </w:p>
    <w:p>
      <w:pPr>
        <w:adjustRightInd w:val="0"/>
        <w:snapToGrid w:val="0"/>
        <w:spacing w:line="360" w:lineRule="auto"/>
        <w:ind w:firstLine="440" w:firstLineChars="200"/>
        <w:rPr>
          <w:szCs w:val="21"/>
          <w:highlight w:val="none"/>
          <w:lang w:eastAsia="zh-CN"/>
        </w:rPr>
      </w:pPr>
      <w:bookmarkStart w:id="214" w:name="_Toc138217127"/>
      <w:bookmarkStart w:id="215" w:name="_Toc138143830"/>
      <w:bookmarkStart w:id="216" w:name="_Toc140303306"/>
      <w:bookmarkStart w:id="217" w:name="_Toc138218263"/>
      <w:bookmarkStart w:id="218" w:name="_Toc149722275"/>
      <w:r>
        <w:rPr>
          <w:rFonts w:hint="eastAsia"/>
          <w:szCs w:val="21"/>
          <w:highlight w:val="none"/>
          <w:lang w:eastAsia="zh-CN"/>
        </w:rPr>
        <w:t>1.1.20</w:t>
      </w:r>
      <w:r>
        <w:rPr>
          <w:szCs w:val="21"/>
          <w:highlight w:val="none"/>
          <w:lang w:eastAsia="zh-CN"/>
        </w:rPr>
        <w:t>初步验收：</w:t>
      </w:r>
      <w:bookmarkEnd w:id="214"/>
      <w:bookmarkEnd w:id="215"/>
      <w:bookmarkEnd w:id="216"/>
      <w:bookmarkEnd w:id="217"/>
      <w:bookmarkEnd w:id="218"/>
      <w:r>
        <w:rPr>
          <w:szCs w:val="21"/>
          <w:highlight w:val="none"/>
          <w:lang w:eastAsia="zh-CN"/>
        </w:rPr>
        <w:t>在合同设备</w:t>
      </w:r>
      <w:r>
        <w:rPr>
          <w:rFonts w:hint="eastAsia"/>
          <w:szCs w:val="21"/>
          <w:highlight w:val="none"/>
          <w:lang w:val="en-US" w:eastAsia="zh-CN"/>
        </w:rPr>
        <w:t>安装调试完毕、具备使用条件后</w:t>
      </w:r>
      <w:r>
        <w:rPr>
          <w:szCs w:val="21"/>
          <w:highlight w:val="none"/>
          <w:lang w:eastAsia="zh-CN"/>
        </w:rPr>
        <w:t>，买方对</w:t>
      </w:r>
      <w:r>
        <w:rPr>
          <w:rFonts w:hint="eastAsia"/>
          <w:szCs w:val="21"/>
          <w:highlight w:val="none"/>
          <w:lang w:eastAsia="zh-CN"/>
        </w:rPr>
        <w:t>合同</w:t>
      </w:r>
      <w:r>
        <w:rPr>
          <w:szCs w:val="21"/>
          <w:highlight w:val="none"/>
          <w:lang w:eastAsia="zh-CN"/>
        </w:rPr>
        <w:t>设备组织的验收。</w:t>
      </w:r>
    </w:p>
    <w:p>
      <w:pPr>
        <w:adjustRightInd w:val="0"/>
        <w:snapToGrid w:val="0"/>
        <w:spacing w:line="360" w:lineRule="auto"/>
        <w:ind w:firstLine="440" w:firstLineChars="200"/>
        <w:rPr>
          <w:szCs w:val="21"/>
          <w:highlight w:val="none"/>
          <w:lang w:eastAsia="zh-CN"/>
        </w:rPr>
      </w:pPr>
      <w:bookmarkStart w:id="219" w:name="_Toc140303307"/>
      <w:bookmarkStart w:id="220" w:name="_Toc138217128"/>
      <w:bookmarkStart w:id="221" w:name="_Toc138218264"/>
      <w:bookmarkStart w:id="222" w:name="_Toc149722276"/>
      <w:bookmarkStart w:id="223" w:name="_Toc138143831"/>
      <w:r>
        <w:rPr>
          <w:rFonts w:hint="eastAsia"/>
          <w:szCs w:val="21"/>
          <w:highlight w:val="none"/>
          <w:lang w:eastAsia="zh-CN"/>
        </w:rPr>
        <w:t>1.1.21</w:t>
      </w:r>
      <w:r>
        <w:rPr>
          <w:szCs w:val="21"/>
          <w:highlight w:val="none"/>
          <w:lang w:eastAsia="zh-CN"/>
        </w:rPr>
        <w:t>最终验收：</w:t>
      </w:r>
      <w:bookmarkEnd w:id="219"/>
      <w:bookmarkEnd w:id="220"/>
      <w:bookmarkEnd w:id="221"/>
      <w:bookmarkEnd w:id="222"/>
      <w:bookmarkEnd w:id="223"/>
      <w:r>
        <w:rPr>
          <w:szCs w:val="21"/>
          <w:highlight w:val="none"/>
          <w:lang w:eastAsia="zh-CN"/>
        </w:rPr>
        <w:t>在合同设备质量保证期届满，买方对</w:t>
      </w:r>
      <w:r>
        <w:rPr>
          <w:rFonts w:hint="eastAsia"/>
          <w:szCs w:val="21"/>
          <w:highlight w:val="none"/>
          <w:lang w:eastAsia="zh-CN"/>
        </w:rPr>
        <w:t>合同</w:t>
      </w:r>
      <w:r>
        <w:rPr>
          <w:szCs w:val="21"/>
          <w:highlight w:val="none"/>
          <w:lang w:eastAsia="zh-CN"/>
        </w:rPr>
        <w:t>设备组织的验收。</w:t>
      </w:r>
    </w:p>
    <w:p>
      <w:pPr>
        <w:adjustRightInd w:val="0"/>
        <w:snapToGrid w:val="0"/>
        <w:spacing w:line="360" w:lineRule="auto"/>
        <w:ind w:firstLine="440" w:firstLineChars="200"/>
        <w:rPr>
          <w:szCs w:val="21"/>
          <w:lang w:eastAsia="zh-CN"/>
        </w:rPr>
      </w:pPr>
      <w:bookmarkStart w:id="224" w:name="_Toc140303308"/>
      <w:bookmarkStart w:id="225" w:name="_Toc138143832"/>
      <w:bookmarkStart w:id="226" w:name="_Toc149722277"/>
      <w:bookmarkStart w:id="227" w:name="_Toc138218265"/>
      <w:bookmarkStart w:id="228" w:name="_Toc138217129"/>
      <w:r>
        <w:rPr>
          <w:rFonts w:hint="eastAsia"/>
          <w:szCs w:val="21"/>
          <w:lang w:eastAsia="zh-CN"/>
        </w:rPr>
        <w:t>1.1.22</w:t>
      </w:r>
      <w:r>
        <w:rPr>
          <w:szCs w:val="21"/>
          <w:lang w:eastAsia="zh-CN"/>
        </w:rPr>
        <w:t>缺陷：卖方提供的设备、服务、工艺或材料</w:t>
      </w:r>
      <w:r>
        <w:rPr>
          <w:rFonts w:hint="eastAsia"/>
          <w:szCs w:val="21"/>
          <w:lang w:eastAsia="zh-CN"/>
        </w:rPr>
        <w:t>、安装</w:t>
      </w:r>
      <w:r>
        <w:rPr>
          <w:szCs w:val="21"/>
          <w:lang w:eastAsia="zh-CN"/>
        </w:rPr>
        <w:t>等，不符合国家规程规范标准的规定</w:t>
      </w:r>
      <w:r>
        <w:rPr>
          <w:rFonts w:hint="eastAsia"/>
          <w:szCs w:val="21"/>
          <w:lang w:eastAsia="zh-CN"/>
        </w:rPr>
        <w:t>或</w:t>
      </w:r>
      <w:r>
        <w:rPr>
          <w:szCs w:val="21"/>
          <w:lang w:eastAsia="zh-CN"/>
        </w:rPr>
        <w:t>合同的要求。</w:t>
      </w:r>
    </w:p>
    <w:p>
      <w:pPr>
        <w:adjustRightInd w:val="0"/>
        <w:snapToGrid w:val="0"/>
        <w:spacing w:line="360" w:lineRule="auto"/>
        <w:ind w:firstLine="440" w:firstLineChars="200"/>
        <w:rPr>
          <w:szCs w:val="21"/>
          <w:lang w:eastAsia="zh-CN"/>
        </w:rPr>
      </w:pPr>
      <w:r>
        <w:rPr>
          <w:rFonts w:hint="eastAsia"/>
          <w:szCs w:val="21"/>
          <w:lang w:eastAsia="zh-CN"/>
        </w:rPr>
        <w:t>1.1.23</w:t>
      </w:r>
      <w:r>
        <w:rPr>
          <w:szCs w:val="21"/>
          <w:lang w:eastAsia="zh-CN"/>
        </w:rPr>
        <w:t>潜在缺陷：在试验、初步验收和最终验收时未能发现的缺陷。</w:t>
      </w:r>
      <w:bookmarkEnd w:id="224"/>
      <w:bookmarkEnd w:id="225"/>
      <w:bookmarkEnd w:id="226"/>
      <w:bookmarkEnd w:id="227"/>
      <w:bookmarkEnd w:id="228"/>
    </w:p>
    <w:p>
      <w:pPr>
        <w:adjustRightInd w:val="0"/>
        <w:snapToGrid w:val="0"/>
        <w:spacing w:line="360" w:lineRule="auto"/>
        <w:ind w:firstLine="440" w:firstLineChars="200"/>
        <w:rPr>
          <w:szCs w:val="21"/>
          <w:lang w:eastAsia="zh-CN"/>
        </w:rPr>
      </w:pPr>
      <w:r>
        <w:rPr>
          <w:rFonts w:hint="eastAsia"/>
          <w:szCs w:val="21"/>
          <w:lang w:eastAsia="zh-CN"/>
        </w:rPr>
        <w:t>1.1.24合同变更</w:t>
      </w:r>
      <w:r>
        <w:rPr>
          <w:szCs w:val="21"/>
          <w:lang w:eastAsia="zh-CN"/>
        </w:rPr>
        <w:t>：</w:t>
      </w:r>
      <w:r>
        <w:rPr>
          <w:rFonts w:hint="eastAsia"/>
          <w:szCs w:val="21"/>
          <w:lang w:eastAsia="zh-CN"/>
        </w:rPr>
        <w:t>买方根据设计修改或工程的实际需要对原合同工作内容进行的部分修改或委托卖方完成的合同约定以外的事项</w:t>
      </w:r>
      <w:r>
        <w:rPr>
          <w:szCs w:val="21"/>
          <w:lang w:eastAsia="zh-CN"/>
        </w:rPr>
        <w:t>。</w:t>
      </w:r>
    </w:p>
    <w:p>
      <w:pPr>
        <w:adjustRightInd w:val="0"/>
        <w:snapToGrid w:val="0"/>
        <w:spacing w:line="360" w:lineRule="auto"/>
        <w:ind w:firstLine="440" w:firstLineChars="200"/>
        <w:rPr>
          <w:szCs w:val="21"/>
          <w:lang w:eastAsia="zh-CN"/>
        </w:rPr>
      </w:pPr>
      <w:r>
        <w:rPr>
          <w:rFonts w:hint="eastAsia"/>
          <w:szCs w:val="21"/>
          <w:lang w:eastAsia="zh-CN"/>
        </w:rPr>
        <w:t>1.1.25结算价格</w:t>
      </w:r>
      <w:r>
        <w:rPr>
          <w:szCs w:val="21"/>
          <w:lang w:eastAsia="zh-CN"/>
        </w:rPr>
        <w:t>：卖方</w:t>
      </w:r>
      <w:r>
        <w:rPr>
          <w:rFonts w:hint="eastAsia"/>
          <w:szCs w:val="21"/>
          <w:lang w:eastAsia="zh-CN"/>
        </w:rPr>
        <w:t>在完成合同约定及变更事项等所有工作内容后，卖方申请且经买方审核的合同价格。</w:t>
      </w:r>
    </w:p>
    <w:p>
      <w:pPr>
        <w:adjustRightInd w:val="0"/>
        <w:snapToGrid w:val="0"/>
        <w:spacing w:line="360" w:lineRule="auto"/>
        <w:outlineLvl w:val="3"/>
        <w:rPr>
          <w:szCs w:val="21"/>
          <w:lang w:eastAsia="zh-CN"/>
        </w:rPr>
      </w:pPr>
      <w:r>
        <w:rPr>
          <w:szCs w:val="21"/>
          <w:lang w:eastAsia="zh-CN"/>
        </w:rPr>
        <w:t>1.4合同的生效及变更</w:t>
      </w:r>
    </w:p>
    <w:p>
      <w:pPr>
        <w:adjustRightInd w:val="0"/>
        <w:snapToGrid w:val="0"/>
        <w:spacing w:line="360" w:lineRule="auto"/>
        <w:ind w:firstLine="440" w:firstLineChars="200"/>
        <w:outlineLvl w:val="4"/>
        <w:rPr>
          <w:szCs w:val="21"/>
          <w:lang w:eastAsia="zh-CN"/>
        </w:rPr>
      </w:pPr>
      <w:r>
        <w:rPr>
          <w:szCs w:val="21"/>
          <w:lang w:eastAsia="zh-CN"/>
        </w:rPr>
        <w:t>1.4.1合同生效</w:t>
      </w:r>
    </w:p>
    <w:p>
      <w:pPr>
        <w:adjustRightInd w:val="0"/>
        <w:snapToGrid w:val="0"/>
        <w:spacing w:line="360" w:lineRule="auto"/>
        <w:ind w:firstLine="440" w:firstLineChars="200"/>
        <w:rPr>
          <w:szCs w:val="21"/>
          <w:lang w:eastAsia="zh-CN"/>
        </w:rPr>
      </w:pPr>
      <w:r>
        <w:rPr>
          <w:rFonts w:hint="eastAsia"/>
          <w:szCs w:val="21"/>
          <w:lang w:eastAsia="zh-CN"/>
        </w:rPr>
        <w:t>买方和卖方的法定代表人或其授权代表在合同协议书上签名，加盖本单位公章或合同专用章，卖方向买方提交履约担保后，合同生效。</w:t>
      </w:r>
    </w:p>
    <w:p>
      <w:pPr>
        <w:adjustRightInd w:val="0"/>
        <w:snapToGrid w:val="0"/>
        <w:spacing w:line="360" w:lineRule="auto"/>
        <w:ind w:firstLine="440" w:firstLineChars="200"/>
        <w:outlineLvl w:val="4"/>
        <w:rPr>
          <w:szCs w:val="21"/>
          <w:lang w:eastAsia="zh-CN"/>
        </w:rPr>
      </w:pPr>
      <w:r>
        <w:rPr>
          <w:szCs w:val="21"/>
          <w:lang w:eastAsia="zh-CN"/>
        </w:rPr>
        <w:t xml:space="preserve">1.4.2 </w:t>
      </w:r>
      <w:r>
        <w:rPr>
          <w:rFonts w:hint="eastAsia"/>
          <w:szCs w:val="21"/>
          <w:lang w:eastAsia="zh-CN"/>
        </w:rPr>
        <w:t>合同变更</w:t>
      </w:r>
    </w:p>
    <w:p>
      <w:pPr>
        <w:adjustRightInd w:val="0"/>
        <w:snapToGrid w:val="0"/>
        <w:spacing w:line="360" w:lineRule="auto"/>
        <w:ind w:firstLine="440" w:firstLineChars="200"/>
        <w:rPr>
          <w:szCs w:val="21"/>
          <w:lang w:eastAsia="zh-CN"/>
        </w:rPr>
      </w:pPr>
      <w:r>
        <w:rPr>
          <w:rFonts w:hint="eastAsia"/>
          <w:szCs w:val="21"/>
          <w:lang w:eastAsia="zh-CN"/>
        </w:rPr>
        <w:t>（1）变更范围</w:t>
      </w:r>
    </w:p>
    <w:p>
      <w:pPr>
        <w:adjustRightInd w:val="0"/>
        <w:snapToGrid w:val="0"/>
        <w:spacing w:line="360" w:lineRule="auto"/>
        <w:ind w:firstLine="440" w:firstLineChars="200"/>
        <w:rPr>
          <w:szCs w:val="21"/>
          <w:lang w:eastAsia="zh-CN"/>
        </w:rPr>
      </w:pPr>
      <w:r>
        <w:rPr>
          <w:rFonts w:hint="default"/>
          <w:szCs w:val="21"/>
          <w:lang w:eastAsia="zh-CN"/>
        </w:rPr>
        <w:t>1）追加合同额外的工作或取消合同中任何工作；</w:t>
      </w:r>
    </w:p>
    <w:p>
      <w:pPr>
        <w:adjustRightInd w:val="0"/>
        <w:snapToGrid w:val="0"/>
        <w:spacing w:line="360" w:lineRule="auto"/>
        <w:ind w:firstLine="440" w:firstLineChars="200"/>
        <w:rPr>
          <w:szCs w:val="21"/>
          <w:lang w:eastAsia="zh-CN"/>
        </w:rPr>
      </w:pPr>
      <w:r>
        <w:rPr>
          <w:rFonts w:hint="default"/>
          <w:szCs w:val="21"/>
          <w:lang w:eastAsia="zh-CN"/>
        </w:rPr>
        <w:t>2）经发包人批准的设计变更；</w:t>
      </w:r>
    </w:p>
    <w:p>
      <w:pPr>
        <w:adjustRightInd w:val="0"/>
        <w:snapToGrid w:val="0"/>
        <w:spacing w:line="360" w:lineRule="auto"/>
        <w:ind w:firstLine="440" w:firstLineChars="200"/>
        <w:rPr>
          <w:rFonts w:ascii="宋体" w:hAnsi="宋体" w:cs="宋体"/>
          <w:szCs w:val="21"/>
          <w:lang w:eastAsia="zh-CN"/>
        </w:rPr>
      </w:pPr>
      <w:r>
        <w:rPr>
          <w:rFonts w:hint="default"/>
          <w:szCs w:val="21"/>
          <w:lang w:eastAsia="zh-CN"/>
        </w:rPr>
        <w:t>3）</w:t>
      </w:r>
      <w:r>
        <w:rPr>
          <w:rFonts w:hint="default" w:ascii="宋体" w:hAnsi="宋体" w:cs="宋体"/>
          <w:szCs w:val="21"/>
          <w:lang w:eastAsia="zh-CN"/>
        </w:rPr>
        <w:t>买方可根据设计修改或工程的实际需要书面通知卖方对合同进行变更。</w:t>
      </w:r>
    </w:p>
    <w:p>
      <w:pPr>
        <w:adjustRightInd w:val="0"/>
        <w:snapToGrid w:val="0"/>
        <w:spacing w:line="360" w:lineRule="auto"/>
        <w:ind w:firstLine="440" w:firstLineChars="200"/>
        <w:rPr>
          <w:szCs w:val="21"/>
          <w:lang w:eastAsia="zh-CN"/>
        </w:rPr>
      </w:pPr>
      <w:r>
        <w:rPr>
          <w:rFonts w:hint="eastAsia"/>
          <w:szCs w:val="21"/>
          <w:lang w:eastAsia="zh-CN"/>
        </w:rPr>
        <w:t>如果由于上述变更引起卖方合同费用或所需时间增减，卖方应在接到买方的变更通知后</w:t>
      </w:r>
      <w:r>
        <w:rPr>
          <w:szCs w:val="21"/>
          <w:lang w:eastAsia="zh-CN"/>
        </w:rPr>
        <w:t>30天内按买方的变更程序办理变更申请手续</w:t>
      </w:r>
      <w:r>
        <w:rPr>
          <w:rFonts w:hint="eastAsia"/>
          <w:szCs w:val="21"/>
          <w:lang w:eastAsia="zh-CN"/>
        </w:rPr>
        <w:t>。</w:t>
      </w:r>
    </w:p>
    <w:p>
      <w:pPr>
        <w:adjustRightInd w:val="0"/>
        <w:snapToGrid w:val="0"/>
        <w:spacing w:line="360" w:lineRule="auto"/>
        <w:ind w:firstLine="440" w:firstLineChars="200"/>
        <w:rPr>
          <w:szCs w:val="21"/>
          <w:lang w:eastAsia="zh-CN"/>
        </w:rPr>
      </w:pPr>
      <w:r>
        <w:rPr>
          <w:rFonts w:hint="eastAsia"/>
          <w:szCs w:val="21"/>
          <w:lang w:eastAsia="zh-CN"/>
        </w:rPr>
        <w:t>买方在接到卖方提交的变更申请资料后应及时审核。</w:t>
      </w:r>
    </w:p>
    <w:p>
      <w:pPr>
        <w:adjustRightInd w:val="0"/>
        <w:snapToGrid w:val="0"/>
        <w:spacing w:line="360" w:lineRule="auto"/>
        <w:ind w:firstLine="440" w:firstLineChars="200"/>
        <w:rPr>
          <w:szCs w:val="21"/>
          <w:lang w:eastAsia="zh-CN"/>
        </w:rPr>
      </w:pPr>
      <w:r>
        <w:rPr>
          <w:rFonts w:hint="eastAsia"/>
          <w:szCs w:val="21"/>
          <w:lang w:eastAsia="zh-CN"/>
        </w:rPr>
        <w:t>（2）变更单价：</w:t>
      </w:r>
    </w:p>
    <w:p>
      <w:pPr>
        <w:adjustRightInd w:val="0"/>
        <w:snapToGrid w:val="0"/>
        <w:spacing w:line="360" w:lineRule="auto"/>
        <w:ind w:firstLine="440" w:firstLineChars="200"/>
        <w:rPr>
          <w:szCs w:val="21"/>
          <w:lang w:eastAsia="zh-CN"/>
        </w:rPr>
      </w:pPr>
      <w:r>
        <w:rPr>
          <w:rFonts w:hint="eastAsia"/>
          <w:szCs w:val="21"/>
          <w:lang w:eastAsia="zh-CN"/>
        </w:rPr>
        <w:t>变更单价按以下原则确定：</w:t>
      </w:r>
    </w:p>
    <w:p>
      <w:pPr>
        <w:numPr>
          <w:ilvl w:val="0"/>
          <w:numId w:val="1"/>
        </w:numPr>
        <w:adjustRightInd w:val="0"/>
        <w:snapToGrid w:val="0"/>
        <w:spacing w:line="360" w:lineRule="auto"/>
        <w:ind w:firstLine="440" w:firstLineChars="200"/>
        <w:rPr>
          <w:szCs w:val="21"/>
          <w:lang w:eastAsia="zh-CN"/>
        </w:rPr>
      </w:pPr>
      <w:r>
        <w:rPr>
          <w:rFonts w:hint="eastAsia"/>
          <w:szCs w:val="21"/>
          <w:lang w:eastAsia="zh-CN"/>
        </w:rPr>
        <w:t>在合同内有单价的按合同单价执行；</w:t>
      </w:r>
    </w:p>
    <w:p>
      <w:pPr>
        <w:numPr>
          <w:ilvl w:val="0"/>
          <w:numId w:val="1"/>
        </w:numPr>
        <w:adjustRightInd w:val="0"/>
        <w:snapToGrid w:val="0"/>
        <w:spacing w:line="360" w:lineRule="auto"/>
        <w:ind w:firstLine="440" w:firstLineChars="200"/>
        <w:rPr>
          <w:szCs w:val="21"/>
          <w:lang w:eastAsia="zh-CN"/>
        </w:rPr>
      </w:pPr>
      <w:r>
        <w:rPr>
          <w:rFonts w:hint="eastAsia"/>
          <w:szCs w:val="21"/>
          <w:lang w:eastAsia="zh-CN"/>
        </w:rPr>
        <w:t>合同无单价但有类似单价的按合同类似单价执行；</w:t>
      </w:r>
    </w:p>
    <w:p>
      <w:pPr>
        <w:adjustRightInd w:val="0"/>
        <w:snapToGrid w:val="0"/>
        <w:spacing w:line="360" w:lineRule="auto"/>
        <w:ind w:firstLine="440" w:firstLineChars="200"/>
        <w:rPr>
          <w:szCs w:val="21"/>
          <w:lang w:eastAsia="zh-CN"/>
        </w:rPr>
      </w:pPr>
      <w:r>
        <w:rPr>
          <w:szCs w:val="21"/>
          <w:lang w:eastAsia="zh-CN"/>
        </w:rPr>
        <w:t>3）合同无单价亦无类似单价的，参考市场价格双方协商确定，并执行买方新增单价审批程序。</w:t>
      </w:r>
    </w:p>
    <w:p>
      <w:pPr>
        <w:adjustRightInd w:val="0"/>
        <w:snapToGrid w:val="0"/>
        <w:spacing w:line="360" w:lineRule="auto"/>
        <w:ind w:firstLine="440" w:firstLineChars="200"/>
        <w:rPr>
          <w:szCs w:val="21"/>
          <w:lang w:eastAsia="zh-CN"/>
        </w:rPr>
      </w:pPr>
      <w:r>
        <w:rPr>
          <w:rFonts w:hint="eastAsia"/>
          <w:szCs w:val="21"/>
          <w:lang w:eastAsia="zh-CN"/>
        </w:rPr>
        <w:t>审核后卖方即可按合同支付条款约定的时间和比例向买方申请合同变更款的支付。</w:t>
      </w:r>
    </w:p>
    <w:p>
      <w:pPr>
        <w:adjustRightInd w:val="0"/>
        <w:snapToGrid w:val="0"/>
        <w:spacing w:line="360" w:lineRule="auto"/>
        <w:ind w:firstLine="440" w:firstLineChars="200"/>
        <w:rPr>
          <w:szCs w:val="21"/>
          <w:lang w:eastAsia="zh-CN"/>
        </w:rPr>
      </w:pPr>
      <w:r>
        <w:rPr>
          <w:rFonts w:hint="eastAsia"/>
          <w:szCs w:val="21"/>
          <w:lang w:eastAsia="zh-CN"/>
        </w:rPr>
        <w:t>卖方在完成合同约定及变更事项等所有工作内容后，可向买方申请办理合同结算（若无变更可不办理合同结算），买方应及时审核合同结算。</w:t>
      </w:r>
    </w:p>
    <w:p>
      <w:pPr>
        <w:adjustRightInd w:val="0"/>
        <w:snapToGrid w:val="0"/>
        <w:spacing w:line="360" w:lineRule="auto"/>
        <w:ind w:firstLine="440" w:firstLineChars="200"/>
        <w:rPr>
          <w:szCs w:val="21"/>
          <w:u w:val="single"/>
          <w:lang w:eastAsia="zh-CN"/>
        </w:rPr>
      </w:pPr>
      <w:r>
        <w:rPr>
          <w:rFonts w:hint="eastAsia"/>
          <w:szCs w:val="21"/>
          <w:lang w:eastAsia="zh-CN"/>
        </w:rPr>
        <w:t>如果卖方没有按上述要求及时提交详细的、完整的资料，并保证资料的真实性，买方有权拒绝卖方的合同变更及结算要求，所产生的后果由卖方承担，且卖方仍应按买方的要求完成合同变更事项。</w:t>
      </w:r>
      <w:r>
        <w:rPr>
          <w:szCs w:val="21"/>
          <w:lang w:eastAsia="zh-CN"/>
        </w:rPr>
        <w:t xml:space="preserve">  </w:t>
      </w:r>
    </w:p>
    <w:p>
      <w:pPr>
        <w:adjustRightInd w:val="0"/>
        <w:snapToGrid w:val="0"/>
        <w:spacing w:line="360" w:lineRule="auto"/>
        <w:outlineLvl w:val="3"/>
        <w:rPr>
          <w:szCs w:val="21"/>
          <w:lang w:eastAsia="zh-CN"/>
        </w:rPr>
      </w:pPr>
      <w:r>
        <w:rPr>
          <w:szCs w:val="21"/>
          <w:lang w:eastAsia="zh-CN"/>
        </w:rPr>
        <w:t>1.5联络</w:t>
      </w:r>
    </w:p>
    <w:p>
      <w:pPr>
        <w:adjustRightInd w:val="0"/>
        <w:snapToGrid w:val="0"/>
        <w:spacing w:line="360" w:lineRule="auto"/>
        <w:ind w:firstLine="440" w:firstLineChars="200"/>
        <w:outlineLvl w:val="4"/>
        <w:rPr>
          <w:szCs w:val="21"/>
          <w:lang w:eastAsia="zh-CN"/>
        </w:rPr>
      </w:pPr>
      <w:r>
        <w:rPr>
          <w:szCs w:val="21"/>
          <w:lang w:eastAsia="zh-CN"/>
        </w:rPr>
        <w:t>1.5.1买卖双方联系人和联系方式</w:t>
      </w:r>
    </w:p>
    <w:p>
      <w:pPr>
        <w:adjustRightInd w:val="0"/>
        <w:snapToGrid w:val="0"/>
        <w:spacing w:line="360" w:lineRule="auto"/>
        <w:ind w:firstLine="440" w:firstLineChars="200"/>
        <w:rPr>
          <w:szCs w:val="21"/>
          <w:lang w:eastAsia="zh-CN"/>
        </w:rPr>
      </w:pPr>
      <w:r>
        <w:rPr>
          <w:rFonts w:hint="eastAsia"/>
          <w:szCs w:val="21"/>
          <w:lang w:eastAsia="zh-CN"/>
        </w:rPr>
        <w:t>（</w:t>
      </w:r>
      <w:r>
        <w:rPr>
          <w:szCs w:val="21"/>
          <w:lang w:eastAsia="zh-CN"/>
        </w:rPr>
        <w:t>1）买方联系人：</w:t>
      </w:r>
      <w:r>
        <w:rPr>
          <w:szCs w:val="21"/>
          <w:u w:val="single"/>
          <w:lang w:eastAsia="zh-CN"/>
        </w:rPr>
        <w:t xml:space="preserve">           </w:t>
      </w:r>
      <w:r>
        <w:rPr>
          <w:rFonts w:hint="eastAsia"/>
          <w:szCs w:val="21"/>
          <w:lang w:eastAsia="zh-CN"/>
        </w:rPr>
        <w:t>，联系电话：</w:t>
      </w:r>
      <w:r>
        <w:rPr>
          <w:szCs w:val="21"/>
          <w:u w:val="single"/>
          <w:lang w:eastAsia="zh-CN"/>
        </w:rPr>
        <w:t xml:space="preserve">             </w:t>
      </w:r>
      <w:r>
        <w:rPr>
          <w:rFonts w:hint="eastAsia"/>
          <w:szCs w:val="21"/>
          <w:lang w:eastAsia="zh-CN"/>
        </w:rPr>
        <w:t>；传真：</w:t>
      </w:r>
      <w:r>
        <w:rPr>
          <w:szCs w:val="21"/>
          <w:u w:val="single"/>
          <w:lang w:eastAsia="zh-CN"/>
        </w:rPr>
        <w:t xml:space="preserve">             </w:t>
      </w:r>
    </w:p>
    <w:p>
      <w:pPr>
        <w:adjustRightInd w:val="0"/>
        <w:snapToGrid w:val="0"/>
        <w:spacing w:line="360" w:lineRule="auto"/>
        <w:ind w:firstLine="440" w:firstLineChars="200"/>
        <w:rPr>
          <w:szCs w:val="21"/>
          <w:u w:val="single"/>
          <w:lang w:eastAsia="zh-CN"/>
        </w:rPr>
      </w:pPr>
      <w:r>
        <w:rPr>
          <w:rFonts w:hint="eastAsia"/>
          <w:szCs w:val="21"/>
          <w:lang w:eastAsia="zh-CN"/>
        </w:rPr>
        <w:t>联系地址：</w:t>
      </w:r>
      <w:r>
        <w:rPr>
          <w:szCs w:val="21"/>
          <w:u w:val="single"/>
          <w:lang w:eastAsia="zh-CN"/>
        </w:rPr>
        <w:t xml:space="preserve">                           </w:t>
      </w:r>
      <w:r>
        <w:rPr>
          <w:rFonts w:hint="eastAsia"/>
          <w:szCs w:val="21"/>
          <w:u w:val="single"/>
          <w:lang w:eastAsia="zh-CN"/>
        </w:rPr>
        <w:t>。</w:t>
      </w:r>
    </w:p>
    <w:p>
      <w:pPr>
        <w:adjustRightInd w:val="0"/>
        <w:snapToGrid w:val="0"/>
        <w:spacing w:line="360" w:lineRule="auto"/>
        <w:ind w:firstLine="440" w:firstLineChars="200"/>
        <w:rPr>
          <w:szCs w:val="21"/>
          <w:u w:val="single"/>
          <w:lang w:eastAsia="zh-CN"/>
        </w:rPr>
      </w:pPr>
      <w:r>
        <w:rPr>
          <w:rFonts w:hint="eastAsia"/>
          <w:szCs w:val="21"/>
          <w:lang w:eastAsia="zh-CN"/>
        </w:rPr>
        <w:t>（</w:t>
      </w:r>
      <w:r>
        <w:rPr>
          <w:szCs w:val="21"/>
          <w:lang w:eastAsia="zh-CN"/>
        </w:rPr>
        <w:t>2）卖方联系人：</w:t>
      </w:r>
      <w:r>
        <w:rPr>
          <w:szCs w:val="21"/>
          <w:u w:val="single"/>
          <w:lang w:eastAsia="zh-CN"/>
        </w:rPr>
        <w:t xml:space="preserve">           </w:t>
      </w:r>
      <w:r>
        <w:rPr>
          <w:rFonts w:hint="eastAsia"/>
          <w:szCs w:val="21"/>
          <w:lang w:eastAsia="zh-CN"/>
        </w:rPr>
        <w:t>，联系电话：</w:t>
      </w:r>
      <w:r>
        <w:rPr>
          <w:szCs w:val="21"/>
          <w:u w:val="single"/>
          <w:lang w:eastAsia="zh-CN"/>
        </w:rPr>
        <w:t xml:space="preserve">             ；</w:t>
      </w:r>
      <w:r>
        <w:rPr>
          <w:szCs w:val="21"/>
          <w:lang w:eastAsia="zh-CN"/>
        </w:rPr>
        <w:t>传真：</w:t>
      </w:r>
      <w:r>
        <w:rPr>
          <w:szCs w:val="21"/>
          <w:u w:val="single"/>
          <w:lang w:eastAsia="zh-CN"/>
        </w:rPr>
        <w:t xml:space="preserve">             </w:t>
      </w:r>
    </w:p>
    <w:p>
      <w:pPr>
        <w:adjustRightInd w:val="0"/>
        <w:snapToGrid w:val="0"/>
        <w:spacing w:line="360" w:lineRule="auto"/>
        <w:ind w:firstLine="440" w:firstLineChars="200"/>
        <w:rPr>
          <w:szCs w:val="21"/>
          <w:lang w:eastAsia="zh-CN"/>
        </w:rPr>
      </w:pPr>
      <w:r>
        <w:rPr>
          <w:rFonts w:hint="eastAsia"/>
          <w:szCs w:val="21"/>
          <w:lang w:eastAsia="zh-CN"/>
        </w:rPr>
        <w:t>联系地址：</w:t>
      </w:r>
      <w:r>
        <w:rPr>
          <w:szCs w:val="21"/>
          <w:u w:val="single"/>
          <w:lang w:eastAsia="zh-CN"/>
        </w:rPr>
        <w:t xml:space="preserve">                           </w:t>
      </w:r>
      <w:r>
        <w:rPr>
          <w:rFonts w:hint="eastAsia"/>
          <w:szCs w:val="21"/>
          <w:lang w:eastAsia="zh-CN"/>
        </w:rPr>
        <w:t>。</w:t>
      </w:r>
    </w:p>
    <w:p>
      <w:pPr>
        <w:adjustRightInd w:val="0"/>
        <w:snapToGrid w:val="0"/>
        <w:spacing w:line="360" w:lineRule="auto"/>
        <w:ind w:firstLine="440" w:firstLineChars="200"/>
        <w:rPr>
          <w:szCs w:val="21"/>
          <w:lang w:eastAsia="zh-CN"/>
        </w:rPr>
      </w:pPr>
      <w:r>
        <w:rPr>
          <w:rFonts w:hint="eastAsia"/>
          <w:szCs w:val="21"/>
          <w:lang w:eastAsia="zh-CN"/>
        </w:rPr>
        <w:t>增加以下条款：</w:t>
      </w:r>
    </w:p>
    <w:p>
      <w:pPr>
        <w:adjustRightInd w:val="0"/>
        <w:snapToGrid w:val="0"/>
        <w:spacing w:line="360" w:lineRule="auto"/>
        <w:ind w:firstLine="440" w:firstLineChars="200"/>
        <w:rPr>
          <w:szCs w:val="21"/>
          <w:lang w:eastAsia="zh-CN"/>
        </w:rPr>
      </w:pPr>
      <w:r>
        <w:rPr>
          <w:szCs w:val="21"/>
          <w:lang w:eastAsia="zh-CN"/>
        </w:rPr>
        <w:t>1.5.4卖方应负责合同</w:t>
      </w:r>
      <w:r>
        <w:rPr>
          <w:rFonts w:hint="eastAsia"/>
          <w:lang w:eastAsia="zh-CN"/>
        </w:rPr>
        <w:t>全部</w:t>
      </w:r>
      <w:r>
        <w:rPr>
          <w:rFonts w:hint="eastAsia"/>
          <w:szCs w:val="21"/>
          <w:lang w:eastAsia="zh-CN"/>
        </w:rPr>
        <w:t>设备部件（含配件）在设计、制造；现场调试期间的协调和完善，并承担全部责任。卖方应负责所有合同设备部件的协调工作，确保合同设备部件之间的配合和接口顺利、有效和可靠</w:t>
      </w:r>
      <w:r>
        <w:rPr>
          <w:rFonts w:hint="eastAsia"/>
          <w:lang w:eastAsia="zh-CN"/>
        </w:rPr>
        <w:t>，保证所供应的设备整体性能良好，符合工程要求</w:t>
      </w:r>
      <w:r>
        <w:rPr>
          <w:rFonts w:hint="eastAsia"/>
          <w:szCs w:val="21"/>
          <w:lang w:eastAsia="zh-CN"/>
        </w:rPr>
        <w:t>。</w:t>
      </w:r>
    </w:p>
    <w:p>
      <w:pPr>
        <w:adjustRightInd w:val="0"/>
        <w:snapToGrid w:val="0"/>
        <w:spacing w:line="360" w:lineRule="auto"/>
        <w:ind w:firstLine="440" w:firstLineChars="200"/>
        <w:rPr>
          <w:lang w:eastAsia="zh-CN"/>
        </w:rPr>
      </w:pPr>
      <w:r>
        <w:rPr>
          <w:szCs w:val="21"/>
          <w:lang w:eastAsia="zh-CN"/>
        </w:rPr>
        <w:t>1.5.5卖方</w:t>
      </w:r>
      <w:r>
        <w:rPr>
          <w:rFonts w:hint="eastAsia"/>
          <w:lang w:eastAsia="zh-CN"/>
        </w:rPr>
        <w:t>应与其它设备的卖方就其提供的合同设备的结构、型式、性能、参数及必要的资料进行协调，以保证正确地完成所有与本合同设备相连的设备或部件的设计、制造、吊运、现场调试与验收等工作。</w:t>
      </w:r>
    </w:p>
    <w:p>
      <w:pPr>
        <w:adjustRightInd w:val="0"/>
        <w:snapToGrid w:val="0"/>
        <w:spacing w:line="360" w:lineRule="auto"/>
        <w:ind w:firstLine="440" w:firstLineChars="200"/>
        <w:outlineLvl w:val="4"/>
        <w:rPr>
          <w:szCs w:val="21"/>
          <w:lang w:eastAsia="zh-CN"/>
        </w:rPr>
      </w:pPr>
      <w:r>
        <w:rPr>
          <w:szCs w:val="21"/>
          <w:lang w:eastAsia="zh-CN"/>
        </w:rPr>
        <w:t xml:space="preserve">1.5.6 </w:t>
      </w:r>
      <w:r>
        <w:rPr>
          <w:rFonts w:hint="eastAsia"/>
          <w:szCs w:val="21"/>
          <w:lang w:eastAsia="zh-CN"/>
        </w:rPr>
        <w:t>设计联络会</w:t>
      </w:r>
    </w:p>
    <w:p>
      <w:pPr>
        <w:adjustRightInd w:val="0"/>
        <w:snapToGrid w:val="0"/>
        <w:spacing w:line="360" w:lineRule="auto"/>
        <w:ind w:firstLine="440" w:firstLineChars="200"/>
        <w:rPr>
          <w:szCs w:val="21"/>
          <w:lang w:eastAsia="zh-CN"/>
        </w:rPr>
      </w:pPr>
      <w:r>
        <w:rPr>
          <w:rFonts w:hint="eastAsia"/>
          <w:szCs w:val="21"/>
          <w:lang w:eastAsia="zh-CN"/>
        </w:rPr>
        <w:t>为保证合同有效及顺利的实施，买方将主持召开设计联络会。会议计划安排及内容由双方协商确定，会议接待准备及组织由卖方负责。买方人员（含设计单位）赴卖方工厂或其它会议地点参加设计联络会，所发生的一切费用（包括往返交通、会议食宿、资料等）均由卖方承担，且已包含在合同总价中。往返交通按最快捷的交通方式考虑，如飞机或高铁等。</w:t>
      </w:r>
    </w:p>
    <w:p>
      <w:pPr>
        <w:adjustRightInd w:val="0"/>
        <w:snapToGrid w:val="0"/>
        <w:spacing w:line="360" w:lineRule="auto"/>
        <w:ind w:firstLine="440" w:firstLineChars="200"/>
        <w:rPr>
          <w:szCs w:val="21"/>
          <w:lang w:eastAsia="zh-CN"/>
        </w:rPr>
      </w:pPr>
      <w:r>
        <w:rPr>
          <w:rFonts w:hint="eastAsia"/>
          <w:szCs w:val="21"/>
          <w:lang w:eastAsia="zh-CN"/>
        </w:rPr>
        <w:t>卖方应准备会议文件资料、图纸</w:t>
      </w:r>
      <w:r>
        <w:rPr>
          <w:szCs w:val="21"/>
          <w:lang w:eastAsia="zh-CN"/>
        </w:rPr>
        <w:t>10份，在召开会议前10天提交买方。</w:t>
      </w:r>
    </w:p>
    <w:p>
      <w:pPr>
        <w:adjustRightInd w:val="0"/>
        <w:snapToGrid w:val="0"/>
        <w:spacing w:line="360" w:lineRule="auto"/>
        <w:ind w:firstLine="440" w:firstLineChars="200"/>
        <w:rPr>
          <w:szCs w:val="21"/>
          <w:lang w:eastAsia="zh-CN"/>
        </w:rPr>
      </w:pPr>
      <w:r>
        <w:rPr>
          <w:rFonts w:hint="eastAsia"/>
          <w:szCs w:val="21"/>
          <w:lang w:eastAsia="zh-CN"/>
        </w:rPr>
        <w:t>双方与会人员应就会议协商达成的一致意见签署会议纪要，经双方签名的会议纪要为合同的组成部分。在会议中如对合同内容做重大修改时，须经双方法人代表或授权代表签名方能生效。</w:t>
      </w:r>
    </w:p>
    <w:p>
      <w:pPr>
        <w:adjustRightInd w:val="0"/>
        <w:snapToGrid w:val="0"/>
        <w:spacing w:line="360" w:lineRule="auto"/>
        <w:ind w:firstLine="440" w:firstLineChars="200"/>
        <w:rPr>
          <w:szCs w:val="21"/>
          <w:lang w:eastAsia="zh-CN"/>
        </w:rPr>
      </w:pPr>
      <w:r>
        <w:rPr>
          <w:rFonts w:hint="eastAsia"/>
          <w:szCs w:val="21"/>
          <w:lang w:eastAsia="zh-CN"/>
        </w:rPr>
        <w:t>设计联络会对图纸资料的审查不免除或减轻卖方的合同责任。</w:t>
      </w:r>
    </w:p>
    <w:p>
      <w:pPr>
        <w:adjustRightInd w:val="0"/>
        <w:snapToGrid w:val="0"/>
        <w:spacing w:line="360" w:lineRule="auto"/>
        <w:ind w:firstLine="440" w:firstLineChars="200"/>
        <w:rPr>
          <w:szCs w:val="21"/>
          <w:lang w:eastAsia="zh-CN"/>
        </w:rPr>
      </w:pPr>
      <w:r>
        <w:rPr>
          <w:rFonts w:hint="eastAsia"/>
          <w:szCs w:val="21"/>
          <w:lang w:eastAsia="zh-CN"/>
        </w:rPr>
        <w:t>买方相关人员（含设计单位相关专业人员、买方单位工程管理相关人员）赴卖方参加设计联络会</w:t>
      </w:r>
      <w:r>
        <w:rPr>
          <w:rFonts w:hint="eastAsia"/>
          <w:szCs w:val="21"/>
          <w:highlight w:val="yellow"/>
          <w:lang w:eastAsia="zh-CN"/>
        </w:rPr>
        <w:t>1</w:t>
      </w:r>
      <w:r>
        <w:rPr>
          <w:rFonts w:hint="eastAsia"/>
          <w:szCs w:val="21"/>
          <w:lang w:eastAsia="zh-CN"/>
        </w:rPr>
        <w:t>次。</w:t>
      </w:r>
    </w:p>
    <w:p>
      <w:pPr>
        <w:adjustRightInd w:val="0"/>
        <w:snapToGrid w:val="0"/>
        <w:spacing w:line="360" w:lineRule="auto"/>
        <w:ind w:firstLine="440" w:firstLineChars="200"/>
        <w:rPr>
          <w:szCs w:val="21"/>
          <w:lang w:eastAsia="zh-CN"/>
        </w:rPr>
      </w:pPr>
      <w:r>
        <w:rPr>
          <w:rFonts w:hint="eastAsia"/>
          <w:szCs w:val="21"/>
          <w:lang w:eastAsia="zh-CN"/>
        </w:rPr>
        <w:t>增加以下条款：</w:t>
      </w:r>
    </w:p>
    <w:p>
      <w:pPr>
        <w:adjustRightInd w:val="0"/>
        <w:snapToGrid w:val="0"/>
        <w:spacing w:line="360" w:lineRule="auto"/>
        <w:outlineLvl w:val="3"/>
        <w:rPr>
          <w:szCs w:val="21"/>
          <w:lang w:eastAsia="zh-CN"/>
        </w:rPr>
      </w:pPr>
      <w:r>
        <w:rPr>
          <w:szCs w:val="21"/>
          <w:lang w:eastAsia="zh-CN"/>
        </w:rPr>
        <w:t xml:space="preserve">1.8 </w:t>
      </w:r>
      <w:r>
        <w:rPr>
          <w:rFonts w:hint="eastAsia"/>
          <w:szCs w:val="21"/>
          <w:lang w:eastAsia="zh-CN"/>
        </w:rPr>
        <w:t>其它</w:t>
      </w:r>
    </w:p>
    <w:p>
      <w:pPr>
        <w:adjustRightInd w:val="0"/>
        <w:snapToGrid w:val="0"/>
        <w:spacing w:line="360" w:lineRule="auto"/>
        <w:ind w:firstLine="440" w:firstLineChars="200"/>
        <w:rPr>
          <w:szCs w:val="21"/>
          <w:lang w:eastAsia="zh-CN"/>
        </w:rPr>
      </w:pPr>
      <w:r>
        <w:rPr>
          <w:szCs w:val="21"/>
          <w:lang w:eastAsia="zh-CN"/>
        </w:rPr>
        <w:t xml:space="preserve">1.8.1 </w:t>
      </w:r>
      <w:r>
        <w:rPr>
          <w:rFonts w:hint="eastAsia"/>
          <w:szCs w:val="21"/>
          <w:lang w:eastAsia="zh-CN"/>
        </w:rPr>
        <w:t>适用于本合同的法律、法规和规章是中华人民共和国法律、行政法规以及国务院有关部门的规章和工程所在地重庆市的地方法规和规章。</w:t>
      </w:r>
    </w:p>
    <w:p>
      <w:pPr>
        <w:adjustRightInd w:val="0"/>
        <w:snapToGrid w:val="0"/>
        <w:spacing w:line="360" w:lineRule="auto"/>
        <w:ind w:firstLine="440" w:firstLineChars="200"/>
        <w:rPr>
          <w:szCs w:val="21"/>
          <w:lang w:eastAsia="zh-CN"/>
        </w:rPr>
      </w:pPr>
      <w:r>
        <w:rPr>
          <w:szCs w:val="21"/>
          <w:lang w:eastAsia="zh-CN"/>
        </w:rPr>
        <w:t xml:space="preserve">1.8.2 </w:t>
      </w:r>
      <w:r>
        <w:rPr>
          <w:rFonts w:hint="eastAsia"/>
          <w:szCs w:val="21"/>
          <w:lang w:eastAsia="zh-CN"/>
        </w:rPr>
        <w:t>除技术规范中另有规定外，所有计量单位均采用国际单位制</w:t>
      </w:r>
      <w:r>
        <w:rPr>
          <w:szCs w:val="21"/>
          <w:lang w:eastAsia="zh-CN"/>
        </w:rPr>
        <w:t>SI公制单位。</w:t>
      </w:r>
    </w:p>
    <w:p>
      <w:pPr>
        <w:adjustRightInd w:val="0"/>
        <w:snapToGrid w:val="0"/>
        <w:spacing w:line="360" w:lineRule="auto"/>
        <w:ind w:firstLine="440" w:firstLineChars="200"/>
        <w:outlineLvl w:val="4"/>
        <w:rPr>
          <w:szCs w:val="21"/>
          <w:lang w:eastAsia="zh-CN"/>
        </w:rPr>
      </w:pPr>
      <w:r>
        <w:rPr>
          <w:szCs w:val="21"/>
          <w:lang w:eastAsia="zh-CN"/>
        </w:rPr>
        <w:t xml:space="preserve">1.8.3 </w:t>
      </w:r>
      <w:r>
        <w:rPr>
          <w:rFonts w:hint="eastAsia"/>
          <w:szCs w:val="21"/>
          <w:lang w:eastAsia="zh-CN"/>
        </w:rPr>
        <w:t>本合同使用货币为人民币。</w:t>
      </w:r>
    </w:p>
    <w:p>
      <w:pPr>
        <w:keepNext/>
        <w:keepLines/>
        <w:shd w:val="clear" w:color="auto" w:fill="FFFFFF"/>
        <w:adjustRightInd w:val="0"/>
        <w:snapToGrid w:val="0"/>
        <w:spacing w:line="360" w:lineRule="auto"/>
        <w:outlineLvl w:val="2"/>
        <w:rPr>
          <w:szCs w:val="21"/>
          <w:lang w:val="zh-CN" w:eastAsia="zh-CN"/>
        </w:rPr>
      </w:pPr>
      <w:bookmarkStart w:id="229" w:name="_Toc27397"/>
      <w:bookmarkStart w:id="230" w:name="_Toc15091"/>
      <w:bookmarkStart w:id="231" w:name="_Toc9575"/>
      <w:bookmarkStart w:id="232" w:name="_Toc26766"/>
      <w:bookmarkStart w:id="233" w:name="_Toc100946802"/>
      <w:bookmarkStart w:id="234" w:name="_Toc27123"/>
      <w:bookmarkStart w:id="235" w:name="_Toc81896083"/>
      <w:bookmarkStart w:id="236" w:name="_Toc75198999"/>
      <w:bookmarkStart w:id="237" w:name="_Toc27804"/>
      <w:bookmarkStart w:id="238" w:name="_Toc27305"/>
      <w:bookmarkStart w:id="239" w:name="_Toc101259171"/>
      <w:bookmarkStart w:id="240" w:name="_Toc4713"/>
      <w:bookmarkStart w:id="241" w:name="_Toc58"/>
      <w:bookmarkStart w:id="242" w:name="_Toc113559489"/>
      <w:bookmarkStart w:id="243" w:name="_Toc7970"/>
      <w:bookmarkStart w:id="244" w:name="_Toc12851"/>
      <w:bookmarkStart w:id="245" w:name="_Toc11732"/>
      <w:bookmarkStart w:id="246" w:name="_Toc23152"/>
      <w:bookmarkStart w:id="247" w:name="_Toc29286"/>
      <w:bookmarkStart w:id="248" w:name="_Toc12936"/>
      <w:bookmarkStart w:id="249" w:name="_Toc92225926"/>
      <w:bookmarkStart w:id="250" w:name="_Toc14818"/>
      <w:bookmarkStart w:id="251" w:name="_Toc40447180"/>
      <w:bookmarkStart w:id="252" w:name="_Toc22217"/>
      <w:bookmarkStart w:id="253" w:name="_Toc23253"/>
      <w:bookmarkStart w:id="254" w:name="_Toc24960"/>
      <w:r>
        <w:rPr>
          <w:szCs w:val="21"/>
          <w:lang w:val="zh-CN" w:eastAsia="zh-CN"/>
        </w:rPr>
        <w:t>2.合同范围</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pPr>
        <w:adjustRightInd w:val="0"/>
        <w:snapToGrid w:val="0"/>
        <w:spacing w:line="360" w:lineRule="auto"/>
        <w:outlineLvl w:val="3"/>
        <w:rPr>
          <w:szCs w:val="21"/>
          <w:lang w:eastAsia="zh-CN"/>
        </w:rPr>
      </w:pPr>
      <w:r>
        <w:rPr>
          <w:szCs w:val="21"/>
          <w:lang w:eastAsia="zh-CN"/>
        </w:rPr>
        <w:t>2.1合同内容</w:t>
      </w:r>
    </w:p>
    <w:p>
      <w:pPr>
        <w:adjustRightInd w:val="0"/>
        <w:snapToGrid w:val="0"/>
        <w:spacing w:line="360" w:lineRule="auto"/>
        <w:ind w:firstLine="440" w:firstLineChars="200"/>
        <w:rPr>
          <w:szCs w:val="21"/>
          <w:lang w:eastAsia="zh-CN"/>
        </w:rPr>
      </w:pPr>
      <w:r>
        <w:rPr>
          <w:rFonts w:hint="eastAsia"/>
          <w:szCs w:val="21"/>
          <w:lang w:eastAsia="zh-CN"/>
        </w:rPr>
        <w:t>详见招标范围及技术条款。</w:t>
      </w:r>
    </w:p>
    <w:p>
      <w:pPr>
        <w:adjustRightInd w:val="0"/>
        <w:snapToGrid w:val="0"/>
        <w:spacing w:line="360" w:lineRule="auto"/>
        <w:outlineLvl w:val="3"/>
        <w:rPr>
          <w:szCs w:val="21"/>
          <w:lang w:eastAsia="zh-CN"/>
        </w:rPr>
      </w:pPr>
      <w:r>
        <w:rPr>
          <w:szCs w:val="21"/>
          <w:lang w:eastAsia="zh-CN"/>
        </w:rPr>
        <w:t>2.2供货界面</w:t>
      </w:r>
    </w:p>
    <w:p>
      <w:pPr>
        <w:snapToGrid w:val="0"/>
        <w:spacing w:line="360" w:lineRule="auto"/>
        <w:jc w:val="center"/>
        <w:rPr>
          <w:lang w:eastAsia="zh-CN"/>
        </w:rPr>
      </w:pPr>
      <w:r>
        <w:rPr>
          <w:rFonts w:hint="eastAsia"/>
          <w:szCs w:val="21"/>
          <w:lang w:eastAsia="zh-CN"/>
        </w:rPr>
        <w:t>详见</w:t>
      </w:r>
      <w:r>
        <w:rPr>
          <w:rFonts w:hint="eastAsia"/>
          <w:lang w:eastAsia="zh-CN"/>
        </w:rPr>
        <w:t>《涪江干流梯级渠化双江航电枢纽工程</w:t>
      </w:r>
      <w:r>
        <w:rPr>
          <w:rFonts w:hint="eastAsia"/>
          <w:lang w:val="en-US" w:eastAsia="zh-CN"/>
        </w:rPr>
        <w:t>厂区空调设备</w:t>
      </w:r>
      <w:r>
        <w:rPr>
          <w:rFonts w:hint="eastAsia"/>
          <w:lang w:eastAsia="zh-CN"/>
        </w:rPr>
        <w:t>采购技术文件》</w:t>
      </w:r>
      <w:r>
        <w:rPr>
          <w:rFonts w:hint="eastAsia"/>
          <w:szCs w:val="21"/>
          <w:lang w:eastAsia="zh-CN"/>
        </w:rPr>
        <w:t>。</w:t>
      </w:r>
    </w:p>
    <w:p>
      <w:pPr>
        <w:adjustRightInd w:val="0"/>
        <w:snapToGrid w:val="0"/>
        <w:spacing w:line="360" w:lineRule="auto"/>
        <w:ind w:firstLine="440" w:firstLineChars="200"/>
        <w:rPr>
          <w:lang w:eastAsia="zh-CN"/>
        </w:rPr>
      </w:pPr>
      <w:r>
        <w:rPr>
          <w:rFonts w:hint="eastAsia"/>
          <w:lang w:eastAsia="zh-CN"/>
        </w:rPr>
        <w:t>在清单中没有专门提及的、但对一套完整的性能优良的合同设备必不可少的或对改善合同设备运行品质所必需的设备及元器件亦应包含在合同设备供货范围内，卖方仍应全部、完整的提供。</w:t>
      </w:r>
    </w:p>
    <w:p>
      <w:pPr>
        <w:keepNext/>
        <w:keepLines/>
        <w:shd w:val="clear" w:color="auto" w:fill="FFFFFF"/>
        <w:adjustRightInd w:val="0"/>
        <w:snapToGrid w:val="0"/>
        <w:spacing w:line="360" w:lineRule="auto"/>
        <w:outlineLvl w:val="2"/>
        <w:rPr>
          <w:szCs w:val="21"/>
        </w:rPr>
      </w:pPr>
      <w:bookmarkStart w:id="255" w:name="_Toc12615"/>
      <w:bookmarkStart w:id="256" w:name="_Toc24382"/>
      <w:bookmarkStart w:id="257" w:name="_Toc25019"/>
      <w:bookmarkStart w:id="258" w:name="_Toc1286"/>
      <w:bookmarkStart w:id="259" w:name="_Toc536"/>
      <w:bookmarkStart w:id="260" w:name="_Toc11402"/>
      <w:bookmarkStart w:id="261" w:name="_Toc11555"/>
      <w:bookmarkStart w:id="262" w:name="_Toc75199000"/>
      <w:bookmarkStart w:id="263" w:name="_Toc81896084"/>
      <w:bookmarkStart w:id="264" w:name="_Toc4766"/>
      <w:bookmarkStart w:id="265" w:name="_Toc92225927"/>
      <w:bookmarkStart w:id="266" w:name="_Toc11240"/>
      <w:bookmarkStart w:id="267" w:name="_Toc15871"/>
      <w:bookmarkStart w:id="268" w:name="_Toc26431"/>
      <w:bookmarkStart w:id="269" w:name="_Toc100946803"/>
      <w:bookmarkStart w:id="270" w:name="_Toc19745"/>
      <w:bookmarkStart w:id="271" w:name="_Toc31613"/>
      <w:bookmarkStart w:id="272" w:name="_Toc12837"/>
      <w:bookmarkStart w:id="273" w:name="_Toc9567"/>
      <w:bookmarkStart w:id="274" w:name="_Toc113559490"/>
      <w:bookmarkStart w:id="275" w:name="_Toc40447181"/>
      <w:bookmarkStart w:id="276" w:name="_Toc23168"/>
      <w:bookmarkStart w:id="277" w:name="_Toc20657"/>
      <w:bookmarkStart w:id="278" w:name="_Toc6180"/>
      <w:bookmarkStart w:id="279" w:name="_Toc1681"/>
      <w:bookmarkStart w:id="280" w:name="_Toc101259172"/>
      <w:r>
        <w:rPr>
          <w:szCs w:val="21"/>
        </w:rPr>
        <w:t>3.</w:t>
      </w:r>
      <w:r>
        <w:rPr>
          <w:rFonts w:hint="eastAsia"/>
          <w:szCs w:val="21"/>
          <w:lang w:val="zh-CN"/>
        </w:rPr>
        <w:t>合同价格与支付</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pPr>
        <w:adjustRightInd w:val="0"/>
        <w:snapToGrid w:val="0"/>
        <w:spacing w:line="360" w:lineRule="auto"/>
        <w:outlineLvl w:val="3"/>
        <w:rPr>
          <w:szCs w:val="21"/>
        </w:rPr>
      </w:pPr>
      <w:r>
        <w:rPr>
          <w:szCs w:val="21"/>
        </w:rPr>
        <w:t>3.1合同价格</w:t>
      </w:r>
    </w:p>
    <w:p>
      <w:pPr>
        <w:adjustRightInd w:val="0"/>
        <w:snapToGrid w:val="0"/>
        <w:spacing w:line="360" w:lineRule="auto"/>
        <w:ind w:firstLine="440" w:firstLineChars="200"/>
        <w:outlineLvl w:val="4"/>
        <w:rPr>
          <w:lang w:eastAsia="zh-CN"/>
        </w:rPr>
      </w:pPr>
      <w:r>
        <w:rPr>
          <w:lang w:eastAsia="zh-CN"/>
        </w:rPr>
        <w:t>3.1.2本合同为固定总价合同。</w:t>
      </w:r>
    </w:p>
    <w:p>
      <w:pPr>
        <w:adjustRightInd w:val="0"/>
        <w:snapToGrid w:val="0"/>
        <w:spacing w:line="360" w:lineRule="auto"/>
        <w:ind w:firstLine="440" w:firstLineChars="200"/>
        <w:rPr>
          <w:rFonts w:hint="default"/>
          <w:lang w:val="en-US" w:eastAsia="zh-CN"/>
        </w:rPr>
      </w:pPr>
      <w:r>
        <w:rPr>
          <w:rFonts w:hint="eastAsia"/>
          <w:lang w:eastAsia="zh-CN"/>
        </w:rPr>
        <w:t>除根据本专用合同条款</w:t>
      </w:r>
      <w:r>
        <w:rPr>
          <w:lang w:eastAsia="zh-CN"/>
        </w:rPr>
        <w:t>1.4.2</w:t>
      </w:r>
      <w:r>
        <w:rPr>
          <w:rFonts w:hint="eastAsia"/>
          <w:lang w:eastAsia="zh-CN"/>
        </w:rPr>
        <w:t>条外，卖方所报单价和总价在合同有效期内固定不变，即合同单价和总价不因国家和地方政策调整、物价变动等因数的影响而调整，</w:t>
      </w:r>
      <w:r>
        <w:rPr>
          <w:rFonts w:hint="eastAsia"/>
          <w:lang w:val="en-US" w:eastAsia="zh-CN"/>
        </w:rPr>
        <w:t>总价包干。</w:t>
      </w:r>
    </w:p>
    <w:p>
      <w:pPr>
        <w:adjustRightInd w:val="0"/>
        <w:snapToGrid w:val="0"/>
        <w:spacing w:line="360" w:lineRule="auto"/>
        <w:outlineLvl w:val="3"/>
        <w:rPr>
          <w:szCs w:val="21"/>
          <w:lang w:eastAsia="zh-CN"/>
        </w:rPr>
      </w:pPr>
      <w:r>
        <w:rPr>
          <w:szCs w:val="21"/>
          <w:lang w:eastAsia="zh-CN"/>
        </w:rPr>
        <w:t>3.2合同价款的支付</w:t>
      </w:r>
    </w:p>
    <w:p>
      <w:pPr>
        <w:adjustRightInd w:val="0"/>
        <w:snapToGrid w:val="0"/>
        <w:spacing w:line="360" w:lineRule="auto"/>
        <w:ind w:firstLine="440" w:firstLineChars="200"/>
        <w:rPr>
          <w:lang w:eastAsia="zh-CN"/>
        </w:rPr>
      </w:pPr>
      <w:r>
        <w:rPr>
          <w:rFonts w:hint="eastAsia"/>
          <w:lang w:eastAsia="zh-CN"/>
        </w:rPr>
        <w:t>买方将按以下方式和比例向卖方支付合同价款。</w:t>
      </w:r>
    </w:p>
    <w:p>
      <w:pPr>
        <w:adjustRightInd w:val="0"/>
        <w:snapToGrid w:val="0"/>
        <w:spacing w:line="360" w:lineRule="auto"/>
        <w:ind w:firstLine="440" w:firstLineChars="200"/>
        <w:rPr>
          <w:lang w:eastAsia="zh-CN"/>
        </w:rPr>
      </w:pPr>
      <w:r>
        <w:rPr>
          <w:lang w:eastAsia="zh-CN"/>
        </w:rPr>
        <w:t xml:space="preserve">3.2.1 </w:t>
      </w:r>
      <w:r>
        <w:rPr>
          <w:rFonts w:hint="eastAsia"/>
          <w:lang w:eastAsia="zh-CN"/>
        </w:rPr>
        <w:t>买方采用银行承兑汇票或银行转账方式支付。</w:t>
      </w:r>
    </w:p>
    <w:p>
      <w:pPr>
        <w:adjustRightInd w:val="0"/>
        <w:snapToGrid w:val="0"/>
        <w:spacing w:line="360" w:lineRule="auto"/>
        <w:ind w:firstLine="440" w:firstLineChars="200"/>
        <w:rPr>
          <w:lang w:eastAsia="zh-CN"/>
        </w:rPr>
      </w:pPr>
      <w:r>
        <w:rPr>
          <w:lang w:eastAsia="zh-CN"/>
        </w:rPr>
        <w:t xml:space="preserve">3.2.2 </w:t>
      </w:r>
      <w:r>
        <w:rPr>
          <w:rFonts w:hint="eastAsia"/>
          <w:lang w:eastAsia="zh-CN"/>
        </w:rPr>
        <w:t>支付申请：</w:t>
      </w:r>
    </w:p>
    <w:p>
      <w:pPr>
        <w:adjustRightInd w:val="0"/>
        <w:snapToGrid w:val="0"/>
        <w:spacing w:line="360" w:lineRule="auto"/>
        <w:ind w:firstLine="440" w:firstLineChars="200"/>
        <w:rPr>
          <w:highlight w:val="none"/>
          <w:lang w:eastAsia="zh-CN"/>
        </w:rPr>
      </w:pPr>
      <w:r>
        <w:rPr>
          <w:rFonts w:hint="eastAsia"/>
          <w:highlight w:val="none"/>
          <w:lang w:eastAsia="zh-CN"/>
        </w:rPr>
        <w:t>在达到以下支付申请的条件后，卖方可办理相应比例的支付申请。</w:t>
      </w:r>
    </w:p>
    <w:p>
      <w:pPr>
        <w:adjustRightInd w:val="0"/>
        <w:snapToGrid w:val="0"/>
        <w:spacing w:line="360" w:lineRule="auto"/>
        <w:ind w:firstLine="440" w:firstLineChars="200"/>
        <w:rPr>
          <w:szCs w:val="21"/>
          <w:highlight w:val="none"/>
          <w:lang w:eastAsia="zh-CN"/>
        </w:rPr>
      </w:pPr>
      <w:r>
        <w:rPr>
          <w:rFonts w:hint="eastAsia"/>
          <w:szCs w:val="21"/>
          <w:highlight w:val="none"/>
          <w:lang w:eastAsia="zh-CN"/>
        </w:rPr>
        <w:t>（</w:t>
      </w:r>
      <w:r>
        <w:rPr>
          <w:rFonts w:hint="eastAsia"/>
          <w:szCs w:val="21"/>
          <w:highlight w:val="none"/>
          <w:lang w:val="en-US" w:eastAsia="zh-CN"/>
        </w:rPr>
        <w:t>1</w:t>
      </w:r>
      <w:r>
        <w:rPr>
          <w:szCs w:val="21"/>
          <w:highlight w:val="none"/>
          <w:lang w:eastAsia="zh-CN"/>
        </w:rPr>
        <w:t>）</w:t>
      </w:r>
      <w:r>
        <w:rPr>
          <w:rFonts w:hint="eastAsia"/>
          <w:szCs w:val="21"/>
          <w:highlight w:val="none"/>
          <w:lang w:eastAsia="zh-CN"/>
        </w:rPr>
        <w:t>设计联络会召开，支付比例为合同总价的</w:t>
      </w:r>
      <w:r>
        <w:rPr>
          <w:rFonts w:hint="eastAsia"/>
          <w:szCs w:val="21"/>
          <w:highlight w:val="none"/>
          <w:lang w:val="en-US" w:eastAsia="zh-CN"/>
        </w:rPr>
        <w:t>3</w:t>
      </w:r>
      <w:r>
        <w:rPr>
          <w:rFonts w:hint="eastAsia"/>
          <w:szCs w:val="21"/>
          <w:highlight w:val="none"/>
          <w:lang w:eastAsia="zh-CN"/>
        </w:rPr>
        <w:t>0</w:t>
      </w:r>
      <w:r>
        <w:rPr>
          <w:szCs w:val="21"/>
          <w:highlight w:val="none"/>
          <w:lang w:eastAsia="zh-CN"/>
        </w:rPr>
        <w:t>%；</w:t>
      </w:r>
    </w:p>
    <w:p>
      <w:pPr>
        <w:adjustRightInd w:val="0"/>
        <w:snapToGrid w:val="0"/>
        <w:spacing w:line="360" w:lineRule="auto"/>
        <w:ind w:firstLine="440" w:firstLineChars="200"/>
        <w:rPr>
          <w:szCs w:val="21"/>
          <w:highlight w:val="none"/>
          <w:lang w:eastAsia="zh-CN"/>
        </w:rPr>
      </w:pPr>
      <w:r>
        <w:rPr>
          <w:rFonts w:hint="eastAsia"/>
          <w:szCs w:val="21"/>
          <w:highlight w:val="none"/>
          <w:lang w:eastAsia="zh-CN"/>
        </w:rPr>
        <w:t>（</w:t>
      </w:r>
      <w:r>
        <w:rPr>
          <w:rFonts w:hint="eastAsia"/>
          <w:szCs w:val="21"/>
          <w:highlight w:val="none"/>
          <w:lang w:val="en-US" w:eastAsia="zh-CN"/>
        </w:rPr>
        <w:t>2</w:t>
      </w:r>
      <w:r>
        <w:rPr>
          <w:szCs w:val="21"/>
          <w:highlight w:val="none"/>
          <w:lang w:eastAsia="zh-CN"/>
        </w:rPr>
        <w:t>）</w:t>
      </w:r>
      <w:r>
        <w:rPr>
          <w:rFonts w:hint="eastAsia"/>
          <w:szCs w:val="21"/>
          <w:highlight w:val="none"/>
          <w:lang w:eastAsia="zh-CN"/>
        </w:rPr>
        <w:t>全部合同</w:t>
      </w:r>
      <w:r>
        <w:rPr>
          <w:szCs w:val="21"/>
          <w:highlight w:val="none"/>
          <w:lang w:eastAsia="zh-CN"/>
        </w:rPr>
        <w:t>设备运抵现场</w:t>
      </w:r>
      <w:r>
        <w:rPr>
          <w:rFonts w:hint="eastAsia"/>
          <w:szCs w:val="21"/>
          <w:highlight w:val="none"/>
          <w:lang w:eastAsia="zh-CN"/>
        </w:rPr>
        <w:t>，</w:t>
      </w:r>
      <w:r>
        <w:rPr>
          <w:szCs w:val="21"/>
          <w:highlight w:val="none"/>
          <w:lang w:eastAsia="zh-CN"/>
        </w:rPr>
        <w:t>支付比例为</w:t>
      </w:r>
      <w:r>
        <w:rPr>
          <w:rFonts w:hint="eastAsia"/>
          <w:szCs w:val="21"/>
          <w:highlight w:val="none"/>
          <w:lang w:eastAsia="zh-CN"/>
        </w:rPr>
        <w:t>合同总价</w:t>
      </w:r>
      <w:r>
        <w:rPr>
          <w:szCs w:val="21"/>
          <w:highlight w:val="none"/>
          <w:lang w:eastAsia="zh-CN"/>
        </w:rPr>
        <w:t>的</w:t>
      </w:r>
      <w:r>
        <w:rPr>
          <w:rFonts w:hint="eastAsia"/>
          <w:szCs w:val="21"/>
          <w:highlight w:val="none"/>
          <w:lang w:val="en-US" w:eastAsia="zh-CN"/>
        </w:rPr>
        <w:t>4</w:t>
      </w:r>
      <w:r>
        <w:rPr>
          <w:szCs w:val="21"/>
          <w:highlight w:val="none"/>
          <w:lang w:eastAsia="zh-CN"/>
        </w:rPr>
        <w:t>0%；</w:t>
      </w:r>
    </w:p>
    <w:p>
      <w:pPr>
        <w:adjustRightInd w:val="0"/>
        <w:snapToGrid w:val="0"/>
        <w:spacing w:line="360" w:lineRule="auto"/>
        <w:ind w:firstLine="440" w:firstLineChars="200"/>
        <w:rPr>
          <w:highlight w:val="none"/>
          <w:lang w:eastAsia="zh-CN"/>
        </w:rPr>
      </w:pPr>
      <w:r>
        <w:rPr>
          <w:rFonts w:hint="eastAsia"/>
          <w:szCs w:val="21"/>
          <w:highlight w:val="none"/>
          <w:lang w:eastAsia="zh-CN"/>
        </w:rPr>
        <w:t>（</w:t>
      </w:r>
      <w:r>
        <w:rPr>
          <w:rFonts w:hint="eastAsia"/>
          <w:szCs w:val="21"/>
          <w:highlight w:val="none"/>
          <w:lang w:val="en-US" w:eastAsia="zh-CN"/>
        </w:rPr>
        <w:t>3</w:t>
      </w:r>
      <w:r>
        <w:rPr>
          <w:szCs w:val="21"/>
          <w:highlight w:val="none"/>
          <w:lang w:eastAsia="zh-CN"/>
        </w:rPr>
        <w:t>）</w:t>
      </w:r>
      <w:r>
        <w:rPr>
          <w:rFonts w:hint="eastAsia"/>
          <w:szCs w:val="21"/>
          <w:highlight w:val="none"/>
          <w:lang w:eastAsia="zh-CN"/>
        </w:rPr>
        <w:t>安装调试完毕、初步验收合格、缺陷处理完毕、移交买方使用、提交竣工资料，支付至合同结算总价的97%；</w:t>
      </w:r>
    </w:p>
    <w:p>
      <w:pPr>
        <w:adjustRightInd w:val="0"/>
        <w:snapToGrid w:val="0"/>
        <w:spacing w:line="360" w:lineRule="auto"/>
        <w:ind w:firstLine="440" w:firstLineChars="200"/>
        <w:rPr>
          <w:szCs w:val="21"/>
          <w:lang w:eastAsia="zh-CN"/>
        </w:rPr>
      </w:pPr>
      <w:r>
        <w:rPr>
          <w:rFonts w:hint="eastAsia"/>
          <w:szCs w:val="21"/>
          <w:lang w:eastAsia="zh-CN"/>
        </w:rPr>
        <w:t>（</w:t>
      </w:r>
      <w:r>
        <w:rPr>
          <w:rFonts w:hint="eastAsia"/>
          <w:szCs w:val="21"/>
          <w:lang w:val="en-US" w:eastAsia="zh-CN"/>
        </w:rPr>
        <w:t>4</w:t>
      </w:r>
      <w:r>
        <w:rPr>
          <w:szCs w:val="21"/>
          <w:lang w:eastAsia="zh-CN"/>
        </w:rPr>
        <w:t>）全部</w:t>
      </w:r>
      <w:r>
        <w:rPr>
          <w:rFonts w:hint="eastAsia"/>
          <w:szCs w:val="21"/>
          <w:lang w:eastAsia="zh-CN"/>
        </w:rPr>
        <w:t>合同设备</w:t>
      </w:r>
      <w:r>
        <w:rPr>
          <w:szCs w:val="21"/>
          <w:lang w:eastAsia="zh-CN"/>
        </w:rPr>
        <w:t>质量保证期满，最终验收合格，支付比例为合同总价的3%。</w:t>
      </w:r>
    </w:p>
    <w:p>
      <w:pPr>
        <w:adjustRightInd w:val="0"/>
        <w:snapToGrid w:val="0"/>
        <w:spacing w:line="360" w:lineRule="auto"/>
        <w:ind w:firstLine="440" w:firstLineChars="200"/>
        <w:rPr>
          <w:szCs w:val="21"/>
          <w:lang w:eastAsia="zh-CN"/>
        </w:rPr>
      </w:pPr>
      <w:r>
        <w:rPr>
          <w:szCs w:val="21"/>
          <w:lang w:eastAsia="zh-CN"/>
        </w:rPr>
        <w:t xml:space="preserve">3.2.3 </w:t>
      </w:r>
      <w:r>
        <w:rPr>
          <w:rFonts w:hint="eastAsia"/>
          <w:szCs w:val="21"/>
          <w:lang w:eastAsia="zh-CN"/>
        </w:rPr>
        <w:t>卖方申请支付时，应提交书面支付申请表、达到合同支付条件的证明材料及符合国家税法规定的相应的增值税专用发票。</w:t>
      </w:r>
    </w:p>
    <w:p>
      <w:pPr>
        <w:adjustRightInd w:val="0"/>
        <w:snapToGrid w:val="0"/>
        <w:spacing w:line="360" w:lineRule="auto"/>
        <w:ind w:firstLine="440" w:firstLineChars="200"/>
        <w:rPr>
          <w:szCs w:val="21"/>
          <w:lang w:eastAsia="zh-CN"/>
        </w:rPr>
      </w:pPr>
      <w:r>
        <w:rPr>
          <w:szCs w:val="21"/>
          <w:lang w:eastAsia="zh-CN"/>
        </w:rPr>
        <w:t xml:space="preserve">3.2.4 </w:t>
      </w:r>
      <w:r>
        <w:rPr>
          <w:rFonts w:hint="eastAsia"/>
          <w:szCs w:val="21"/>
          <w:lang w:eastAsia="zh-CN"/>
        </w:rPr>
        <w:t>买方在收到卖方提交的支付申请及相关资料后</w:t>
      </w:r>
      <w:r>
        <w:rPr>
          <w:szCs w:val="21"/>
          <w:lang w:eastAsia="zh-CN"/>
        </w:rPr>
        <w:t>10</w:t>
      </w:r>
      <w:r>
        <w:rPr>
          <w:rFonts w:hint="eastAsia"/>
          <w:szCs w:val="21"/>
          <w:lang w:eastAsia="zh-CN"/>
        </w:rPr>
        <w:t>个工作日</w:t>
      </w:r>
      <w:r>
        <w:rPr>
          <w:szCs w:val="21"/>
          <w:lang w:eastAsia="zh-CN"/>
        </w:rPr>
        <w:t>内审核完毕，若资料不合格，卖方应及时补充资料，并重新计算买方审核时间，直至买方审核合格，买方在审核合格后30天内付款。</w:t>
      </w:r>
    </w:p>
    <w:p>
      <w:pPr>
        <w:keepNext/>
        <w:keepLines/>
        <w:shd w:val="clear" w:color="auto" w:fill="FFFFFF"/>
        <w:adjustRightInd w:val="0"/>
        <w:snapToGrid w:val="0"/>
        <w:spacing w:line="360" w:lineRule="auto"/>
        <w:outlineLvl w:val="2"/>
        <w:rPr>
          <w:szCs w:val="21"/>
          <w:lang w:val="zh-CN" w:eastAsia="zh-CN"/>
        </w:rPr>
      </w:pPr>
      <w:bookmarkStart w:id="281" w:name="_Toc1216"/>
      <w:bookmarkStart w:id="282" w:name="_Toc27285"/>
      <w:bookmarkStart w:id="283" w:name="_Toc101259173"/>
      <w:bookmarkStart w:id="284" w:name="_Toc5173"/>
      <w:bookmarkStart w:id="285" w:name="_Toc100946804"/>
      <w:bookmarkStart w:id="286" w:name="_Toc10630"/>
      <w:bookmarkStart w:id="287" w:name="_Toc40447182"/>
      <w:bookmarkStart w:id="288" w:name="_Toc4017"/>
      <w:bookmarkStart w:id="289" w:name="_Toc113559491"/>
      <w:bookmarkStart w:id="290" w:name="_Toc92225928"/>
      <w:bookmarkStart w:id="291" w:name="_Toc23743"/>
      <w:bookmarkStart w:id="292" w:name="_Toc26337"/>
      <w:bookmarkStart w:id="293" w:name="_Toc29731"/>
      <w:bookmarkStart w:id="294" w:name="_Toc81896085"/>
      <w:bookmarkStart w:id="295" w:name="_Toc16636"/>
      <w:bookmarkStart w:id="296" w:name="_Toc13370"/>
      <w:bookmarkStart w:id="297" w:name="_Toc3093"/>
      <w:bookmarkStart w:id="298" w:name="_Toc23744"/>
      <w:bookmarkStart w:id="299" w:name="_Toc9128"/>
      <w:bookmarkStart w:id="300" w:name="_Toc21550"/>
      <w:bookmarkStart w:id="301" w:name="_Toc14631"/>
      <w:bookmarkStart w:id="302" w:name="_Toc27533"/>
      <w:bookmarkStart w:id="303" w:name="_Toc75199001"/>
      <w:bookmarkStart w:id="304" w:name="_Toc22678"/>
      <w:bookmarkStart w:id="305" w:name="_Toc23672"/>
      <w:bookmarkStart w:id="306" w:name="_Toc28733"/>
      <w:r>
        <w:rPr>
          <w:szCs w:val="21"/>
          <w:lang w:val="zh-CN" w:eastAsia="zh-CN"/>
        </w:rPr>
        <w:t>4.监造</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pPr>
        <w:adjustRightInd w:val="0"/>
        <w:snapToGrid w:val="0"/>
        <w:spacing w:line="360" w:lineRule="auto"/>
        <w:outlineLvl w:val="3"/>
        <w:rPr>
          <w:szCs w:val="21"/>
          <w:lang w:eastAsia="zh-CN"/>
        </w:rPr>
      </w:pPr>
      <w:r>
        <w:rPr>
          <w:szCs w:val="21"/>
          <w:lang w:eastAsia="zh-CN"/>
        </w:rPr>
        <w:t>4.1监造</w:t>
      </w:r>
    </w:p>
    <w:p>
      <w:pPr>
        <w:adjustRightInd w:val="0"/>
        <w:snapToGrid w:val="0"/>
        <w:spacing w:line="360" w:lineRule="auto"/>
        <w:ind w:firstLine="440" w:firstLineChars="200"/>
        <w:rPr>
          <w:szCs w:val="21"/>
          <w:lang w:eastAsia="zh-CN"/>
        </w:rPr>
      </w:pPr>
      <w:r>
        <w:rPr>
          <w:rFonts w:hint="eastAsia"/>
          <w:szCs w:val="21"/>
          <w:lang w:eastAsia="zh-CN"/>
        </w:rPr>
        <w:t>本项目不设监造。</w:t>
      </w:r>
    </w:p>
    <w:p>
      <w:pPr>
        <w:keepNext/>
        <w:keepLines/>
        <w:shd w:val="clear" w:color="auto" w:fill="FFFFFF"/>
        <w:adjustRightInd w:val="0"/>
        <w:snapToGrid w:val="0"/>
        <w:spacing w:line="360" w:lineRule="auto"/>
        <w:outlineLvl w:val="2"/>
        <w:rPr>
          <w:szCs w:val="21"/>
          <w:lang w:val="zh-CN" w:eastAsia="zh-CN"/>
        </w:rPr>
      </w:pPr>
      <w:bookmarkStart w:id="307" w:name="_Toc149"/>
      <w:bookmarkStart w:id="308" w:name="_Toc25437"/>
      <w:bookmarkStart w:id="309" w:name="_Toc532"/>
      <w:bookmarkStart w:id="310" w:name="_Toc113559492"/>
      <w:bookmarkStart w:id="311" w:name="_Toc16912"/>
      <w:bookmarkStart w:id="312" w:name="_Toc9000"/>
      <w:bookmarkStart w:id="313" w:name="_Toc7425"/>
      <w:bookmarkStart w:id="314" w:name="_Toc5711"/>
      <w:bookmarkStart w:id="315" w:name="_Toc92225929"/>
      <w:bookmarkStart w:id="316" w:name="_Toc75199002"/>
      <w:bookmarkStart w:id="317" w:name="_Toc15237"/>
      <w:bookmarkStart w:id="318" w:name="_Toc16193"/>
      <w:bookmarkStart w:id="319" w:name="_Toc40447183"/>
      <w:bookmarkStart w:id="320" w:name="_Toc17982"/>
      <w:bookmarkStart w:id="321" w:name="_Toc100946805"/>
      <w:bookmarkStart w:id="322" w:name="_Toc4603"/>
      <w:bookmarkStart w:id="323" w:name="_Toc4857"/>
      <w:bookmarkStart w:id="324" w:name="_Toc26347"/>
      <w:bookmarkStart w:id="325" w:name="_Toc81896086"/>
      <w:bookmarkStart w:id="326" w:name="_Toc7671"/>
      <w:bookmarkStart w:id="327" w:name="_Toc101259174"/>
      <w:bookmarkStart w:id="328" w:name="_Toc20279"/>
      <w:bookmarkStart w:id="329" w:name="_Toc31399"/>
      <w:bookmarkStart w:id="330" w:name="_Toc17768"/>
      <w:bookmarkStart w:id="331" w:name="_Toc9048"/>
      <w:bookmarkStart w:id="332" w:name="_Toc10791"/>
      <w:r>
        <w:rPr>
          <w:szCs w:val="21"/>
          <w:lang w:val="zh-CN" w:eastAsia="zh-CN"/>
        </w:rPr>
        <w:t>5.包装、标记、运输和交付</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pPr>
        <w:adjustRightInd w:val="0"/>
        <w:snapToGrid w:val="0"/>
        <w:spacing w:line="360" w:lineRule="auto"/>
        <w:outlineLvl w:val="3"/>
        <w:rPr>
          <w:szCs w:val="21"/>
          <w:lang w:eastAsia="zh-CN"/>
        </w:rPr>
      </w:pPr>
      <w:r>
        <w:rPr>
          <w:szCs w:val="21"/>
          <w:lang w:eastAsia="zh-CN"/>
        </w:rPr>
        <w:t>5.1包装</w:t>
      </w:r>
    </w:p>
    <w:p>
      <w:pPr>
        <w:adjustRightInd w:val="0"/>
        <w:snapToGrid w:val="0"/>
        <w:spacing w:line="360" w:lineRule="auto"/>
        <w:ind w:firstLine="0" w:firstLineChars="0"/>
        <w:rPr>
          <w:szCs w:val="21"/>
          <w:lang w:eastAsia="zh-CN"/>
        </w:rPr>
      </w:pPr>
      <w:r>
        <w:rPr>
          <w:rFonts w:hint="eastAsia"/>
          <w:szCs w:val="21"/>
          <w:lang w:eastAsia="zh-CN"/>
        </w:rPr>
        <w:t>增加以下条款：</w:t>
      </w:r>
    </w:p>
    <w:p>
      <w:pPr>
        <w:adjustRightInd w:val="0"/>
        <w:snapToGrid w:val="0"/>
        <w:spacing w:line="360" w:lineRule="auto"/>
        <w:ind w:firstLine="440" w:firstLineChars="200"/>
        <w:outlineLvl w:val="4"/>
        <w:rPr>
          <w:szCs w:val="21"/>
          <w:lang w:eastAsia="zh-CN"/>
        </w:rPr>
      </w:pPr>
      <w:r>
        <w:rPr>
          <w:lang w:eastAsia="zh-CN"/>
        </w:rPr>
        <w:t>5.1.5运输应符合</w:t>
      </w:r>
      <w:r>
        <w:rPr>
          <w:rFonts w:hint="eastAsia"/>
          <w:szCs w:val="21"/>
          <w:lang w:eastAsia="zh-CN"/>
        </w:rPr>
        <w:t>产品包装运输管理</w:t>
      </w:r>
      <w:r>
        <w:rPr>
          <w:rFonts w:hint="eastAsia"/>
          <w:lang w:eastAsia="zh-CN"/>
        </w:rPr>
        <w:t>的相关规定。</w:t>
      </w:r>
    </w:p>
    <w:p>
      <w:pPr>
        <w:adjustRightInd w:val="0"/>
        <w:snapToGrid w:val="0"/>
        <w:spacing w:line="360" w:lineRule="auto"/>
        <w:ind w:firstLine="440" w:firstLineChars="200"/>
        <w:rPr>
          <w:szCs w:val="21"/>
          <w:lang w:eastAsia="zh-CN"/>
        </w:rPr>
      </w:pPr>
      <w:r>
        <w:rPr>
          <w:szCs w:val="21"/>
          <w:lang w:eastAsia="zh-CN"/>
        </w:rPr>
        <w:t>5.1.6对设备加工面应采取适用的防锈措施和用木材或其它软材料加以防护。对电气绝缘部件应采用防潮和防尘包装。对仪器仪表设备应密封包装，并有妥善的防震措施。对于刚度较小的焊件应加焊支撑以防变形。</w:t>
      </w:r>
    </w:p>
    <w:p>
      <w:pPr>
        <w:adjustRightInd w:val="0"/>
        <w:snapToGrid w:val="0"/>
        <w:spacing w:line="360" w:lineRule="auto"/>
        <w:ind w:firstLine="440" w:firstLineChars="200"/>
        <w:rPr>
          <w:szCs w:val="21"/>
          <w:lang w:eastAsia="zh-CN"/>
        </w:rPr>
      </w:pPr>
      <w:r>
        <w:rPr>
          <w:szCs w:val="21"/>
          <w:lang w:eastAsia="zh-CN"/>
        </w:rPr>
        <w:t xml:space="preserve">5.1.7 </w:t>
      </w:r>
      <w:r>
        <w:rPr>
          <w:rFonts w:hint="eastAsia"/>
          <w:szCs w:val="21"/>
          <w:lang w:eastAsia="zh-CN"/>
        </w:rPr>
        <w:t>包装箱外部标志及起吊位置应符合</w:t>
      </w:r>
      <w:r>
        <w:rPr>
          <w:rFonts w:eastAsia="宋体"/>
          <w:b w:val="0"/>
          <w:sz w:val="22"/>
          <w:szCs w:val="21"/>
          <w:lang w:eastAsia="zh-CN"/>
        </w:rPr>
        <w:t>JB/T 9065</w:t>
      </w:r>
      <w:r>
        <w:rPr>
          <w:szCs w:val="21"/>
          <w:lang w:eastAsia="zh-CN"/>
        </w:rPr>
        <w:t>《</w:t>
      </w:r>
      <w:r>
        <w:rPr>
          <w:rFonts w:eastAsia="宋体"/>
          <w:sz w:val="22"/>
          <w:szCs w:val="21"/>
          <w:lang w:eastAsia="zh-CN"/>
        </w:rPr>
        <w:t>冷暖通风设备包装通用技术条件</w:t>
      </w:r>
      <w:r>
        <w:rPr>
          <w:szCs w:val="21"/>
          <w:lang w:eastAsia="zh-CN"/>
        </w:rPr>
        <w:t>》的规定。</w:t>
      </w:r>
    </w:p>
    <w:p>
      <w:pPr>
        <w:adjustRightInd w:val="0"/>
        <w:snapToGrid w:val="0"/>
        <w:spacing w:line="360" w:lineRule="auto"/>
        <w:ind w:firstLine="440" w:firstLineChars="200"/>
        <w:rPr>
          <w:szCs w:val="21"/>
          <w:lang w:eastAsia="zh-CN"/>
        </w:rPr>
      </w:pPr>
      <w:r>
        <w:rPr>
          <w:rFonts w:hint="eastAsia"/>
          <w:szCs w:val="21"/>
          <w:lang w:eastAsia="zh-CN"/>
        </w:rPr>
        <w:t>包装箱外壁应标明收发货单位名称和地址、合同号、产品净重、毛重、重心线及吊索位置，箱子外形尺寸，共××箱第××箱等。</w:t>
      </w:r>
    </w:p>
    <w:p>
      <w:pPr>
        <w:adjustRightInd w:val="0"/>
        <w:snapToGrid w:val="0"/>
        <w:spacing w:line="360" w:lineRule="auto"/>
        <w:ind w:firstLine="440" w:firstLineChars="200"/>
        <w:rPr>
          <w:szCs w:val="21"/>
          <w:lang w:eastAsia="zh-CN"/>
        </w:rPr>
      </w:pPr>
      <w:r>
        <w:rPr>
          <w:szCs w:val="21"/>
          <w:lang w:eastAsia="zh-CN"/>
        </w:rPr>
        <w:t xml:space="preserve">5.1.8包装箱内应有装箱单、明细表、产品出厂证明书、合格证。这些文件、清单、资料均应装在置于包装箱内的专用防潮防雨铁盒内。随机技术文件及图纸由卖方负责交付买方。 </w:t>
      </w:r>
    </w:p>
    <w:p>
      <w:pPr>
        <w:adjustRightInd w:val="0"/>
        <w:snapToGrid w:val="0"/>
        <w:spacing w:line="360" w:lineRule="auto"/>
        <w:outlineLvl w:val="3"/>
        <w:rPr>
          <w:szCs w:val="21"/>
          <w:lang w:eastAsia="zh-CN"/>
        </w:rPr>
      </w:pPr>
      <w:r>
        <w:rPr>
          <w:szCs w:val="21"/>
          <w:lang w:eastAsia="zh-CN"/>
        </w:rPr>
        <w:t>5.2标记</w:t>
      </w:r>
    </w:p>
    <w:p>
      <w:pPr>
        <w:adjustRightInd w:val="0"/>
        <w:snapToGrid w:val="0"/>
        <w:spacing w:line="360" w:lineRule="auto"/>
        <w:rPr>
          <w:szCs w:val="21"/>
          <w:lang w:eastAsia="zh-CN"/>
        </w:rPr>
      </w:pPr>
      <w:r>
        <w:rPr>
          <w:rFonts w:hint="eastAsia"/>
          <w:szCs w:val="21"/>
          <w:lang w:eastAsia="zh-CN"/>
        </w:rPr>
        <w:t>增加以下条款：</w:t>
      </w:r>
    </w:p>
    <w:p>
      <w:pPr>
        <w:adjustRightInd w:val="0"/>
        <w:snapToGrid w:val="0"/>
        <w:spacing w:line="360" w:lineRule="auto"/>
        <w:ind w:firstLine="440" w:firstLineChars="200"/>
        <w:rPr>
          <w:szCs w:val="21"/>
          <w:lang w:eastAsia="zh-CN"/>
        </w:rPr>
      </w:pPr>
      <w:r>
        <w:rPr>
          <w:szCs w:val="21"/>
          <w:lang w:eastAsia="zh-CN"/>
        </w:rPr>
        <w:t>5.2.3卖方应对因包装不善而引起的合同设备的锈蚀、变形、短缺、损坏和丢失负责修理、更换，并承担可能的延迟交货的风险及责任。</w:t>
      </w:r>
    </w:p>
    <w:p>
      <w:pPr>
        <w:adjustRightInd w:val="0"/>
        <w:snapToGrid w:val="0"/>
        <w:spacing w:line="360" w:lineRule="auto"/>
        <w:outlineLvl w:val="3"/>
        <w:rPr>
          <w:szCs w:val="21"/>
          <w:lang w:eastAsia="zh-CN"/>
        </w:rPr>
      </w:pPr>
      <w:r>
        <w:rPr>
          <w:szCs w:val="21"/>
          <w:lang w:eastAsia="zh-CN"/>
        </w:rPr>
        <w:t>5.3运输</w:t>
      </w:r>
    </w:p>
    <w:p>
      <w:pPr>
        <w:adjustRightInd w:val="0"/>
        <w:snapToGrid w:val="0"/>
        <w:spacing w:line="360" w:lineRule="auto"/>
        <w:rPr>
          <w:szCs w:val="21"/>
          <w:lang w:eastAsia="zh-CN"/>
        </w:rPr>
      </w:pPr>
      <w:r>
        <w:rPr>
          <w:rFonts w:hint="eastAsia"/>
          <w:szCs w:val="21"/>
          <w:lang w:eastAsia="zh-CN"/>
        </w:rPr>
        <w:t>增加以下条款：</w:t>
      </w:r>
    </w:p>
    <w:p>
      <w:pPr>
        <w:adjustRightInd w:val="0"/>
        <w:snapToGrid w:val="0"/>
        <w:spacing w:line="360" w:lineRule="auto"/>
        <w:ind w:firstLine="440" w:firstLineChars="200"/>
        <w:outlineLvl w:val="4"/>
        <w:rPr>
          <w:szCs w:val="21"/>
          <w:lang w:eastAsia="zh-CN"/>
        </w:rPr>
      </w:pPr>
      <w:r>
        <w:rPr>
          <w:szCs w:val="21"/>
          <w:lang w:eastAsia="zh-CN"/>
        </w:rPr>
        <w:t>5.3.5合同设备的运输单位应有相应的运输专项资质。</w:t>
      </w:r>
    </w:p>
    <w:p>
      <w:pPr>
        <w:adjustRightInd w:val="0"/>
        <w:snapToGrid w:val="0"/>
        <w:spacing w:line="360" w:lineRule="auto"/>
        <w:ind w:firstLine="440" w:firstLineChars="200"/>
        <w:rPr>
          <w:szCs w:val="21"/>
          <w:lang w:eastAsia="zh-CN"/>
        </w:rPr>
      </w:pPr>
      <w:r>
        <w:rPr>
          <w:szCs w:val="21"/>
          <w:lang w:eastAsia="zh-CN"/>
        </w:rPr>
        <w:t>5.3.6卖方自行调查铁路、公路、水路的运输能力，编制切实可行的、确保安全的运输方案。对于超大、超重件的运输，卖方应向道路交通管理部门办理合法的运输手续，并征得他们的同意与支持。车辆进入施工区需遵守和执行相关管理制度。</w:t>
      </w:r>
    </w:p>
    <w:p>
      <w:pPr>
        <w:adjustRightInd w:val="0"/>
        <w:snapToGrid w:val="0"/>
        <w:spacing w:line="360" w:lineRule="auto"/>
        <w:ind w:firstLine="440" w:firstLineChars="200"/>
        <w:rPr>
          <w:szCs w:val="21"/>
          <w:lang w:eastAsia="zh-CN"/>
        </w:rPr>
      </w:pPr>
      <w:r>
        <w:rPr>
          <w:szCs w:val="21"/>
          <w:lang w:eastAsia="zh-CN"/>
        </w:rPr>
        <w:t xml:space="preserve">5.3.7 </w:t>
      </w:r>
      <w:r>
        <w:rPr>
          <w:rFonts w:hint="eastAsia"/>
          <w:szCs w:val="21"/>
          <w:lang w:eastAsia="zh-CN"/>
        </w:rPr>
        <w:t>卖方应在设备发运前</w:t>
      </w:r>
      <w:r>
        <w:rPr>
          <w:szCs w:val="21"/>
          <w:lang w:eastAsia="zh-CN"/>
        </w:rPr>
        <w:t>14天，将发货设备清单和运输保险单复印件快件邮寄并传真给买方，并注明大件、主要件的外形尺寸、重量、装运港(或车站)名称，预计到达工地交货地点的日期。</w:t>
      </w:r>
    </w:p>
    <w:p>
      <w:pPr>
        <w:adjustRightInd w:val="0"/>
        <w:snapToGrid w:val="0"/>
        <w:spacing w:line="360" w:lineRule="auto"/>
        <w:ind w:firstLine="440" w:firstLineChars="200"/>
        <w:rPr>
          <w:szCs w:val="21"/>
          <w:lang w:eastAsia="zh-CN"/>
        </w:rPr>
      </w:pPr>
      <w:r>
        <w:rPr>
          <w:szCs w:val="21"/>
          <w:lang w:eastAsia="zh-CN"/>
        </w:rPr>
        <w:t xml:space="preserve">5.3.8 </w:t>
      </w:r>
      <w:r>
        <w:rPr>
          <w:rFonts w:hint="eastAsia"/>
          <w:szCs w:val="21"/>
          <w:lang w:eastAsia="zh-CN"/>
        </w:rPr>
        <w:t>所有与运输相关的费用均由卖方承担，并包含在合同总价中。</w:t>
      </w:r>
    </w:p>
    <w:p>
      <w:pPr>
        <w:adjustRightInd w:val="0"/>
        <w:snapToGrid w:val="0"/>
        <w:spacing w:line="360" w:lineRule="auto"/>
        <w:ind w:firstLine="440" w:firstLineChars="200"/>
        <w:rPr>
          <w:szCs w:val="21"/>
          <w:lang w:eastAsia="zh-CN"/>
        </w:rPr>
      </w:pPr>
      <w:r>
        <w:rPr>
          <w:szCs w:val="21"/>
          <w:lang w:eastAsia="zh-CN"/>
        </w:rPr>
        <w:t xml:space="preserve">5.3.9 </w:t>
      </w:r>
      <w:r>
        <w:rPr>
          <w:rFonts w:hint="eastAsia"/>
          <w:szCs w:val="21"/>
          <w:lang w:eastAsia="zh-CN"/>
        </w:rPr>
        <w:t>运输过程中，若发生合同设备损坏或丢失时，卖方应负责免费更换或补充供货，并承担可能的延迟交货的风险及责任。</w:t>
      </w:r>
    </w:p>
    <w:p>
      <w:pPr>
        <w:adjustRightInd w:val="0"/>
        <w:snapToGrid w:val="0"/>
        <w:spacing w:line="360" w:lineRule="auto"/>
        <w:outlineLvl w:val="3"/>
        <w:rPr>
          <w:szCs w:val="21"/>
          <w:lang w:eastAsia="zh-CN"/>
        </w:rPr>
      </w:pPr>
      <w:r>
        <w:rPr>
          <w:szCs w:val="21"/>
          <w:lang w:eastAsia="zh-CN"/>
        </w:rPr>
        <w:t>5.4交付</w:t>
      </w:r>
    </w:p>
    <w:p>
      <w:pPr>
        <w:adjustRightInd w:val="0"/>
        <w:snapToGrid w:val="0"/>
        <w:spacing w:line="360" w:lineRule="auto"/>
        <w:outlineLvl w:val="4"/>
        <w:rPr>
          <w:szCs w:val="21"/>
          <w:lang w:eastAsia="zh-CN"/>
        </w:rPr>
      </w:pPr>
      <w:r>
        <w:rPr>
          <w:szCs w:val="21"/>
          <w:lang w:eastAsia="zh-CN"/>
        </w:rPr>
        <w:t xml:space="preserve">5.4.1 </w:t>
      </w:r>
      <w:r>
        <w:rPr>
          <w:rFonts w:hint="eastAsia"/>
          <w:szCs w:val="21"/>
          <w:lang w:eastAsia="zh-CN"/>
        </w:rPr>
        <w:t>合同工期及交货地点</w:t>
      </w:r>
    </w:p>
    <w:p>
      <w:pPr>
        <w:tabs>
          <w:tab w:val="left" w:pos="3840"/>
          <w:tab w:val="left" w:pos="5300"/>
        </w:tabs>
        <w:autoSpaceDE w:val="0"/>
        <w:autoSpaceDN w:val="0"/>
        <w:adjustRightInd w:val="0"/>
        <w:snapToGrid w:val="0"/>
        <w:spacing w:line="360" w:lineRule="auto"/>
        <w:ind w:firstLine="440" w:firstLineChars="200"/>
        <w:rPr>
          <w:lang w:eastAsia="zh-CN"/>
        </w:rPr>
      </w:pPr>
      <w:r>
        <w:rPr>
          <w:rFonts w:hint="eastAsia"/>
          <w:snapToGrid w:val="0"/>
          <w:szCs w:val="21"/>
          <w:highlight w:val="none"/>
          <w:lang w:eastAsia="zh-CN"/>
        </w:rPr>
        <w:t>计划2024年</w:t>
      </w:r>
      <w:r>
        <w:rPr>
          <w:rFonts w:hint="eastAsia"/>
          <w:snapToGrid w:val="0"/>
          <w:szCs w:val="21"/>
          <w:highlight w:val="none"/>
          <w:lang w:val="en-US" w:eastAsia="zh-CN"/>
        </w:rPr>
        <w:t>3</w:t>
      </w:r>
      <w:r>
        <w:rPr>
          <w:rFonts w:hint="eastAsia"/>
          <w:snapToGrid w:val="0"/>
          <w:szCs w:val="21"/>
          <w:highlight w:val="none"/>
          <w:lang w:eastAsia="zh-CN"/>
        </w:rPr>
        <w:t>月</w:t>
      </w:r>
      <w:r>
        <w:rPr>
          <w:rFonts w:hint="eastAsia"/>
          <w:snapToGrid w:val="0"/>
          <w:szCs w:val="21"/>
          <w:highlight w:val="none"/>
          <w:lang w:val="en-US" w:eastAsia="zh-CN"/>
        </w:rPr>
        <w:t>30</w:t>
      </w:r>
      <w:r>
        <w:rPr>
          <w:rFonts w:hint="eastAsia"/>
          <w:snapToGrid w:val="0"/>
          <w:szCs w:val="21"/>
          <w:highlight w:val="none"/>
          <w:lang w:eastAsia="zh-CN"/>
        </w:rPr>
        <w:t>日前交货，</w:t>
      </w:r>
      <w:r>
        <w:rPr>
          <w:rFonts w:hint="eastAsia"/>
          <w:snapToGrid w:val="0"/>
          <w:szCs w:val="21"/>
          <w:lang w:eastAsia="zh-CN"/>
        </w:rPr>
        <w:t>具体交货时间由招标人书面通知。</w:t>
      </w:r>
    </w:p>
    <w:p>
      <w:pPr>
        <w:tabs>
          <w:tab w:val="left" w:pos="3840"/>
          <w:tab w:val="left" w:pos="5300"/>
        </w:tabs>
        <w:autoSpaceDE w:val="0"/>
        <w:autoSpaceDN w:val="0"/>
        <w:adjustRightInd w:val="0"/>
        <w:snapToGrid w:val="0"/>
        <w:spacing w:line="360" w:lineRule="auto"/>
        <w:ind w:firstLine="440" w:firstLineChars="200"/>
        <w:rPr>
          <w:lang w:eastAsia="zh-CN"/>
        </w:rPr>
      </w:pPr>
      <w:r>
        <w:rPr>
          <w:lang w:eastAsia="zh-CN"/>
        </w:rPr>
        <w:t>根据合同设备的安装进度要求，买方有权提前通知卖方更改交货进度。</w:t>
      </w:r>
      <w:r>
        <w:rPr>
          <w:rFonts w:hint="eastAsia"/>
          <w:snapToGrid w:val="0"/>
          <w:szCs w:val="21"/>
          <w:u w:val="single"/>
          <w:lang w:eastAsia="zh-CN"/>
        </w:rPr>
        <w:t>因买方原因要求卖方推迟合同设备交货在6个月以内时，或要求提前交货3个月以内时，卖方应无条件接受且不应提出合同价格调整的要求。</w:t>
      </w:r>
    </w:p>
    <w:p>
      <w:pPr>
        <w:adjustRightInd w:val="0"/>
        <w:snapToGrid w:val="0"/>
        <w:spacing w:line="360" w:lineRule="auto"/>
        <w:ind w:firstLine="440" w:firstLineChars="200"/>
        <w:rPr>
          <w:szCs w:val="21"/>
          <w:lang w:eastAsia="zh-CN"/>
        </w:rPr>
      </w:pPr>
      <w:r>
        <w:rPr>
          <w:rFonts w:hint="eastAsia"/>
          <w:szCs w:val="21"/>
          <w:lang w:eastAsia="zh-CN"/>
        </w:rPr>
        <w:t>因买方原因造成交货</w:t>
      </w:r>
      <w:r>
        <w:rPr>
          <w:szCs w:val="21"/>
          <w:lang w:eastAsia="zh-CN"/>
        </w:rPr>
        <w:t>时间延迟超过6个月的，双方另行协商。</w:t>
      </w:r>
    </w:p>
    <w:p>
      <w:pPr>
        <w:adjustRightInd w:val="0"/>
        <w:snapToGrid w:val="0"/>
        <w:spacing w:line="360" w:lineRule="auto"/>
        <w:ind w:firstLine="440" w:firstLineChars="200"/>
        <w:rPr>
          <w:szCs w:val="21"/>
          <w:lang w:eastAsia="zh-CN"/>
        </w:rPr>
      </w:pPr>
      <w:r>
        <w:rPr>
          <w:rFonts w:hint="eastAsia"/>
          <w:szCs w:val="21"/>
          <w:lang w:eastAsia="zh-CN"/>
        </w:rPr>
        <w:t>交货及安装地点：重庆市潼南区双江航电枢纽工程工地现场买方指定位置，有特殊装/卸车要求的专用工具应由卖方供给。</w:t>
      </w:r>
    </w:p>
    <w:p>
      <w:pPr>
        <w:adjustRightInd w:val="0"/>
        <w:snapToGrid w:val="0"/>
        <w:spacing w:line="360" w:lineRule="auto"/>
        <w:rPr>
          <w:szCs w:val="21"/>
          <w:lang w:eastAsia="zh-CN"/>
        </w:rPr>
      </w:pPr>
      <w:r>
        <w:rPr>
          <w:rFonts w:hint="eastAsia"/>
          <w:szCs w:val="21"/>
          <w:lang w:eastAsia="zh-CN"/>
        </w:rPr>
        <w:t>增加以下条款：</w:t>
      </w:r>
    </w:p>
    <w:p>
      <w:pPr>
        <w:adjustRightInd w:val="0"/>
        <w:snapToGrid w:val="0"/>
        <w:spacing w:line="360" w:lineRule="auto"/>
        <w:outlineLvl w:val="4"/>
        <w:rPr>
          <w:szCs w:val="21"/>
          <w:lang w:eastAsia="zh-CN"/>
        </w:rPr>
      </w:pPr>
      <w:r>
        <w:rPr>
          <w:szCs w:val="21"/>
          <w:lang w:eastAsia="zh-CN"/>
        </w:rPr>
        <w:t xml:space="preserve">5.4.4 </w:t>
      </w:r>
      <w:r>
        <w:rPr>
          <w:rFonts w:hint="eastAsia"/>
          <w:szCs w:val="21"/>
          <w:lang w:eastAsia="zh-CN"/>
        </w:rPr>
        <w:t>设备交接验收及</w:t>
      </w:r>
      <w:r>
        <w:rPr>
          <w:szCs w:val="21"/>
          <w:lang w:eastAsia="zh-CN"/>
        </w:rPr>
        <w:t>卸货</w:t>
      </w:r>
    </w:p>
    <w:p>
      <w:pPr>
        <w:adjustRightInd w:val="0"/>
        <w:snapToGrid w:val="0"/>
        <w:spacing w:line="360" w:lineRule="auto"/>
        <w:ind w:firstLine="440" w:firstLineChars="200"/>
        <w:rPr>
          <w:szCs w:val="21"/>
          <w:lang w:eastAsia="zh-CN"/>
        </w:rPr>
      </w:pPr>
      <w:r>
        <w:rPr>
          <w:rFonts w:hint="eastAsia"/>
          <w:szCs w:val="21"/>
          <w:lang w:eastAsia="zh-CN"/>
        </w:rPr>
        <w:t>合同设备到达工地现场后，由买方根据卖方的装箱清单组织卖方、监理、安装单位对设备的装运数量及外观进行检查，检查情况应详细记入交接验收单。交接验收单由各方代表签字，一式四份，各执一份。</w:t>
      </w:r>
    </w:p>
    <w:p>
      <w:pPr>
        <w:adjustRightInd w:val="0"/>
        <w:snapToGrid w:val="0"/>
        <w:spacing w:line="360" w:lineRule="auto"/>
        <w:ind w:firstLine="440" w:firstLineChars="200"/>
        <w:rPr>
          <w:szCs w:val="21"/>
          <w:lang w:eastAsia="zh-CN"/>
        </w:rPr>
      </w:pPr>
      <w:r>
        <w:rPr>
          <w:rFonts w:hint="eastAsia"/>
          <w:szCs w:val="21"/>
          <w:lang w:eastAsia="zh-CN"/>
        </w:rPr>
        <w:t>合同设备到达合同规定的现场交货地点后，由买方委托安装单位负责在24小时内卸货并承担卸货费用。</w:t>
      </w:r>
    </w:p>
    <w:p>
      <w:pPr>
        <w:adjustRightInd w:val="0"/>
        <w:snapToGrid w:val="0"/>
        <w:spacing w:line="360" w:lineRule="auto"/>
        <w:ind w:firstLine="440" w:firstLineChars="200"/>
        <w:rPr>
          <w:szCs w:val="21"/>
          <w:lang w:eastAsia="zh-CN"/>
        </w:rPr>
      </w:pPr>
      <w:bookmarkStart w:id="333" w:name="_Hlt36311120"/>
      <w:bookmarkEnd w:id="333"/>
      <w:r>
        <w:rPr>
          <w:rFonts w:hint="eastAsia"/>
          <w:szCs w:val="21"/>
          <w:lang w:eastAsia="zh-CN"/>
        </w:rPr>
        <w:t>卖方应对安装承包人进行的设备卸货提供及时、正确的技术指导，并提供转运、卸货所需的专用工具。</w:t>
      </w:r>
    </w:p>
    <w:p>
      <w:pPr>
        <w:adjustRightInd w:val="0"/>
        <w:snapToGrid w:val="0"/>
        <w:spacing w:line="360" w:lineRule="auto"/>
        <w:outlineLvl w:val="4"/>
        <w:rPr>
          <w:szCs w:val="21"/>
          <w:lang w:eastAsia="zh-CN"/>
        </w:rPr>
      </w:pPr>
      <w:r>
        <w:rPr>
          <w:szCs w:val="21"/>
          <w:lang w:eastAsia="zh-CN"/>
        </w:rPr>
        <w:t>5.4.5技术文件交付</w:t>
      </w:r>
    </w:p>
    <w:p>
      <w:pPr>
        <w:adjustRightInd w:val="0"/>
        <w:snapToGrid w:val="0"/>
        <w:spacing w:line="360" w:lineRule="auto"/>
        <w:ind w:firstLine="440" w:firstLineChars="200"/>
        <w:rPr>
          <w:szCs w:val="21"/>
          <w:lang w:eastAsia="zh-CN"/>
        </w:rPr>
      </w:pPr>
      <w:r>
        <w:rPr>
          <w:rFonts w:hint="eastAsia"/>
          <w:szCs w:val="21"/>
          <w:lang w:eastAsia="zh-CN"/>
        </w:rPr>
        <w:t>卖方提交的技术文件不仅要满足合同设备本身的制造、检验（试验）、运输、仓储、现场调试、运行和维护等的需要，还须满足工程设计单位的设计需要（详见招标文件的技术条款）。</w:t>
      </w:r>
    </w:p>
    <w:p>
      <w:pPr>
        <w:adjustRightInd w:val="0"/>
        <w:snapToGrid w:val="0"/>
        <w:spacing w:line="360" w:lineRule="auto"/>
        <w:ind w:firstLine="440" w:firstLineChars="200"/>
        <w:rPr>
          <w:szCs w:val="21"/>
          <w:lang w:eastAsia="zh-CN"/>
        </w:rPr>
      </w:pPr>
      <w:r>
        <w:rPr>
          <w:rFonts w:hint="eastAsia"/>
          <w:szCs w:val="21"/>
          <w:lang w:eastAsia="zh-CN"/>
        </w:rPr>
        <w:t>卖方应在合同设备运抵现场时向买方提交随机资料一式六份。随机资料应包含以下内容（但不限于）：</w:t>
      </w:r>
    </w:p>
    <w:p>
      <w:pPr>
        <w:numPr>
          <w:ilvl w:val="0"/>
          <w:numId w:val="2"/>
        </w:numPr>
        <w:adjustRightInd w:val="0"/>
        <w:snapToGrid w:val="0"/>
        <w:spacing w:line="360" w:lineRule="auto"/>
        <w:ind w:firstLine="440" w:firstLineChars="200"/>
        <w:rPr>
          <w:szCs w:val="21"/>
          <w:lang w:eastAsia="zh-CN"/>
        </w:rPr>
      </w:pPr>
      <w:r>
        <w:rPr>
          <w:rFonts w:hint="eastAsia"/>
          <w:szCs w:val="21"/>
          <w:lang w:eastAsia="zh-CN"/>
        </w:rPr>
        <w:t>卖方应重新提供整套符合现场情况、最终定型的永久性图纸和用户要求提供的用于维修和部件更换的图纸、运行维护用的资料及说明书等文件资料。所有卖方图纸应有标明图纸编号和内容的目录</w:t>
      </w:r>
      <w:r>
        <w:rPr>
          <w:szCs w:val="21"/>
          <w:lang w:eastAsia="zh-CN"/>
        </w:rPr>
        <w:t xml:space="preserve">,并满足中华人民共和国相关档案管理的要求。 </w:t>
      </w:r>
    </w:p>
    <w:p>
      <w:pPr>
        <w:adjustRightInd w:val="0"/>
        <w:snapToGrid w:val="0"/>
        <w:spacing w:line="360" w:lineRule="auto"/>
        <w:rPr>
          <w:szCs w:val="21"/>
          <w:lang w:eastAsia="zh-CN"/>
        </w:rPr>
      </w:pPr>
      <w:r>
        <w:rPr>
          <w:szCs w:val="21"/>
          <w:lang w:eastAsia="zh-CN"/>
        </w:rPr>
        <w:t xml:space="preserve">    2）设备产品清单、装箱清单；</w:t>
      </w:r>
    </w:p>
    <w:p>
      <w:pPr>
        <w:adjustRightInd w:val="0"/>
        <w:snapToGrid w:val="0"/>
        <w:spacing w:line="360" w:lineRule="auto"/>
        <w:ind w:firstLine="440" w:firstLineChars="200"/>
        <w:rPr>
          <w:szCs w:val="21"/>
          <w:lang w:eastAsia="zh-CN"/>
        </w:rPr>
      </w:pPr>
      <w:r>
        <w:rPr>
          <w:szCs w:val="21"/>
          <w:lang w:eastAsia="zh-CN"/>
        </w:rPr>
        <w:t>3）设备（部件）出厂合格证（含外购件的出厂合格证）；</w:t>
      </w:r>
    </w:p>
    <w:p>
      <w:pPr>
        <w:adjustRightInd w:val="0"/>
        <w:snapToGrid w:val="0"/>
        <w:spacing w:line="360" w:lineRule="auto"/>
        <w:ind w:firstLine="440" w:firstLineChars="200"/>
        <w:rPr>
          <w:szCs w:val="21"/>
          <w:lang w:eastAsia="zh-CN"/>
        </w:rPr>
      </w:pPr>
      <w:r>
        <w:rPr>
          <w:szCs w:val="21"/>
          <w:lang w:eastAsia="zh-CN"/>
        </w:rPr>
        <w:t>4）设备</w:t>
      </w:r>
      <w:r>
        <w:rPr>
          <w:rFonts w:hint="eastAsia"/>
          <w:szCs w:val="21"/>
          <w:lang w:eastAsia="zh-CN"/>
        </w:rPr>
        <w:t>储存</w:t>
      </w:r>
      <w:r>
        <w:rPr>
          <w:szCs w:val="21"/>
          <w:lang w:eastAsia="zh-CN"/>
        </w:rPr>
        <w:t>保管、安装指导手册、</w:t>
      </w:r>
      <w:r>
        <w:rPr>
          <w:rFonts w:hint="eastAsia"/>
          <w:szCs w:val="21"/>
          <w:lang w:eastAsia="zh-CN"/>
        </w:rPr>
        <w:t>工地现场试验大纲</w:t>
      </w:r>
      <w:r>
        <w:rPr>
          <w:szCs w:val="21"/>
          <w:lang w:eastAsia="zh-CN"/>
        </w:rPr>
        <w:t>；</w:t>
      </w:r>
    </w:p>
    <w:p>
      <w:pPr>
        <w:adjustRightInd w:val="0"/>
        <w:snapToGrid w:val="0"/>
        <w:spacing w:line="360" w:lineRule="auto"/>
        <w:ind w:firstLine="440" w:firstLineChars="200"/>
        <w:rPr>
          <w:szCs w:val="21"/>
          <w:lang w:eastAsia="zh-CN"/>
        </w:rPr>
      </w:pPr>
      <w:r>
        <w:rPr>
          <w:szCs w:val="21"/>
          <w:lang w:eastAsia="zh-CN"/>
        </w:rPr>
        <w:t>5）安装调试用的资料、图纸；</w:t>
      </w:r>
    </w:p>
    <w:p>
      <w:pPr>
        <w:adjustRightInd w:val="0"/>
        <w:snapToGrid w:val="0"/>
        <w:spacing w:line="360" w:lineRule="auto"/>
        <w:ind w:firstLine="440" w:firstLineChars="200"/>
        <w:rPr>
          <w:rFonts w:hint="eastAsia" w:ascii="宋体" w:hAnsi="宋体" w:eastAsia="宋体" w:cs="宋体"/>
          <w:bCs w:val="0"/>
          <w:szCs w:val="21"/>
          <w:lang w:eastAsia="zh-CN"/>
        </w:rPr>
      </w:pPr>
      <w:r>
        <w:rPr>
          <w:rFonts w:hint="eastAsia" w:ascii="宋体" w:hAnsi="宋体" w:eastAsia="宋体" w:cs="宋体"/>
          <w:bCs w:val="0"/>
          <w:szCs w:val="21"/>
          <w:lang w:eastAsia="zh-CN"/>
        </w:rPr>
        <w:t>卖方应在合同设备初步验收前向买方提交竣工资料，满足买方档案管理要求，纸质版一式4套，电子版2份（使用硬盘分别提供）。需满足买方档案管理相关要求，并经买方审查同意，竣工资料的内容应包含以下（但不限于）：</w:t>
      </w:r>
    </w:p>
    <w:p>
      <w:pPr>
        <w:adjustRightInd w:val="0"/>
        <w:snapToGrid w:val="0"/>
        <w:spacing w:line="360" w:lineRule="auto"/>
        <w:ind w:firstLine="440" w:firstLineChars="200"/>
        <w:rPr>
          <w:rFonts w:hint="eastAsia" w:ascii="宋体" w:hAnsi="宋体" w:eastAsia="宋体" w:cs="宋体"/>
          <w:bCs w:val="0"/>
          <w:szCs w:val="21"/>
          <w:lang w:eastAsia="zh-CN"/>
        </w:rPr>
      </w:pPr>
      <w:r>
        <w:rPr>
          <w:rFonts w:hint="eastAsia" w:ascii="宋体" w:hAnsi="宋体" w:eastAsia="宋体" w:cs="宋体"/>
          <w:bCs w:val="0"/>
          <w:szCs w:val="21"/>
          <w:lang w:eastAsia="zh-CN"/>
        </w:rPr>
        <w:t>1）合同概况：合同协议书、工程概况、供货范围、设备主要性能参数、主要外购件配置清单等。</w:t>
      </w:r>
    </w:p>
    <w:p>
      <w:pPr>
        <w:adjustRightInd w:val="0"/>
        <w:snapToGrid w:val="0"/>
        <w:spacing w:line="360" w:lineRule="auto"/>
        <w:ind w:firstLine="440" w:firstLineChars="200"/>
        <w:rPr>
          <w:rFonts w:hint="eastAsia" w:ascii="宋体" w:hAnsi="宋体" w:eastAsia="宋体" w:cs="宋体"/>
          <w:bCs w:val="0"/>
          <w:szCs w:val="21"/>
          <w:lang w:eastAsia="zh-CN"/>
        </w:rPr>
      </w:pPr>
      <w:r>
        <w:rPr>
          <w:rFonts w:hint="eastAsia" w:ascii="宋体" w:hAnsi="宋体" w:eastAsia="宋体" w:cs="宋体"/>
          <w:bCs w:val="0"/>
          <w:szCs w:val="21"/>
          <w:lang w:eastAsia="zh-CN"/>
        </w:rPr>
        <w:t>2）设备制造大事记：设备开工、材料进场、组装、自检、运抵现场、现场安装、现场试验、现场初步验收（移交）、消缺处理及验收等主要节点时间及佐证资料图片等。</w:t>
      </w:r>
    </w:p>
    <w:p>
      <w:pPr>
        <w:adjustRightInd w:val="0"/>
        <w:snapToGrid w:val="0"/>
        <w:spacing w:line="360" w:lineRule="auto"/>
        <w:ind w:firstLine="440" w:firstLineChars="200"/>
        <w:rPr>
          <w:rFonts w:hint="eastAsia" w:ascii="宋体" w:hAnsi="宋体" w:eastAsia="宋体" w:cs="宋体"/>
          <w:bCs w:val="0"/>
          <w:szCs w:val="21"/>
          <w:lang w:eastAsia="zh-CN"/>
        </w:rPr>
      </w:pPr>
      <w:r>
        <w:rPr>
          <w:rFonts w:hint="eastAsia" w:ascii="宋体" w:hAnsi="宋体" w:eastAsia="宋体" w:cs="宋体"/>
          <w:bCs w:val="0"/>
          <w:szCs w:val="21"/>
          <w:lang w:eastAsia="zh-CN"/>
        </w:rPr>
        <w:t>3）制造过程资料：材料的材质证明文件、复检试验报告；第三方检测记录；制造过程和组装状态的检查、测定记录、试运行报告等资料及图片。</w:t>
      </w:r>
    </w:p>
    <w:p>
      <w:pPr>
        <w:adjustRightInd w:val="0"/>
        <w:snapToGrid w:val="0"/>
        <w:spacing w:line="360" w:lineRule="auto"/>
        <w:ind w:firstLine="440" w:firstLineChars="200"/>
        <w:rPr>
          <w:rFonts w:hint="eastAsia" w:ascii="宋体" w:hAnsi="宋体" w:eastAsia="宋体" w:cs="宋体"/>
          <w:bCs w:val="0"/>
          <w:szCs w:val="21"/>
          <w:lang w:eastAsia="zh-CN"/>
        </w:rPr>
      </w:pPr>
      <w:r>
        <w:rPr>
          <w:rFonts w:hint="eastAsia" w:ascii="宋体" w:hAnsi="宋体" w:eastAsia="宋体" w:cs="宋体"/>
          <w:bCs w:val="0"/>
          <w:szCs w:val="21"/>
          <w:lang w:eastAsia="zh-CN"/>
        </w:rPr>
        <w:t>4）缺陷处理：缺陷通知单，缺陷处理的（专家）分析会会议纪要，缺陷处理记录，缺陷处理后检测验收记录等资料及图片。</w:t>
      </w:r>
    </w:p>
    <w:p>
      <w:pPr>
        <w:adjustRightInd w:val="0"/>
        <w:snapToGrid w:val="0"/>
        <w:spacing w:line="360" w:lineRule="auto"/>
        <w:ind w:firstLine="440" w:firstLineChars="200"/>
        <w:rPr>
          <w:rFonts w:hint="eastAsia" w:ascii="宋体" w:hAnsi="宋体" w:eastAsia="宋体" w:cs="宋体"/>
          <w:bCs w:val="0"/>
          <w:szCs w:val="21"/>
          <w:lang w:eastAsia="zh-CN"/>
        </w:rPr>
      </w:pPr>
      <w:r>
        <w:rPr>
          <w:rFonts w:hint="eastAsia" w:ascii="宋体" w:hAnsi="宋体" w:eastAsia="宋体" w:cs="宋体"/>
          <w:bCs w:val="0"/>
          <w:szCs w:val="21"/>
          <w:lang w:eastAsia="zh-CN"/>
        </w:rPr>
        <w:t>5）出厂验收（若有）：出厂验收申请、会议安排、验收记录、会议纪要等资料及图片。</w:t>
      </w:r>
    </w:p>
    <w:p>
      <w:pPr>
        <w:adjustRightInd w:val="0"/>
        <w:snapToGrid w:val="0"/>
        <w:spacing w:line="360" w:lineRule="auto"/>
        <w:ind w:firstLine="440" w:firstLineChars="200"/>
        <w:rPr>
          <w:rFonts w:hint="eastAsia" w:ascii="宋体" w:hAnsi="宋体" w:eastAsia="宋体" w:cs="宋体"/>
          <w:bCs w:val="0"/>
          <w:szCs w:val="21"/>
          <w:lang w:eastAsia="zh-CN"/>
        </w:rPr>
      </w:pPr>
      <w:r>
        <w:rPr>
          <w:rFonts w:hint="eastAsia" w:ascii="宋体" w:hAnsi="宋体" w:eastAsia="宋体" w:cs="宋体"/>
          <w:bCs w:val="0"/>
          <w:szCs w:val="21"/>
          <w:lang w:eastAsia="zh-CN"/>
        </w:rPr>
        <w:t>6）运输交接：发运通知、装箱清单、现场交接验收单等。</w:t>
      </w:r>
    </w:p>
    <w:p>
      <w:pPr>
        <w:adjustRightInd w:val="0"/>
        <w:snapToGrid w:val="0"/>
        <w:spacing w:line="360" w:lineRule="auto"/>
        <w:ind w:firstLine="440" w:firstLineChars="200"/>
        <w:rPr>
          <w:rFonts w:hint="eastAsia" w:ascii="宋体" w:hAnsi="宋体" w:eastAsia="宋体" w:cs="宋体"/>
          <w:bCs w:val="0"/>
          <w:szCs w:val="21"/>
          <w:lang w:eastAsia="zh-CN"/>
        </w:rPr>
      </w:pPr>
      <w:r>
        <w:rPr>
          <w:rFonts w:hint="eastAsia" w:ascii="宋体" w:hAnsi="宋体" w:eastAsia="宋体" w:cs="宋体"/>
          <w:bCs w:val="0"/>
          <w:szCs w:val="21"/>
          <w:lang w:eastAsia="zh-CN"/>
        </w:rPr>
        <w:t>7）竣工图纸：设计修改通知单、制造竣工图、试验报告、</w:t>
      </w:r>
      <w:r>
        <w:rPr>
          <w:rFonts w:hint="eastAsia" w:ascii="宋体" w:hAnsi="宋体" w:eastAsia="宋体" w:cs="宋体"/>
          <w:bCs w:val="0"/>
          <w:szCs w:val="21"/>
          <w:lang w:val="en-US" w:eastAsia="zh-CN"/>
        </w:rPr>
        <w:t>全厂保护定值计算书</w:t>
      </w:r>
      <w:r>
        <w:rPr>
          <w:rFonts w:hint="eastAsia" w:ascii="宋体" w:hAnsi="宋体" w:eastAsia="宋体" w:cs="宋体"/>
          <w:bCs w:val="0"/>
          <w:szCs w:val="21"/>
          <w:lang w:eastAsia="zh-CN"/>
        </w:rPr>
        <w:t>等。</w:t>
      </w:r>
    </w:p>
    <w:p>
      <w:pPr>
        <w:adjustRightInd w:val="0"/>
        <w:snapToGrid w:val="0"/>
        <w:spacing w:line="360" w:lineRule="auto"/>
        <w:ind w:firstLine="440" w:firstLineChars="200"/>
        <w:rPr>
          <w:rFonts w:hint="eastAsia" w:ascii="宋体" w:hAnsi="宋体" w:eastAsia="宋体" w:cs="宋体"/>
          <w:bCs w:val="0"/>
          <w:szCs w:val="21"/>
          <w:lang w:eastAsia="zh-CN"/>
        </w:rPr>
      </w:pPr>
      <w:r>
        <w:rPr>
          <w:rFonts w:hint="eastAsia" w:ascii="宋体" w:hAnsi="宋体" w:eastAsia="宋体" w:cs="宋体"/>
          <w:bCs w:val="0"/>
          <w:szCs w:val="21"/>
          <w:lang w:eastAsia="zh-CN"/>
        </w:rPr>
        <w:t>卖方应严格按合同的要求及规定的时间提交正确、完整、清晰的技术文件。技术文件的实际交付时间为符合合同要求的技术文件送达买方签收的时间。</w:t>
      </w:r>
    </w:p>
    <w:p>
      <w:pPr>
        <w:adjustRightInd w:val="0"/>
        <w:snapToGrid w:val="0"/>
        <w:spacing w:line="360" w:lineRule="auto"/>
        <w:ind w:firstLine="440" w:firstLineChars="200"/>
        <w:rPr>
          <w:rFonts w:hint="eastAsia" w:ascii="宋体" w:hAnsi="宋体" w:eastAsia="宋体" w:cs="宋体"/>
          <w:bCs w:val="0"/>
          <w:szCs w:val="21"/>
          <w:lang w:eastAsia="zh-CN"/>
        </w:rPr>
      </w:pPr>
      <w:r>
        <w:rPr>
          <w:rFonts w:hint="eastAsia" w:ascii="宋体" w:hAnsi="宋体" w:eastAsia="宋体" w:cs="宋体"/>
          <w:bCs w:val="0"/>
          <w:szCs w:val="21"/>
          <w:lang w:eastAsia="zh-CN"/>
        </w:rPr>
        <w:t>若卖方提交的技术文件不符合合同要求，卖方应在收到买方通知后的14天内进行必要的修正，并且向买方免费重新提交符合要求的技术文件。不符合要求的技术文件买方不退还。</w:t>
      </w:r>
    </w:p>
    <w:p>
      <w:pPr>
        <w:adjustRightInd w:val="0"/>
        <w:snapToGrid w:val="0"/>
        <w:spacing w:line="360" w:lineRule="auto"/>
        <w:ind w:firstLine="440" w:firstLineChars="200"/>
        <w:rPr>
          <w:rFonts w:hint="eastAsia" w:ascii="宋体" w:hAnsi="宋体" w:eastAsia="宋体" w:cs="宋体"/>
          <w:bCs w:val="0"/>
          <w:szCs w:val="21"/>
          <w:lang w:eastAsia="zh-CN"/>
        </w:rPr>
      </w:pPr>
      <w:r>
        <w:rPr>
          <w:rFonts w:hint="eastAsia" w:ascii="宋体" w:hAnsi="宋体" w:eastAsia="宋体" w:cs="宋体"/>
          <w:bCs w:val="0"/>
          <w:szCs w:val="21"/>
          <w:lang w:eastAsia="zh-CN"/>
        </w:rPr>
        <w:t>如果卖方提交的技术文件有遗漏和错误，卖方应向买方补偿买方由此而引起的增加的直接相关的工程费用和施工等费用。</w:t>
      </w:r>
    </w:p>
    <w:p>
      <w:pPr>
        <w:adjustRightInd w:val="0"/>
        <w:snapToGrid w:val="0"/>
        <w:spacing w:line="360" w:lineRule="auto"/>
        <w:ind w:firstLine="0" w:firstLineChars="0"/>
        <w:rPr>
          <w:rFonts w:hint="eastAsia" w:ascii="宋体" w:hAnsi="宋体" w:eastAsia="宋体" w:cs="宋体"/>
          <w:bCs w:val="0"/>
          <w:szCs w:val="21"/>
          <w:lang w:eastAsia="zh-CN"/>
        </w:rPr>
      </w:pPr>
      <w:r>
        <w:rPr>
          <w:rFonts w:hint="eastAsia" w:ascii="宋体" w:hAnsi="宋体" w:eastAsia="宋体" w:cs="宋体"/>
          <w:bCs w:val="0"/>
          <w:szCs w:val="21"/>
          <w:lang w:eastAsia="zh-CN"/>
        </w:rPr>
        <w:t>技术文件的费用由卖方承担，且已包括在合同总价中。</w:t>
      </w:r>
    </w:p>
    <w:p>
      <w:pPr>
        <w:adjustRightInd w:val="0"/>
        <w:snapToGrid w:val="0"/>
        <w:spacing w:line="360" w:lineRule="auto"/>
        <w:ind w:firstLine="0" w:firstLineChars="0"/>
        <w:rPr>
          <w:rFonts w:hint="eastAsia" w:ascii="宋体" w:hAnsi="宋体" w:eastAsia="宋体" w:cs="宋体"/>
          <w:bCs w:val="0"/>
          <w:szCs w:val="21"/>
          <w:lang w:eastAsia="zh-CN"/>
        </w:rPr>
      </w:pPr>
      <w:bookmarkStart w:id="334" w:name="_Toc1465"/>
      <w:bookmarkStart w:id="335" w:name="_Toc20291"/>
      <w:bookmarkStart w:id="336" w:name="_Toc13825"/>
      <w:bookmarkStart w:id="337" w:name="_Toc81896087"/>
      <w:bookmarkStart w:id="338" w:name="_Toc10467"/>
      <w:bookmarkStart w:id="339" w:name="_Toc12492"/>
      <w:bookmarkStart w:id="340" w:name="_Toc9461"/>
      <w:bookmarkStart w:id="341" w:name="_Toc21393"/>
      <w:bookmarkStart w:id="342" w:name="_Toc4699"/>
      <w:bookmarkStart w:id="343" w:name="_Toc30360"/>
      <w:bookmarkStart w:id="344" w:name="_Toc113559493"/>
      <w:bookmarkStart w:id="345" w:name="_Toc22167"/>
      <w:bookmarkStart w:id="346" w:name="_Toc24394"/>
      <w:bookmarkStart w:id="347" w:name="_Toc9251"/>
      <w:bookmarkStart w:id="348" w:name="_Toc92225930"/>
      <w:bookmarkStart w:id="349" w:name="_Toc1872"/>
      <w:bookmarkStart w:id="350" w:name="_Toc29247"/>
      <w:bookmarkStart w:id="351" w:name="_Toc18343"/>
      <w:bookmarkStart w:id="352" w:name="_Toc40447184"/>
      <w:bookmarkStart w:id="353" w:name="_Toc75199003"/>
      <w:bookmarkStart w:id="354" w:name="_Toc8932"/>
      <w:bookmarkStart w:id="355" w:name="_Toc100946806"/>
      <w:bookmarkStart w:id="356" w:name="_Toc23078"/>
      <w:bookmarkStart w:id="357" w:name="_Toc24825"/>
      <w:bookmarkStart w:id="358" w:name="_Toc101259175"/>
      <w:bookmarkStart w:id="359" w:name="_Toc20281"/>
      <w:bookmarkStart w:id="360" w:name="_Toc20231"/>
      <w:bookmarkStart w:id="361" w:name="_Toc19928"/>
      <w:bookmarkStart w:id="362" w:name="_Toc18449"/>
      <w:r>
        <w:rPr>
          <w:rFonts w:hint="eastAsia" w:ascii="宋体" w:hAnsi="宋体" w:eastAsia="宋体" w:cs="宋体"/>
          <w:bCs w:val="0"/>
          <w:szCs w:val="21"/>
          <w:lang w:eastAsia="zh-CN"/>
        </w:rPr>
        <w:t>6.开箱检验、安装、调试、考核、验收</w:t>
      </w:r>
      <w:bookmarkEnd w:id="334"/>
      <w:bookmarkEnd w:id="335"/>
      <w:bookmarkEnd w:id="336"/>
    </w:p>
    <w:p>
      <w:pPr>
        <w:adjustRightInd w:val="0"/>
        <w:snapToGrid w:val="0"/>
        <w:spacing w:line="360" w:lineRule="auto"/>
        <w:ind w:firstLine="440" w:firstLineChars="200"/>
        <w:rPr>
          <w:rFonts w:hint="eastAsia" w:ascii="宋体" w:hAnsi="宋体" w:eastAsia="宋体" w:cs="宋体"/>
          <w:bCs w:val="0"/>
          <w:szCs w:val="21"/>
          <w:lang w:eastAsia="zh-CN"/>
        </w:rPr>
      </w:pPr>
      <w:r>
        <w:rPr>
          <w:rFonts w:hint="eastAsia" w:ascii="宋体" w:hAnsi="宋体" w:eastAsia="宋体" w:cs="宋体"/>
          <w:bCs w:val="0"/>
          <w:szCs w:val="21"/>
          <w:lang w:eastAsia="zh-CN"/>
        </w:rPr>
        <w:t>6.1开箱检验</w:t>
      </w:r>
    </w:p>
    <w:p>
      <w:pPr>
        <w:adjustRightInd w:val="0"/>
        <w:snapToGrid w:val="0"/>
        <w:spacing w:line="360" w:lineRule="auto"/>
        <w:ind w:firstLine="440" w:firstLineChars="200"/>
        <w:rPr>
          <w:rFonts w:hint="eastAsia" w:ascii="宋体" w:hAnsi="宋体" w:eastAsia="宋体" w:cs="宋体"/>
          <w:bCs w:val="0"/>
          <w:szCs w:val="21"/>
          <w:lang w:eastAsia="zh-CN"/>
        </w:rPr>
      </w:pPr>
      <w:r>
        <w:rPr>
          <w:rFonts w:hint="eastAsia" w:ascii="宋体" w:hAnsi="宋体" w:eastAsia="宋体" w:cs="宋体"/>
          <w:bCs w:val="0"/>
          <w:szCs w:val="21"/>
          <w:lang w:eastAsia="zh-CN"/>
        </w:rPr>
        <w:t>6.1.1合同设备的开箱检验时间：货到施工场地后双方协商；合同设备到达安装现场后，买方应及时组织开箱检查。买方应提前7天将预计开箱检查的日期通知卖方，卖方应按时派遣人员参加开箱检查，开箱检查情况应详细记入开箱检查单。开箱检查单应由买方、卖方、监理、安装承包人的代表签字，一式四份，各执一份。</w:t>
      </w:r>
    </w:p>
    <w:p>
      <w:pPr>
        <w:adjustRightInd w:val="0"/>
        <w:snapToGrid w:val="0"/>
        <w:spacing w:line="360" w:lineRule="auto"/>
        <w:ind w:firstLine="440" w:firstLineChars="200"/>
        <w:rPr>
          <w:rFonts w:hint="eastAsia" w:ascii="宋体" w:hAnsi="宋体" w:eastAsia="宋体" w:cs="宋体"/>
          <w:bCs w:val="0"/>
          <w:szCs w:val="21"/>
          <w:lang w:eastAsia="zh-CN"/>
        </w:rPr>
      </w:pPr>
      <w:r>
        <w:rPr>
          <w:rFonts w:hint="eastAsia" w:ascii="宋体" w:hAnsi="宋体" w:eastAsia="宋体" w:cs="宋体"/>
          <w:bCs w:val="0"/>
          <w:szCs w:val="21"/>
          <w:lang w:eastAsia="zh-CN"/>
        </w:rPr>
        <w:t>6.1.2合同设备的开箱检验地点：工程工地。在设备交接验收、开箱检查时，若发现设备数量、规格与装箱单不符，或设备损坏，或设备质量不满足合同要求等情况，应进行详细记录。卖方负责查找原因，采取补救措施，并承担可能的延迟交货的风险及责任。</w:t>
      </w:r>
    </w:p>
    <w:p>
      <w:pPr>
        <w:adjustRightInd w:val="0"/>
        <w:snapToGrid w:val="0"/>
        <w:spacing w:line="360" w:lineRule="auto"/>
        <w:ind w:firstLine="440" w:firstLineChars="200"/>
        <w:rPr>
          <w:rFonts w:hint="eastAsia" w:ascii="宋体" w:hAnsi="宋体" w:eastAsia="宋体" w:cs="宋体"/>
          <w:bCs w:val="0"/>
          <w:szCs w:val="21"/>
          <w:lang w:eastAsia="zh-CN"/>
        </w:rPr>
      </w:pPr>
      <w:r>
        <w:rPr>
          <w:rFonts w:hint="eastAsia" w:ascii="宋体" w:hAnsi="宋体" w:eastAsia="宋体" w:cs="宋体"/>
          <w:bCs w:val="0"/>
          <w:szCs w:val="21"/>
          <w:lang w:eastAsia="zh-CN"/>
        </w:rPr>
        <w:t>6.2安装、调试</w:t>
      </w:r>
    </w:p>
    <w:p>
      <w:pPr>
        <w:adjustRightInd w:val="0"/>
        <w:snapToGrid w:val="0"/>
        <w:spacing w:line="360" w:lineRule="auto"/>
        <w:ind w:firstLine="0" w:firstLineChars="0"/>
        <w:rPr>
          <w:rFonts w:hint="eastAsia" w:ascii="宋体" w:hAnsi="宋体" w:eastAsia="宋体" w:cs="宋体"/>
          <w:bCs w:val="0"/>
          <w:szCs w:val="21"/>
          <w:lang w:eastAsia="zh-CN"/>
        </w:rPr>
      </w:pPr>
      <w:r>
        <w:rPr>
          <w:rFonts w:hint="eastAsia" w:ascii="宋体" w:hAnsi="宋体" w:eastAsia="宋体" w:cs="宋体"/>
          <w:bCs w:val="0"/>
          <w:szCs w:val="21"/>
          <w:lang w:eastAsia="zh-CN"/>
        </w:rPr>
        <w:t>买方委托安装承包人负责本合同设备的安装调试，卖方仅负责技术指导和监督，以及对买方技术人员的现场培训。</w:t>
      </w:r>
    </w:p>
    <w:p>
      <w:pPr>
        <w:adjustRightInd w:val="0"/>
        <w:snapToGrid w:val="0"/>
        <w:spacing w:line="360" w:lineRule="auto"/>
        <w:ind w:firstLine="440" w:firstLineChars="200"/>
        <w:rPr>
          <w:rFonts w:hint="eastAsia" w:ascii="宋体" w:hAnsi="宋体" w:eastAsia="宋体" w:cs="宋体"/>
          <w:bCs w:val="0"/>
          <w:szCs w:val="21"/>
          <w:lang w:eastAsia="zh-CN"/>
        </w:rPr>
      </w:pPr>
      <w:r>
        <w:rPr>
          <w:rFonts w:hint="eastAsia" w:ascii="宋体" w:hAnsi="宋体" w:eastAsia="宋体" w:cs="宋体"/>
          <w:bCs w:val="0"/>
          <w:szCs w:val="21"/>
          <w:lang w:eastAsia="zh-CN"/>
        </w:rPr>
        <w:t>6.3考核</w:t>
      </w:r>
    </w:p>
    <w:p>
      <w:pPr>
        <w:adjustRightInd w:val="0"/>
        <w:snapToGrid w:val="0"/>
        <w:spacing w:line="360" w:lineRule="auto"/>
        <w:ind w:firstLine="440" w:firstLineChars="200"/>
        <w:rPr>
          <w:rFonts w:hint="eastAsia" w:ascii="宋体" w:hAnsi="宋体" w:eastAsia="宋体" w:cs="宋体"/>
          <w:bCs w:val="0"/>
          <w:szCs w:val="21"/>
          <w:lang w:eastAsia="zh-CN"/>
        </w:rPr>
      </w:pPr>
      <w:r>
        <w:rPr>
          <w:rFonts w:hint="eastAsia" w:ascii="宋体" w:hAnsi="宋体" w:eastAsia="宋体" w:cs="宋体"/>
          <w:bCs w:val="0"/>
          <w:szCs w:val="21"/>
          <w:lang w:eastAsia="zh-CN"/>
        </w:rPr>
        <w:t>6.3.1安装、调试完成后，双方应对合同设备进行考核，以确定合同设备是否达到合同约定的技术性能考核指标。考核中合同设备运行需要的用水、用电、其他动力和原材料（如需要）等均由卖方承担，买方为其提供便利。</w:t>
      </w:r>
    </w:p>
    <w:p>
      <w:pPr>
        <w:adjustRightInd w:val="0"/>
        <w:snapToGrid w:val="0"/>
        <w:spacing w:line="360" w:lineRule="auto"/>
        <w:ind w:firstLine="440" w:firstLineChars="200"/>
        <w:rPr>
          <w:rFonts w:hint="eastAsia" w:ascii="宋体" w:hAnsi="宋体" w:eastAsia="宋体" w:cs="宋体"/>
          <w:bCs w:val="0"/>
          <w:szCs w:val="21"/>
          <w:lang w:eastAsia="zh-CN"/>
        </w:rPr>
      </w:pPr>
      <w:r>
        <w:rPr>
          <w:rFonts w:hint="eastAsia" w:ascii="宋体" w:hAnsi="宋体" w:eastAsia="宋体" w:cs="宋体"/>
          <w:bCs w:val="0"/>
          <w:szCs w:val="21"/>
          <w:lang w:eastAsia="zh-CN"/>
        </w:rPr>
        <w:t>6.3.3由于卖方原因未能达到技术性能考核指标时，为卖方进行考核的机会不超过三次。</w:t>
      </w:r>
    </w:p>
    <w:p>
      <w:pPr>
        <w:adjustRightInd w:val="0"/>
        <w:snapToGrid w:val="0"/>
        <w:spacing w:line="360" w:lineRule="auto"/>
        <w:ind w:firstLine="440" w:firstLineChars="200"/>
        <w:rPr>
          <w:rFonts w:hint="eastAsia" w:ascii="宋体" w:hAnsi="宋体" w:eastAsia="宋体" w:cs="宋体"/>
          <w:bCs w:val="0"/>
          <w:szCs w:val="21"/>
          <w:lang w:eastAsia="zh-CN"/>
        </w:rPr>
      </w:pPr>
      <w:r>
        <w:rPr>
          <w:rFonts w:hint="eastAsia" w:ascii="宋体" w:hAnsi="宋体" w:eastAsia="宋体" w:cs="宋体"/>
          <w:bCs w:val="0"/>
          <w:szCs w:val="21"/>
          <w:lang w:eastAsia="zh-CN"/>
        </w:rPr>
        <w:t>6.4验收</w:t>
      </w:r>
    </w:p>
    <w:p>
      <w:pPr>
        <w:adjustRightInd w:val="0"/>
        <w:snapToGrid w:val="0"/>
        <w:spacing w:line="360" w:lineRule="auto"/>
        <w:ind w:firstLine="440" w:firstLineChars="200"/>
        <w:rPr>
          <w:rFonts w:hint="eastAsia" w:ascii="宋体" w:hAnsi="宋体" w:eastAsia="宋体" w:cs="宋体"/>
          <w:bCs w:val="0"/>
          <w:szCs w:val="21"/>
          <w:lang w:eastAsia="zh-CN"/>
        </w:rPr>
      </w:pPr>
      <w:r>
        <w:rPr>
          <w:rFonts w:hint="eastAsia" w:ascii="宋体" w:hAnsi="宋体" w:eastAsia="宋体" w:cs="宋体"/>
          <w:bCs w:val="0"/>
          <w:szCs w:val="21"/>
          <w:lang w:eastAsia="zh-CN"/>
        </w:rPr>
        <w:t>6.4.1初步验收</w:t>
      </w:r>
    </w:p>
    <w:p>
      <w:pPr>
        <w:adjustRightInd w:val="0"/>
        <w:snapToGrid w:val="0"/>
        <w:spacing w:line="360" w:lineRule="auto"/>
        <w:ind w:firstLine="440" w:firstLineChars="200"/>
        <w:rPr>
          <w:rFonts w:hint="eastAsia" w:ascii="宋体" w:hAnsi="宋体" w:eastAsia="宋体" w:cs="宋体"/>
          <w:bCs w:val="0"/>
          <w:szCs w:val="21"/>
          <w:lang w:eastAsia="zh-CN"/>
        </w:rPr>
      </w:pPr>
      <w:bookmarkStart w:id="363" w:name="_Toc149722365"/>
      <w:bookmarkStart w:id="364" w:name="_Toc138218353"/>
      <w:bookmarkStart w:id="365" w:name="_Toc138217217"/>
      <w:bookmarkStart w:id="366" w:name="_Toc138143920"/>
      <w:bookmarkStart w:id="367" w:name="_Toc140303396"/>
      <w:r>
        <w:rPr>
          <w:rFonts w:hint="eastAsia" w:ascii="宋体" w:hAnsi="宋体" w:eastAsia="宋体" w:cs="宋体"/>
          <w:bCs w:val="0"/>
          <w:szCs w:val="21"/>
          <w:lang w:eastAsia="zh-CN"/>
        </w:rPr>
        <w:t>在合同设备通过规定的现场试验、试运行合格，再经过28天考核运行期，设备运行正常无质量问题，取得相关政府部门颁发的检验证书、使用证书等（若有），买方将组织对该设备进行初步验收。</w:t>
      </w:r>
    </w:p>
    <w:p>
      <w:pPr>
        <w:adjustRightInd w:val="0"/>
        <w:snapToGrid w:val="0"/>
        <w:spacing w:line="360" w:lineRule="auto"/>
        <w:ind w:firstLine="440" w:firstLineChars="200"/>
        <w:rPr>
          <w:rFonts w:hint="eastAsia" w:ascii="宋体" w:hAnsi="宋体" w:eastAsia="宋体" w:cs="宋体"/>
          <w:bCs w:val="0"/>
          <w:szCs w:val="21"/>
          <w:lang w:eastAsia="zh-CN"/>
        </w:rPr>
      </w:pPr>
      <w:r>
        <w:rPr>
          <w:rFonts w:hint="eastAsia" w:ascii="宋体" w:hAnsi="宋体" w:eastAsia="宋体" w:cs="宋体"/>
          <w:bCs w:val="0"/>
          <w:szCs w:val="21"/>
          <w:lang w:eastAsia="zh-CN"/>
        </w:rPr>
        <w:t>对于在试运行和考核运行期中发现合同设备存在质量问题，卖方应在买方要求的时间内完成设备的修复或更换，28天考核运行期重新计算。</w:t>
      </w:r>
    </w:p>
    <w:p>
      <w:pPr>
        <w:adjustRightInd w:val="0"/>
        <w:snapToGrid w:val="0"/>
        <w:spacing w:line="360" w:lineRule="auto"/>
        <w:ind w:firstLine="440" w:firstLineChars="200"/>
        <w:rPr>
          <w:rFonts w:hint="eastAsia" w:ascii="宋体" w:hAnsi="宋体" w:eastAsia="宋体" w:cs="宋体"/>
          <w:bCs w:val="0"/>
          <w:szCs w:val="21"/>
          <w:lang w:eastAsia="zh-CN"/>
        </w:rPr>
      </w:pPr>
      <w:r>
        <w:rPr>
          <w:rFonts w:hint="eastAsia" w:ascii="宋体" w:hAnsi="宋体" w:eastAsia="宋体" w:cs="宋体"/>
          <w:bCs w:val="0"/>
          <w:szCs w:val="21"/>
          <w:lang w:eastAsia="zh-CN"/>
        </w:rPr>
        <w:t>买方将在初步验收前14天通知卖方初步验收的预计日期，并在初步验收前5天通知其确切日期。卖方应派代表按时参加初步验收。</w:t>
      </w:r>
    </w:p>
    <w:p>
      <w:pPr>
        <w:adjustRightInd w:val="0"/>
        <w:snapToGrid w:val="0"/>
        <w:spacing w:line="360" w:lineRule="auto"/>
        <w:ind w:firstLine="0" w:firstLineChars="0"/>
        <w:rPr>
          <w:rFonts w:hint="eastAsia" w:ascii="宋体" w:hAnsi="宋体" w:eastAsia="宋体" w:cs="宋体"/>
          <w:bCs w:val="0"/>
          <w:szCs w:val="21"/>
          <w:lang w:eastAsia="zh-CN"/>
        </w:rPr>
      </w:pPr>
      <w:r>
        <w:rPr>
          <w:rFonts w:hint="eastAsia" w:ascii="宋体" w:hAnsi="宋体" w:eastAsia="宋体" w:cs="宋体"/>
          <w:bCs w:val="0"/>
          <w:szCs w:val="21"/>
          <w:lang w:eastAsia="zh-CN"/>
        </w:rPr>
        <w:t>当下列条件全部满足时，初步验收试验即被认为是成功的：</w:t>
      </w:r>
    </w:p>
    <w:p>
      <w:pPr>
        <w:adjustRightInd w:val="0"/>
        <w:snapToGrid w:val="0"/>
        <w:spacing w:line="360" w:lineRule="auto"/>
        <w:ind w:firstLine="440" w:firstLineChars="200"/>
        <w:rPr>
          <w:rFonts w:hint="eastAsia" w:ascii="宋体" w:hAnsi="宋体" w:eastAsia="宋体" w:cs="宋体"/>
          <w:bCs w:val="0"/>
          <w:szCs w:val="21"/>
          <w:lang w:eastAsia="zh-CN"/>
        </w:rPr>
      </w:pPr>
      <w:r>
        <w:rPr>
          <w:rFonts w:hint="eastAsia" w:ascii="宋体" w:hAnsi="宋体" w:eastAsia="宋体" w:cs="宋体"/>
          <w:bCs w:val="0"/>
          <w:szCs w:val="21"/>
          <w:lang w:eastAsia="zh-CN"/>
        </w:rPr>
        <w:t>（1）合同设备全部交货至工地现场，并经现场交接验收、开箱检查合格。</w:t>
      </w:r>
    </w:p>
    <w:p>
      <w:pPr>
        <w:adjustRightInd w:val="0"/>
        <w:snapToGrid w:val="0"/>
        <w:spacing w:line="360" w:lineRule="auto"/>
        <w:ind w:firstLine="440" w:firstLineChars="200"/>
        <w:rPr>
          <w:rFonts w:hint="eastAsia" w:ascii="宋体" w:hAnsi="宋体" w:eastAsia="宋体" w:cs="宋体"/>
          <w:bCs w:val="0"/>
          <w:szCs w:val="21"/>
          <w:lang w:eastAsia="zh-CN"/>
        </w:rPr>
      </w:pPr>
      <w:r>
        <w:rPr>
          <w:rFonts w:hint="eastAsia" w:ascii="宋体" w:hAnsi="宋体" w:eastAsia="宋体" w:cs="宋体"/>
          <w:bCs w:val="0"/>
          <w:szCs w:val="21"/>
          <w:lang w:eastAsia="zh-CN"/>
        </w:rPr>
        <w:t>（2）所有现场试验全部完成，且试验结果满足国家规程规范及本合同关于设备技术性能及保证值的规定；</w:t>
      </w:r>
    </w:p>
    <w:p>
      <w:pPr>
        <w:adjustRightInd w:val="0"/>
        <w:snapToGrid w:val="0"/>
        <w:spacing w:line="360" w:lineRule="auto"/>
        <w:ind w:firstLine="440" w:firstLineChars="200"/>
        <w:rPr>
          <w:rFonts w:hint="eastAsia" w:ascii="宋体" w:hAnsi="宋体" w:eastAsia="宋体" w:cs="宋体"/>
          <w:bCs w:val="0"/>
          <w:szCs w:val="21"/>
          <w:lang w:eastAsia="zh-CN"/>
        </w:rPr>
      </w:pPr>
      <w:r>
        <w:rPr>
          <w:rFonts w:hint="eastAsia" w:ascii="宋体" w:hAnsi="宋体" w:eastAsia="宋体" w:cs="宋体"/>
          <w:bCs w:val="0"/>
          <w:szCs w:val="21"/>
          <w:lang w:eastAsia="zh-CN"/>
        </w:rPr>
        <w:t>（3）合同设备按照相关要求连续试运行合格，对发现的问题进行了消缺处理后，经过28天考核运行期设备运行正常；</w:t>
      </w:r>
    </w:p>
    <w:p>
      <w:pPr>
        <w:adjustRightInd w:val="0"/>
        <w:snapToGrid w:val="0"/>
        <w:spacing w:line="360" w:lineRule="auto"/>
        <w:ind w:firstLine="440" w:firstLineChars="200"/>
        <w:rPr>
          <w:rFonts w:hint="eastAsia" w:ascii="宋体" w:hAnsi="宋体" w:eastAsia="宋体" w:cs="宋体"/>
          <w:bCs w:val="0"/>
          <w:szCs w:val="21"/>
          <w:lang w:eastAsia="zh-CN"/>
        </w:rPr>
      </w:pPr>
      <w:r>
        <w:rPr>
          <w:rFonts w:hint="eastAsia" w:ascii="宋体" w:hAnsi="宋体" w:eastAsia="宋体" w:cs="宋体"/>
          <w:bCs w:val="0"/>
          <w:szCs w:val="21"/>
          <w:lang w:eastAsia="zh-CN"/>
        </w:rPr>
        <w:t>（4）卖方向买方提交了合格的合同设备竣工资料。</w:t>
      </w:r>
    </w:p>
    <w:p>
      <w:pPr>
        <w:adjustRightInd w:val="0"/>
        <w:snapToGrid w:val="0"/>
        <w:spacing w:line="360" w:lineRule="auto"/>
        <w:ind w:firstLine="440" w:firstLineChars="200"/>
        <w:rPr>
          <w:rFonts w:hint="eastAsia" w:ascii="宋体" w:hAnsi="宋体" w:eastAsia="宋体" w:cs="宋体"/>
          <w:bCs w:val="0"/>
          <w:szCs w:val="21"/>
          <w:lang w:eastAsia="zh-CN"/>
        </w:rPr>
      </w:pPr>
      <w:r>
        <w:rPr>
          <w:rFonts w:hint="eastAsia" w:ascii="宋体" w:hAnsi="宋体" w:eastAsia="宋体" w:cs="宋体"/>
          <w:bCs w:val="0"/>
          <w:szCs w:val="21"/>
          <w:lang w:eastAsia="zh-CN"/>
        </w:rPr>
        <w:t>（5）取得相关政府部门颁发的检验证书、使用证书等（若有）。</w:t>
      </w:r>
    </w:p>
    <w:bookmarkEnd w:id="363"/>
    <w:bookmarkEnd w:id="364"/>
    <w:bookmarkEnd w:id="365"/>
    <w:bookmarkEnd w:id="366"/>
    <w:bookmarkEnd w:id="367"/>
    <w:p>
      <w:pPr>
        <w:adjustRightInd w:val="0"/>
        <w:snapToGrid w:val="0"/>
        <w:spacing w:line="360" w:lineRule="auto"/>
        <w:ind w:firstLine="440" w:firstLineChars="200"/>
        <w:rPr>
          <w:rFonts w:hint="eastAsia" w:ascii="宋体" w:hAnsi="宋体" w:eastAsia="宋体" w:cs="宋体"/>
          <w:bCs w:val="0"/>
          <w:szCs w:val="21"/>
          <w:lang w:eastAsia="zh-CN"/>
        </w:rPr>
      </w:pPr>
      <w:r>
        <w:rPr>
          <w:rFonts w:hint="eastAsia" w:ascii="宋体" w:hAnsi="宋体" w:eastAsia="宋体" w:cs="宋体"/>
          <w:bCs w:val="0"/>
          <w:szCs w:val="21"/>
          <w:lang w:eastAsia="zh-CN"/>
        </w:rPr>
        <w:t>如果初步验收是成功的，买方应及时签署初步验收证书或会议纪要。</w:t>
      </w:r>
    </w:p>
    <w:p>
      <w:pPr>
        <w:adjustRightInd w:val="0"/>
        <w:snapToGrid w:val="0"/>
        <w:spacing w:line="360" w:lineRule="auto"/>
        <w:ind w:firstLine="440" w:firstLineChars="200"/>
        <w:rPr>
          <w:rFonts w:hint="eastAsia" w:ascii="宋体" w:hAnsi="宋体" w:eastAsia="宋体" w:cs="宋体"/>
          <w:bCs w:val="0"/>
          <w:szCs w:val="21"/>
          <w:lang w:eastAsia="zh-CN"/>
        </w:rPr>
      </w:pPr>
      <w:bookmarkStart w:id="368" w:name="_Toc138217218"/>
      <w:bookmarkStart w:id="369" w:name="_Toc138218354"/>
      <w:bookmarkStart w:id="370" w:name="_Toc138143921"/>
      <w:bookmarkStart w:id="371" w:name="_Toc140303397"/>
      <w:bookmarkStart w:id="372" w:name="_Toc149722366"/>
      <w:r>
        <w:rPr>
          <w:rFonts w:hint="eastAsia" w:ascii="宋体" w:hAnsi="宋体" w:eastAsia="宋体" w:cs="宋体"/>
          <w:bCs w:val="0"/>
          <w:szCs w:val="21"/>
          <w:lang w:eastAsia="zh-CN"/>
        </w:rPr>
        <w:t>如果初步验收由于卖方提供的合同设备故障而中断，则卖方应在买方要求的时间内消除故障并重新组织初步验收</w:t>
      </w:r>
      <w:bookmarkEnd w:id="368"/>
      <w:bookmarkEnd w:id="369"/>
      <w:bookmarkEnd w:id="370"/>
      <w:bookmarkEnd w:id="371"/>
      <w:bookmarkEnd w:id="372"/>
      <w:r>
        <w:rPr>
          <w:rFonts w:hint="eastAsia" w:ascii="宋体" w:hAnsi="宋体" w:eastAsia="宋体" w:cs="宋体"/>
          <w:bCs w:val="0"/>
          <w:szCs w:val="21"/>
          <w:lang w:eastAsia="zh-CN"/>
        </w:rPr>
        <w:t>，所有费用由卖方承担。</w:t>
      </w:r>
    </w:p>
    <w:p>
      <w:pPr>
        <w:adjustRightInd w:val="0"/>
        <w:snapToGrid w:val="0"/>
        <w:spacing w:line="360" w:lineRule="auto"/>
        <w:ind w:firstLine="440" w:firstLineChars="200"/>
        <w:rPr>
          <w:rFonts w:hint="eastAsia" w:ascii="宋体" w:hAnsi="宋体" w:eastAsia="宋体" w:cs="宋体"/>
          <w:bCs w:val="0"/>
          <w:szCs w:val="21"/>
          <w:lang w:eastAsia="zh-CN"/>
        </w:rPr>
      </w:pPr>
      <w:bookmarkStart w:id="373" w:name="_Toc140303398"/>
      <w:bookmarkStart w:id="374" w:name="_Toc138143922"/>
      <w:bookmarkStart w:id="375" w:name="_Toc138218355"/>
      <w:bookmarkStart w:id="376" w:name="_Toc149722367"/>
      <w:bookmarkStart w:id="377" w:name="_Toc138217219"/>
      <w:r>
        <w:rPr>
          <w:rFonts w:hint="eastAsia" w:ascii="宋体" w:hAnsi="宋体" w:eastAsia="宋体" w:cs="宋体"/>
          <w:bCs w:val="0"/>
          <w:szCs w:val="21"/>
          <w:lang w:eastAsia="zh-CN"/>
        </w:rPr>
        <w:t>如果初步验收时合同设备的一项或多项技术性能或保证值不能满足合同要求，</w:t>
      </w:r>
      <w:bookmarkEnd w:id="373"/>
      <w:bookmarkEnd w:id="374"/>
      <w:bookmarkEnd w:id="375"/>
      <w:bookmarkEnd w:id="376"/>
      <w:bookmarkEnd w:id="377"/>
      <w:r>
        <w:rPr>
          <w:rFonts w:hint="eastAsia" w:ascii="宋体" w:hAnsi="宋体" w:eastAsia="宋体" w:cs="宋体"/>
          <w:bCs w:val="0"/>
          <w:szCs w:val="21"/>
          <w:lang w:eastAsia="zh-CN"/>
        </w:rPr>
        <w:t>卖方应采取有效措施在买方要求的时间内使设备技术性能和保证值达到合同的要求，并承担全部费用（包括再次试验、验收费用）。若再次试验及验收时合同设备的一项或多项技术性能或保证值仍不能满足合同要求，则买方有权按合同约定向卖方收取违约金、赔偿金及索赔。</w:t>
      </w:r>
    </w:p>
    <w:p>
      <w:pPr>
        <w:adjustRightInd w:val="0"/>
        <w:snapToGrid w:val="0"/>
        <w:spacing w:line="360" w:lineRule="auto"/>
        <w:ind w:firstLine="0" w:firstLineChars="0"/>
        <w:rPr>
          <w:rFonts w:hint="eastAsia" w:ascii="宋体" w:hAnsi="宋体" w:eastAsia="宋体" w:cs="宋体"/>
          <w:bCs w:val="0"/>
          <w:szCs w:val="21"/>
          <w:lang w:eastAsia="zh-CN"/>
        </w:rPr>
      </w:pPr>
      <w:r>
        <w:rPr>
          <w:rFonts w:hint="eastAsia" w:ascii="宋体" w:hAnsi="宋体" w:eastAsia="宋体" w:cs="宋体"/>
          <w:bCs w:val="0"/>
          <w:szCs w:val="21"/>
          <w:lang w:eastAsia="zh-CN"/>
        </w:rPr>
        <w:t>6.4.2 最终验收</w:t>
      </w:r>
    </w:p>
    <w:p>
      <w:pPr>
        <w:adjustRightInd w:val="0"/>
        <w:snapToGrid w:val="0"/>
        <w:spacing w:line="360" w:lineRule="auto"/>
        <w:ind w:firstLine="440" w:firstLineChars="200"/>
        <w:rPr>
          <w:rFonts w:hint="eastAsia" w:ascii="宋体" w:hAnsi="宋体" w:eastAsia="宋体" w:cs="宋体"/>
          <w:bCs w:val="0"/>
          <w:szCs w:val="21"/>
          <w:lang w:eastAsia="zh-CN"/>
        </w:rPr>
      </w:pPr>
      <w:bookmarkStart w:id="378" w:name="_Toc138217220"/>
      <w:bookmarkStart w:id="379" w:name="_Toc140303399"/>
      <w:bookmarkStart w:id="380" w:name="_Toc138143923"/>
      <w:bookmarkStart w:id="381" w:name="_Toc138218356"/>
      <w:bookmarkStart w:id="382" w:name="_Toc149722368"/>
      <w:r>
        <w:rPr>
          <w:rFonts w:hint="eastAsia" w:ascii="宋体" w:hAnsi="宋体" w:eastAsia="宋体" w:cs="宋体"/>
          <w:bCs w:val="0"/>
          <w:szCs w:val="21"/>
          <w:lang w:eastAsia="zh-CN"/>
        </w:rPr>
        <w:t>从签发初步验收证书或会议纪要之日起开始计算合同设备的质量保证期。</w:t>
      </w:r>
      <w:bookmarkEnd w:id="378"/>
      <w:bookmarkEnd w:id="379"/>
      <w:bookmarkEnd w:id="380"/>
      <w:bookmarkEnd w:id="381"/>
      <w:bookmarkEnd w:id="382"/>
    </w:p>
    <w:p>
      <w:pPr>
        <w:adjustRightInd w:val="0"/>
        <w:snapToGrid w:val="0"/>
        <w:spacing w:line="360" w:lineRule="auto"/>
        <w:ind w:firstLine="0" w:firstLineChars="0"/>
        <w:rPr>
          <w:rFonts w:hint="eastAsia" w:ascii="宋体" w:hAnsi="宋体" w:eastAsia="宋体" w:cs="宋体"/>
          <w:bCs w:val="0"/>
          <w:szCs w:val="21"/>
          <w:lang w:eastAsia="zh-CN"/>
        </w:rPr>
      </w:pPr>
      <w:bookmarkStart w:id="383" w:name="_Toc149722369"/>
      <w:bookmarkStart w:id="384" w:name="_Toc138143924"/>
      <w:bookmarkStart w:id="385" w:name="_Toc140303400"/>
      <w:bookmarkStart w:id="386" w:name="_Toc138217221"/>
      <w:bookmarkStart w:id="387" w:name="_Toc138218357"/>
      <w:r>
        <w:rPr>
          <w:rFonts w:hint="eastAsia" w:ascii="宋体" w:hAnsi="宋体" w:eastAsia="宋体" w:cs="宋体"/>
          <w:bCs w:val="0"/>
          <w:szCs w:val="21"/>
          <w:lang w:eastAsia="zh-CN"/>
        </w:rPr>
        <w:t>在合同规定的设备质量保证期满后，双方将对合同设备作一次全面检查、验收。验收合格后，买方应及时对该设备签发最终验收证书或会议纪要。</w:t>
      </w:r>
      <w:bookmarkEnd w:id="383"/>
      <w:bookmarkEnd w:id="384"/>
      <w:bookmarkEnd w:id="385"/>
      <w:bookmarkEnd w:id="386"/>
      <w:bookmarkEnd w:id="387"/>
    </w:p>
    <w:p>
      <w:pPr>
        <w:adjustRightInd w:val="0"/>
        <w:snapToGrid w:val="0"/>
        <w:spacing w:line="360" w:lineRule="auto"/>
        <w:ind w:firstLine="0" w:firstLineChars="0"/>
        <w:rPr>
          <w:rFonts w:hint="eastAsia" w:ascii="宋体" w:hAnsi="宋体" w:eastAsia="宋体" w:cs="宋体"/>
          <w:szCs w:val="21"/>
          <w:lang w:eastAsia="zh-CN"/>
        </w:rPr>
      </w:pPr>
      <w:r>
        <w:rPr>
          <w:rFonts w:hint="eastAsia" w:ascii="宋体" w:hAnsi="宋体" w:eastAsia="宋体" w:cs="宋体"/>
          <w:bCs w:val="0"/>
          <w:szCs w:val="21"/>
          <w:lang w:eastAsia="zh-CN"/>
        </w:rPr>
        <w:t>最终验收证书或会议纪要不能解除卖方在合同设备中存在的可能引起系统故障的潜在缺陷应负的任何责任。</w:t>
      </w:r>
    </w:p>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Pr>
        <w:adjustRightInd w:val="0"/>
        <w:snapToGrid w:val="0"/>
        <w:spacing w:line="360" w:lineRule="auto"/>
        <w:ind w:firstLine="440" w:firstLineChars="200"/>
        <w:rPr>
          <w:szCs w:val="21"/>
          <w:lang w:eastAsia="zh-CN"/>
        </w:rPr>
      </w:pPr>
    </w:p>
    <w:p>
      <w:pPr>
        <w:keepNext/>
        <w:keepLines/>
        <w:shd w:val="clear" w:color="auto" w:fill="FFFFFF"/>
        <w:adjustRightInd w:val="0"/>
        <w:snapToGrid w:val="0"/>
        <w:spacing w:line="360" w:lineRule="auto"/>
        <w:outlineLvl w:val="2"/>
        <w:rPr>
          <w:szCs w:val="21"/>
          <w:lang w:val="zh-CN" w:eastAsia="zh-CN"/>
        </w:rPr>
      </w:pPr>
      <w:bookmarkStart w:id="388" w:name="_Toc100946807"/>
      <w:bookmarkStart w:id="389" w:name="_Toc11578"/>
      <w:bookmarkStart w:id="390" w:name="_Toc12028"/>
      <w:bookmarkStart w:id="391" w:name="_Toc30167"/>
      <w:bookmarkStart w:id="392" w:name="_Toc385"/>
      <w:bookmarkStart w:id="393" w:name="_Toc11379"/>
      <w:bookmarkStart w:id="394" w:name="_Toc32702"/>
      <w:bookmarkStart w:id="395" w:name="_Toc24025"/>
      <w:bookmarkStart w:id="396" w:name="_Toc17828"/>
      <w:bookmarkStart w:id="397" w:name="_Toc25611"/>
      <w:bookmarkStart w:id="398" w:name="_Toc29083"/>
      <w:bookmarkStart w:id="399" w:name="_Toc113559494"/>
      <w:bookmarkStart w:id="400" w:name="_Toc9814"/>
      <w:bookmarkStart w:id="401" w:name="_Toc28858"/>
      <w:bookmarkStart w:id="402" w:name="_Toc18890"/>
      <w:bookmarkStart w:id="403" w:name="_Toc3393"/>
      <w:bookmarkStart w:id="404" w:name="_Toc81896088"/>
      <w:bookmarkStart w:id="405" w:name="_Toc32651"/>
      <w:bookmarkStart w:id="406" w:name="_Toc19427"/>
      <w:bookmarkStart w:id="407" w:name="_Toc16418"/>
      <w:bookmarkStart w:id="408" w:name="_Toc75199004"/>
      <w:bookmarkStart w:id="409" w:name="_Toc22675"/>
      <w:bookmarkStart w:id="410" w:name="_Toc92225931"/>
      <w:bookmarkStart w:id="411" w:name="_Toc40447185"/>
      <w:bookmarkStart w:id="412" w:name="_Toc6392"/>
      <w:bookmarkStart w:id="413" w:name="_Toc101259176"/>
      <w:r>
        <w:rPr>
          <w:szCs w:val="21"/>
          <w:lang w:val="zh-CN" w:eastAsia="zh-CN"/>
        </w:rPr>
        <w:t xml:space="preserve">7. </w:t>
      </w:r>
      <w:r>
        <w:rPr>
          <w:rFonts w:hint="eastAsia"/>
          <w:szCs w:val="21"/>
          <w:lang w:val="zh-CN" w:eastAsia="zh-CN"/>
        </w:rPr>
        <w:t>技术服务</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pPr>
        <w:adjustRightInd w:val="0"/>
        <w:snapToGrid w:val="0"/>
        <w:spacing w:line="360" w:lineRule="auto"/>
        <w:rPr>
          <w:szCs w:val="21"/>
          <w:lang w:eastAsia="zh-CN"/>
        </w:rPr>
      </w:pPr>
      <w:r>
        <w:rPr>
          <w:rFonts w:hint="eastAsia"/>
          <w:szCs w:val="21"/>
          <w:lang w:eastAsia="zh-CN"/>
        </w:rPr>
        <w:t>按以下条款执行：</w:t>
      </w:r>
    </w:p>
    <w:p>
      <w:pPr>
        <w:adjustRightInd w:val="0"/>
        <w:snapToGrid w:val="0"/>
        <w:spacing w:line="360" w:lineRule="auto"/>
        <w:ind w:firstLine="440" w:firstLineChars="200"/>
        <w:rPr>
          <w:szCs w:val="21"/>
          <w:lang w:eastAsia="zh-CN"/>
        </w:rPr>
      </w:pPr>
      <w:r>
        <w:rPr>
          <w:rFonts w:hint="eastAsia"/>
          <w:szCs w:val="21"/>
          <w:lang w:eastAsia="zh-CN"/>
        </w:rPr>
        <w:t>卖方应按合同规定派遣电气相关专业的技术人员到工地现场，以满足合同设备现场调试、试验、系统调试及初步验收、完工验收的需求，并对买方技术人员进行现场技术培训，</w:t>
      </w:r>
      <w:r>
        <w:rPr>
          <w:szCs w:val="21"/>
          <w:lang w:eastAsia="zh-CN"/>
        </w:rPr>
        <w:t>负责合同设备的技术服务工作</w:t>
      </w:r>
      <w:r>
        <w:rPr>
          <w:rFonts w:hint="eastAsia"/>
          <w:szCs w:val="21"/>
          <w:lang w:eastAsia="zh-CN"/>
        </w:rPr>
        <w:t>。</w:t>
      </w:r>
    </w:p>
    <w:p>
      <w:pPr>
        <w:adjustRightInd w:val="0"/>
        <w:snapToGrid w:val="0"/>
        <w:spacing w:line="360" w:lineRule="auto"/>
        <w:ind w:firstLine="440" w:firstLineChars="200"/>
        <w:rPr>
          <w:szCs w:val="21"/>
          <w:lang w:eastAsia="zh-CN"/>
        </w:rPr>
      </w:pPr>
      <w:r>
        <w:rPr>
          <w:rFonts w:hint="eastAsia"/>
          <w:szCs w:val="21"/>
          <w:lang w:eastAsia="zh-CN"/>
        </w:rPr>
        <w:t>卖方技术服务人员应在工地就合同设备的现场试验、运行操作和维护保养等对买方技术人员进行技术交底和现场培训。</w:t>
      </w:r>
    </w:p>
    <w:p>
      <w:pPr>
        <w:adjustRightInd w:val="0"/>
        <w:snapToGrid w:val="0"/>
        <w:spacing w:line="360" w:lineRule="auto"/>
        <w:ind w:firstLine="440" w:firstLineChars="200"/>
        <w:rPr>
          <w:szCs w:val="21"/>
          <w:lang w:eastAsia="zh-CN"/>
        </w:rPr>
      </w:pPr>
      <w:r>
        <w:rPr>
          <w:rFonts w:hint="eastAsia"/>
          <w:szCs w:val="21"/>
          <w:lang w:eastAsia="zh-CN"/>
        </w:rPr>
        <w:t>卖方现场技术人员应参加现场考核及验收。</w:t>
      </w:r>
    </w:p>
    <w:p>
      <w:pPr>
        <w:adjustRightInd w:val="0"/>
        <w:snapToGrid w:val="0"/>
        <w:spacing w:line="360" w:lineRule="auto"/>
        <w:ind w:firstLine="440" w:firstLineChars="200"/>
        <w:rPr>
          <w:szCs w:val="21"/>
          <w:lang w:eastAsia="zh-CN"/>
        </w:rPr>
      </w:pPr>
      <w:r>
        <w:rPr>
          <w:rFonts w:hint="eastAsia"/>
          <w:szCs w:val="21"/>
          <w:lang w:eastAsia="zh-CN"/>
        </w:rPr>
        <w:t>卖方现场技术人员应负责协调处理合同设备出现的质量缺陷，并在买方要求的时间内解决问题，一切费用由卖方承担。</w:t>
      </w:r>
    </w:p>
    <w:p>
      <w:pPr>
        <w:adjustRightInd w:val="0"/>
        <w:snapToGrid w:val="0"/>
        <w:spacing w:line="360" w:lineRule="auto"/>
        <w:ind w:firstLine="440" w:firstLineChars="200"/>
        <w:rPr>
          <w:szCs w:val="21"/>
          <w:lang w:eastAsia="zh-CN"/>
        </w:rPr>
      </w:pPr>
      <w:r>
        <w:rPr>
          <w:rFonts w:hint="eastAsia"/>
          <w:szCs w:val="21"/>
          <w:lang w:eastAsia="zh-CN"/>
        </w:rPr>
        <w:t>卖方现场技术人员应提供发货清单、到货清单，</w:t>
      </w:r>
      <w:r>
        <w:rPr>
          <w:szCs w:val="21"/>
          <w:lang w:eastAsia="zh-CN"/>
        </w:rPr>
        <w:t>进行正确的校正调整、清理、现场试验及投入运行。</w:t>
      </w:r>
    </w:p>
    <w:p>
      <w:pPr>
        <w:adjustRightInd w:val="0"/>
        <w:snapToGrid w:val="0"/>
        <w:spacing w:line="360" w:lineRule="auto"/>
        <w:ind w:firstLine="440" w:firstLineChars="200"/>
        <w:rPr>
          <w:szCs w:val="21"/>
          <w:lang w:eastAsia="zh-CN"/>
        </w:rPr>
      </w:pPr>
      <w:r>
        <w:rPr>
          <w:rFonts w:hint="eastAsia"/>
          <w:szCs w:val="21"/>
          <w:lang w:eastAsia="zh-CN"/>
        </w:rPr>
        <w:t>若因卖方人员的疏忽或错误而致使合同设备损坏，卖方应负责免费修复或更换，并承担由此所造成的违约责任和经济损失。</w:t>
      </w:r>
    </w:p>
    <w:p>
      <w:pPr>
        <w:adjustRightInd w:val="0"/>
        <w:snapToGrid w:val="0"/>
        <w:spacing w:line="360" w:lineRule="auto"/>
        <w:ind w:firstLine="440" w:firstLineChars="200"/>
        <w:rPr>
          <w:szCs w:val="21"/>
          <w:lang w:eastAsia="zh-CN"/>
        </w:rPr>
      </w:pPr>
      <w:r>
        <w:rPr>
          <w:rFonts w:hint="eastAsia"/>
          <w:szCs w:val="21"/>
          <w:lang w:eastAsia="zh-CN"/>
        </w:rPr>
        <w:t>卖方现场技术服务人员应遵循现场的安全管理制度，对其因不遵守安全管理制度而造成的安全事故承担全部责任。</w:t>
      </w:r>
    </w:p>
    <w:p>
      <w:pPr>
        <w:adjustRightInd w:val="0"/>
        <w:snapToGrid w:val="0"/>
        <w:spacing w:line="360" w:lineRule="auto"/>
        <w:ind w:firstLine="440" w:firstLineChars="200"/>
        <w:rPr>
          <w:rFonts w:hint="eastAsia"/>
          <w:szCs w:val="21"/>
          <w:lang w:eastAsia="zh-CN"/>
        </w:rPr>
      </w:pPr>
      <w:r>
        <w:rPr>
          <w:rFonts w:hint="eastAsia"/>
          <w:szCs w:val="21"/>
          <w:lang w:eastAsia="zh-CN"/>
        </w:rPr>
        <w:t>卖方现场技术服务（含维修、更换及所有技术服务等）的所有费用均包括在合同总价中，费用包干使用。</w:t>
      </w:r>
    </w:p>
    <w:p>
      <w:pPr>
        <w:keepNext/>
        <w:keepLines/>
        <w:shd w:val="clear" w:color="auto" w:fill="FFFFFF"/>
        <w:adjustRightInd w:val="0"/>
        <w:snapToGrid w:val="0"/>
        <w:spacing w:line="360" w:lineRule="auto"/>
        <w:outlineLvl w:val="2"/>
        <w:rPr>
          <w:szCs w:val="21"/>
          <w:lang w:val="zh-CN" w:eastAsia="zh-CN"/>
        </w:rPr>
      </w:pPr>
      <w:bookmarkStart w:id="414" w:name="_Toc20867"/>
      <w:bookmarkStart w:id="415" w:name="_Toc31500"/>
      <w:bookmarkStart w:id="416" w:name="_Toc21764"/>
      <w:bookmarkStart w:id="417" w:name="_Toc32451"/>
      <w:bookmarkStart w:id="418" w:name="_Toc17878"/>
      <w:bookmarkStart w:id="419" w:name="_Toc27927"/>
      <w:bookmarkStart w:id="420" w:name="_Toc4708"/>
      <w:bookmarkStart w:id="421" w:name="_Toc709"/>
      <w:bookmarkStart w:id="422" w:name="_Toc113559495"/>
      <w:bookmarkStart w:id="423" w:name="_Toc9160"/>
      <w:bookmarkStart w:id="424" w:name="_Toc28070"/>
      <w:bookmarkStart w:id="425" w:name="_Toc3544"/>
      <w:bookmarkStart w:id="426" w:name="_Toc81896089"/>
      <w:bookmarkStart w:id="427" w:name="_Toc101259177"/>
      <w:bookmarkStart w:id="428" w:name="_Toc30802"/>
      <w:bookmarkStart w:id="429" w:name="_Toc16800"/>
      <w:bookmarkStart w:id="430" w:name="_Toc92225932"/>
      <w:bookmarkStart w:id="431" w:name="_Toc2297"/>
      <w:bookmarkStart w:id="432" w:name="_Toc40447186"/>
      <w:bookmarkStart w:id="433" w:name="_Toc100946808"/>
      <w:bookmarkStart w:id="434" w:name="_Toc6422"/>
      <w:bookmarkStart w:id="435" w:name="_Toc75199005"/>
      <w:bookmarkStart w:id="436" w:name="_Toc1423"/>
      <w:bookmarkStart w:id="437" w:name="_Toc32360"/>
      <w:bookmarkStart w:id="438" w:name="_Toc11013"/>
      <w:r>
        <w:rPr>
          <w:szCs w:val="21"/>
          <w:lang w:val="zh-CN" w:eastAsia="zh-CN"/>
        </w:rPr>
        <w:t>8.质量保证期</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pPr>
        <w:adjustRightInd w:val="0"/>
        <w:snapToGrid w:val="0"/>
        <w:spacing w:line="360" w:lineRule="auto"/>
        <w:ind w:firstLine="440" w:firstLineChars="200"/>
        <w:rPr>
          <w:szCs w:val="21"/>
          <w:lang w:eastAsia="zh-CN"/>
        </w:rPr>
      </w:pPr>
      <w:r>
        <w:rPr>
          <w:szCs w:val="21"/>
          <w:lang w:eastAsia="zh-CN"/>
        </w:rPr>
        <w:t>8.1合同设备整体质量保证期为：</w:t>
      </w:r>
      <w:r>
        <w:rPr>
          <w:rFonts w:hint="eastAsia"/>
          <w:szCs w:val="21"/>
          <w:lang w:eastAsia="zh-CN"/>
        </w:rPr>
        <w:t>机组全部投入商业运行</w:t>
      </w:r>
      <w:r>
        <w:rPr>
          <w:szCs w:val="21"/>
          <w:lang w:eastAsia="zh-CN"/>
        </w:rPr>
        <w:t>之日起</w:t>
      </w:r>
      <w:r>
        <w:rPr>
          <w:szCs w:val="21"/>
          <w:u w:val="single"/>
          <w:lang w:eastAsia="zh-CN"/>
        </w:rPr>
        <w:t xml:space="preserve">  </w:t>
      </w:r>
      <w:r>
        <w:rPr>
          <w:rFonts w:hint="eastAsia"/>
          <w:szCs w:val="21"/>
          <w:u w:val="single"/>
          <w:lang w:eastAsia="zh-CN"/>
        </w:rPr>
        <w:t>24</w:t>
      </w:r>
      <w:r>
        <w:rPr>
          <w:szCs w:val="21"/>
          <w:u w:val="single"/>
          <w:lang w:eastAsia="zh-CN"/>
        </w:rPr>
        <w:t xml:space="preserve">  </w:t>
      </w:r>
      <w:r>
        <w:rPr>
          <w:szCs w:val="21"/>
          <w:lang w:eastAsia="zh-CN"/>
        </w:rPr>
        <w:t>个月</w:t>
      </w:r>
      <w:r>
        <w:rPr>
          <w:rFonts w:hint="eastAsia"/>
          <w:szCs w:val="21"/>
          <w:lang w:eastAsia="zh-CN"/>
        </w:rPr>
        <w:t>。若出现重大质量问题，</w:t>
      </w:r>
      <w:r>
        <w:rPr>
          <w:szCs w:val="21"/>
          <w:lang w:eastAsia="zh-CN"/>
        </w:rPr>
        <w:t>质量保证期重新计算。</w:t>
      </w:r>
    </w:p>
    <w:p>
      <w:pPr>
        <w:keepNext/>
        <w:keepLines/>
        <w:shd w:val="clear" w:color="auto" w:fill="FFFFFF"/>
        <w:adjustRightInd w:val="0"/>
        <w:snapToGrid w:val="0"/>
        <w:spacing w:line="360" w:lineRule="auto"/>
        <w:outlineLvl w:val="2"/>
        <w:rPr>
          <w:szCs w:val="21"/>
          <w:lang w:val="zh-CN" w:eastAsia="zh-CN"/>
        </w:rPr>
      </w:pPr>
      <w:bookmarkStart w:id="439" w:name="_Toc16899"/>
      <w:bookmarkStart w:id="440" w:name="_Toc75199006"/>
      <w:bookmarkStart w:id="441" w:name="_Toc7561"/>
      <w:bookmarkStart w:id="442" w:name="_Toc10888"/>
      <w:bookmarkStart w:id="443" w:name="_Toc26258"/>
      <w:bookmarkStart w:id="444" w:name="_Toc20849"/>
      <w:bookmarkStart w:id="445" w:name="_Toc24095"/>
      <w:bookmarkStart w:id="446" w:name="_Toc81896090"/>
      <w:bookmarkStart w:id="447" w:name="_Toc27575"/>
      <w:bookmarkStart w:id="448" w:name="_Toc100946809"/>
      <w:bookmarkStart w:id="449" w:name="_Toc22784"/>
      <w:bookmarkStart w:id="450" w:name="_Toc6052"/>
      <w:bookmarkStart w:id="451" w:name="_Toc7072"/>
      <w:bookmarkStart w:id="452" w:name="_Toc101259178"/>
      <w:bookmarkStart w:id="453" w:name="_Toc17698"/>
      <w:bookmarkStart w:id="454" w:name="_Toc2261"/>
      <w:bookmarkStart w:id="455" w:name="_Toc13798"/>
      <w:bookmarkStart w:id="456" w:name="_Toc32611"/>
      <w:bookmarkStart w:id="457" w:name="_Toc14553"/>
      <w:bookmarkStart w:id="458" w:name="_Toc92225933"/>
      <w:bookmarkStart w:id="459" w:name="_Toc3756"/>
      <w:bookmarkStart w:id="460" w:name="_Toc5726"/>
      <w:bookmarkStart w:id="461" w:name="_Toc113559496"/>
      <w:bookmarkStart w:id="462" w:name="_Toc15209"/>
      <w:bookmarkStart w:id="463" w:name="_Toc3951"/>
      <w:bookmarkStart w:id="464" w:name="_Toc40447187"/>
      <w:r>
        <w:rPr>
          <w:szCs w:val="21"/>
          <w:lang w:val="zh-CN" w:eastAsia="zh-CN"/>
        </w:rPr>
        <w:t xml:space="preserve">9. </w:t>
      </w:r>
      <w:r>
        <w:rPr>
          <w:rFonts w:hint="eastAsia"/>
          <w:szCs w:val="21"/>
          <w:lang w:val="zh-CN" w:eastAsia="zh-CN"/>
        </w:rPr>
        <w:t>质保期服务</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pPr>
        <w:adjustRightInd w:val="0"/>
        <w:snapToGrid w:val="0"/>
        <w:spacing w:line="360" w:lineRule="auto"/>
        <w:rPr>
          <w:szCs w:val="21"/>
          <w:lang w:eastAsia="zh-CN"/>
        </w:rPr>
      </w:pPr>
      <w:r>
        <w:rPr>
          <w:rFonts w:hint="eastAsia"/>
          <w:szCs w:val="21"/>
          <w:lang w:eastAsia="zh-CN"/>
        </w:rPr>
        <w:t>增加以下条款：</w:t>
      </w:r>
    </w:p>
    <w:p>
      <w:pPr>
        <w:adjustRightInd w:val="0"/>
        <w:snapToGrid w:val="0"/>
        <w:spacing w:line="360" w:lineRule="auto"/>
        <w:ind w:firstLine="440" w:firstLineChars="200"/>
        <w:rPr>
          <w:szCs w:val="21"/>
          <w:lang w:eastAsia="zh-CN"/>
        </w:rPr>
      </w:pPr>
      <w:r>
        <w:rPr>
          <w:szCs w:val="21"/>
          <w:lang w:eastAsia="zh-CN"/>
        </w:rPr>
        <w:t xml:space="preserve">9.5 </w:t>
      </w:r>
      <w:r>
        <w:rPr>
          <w:rFonts w:hint="eastAsia"/>
          <w:szCs w:val="21"/>
          <w:lang w:eastAsia="zh-CN"/>
        </w:rPr>
        <w:t>合同设备如在质量保证期内出现质量问题，卖方应在收到买方通知后</w:t>
      </w:r>
      <w:r>
        <w:rPr>
          <w:rFonts w:hint="eastAsia"/>
          <w:szCs w:val="21"/>
          <w:u w:val="single"/>
          <w:lang w:eastAsia="zh-CN"/>
        </w:rPr>
        <w:t xml:space="preserve"> 12 </w:t>
      </w:r>
      <w:r>
        <w:rPr>
          <w:rFonts w:hint="eastAsia"/>
          <w:szCs w:val="21"/>
          <w:lang w:eastAsia="zh-CN"/>
        </w:rPr>
        <w:t>小时</w:t>
      </w:r>
      <w:r>
        <w:rPr>
          <w:szCs w:val="21"/>
          <w:lang w:eastAsia="zh-CN"/>
        </w:rPr>
        <w:t>内派员到达工地现场，并在买方要求的时间内解决问题，一切费用由卖方承担。</w:t>
      </w:r>
    </w:p>
    <w:p>
      <w:pPr>
        <w:keepNext/>
        <w:keepLines/>
        <w:shd w:val="clear" w:color="auto" w:fill="FFFFFF"/>
        <w:adjustRightInd w:val="0"/>
        <w:snapToGrid w:val="0"/>
        <w:spacing w:line="360" w:lineRule="auto"/>
        <w:outlineLvl w:val="2"/>
        <w:rPr>
          <w:szCs w:val="21"/>
          <w:highlight w:val="none"/>
          <w:lang w:val="zh-CN" w:eastAsia="zh-CN"/>
        </w:rPr>
      </w:pPr>
      <w:bookmarkStart w:id="465" w:name="_Toc113559497"/>
      <w:bookmarkStart w:id="466" w:name="_Toc13293"/>
      <w:bookmarkStart w:id="467" w:name="_Toc75199007"/>
      <w:bookmarkStart w:id="468" w:name="_Toc19074"/>
      <w:bookmarkStart w:id="469" w:name="_Toc27773"/>
      <w:bookmarkStart w:id="470" w:name="_Toc32556"/>
      <w:bookmarkStart w:id="471" w:name="_Toc10688"/>
      <w:bookmarkStart w:id="472" w:name="_Toc14946"/>
      <w:bookmarkStart w:id="473" w:name="_Toc20328"/>
      <w:bookmarkStart w:id="474" w:name="_Toc22231"/>
      <w:bookmarkStart w:id="475" w:name="_Toc32031"/>
      <w:bookmarkStart w:id="476" w:name="_Toc13349"/>
      <w:bookmarkStart w:id="477" w:name="_Toc40447188"/>
      <w:bookmarkStart w:id="478" w:name="_Toc23214"/>
      <w:bookmarkStart w:id="479" w:name="_Toc101259179"/>
      <w:bookmarkStart w:id="480" w:name="_Toc7053"/>
      <w:bookmarkStart w:id="481" w:name="_Toc92225934"/>
      <w:bookmarkStart w:id="482" w:name="_Toc26410"/>
      <w:bookmarkStart w:id="483" w:name="_Toc25158"/>
      <w:bookmarkStart w:id="484" w:name="_Toc12702"/>
      <w:bookmarkStart w:id="485" w:name="_Toc9563"/>
      <w:bookmarkStart w:id="486" w:name="_Toc100946810"/>
      <w:bookmarkStart w:id="487" w:name="_Toc29571"/>
      <w:bookmarkStart w:id="488" w:name="_Toc29649"/>
      <w:bookmarkStart w:id="489" w:name="_Toc81896091"/>
      <w:bookmarkStart w:id="490" w:name="_Toc3918"/>
      <w:r>
        <w:rPr>
          <w:szCs w:val="21"/>
          <w:highlight w:val="none"/>
          <w:lang w:val="zh-CN" w:eastAsia="zh-CN"/>
        </w:rPr>
        <w:t xml:space="preserve">10. </w:t>
      </w:r>
      <w:r>
        <w:rPr>
          <w:rFonts w:hint="eastAsia"/>
          <w:szCs w:val="21"/>
          <w:highlight w:val="none"/>
          <w:lang w:val="zh-CN" w:eastAsia="zh-CN"/>
        </w:rPr>
        <w:t>履约保证金</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pPr>
        <w:keepNext/>
        <w:keepLines/>
        <w:shd w:val="clear" w:color="auto" w:fill="FFFFFF"/>
        <w:adjustRightInd w:val="0"/>
        <w:snapToGrid w:val="0"/>
        <w:spacing w:line="360" w:lineRule="auto"/>
        <w:outlineLvl w:val="2"/>
        <w:rPr>
          <w:rFonts w:hint="default"/>
          <w:szCs w:val="21"/>
          <w:highlight w:val="none"/>
          <w:lang w:val="en-US" w:eastAsia="zh-CN"/>
        </w:rPr>
      </w:pPr>
      <w:bookmarkStart w:id="491" w:name="_Toc3322"/>
      <w:bookmarkStart w:id="492" w:name="_Toc7169"/>
      <w:bookmarkStart w:id="493" w:name="_Toc101259180"/>
      <w:bookmarkStart w:id="494" w:name="_Toc100946811"/>
      <w:bookmarkStart w:id="495" w:name="_Toc75199008"/>
      <w:bookmarkStart w:id="496" w:name="_Toc92225935"/>
      <w:bookmarkStart w:id="497" w:name="_Toc12889"/>
      <w:bookmarkStart w:id="498" w:name="_Toc29880"/>
      <w:bookmarkStart w:id="499" w:name="_Toc170"/>
      <w:bookmarkStart w:id="500" w:name="_Toc40447189"/>
      <w:bookmarkStart w:id="501" w:name="_Toc32002"/>
      <w:bookmarkStart w:id="502" w:name="_Toc31974"/>
      <w:bookmarkStart w:id="503" w:name="_Toc29706"/>
      <w:bookmarkStart w:id="504" w:name="_Toc121"/>
      <w:bookmarkStart w:id="505" w:name="_Toc7298"/>
      <w:bookmarkStart w:id="506" w:name="_Toc27017"/>
      <w:bookmarkStart w:id="507" w:name="_Toc150"/>
      <w:bookmarkStart w:id="508" w:name="_Toc81896092"/>
      <w:bookmarkStart w:id="509" w:name="_Toc12255"/>
      <w:bookmarkStart w:id="510" w:name="_Toc4042"/>
      <w:bookmarkStart w:id="511" w:name="_Toc18979"/>
      <w:bookmarkStart w:id="512" w:name="_Toc29008"/>
      <w:bookmarkStart w:id="513" w:name="_Toc113559498"/>
      <w:bookmarkStart w:id="514" w:name="_Toc30511"/>
      <w:bookmarkStart w:id="515" w:name="_Toc8374"/>
      <w:bookmarkStart w:id="516" w:name="_Toc14633"/>
      <w:r>
        <w:rPr>
          <w:rFonts w:hint="eastAsia"/>
          <w:szCs w:val="21"/>
          <w:highlight w:val="none"/>
          <w:lang w:val="en-US" w:eastAsia="zh-CN"/>
        </w:rPr>
        <w:t>本项目不需提供履约保证金</w:t>
      </w:r>
    </w:p>
    <w:p>
      <w:pPr>
        <w:keepNext/>
        <w:keepLines/>
        <w:shd w:val="clear" w:color="auto" w:fill="FFFFFF"/>
        <w:adjustRightInd w:val="0"/>
        <w:snapToGrid w:val="0"/>
        <w:spacing w:line="360" w:lineRule="auto"/>
        <w:outlineLvl w:val="2"/>
        <w:rPr>
          <w:szCs w:val="21"/>
          <w:lang w:val="zh-CN" w:eastAsia="zh-CN"/>
        </w:rPr>
      </w:pPr>
      <w:r>
        <w:rPr>
          <w:szCs w:val="21"/>
          <w:lang w:val="zh-CN" w:eastAsia="zh-CN"/>
        </w:rPr>
        <w:t>11.保证</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pPr>
        <w:adjustRightInd w:val="0"/>
        <w:snapToGrid w:val="0"/>
        <w:spacing w:line="360" w:lineRule="auto"/>
        <w:ind w:firstLine="440" w:firstLineChars="200"/>
        <w:rPr>
          <w:szCs w:val="21"/>
          <w:lang w:eastAsia="zh-CN"/>
        </w:rPr>
      </w:pPr>
      <w:r>
        <w:rPr>
          <w:rFonts w:hint="eastAsia"/>
          <w:szCs w:val="21"/>
          <w:lang w:eastAsia="zh-CN"/>
        </w:rPr>
        <w:t>增加以下条款：</w:t>
      </w:r>
    </w:p>
    <w:p>
      <w:pPr>
        <w:adjustRightInd w:val="0"/>
        <w:snapToGrid w:val="0"/>
        <w:spacing w:line="360" w:lineRule="auto"/>
        <w:ind w:firstLine="440" w:firstLineChars="200"/>
        <w:rPr>
          <w:szCs w:val="21"/>
          <w:lang w:eastAsia="zh-CN"/>
        </w:rPr>
      </w:pPr>
      <w:r>
        <w:rPr>
          <w:szCs w:val="21"/>
          <w:lang w:eastAsia="zh-CN"/>
        </w:rPr>
        <w:t>11.9卖方保证未经买方书面同意不对合同约定的设备、材料或工艺进行变更或替代。</w:t>
      </w:r>
    </w:p>
    <w:p>
      <w:pPr>
        <w:adjustRightInd w:val="0"/>
        <w:snapToGrid w:val="0"/>
        <w:spacing w:line="360" w:lineRule="auto"/>
        <w:ind w:firstLine="440" w:firstLineChars="200"/>
        <w:rPr>
          <w:szCs w:val="21"/>
          <w:lang w:eastAsia="zh-CN"/>
        </w:rPr>
      </w:pPr>
      <w:r>
        <w:rPr>
          <w:szCs w:val="21"/>
          <w:lang w:eastAsia="zh-CN"/>
        </w:rPr>
        <w:t xml:space="preserve">11.10 </w:t>
      </w:r>
      <w:r>
        <w:rPr>
          <w:rFonts w:hint="eastAsia"/>
          <w:szCs w:val="21"/>
          <w:lang w:eastAsia="zh-CN"/>
        </w:rPr>
        <w:t>材料或设备部件出现停产时，卖方应按下述规定提出变更或替代的申请：</w:t>
      </w:r>
    </w:p>
    <w:p>
      <w:pPr>
        <w:adjustRightInd w:val="0"/>
        <w:snapToGrid w:val="0"/>
        <w:spacing w:line="360" w:lineRule="auto"/>
        <w:ind w:firstLine="440" w:firstLineChars="200"/>
        <w:rPr>
          <w:szCs w:val="21"/>
          <w:lang w:eastAsia="zh-CN"/>
        </w:rPr>
      </w:pPr>
      <w:r>
        <w:rPr>
          <w:rFonts w:hint="eastAsia"/>
          <w:szCs w:val="21"/>
          <w:lang w:eastAsia="zh-CN"/>
        </w:rPr>
        <w:t>（</w:t>
      </w:r>
      <w:r>
        <w:rPr>
          <w:szCs w:val="21"/>
          <w:lang w:eastAsia="zh-CN"/>
        </w:rPr>
        <w:t>1）提交变更或替代的与合同约定的材料、设备或工艺之间的详细比较资料，证明所推荐的变更或替代方案完全符合合同文件的相关要求；</w:t>
      </w:r>
    </w:p>
    <w:p>
      <w:pPr>
        <w:adjustRightInd w:val="0"/>
        <w:snapToGrid w:val="0"/>
        <w:spacing w:line="360" w:lineRule="auto"/>
        <w:ind w:firstLine="440" w:firstLineChars="200"/>
        <w:rPr>
          <w:szCs w:val="21"/>
          <w:lang w:eastAsia="zh-CN"/>
        </w:rPr>
      </w:pPr>
      <w:r>
        <w:rPr>
          <w:rFonts w:hint="eastAsia"/>
          <w:szCs w:val="21"/>
          <w:lang w:eastAsia="zh-CN"/>
        </w:rPr>
        <w:t>（</w:t>
      </w:r>
      <w:r>
        <w:rPr>
          <w:szCs w:val="21"/>
          <w:lang w:eastAsia="zh-CN"/>
        </w:rPr>
        <w:t>2）提交变更或替代的材料、设备或工艺的工程应用实例及使用效果证明材料；</w:t>
      </w:r>
    </w:p>
    <w:p>
      <w:pPr>
        <w:adjustRightInd w:val="0"/>
        <w:snapToGrid w:val="0"/>
        <w:spacing w:line="360" w:lineRule="auto"/>
        <w:ind w:firstLine="440" w:firstLineChars="200"/>
        <w:rPr>
          <w:szCs w:val="21"/>
          <w:lang w:eastAsia="zh-CN"/>
        </w:rPr>
      </w:pPr>
      <w:r>
        <w:rPr>
          <w:rFonts w:hint="eastAsia"/>
          <w:szCs w:val="21"/>
          <w:lang w:eastAsia="zh-CN"/>
        </w:rPr>
        <w:t>（</w:t>
      </w:r>
      <w:r>
        <w:rPr>
          <w:szCs w:val="21"/>
          <w:lang w:eastAsia="zh-CN"/>
        </w:rPr>
        <w:t>3）由于变更或替代所引起的其它任何变化（包括费用变化）。</w:t>
      </w:r>
    </w:p>
    <w:p>
      <w:pPr>
        <w:adjustRightInd w:val="0"/>
        <w:snapToGrid w:val="0"/>
        <w:spacing w:line="360" w:lineRule="auto"/>
        <w:ind w:firstLine="440" w:firstLineChars="200"/>
        <w:rPr>
          <w:szCs w:val="21"/>
          <w:lang w:eastAsia="zh-CN"/>
        </w:rPr>
      </w:pPr>
      <w:r>
        <w:rPr>
          <w:szCs w:val="21"/>
          <w:lang w:eastAsia="zh-CN"/>
        </w:rPr>
        <w:t>11.11卖方保证承担因卖方原因引起的变更或替代所引起的其它任何变化的责任和增加的费用，且买方有权从合同价款中扣减因变更或替代降低的费用。</w:t>
      </w:r>
    </w:p>
    <w:p>
      <w:pPr>
        <w:adjustRightInd w:val="0"/>
        <w:snapToGrid w:val="0"/>
        <w:spacing w:line="360" w:lineRule="auto"/>
        <w:ind w:firstLine="440" w:firstLineChars="200"/>
        <w:rPr>
          <w:szCs w:val="21"/>
          <w:lang w:eastAsia="zh-CN"/>
        </w:rPr>
      </w:pPr>
      <w:r>
        <w:rPr>
          <w:szCs w:val="21"/>
          <w:lang w:eastAsia="zh-CN"/>
        </w:rPr>
        <w:t>11.12卖方保证因非卖方原因引起的变更或替代时卖方仅收取成本费用。</w:t>
      </w:r>
    </w:p>
    <w:p>
      <w:pPr>
        <w:adjustRightInd w:val="0"/>
        <w:snapToGrid w:val="0"/>
        <w:spacing w:line="360" w:lineRule="auto"/>
        <w:ind w:firstLine="440" w:firstLineChars="200"/>
        <w:rPr>
          <w:szCs w:val="21"/>
          <w:lang w:eastAsia="zh-CN"/>
        </w:rPr>
      </w:pPr>
      <w:r>
        <w:rPr>
          <w:szCs w:val="21"/>
          <w:lang w:eastAsia="zh-CN"/>
        </w:rPr>
        <w:t xml:space="preserve">11.13 </w:t>
      </w:r>
      <w:r>
        <w:rPr>
          <w:rFonts w:hint="eastAsia"/>
          <w:szCs w:val="21"/>
          <w:lang w:eastAsia="zh-CN"/>
        </w:rPr>
        <w:t>即使经买方书面同意进行了变更或替代，亦不免除或减轻卖方的合同责任。</w:t>
      </w:r>
    </w:p>
    <w:p>
      <w:pPr>
        <w:adjustRightInd w:val="0"/>
        <w:snapToGrid w:val="0"/>
        <w:spacing w:line="360" w:lineRule="auto"/>
        <w:ind w:firstLine="440" w:firstLineChars="200"/>
        <w:rPr>
          <w:szCs w:val="21"/>
          <w:lang w:eastAsia="zh-CN"/>
        </w:rPr>
      </w:pPr>
    </w:p>
    <w:p>
      <w:pPr>
        <w:keepNext/>
        <w:keepLines/>
        <w:shd w:val="clear" w:color="auto" w:fill="FFFFFF"/>
        <w:adjustRightInd w:val="0"/>
        <w:snapToGrid w:val="0"/>
        <w:spacing w:line="360" w:lineRule="auto"/>
        <w:outlineLvl w:val="2"/>
        <w:rPr>
          <w:szCs w:val="21"/>
          <w:lang w:val="zh-CN" w:eastAsia="zh-CN"/>
        </w:rPr>
      </w:pPr>
      <w:bookmarkStart w:id="517" w:name="_Toc81896093"/>
      <w:bookmarkStart w:id="518" w:name="_Toc22907"/>
      <w:bookmarkStart w:id="519" w:name="_Toc9278"/>
      <w:bookmarkStart w:id="520" w:name="_Toc14387"/>
      <w:bookmarkStart w:id="521" w:name="_Toc8466"/>
      <w:bookmarkStart w:id="522" w:name="_Toc11009"/>
      <w:bookmarkStart w:id="523" w:name="_Toc3233"/>
      <w:bookmarkStart w:id="524" w:name="_Toc101259181"/>
      <w:bookmarkStart w:id="525" w:name="_Toc3701"/>
      <w:bookmarkStart w:id="526" w:name="_Toc32258"/>
      <w:bookmarkStart w:id="527" w:name="_Toc15546"/>
      <w:bookmarkStart w:id="528" w:name="_Toc6051"/>
      <w:bookmarkStart w:id="529" w:name="_Toc31662"/>
      <w:bookmarkStart w:id="530" w:name="_Toc8327"/>
      <w:bookmarkStart w:id="531" w:name="_Toc113559499"/>
      <w:bookmarkStart w:id="532" w:name="_Toc10202"/>
      <w:bookmarkStart w:id="533" w:name="_Toc24371"/>
      <w:bookmarkStart w:id="534" w:name="_Toc144"/>
      <w:bookmarkStart w:id="535" w:name="_Toc75199009"/>
      <w:bookmarkStart w:id="536" w:name="_Toc26233"/>
      <w:bookmarkStart w:id="537" w:name="_Toc40447190"/>
      <w:bookmarkStart w:id="538" w:name="_Toc4707"/>
      <w:bookmarkStart w:id="539" w:name="_Toc26767"/>
      <w:bookmarkStart w:id="540" w:name="_Toc100946812"/>
      <w:bookmarkStart w:id="541" w:name="_Toc92225936"/>
      <w:bookmarkStart w:id="542" w:name="_Toc15140"/>
      <w:r>
        <w:rPr>
          <w:szCs w:val="21"/>
          <w:lang w:val="zh-CN" w:eastAsia="zh-CN"/>
        </w:rPr>
        <w:t>14.违约责任</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pPr>
        <w:keepNext/>
        <w:keepLines/>
        <w:adjustRightInd w:val="0"/>
        <w:snapToGrid w:val="0"/>
        <w:spacing w:line="360" w:lineRule="auto"/>
        <w:outlineLvl w:val="3"/>
        <w:rPr>
          <w:bCs/>
          <w:szCs w:val="21"/>
          <w:lang w:val="zh-CN" w:eastAsia="zh-CN"/>
        </w:rPr>
      </w:pPr>
      <w:bookmarkStart w:id="543" w:name="_Toc13708"/>
      <w:bookmarkStart w:id="544" w:name="_Toc21002"/>
      <w:bookmarkStart w:id="545" w:name="_Toc101259182"/>
      <w:bookmarkStart w:id="546" w:name="_Toc6413"/>
      <w:bookmarkStart w:id="547" w:name="_Toc75199010"/>
      <w:bookmarkStart w:id="548" w:name="_Toc100946813"/>
      <w:bookmarkStart w:id="549" w:name="_Toc32658"/>
      <w:bookmarkStart w:id="550" w:name="_Toc20627"/>
      <w:bookmarkStart w:id="551" w:name="_Toc28053"/>
      <w:r>
        <w:rPr>
          <w:bCs/>
          <w:szCs w:val="21"/>
          <w:lang w:val="zh-CN" w:eastAsia="zh-CN"/>
        </w:rPr>
        <w:t xml:space="preserve">14.2 </w:t>
      </w:r>
      <w:r>
        <w:rPr>
          <w:rFonts w:hint="eastAsia"/>
          <w:bCs/>
          <w:szCs w:val="21"/>
          <w:lang w:val="zh-CN" w:eastAsia="zh-CN"/>
        </w:rPr>
        <w:t>卖方延迟履约</w:t>
      </w:r>
      <w:bookmarkEnd w:id="543"/>
      <w:bookmarkEnd w:id="544"/>
      <w:bookmarkEnd w:id="545"/>
      <w:bookmarkEnd w:id="546"/>
      <w:bookmarkEnd w:id="547"/>
      <w:bookmarkEnd w:id="548"/>
      <w:bookmarkEnd w:id="549"/>
      <w:bookmarkEnd w:id="550"/>
      <w:bookmarkEnd w:id="551"/>
    </w:p>
    <w:p>
      <w:pPr>
        <w:adjustRightInd w:val="0"/>
        <w:snapToGrid w:val="0"/>
        <w:spacing w:line="360" w:lineRule="auto"/>
        <w:ind w:firstLine="440" w:firstLineChars="200"/>
        <w:rPr>
          <w:szCs w:val="21"/>
          <w:lang w:eastAsia="zh-CN"/>
        </w:rPr>
      </w:pPr>
      <w:r>
        <w:rPr>
          <w:rFonts w:hint="eastAsia"/>
          <w:szCs w:val="21"/>
          <w:lang w:eastAsia="zh-CN"/>
        </w:rPr>
        <w:t>卖方未能在合同规定日期或合同双方所协商同意的延期期限内，将各批设备在合同指定的地点全部交货，卖方构成违约，卖方应按下列比例向买方支付违约金（不满</w:t>
      </w:r>
      <w:r>
        <w:rPr>
          <w:szCs w:val="21"/>
          <w:lang w:eastAsia="zh-CN"/>
        </w:rPr>
        <w:t>1周按1周计算）：</w:t>
      </w:r>
    </w:p>
    <w:p>
      <w:pPr>
        <w:adjustRightInd w:val="0"/>
        <w:snapToGrid w:val="0"/>
        <w:spacing w:line="360" w:lineRule="auto"/>
        <w:ind w:firstLine="440" w:firstLineChars="200"/>
        <w:rPr>
          <w:szCs w:val="21"/>
          <w:lang w:eastAsia="zh-CN"/>
        </w:rPr>
      </w:pPr>
      <w:r>
        <w:rPr>
          <w:rFonts w:hint="eastAsia"/>
          <w:szCs w:val="21"/>
          <w:lang w:eastAsia="zh-CN"/>
        </w:rPr>
        <w:t>（1）迟交1至4周，每周迟延交付违约金为合同价格的</w:t>
      </w:r>
      <w:r>
        <w:rPr>
          <w:rFonts w:hint="eastAsia"/>
          <w:szCs w:val="21"/>
          <w:lang w:val="en-US" w:eastAsia="zh-CN"/>
        </w:rPr>
        <w:t>5</w:t>
      </w:r>
      <w:r>
        <w:rPr>
          <w:szCs w:val="21"/>
          <w:lang w:eastAsia="zh-CN"/>
        </w:rPr>
        <w:t>‰</w:t>
      </w:r>
      <w:r>
        <w:rPr>
          <w:rFonts w:hint="eastAsia"/>
          <w:szCs w:val="21"/>
          <w:lang w:eastAsia="zh-CN"/>
        </w:rPr>
        <w:t>；</w:t>
      </w:r>
    </w:p>
    <w:p>
      <w:pPr>
        <w:adjustRightInd w:val="0"/>
        <w:snapToGrid w:val="0"/>
        <w:spacing w:line="360" w:lineRule="auto"/>
        <w:ind w:firstLine="440" w:firstLineChars="200"/>
        <w:rPr>
          <w:szCs w:val="21"/>
          <w:lang w:eastAsia="zh-CN"/>
        </w:rPr>
      </w:pPr>
      <w:r>
        <w:rPr>
          <w:rFonts w:hint="eastAsia"/>
          <w:szCs w:val="21"/>
          <w:lang w:eastAsia="zh-CN"/>
        </w:rPr>
        <w:t>（2）迟交5至8周，每周迟延交付违约金为合同价格的</w:t>
      </w:r>
      <w:r>
        <w:rPr>
          <w:rFonts w:hint="eastAsia"/>
          <w:szCs w:val="21"/>
          <w:lang w:val="en-US" w:eastAsia="zh-CN"/>
        </w:rPr>
        <w:t>10</w:t>
      </w:r>
      <w:r>
        <w:rPr>
          <w:szCs w:val="21"/>
          <w:lang w:eastAsia="zh-CN"/>
        </w:rPr>
        <w:t>‰</w:t>
      </w:r>
      <w:r>
        <w:rPr>
          <w:rFonts w:hint="eastAsia"/>
          <w:szCs w:val="21"/>
          <w:lang w:eastAsia="zh-CN"/>
        </w:rPr>
        <w:t>；</w:t>
      </w:r>
    </w:p>
    <w:p>
      <w:pPr>
        <w:adjustRightInd w:val="0"/>
        <w:snapToGrid w:val="0"/>
        <w:spacing w:line="360" w:lineRule="auto"/>
        <w:ind w:firstLine="440" w:firstLineChars="200"/>
        <w:rPr>
          <w:szCs w:val="21"/>
          <w:lang w:eastAsia="zh-CN"/>
        </w:rPr>
      </w:pPr>
      <w:r>
        <w:rPr>
          <w:rFonts w:hint="eastAsia"/>
          <w:szCs w:val="21"/>
          <w:lang w:eastAsia="zh-CN"/>
        </w:rPr>
        <w:t>（3）迟交8周以上，每周迟延交付违约金为合同价格的</w:t>
      </w:r>
      <w:r>
        <w:rPr>
          <w:rFonts w:hint="eastAsia"/>
          <w:szCs w:val="21"/>
          <w:lang w:val="en-US" w:eastAsia="zh-CN"/>
        </w:rPr>
        <w:t>20</w:t>
      </w:r>
      <w:r>
        <w:rPr>
          <w:szCs w:val="21"/>
          <w:lang w:eastAsia="zh-CN"/>
        </w:rPr>
        <w:t>‰</w:t>
      </w:r>
      <w:r>
        <w:rPr>
          <w:rFonts w:hint="eastAsia"/>
          <w:szCs w:val="21"/>
          <w:lang w:eastAsia="zh-CN"/>
        </w:rPr>
        <w:t>。</w:t>
      </w:r>
    </w:p>
    <w:p>
      <w:pPr>
        <w:adjustRightInd w:val="0"/>
        <w:snapToGrid w:val="0"/>
        <w:spacing w:line="360" w:lineRule="auto"/>
        <w:ind w:firstLine="440" w:firstLineChars="200"/>
        <w:rPr>
          <w:bCs/>
          <w:szCs w:val="21"/>
          <w:lang w:eastAsia="zh-CN"/>
        </w:rPr>
      </w:pPr>
      <w:r>
        <w:rPr>
          <w:rFonts w:hint="eastAsia"/>
          <w:bCs/>
          <w:szCs w:val="21"/>
          <w:lang w:eastAsia="zh-CN"/>
        </w:rPr>
        <w:t>合同设备应成套交货，每批次设备的实际交货时间以本批次最后一件货物的交货时间计算。</w:t>
      </w:r>
    </w:p>
    <w:p>
      <w:pPr>
        <w:adjustRightInd w:val="0"/>
        <w:snapToGrid w:val="0"/>
        <w:spacing w:line="360" w:lineRule="auto"/>
        <w:ind w:firstLine="442" w:firstLineChars="200"/>
        <w:rPr>
          <w:b/>
          <w:szCs w:val="21"/>
          <w:lang w:eastAsia="zh-CN"/>
        </w:rPr>
      </w:pPr>
      <w:r>
        <w:rPr>
          <w:rFonts w:hint="eastAsia"/>
          <w:b/>
          <w:szCs w:val="21"/>
          <w:lang w:eastAsia="zh-CN"/>
        </w:rPr>
        <w:t>卖方出现延期交货的迹象时，买方有权安排代表前往卖方工厂开展交货协调、催货等事宜。买方代表赴卖方工厂所发生的一切费用（包括往返交通、食宿、会务等）均由卖方承担。往返交通按最快捷的交通方式考虑，如飞机或高铁等。</w:t>
      </w:r>
    </w:p>
    <w:p>
      <w:pPr>
        <w:adjustRightInd w:val="0"/>
        <w:snapToGrid w:val="0"/>
        <w:spacing w:line="360" w:lineRule="auto"/>
        <w:ind w:firstLine="440" w:firstLineChars="200"/>
        <w:rPr>
          <w:szCs w:val="21"/>
          <w:lang w:eastAsia="zh-CN"/>
        </w:rPr>
      </w:pPr>
      <w:r>
        <w:rPr>
          <w:rFonts w:hint="eastAsia"/>
          <w:szCs w:val="21"/>
          <w:lang w:eastAsia="zh-CN"/>
        </w:rPr>
        <w:t>由于卖方原因未能按合同规定的时间向买方提交技术文件，卖方构成违约，卖方应按每张图纸或每份资料每天5</w:t>
      </w:r>
      <w:r>
        <w:rPr>
          <w:szCs w:val="21"/>
          <w:lang w:eastAsia="zh-CN"/>
        </w:rPr>
        <w:t>00元向买方支付违约金，一直到提供技术文件为止。提供的技术文件应达到相应阶段设计深度的要求，并不得随意修改。</w:t>
      </w:r>
    </w:p>
    <w:p>
      <w:pPr>
        <w:adjustRightInd w:val="0"/>
        <w:snapToGrid w:val="0"/>
        <w:spacing w:line="360" w:lineRule="auto"/>
        <w:ind w:firstLine="440" w:firstLineChars="200"/>
        <w:rPr>
          <w:szCs w:val="21"/>
          <w:lang w:eastAsia="zh-CN"/>
        </w:rPr>
      </w:pPr>
      <w:r>
        <w:rPr>
          <w:rFonts w:hint="eastAsia"/>
          <w:szCs w:val="21"/>
          <w:lang w:eastAsia="zh-CN"/>
        </w:rPr>
        <w:t>在设备调试及试验期间，以及质量保证期内，卖方未能按合同约定提供现场服务时，卖方构成违约，卖方应按每人每天</w:t>
      </w:r>
      <w:r>
        <w:rPr>
          <w:rFonts w:hint="eastAsia"/>
          <w:szCs w:val="21"/>
          <w:lang w:val="en-US" w:eastAsia="zh-CN"/>
        </w:rPr>
        <w:t>5</w:t>
      </w:r>
      <w:r>
        <w:rPr>
          <w:rFonts w:hint="eastAsia"/>
          <w:szCs w:val="21"/>
          <w:lang w:eastAsia="zh-CN"/>
        </w:rPr>
        <w:t>0</w:t>
      </w:r>
      <w:r>
        <w:rPr>
          <w:szCs w:val="21"/>
          <w:lang w:eastAsia="zh-CN"/>
        </w:rPr>
        <w:t>00元向买方支付违约金，直至提供现场服务时为止。</w:t>
      </w:r>
    </w:p>
    <w:p>
      <w:pPr>
        <w:adjustRightInd w:val="0"/>
        <w:snapToGrid w:val="0"/>
        <w:spacing w:line="360" w:lineRule="auto"/>
        <w:ind w:firstLine="440" w:firstLineChars="200"/>
        <w:rPr>
          <w:lang w:eastAsia="zh-CN"/>
        </w:rPr>
      </w:pPr>
      <w:r>
        <w:rPr>
          <w:szCs w:val="21"/>
          <w:lang w:eastAsia="zh-CN"/>
        </w:rPr>
        <w:t>出现紧急情况时，接买方通知后，</w:t>
      </w:r>
      <w:r>
        <w:rPr>
          <w:rFonts w:hint="eastAsia"/>
          <w:lang w:eastAsia="zh-CN"/>
        </w:rPr>
        <w:t>卖方未按应急响应承诺时间</w:t>
      </w:r>
      <w:r>
        <w:rPr>
          <w:rFonts w:hint="eastAsia"/>
          <w:szCs w:val="21"/>
          <w:lang w:eastAsia="zh-CN"/>
        </w:rPr>
        <w:t>内派员并</w:t>
      </w:r>
      <w:r>
        <w:rPr>
          <w:rFonts w:hint="eastAsia"/>
          <w:lang w:eastAsia="zh-CN"/>
        </w:rPr>
        <w:t>到达现场解决问题的，卖方构成违约，卖方应按每次2</w:t>
      </w:r>
      <w:r>
        <w:rPr>
          <w:lang w:eastAsia="zh-CN"/>
        </w:rPr>
        <w:t>万元向买方支付违约金；累计出现3次，买方有权解除合同，卖方承担全部责任及费用。</w:t>
      </w:r>
    </w:p>
    <w:p>
      <w:pPr>
        <w:adjustRightInd w:val="0"/>
        <w:snapToGrid w:val="0"/>
        <w:spacing w:line="360" w:lineRule="auto"/>
        <w:ind w:firstLine="440" w:firstLineChars="200"/>
        <w:rPr>
          <w:szCs w:val="21"/>
          <w:lang w:eastAsia="zh-CN"/>
        </w:rPr>
      </w:pPr>
      <w:r>
        <w:rPr>
          <w:rFonts w:hint="eastAsia"/>
          <w:szCs w:val="21"/>
          <w:lang w:eastAsia="zh-CN"/>
        </w:rPr>
        <w:t>卖方支付违约金并不解除其继续向买方交付合同设备、提交技术文件及提供现场服务的义务。</w:t>
      </w:r>
    </w:p>
    <w:p>
      <w:pPr>
        <w:keepNext/>
        <w:keepLines/>
        <w:adjustRightInd w:val="0"/>
        <w:snapToGrid w:val="0"/>
        <w:spacing w:line="360" w:lineRule="auto"/>
        <w:outlineLvl w:val="3"/>
        <w:rPr>
          <w:bCs/>
          <w:szCs w:val="21"/>
          <w:lang w:val="zh-CN" w:eastAsia="zh-CN"/>
        </w:rPr>
      </w:pPr>
      <w:bookmarkStart w:id="552" w:name="_Toc30410"/>
      <w:bookmarkStart w:id="553" w:name="_Toc18619"/>
      <w:bookmarkStart w:id="554" w:name="_Toc6528"/>
      <w:bookmarkStart w:id="555" w:name="_Toc19696"/>
      <w:bookmarkStart w:id="556" w:name="_Toc2230"/>
      <w:bookmarkStart w:id="557" w:name="_Toc75199011"/>
      <w:bookmarkStart w:id="558" w:name="_Toc31069"/>
      <w:bookmarkStart w:id="559" w:name="_Toc101259183"/>
      <w:bookmarkStart w:id="560" w:name="_Toc100946814"/>
      <w:r>
        <w:rPr>
          <w:bCs/>
          <w:szCs w:val="21"/>
          <w:lang w:val="zh-CN" w:eastAsia="zh-CN"/>
        </w:rPr>
        <w:t xml:space="preserve">14.3 </w:t>
      </w:r>
      <w:r>
        <w:rPr>
          <w:rFonts w:hint="eastAsia"/>
          <w:bCs/>
          <w:szCs w:val="21"/>
          <w:lang w:val="zh-CN" w:eastAsia="zh-CN"/>
        </w:rPr>
        <w:t>买方延迟付款</w:t>
      </w:r>
      <w:bookmarkEnd w:id="552"/>
      <w:bookmarkEnd w:id="553"/>
      <w:bookmarkEnd w:id="554"/>
      <w:bookmarkEnd w:id="555"/>
      <w:bookmarkEnd w:id="556"/>
      <w:bookmarkEnd w:id="557"/>
      <w:bookmarkEnd w:id="558"/>
      <w:bookmarkEnd w:id="559"/>
      <w:bookmarkEnd w:id="560"/>
    </w:p>
    <w:p>
      <w:pPr>
        <w:adjustRightInd w:val="0"/>
        <w:snapToGrid w:val="0"/>
        <w:spacing w:line="360" w:lineRule="auto"/>
        <w:ind w:firstLine="440" w:firstLineChars="200"/>
        <w:rPr>
          <w:szCs w:val="21"/>
          <w:lang w:eastAsia="zh-CN"/>
        </w:rPr>
      </w:pPr>
      <w:r>
        <w:rPr>
          <w:rFonts w:hint="eastAsia"/>
          <w:szCs w:val="21"/>
          <w:lang w:eastAsia="zh-CN"/>
        </w:rPr>
        <w:t>如果买方未按合同规定时间向卖方支付合同款，买方构成违约，买方应对延迟支付的合同款按同期银行贷款利率支付违约金。</w:t>
      </w:r>
    </w:p>
    <w:p>
      <w:pPr>
        <w:adjustRightInd w:val="0"/>
        <w:snapToGrid w:val="0"/>
        <w:spacing w:line="360" w:lineRule="auto"/>
        <w:ind w:firstLine="440" w:firstLineChars="200"/>
        <w:rPr>
          <w:szCs w:val="21"/>
          <w:lang w:eastAsia="zh-CN"/>
        </w:rPr>
      </w:pPr>
    </w:p>
    <w:p>
      <w:pPr>
        <w:adjustRightInd w:val="0"/>
        <w:snapToGrid w:val="0"/>
        <w:spacing w:line="360" w:lineRule="auto"/>
        <w:rPr>
          <w:szCs w:val="21"/>
          <w:lang w:eastAsia="zh-CN"/>
        </w:rPr>
      </w:pPr>
      <w:r>
        <w:rPr>
          <w:rFonts w:hint="eastAsia"/>
          <w:szCs w:val="21"/>
          <w:lang w:eastAsia="zh-CN"/>
        </w:rPr>
        <w:t>增加以下条款：</w:t>
      </w:r>
    </w:p>
    <w:p>
      <w:pPr>
        <w:keepNext/>
        <w:keepLines/>
        <w:adjustRightInd w:val="0"/>
        <w:snapToGrid w:val="0"/>
        <w:spacing w:line="360" w:lineRule="auto"/>
        <w:outlineLvl w:val="3"/>
        <w:rPr>
          <w:bCs/>
          <w:szCs w:val="21"/>
          <w:lang w:val="zh-CN" w:eastAsia="zh-CN"/>
        </w:rPr>
      </w:pPr>
      <w:bookmarkStart w:id="561" w:name="_Toc27739"/>
      <w:bookmarkStart w:id="562" w:name="_Toc28118"/>
      <w:bookmarkStart w:id="563" w:name="_Toc101259184"/>
      <w:bookmarkStart w:id="564" w:name="_Toc75199012"/>
      <w:bookmarkStart w:id="565" w:name="_Toc2878"/>
      <w:bookmarkStart w:id="566" w:name="_Toc22162"/>
      <w:bookmarkStart w:id="567" w:name="_Toc29222"/>
      <w:bookmarkStart w:id="568" w:name="_Toc17208"/>
      <w:bookmarkStart w:id="569" w:name="_Toc100946815"/>
      <w:r>
        <w:rPr>
          <w:bCs/>
          <w:szCs w:val="21"/>
          <w:lang w:val="zh-CN" w:eastAsia="zh-CN"/>
        </w:rPr>
        <w:t xml:space="preserve">14.4 </w:t>
      </w:r>
      <w:r>
        <w:rPr>
          <w:rFonts w:hint="eastAsia"/>
          <w:bCs/>
          <w:szCs w:val="21"/>
          <w:lang w:val="zh-CN" w:eastAsia="zh-CN"/>
        </w:rPr>
        <w:t>卖方设备缺陷</w:t>
      </w:r>
      <w:bookmarkEnd w:id="561"/>
      <w:bookmarkEnd w:id="562"/>
      <w:bookmarkEnd w:id="563"/>
      <w:bookmarkEnd w:id="564"/>
      <w:bookmarkEnd w:id="565"/>
      <w:bookmarkEnd w:id="566"/>
      <w:bookmarkEnd w:id="567"/>
      <w:bookmarkEnd w:id="568"/>
      <w:bookmarkEnd w:id="569"/>
    </w:p>
    <w:p>
      <w:pPr>
        <w:adjustRightInd w:val="0"/>
        <w:snapToGrid w:val="0"/>
        <w:spacing w:line="360" w:lineRule="auto"/>
        <w:ind w:firstLine="440" w:firstLineChars="200"/>
        <w:rPr>
          <w:szCs w:val="21"/>
          <w:lang w:eastAsia="zh-CN"/>
        </w:rPr>
      </w:pPr>
      <w:r>
        <w:rPr>
          <w:rFonts w:hint="eastAsia"/>
          <w:szCs w:val="21"/>
          <w:lang w:eastAsia="zh-CN"/>
        </w:rPr>
        <w:t>由于合同设备缺陷，且卖方未在买方要求的日期前消除缺陷，导致现场调试或交付使用日期延误时，卖方构成违约，卖方虽已承担了修复和</w:t>
      </w:r>
      <w:r>
        <w:rPr>
          <w:szCs w:val="21"/>
          <w:lang w:eastAsia="zh-CN"/>
        </w:rPr>
        <w:t>/或更换设备等的义务，还应按每台套设备每天5000元向买方支付违约金，时间计算从买方要求的日期开始至缺陷消除日期止。</w:t>
      </w:r>
    </w:p>
    <w:p>
      <w:pPr>
        <w:keepNext/>
        <w:keepLines/>
        <w:adjustRightInd w:val="0"/>
        <w:snapToGrid w:val="0"/>
        <w:spacing w:line="360" w:lineRule="auto"/>
        <w:outlineLvl w:val="3"/>
        <w:rPr>
          <w:lang w:val="zh-CN" w:eastAsia="zh-CN"/>
        </w:rPr>
      </w:pPr>
      <w:bookmarkStart w:id="570" w:name="_Toc24086"/>
      <w:bookmarkStart w:id="571" w:name="_Toc100946816"/>
      <w:bookmarkStart w:id="572" w:name="_Toc75199013"/>
      <w:bookmarkStart w:id="573" w:name="_Toc20809"/>
      <w:bookmarkStart w:id="574" w:name="_Toc32649"/>
      <w:bookmarkStart w:id="575" w:name="_Toc9634"/>
      <w:bookmarkStart w:id="576" w:name="_Toc101259185"/>
      <w:bookmarkStart w:id="577" w:name="_Toc30920"/>
      <w:bookmarkStart w:id="578" w:name="_Toc12143"/>
      <w:r>
        <w:rPr>
          <w:lang w:val="zh-CN" w:eastAsia="zh-CN"/>
        </w:rPr>
        <w:t xml:space="preserve">14.5 </w:t>
      </w:r>
      <w:r>
        <w:rPr>
          <w:rFonts w:hint="eastAsia"/>
          <w:lang w:val="zh-CN" w:eastAsia="zh-CN"/>
        </w:rPr>
        <w:t>卖方设备性能不满足合同保证值</w:t>
      </w:r>
      <w:bookmarkEnd w:id="570"/>
      <w:bookmarkEnd w:id="571"/>
      <w:bookmarkEnd w:id="572"/>
      <w:bookmarkEnd w:id="573"/>
      <w:bookmarkEnd w:id="574"/>
      <w:bookmarkEnd w:id="575"/>
      <w:bookmarkEnd w:id="576"/>
      <w:bookmarkEnd w:id="577"/>
      <w:bookmarkEnd w:id="578"/>
    </w:p>
    <w:p>
      <w:pPr>
        <w:adjustRightInd w:val="0"/>
        <w:snapToGrid w:val="0"/>
        <w:spacing w:line="360" w:lineRule="auto"/>
        <w:ind w:firstLine="440" w:firstLineChars="200"/>
        <w:rPr>
          <w:szCs w:val="21"/>
          <w:lang w:eastAsia="zh-CN"/>
        </w:rPr>
      </w:pPr>
      <w:r>
        <w:rPr>
          <w:rFonts w:hint="eastAsia"/>
          <w:szCs w:val="21"/>
          <w:lang w:eastAsia="zh-CN"/>
        </w:rPr>
        <w:t>若合同设备性能未达到合同规定，但买方决定接受时，卖方仍须承担违约责任并向买方支付违约金。且卖方仍有责任继续协助买方采取措施提高设备性能。</w:t>
      </w:r>
    </w:p>
    <w:p>
      <w:pPr>
        <w:adjustRightInd w:val="0"/>
        <w:snapToGrid w:val="0"/>
        <w:spacing w:line="360" w:lineRule="auto"/>
        <w:ind w:firstLine="440" w:firstLineChars="200"/>
        <w:rPr>
          <w:szCs w:val="21"/>
          <w:lang w:eastAsia="zh-CN"/>
        </w:rPr>
      </w:pPr>
      <w:r>
        <w:rPr>
          <w:rFonts w:hint="eastAsia"/>
          <w:szCs w:val="21"/>
          <w:lang w:eastAsia="zh-CN"/>
        </w:rPr>
        <w:t>违约金由买方综合考虑合同设备性能对工程后期运行维护成本费用增加、工程运行收益减少等的影响程度后决定。</w:t>
      </w:r>
    </w:p>
    <w:p>
      <w:pPr>
        <w:adjustRightInd w:val="0"/>
        <w:snapToGrid w:val="0"/>
        <w:spacing w:line="360" w:lineRule="auto"/>
        <w:ind w:firstLine="440" w:firstLineChars="200"/>
        <w:rPr>
          <w:szCs w:val="21"/>
          <w:lang w:eastAsia="zh-CN"/>
        </w:rPr>
      </w:pPr>
      <w:r>
        <w:rPr>
          <w:rFonts w:hint="eastAsia"/>
          <w:szCs w:val="21"/>
          <w:lang w:eastAsia="zh-CN"/>
        </w:rPr>
        <w:t>设备性能优于保证值时，卖方不得要求买方支付额外的款项。</w:t>
      </w:r>
    </w:p>
    <w:p>
      <w:pPr>
        <w:keepNext/>
        <w:keepLines/>
        <w:adjustRightInd w:val="0"/>
        <w:snapToGrid w:val="0"/>
        <w:spacing w:line="360" w:lineRule="auto"/>
        <w:outlineLvl w:val="3"/>
        <w:rPr>
          <w:bCs/>
          <w:szCs w:val="21"/>
          <w:lang w:val="zh-CN" w:eastAsia="zh-CN"/>
        </w:rPr>
      </w:pPr>
      <w:bookmarkStart w:id="579" w:name="_Toc19569"/>
      <w:bookmarkStart w:id="580" w:name="_Toc5351"/>
      <w:bookmarkStart w:id="581" w:name="_Toc75199014"/>
      <w:bookmarkStart w:id="582" w:name="_Toc9083"/>
      <w:bookmarkStart w:id="583" w:name="_Toc21168"/>
      <w:bookmarkStart w:id="584" w:name="_Toc101259186"/>
      <w:bookmarkStart w:id="585" w:name="_Toc100946817"/>
      <w:bookmarkStart w:id="586" w:name="_Toc22350"/>
      <w:bookmarkStart w:id="587" w:name="_Toc26226"/>
      <w:r>
        <w:rPr>
          <w:bCs/>
          <w:szCs w:val="21"/>
          <w:lang w:val="zh-CN" w:eastAsia="zh-CN"/>
        </w:rPr>
        <w:t>14.</w:t>
      </w:r>
      <w:r>
        <w:rPr>
          <w:rFonts w:hint="eastAsia"/>
          <w:bCs/>
          <w:szCs w:val="21"/>
          <w:lang w:eastAsia="zh-CN"/>
        </w:rPr>
        <w:t>6</w:t>
      </w:r>
      <w:r>
        <w:rPr>
          <w:bCs/>
          <w:szCs w:val="21"/>
          <w:lang w:val="zh-CN" w:eastAsia="zh-CN"/>
        </w:rPr>
        <w:t>违约金支付及限额</w:t>
      </w:r>
      <w:bookmarkEnd w:id="579"/>
      <w:bookmarkEnd w:id="580"/>
      <w:bookmarkEnd w:id="581"/>
      <w:bookmarkEnd w:id="582"/>
      <w:bookmarkEnd w:id="583"/>
      <w:bookmarkEnd w:id="584"/>
      <w:bookmarkEnd w:id="585"/>
      <w:bookmarkEnd w:id="586"/>
      <w:bookmarkEnd w:id="587"/>
    </w:p>
    <w:p>
      <w:pPr>
        <w:adjustRightInd w:val="0"/>
        <w:snapToGrid w:val="0"/>
        <w:spacing w:line="360" w:lineRule="auto"/>
        <w:ind w:firstLine="440" w:firstLineChars="200"/>
        <w:rPr>
          <w:szCs w:val="21"/>
          <w:lang w:eastAsia="zh-CN"/>
        </w:rPr>
      </w:pPr>
      <w:r>
        <w:rPr>
          <w:rFonts w:hint="eastAsia"/>
          <w:szCs w:val="21"/>
          <w:lang w:eastAsia="zh-CN"/>
        </w:rPr>
        <w:t>卖方违约且卖方未向买方直接支付违约金的情况下，买方可在通知卖方后，直接从应支付给卖方的合同款或卖方提交的履约担保中扣除违约金。</w:t>
      </w:r>
    </w:p>
    <w:p>
      <w:pPr>
        <w:adjustRightInd w:val="0"/>
        <w:snapToGrid w:val="0"/>
        <w:spacing w:line="360" w:lineRule="auto"/>
        <w:ind w:firstLine="440" w:firstLineChars="200"/>
        <w:rPr>
          <w:szCs w:val="21"/>
          <w:lang w:eastAsia="zh-CN"/>
        </w:rPr>
      </w:pPr>
      <w:r>
        <w:rPr>
          <w:rFonts w:hint="eastAsia"/>
          <w:szCs w:val="21"/>
          <w:highlight w:val="none"/>
          <w:lang w:eastAsia="zh-CN"/>
        </w:rPr>
        <w:t>任何一方的违约金的总金额不超过合同总价的</w:t>
      </w:r>
      <w:r>
        <w:rPr>
          <w:szCs w:val="21"/>
          <w:highlight w:val="none"/>
          <w:lang w:eastAsia="zh-CN"/>
        </w:rPr>
        <w:t>10％。</w:t>
      </w:r>
    </w:p>
    <w:p>
      <w:pPr>
        <w:keepNext/>
        <w:keepLines/>
        <w:shd w:val="clear" w:color="auto" w:fill="FFFFFF"/>
        <w:adjustRightInd w:val="0"/>
        <w:snapToGrid w:val="0"/>
        <w:spacing w:line="360" w:lineRule="auto"/>
        <w:outlineLvl w:val="2"/>
        <w:rPr>
          <w:szCs w:val="21"/>
          <w:lang w:val="zh-CN" w:eastAsia="zh-CN"/>
        </w:rPr>
      </w:pPr>
      <w:bookmarkStart w:id="588" w:name="_Toc29300"/>
      <w:bookmarkStart w:id="589" w:name="_Toc81896094"/>
      <w:bookmarkStart w:id="590" w:name="_Toc40447191"/>
      <w:bookmarkStart w:id="591" w:name="_Toc4601"/>
      <w:bookmarkStart w:id="592" w:name="_Toc2622"/>
      <w:bookmarkStart w:id="593" w:name="_Toc100946818"/>
      <w:bookmarkStart w:id="594" w:name="_Toc101259187"/>
      <w:bookmarkStart w:id="595" w:name="_Toc9954"/>
      <w:bookmarkStart w:id="596" w:name="_Toc92225937"/>
      <w:bookmarkStart w:id="597" w:name="_Toc26252"/>
      <w:bookmarkStart w:id="598" w:name="_Toc15100"/>
      <w:bookmarkStart w:id="599" w:name="_Toc25429"/>
      <w:bookmarkStart w:id="600" w:name="_Toc5454"/>
      <w:bookmarkStart w:id="601" w:name="_Toc16681"/>
      <w:bookmarkStart w:id="602" w:name="_Toc17786"/>
      <w:bookmarkStart w:id="603" w:name="_Toc75199015"/>
      <w:bookmarkStart w:id="604" w:name="_Toc8923"/>
      <w:bookmarkStart w:id="605" w:name="_Toc7981"/>
      <w:bookmarkStart w:id="606" w:name="_Toc13544"/>
      <w:bookmarkStart w:id="607" w:name="_Toc11303"/>
      <w:bookmarkStart w:id="608" w:name="_Toc113559500"/>
      <w:bookmarkStart w:id="609" w:name="_Toc25163"/>
      <w:bookmarkStart w:id="610" w:name="_Toc229"/>
      <w:bookmarkStart w:id="611" w:name="_Toc1749"/>
      <w:bookmarkStart w:id="612" w:name="_Toc23575"/>
      <w:bookmarkStart w:id="613" w:name="_Toc2187"/>
      <w:r>
        <w:rPr>
          <w:szCs w:val="21"/>
          <w:lang w:val="zh-CN" w:eastAsia="zh-CN"/>
        </w:rPr>
        <w:t>17.争议的解决</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pPr>
        <w:adjustRightInd w:val="0"/>
        <w:snapToGrid w:val="0"/>
        <w:spacing w:line="360" w:lineRule="auto"/>
        <w:ind w:firstLine="440" w:firstLineChars="200"/>
        <w:rPr>
          <w:szCs w:val="21"/>
          <w:lang w:eastAsia="zh-CN"/>
        </w:rPr>
      </w:pPr>
      <w:r>
        <w:rPr>
          <w:rFonts w:hint="eastAsia"/>
          <w:szCs w:val="21"/>
          <w:lang w:eastAsia="zh-CN"/>
        </w:rPr>
        <w:t>在履行合同的过程中，双方应及时就争议问题进行友好协商，共同努力争取协商解决，并签订书面协议。协商不成时，任何一方均有权向工程所在地人民法院直接提起诉讼。</w:t>
      </w:r>
    </w:p>
    <w:p>
      <w:pPr>
        <w:adjustRightInd w:val="0"/>
        <w:snapToGrid w:val="0"/>
        <w:spacing w:line="360" w:lineRule="auto"/>
        <w:ind w:firstLine="440" w:firstLineChars="200"/>
        <w:rPr>
          <w:szCs w:val="21"/>
          <w:lang w:eastAsia="zh-CN"/>
        </w:rPr>
      </w:pPr>
      <w:r>
        <w:rPr>
          <w:rFonts w:hint="eastAsia"/>
          <w:szCs w:val="21"/>
          <w:lang w:eastAsia="zh-CN"/>
        </w:rPr>
        <w:t>在争议尚未获得解决之前，双方均应继续按合同履行各自的责任和义务。</w:t>
      </w:r>
    </w:p>
    <w:p>
      <w:pPr>
        <w:adjustRightInd w:val="0"/>
        <w:snapToGrid w:val="0"/>
        <w:spacing w:line="360" w:lineRule="auto"/>
        <w:rPr>
          <w:lang w:eastAsia="zh-CN"/>
        </w:rPr>
      </w:pPr>
      <w:r>
        <w:rPr>
          <w:rFonts w:hint="eastAsia"/>
          <w:lang w:eastAsia="zh-CN"/>
        </w:rPr>
        <w:t>增加以下条款：</w:t>
      </w:r>
    </w:p>
    <w:p>
      <w:pPr>
        <w:keepNext/>
        <w:keepLines/>
        <w:shd w:val="clear" w:color="auto" w:fill="FFFFFF"/>
        <w:adjustRightInd w:val="0"/>
        <w:snapToGrid w:val="0"/>
        <w:spacing w:line="360" w:lineRule="auto"/>
        <w:outlineLvl w:val="2"/>
        <w:rPr>
          <w:szCs w:val="21"/>
          <w:lang w:val="zh-CN" w:eastAsia="zh-CN"/>
        </w:rPr>
      </w:pPr>
      <w:bookmarkStart w:id="614" w:name="_Toc11561"/>
      <w:bookmarkStart w:id="615" w:name="_Toc29821"/>
      <w:bookmarkStart w:id="616" w:name="_Toc9004"/>
      <w:bookmarkStart w:id="617" w:name="_Toc24471"/>
      <w:bookmarkStart w:id="618" w:name="_Toc100946819"/>
      <w:bookmarkStart w:id="619" w:name="_Toc113559501"/>
      <w:bookmarkStart w:id="620" w:name="_Toc11148"/>
      <w:bookmarkStart w:id="621" w:name="_Toc21961"/>
      <w:bookmarkStart w:id="622" w:name="_Toc10136"/>
      <w:bookmarkStart w:id="623" w:name="_Toc17794"/>
      <w:bookmarkStart w:id="624" w:name="_Toc21067"/>
      <w:bookmarkStart w:id="625" w:name="_Toc25812"/>
      <w:bookmarkStart w:id="626" w:name="_Toc75199016"/>
      <w:bookmarkStart w:id="627" w:name="_Toc12458"/>
      <w:bookmarkStart w:id="628" w:name="_Toc31020"/>
      <w:bookmarkStart w:id="629" w:name="_Toc28775"/>
      <w:bookmarkStart w:id="630" w:name="_Toc3447"/>
      <w:bookmarkStart w:id="631" w:name="_Toc2849"/>
      <w:bookmarkStart w:id="632" w:name="_Toc31070"/>
      <w:bookmarkStart w:id="633" w:name="_Toc12372"/>
      <w:bookmarkStart w:id="634" w:name="_Toc92225938"/>
      <w:bookmarkStart w:id="635" w:name="_Toc26418"/>
      <w:bookmarkStart w:id="636" w:name="_Toc30716"/>
      <w:bookmarkStart w:id="637" w:name="_Toc81896095"/>
      <w:bookmarkStart w:id="638" w:name="_Toc101259188"/>
      <w:bookmarkStart w:id="639" w:name="_Toc40447192"/>
      <w:r>
        <w:rPr>
          <w:szCs w:val="21"/>
          <w:lang w:val="zh-CN" w:eastAsia="zh-CN"/>
        </w:rPr>
        <w:t>18.索赔</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p>
      <w:pPr>
        <w:adjustRightInd w:val="0"/>
        <w:snapToGrid w:val="0"/>
        <w:spacing w:line="360" w:lineRule="auto"/>
        <w:ind w:firstLine="440" w:firstLineChars="200"/>
        <w:rPr>
          <w:szCs w:val="21"/>
          <w:lang w:eastAsia="zh-CN"/>
        </w:rPr>
      </w:pPr>
      <w:r>
        <w:rPr>
          <w:szCs w:val="21"/>
          <w:lang w:eastAsia="zh-CN"/>
        </w:rPr>
        <w:t xml:space="preserve">18.1 </w:t>
      </w:r>
      <w:r>
        <w:rPr>
          <w:rFonts w:hint="eastAsia"/>
          <w:szCs w:val="21"/>
          <w:lang w:eastAsia="zh-CN"/>
        </w:rPr>
        <w:t>若卖方未能在买方再次通知要求的时间（或双方协商的更长时间）之前消除违约行为，或合同设备性能未达到合同规定，且买方决定不接受时，买方有权选择以下方式要求卖方处理：</w:t>
      </w:r>
    </w:p>
    <w:p>
      <w:pPr>
        <w:adjustRightInd w:val="0"/>
        <w:snapToGrid w:val="0"/>
        <w:spacing w:line="360" w:lineRule="auto"/>
        <w:ind w:firstLine="440" w:firstLineChars="200"/>
        <w:rPr>
          <w:szCs w:val="21"/>
          <w:lang w:eastAsia="zh-CN"/>
        </w:rPr>
      </w:pPr>
      <w:r>
        <w:rPr>
          <w:rFonts w:hint="eastAsia"/>
          <w:szCs w:val="21"/>
          <w:lang w:eastAsia="zh-CN"/>
        </w:rPr>
        <w:t>（</w:t>
      </w:r>
      <w:r>
        <w:rPr>
          <w:szCs w:val="21"/>
          <w:lang w:eastAsia="zh-CN"/>
        </w:rPr>
        <w:t>1）卖方用符合合同规定的全新的部件和/或设备更换有缺陷的合同设备，该设备的质量保证期重新计算。更换合同设备所需的所有费用均由卖方承担，且不得影响工程的正常运行。</w:t>
      </w:r>
    </w:p>
    <w:p>
      <w:pPr>
        <w:adjustRightInd w:val="0"/>
        <w:snapToGrid w:val="0"/>
        <w:spacing w:line="360" w:lineRule="auto"/>
        <w:ind w:firstLine="440" w:firstLineChars="200"/>
        <w:rPr>
          <w:szCs w:val="21"/>
          <w:lang w:eastAsia="zh-CN"/>
        </w:rPr>
      </w:pPr>
      <w:r>
        <w:rPr>
          <w:rFonts w:hint="eastAsia"/>
          <w:szCs w:val="21"/>
          <w:lang w:eastAsia="zh-CN"/>
        </w:rPr>
        <w:t>（</w:t>
      </w:r>
      <w:r>
        <w:rPr>
          <w:szCs w:val="21"/>
          <w:lang w:eastAsia="zh-CN"/>
        </w:rPr>
        <w:t>2）按合同设备的缺陷和/或设备的损坏程度及买方遭受直接损失的金额，由双方协商对合同设备进行降价处理。</w:t>
      </w:r>
    </w:p>
    <w:p>
      <w:pPr>
        <w:adjustRightInd w:val="0"/>
        <w:snapToGrid w:val="0"/>
        <w:spacing w:line="360" w:lineRule="auto"/>
        <w:ind w:firstLine="440" w:firstLineChars="200"/>
        <w:rPr>
          <w:szCs w:val="21"/>
          <w:lang w:eastAsia="zh-CN"/>
        </w:rPr>
      </w:pPr>
      <w:r>
        <w:rPr>
          <w:rFonts w:hint="eastAsia"/>
          <w:szCs w:val="21"/>
          <w:lang w:eastAsia="zh-CN"/>
        </w:rPr>
        <w:t>（</w:t>
      </w:r>
      <w:r>
        <w:rPr>
          <w:szCs w:val="21"/>
          <w:lang w:eastAsia="zh-CN"/>
        </w:rPr>
        <w:t>3）卖方退还有缺陷的合同设备的合同款，并承担买方为重新采购、更换合同设备所发生的所有费用。</w:t>
      </w:r>
    </w:p>
    <w:p>
      <w:pPr>
        <w:adjustRightInd w:val="0"/>
        <w:snapToGrid w:val="0"/>
        <w:spacing w:line="360" w:lineRule="auto"/>
        <w:ind w:firstLine="440" w:firstLineChars="200"/>
        <w:rPr>
          <w:szCs w:val="21"/>
          <w:lang w:eastAsia="zh-CN"/>
        </w:rPr>
      </w:pPr>
      <w:r>
        <w:rPr>
          <w:rFonts w:hint="eastAsia"/>
          <w:szCs w:val="21"/>
          <w:lang w:eastAsia="zh-CN"/>
        </w:rPr>
        <w:t>（</w:t>
      </w:r>
      <w:r>
        <w:rPr>
          <w:szCs w:val="21"/>
          <w:lang w:eastAsia="zh-CN"/>
        </w:rPr>
        <w:t>4）其它买方认为方便的处理方式，卖方承担所有费用。</w:t>
      </w:r>
    </w:p>
    <w:p>
      <w:pPr>
        <w:adjustRightInd w:val="0"/>
        <w:snapToGrid w:val="0"/>
        <w:spacing w:line="360" w:lineRule="auto"/>
        <w:ind w:firstLine="440" w:firstLineChars="200"/>
        <w:rPr>
          <w:szCs w:val="21"/>
          <w:lang w:eastAsia="zh-CN"/>
        </w:rPr>
      </w:pPr>
      <w:r>
        <w:rPr>
          <w:rFonts w:hint="eastAsia"/>
          <w:szCs w:val="21"/>
          <w:lang w:eastAsia="zh-CN"/>
        </w:rPr>
        <w:t>在买方选择以上一种或几种处理方式时，卖方仍应赔偿买方的一切损失。</w:t>
      </w:r>
    </w:p>
    <w:p>
      <w:pPr>
        <w:adjustRightInd w:val="0"/>
        <w:snapToGrid w:val="0"/>
        <w:spacing w:line="360" w:lineRule="auto"/>
        <w:ind w:firstLine="440" w:firstLineChars="200"/>
        <w:rPr>
          <w:szCs w:val="21"/>
          <w:lang w:eastAsia="zh-CN"/>
        </w:rPr>
      </w:pPr>
      <w:r>
        <w:rPr>
          <w:szCs w:val="21"/>
          <w:lang w:eastAsia="zh-CN"/>
        </w:rPr>
        <w:t xml:space="preserve">18.2 </w:t>
      </w:r>
      <w:r>
        <w:rPr>
          <w:rFonts w:hint="eastAsia"/>
          <w:szCs w:val="21"/>
          <w:lang w:eastAsia="zh-CN"/>
        </w:rPr>
        <w:t>买方在要求卖方做出上述赔偿前，应书面向卖方提交索赔通知。</w:t>
      </w:r>
    </w:p>
    <w:p>
      <w:pPr>
        <w:adjustRightInd w:val="0"/>
        <w:snapToGrid w:val="0"/>
        <w:spacing w:line="360" w:lineRule="auto"/>
        <w:ind w:firstLine="440" w:firstLineChars="200"/>
        <w:rPr>
          <w:szCs w:val="21"/>
          <w:lang w:eastAsia="zh-CN"/>
        </w:rPr>
      </w:pPr>
      <w:r>
        <w:rPr>
          <w:szCs w:val="21"/>
          <w:lang w:eastAsia="zh-CN"/>
        </w:rPr>
        <w:t xml:space="preserve">18.3 </w:t>
      </w:r>
      <w:r>
        <w:rPr>
          <w:rFonts w:hint="eastAsia"/>
          <w:szCs w:val="21"/>
          <w:lang w:eastAsia="zh-CN"/>
        </w:rPr>
        <w:t>卖方在接到买方的索赔通知</w:t>
      </w:r>
      <w:r>
        <w:rPr>
          <w:szCs w:val="21"/>
          <w:lang w:eastAsia="zh-CN"/>
        </w:rPr>
        <w:t>14天内未作回复，则应理解为卖方已接受该索赔要求。</w:t>
      </w:r>
    </w:p>
    <w:p>
      <w:pPr>
        <w:adjustRightInd w:val="0"/>
        <w:snapToGrid w:val="0"/>
        <w:spacing w:line="360" w:lineRule="auto"/>
        <w:ind w:firstLine="440" w:firstLineChars="200"/>
        <w:rPr>
          <w:lang w:eastAsia="zh-CN"/>
        </w:rPr>
      </w:pPr>
      <w:r>
        <w:rPr>
          <w:szCs w:val="21"/>
          <w:lang w:eastAsia="zh-CN"/>
        </w:rPr>
        <w:t xml:space="preserve">18.4 </w:t>
      </w:r>
      <w:r>
        <w:rPr>
          <w:rFonts w:hint="eastAsia"/>
          <w:szCs w:val="21"/>
          <w:lang w:eastAsia="zh-CN"/>
        </w:rPr>
        <w:t>在接受买方的索赔要求后</w:t>
      </w:r>
      <w:r>
        <w:rPr>
          <w:szCs w:val="21"/>
          <w:lang w:eastAsia="zh-CN"/>
        </w:rPr>
        <w:t>28天（或双方协商的更长时间）内，若卖方未能按照买方要求的方式来处理索赔，则买方可直接从应支付合同款中扣款或卖方提交的履约担保中追索。</w:t>
      </w:r>
    </w:p>
    <w:p>
      <w:pPr>
        <w:adjustRightInd w:val="0"/>
        <w:snapToGrid w:val="0"/>
        <w:spacing w:line="360" w:lineRule="auto"/>
        <w:ind w:firstLine="440" w:firstLineChars="200"/>
        <w:rPr>
          <w:szCs w:val="21"/>
          <w:lang w:eastAsia="zh-CN"/>
        </w:rPr>
      </w:pPr>
    </w:p>
    <w:p>
      <w:pPr>
        <w:keepNext/>
        <w:keepLines/>
        <w:shd w:val="clear" w:color="auto" w:fill="FFFFFF"/>
        <w:adjustRightInd w:val="0"/>
        <w:snapToGrid w:val="0"/>
        <w:spacing w:line="360" w:lineRule="auto"/>
        <w:outlineLvl w:val="2"/>
        <w:rPr>
          <w:szCs w:val="21"/>
          <w:lang w:val="zh-CN" w:eastAsia="zh-CN"/>
        </w:rPr>
      </w:pPr>
      <w:bookmarkStart w:id="640" w:name="_Toc6821"/>
      <w:bookmarkStart w:id="641" w:name="_Toc21164"/>
      <w:bookmarkStart w:id="642" w:name="_Toc23929"/>
      <w:bookmarkStart w:id="643" w:name="_Toc5895"/>
      <w:bookmarkStart w:id="644" w:name="_Toc21471"/>
      <w:bookmarkStart w:id="645" w:name="_Toc13615"/>
      <w:bookmarkStart w:id="646" w:name="_Toc20342"/>
      <w:bookmarkStart w:id="647" w:name="_Toc81896096"/>
      <w:bookmarkStart w:id="648" w:name="_Toc101259189"/>
      <w:bookmarkStart w:id="649" w:name="_Toc17523"/>
      <w:bookmarkStart w:id="650" w:name="_Toc5051"/>
      <w:bookmarkStart w:id="651" w:name="_Toc113559502"/>
      <w:bookmarkStart w:id="652" w:name="_Toc13086"/>
      <w:bookmarkStart w:id="653" w:name="_Toc8765"/>
      <w:bookmarkStart w:id="654" w:name="_Toc75199017"/>
      <w:bookmarkStart w:id="655" w:name="_Toc10771"/>
      <w:bookmarkStart w:id="656" w:name="_Toc13554"/>
      <w:bookmarkStart w:id="657" w:name="_Toc13234"/>
      <w:bookmarkStart w:id="658" w:name="_Toc13592"/>
      <w:bookmarkStart w:id="659" w:name="_Toc31542"/>
      <w:bookmarkStart w:id="660" w:name="_Toc100946820"/>
      <w:bookmarkStart w:id="661" w:name="_Toc23748"/>
      <w:bookmarkStart w:id="662" w:name="_Toc20300"/>
      <w:bookmarkStart w:id="663" w:name="_Toc92225939"/>
      <w:bookmarkStart w:id="664" w:name="_Toc14583"/>
      <w:bookmarkStart w:id="665" w:name="_Toc40447193"/>
      <w:r>
        <w:rPr>
          <w:szCs w:val="21"/>
          <w:lang w:val="zh-CN" w:eastAsia="zh-CN"/>
        </w:rPr>
        <w:t>19.税费</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pPr>
        <w:adjustRightInd w:val="0"/>
        <w:snapToGrid w:val="0"/>
        <w:spacing w:line="360" w:lineRule="auto"/>
        <w:ind w:firstLine="440" w:firstLineChars="200"/>
        <w:rPr>
          <w:szCs w:val="21"/>
          <w:lang w:eastAsia="zh-CN"/>
        </w:rPr>
      </w:pPr>
      <w:r>
        <w:rPr>
          <w:rFonts w:hint="eastAsia"/>
          <w:szCs w:val="21"/>
          <w:lang w:eastAsia="zh-CN"/>
        </w:rPr>
        <w:t>根据国家税收相关法律法规所征收的与执行本合同有关的一切税费均由卖方承担。卖方应按国家有关规定申报和缴纳执行本合同项下的全部税费。</w:t>
      </w:r>
    </w:p>
    <w:p>
      <w:pPr>
        <w:adjustRightInd w:val="0"/>
        <w:snapToGrid w:val="0"/>
        <w:spacing w:line="360" w:lineRule="auto"/>
        <w:ind w:firstLine="440" w:firstLineChars="200"/>
        <w:rPr>
          <w:szCs w:val="21"/>
          <w:lang w:eastAsia="zh-CN"/>
        </w:rPr>
      </w:pPr>
    </w:p>
    <w:p>
      <w:pPr>
        <w:keepNext/>
        <w:keepLines/>
        <w:shd w:val="clear" w:color="auto" w:fill="FFFFFF"/>
        <w:adjustRightInd w:val="0"/>
        <w:snapToGrid w:val="0"/>
        <w:spacing w:line="360" w:lineRule="auto"/>
        <w:outlineLvl w:val="2"/>
        <w:rPr>
          <w:szCs w:val="21"/>
          <w:lang w:val="zh-CN" w:eastAsia="zh-CN"/>
        </w:rPr>
      </w:pPr>
      <w:bookmarkStart w:id="666" w:name="_Toc21302"/>
      <w:bookmarkStart w:id="667" w:name="_Toc113559503"/>
      <w:bookmarkStart w:id="668" w:name="_Toc23742"/>
      <w:bookmarkStart w:id="669" w:name="_Toc12726"/>
      <w:bookmarkStart w:id="670" w:name="_Toc20789"/>
      <w:bookmarkStart w:id="671" w:name="_Toc40447194"/>
      <w:bookmarkStart w:id="672" w:name="_Toc31882"/>
      <w:bookmarkStart w:id="673" w:name="_Toc11377"/>
      <w:bookmarkStart w:id="674" w:name="_Toc4901"/>
      <w:bookmarkStart w:id="675" w:name="_Toc8930"/>
      <w:bookmarkStart w:id="676" w:name="_Toc31154"/>
      <w:bookmarkStart w:id="677" w:name="_Toc6943"/>
      <w:bookmarkStart w:id="678" w:name="_Toc7565"/>
      <w:bookmarkStart w:id="679" w:name="_Toc29423"/>
      <w:bookmarkStart w:id="680" w:name="_Toc3617"/>
      <w:bookmarkStart w:id="681" w:name="_Toc429"/>
      <w:bookmarkStart w:id="682" w:name="_Toc16150"/>
      <w:bookmarkStart w:id="683" w:name="_Toc28712"/>
      <w:bookmarkStart w:id="684" w:name="_Toc81896097"/>
      <w:bookmarkStart w:id="685" w:name="_Toc100946821"/>
      <w:bookmarkStart w:id="686" w:name="_Toc29128"/>
      <w:bookmarkStart w:id="687" w:name="_Toc28417"/>
      <w:bookmarkStart w:id="688" w:name="_Toc92225940"/>
      <w:bookmarkStart w:id="689" w:name="_Toc75199018"/>
      <w:bookmarkStart w:id="690" w:name="_Toc32184"/>
      <w:bookmarkStart w:id="691" w:name="_Toc101259190"/>
      <w:r>
        <w:rPr>
          <w:szCs w:val="21"/>
          <w:lang w:val="zh-CN" w:eastAsia="zh-CN"/>
        </w:rPr>
        <w:t>20.保险</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pPr>
        <w:adjustRightInd w:val="0"/>
        <w:snapToGrid w:val="0"/>
        <w:spacing w:line="360" w:lineRule="auto"/>
        <w:ind w:firstLine="440" w:firstLineChars="200"/>
        <w:rPr>
          <w:szCs w:val="21"/>
          <w:lang w:eastAsia="zh-CN"/>
        </w:rPr>
      </w:pPr>
      <w:r>
        <w:rPr>
          <w:rFonts w:hint="eastAsia"/>
          <w:szCs w:val="21"/>
          <w:lang w:eastAsia="zh-CN"/>
        </w:rPr>
        <w:t>卖方应对合同设备在制造、存放、运输、交货至现场，直至移交买方前的全过程中的丢失或损坏等进行全面保险。保险金额为合同设备价格的</w:t>
      </w:r>
      <w:r>
        <w:rPr>
          <w:szCs w:val="21"/>
          <w:lang w:eastAsia="zh-CN"/>
        </w:rPr>
        <w:t>100%。</w:t>
      </w:r>
    </w:p>
    <w:p>
      <w:pPr>
        <w:spacing w:line="510" w:lineRule="exact"/>
        <w:rPr>
          <w:szCs w:val="21"/>
          <w:lang w:eastAsia="zh-CN"/>
        </w:rPr>
      </w:pPr>
      <w:r>
        <w:rPr>
          <w:rFonts w:hint="eastAsia"/>
          <w:szCs w:val="21"/>
          <w:lang w:eastAsia="zh-CN"/>
        </w:rPr>
        <w:t>卖方必须为其在工地参加合同设备安装、试运行和技术服务的人员按国家相关规定投保人身意外险、雇主责任险等。</w:t>
      </w:r>
    </w:p>
    <w:p>
      <w:pPr>
        <w:pStyle w:val="173"/>
      </w:pPr>
      <w:bookmarkStart w:id="692" w:name="_Toc22032793"/>
      <w:bookmarkStart w:id="693" w:name="_Toc113559504"/>
    </w:p>
    <w:p>
      <w:pPr>
        <w:pStyle w:val="173"/>
      </w:pPr>
    </w:p>
    <w:p>
      <w:pPr>
        <w:pStyle w:val="173"/>
      </w:pPr>
    </w:p>
    <w:p>
      <w:pPr>
        <w:pStyle w:val="176"/>
        <w:bidi w:val="0"/>
        <w:rPr>
          <w:rFonts w:hint="eastAsia"/>
        </w:rPr>
      </w:pPr>
      <w:bookmarkStart w:id="694" w:name="_Toc11102"/>
      <w:bookmarkStart w:id="695" w:name="_Toc29742"/>
      <w:bookmarkStart w:id="696" w:name="_Toc13538"/>
      <w:bookmarkStart w:id="697" w:name="_Toc18406"/>
    </w:p>
    <w:p>
      <w:pPr>
        <w:pStyle w:val="176"/>
        <w:bidi w:val="0"/>
        <w:jc w:val="center"/>
        <w:rPr>
          <w:rFonts w:hint="eastAsia"/>
          <w:sz w:val="32"/>
          <w:szCs w:val="32"/>
        </w:rPr>
      </w:pPr>
    </w:p>
    <w:p>
      <w:pPr>
        <w:pStyle w:val="176"/>
        <w:bidi w:val="0"/>
        <w:jc w:val="center"/>
        <w:rPr>
          <w:rFonts w:hint="eastAsia"/>
          <w:sz w:val="32"/>
          <w:szCs w:val="32"/>
        </w:rPr>
      </w:pPr>
    </w:p>
    <w:p>
      <w:pPr>
        <w:pStyle w:val="176"/>
        <w:bidi w:val="0"/>
        <w:jc w:val="center"/>
        <w:rPr>
          <w:rFonts w:hint="eastAsia"/>
          <w:sz w:val="32"/>
          <w:szCs w:val="32"/>
        </w:rPr>
      </w:pPr>
    </w:p>
    <w:p>
      <w:pPr>
        <w:pStyle w:val="176"/>
        <w:bidi w:val="0"/>
        <w:jc w:val="center"/>
        <w:rPr>
          <w:sz w:val="32"/>
          <w:szCs w:val="32"/>
        </w:rPr>
      </w:pPr>
      <w:r>
        <w:rPr>
          <w:rFonts w:hint="eastAsia"/>
          <w:sz w:val="32"/>
          <w:szCs w:val="32"/>
        </w:rPr>
        <w:t>第三节 合同附件格式</w:t>
      </w:r>
      <w:bookmarkEnd w:id="692"/>
      <w:bookmarkEnd w:id="693"/>
      <w:bookmarkEnd w:id="694"/>
      <w:bookmarkEnd w:id="695"/>
      <w:bookmarkEnd w:id="696"/>
      <w:bookmarkEnd w:id="697"/>
    </w:p>
    <w:p>
      <w:pPr>
        <w:pStyle w:val="176"/>
        <w:bidi w:val="0"/>
        <w:rPr>
          <w:lang w:eastAsia="zh-CN"/>
        </w:rPr>
      </w:pPr>
    </w:p>
    <w:p>
      <w:pPr>
        <w:pStyle w:val="173"/>
        <w:keepNext/>
        <w:keepLines/>
        <w:adjustRightInd w:val="0"/>
        <w:snapToGrid w:val="0"/>
        <w:spacing w:before="0" w:after="0" w:line="440" w:lineRule="exact"/>
        <w:outlineLvl w:val="2"/>
      </w:pPr>
      <w:bookmarkStart w:id="698" w:name="_Toc22032794"/>
      <w:bookmarkStart w:id="699" w:name="_Toc102983310"/>
      <w:bookmarkStart w:id="700" w:name="_Toc11249"/>
      <w:bookmarkStart w:id="701" w:name="_Toc113559505"/>
      <w:bookmarkStart w:id="702" w:name="_Toc17746"/>
      <w:bookmarkStart w:id="703" w:name="_Toc5837"/>
      <w:bookmarkStart w:id="704" w:name="_Toc1881"/>
      <w:r>
        <w:rPr>
          <w:sz w:val="21"/>
          <w:szCs w:val="21"/>
        </w:rPr>
        <w:t>附件一：合同协议书</w:t>
      </w:r>
      <w:bookmarkEnd w:id="698"/>
      <w:bookmarkEnd w:id="699"/>
      <w:bookmarkEnd w:id="700"/>
      <w:bookmarkEnd w:id="701"/>
      <w:bookmarkEnd w:id="702"/>
      <w:bookmarkEnd w:id="703"/>
      <w:bookmarkEnd w:id="704"/>
    </w:p>
    <w:p>
      <w:pPr>
        <w:pStyle w:val="187"/>
        <w:keepNext/>
        <w:keepLines/>
        <w:shd w:val="clear" w:color="auto" w:fill="auto"/>
        <w:spacing w:after="0" w:line="260" w:lineRule="exact"/>
        <w:ind w:left="20"/>
      </w:pPr>
      <w:bookmarkStart w:id="705" w:name="_Toc31320"/>
      <w:bookmarkStart w:id="706" w:name="_Toc16928"/>
      <w:bookmarkStart w:id="707" w:name="_Toc102983311"/>
      <w:bookmarkStart w:id="708" w:name="_Toc113559506"/>
      <w:bookmarkStart w:id="709" w:name="_Toc25350"/>
      <w:bookmarkStart w:id="710" w:name="_Toc20769"/>
      <w:r>
        <w:t>合同协议书</w:t>
      </w:r>
      <w:bookmarkEnd w:id="705"/>
      <w:bookmarkEnd w:id="706"/>
      <w:bookmarkEnd w:id="707"/>
      <w:bookmarkEnd w:id="708"/>
      <w:bookmarkEnd w:id="709"/>
      <w:bookmarkEnd w:id="710"/>
    </w:p>
    <w:p>
      <w:pPr>
        <w:tabs>
          <w:tab w:val="left" w:leader="underscore" w:pos="3075"/>
          <w:tab w:val="left" w:leader="underscore" w:pos="8096"/>
        </w:tabs>
        <w:spacing w:line="437" w:lineRule="exact"/>
        <w:ind w:firstLine="440" w:firstLineChars="200"/>
        <w:rPr>
          <w:lang w:eastAsia="zh-CN"/>
        </w:rPr>
      </w:pPr>
      <w:r>
        <w:rPr>
          <w:rFonts w:hint="eastAsia"/>
          <w:u w:val="single"/>
          <w:lang w:eastAsia="zh-CN"/>
        </w:rPr>
        <w:t xml:space="preserve">              </w:t>
      </w:r>
      <w:r>
        <w:rPr>
          <w:lang w:eastAsia="zh-CN"/>
        </w:rPr>
        <w:t>（买方</w:t>
      </w:r>
      <w:r>
        <w:rPr>
          <w:rFonts w:hint="eastAsia"/>
          <w:lang w:eastAsia="zh-CN"/>
        </w:rPr>
        <w:t>)</w:t>
      </w:r>
      <w:r>
        <w:rPr>
          <w:lang w:eastAsia="zh-CN"/>
        </w:rPr>
        <w:t>为获得</w:t>
      </w:r>
      <w:r>
        <w:rPr>
          <w:rFonts w:hint="eastAsia"/>
          <w:u w:val="single"/>
          <w:lang w:eastAsia="zh-CN"/>
        </w:rPr>
        <w:t xml:space="preserve">              </w:t>
      </w:r>
      <w:r>
        <w:rPr>
          <w:lang w:eastAsia="zh-CN"/>
        </w:rPr>
        <w:t>(项目名称</w:t>
      </w:r>
      <w:r>
        <w:rPr>
          <w:lang w:eastAsia="zh-CN" w:bidi="en-US"/>
        </w:rPr>
        <w:t>）合同设备和技术服务和质保期服务</w:t>
      </w:r>
      <w:r>
        <w:rPr>
          <w:lang w:eastAsia="zh-CN"/>
        </w:rPr>
        <w:t>，己接受</w:t>
      </w:r>
      <w:r>
        <w:rPr>
          <w:rFonts w:hint="eastAsia"/>
          <w:u w:val="single"/>
          <w:lang w:eastAsia="zh-CN"/>
        </w:rPr>
        <w:t xml:space="preserve">                      </w:t>
      </w:r>
      <w:r>
        <w:rPr>
          <w:lang w:eastAsia="zh-CN"/>
        </w:rPr>
        <w:t>(卖方</w:t>
      </w:r>
      <w:r>
        <w:rPr>
          <w:lang w:eastAsia="zh-CN" w:bidi="en-US"/>
        </w:rPr>
        <w:t>）为提供上述合同设备和技术服务和质保期服务所作的</w:t>
      </w:r>
      <w:r>
        <w:rPr>
          <w:rFonts w:hint="eastAsia"/>
          <w:lang w:eastAsia="zh-CN" w:bidi="en-US"/>
        </w:rPr>
        <w:t>报价</w:t>
      </w:r>
      <w:r>
        <w:rPr>
          <w:lang w:eastAsia="zh-CN"/>
        </w:rPr>
        <w:t>。买方买方和卖方共同达成如下协议。</w:t>
      </w:r>
    </w:p>
    <w:p>
      <w:pPr>
        <w:tabs>
          <w:tab w:val="left" w:pos="774"/>
        </w:tabs>
        <w:spacing w:line="437" w:lineRule="exact"/>
        <w:ind w:left="440"/>
        <w:outlineLvl w:val="2"/>
        <w:rPr>
          <w:lang w:eastAsia="zh-CN"/>
        </w:rPr>
      </w:pPr>
      <w:bookmarkStart w:id="711" w:name="_Toc1582"/>
      <w:bookmarkStart w:id="712" w:name="_Toc28850"/>
      <w:bookmarkStart w:id="713" w:name="_Toc7405"/>
      <w:bookmarkStart w:id="714" w:name="_Toc13007"/>
      <w:bookmarkStart w:id="715" w:name="_Toc113559507"/>
      <w:r>
        <w:rPr>
          <w:rFonts w:hint="eastAsia"/>
          <w:lang w:eastAsia="zh-CN"/>
        </w:rPr>
        <w:t>1.本协议书与下列文件一起构成合同文件：</w:t>
      </w:r>
      <w:bookmarkEnd w:id="711"/>
      <w:bookmarkEnd w:id="712"/>
      <w:bookmarkEnd w:id="713"/>
      <w:bookmarkEnd w:id="714"/>
      <w:bookmarkEnd w:id="715"/>
    </w:p>
    <w:p>
      <w:pPr>
        <w:tabs>
          <w:tab w:val="left" w:pos="774"/>
        </w:tabs>
        <w:spacing w:line="437" w:lineRule="exact"/>
        <w:ind w:left="440"/>
        <w:rPr>
          <w:lang w:eastAsia="zh-CN"/>
        </w:rPr>
      </w:pPr>
      <w:r>
        <w:rPr>
          <w:rFonts w:hint="eastAsia"/>
          <w:lang w:eastAsia="zh-CN"/>
        </w:rPr>
        <w:t>(1)</w:t>
      </w:r>
      <w:r>
        <w:rPr>
          <w:rFonts w:hint="eastAsia"/>
          <w:lang w:eastAsia="zh-CN"/>
        </w:rPr>
        <w:tab/>
      </w:r>
      <w:r>
        <w:rPr>
          <w:rFonts w:hint="eastAsia"/>
          <w:lang w:eastAsia="zh-CN"/>
        </w:rPr>
        <w:t>中标通知书；</w:t>
      </w:r>
    </w:p>
    <w:p>
      <w:pPr>
        <w:tabs>
          <w:tab w:val="left" w:pos="774"/>
        </w:tabs>
        <w:spacing w:line="437" w:lineRule="exact"/>
        <w:ind w:left="440"/>
        <w:rPr>
          <w:lang w:eastAsia="zh-CN"/>
        </w:rPr>
      </w:pPr>
      <w:r>
        <w:rPr>
          <w:rFonts w:hint="eastAsia"/>
          <w:lang w:eastAsia="zh-CN"/>
        </w:rPr>
        <w:t>(2)</w:t>
      </w:r>
      <w:r>
        <w:rPr>
          <w:rFonts w:hint="eastAsia"/>
          <w:lang w:eastAsia="zh-CN"/>
        </w:rPr>
        <w:tab/>
      </w:r>
      <w:r>
        <w:rPr>
          <w:rFonts w:hint="eastAsia"/>
          <w:lang w:eastAsia="zh-CN"/>
        </w:rPr>
        <w:t>报价函；</w:t>
      </w:r>
    </w:p>
    <w:p>
      <w:pPr>
        <w:tabs>
          <w:tab w:val="left" w:pos="774"/>
        </w:tabs>
        <w:spacing w:line="437" w:lineRule="exact"/>
        <w:ind w:left="440"/>
        <w:rPr>
          <w:lang w:eastAsia="zh-CN"/>
        </w:rPr>
      </w:pPr>
      <w:r>
        <w:rPr>
          <w:rFonts w:hint="eastAsia"/>
          <w:lang w:eastAsia="zh-CN"/>
        </w:rPr>
        <w:t>(3)</w:t>
      </w:r>
      <w:r>
        <w:rPr>
          <w:rFonts w:hint="eastAsia"/>
          <w:lang w:eastAsia="zh-CN"/>
        </w:rPr>
        <w:tab/>
      </w:r>
      <w:r>
        <w:rPr>
          <w:rFonts w:hint="eastAsia"/>
          <w:lang w:eastAsia="zh-CN"/>
        </w:rPr>
        <w:t>专用合同条款；</w:t>
      </w:r>
    </w:p>
    <w:p>
      <w:pPr>
        <w:tabs>
          <w:tab w:val="left" w:pos="774"/>
        </w:tabs>
        <w:spacing w:line="437" w:lineRule="exact"/>
        <w:ind w:left="440"/>
        <w:rPr>
          <w:lang w:eastAsia="zh-CN"/>
        </w:rPr>
      </w:pPr>
      <w:r>
        <w:rPr>
          <w:rFonts w:hint="eastAsia"/>
          <w:lang w:eastAsia="zh-CN"/>
        </w:rPr>
        <w:t>(4)</w:t>
      </w:r>
      <w:r>
        <w:rPr>
          <w:rFonts w:hint="eastAsia"/>
          <w:lang w:eastAsia="zh-CN"/>
        </w:rPr>
        <w:tab/>
      </w:r>
      <w:r>
        <w:rPr>
          <w:rFonts w:hint="eastAsia"/>
          <w:lang w:eastAsia="zh-CN"/>
        </w:rPr>
        <w:t>通用合同条款；</w:t>
      </w:r>
    </w:p>
    <w:p>
      <w:pPr>
        <w:tabs>
          <w:tab w:val="left" w:pos="774"/>
        </w:tabs>
        <w:spacing w:line="437" w:lineRule="exact"/>
        <w:ind w:left="440"/>
        <w:rPr>
          <w:lang w:eastAsia="zh-CN"/>
        </w:rPr>
      </w:pPr>
      <w:r>
        <w:rPr>
          <w:rFonts w:hint="eastAsia"/>
          <w:lang w:eastAsia="zh-CN"/>
        </w:rPr>
        <w:t>(5)</w:t>
      </w:r>
      <w:r>
        <w:rPr>
          <w:rFonts w:hint="eastAsia"/>
          <w:lang w:eastAsia="zh-CN"/>
        </w:rPr>
        <w:tab/>
      </w:r>
      <w:r>
        <w:rPr>
          <w:rFonts w:hint="eastAsia"/>
          <w:lang w:eastAsia="zh-CN"/>
        </w:rPr>
        <w:t>分项报价表；</w:t>
      </w:r>
    </w:p>
    <w:p>
      <w:pPr>
        <w:tabs>
          <w:tab w:val="left" w:pos="774"/>
        </w:tabs>
        <w:spacing w:line="437" w:lineRule="exact"/>
        <w:ind w:left="440"/>
        <w:rPr>
          <w:lang w:eastAsia="zh-CN"/>
        </w:rPr>
      </w:pPr>
      <w:r>
        <w:rPr>
          <w:rFonts w:hint="eastAsia"/>
          <w:lang w:eastAsia="zh-CN"/>
        </w:rPr>
        <w:t>(6)设备性能、参数表。</w:t>
      </w:r>
    </w:p>
    <w:p>
      <w:pPr>
        <w:tabs>
          <w:tab w:val="left" w:pos="774"/>
        </w:tabs>
        <w:spacing w:line="437" w:lineRule="exact"/>
        <w:ind w:left="440"/>
        <w:rPr>
          <w:lang w:eastAsia="zh-CN"/>
        </w:rPr>
      </w:pPr>
      <w:r>
        <w:rPr>
          <w:rFonts w:hint="eastAsia"/>
          <w:lang w:eastAsia="zh-CN"/>
        </w:rPr>
        <w:t>(7)其他合同文件。</w:t>
      </w:r>
    </w:p>
    <w:p>
      <w:pPr>
        <w:tabs>
          <w:tab w:val="left" w:leader="underscore" w:pos="3075"/>
          <w:tab w:val="left" w:leader="underscore" w:pos="8096"/>
        </w:tabs>
        <w:spacing w:line="437" w:lineRule="exact"/>
        <w:ind w:firstLine="440" w:firstLineChars="200"/>
        <w:rPr>
          <w:lang w:eastAsia="zh-CN"/>
        </w:rPr>
      </w:pPr>
      <w:r>
        <w:rPr>
          <w:rFonts w:hint="eastAsia"/>
          <w:lang w:eastAsia="zh-CN"/>
        </w:rPr>
        <w:t>2.上述合同文件互相补充和解释。如果合同文件之间存在矛盾或不一致之处，以上述文件的排列顺序在先者为准。</w:t>
      </w:r>
    </w:p>
    <w:p>
      <w:pPr>
        <w:tabs>
          <w:tab w:val="left" w:leader="underscore" w:pos="3075"/>
          <w:tab w:val="left" w:leader="underscore" w:pos="8096"/>
        </w:tabs>
        <w:spacing w:line="437" w:lineRule="exact"/>
        <w:ind w:firstLine="440" w:firstLineChars="200"/>
        <w:rPr>
          <w:lang w:eastAsia="zh-CN"/>
        </w:rPr>
      </w:pPr>
      <w:r>
        <w:rPr>
          <w:rFonts w:hint="eastAsia"/>
          <w:lang w:eastAsia="zh-CN"/>
        </w:rPr>
        <w:t>3.签约合同价：人民币（大写）</w:t>
      </w:r>
      <w:r>
        <w:rPr>
          <w:rFonts w:hint="eastAsia"/>
          <w:u w:val="single"/>
          <w:lang w:eastAsia="zh-CN"/>
        </w:rPr>
        <w:t xml:space="preserve">                </w:t>
      </w:r>
      <w:r>
        <w:rPr>
          <w:rFonts w:hint="eastAsia"/>
          <w:lang w:eastAsia="zh-CN"/>
        </w:rPr>
        <w:t>(¥</w:t>
      </w:r>
      <w:r>
        <w:rPr>
          <w:rFonts w:hint="eastAsia"/>
          <w:u w:val="single"/>
          <w:lang w:eastAsia="zh-CN"/>
        </w:rPr>
        <w:t xml:space="preserve">            </w:t>
      </w:r>
      <w:r>
        <w:rPr>
          <w:rFonts w:hint="eastAsia"/>
          <w:lang w:eastAsia="zh-CN"/>
        </w:rPr>
        <w:t>)。</w:t>
      </w:r>
    </w:p>
    <w:p>
      <w:pPr>
        <w:tabs>
          <w:tab w:val="left" w:leader="underscore" w:pos="3075"/>
          <w:tab w:val="left" w:leader="underscore" w:pos="8096"/>
        </w:tabs>
        <w:spacing w:line="437" w:lineRule="exact"/>
        <w:ind w:firstLine="440" w:firstLineChars="200"/>
        <w:rPr>
          <w:lang w:eastAsia="zh-CN"/>
        </w:rPr>
      </w:pPr>
      <w:r>
        <w:rPr>
          <w:rFonts w:hint="eastAsia"/>
          <w:lang w:eastAsia="zh-CN"/>
        </w:rPr>
        <w:t>4.卖方承诺保证完全按照合同约定提供合同设备和技术服务和质保期服务并修补缺陷。</w:t>
      </w:r>
    </w:p>
    <w:p>
      <w:pPr>
        <w:tabs>
          <w:tab w:val="left" w:leader="underscore" w:pos="3075"/>
          <w:tab w:val="left" w:leader="underscore" w:pos="8096"/>
        </w:tabs>
        <w:spacing w:line="437" w:lineRule="exact"/>
        <w:ind w:firstLine="440" w:firstLineChars="200"/>
        <w:rPr>
          <w:lang w:eastAsia="zh-CN"/>
        </w:rPr>
      </w:pPr>
      <w:r>
        <w:rPr>
          <w:rFonts w:hint="eastAsia"/>
          <w:lang w:eastAsia="zh-CN"/>
        </w:rPr>
        <w:t>5.买方承诺保证按照合同约定的条件、时间和方式向卖方支付合同价款。</w:t>
      </w:r>
    </w:p>
    <w:p>
      <w:pPr>
        <w:tabs>
          <w:tab w:val="left" w:leader="underscore" w:pos="3075"/>
          <w:tab w:val="left" w:leader="underscore" w:pos="8096"/>
        </w:tabs>
        <w:spacing w:line="437" w:lineRule="exact"/>
        <w:ind w:firstLine="440" w:firstLineChars="200"/>
        <w:rPr>
          <w:lang w:eastAsia="zh-CN"/>
        </w:rPr>
      </w:pPr>
      <w:r>
        <w:rPr>
          <w:lang w:eastAsia="zh-CN"/>
        </w:rPr>
        <w:t>6.</w:t>
      </w:r>
      <w:r>
        <w:rPr>
          <w:rFonts w:hint="eastAsia"/>
          <w:lang w:eastAsia="zh-CN"/>
        </w:rPr>
        <w:t>本合同书正本4份，买方2份，卖方2份；副本6份，买4份，卖方2份。</w:t>
      </w:r>
    </w:p>
    <w:p>
      <w:pPr>
        <w:tabs>
          <w:tab w:val="left" w:leader="underscore" w:pos="3075"/>
          <w:tab w:val="left" w:leader="underscore" w:pos="8096"/>
        </w:tabs>
        <w:spacing w:line="437" w:lineRule="exact"/>
        <w:ind w:firstLine="440" w:firstLineChars="200"/>
        <w:rPr>
          <w:lang w:eastAsia="zh-CN"/>
        </w:rPr>
      </w:pPr>
      <w:r>
        <w:rPr>
          <w:rFonts w:hint="eastAsia"/>
          <w:lang w:eastAsia="zh-CN"/>
        </w:rPr>
        <w:t>7.合同未尽事宜，双方另行签订补充协议，补充协议是合同的组成部分。</w:t>
      </w:r>
    </w:p>
    <w:p>
      <w:pPr>
        <w:tabs>
          <w:tab w:val="left" w:pos="774"/>
        </w:tabs>
        <w:spacing w:line="437" w:lineRule="exact"/>
        <w:ind w:left="462" w:leftChars="210" w:firstLine="1540" w:firstLineChars="700"/>
        <w:rPr>
          <w:lang w:eastAsia="zh-CN"/>
        </w:rPr>
      </w:pPr>
      <w:r>
        <w:rPr>
          <w:rFonts w:hint="eastAsia"/>
          <w:lang w:eastAsia="zh-CN"/>
        </w:rPr>
        <w:t>买方：</w:t>
      </w:r>
      <w:r>
        <w:rPr>
          <w:rFonts w:hint="eastAsia"/>
          <w:u w:val="single"/>
          <w:lang w:eastAsia="zh-CN"/>
        </w:rPr>
        <w:t xml:space="preserve">                                         </w:t>
      </w:r>
      <w:r>
        <w:rPr>
          <w:rFonts w:hint="eastAsia"/>
          <w:lang w:eastAsia="zh-CN"/>
        </w:rPr>
        <w:t>(盖单位章）</w:t>
      </w:r>
    </w:p>
    <w:p>
      <w:pPr>
        <w:tabs>
          <w:tab w:val="left" w:pos="774"/>
        </w:tabs>
        <w:spacing w:line="437" w:lineRule="exact"/>
        <w:ind w:left="462" w:leftChars="210" w:firstLine="1540" w:firstLineChars="700"/>
        <w:rPr>
          <w:lang w:eastAsia="zh-CN"/>
        </w:rPr>
      </w:pPr>
      <w:r>
        <w:rPr>
          <w:rFonts w:hint="eastAsia"/>
          <w:lang w:eastAsia="zh-CN"/>
        </w:rPr>
        <w:t>法定代表人或其委托代理人：</w:t>
      </w:r>
      <w:r>
        <w:rPr>
          <w:rFonts w:hint="eastAsia"/>
          <w:u w:val="single"/>
          <w:lang w:eastAsia="zh-CN"/>
        </w:rPr>
        <w:t xml:space="preserve">                         </w:t>
      </w:r>
      <w:r>
        <w:rPr>
          <w:rFonts w:hint="eastAsia"/>
          <w:lang w:eastAsia="zh-CN"/>
        </w:rPr>
        <w:t>(签名)</w:t>
      </w:r>
    </w:p>
    <w:p>
      <w:pPr>
        <w:tabs>
          <w:tab w:val="left" w:pos="774"/>
        </w:tabs>
        <w:spacing w:line="437" w:lineRule="exact"/>
        <w:ind w:left="462" w:leftChars="210" w:firstLine="4400" w:firstLineChars="2000"/>
        <w:rPr>
          <w:lang w:eastAsia="zh-CN"/>
        </w:rPr>
      </w:pPr>
    </w:p>
    <w:p>
      <w:pPr>
        <w:tabs>
          <w:tab w:val="left" w:pos="774"/>
        </w:tabs>
        <w:spacing w:line="437" w:lineRule="exact"/>
        <w:ind w:left="462" w:leftChars="210" w:firstLine="1540" w:firstLineChars="700"/>
        <w:rPr>
          <w:lang w:eastAsia="zh-CN"/>
        </w:rPr>
      </w:pPr>
      <w:r>
        <w:rPr>
          <w:rFonts w:hint="eastAsia"/>
          <w:lang w:eastAsia="zh-CN"/>
        </w:rPr>
        <w:t>卖方：</w:t>
      </w:r>
      <w:r>
        <w:rPr>
          <w:rFonts w:hint="eastAsia"/>
          <w:u w:val="single"/>
          <w:lang w:eastAsia="zh-CN"/>
        </w:rPr>
        <w:t xml:space="preserve">                                          </w:t>
      </w:r>
      <w:r>
        <w:rPr>
          <w:rFonts w:hint="eastAsia"/>
          <w:lang w:eastAsia="zh-CN"/>
        </w:rPr>
        <w:t>(盖单位章)</w:t>
      </w:r>
    </w:p>
    <w:p>
      <w:pPr>
        <w:tabs>
          <w:tab w:val="left" w:pos="774"/>
        </w:tabs>
        <w:spacing w:line="437" w:lineRule="exact"/>
        <w:ind w:left="462" w:leftChars="210" w:firstLine="1540" w:firstLineChars="700"/>
        <w:rPr>
          <w:lang w:eastAsia="zh-CN"/>
        </w:rPr>
      </w:pPr>
      <w:r>
        <w:rPr>
          <w:rFonts w:hint="eastAsia"/>
          <w:lang w:eastAsia="zh-CN"/>
        </w:rPr>
        <w:t>法定代表人或其委托代理人：</w:t>
      </w:r>
      <w:r>
        <w:rPr>
          <w:rFonts w:hint="eastAsia"/>
          <w:u w:val="single"/>
          <w:lang w:eastAsia="zh-CN"/>
        </w:rPr>
        <w:t xml:space="preserve">                          </w:t>
      </w:r>
      <w:r>
        <w:rPr>
          <w:rFonts w:hint="eastAsia"/>
          <w:lang w:eastAsia="zh-CN"/>
        </w:rPr>
        <w:t>(签名)</w:t>
      </w:r>
    </w:p>
    <w:p>
      <w:pPr>
        <w:tabs>
          <w:tab w:val="left" w:pos="774"/>
        </w:tabs>
        <w:spacing w:line="437" w:lineRule="exact"/>
        <w:ind w:left="462" w:leftChars="210" w:firstLine="4400" w:firstLineChars="2000"/>
        <w:rPr>
          <w:lang w:eastAsia="zh-CN"/>
        </w:rPr>
      </w:pPr>
      <w:r>
        <w:rPr>
          <w:rFonts w:hint="eastAsia"/>
          <w:u w:val="single"/>
          <w:lang w:eastAsia="zh-CN"/>
        </w:rPr>
        <w:t xml:space="preserve">      </w:t>
      </w:r>
      <w:r>
        <w:rPr>
          <w:rFonts w:hint="eastAsia"/>
          <w:lang w:eastAsia="zh-CN"/>
        </w:rPr>
        <w:t>年</w:t>
      </w:r>
      <w:r>
        <w:rPr>
          <w:rFonts w:hint="eastAsia"/>
          <w:u w:val="single"/>
          <w:lang w:eastAsia="zh-CN"/>
        </w:rPr>
        <w:t xml:space="preserve">     </w:t>
      </w:r>
      <w:r>
        <w:rPr>
          <w:rFonts w:hint="eastAsia"/>
          <w:lang w:eastAsia="zh-CN"/>
        </w:rPr>
        <w:t>月</w:t>
      </w:r>
      <w:r>
        <w:rPr>
          <w:rFonts w:hint="eastAsia"/>
          <w:u w:val="single"/>
          <w:lang w:eastAsia="zh-CN"/>
        </w:rPr>
        <w:t xml:space="preserve">    </w:t>
      </w:r>
      <w:r>
        <w:rPr>
          <w:rFonts w:hint="eastAsia"/>
          <w:lang w:eastAsia="zh-CN"/>
        </w:rPr>
        <w:t>日</w:t>
      </w:r>
    </w:p>
    <w:p>
      <w:pPr>
        <w:spacing w:line="360" w:lineRule="auto"/>
        <w:ind w:firstLine="562" w:firstLineChars="200"/>
        <w:rPr>
          <w:szCs w:val="21"/>
          <w:lang w:eastAsia="zh-CN"/>
        </w:rPr>
      </w:pPr>
      <w:r>
        <w:rPr>
          <w:b/>
          <w:bCs/>
          <w:sz w:val="28"/>
          <w:szCs w:val="28"/>
        </w:rPr>
        <w:br w:type="page"/>
      </w:r>
      <w:bookmarkStart w:id="716" w:name="_Toc102983313"/>
      <w:bookmarkStart w:id="717" w:name="_Toc113559509"/>
    </w:p>
    <w:bookmarkEnd w:id="716"/>
    <w:bookmarkEnd w:id="717"/>
    <w:p>
      <w:pPr>
        <w:adjustRightInd w:val="0"/>
        <w:snapToGrid w:val="0"/>
        <w:spacing w:line="360" w:lineRule="auto"/>
        <w:ind w:firstLine="440" w:firstLineChars="200"/>
        <w:rPr>
          <w:szCs w:val="21"/>
          <w:lang w:eastAsia="zh-CN"/>
        </w:rPr>
      </w:pPr>
    </w:p>
    <w:p>
      <w:pPr>
        <w:adjustRightInd w:val="0"/>
        <w:snapToGrid w:val="0"/>
        <w:spacing w:line="360" w:lineRule="auto"/>
        <w:ind w:firstLine="440" w:firstLineChars="200"/>
        <w:rPr>
          <w:szCs w:val="21"/>
          <w:lang w:eastAsia="zh-CN"/>
        </w:rPr>
      </w:pPr>
    </w:p>
    <w:p>
      <w:pPr>
        <w:tabs>
          <w:tab w:val="left" w:pos="1213"/>
        </w:tabs>
        <w:snapToGrid w:val="0"/>
        <w:spacing w:line="440" w:lineRule="exact"/>
        <w:outlineLvl w:val="1"/>
        <w:rPr>
          <w:szCs w:val="21"/>
          <w:highlight w:val="none"/>
          <w:lang w:eastAsia="zh-CN"/>
        </w:rPr>
      </w:pPr>
      <w:bookmarkStart w:id="718" w:name="_Toc13700"/>
      <w:bookmarkStart w:id="719" w:name="_Toc13003"/>
      <w:bookmarkStart w:id="720" w:name="_Toc22032796"/>
      <w:bookmarkStart w:id="721" w:name="_Toc113559510"/>
      <w:bookmarkStart w:id="722" w:name="_Toc102983314"/>
      <w:bookmarkStart w:id="723" w:name="_Toc12802"/>
      <w:bookmarkStart w:id="724" w:name="_Toc10355"/>
      <w:r>
        <w:rPr>
          <w:szCs w:val="21"/>
          <w:highlight w:val="none"/>
          <w:lang w:eastAsia="zh-CN"/>
        </w:rPr>
        <w:t>附件</w:t>
      </w:r>
      <w:r>
        <w:rPr>
          <w:rFonts w:hint="eastAsia"/>
          <w:szCs w:val="21"/>
          <w:highlight w:val="none"/>
          <w:lang w:val="en-US" w:eastAsia="zh-CN"/>
        </w:rPr>
        <w:t>二</w:t>
      </w:r>
      <w:r>
        <w:rPr>
          <w:szCs w:val="21"/>
          <w:highlight w:val="none"/>
          <w:lang w:eastAsia="zh-CN"/>
        </w:rPr>
        <w:t>：廉政合同格式</w:t>
      </w:r>
      <w:bookmarkEnd w:id="718"/>
      <w:bookmarkEnd w:id="719"/>
      <w:bookmarkEnd w:id="720"/>
      <w:bookmarkEnd w:id="721"/>
      <w:bookmarkEnd w:id="722"/>
      <w:bookmarkEnd w:id="723"/>
      <w:bookmarkEnd w:id="724"/>
    </w:p>
    <w:p>
      <w:pPr>
        <w:jc w:val="center"/>
        <w:rPr>
          <w:b/>
          <w:szCs w:val="21"/>
          <w:highlight w:val="none"/>
          <w:lang w:eastAsia="zh-CN"/>
        </w:rPr>
      </w:pPr>
      <w:bookmarkStart w:id="725" w:name="_Toc418517429"/>
      <w:bookmarkStart w:id="726" w:name="_Toc420995074"/>
      <w:bookmarkStart w:id="727" w:name="_Toc420995178"/>
      <w:bookmarkStart w:id="728" w:name="_Toc416788188"/>
      <w:bookmarkStart w:id="729" w:name="_Toc421798219"/>
      <w:bookmarkStart w:id="730" w:name="_Toc24117"/>
      <w:r>
        <w:rPr>
          <w:rFonts w:hint="eastAsia"/>
          <w:b/>
          <w:szCs w:val="21"/>
          <w:highlight w:val="none"/>
          <w:lang w:eastAsia="zh-CN"/>
        </w:rPr>
        <w:t>廉政合同</w:t>
      </w:r>
      <w:bookmarkEnd w:id="725"/>
      <w:bookmarkEnd w:id="726"/>
      <w:bookmarkEnd w:id="727"/>
      <w:bookmarkEnd w:id="728"/>
      <w:bookmarkEnd w:id="729"/>
      <w:bookmarkEnd w:id="730"/>
    </w:p>
    <w:p>
      <w:pPr>
        <w:tabs>
          <w:tab w:val="left" w:pos="1213"/>
        </w:tabs>
        <w:snapToGrid w:val="0"/>
        <w:spacing w:line="440" w:lineRule="exact"/>
        <w:ind w:firstLine="440" w:firstLineChars="200"/>
        <w:rPr>
          <w:lang w:val="zh-CN" w:eastAsia="zh-CN"/>
        </w:rPr>
      </w:pPr>
      <w:r>
        <w:rPr>
          <w:rFonts w:hint="eastAsia"/>
          <w:lang w:val="zh-CN" w:eastAsia="zh-CN"/>
        </w:rPr>
        <w:t>根据有关工程建设、廉政建设的规定，为做好工程建设中的党风廉政建设，保证工程建设高效优质，保证建设资金的安全和有效使用以及投资效益，</w:t>
      </w:r>
      <w:r>
        <w:rPr>
          <w:rFonts w:hint="eastAsia"/>
          <w:u w:val="single"/>
          <w:lang w:val="zh-CN" w:eastAsia="zh-CN"/>
        </w:rPr>
        <w:t xml:space="preserve">                   </w:t>
      </w:r>
      <w:r>
        <w:rPr>
          <w:rFonts w:hint="eastAsia"/>
          <w:lang w:val="zh-CN" w:eastAsia="zh-CN"/>
        </w:rPr>
        <w:t>（买方）与</w:t>
      </w:r>
      <w:r>
        <w:rPr>
          <w:rFonts w:hint="eastAsia"/>
          <w:u w:val="single"/>
          <w:lang w:val="zh-CN" w:eastAsia="zh-CN"/>
        </w:rPr>
        <w:t xml:space="preserve">                 </w:t>
      </w:r>
      <w:r>
        <w:rPr>
          <w:rFonts w:hint="eastAsia"/>
          <w:lang w:val="zh-CN" w:eastAsia="zh-CN"/>
        </w:rPr>
        <w:t>（卖方），特订立如下合同：</w:t>
      </w:r>
    </w:p>
    <w:p>
      <w:pPr>
        <w:rPr>
          <w:lang w:val="zh-CN" w:eastAsia="zh-CN"/>
        </w:rPr>
      </w:pPr>
      <w:bookmarkStart w:id="731" w:name="_Toc21725"/>
      <w:bookmarkStart w:id="732" w:name="_Toc1742"/>
      <w:bookmarkStart w:id="733" w:name="_Toc17089"/>
      <w:bookmarkStart w:id="734" w:name="_Toc9692"/>
      <w:bookmarkStart w:id="735" w:name="_Toc113559511"/>
      <w:r>
        <w:rPr>
          <w:rFonts w:hint="eastAsia"/>
          <w:lang w:val="zh-CN" w:eastAsia="zh-CN"/>
        </w:rPr>
        <w:t>1.一般约定</w:t>
      </w:r>
      <w:bookmarkEnd w:id="731"/>
      <w:bookmarkEnd w:id="732"/>
      <w:bookmarkEnd w:id="733"/>
      <w:bookmarkEnd w:id="734"/>
      <w:bookmarkEnd w:id="735"/>
    </w:p>
    <w:p>
      <w:pPr>
        <w:rPr>
          <w:lang w:val="zh-CN" w:eastAsia="zh-CN"/>
        </w:rPr>
      </w:pPr>
      <w:r>
        <w:rPr>
          <w:rFonts w:hint="eastAsia"/>
          <w:lang w:val="zh-CN" w:eastAsia="zh-CN"/>
        </w:rPr>
        <w:t>（1）严格遵守党的政策规定和国家有关法律法规及行业部门的有关规定。</w:t>
      </w:r>
    </w:p>
    <w:p>
      <w:pPr>
        <w:rPr>
          <w:lang w:val="zh-CN" w:eastAsia="zh-CN"/>
        </w:rPr>
      </w:pPr>
      <w:r>
        <w:rPr>
          <w:rFonts w:hint="eastAsia"/>
          <w:lang w:val="zh-CN" w:eastAsia="zh-CN"/>
        </w:rPr>
        <w:t>（2）严格执行合同文件，自觉按合同办事。</w:t>
      </w:r>
    </w:p>
    <w:p>
      <w:pPr>
        <w:rPr>
          <w:lang w:val="zh-CN" w:eastAsia="zh-CN"/>
        </w:rPr>
      </w:pPr>
      <w:r>
        <w:rPr>
          <w:rFonts w:hint="eastAsia"/>
          <w:lang w:val="zh-CN" w:eastAsia="zh-CN"/>
        </w:rPr>
        <w:t>（3）双方的业务活动坚持公开、公正、诚信、透明的原则（法律认定的商业秘密和合同文件另有规定除外），不得损害国家和集体利益，违反工程建设管理规章制度。</w:t>
      </w:r>
    </w:p>
    <w:p>
      <w:pPr>
        <w:rPr>
          <w:lang w:val="zh-CN" w:eastAsia="zh-CN"/>
        </w:rPr>
      </w:pPr>
      <w:r>
        <w:rPr>
          <w:rFonts w:hint="eastAsia"/>
          <w:lang w:val="zh-CN" w:eastAsia="zh-CN"/>
        </w:rPr>
        <w:t>（4）建立健全廉政制度，开展廉政教育，设立廉政告示牌，公布举报电话，监督并认真查处违法违纪行为。</w:t>
      </w:r>
    </w:p>
    <w:p>
      <w:pPr>
        <w:rPr>
          <w:lang w:val="zh-CN" w:eastAsia="zh-CN"/>
        </w:rPr>
      </w:pPr>
      <w:r>
        <w:rPr>
          <w:rFonts w:hint="eastAsia"/>
          <w:lang w:val="zh-CN" w:eastAsia="zh-CN"/>
        </w:rPr>
        <w:t>（5）发现对方在业务活动中有违反廉政规定的行为，有及时提醒对方纠正的权利和义务。</w:t>
      </w:r>
    </w:p>
    <w:p>
      <w:pPr>
        <w:rPr>
          <w:lang w:val="zh-CN" w:eastAsia="zh-CN"/>
        </w:rPr>
      </w:pPr>
      <w:r>
        <w:rPr>
          <w:rFonts w:hint="eastAsia"/>
          <w:lang w:val="zh-CN" w:eastAsia="zh-CN"/>
        </w:rPr>
        <w:t>（6）发现对方严重违反本合同义务条款的行为，有向其上级有关部门举报、建议给予处理并要求告知处理结果的权利。</w:t>
      </w:r>
    </w:p>
    <w:p>
      <w:pPr>
        <w:rPr>
          <w:lang w:val="zh-CN" w:eastAsia="zh-CN"/>
        </w:rPr>
      </w:pPr>
      <w:bookmarkStart w:id="736" w:name="_Toc16010"/>
      <w:bookmarkStart w:id="737" w:name="_Toc2212"/>
      <w:bookmarkStart w:id="738" w:name="_Toc23210"/>
      <w:bookmarkStart w:id="739" w:name="_Toc113559512"/>
      <w:bookmarkStart w:id="740" w:name="_Toc31909"/>
      <w:r>
        <w:rPr>
          <w:rFonts w:hint="eastAsia"/>
          <w:lang w:val="zh-CN" w:eastAsia="zh-CN"/>
        </w:rPr>
        <w:t>2.买方的义务</w:t>
      </w:r>
      <w:bookmarkEnd w:id="736"/>
      <w:bookmarkEnd w:id="737"/>
      <w:bookmarkEnd w:id="738"/>
      <w:bookmarkEnd w:id="739"/>
      <w:bookmarkEnd w:id="740"/>
    </w:p>
    <w:p>
      <w:pPr>
        <w:rPr>
          <w:lang w:val="zh-CN" w:eastAsia="zh-CN"/>
        </w:rPr>
      </w:pPr>
      <w:r>
        <w:rPr>
          <w:rFonts w:hint="eastAsia"/>
          <w:lang w:val="zh-CN" w:eastAsia="zh-CN"/>
        </w:rPr>
        <w:t>（1）买方及其工作人员不得索要或接受卖方的礼金、有价证券和贵重物品，不得在卖方报销任何应由买方或买方工作人员个人支付的费用等。</w:t>
      </w:r>
    </w:p>
    <w:p>
      <w:pPr>
        <w:rPr>
          <w:lang w:val="zh-CN" w:eastAsia="zh-CN"/>
        </w:rPr>
      </w:pPr>
      <w:r>
        <w:rPr>
          <w:rFonts w:hint="eastAsia"/>
          <w:lang w:val="zh-CN" w:eastAsia="zh-CN"/>
        </w:rPr>
        <w:t>（2）买方工作人员不得参加卖方安排的超标准宴请和娱乐活动；不得接受卖方提供的通讯工具、交通工具和高档办公用品等。</w:t>
      </w:r>
    </w:p>
    <w:p>
      <w:pPr>
        <w:rPr>
          <w:lang w:val="zh-CN" w:eastAsia="zh-CN"/>
        </w:rPr>
      </w:pPr>
      <w:r>
        <w:rPr>
          <w:rFonts w:hint="eastAsia"/>
          <w:lang w:val="zh-CN" w:eastAsia="zh-CN"/>
        </w:rPr>
        <w:t>（3）买方及其工作人员不得要求或者接受卖方为其住房装修、婚丧嫁娶活动、配偶子女的工作安排以及出国出境、旅游等提供方便等。</w:t>
      </w:r>
    </w:p>
    <w:p>
      <w:pPr>
        <w:rPr>
          <w:lang w:val="zh-CN" w:eastAsia="zh-CN"/>
        </w:rPr>
      </w:pPr>
      <w:r>
        <w:rPr>
          <w:rFonts w:hint="eastAsia"/>
          <w:lang w:val="zh-CN" w:eastAsia="zh-CN"/>
        </w:rPr>
        <w:t>（4）买方工作人员及其配偶、子女不得从事与买方工程有关的材料设备供应、工程分包、劳务等经济活动。</w:t>
      </w:r>
    </w:p>
    <w:p>
      <w:pPr>
        <w:rPr>
          <w:lang w:val="zh-CN" w:eastAsia="zh-CN"/>
        </w:rPr>
      </w:pPr>
      <w:r>
        <w:rPr>
          <w:rFonts w:hint="eastAsia"/>
          <w:lang w:val="zh-CN" w:eastAsia="zh-CN"/>
        </w:rPr>
        <w:t>（5）买方及其工作人员不得以任何理由向卖方推荐分包单位或推销材料，不得要求卖方购买合同规定外的材料和设备。</w:t>
      </w:r>
    </w:p>
    <w:p>
      <w:pPr>
        <w:rPr>
          <w:lang w:val="zh-CN" w:eastAsia="zh-CN"/>
        </w:rPr>
      </w:pPr>
      <w:r>
        <w:rPr>
          <w:rFonts w:hint="eastAsia"/>
          <w:lang w:val="zh-CN" w:eastAsia="zh-CN"/>
        </w:rPr>
        <w:t>（6）买方工作人员要秉公办事，不准营私舞弊，不准利用职权从事各种个人有偿中介活动和安排个人施工队伍。</w:t>
      </w:r>
    </w:p>
    <w:p>
      <w:pPr>
        <w:rPr>
          <w:lang w:val="zh-CN" w:eastAsia="zh-CN"/>
        </w:rPr>
      </w:pPr>
      <w:bookmarkStart w:id="741" w:name="_Toc7343"/>
      <w:bookmarkStart w:id="742" w:name="_Toc11332"/>
      <w:bookmarkStart w:id="743" w:name="_Toc113559513"/>
      <w:bookmarkStart w:id="744" w:name="_Toc14236"/>
      <w:bookmarkStart w:id="745" w:name="_Toc2060"/>
      <w:r>
        <w:rPr>
          <w:rFonts w:hint="eastAsia"/>
          <w:lang w:val="zh-CN" w:eastAsia="zh-CN"/>
        </w:rPr>
        <w:t>3.卖方义务</w:t>
      </w:r>
      <w:bookmarkEnd w:id="741"/>
      <w:bookmarkEnd w:id="742"/>
      <w:bookmarkEnd w:id="743"/>
      <w:bookmarkEnd w:id="744"/>
      <w:bookmarkEnd w:id="745"/>
    </w:p>
    <w:p>
      <w:pPr>
        <w:rPr>
          <w:lang w:val="zh-CN" w:eastAsia="zh-CN"/>
        </w:rPr>
      </w:pPr>
      <w:r>
        <w:rPr>
          <w:rFonts w:hint="eastAsia"/>
          <w:lang w:val="zh-CN" w:eastAsia="zh-CN"/>
        </w:rPr>
        <w:t>（1）卖方不得以任何理由向买方及其工作人员行贿或馈赠礼金、有价证券、贵重礼品。</w:t>
      </w:r>
    </w:p>
    <w:p>
      <w:pPr>
        <w:rPr>
          <w:lang w:val="zh-CN" w:eastAsia="zh-CN"/>
        </w:rPr>
      </w:pPr>
      <w:r>
        <w:rPr>
          <w:rFonts w:hint="eastAsia"/>
          <w:lang w:val="zh-CN" w:eastAsia="zh-CN"/>
        </w:rPr>
        <w:t>（2）卖方不得以任何名义为买方及其工作人员报销应由买方单位或个人支付的任何费用。</w:t>
      </w:r>
    </w:p>
    <w:p>
      <w:pPr>
        <w:rPr>
          <w:lang w:val="zh-CN" w:eastAsia="zh-CN"/>
        </w:rPr>
      </w:pPr>
      <w:r>
        <w:rPr>
          <w:rFonts w:hint="eastAsia"/>
          <w:lang w:val="zh-CN" w:eastAsia="zh-CN"/>
        </w:rPr>
        <w:t>（3）卖方不得以任何理由安排买方工作人员参加超标准宴请及娱乐活动。</w:t>
      </w:r>
    </w:p>
    <w:p>
      <w:pPr>
        <w:rPr>
          <w:lang w:val="zh-CN" w:eastAsia="zh-CN"/>
        </w:rPr>
      </w:pPr>
      <w:r>
        <w:rPr>
          <w:rFonts w:hint="eastAsia"/>
          <w:lang w:val="zh-CN" w:eastAsia="zh-CN"/>
        </w:rPr>
        <w:t>（4）卖方不得为买方单位和个人购置或提供通讯工具、交通工具和高档办公用品等。</w:t>
      </w:r>
    </w:p>
    <w:p>
      <w:pPr>
        <w:rPr>
          <w:lang w:val="zh-CN" w:eastAsia="zh-CN"/>
        </w:rPr>
      </w:pPr>
      <w:bookmarkStart w:id="746" w:name="_Toc113559514"/>
      <w:bookmarkStart w:id="747" w:name="_Toc16180"/>
      <w:bookmarkStart w:id="748" w:name="_Toc24967"/>
      <w:bookmarkStart w:id="749" w:name="_Toc22016"/>
      <w:bookmarkStart w:id="750" w:name="_Toc10831"/>
      <w:r>
        <w:rPr>
          <w:rFonts w:hint="eastAsia"/>
          <w:lang w:val="zh-CN" w:eastAsia="zh-CN"/>
        </w:rPr>
        <w:t>4.违约责任</w:t>
      </w:r>
      <w:bookmarkEnd w:id="746"/>
      <w:bookmarkEnd w:id="747"/>
      <w:bookmarkEnd w:id="748"/>
      <w:bookmarkEnd w:id="749"/>
      <w:bookmarkEnd w:id="750"/>
    </w:p>
    <w:p>
      <w:pPr>
        <w:rPr>
          <w:lang w:val="zh-CN" w:eastAsia="zh-CN"/>
        </w:rPr>
      </w:pPr>
      <w:r>
        <w:rPr>
          <w:rFonts w:hint="eastAsia"/>
          <w:lang w:val="zh-CN" w:eastAsia="zh-CN"/>
        </w:rPr>
        <w:t>（1）买方及其工作人员违反本合同第一、二条，按管理权限，依据有关规定给予党纪、政纪或组织处理；涉嫌犯罪的，移交司法机关追究刑事责任；给卖方单位造成经济损失的，应予以赔偿。</w:t>
      </w:r>
    </w:p>
    <w:p>
      <w:pPr>
        <w:rPr>
          <w:lang w:val="zh-CN" w:eastAsia="zh-CN"/>
        </w:rPr>
      </w:pPr>
      <w:r>
        <w:rPr>
          <w:rFonts w:hint="eastAsia"/>
          <w:lang w:val="zh-CN" w:eastAsia="zh-CN"/>
        </w:rPr>
        <w:t>（2）卖方及其工作人员违反本合同第一、三条，按管理权限，依据有关规定给予党纪、政纪或组织处理；给买方单位造成经济损失的，应予以赔偿；情节严重的，买方建议交通主管部门给予卖方一至三年内不得进入其交通建设市场的处罚。</w:t>
      </w:r>
    </w:p>
    <w:p>
      <w:pPr>
        <w:rPr>
          <w:lang w:val="zh-CN" w:eastAsia="zh-CN"/>
        </w:rPr>
      </w:pPr>
      <w:r>
        <w:rPr>
          <w:rFonts w:hint="eastAsia"/>
          <w:lang w:val="zh-CN" w:eastAsia="zh-CN"/>
        </w:rPr>
        <w:t>5.双方约定：本合同由双方或双方上级单位的纪检监察机关负责监督执行。由买方或买方上级单位的纪检监察机关约请卖方或卖方上级单位纪检监察机关对本合同执行情况进行检查，提出在本合同规定范围内的裁定意见。</w:t>
      </w:r>
    </w:p>
    <w:p>
      <w:pPr>
        <w:rPr>
          <w:lang w:val="zh-CN" w:eastAsia="zh-CN"/>
        </w:rPr>
      </w:pPr>
      <w:r>
        <w:rPr>
          <w:rFonts w:hint="eastAsia"/>
          <w:lang w:val="zh-CN" w:eastAsia="zh-CN"/>
        </w:rPr>
        <w:t>6.本合同有效期为甲乙双方签署之日起至该工程项目竣工验收后止。</w:t>
      </w:r>
    </w:p>
    <w:p>
      <w:pPr>
        <w:rPr>
          <w:lang w:val="zh-CN" w:eastAsia="zh-CN"/>
        </w:rPr>
      </w:pPr>
      <w:r>
        <w:rPr>
          <w:rFonts w:hint="eastAsia"/>
          <w:lang w:val="zh-CN" w:eastAsia="zh-CN"/>
        </w:rPr>
        <w:t>7.本合同作为承包合同的附件，与承包合同具有同等的法律效力，经合同双方签署立即生效。</w:t>
      </w:r>
    </w:p>
    <w:p>
      <w:pPr>
        <w:rPr>
          <w:lang w:val="zh-CN" w:eastAsia="zh-CN"/>
        </w:rPr>
      </w:pPr>
      <w:r>
        <w:rPr>
          <w:rFonts w:hint="eastAsia"/>
          <w:lang w:val="zh-CN" w:eastAsia="zh-CN"/>
        </w:rPr>
        <w:t>8.本合同一式八份，由甲乙双方各执三份，送交双方的监督单位各一份。</w:t>
      </w:r>
    </w:p>
    <w:p>
      <w:pPr>
        <w:rPr>
          <w:lang w:val="zh-CN" w:eastAsia="zh-CN"/>
        </w:rPr>
      </w:pPr>
    </w:p>
    <w:p>
      <w:pPr>
        <w:rPr>
          <w:lang w:val="zh-CN" w:eastAsia="zh-CN"/>
        </w:rPr>
      </w:pPr>
    </w:p>
    <w:p>
      <w:pPr>
        <w:rPr>
          <w:lang w:val="zh-CN" w:eastAsia="zh-CN"/>
        </w:rPr>
      </w:pPr>
      <w:r>
        <w:rPr>
          <w:rFonts w:hint="eastAsia"/>
          <w:lang w:val="zh-CN" w:eastAsia="zh-CN"/>
        </w:rPr>
        <w:t xml:space="preserve">买方：                       </w:t>
      </w:r>
      <w:r>
        <w:rPr>
          <w:rFonts w:hint="eastAsia"/>
          <w:lang w:eastAsia="zh-CN"/>
        </w:rPr>
        <w:t xml:space="preserve">  </w:t>
      </w:r>
      <w:r>
        <w:rPr>
          <w:rFonts w:hint="eastAsia"/>
          <w:lang w:val="zh-CN" w:eastAsia="zh-CN"/>
        </w:rPr>
        <w:t xml:space="preserve">卖方：                     </w:t>
      </w:r>
    </w:p>
    <w:p>
      <w:pPr>
        <w:rPr>
          <w:lang w:val="zh-CN" w:eastAsia="zh-CN"/>
        </w:rPr>
      </w:pPr>
      <w:r>
        <w:rPr>
          <w:rFonts w:hint="eastAsia"/>
          <w:lang w:val="zh-CN" w:eastAsia="zh-CN"/>
        </w:rPr>
        <w:t xml:space="preserve">法定代表人：                  </w:t>
      </w:r>
      <w:r>
        <w:rPr>
          <w:rFonts w:hint="eastAsia"/>
          <w:lang w:eastAsia="zh-CN"/>
        </w:rPr>
        <w:t xml:space="preserve">    </w:t>
      </w:r>
      <w:r>
        <w:rPr>
          <w:rFonts w:hint="eastAsia"/>
          <w:lang w:val="zh-CN" w:eastAsia="zh-CN"/>
        </w:rPr>
        <w:t>法定代表人：</w:t>
      </w:r>
    </w:p>
    <w:p>
      <w:pPr>
        <w:rPr>
          <w:lang w:val="zh-CN" w:eastAsia="zh-CN"/>
        </w:rPr>
      </w:pPr>
      <w:r>
        <w:rPr>
          <w:rFonts w:hint="eastAsia"/>
          <w:lang w:val="zh-CN" w:eastAsia="zh-CN"/>
        </w:rPr>
        <w:t>或其授权的代理人：</w:t>
      </w:r>
      <w:r>
        <w:rPr>
          <w:rFonts w:hint="eastAsia"/>
          <w:lang w:val="zh-CN" w:eastAsia="zh-CN"/>
        </w:rPr>
        <w:tab/>
      </w:r>
      <w:r>
        <w:rPr>
          <w:rFonts w:hint="eastAsia"/>
          <w:lang w:val="zh-CN" w:eastAsia="zh-CN"/>
        </w:rPr>
        <w:t xml:space="preserve">            </w:t>
      </w:r>
      <w:r>
        <w:rPr>
          <w:rFonts w:hint="eastAsia"/>
          <w:lang w:eastAsia="zh-CN"/>
        </w:rPr>
        <w:t xml:space="preserve"> </w:t>
      </w:r>
      <w:r>
        <w:rPr>
          <w:rFonts w:hint="eastAsia"/>
          <w:lang w:val="zh-CN" w:eastAsia="zh-CN"/>
        </w:rPr>
        <w:t>或其授权的代理人</w:t>
      </w:r>
    </w:p>
    <w:p>
      <w:pPr>
        <w:rPr>
          <w:lang w:val="zh-CN" w:eastAsia="zh-CN"/>
        </w:rPr>
      </w:pPr>
    </w:p>
    <w:p>
      <w:pPr>
        <w:rPr>
          <w:lang w:val="zh-CN" w:eastAsia="zh-CN"/>
        </w:rPr>
      </w:pPr>
      <w:r>
        <w:rPr>
          <w:rFonts w:hint="eastAsia"/>
          <w:lang w:val="zh-CN" w:eastAsia="zh-CN"/>
        </w:rPr>
        <w:t xml:space="preserve">买方监督单位：              </w:t>
      </w:r>
      <w:r>
        <w:rPr>
          <w:rFonts w:hint="eastAsia"/>
          <w:lang w:eastAsia="zh-CN"/>
        </w:rPr>
        <w:t xml:space="preserve">   </w:t>
      </w:r>
      <w:r>
        <w:rPr>
          <w:rFonts w:hint="eastAsia"/>
          <w:lang w:val="zh-CN" w:eastAsia="zh-CN"/>
        </w:rPr>
        <w:t xml:space="preserve"> </w:t>
      </w:r>
      <w:r>
        <w:rPr>
          <w:rFonts w:hint="eastAsia"/>
          <w:lang w:eastAsia="zh-CN"/>
        </w:rPr>
        <w:t xml:space="preserve"> </w:t>
      </w:r>
      <w:r>
        <w:rPr>
          <w:rFonts w:hint="eastAsia"/>
          <w:lang w:val="zh-CN" w:eastAsia="zh-CN"/>
        </w:rPr>
        <w:t>卖方监督单位：</w:t>
      </w:r>
    </w:p>
    <w:p>
      <w:pPr>
        <w:spacing w:line="510" w:lineRule="exact"/>
        <w:ind w:firstLine="437" w:firstLineChars="199"/>
        <w:rPr>
          <w:rFonts w:ascii="Times New Roman" w:hAnsi="Times New Roman" w:eastAsia="方正仿宋_GBK" w:cs="Times New Roman"/>
          <w:sz w:val="32"/>
          <w:szCs w:val="32"/>
          <w:lang w:eastAsia="zh-CN"/>
        </w:rPr>
      </w:pPr>
      <w:r>
        <w:rPr>
          <w:lang w:eastAsia="zh-CN"/>
        </w:rPr>
        <w:br w:type="page"/>
      </w:r>
    </w:p>
    <w:p>
      <w:pPr>
        <w:pStyle w:val="43"/>
        <w:ind w:left="0" w:leftChars="0" w:firstLine="0"/>
      </w:pPr>
    </w:p>
    <w:p>
      <w:pPr>
        <w:autoSpaceDE w:val="0"/>
        <w:autoSpaceDN w:val="0"/>
        <w:adjustRightInd w:val="0"/>
        <w:spacing w:line="564" w:lineRule="exact"/>
        <w:ind w:right="117" w:firstLine="2200" w:firstLineChars="500"/>
        <w:jc w:val="both"/>
        <w:outlineLvl w:val="0"/>
        <w:rPr>
          <w:rFonts w:ascii="Times New Roman" w:hAnsi="Times New Roman" w:eastAsia="方正小标宋_GBK" w:cs="Times New Roman"/>
          <w:bCs/>
          <w:sz w:val="44"/>
          <w:szCs w:val="44"/>
          <w:lang w:val="zh-CN" w:eastAsia="zh-CN"/>
        </w:rPr>
      </w:pPr>
      <w:bookmarkStart w:id="751" w:name="_Toc2528"/>
      <w:bookmarkStart w:id="752" w:name="_Toc7400"/>
      <w:bookmarkStart w:id="753" w:name="_Toc658"/>
      <w:bookmarkStart w:id="754" w:name="_Toc26369"/>
      <w:r>
        <w:rPr>
          <w:rFonts w:hint="eastAsia" w:ascii="Times New Roman" w:hAnsi="Times New Roman" w:eastAsia="方正小标宋_GBK" w:cs="Times New Roman"/>
          <w:bCs/>
          <w:sz w:val="44"/>
          <w:szCs w:val="44"/>
          <w:lang w:val="zh-CN" w:eastAsia="zh-CN"/>
        </w:rPr>
        <w:t>第四章</w:t>
      </w:r>
      <w:r>
        <w:rPr>
          <w:rFonts w:hint="eastAsia" w:ascii="Times New Roman" w:hAnsi="Times New Roman" w:eastAsia="方正小标宋_GBK" w:cs="Times New Roman"/>
          <w:bCs/>
          <w:sz w:val="44"/>
          <w:szCs w:val="44"/>
          <w:lang w:eastAsia="zh-CN"/>
        </w:rPr>
        <w:t xml:space="preserve"> </w:t>
      </w:r>
      <w:r>
        <w:rPr>
          <w:rFonts w:ascii="Times New Roman" w:hAnsi="Times New Roman" w:eastAsia="方正小标宋_GBK" w:cs="Times New Roman"/>
          <w:bCs/>
          <w:sz w:val="44"/>
          <w:szCs w:val="44"/>
          <w:lang w:val="zh-CN" w:eastAsia="zh-CN"/>
        </w:rPr>
        <w:t>报价文件格式</w:t>
      </w:r>
      <w:bookmarkEnd w:id="751"/>
      <w:bookmarkEnd w:id="752"/>
      <w:bookmarkEnd w:id="753"/>
      <w:bookmarkEnd w:id="754"/>
    </w:p>
    <w:p>
      <w:pPr>
        <w:autoSpaceDE w:val="0"/>
        <w:autoSpaceDN w:val="0"/>
        <w:adjustRightInd w:val="0"/>
        <w:spacing w:line="360" w:lineRule="auto"/>
        <w:ind w:firstLine="2880" w:firstLineChars="600"/>
        <w:jc w:val="both"/>
        <w:rPr>
          <w:rFonts w:ascii="Times New Roman" w:hAnsi="Times New Roman" w:eastAsia="方正小标宋_GBK" w:cs="Times New Roman"/>
          <w:bCs/>
          <w:sz w:val="48"/>
          <w:szCs w:val="48"/>
          <w:lang w:eastAsia="zh-CN"/>
        </w:rPr>
      </w:pPr>
    </w:p>
    <w:p>
      <w:pPr>
        <w:autoSpaceDE w:val="0"/>
        <w:autoSpaceDN w:val="0"/>
        <w:adjustRightInd w:val="0"/>
        <w:spacing w:line="360" w:lineRule="auto"/>
        <w:ind w:firstLine="2880" w:firstLineChars="600"/>
        <w:jc w:val="both"/>
        <w:rPr>
          <w:rFonts w:ascii="Times New Roman" w:hAnsi="Times New Roman" w:eastAsia="方正小标宋_GBK" w:cs="Times New Roman"/>
          <w:sz w:val="20"/>
          <w:szCs w:val="20"/>
          <w:lang w:eastAsia="zh-CN"/>
        </w:rPr>
      </w:pPr>
      <w:r>
        <w:rPr>
          <w:rFonts w:ascii="Times New Roman" w:hAnsi="Times New Roman" w:eastAsia="方正小标宋_GBK" w:cs="Times New Roman"/>
          <w:bCs/>
          <w:sz w:val="48"/>
          <w:szCs w:val="48"/>
          <w:lang w:eastAsia="zh-CN"/>
        </w:rPr>
        <w:t>XXXX项目</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小标宋_GBK" w:cs="Times New Roman"/>
          <w:lang w:eastAsia="zh-CN"/>
        </w:rPr>
      </w:pPr>
    </w:p>
    <w:p>
      <w:pPr>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72"/>
          <w:szCs w:val="72"/>
          <w:lang w:eastAsia="zh-CN"/>
        </w:rPr>
        <w:t>报价文件</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lang w:eastAsia="zh-CN"/>
        </w:rPr>
        <w:t>（盖单位章）</w:t>
      </w:r>
    </w:p>
    <w:p>
      <w:pPr>
        <w:pStyle w:val="43"/>
        <w:ind w:left="440"/>
      </w:pPr>
    </w:p>
    <w:p>
      <w:pPr>
        <w:rPr>
          <w:rFonts w:ascii="Times New Roman" w:hAnsi="Times New Roman" w:eastAsia="方正仿宋_GBK" w:cs="Times New Roman"/>
          <w:sz w:val="32"/>
          <w:szCs w:val="32"/>
          <w:u w:val="single"/>
          <w:lang w:eastAsia="zh-CN"/>
        </w:rPr>
      </w:pPr>
    </w:p>
    <w:p>
      <w:pPr>
        <w:jc w:val="cente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XXXX</w:t>
      </w:r>
      <w:r>
        <w:rPr>
          <w:rFonts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lang w:eastAsia="zh-CN"/>
        </w:rPr>
        <w:t>月   日</w:t>
      </w:r>
    </w:p>
    <w:p>
      <w:pPr>
        <w:pStyle w:val="99"/>
        <w:jc w:val="center"/>
        <w:rPr>
          <w:rFonts w:ascii="Times New Roman" w:hAnsi="Times New Roman" w:eastAsia="方正小标宋_GBK" w:cs="Times New Roman"/>
          <w:sz w:val="44"/>
          <w:szCs w:val="44"/>
        </w:rPr>
      </w:pPr>
      <w:r>
        <w:br w:type="page"/>
      </w:r>
      <w:r>
        <w:rPr>
          <w:rFonts w:ascii="Times New Roman" w:hAnsi="Times New Roman" w:eastAsia="方正小标宋_GBK" w:cs="Times New Roman"/>
          <w:sz w:val="44"/>
          <w:szCs w:val="44"/>
        </w:rPr>
        <w:t>目  录</w:t>
      </w:r>
    </w:p>
    <w:p>
      <w:pPr>
        <w:numPr>
          <w:ilvl w:val="0"/>
          <w:numId w:val="3"/>
        </w:num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法定代表人身份证明或授权委托书</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二、</w:t>
      </w:r>
      <w:r>
        <w:rPr>
          <w:rFonts w:hint="eastAsia" w:ascii="Times New Roman" w:hAnsi="Times New Roman" w:eastAsia="方正仿宋_GBK" w:cs="Times New Roman"/>
          <w:sz w:val="32"/>
          <w:szCs w:val="32"/>
          <w:lang w:eastAsia="zh-CN"/>
        </w:rPr>
        <w:t>报价</w:t>
      </w:r>
      <w:r>
        <w:rPr>
          <w:rFonts w:ascii="Times New Roman" w:hAnsi="Times New Roman" w:eastAsia="方正仿宋_GBK" w:cs="Times New Roman"/>
          <w:sz w:val="32"/>
          <w:szCs w:val="32"/>
          <w:lang w:eastAsia="zh-CN"/>
        </w:rPr>
        <w:t>函</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三、报价表</w:t>
      </w:r>
    </w:p>
    <w:p>
      <w:pPr>
        <w:tabs>
          <w:tab w:val="left" w:pos="474"/>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四、资格审查资料</w:t>
      </w:r>
    </w:p>
    <w:p>
      <w:pPr>
        <w:tabs>
          <w:tab w:val="left" w:pos="993"/>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五、项目方案</w:t>
      </w:r>
    </w:p>
    <w:p>
      <w:pPr>
        <w:tabs>
          <w:tab w:val="left" w:pos="474"/>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六、其他资料</w:t>
      </w:r>
    </w:p>
    <w:p>
      <w:pPr>
        <w:pStyle w:val="43"/>
        <w:ind w:left="0" w:leftChars="0" w:firstLine="0" w:firstLineChars="0"/>
        <w:rPr>
          <w:rFonts w:hint="default"/>
          <w:lang w:val="en-US" w:eastAsia="zh-CN"/>
        </w:rPr>
      </w:pPr>
      <w:r>
        <w:rPr>
          <w:rFonts w:hint="eastAsia" w:ascii="Times New Roman" w:hAnsi="Times New Roman" w:eastAsia="方正仿宋_GBK" w:cs="Times New Roman"/>
          <w:sz w:val="32"/>
          <w:szCs w:val="32"/>
          <w:lang w:val="en-US" w:eastAsia="zh-CN"/>
        </w:rPr>
        <w:t>七、售后服务承诺书</w:t>
      </w:r>
    </w:p>
    <w:p>
      <w:pPr>
        <w:pStyle w:val="173"/>
        <w:shd w:val="clear" w:color="auto" w:fill="auto"/>
        <w:snapToGrid w:val="0"/>
        <w:spacing w:before="0" w:after="0" w:line="240" w:lineRule="auto"/>
        <w:jc w:val="center"/>
        <w:rPr>
          <w:rFonts w:ascii="Times New Roman" w:hAnsi="Times New Roman" w:eastAsia="方正小标宋_GBK" w:cs="Times New Roman"/>
          <w:sz w:val="44"/>
          <w:szCs w:val="44"/>
        </w:rPr>
      </w:pPr>
      <w:bookmarkStart w:id="755" w:name="_Toc52097543"/>
      <w:bookmarkEnd w:id="755"/>
      <w:bookmarkStart w:id="756" w:name="_Toc29194793"/>
      <w:bookmarkStart w:id="757" w:name="_Toc10710824"/>
      <w:bookmarkStart w:id="758" w:name="bookmark292"/>
      <w:r>
        <w:br w:type="page"/>
      </w:r>
      <w:bookmarkStart w:id="759" w:name="_Toc29942"/>
      <w:bookmarkStart w:id="760" w:name="_Toc26753"/>
      <w:bookmarkStart w:id="761" w:name="_Toc30634"/>
      <w:bookmarkStart w:id="762" w:name="_Toc3180"/>
      <w:r>
        <w:rPr>
          <w:rFonts w:ascii="Times New Roman" w:hAnsi="Times New Roman" w:eastAsia="方正小标宋_GBK" w:cs="Times New Roman"/>
          <w:sz w:val="44"/>
          <w:szCs w:val="44"/>
        </w:rPr>
        <w:t>一、法定代表人身份证明或授权委托书</w:t>
      </w:r>
      <w:bookmarkEnd w:id="759"/>
      <w:bookmarkEnd w:id="760"/>
      <w:bookmarkEnd w:id="761"/>
      <w:bookmarkEnd w:id="762"/>
    </w:p>
    <w:p>
      <w:pPr>
        <w:jc w:val="center"/>
        <w:rPr>
          <w:sz w:val="32"/>
          <w:lang w:eastAsia="zh-CN"/>
        </w:rPr>
      </w:pPr>
      <w:r>
        <w:rPr>
          <w:lang w:eastAsia="zh-CN"/>
        </w:rPr>
        <w:br w:type="page"/>
      </w:r>
      <w:r>
        <w:rPr>
          <w:rFonts w:hint="eastAsia"/>
          <w:sz w:val="32"/>
          <w:lang w:eastAsia="zh-CN"/>
        </w:rPr>
        <w:t>法定代表人身份证明</w:t>
      </w:r>
    </w:p>
    <w:p>
      <w:pPr>
        <w:spacing w:line="480" w:lineRule="auto"/>
        <w:jc w:val="center"/>
        <w:rPr>
          <w:lang w:eastAsia="zh-CN"/>
        </w:rPr>
      </w:pPr>
    </w:p>
    <w:p>
      <w:pPr>
        <w:tabs>
          <w:tab w:val="left" w:pos="5565"/>
        </w:tabs>
        <w:autoSpaceDE w:val="0"/>
        <w:autoSpaceDN w:val="0"/>
        <w:adjustRightInd w:val="0"/>
        <w:snapToGrid w:val="0"/>
        <w:spacing w:line="480" w:lineRule="auto"/>
        <w:ind w:firstLine="409" w:firstLineChars="186"/>
        <w:rPr>
          <w:szCs w:val="21"/>
          <w:lang w:eastAsia="zh-CN"/>
        </w:rPr>
      </w:pPr>
      <w:r>
        <w:rPr>
          <w:rFonts w:hint="eastAsia"/>
          <w:szCs w:val="21"/>
          <w:lang w:eastAsia="zh-CN"/>
        </w:rPr>
        <w:t>报价人名称：</w:t>
      </w:r>
      <w:r>
        <w:rPr>
          <w:rFonts w:hint="eastAsia"/>
          <w:w w:val="200"/>
          <w:szCs w:val="21"/>
          <w:u w:val="single"/>
          <w:lang w:eastAsia="zh-CN"/>
        </w:rPr>
        <w:t xml:space="preserve">                                     </w:t>
      </w:r>
    </w:p>
    <w:p>
      <w:pPr>
        <w:tabs>
          <w:tab w:val="left" w:pos="5475"/>
        </w:tabs>
        <w:autoSpaceDE w:val="0"/>
        <w:autoSpaceDN w:val="0"/>
        <w:adjustRightInd w:val="0"/>
        <w:snapToGrid w:val="0"/>
        <w:spacing w:line="480" w:lineRule="auto"/>
        <w:ind w:firstLine="409" w:firstLineChars="186"/>
        <w:rPr>
          <w:szCs w:val="21"/>
          <w:lang w:eastAsia="zh-CN"/>
        </w:rPr>
      </w:pPr>
      <w:r>
        <w:rPr>
          <w:rFonts w:hint="eastAsia"/>
          <w:szCs w:val="21"/>
          <w:lang w:eastAsia="zh-CN"/>
        </w:rPr>
        <w:t>单位性质：</w:t>
      </w:r>
      <w:r>
        <w:rPr>
          <w:rFonts w:hint="eastAsia"/>
          <w:w w:val="200"/>
          <w:szCs w:val="21"/>
          <w:u w:val="single"/>
          <w:lang w:eastAsia="zh-CN"/>
        </w:rPr>
        <w:t xml:space="preserve">                                     </w:t>
      </w:r>
    </w:p>
    <w:p>
      <w:pPr>
        <w:tabs>
          <w:tab w:val="left" w:pos="5475"/>
        </w:tabs>
        <w:autoSpaceDE w:val="0"/>
        <w:autoSpaceDN w:val="0"/>
        <w:adjustRightInd w:val="0"/>
        <w:snapToGrid w:val="0"/>
        <w:spacing w:line="480" w:lineRule="auto"/>
        <w:ind w:firstLine="409" w:firstLineChars="186"/>
        <w:rPr>
          <w:szCs w:val="21"/>
          <w:lang w:eastAsia="zh-CN"/>
        </w:rPr>
      </w:pPr>
      <w:r>
        <w:rPr>
          <w:rFonts w:hint="eastAsia"/>
          <w:szCs w:val="21"/>
          <w:lang w:eastAsia="zh-CN"/>
        </w:rPr>
        <w:t>地    址：</w:t>
      </w:r>
      <w:r>
        <w:rPr>
          <w:rFonts w:hint="eastAsia"/>
          <w:w w:val="200"/>
          <w:szCs w:val="21"/>
          <w:u w:val="single"/>
          <w:lang w:eastAsia="zh-CN"/>
        </w:rPr>
        <w:t xml:space="preserve">                                     </w:t>
      </w:r>
    </w:p>
    <w:p>
      <w:pPr>
        <w:tabs>
          <w:tab w:val="left" w:pos="2520"/>
          <w:tab w:val="left" w:pos="3836"/>
        </w:tabs>
        <w:autoSpaceDE w:val="0"/>
        <w:autoSpaceDN w:val="0"/>
        <w:adjustRightInd w:val="0"/>
        <w:snapToGrid w:val="0"/>
        <w:spacing w:line="480" w:lineRule="auto"/>
        <w:ind w:firstLine="409" w:firstLineChars="186"/>
        <w:rPr>
          <w:sz w:val="10"/>
          <w:szCs w:val="10"/>
          <w:lang w:eastAsia="zh-CN"/>
        </w:rPr>
      </w:pPr>
      <w:r>
        <w:rPr>
          <w:rFonts w:hint="eastAsia"/>
          <w:szCs w:val="21"/>
          <w:lang w:eastAsia="zh-CN"/>
        </w:rPr>
        <w:t>成立时间：</w:t>
      </w:r>
      <w:r>
        <w:rPr>
          <w:rFonts w:hint="eastAsia"/>
          <w:w w:val="200"/>
          <w:szCs w:val="21"/>
          <w:u w:val="single"/>
          <w:lang w:eastAsia="zh-CN"/>
        </w:rPr>
        <w:t xml:space="preserve">        </w:t>
      </w:r>
      <w:r>
        <w:rPr>
          <w:rFonts w:hint="eastAsia"/>
          <w:szCs w:val="21"/>
          <w:lang w:eastAsia="zh-CN"/>
        </w:rPr>
        <w:t>年</w:t>
      </w:r>
      <w:r>
        <w:rPr>
          <w:rFonts w:hint="eastAsia"/>
          <w:w w:val="200"/>
          <w:szCs w:val="21"/>
          <w:u w:val="single"/>
          <w:lang w:eastAsia="zh-CN"/>
        </w:rPr>
        <w:t xml:space="preserve"> </w:t>
      </w:r>
      <w:r>
        <w:rPr>
          <w:rFonts w:hint="eastAsia"/>
          <w:szCs w:val="21"/>
          <w:u w:val="single"/>
          <w:lang w:eastAsia="zh-CN"/>
        </w:rPr>
        <w:t xml:space="preserve">       </w:t>
      </w:r>
      <w:r>
        <w:rPr>
          <w:rFonts w:hint="eastAsia"/>
          <w:szCs w:val="21"/>
          <w:lang w:eastAsia="zh-CN"/>
        </w:rPr>
        <w:t>月</w:t>
      </w:r>
      <w:r>
        <w:rPr>
          <w:rFonts w:hint="eastAsia"/>
          <w:w w:val="200"/>
          <w:szCs w:val="21"/>
          <w:u w:val="single"/>
          <w:lang w:eastAsia="zh-CN"/>
        </w:rPr>
        <w:t xml:space="preserve"> </w:t>
      </w:r>
      <w:r>
        <w:rPr>
          <w:rFonts w:hint="eastAsia"/>
          <w:szCs w:val="21"/>
          <w:u w:val="single"/>
          <w:lang w:eastAsia="zh-CN"/>
        </w:rPr>
        <w:t xml:space="preserve">       </w:t>
      </w:r>
      <w:r>
        <w:rPr>
          <w:rFonts w:hint="eastAsia"/>
          <w:szCs w:val="21"/>
          <w:lang w:eastAsia="zh-CN"/>
        </w:rPr>
        <w:t>日</w:t>
      </w:r>
    </w:p>
    <w:p>
      <w:pPr>
        <w:tabs>
          <w:tab w:val="left" w:pos="5475"/>
        </w:tabs>
        <w:autoSpaceDE w:val="0"/>
        <w:autoSpaceDN w:val="0"/>
        <w:adjustRightInd w:val="0"/>
        <w:snapToGrid w:val="0"/>
        <w:spacing w:line="480" w:lineRule="auto"/>
        <w:ind w:firstLine="409" w:firstLineChars="186"/>
        <w:rPr>
          <w:szCs w:val="21"/>
          <w:lang w:eastAsia="zh-CN"/>
        </w:rPr>
      </w:pPr>
      <w:r>
        <w:rPr>
          <w:rFonts w:hint="eastAsia"/>
          <w:szCs w:val="21"/>
          <w:lang w:eastAsia="zh-CN"/>
        </w:rPr>
        <w:t>经营期限：</w:t>
      </w:r>
      <w:r>
        <w:rPr>
          <w:rFonts w:hint="eastAsia"/>
          <w:w w:val="200"/>
          <w:szCs w:val="21"/>
          <w:u w:val="single"/>
          <w:lang w:eastAsia="zh-CN"/>
        </w:rPr>
        <w:t xml:space="preserve">                                     </w:t>
      </w:r>
    </w:p>
    <w:p>
      <w:pPr>
        <w:tabs>
          <w:tab w:val="left" w:pos="1580"/>
          <w:tab w:val="left" w:pos="3260"/>
          <w:tab w:val="left" w:pos="4840"/>
          <w:tab w:val="left" w:pos="6300"/>
        </w:tabs>
        <w:autoSpaceDE w:val="0"/>
        <w:autoSpaceDN w:val="0"/>
        <w:adjustRightInd w:val="0"/>
        <w:snapToGrid w:val="0"/>
        <w:spacing w:line="480" w:lineRule="auto"/>
        <w:ind w:firstLine="409" w:firstLineChars="186"/>
        <w:rPr>
          <w:szCs w:val="21"/>
          <w:lang w:eastAsia="zh-CN"/>
        </w:rPr>
      </w:pPr>
      <w:r>
        <w:rPr>
          <w:rFonts w:hint="eastAsia"/>
          <w:szCs w:val="21"/>
          <w:lang w:eastAsia="zh-CN"/>
        </w:rPr>
        <w:t>姓名：</w:t>
      </w:r>
      <w:r>
        <w:rPr>
          <w:rFonts w:hint="eastAsia"/>
          <w:w w:val="200"/>
          <w:szCs w:val="21"/>
          <w:u w:val="single"/>
          <w:lang w:eastAsia="zh-CN"/>
        </w:rPr>
        <w:t xml:space="preserve">        </w:t>
      </w:r>
      <w:r>
        <w:rPr>
          <w:rFonts w:hint="eastAsia"/>
          <w:szCs w:val="21"/>
          <w:lang w:eastAsia="zh-CN"/>
        </w:rPr>
        <w:t>性别</w:t>
      </w:r>
      <w:r>
        <w:rPr>
          <w:rFonts w:hint="eastAsia"/>
          <w:spacing w:val="-1"/>
          <w:szCs w:val="21"/>
          <w:lang w:eastAsia="zh-CN"/>
        </w:rPr>
        <w:t>：</w:t>
      </w:r>
      <w:r>
        <w:rPr>
          <w:rFonts w:hint="eastAsia"/>
          <w:szCs w:val="21"/>
          <w:u w:val="single"/>
          <w:lang w:eastAsia="zh-CN"/>
        </w:rPr>
        <w:t xml:space="preserve">       </w:t>
      </w:r>
      <w:r>
        <w:rPr>
          <w:rFonts w:hint="eastAsia"/>
          <w:spacing w:val="-1"/>
          <w:szCs w:val="21"/>
          <w:lang w:eastAsia="zh-CN"/>
        </w:rPr>
        <w:t>年</w:t>
      </w:r>
      <w:r>
        <w:rPr>
          <w:rFonts w:hint="eastAsia"/>
          <w:szCs w:val="21"/>
          <w:lang w:eastAsia="zh-CN"/>
        </w:rPr>
        <w:t>龄：</w:t>
      </w:r>
      <w:r>
        <w:rPr>
          <w:rFonts w:hint="eastAsia"/>
          <w:szCs w:val="21"/>
          <w:u w:val="single"/>
          <w:lang w:eastAsia="zh-CN"/>
        </w:rPr>
        <w:t xml:space="preserve">       </w:t>
      </w:r>
      <w:r>
        <w:rPr>
          <w:rFonts w:hint="eastAsia"/>
          <w:szCs w:val="21"/>
          <w:lang w:eastAsia="zh-CN"/>
        </w:rPr>
        <w:t>职务：</w:t>
      </w:r>
      <w:r>
        <w:rPr>
          <w:rFonts w:hint="eastAsia"/>
          <w:szCs w:val="21"/>
          <w:u w:val="single"/>
          <w:lang w:eastAsia="zh-CN"/>
        </w:rPr>
        <w:t xml:space="preserve">               </w:t>
      </w:r>
    </w:p>
    <w:p>
      <w:pPr>
        <w:tabs>
          <w:tab w:val="left" w:pos="3360"/>
        </w:tabs>
        <w:autoSpaceDE w:val="0"/>
        <w:autoSpaceDN w:val="0"/>
        <w:adjustRightInd w:val="0"/>
        <w:snapToGrid w:val="0"/>
        <w:spacing w:line="480" w:lineRule="auto"/>
        <w:ind w:firstLine="409" w:firstLineChars="186"/>
        <w:rPr>
          <w:szCs w:val="21"/>
          <w:lang w:eastAsia="zh-CN"/>
        </w:rPr>
      </w:pPr>
      <w:r>
        <w:rPr>
          <w:rFonts w:hint="eastAsia"/>
          <w:szCs w:val="21"/>
          <w:lang w:eastAsia="zh-CN"/>
        </w:rPr>
        <w:t>系</w:t>
      </w:r>
      <w:r>
        <w:rPr>
          <w:rFonts w:hint="eastAsia"/>
          <w:szCs w:val="21"/>
          <w:u w:val="single"/>
          <w:lang w:eastAsia="zh-CN"/>
        </w:rPr>
        <w:t xml:space="preserve">                                                         </w:t>
      </w:r>
      <w:r>
        <w:rPr>
          <w:rFonts w:hint="eastAsia"/>
          <w:szCs w:val="21"/>
          <w:lang w:eastAsia="zh-CN"/>
        </w:rPr>
        <w:t>（报价人名称）的法定代表人。</w:t>
      </w:r>
    </w:p>
    <w:p>
      <w:pPr>
        <w:autoSpaceDE w:val="0"/>
        <w:autoSpaceDN w:val="0"/>
        <w:adjustRightInd w:val="0"/>
        <w:snapToGrid w:val="0"/>
        <w:spacing w:line="480" w:lineRule="auto"/>
        <w:ind w:firstLine="186" w:firstLineChars="186"/>
        <w:rPr>
          <w:sz w:val="10"/>
          <w:szCs w:val="10"/>
          <w:lang w:eastAsia="zh-CN"/>
        </w:rPr>
      </w:pPr>
    </w:p>
    <w:p>
      <w:pPr>
        <w:autoSpaceDE w:val="0"/>
        <w:autoSpaceDN w:val="0"/>
        <w:adjustRightInd w:val="0"/>
        <w:snapToGrid w:val="0"/>
        <w:spacing w:line="480" w:lineRule="auto"/>
        <w:ind w:firstLine="849" w:firstLineChars="386"/>
        <w:rPr>
          <w:szCs w:val="21"/>
          <w:lang w:eastAsia="zh-CN"/>
        </w:rPr>
      </w:pPr>
      <w:r>
        <w:rPr>
          <w:rFonts w:hint="eastAsia"/>
          <w:szCs w:val="21"/>
          <w:lang w:eastAsia="zh-CN"/>
        </w:rPr>
        <w:t>特此证明。</w:t>
      </w:r>
    </w:p>
    <w:p>
      <w:pPr>
        <w:autoSpaceDE w:val="0"/>
        <w:autoSpaceDN w:val="0"/>
        <w:adjustRightInd w:val="0"/>
        <w:snapToGrid w:val="0"/>
        <w:spacing w:line="480" w:lineRule="auto"/>
        <w:ind w:firstLine="849" w:firstLineChars="386"/>
        <w:rPr>
          <w:szCs w:val="21"/>
          <w:lang w:eastAsia="zh-CN"/>
        </w:rPr>
      </w:pPr>
      <w:r>
        <w:rPr>
          <w:rFonts w:hint="eastAsia"/>
          <w:szCs w:val="21"/>
          <w:lang w:eastAsia="zh-CN"/>
        </w:rPr>
        <w:t>附：法定代表人身份证扫描件（双面）</w:t>
      </w:r>
    </w:p>
    <w:p>
      <w:pPr>
        <w:tabs>
          <w:tab w:val="left" w:pos="5460"/>
        </w:tabs>
        <w:autoSpaceDE w:val="0"/>
        <w:autoSpaceDN w:val="0"/>
        <w:adjustRightInd w:val="0"/>
        <w:snapToGrid w:val="0"/>
        <w:spacing w:line="480" w:lineRule="auto"/>
        <w:ind w:firstLine="2100"/>
        <w:jc w:val="right"/>
        <w:rPr>
          <w:i/>
          <w:szCs w:val="21"/>
          <w:lang w:eastAsia="zh-CN"/>
        </w:rPr>
      </w:pPr>
    </w:p>
    <w:p>
      <w:pPr>
        <w:tabs>
          <w:tab w:val="left" w:pos="5460"/>
        </w:tabs>
        <w:autoSpaceDE w:val="0"/>
        <w:autoSpaceDN w:val="0"/>
        <w:adjustRightInd w:val="0"/>
        <w:snapToGrid w:val="0"/>
        <w:spacing w:line="480" w:lineRule="auto"/>
        <w:ind w:firstLine="2100"/>
        <w:jc w:val="right"/>
        <w:rPr>
          <w:i/>
          <w:szCs w:val="21"/>
          <w:lang w:eastAsia="zh-CN"/>
        </w:rPr>
      </w:pPr>
    </w:p>
    <w:p>
      <w:pPr>
        <w:tabs>
          <w:tab w:val="left" w:pos="5460"/>
        </w:tabs>
        <w:autoSpaceDE w:val="0"/>
        <w:autoSpaceDN w:val="0"/>
        <w:adjustRightInd w:val="0"/>
        <w:snapToGrid w:val="0"/>
        <w:spacing w:line="480" w:lineRule="auto"/>
        <w:ind w:firstLine="2100"/>
        <w:jc w:val="right"/>
        <w:rPr>
          <w:sz w:val="20"/>
          <w:szCs w:val="20"/>
          <w:lang w:eastAsia="zh-CN"/>
        </w:rPr>
      </w:pPr>
      <w:r>
        <w:rPr>
          <w:rFonts w:hint="eastAsia"/>
          <w:szCs w:val="21"/>
          <w:lang w:eastAsia="zh-CN"/>
        </w:rPr>
        <w:t>报价人：</w:t>
      </w:r>
      <w:r>
        <w:rPr>
          <w:rFonts w:hint="eastAsia"/>
          <w:w w:val="200"/>
          <w:szCs w:val="21"/>
          <w:u w:val="single"/>
          <w:lang w:eastAsia="zh-CN"/>
        </w:rPr>
        <w:t xml:space="preserve">              </w:t>
      </w:r>
      <w:r>
        <w:rPr>
          <w:rFonts w:hint="eastAsia"/>
          <w:szCs w:val="21"/>
          <w:u w:val="single"/>
          <w:lang w:eastAsia="zh-CN"/>
        </w:rPr>
        <w:tab/>
      </w:r>
      <w:r>
        <w:rPr>
          <w:rFonts w:hint="eastAsia"/>
          <w:spacing w:val="-1"/>
          <w:szCs w:val="21"/>
          <w:lang w:eastAsia="zh-CN"/>
        </w:rPr>
        <w:t>（</w:t>
      </w:r>
      <w:r>
        <w:rPr>
          <w:rFonts w:hint="eastAsia"/>
          <w:szCs w:val="21"/>
          <w:lang w:eastAsia="zh-CN"/>
        </w:rPr>
        <w:t>盖单位法人章）</w:t>
      </w:r>
    </w:p>
    <w:p>
      <w:pPr>
        <w:tabs>
          <w:tab w:val="left" w:pos="4935"/>
          <w:tab w:val="left" w:pos="5460"/>
          <w:tab w:val="left" w:pos="6400"/>
        </w:tabs>
        <w:wordWrap w:val="0"/>
        <w:autoSpaceDE w:val="0"/>
        <w:autoSpaceDN w:val="0"/>
        <w:adjustRightInd w:val="0"/>
        <w:snapToGrid w:val="0"/>
        <w:spacing w:line="480" w:lineRule="auto"/>
        <w:ind w:firstLine="3780"/>
        <w:jc w:val="right"/>
        <w:rPr>
          <w:szCs w:val="21"/>
          <w:lang w:eastAsia="zh-CN"/>
        </w:rPr>
      </w:pPr>
      <w:r>
        <w:rPr>
          <w:rFonts w:hint="eastAsia"/>
          <w:w w:val="200"/>
          <w:szCs w:val="21"/>
          <w:u w:val="single"/>
          <w:lang w:eastAsia="zh-CN"/>
        </w:rPr>
        <w:t xml:space="preserve">      </w:t>
      </w:r>
      <w:r>
        <w:rPr>
          <w:rFonts w:hint="eastAsia"/>
          <w:szCs w:val="21"/>
          <w:lang w:eastAsia="zh-CN"/>
        </w:rPr>
        <w:t>年</w:t>
      </w:r>
      <w:r>
        <w:rPr>
          <w:rFonts w:hint="eastAsia"/>
          <w:w w:val="200"/>
          <w:szCs w:val="21"/>
          <w:u w:val="single"/>
          <w:lang w:eastAsia="zh-CN"/>
        </w:rPr>
        <w:t xml:space="preserve"> </w:t>
      </w:r>
      <w:r>
        <w:rPr>
          <w:rFonts w:hint="eastAsia"/>
          <w:szCs w:val="21"/>
          <w:u w:val="single"/>
          <w:lang w:eastAsia="zh-CN"/>
        </w:rPr>
        <w:t xml:space="preserve">     </w:t>
      </w:r>
      <w:r>
        <w:rPr>
          <w:rFonts w:hint="eastAsia"/>
          <w:szCs w:val="21"/>
          <w:lang w:eastAsia="zh-CN"/>
        </w:rPr>
        <w:t>月</w:t>
      </w:r>
      <w:r>
        <w:rPr>
          <w:rFonts w:hint="eastAsia"/>
          <w:w w:val="200"/>
          <w:szCs w:val="21"/>
          <w:u w:val="single"/>
          <w:lang w:eastAsia="zh-CN"/>
        </w:rPr>
        <w:t xml:space="preserve"> </w:t>
      </w:r>
      <w:r>
        <w:rPr>
          <w:rFonts w:hint="eastAsia"/>
          <w:szCs w:val="21"/>
          <w:u w:val="single"/>
          <w:lang w:eastAsia="zh-CN"/>
        </w:rPr>
        <w:t xml:space="preserve">     </w:t>
      </w:r>
      <w:r>
        <w:rPr>
          <w:rFonts w:hint="eastAsia"/>
          <w:szCs w:val="21"/>
          <w:lang w:eastAsia="zh-CN"/>
        </w:rPr>
        <w:t xml:space="preserve">日  </w:t>
      </w:r>
    </w:p>
    <w:p>
      <w:pPr>
        <w:spacing w:line="360" w:lineRule="auto"/>
        <w:ind w:firstLine="440" w:firstLineChars="200"/>
        <w:rPr>
          <w:lang w:eastAsia="zh-CN"/>
        </w:rPr>
      </w:pPr>
      <w:r>
        <w:rPr>
          <w:rFonts w:hint="eastAsia"/>
          <w:lang w:eastAsia="zh-CN"/>
        </w:rPr>
        <w:t>注：法定代表人身份证明需按上述格式将空白填写完整。在此基础上增加内容的不影响其有效性。</w:t>
      </w:r>
    </w:p>
    <w:p>
      <w:pPr>
        <w:rPr>
          <w:rFonts w:ascii="Times New Roman" w:hAnsi="Times New Roman" w:cs="Times New Roman" w:eastAsiaTheme="minorEastAsia"/>
          <w:kern w:val="2"/>
          <w:sz w:val="32"/>
          <w:szCs w:val="32"/>
          <w:lang w:eastAsia="zh-CN"/>
        </w:rPr>
      </w:pPr>
    </w:p>
    <w:p>
      <w:pPr>
        <w:pStyle w:val="2"/>
        <w:rPr>
          <w:rFonts w:ascii="Times New Roman" w:hAnsi="Times New Roman" w:cs="Times New Roman" w:eastAsiaTheme="minorEastAsia"/>
          <w:kern w:val="2"/>
          <w:sz w:val="32"/>
          <w:szCs w:val="32"/>
          <w:lang w:eastAsia="zh-CN"/>
        </w:rPr>
      </w:pPr>
    </w:p>
    <w:p>
      <w:pPr>
        <w:rPr>
          <w:rFonts w:ascii="Times New Roman" w:hAnsi="Times New Roman" w:cs="Times New Roman" w:eastAsiaTheme="minorEastAsia"/>
          <w:kern w:val="2"/>
          <w:sz w:val="32"/>
          <w:szCs w:val="32"/>
          <w:lang w:eastAsia="zh-CN"/>
        </w:rPr>
      </w:pPr>
    </w:p>
    <w:p>
      <w:pPr>
        <w:pStyle w:val="2"/>
        <w:rPr>
          <w:rFonts w:ascii="Times New Roman" w:hAnsi="Times New Roman" w:cs="Times New Roman" w:eastAsiaTheme="minorEastAsia"/>
          <w:kern w:val="2"/>
          <w:sz w:val="32"/>
          <w:szCs w:val="32"/>
          <w:lang w:eastAsia="zh-CN"/>
        </w:rPr>
      </w:pPr>
    </w:p>
    <w:p>
      <w:pPr>
        <w:rPr>
          <w:rFonts w:ascii="Times New Roman" w:hAnsi="Times New Roman" w:cs="Times New Roman" w:eastAsiaTheme="minorEastAsia"/>
          <w:kern w:val="2"/>
          <w:sz w:val="32"/>
          <w:szCs w:val="32"/>
          <w:lang w:eastAsia="zh-CN"/>
        </w:rPr>
      </w:pPr>
    </w:p>
    <w:p>
      <w:pPr>
        <w:pStyle w:val="2"/>
        <w:rPr>
          <w:rFonts w:ascii="Times New Roman" w:hAnsi="Times New Roman" w:cs="Times New Roman" w:eastAsiaTheme="minorEastAsia"/>
          <w:kern w:val="2"/>
          <w:sz w:val="32"/>
          <w:szCs w:val="32"/>
          <w:lang w:eastAsia="zh-CN"/>
        </w:rPr>
      </w:pPr>
    </w:p>
    <w:p>
      <w:pPr>
        <w:rPr>
          <w:rFonts w:ascii="Times New Roman" w:hAnsi="Times New Roman" w:cs="Times New Roman" w:eastAsiaTheme="minorEastAsia"/>
          <w:kern w:val="2"/>
          <w:sz w:val="32"/>
          <w:szCs w:val="32"/>
          <w:lang w:eastAsia="zh-CN"/>
        </w:rPr>
      </w:pPr>
    </w:p>
    <w:p>
      <w:pPr>
        <w:pStyle w:val="2"/>
        <w:rPr>
          <w:rFonts w:ascii="Times New Roman" w:hAnsi="Times New Roman" w:cs="Times New Roman" w:eastAsiaTheme="minorEastAsia"/>
          <w:kern w:val="2"/>
          <w:sz w:val="32"/>
          <w:szCs w:val="32"/>
          <w:lang w:eastAsia="zh-CN"/>
        </w:rPr>
      </w:pPr>
    </w:p>
    <w:p>
      <w:pPr>
        <w:rPr>
          <w:rFonts w:ascii="Times New Roman" w:hAnsi="Times New Roman" w:cs="Times New Roman" w:eastAsiaTheme="minorEastAsia"/>
          <w:kern w:val="2"/>
          <w:sz w:val="32"/>
          <w:szCs w:val="32"/>
          <w:lang w:eastAsia="zh-CN"/>
        </w:rPr>
      </w:pPr>
    </w:p>
    <w:p>
      <w:pPr>
        <w:pStyle w:val="2"/>
        <w:rPr>
          <w:rFonts w:ascii="Times New Roman" w:hAnsi="Times New Roman" w:cs="Times New Roman" w:eastAsiaTheme="minorEastAsia"/>
          <w:kern w:val="2"/>
          <w:sz w:val="32"/>
          <w:szCs w:val="32"/>
          <w:lang w:eastAsia="zh-CN"/>
        </w:rPr>
      </w:pPr>
    </w:p>
    <w:p>
      <w:pPr>
        <w:tabs>
          <w:tab w:val="left" w:pos="1680"/>
          <w:tab w:val="left" w:pos="4215"/>
          <w:tab w:val="left" w:pos="4305"/>
          <w:tab w:val="left" w:pos="8000"/>
        </w:tabs>
        <w:autoSpaceDE w:val="0"/>
        <w:autoSpaceDN w:val="0"/>
        <w:adjustRightInd w:val="0"/>
        <w:snapToGrid w:val="0"/>
        <w:spacing w:line="360" w:lineRule="auto"/>
        <w:jc w:val="center"/>
        <w:outlineLvl w:val="2"/>
        <w:rPr>
          <w:sz w:val="28"/>
          <w:szCs w:val="28"/>
          <w:lang w:eastAsia="zh-CN"/>
        </w:rPr>
      </w:pPr>
      <w:bookmarkStart w:id="763" w:name="_Toc27910"/>
      <w:bookmarkStart w:id="764" w:name="_Toc32624"/>
      <w:bookmarkStart w:id="765" w:name="_Toc11058"/>
      <w:bookmarkStart w:id="766" w:name="_Toc7647"/>
      <w:bookmarkStart w:id="767" w:name="_Toc113559522"/>
      <w:r>
        <w:rPr>
          <w:rFonts w:hint="eastAsia"/>
          <w:snapToGrid w:val="0"/>
          <w:sz w:val="32"/>
          <w:szCs w:val="32"/>
          <w:lang w:eastAsia="zh-CN"/>
        </w:rPr>
        <w:t>授权委托书</w:t>
      </w:r>
      <w:bookmarkEnd w:id="763"/>
      <w:bookmarkEnd w:id="764"/>
      <w:bookmarkEnd w:id="765"/>
      <w:bookmarkEnd w:id="766"/>
      <w:bookmarkEnd w:id="767"/>
    </w:p>
    <w:p>
      <w:pPr>
        <w:tabs>
          <w:tab w:val="left" w:pos="1680"/>
          <w:tab w:val="left" w:pos="4215"/>
          <w:tab w:val="left" w:pos="4305"/>
          <w:tab w:val="left" w:pos="8000"/>
        </w:tabs>
        <w:autoSpaceDE w:val="0"/>
        <w:autoSpaceDN w:val="0"/>
        <w:adjustRightInd w:val="0"/>
        <w:snapToGrid w:val="0"/>
        <w:spacing w:line="480" w:lineRule="auto"/>
        <w:ind w:firstLine="420"/>
        <w:rPr>
          <w:szCs w:val="21"/>
          <w:lang w:eastAsia="zh-CN"/>
        </w:rPr>
      </w:pPr>
      <w:r>
        <w:rPr>
          <w:rFonts w:hint="eastAsia"/>
          <w:szCs w:val="21"/>
          <w:lang w:eastAsia="zh-CN"/>
        </w:rPr>
        <w:t>本人</w:t>
      </w:r>
      <w:r>
        <w:rPr>
          <w:rFonts w:hint="eastAsia"/>
          <w:w w:val="200"/>
          <w:szCs w:val="21"/>
          <w:u w:val="single"/>
          <w:lang w:eastAsia="zh-CN"/>
        </w:rPr>
        <w:t xml:space="preserve">    </w:t>
      </w:r>
      <w:r>
        <w:rPr>
          <w:rFonts w:hint="eastAsia"/>
          <w:szCs w:val="21"/>
          <w:lang w:eastAsia="zh-CN"/>
        </w:rPr>
        <w:t>（姓名）系</w:t>
      </w:r>
      <w:r>
        <w:rPr>
          <w:rFonts w:hint="eastAsia"/>
          <w:w w:val="200"/>
          <w:szCs w:val="21"/>
          <w:u w:val="single"/>
          <w:lang w:eastAsia="zh-CN"/>
        </w:rPr>
        <w:t xml:space="preserve">        </w:t>
      </w:r>
      <w:r>
        <w:rPr>
          <w:rFonts w:hint="eastAsia"/>
          <w:szCs w:val="21"/>
          <w:lang w:eastAsia="zh-CN"/>
        </w:rPr>
        <w:t>（</w:t>
      </w:r>
      <w:r>
        <w:rPr>
          <w:rFonts w:hint="eastAsia"/>
          <w:spacing w:val="-1"/>
          <w:szCs w:val="21"/>
          <w:lang w:eastAsia="zh-CN"/>
        </w:rPr>
        <w:t>报价人</w:t>
      </w:r>
      <w:r>
        <w:rPr>
          <w:rFonts w:hint="eastAsia"/>
          <w:szCs w:val="21"/>
          <w:lang w:eastAsia="zh-CN"/>
        </w:rPr>
        <w:t>名称</w:t>
      </w:r>
      <w:r>
        <w:rPr>
          <w:rFonts w:hint="eastAsia"/>
          <w:spacing w:val="1"/>
          <w:szCs w:val="21"/>
          <w:lang w:eastAsia="zh-CN"/>
        </w:rPr>
        <w:t>）</w:t>
      </w:r>
      <w:r>
        <w:rPr>
          <w:rFonts w:hint="eastAsia"/>
          <w:szCs w:val="21"/>
          <w:lang w:eastAsia="zh-CN"/>
        </w:rPr>
        <w:t>的法定代</w:t>
      </w:r>
      <w:r>
        <w:rPr>
          <w:rFonts w:hint="eastAsia"/>
          <w:spacing w:val="1"/>
          <w:szCs w:val="21"/>
          <w:lang w:eastAsia="zh-CN"/>
        </w:rPr>
        <w:t>表</w:t>
      </w:r>
      <w:r>
        <w:rPr>
          <w:rFonts w:hint="eastAsia"/>
          <w:szCs w:val="21"/>
          <w:lang w:eastAsia="zh-CN"/>
        </w:rPr>
        <w:t>人，现委托</w:t>
      </w:r>
      <w:r>
        <w:rPr>
          <w:rFonts w:hint="eastAsia"/>
          <w:w w:val="200"/>
          <w:szCs w:val="21"/>
          <w:u w:val="single"/>
          <w:lang w:eastAsia="zh-CN"/>
        </w:rPr>
        <w:t xml:space="preserve">    </w:t>
      </w:r>
      <w:r>
        <w:rPr>
          <w:rFonts w:hint="eastAsia"/>
          <w:szCs w:val="21"/>
          <w:lang w:eastAsia="zh-CN"/>
        </w:rPr>
        <w:t>（姓名）为我方代理人。代理人根据授权，以我方名义签署、澄清、说明、补正、递交、撤回、 修改</w:t>
      </w:r>
      <w:r>
        <w:rPr>
          <w:rFonts w:hint="eastAsia"/>
          <w:snapToGrid/>
          <w:sz w:val="22"/>
          <w:szCs w:val="21"/>
          <w:u w:val="single"/>
          <w:lang w:eastAsia="zh-CN"/>
        </w:rPr>
        <w:t>涪江干流梯级渠化双江航电枢纽工程</w:t>
      </w:r>
      <w:r>
        <w:rPr>
          <w:rFonts w:hint="eastAsia"/>
          <w:snapToGrid/>
          <w:sz w:val="22"/>
          <w:szCs w:val="21"/>
          <w:u w:val="single"/>
          <w:lang w:val="en-US" w:eastAsia="zh-CN"/>
        </w:rPr>
        <w:t>厂区空调</w:t>
      </w:r>
      <w:r>
        <w:rPr>
          <w:rFonts w:hint="eastAsia"/>
          <w:snapToGrid/>
          <w:sz w:val="22"/>
          <w:szCs w:val="21"/>
          <w:u w:val="single"/>
          <w:lang w:eastAsia="zh-CN"/>
        </w:rPr>
        <w:t>设备采购</w:t>
      </w:r>
      <w:r>
        <w:rPr>
          <w:rFonts w:hint="eastAsia"/>
          <w:szCs w:val="21"/>
          <w:lang w:eastAsia="zh-CN"/>
        </w:rPr>
        <w:t>报价文件、签订合同和处理有关事宜，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szCs w:val="21"/>
          <w:lang w:eastAsia="zh-CN"/>
        </w:rPr>
      </w:pPr>
      <w:r>
        <w:rPr>
          <w:rFonts w:hint="eastAsia"/>
          <w:szCs w:val="21"/>
          <w:lang w:eastAsia="zh-CN"/>
        </w:rPr>
        <w:t>委托</w:t>
      </w:r>
      <w:r>
        <w:rPr>
          <w:rFonts w:hint="eastAsia"/>
          <w:spacing w:val="-1"/>
          <w:szCs w:val="21"/>
          <w:lang w:eastAsia="zh-CN"/>
        </w:rPr>
        <w:t>期</w:t>
      </w:r>
      <w:r>
        <w:rPr>
          <w:rFonts w:hint="eastAsia"/>
          <w:szCs w:val="21"/>
          <w:lang w:eastAsia="zh-CN"/>
        </w:rPr>
        <w:t>限：</w:t>
      </w:r>
      <w:r>
        <w:rPr>
          <w:rFonts w:hint="eastAsia"/>
          <w:w w:val="200"/>
          <w:szCs w:val="21"/>
          <w:u w:val="single"/>
          <w:lang w:eastAsia="zh-CN"/>
        </w:rPr>
        <w:t xml:space="preserve">        </w:t>
      </w:r>
      <w:r>
        <w:rPr>
          <w:rFonts w:hint="eastAsia"/>
          <w:szCs w:val="21"/>
          <w:lang w:eastAsia="zh-CN"/>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szCs w:val="21"/>
          <w:lang w:eastAsia="zh-CN"/>
        </w:rPr>
      </w:pPr>
      <w:r>
        <w:rPr>
          <w:rFonts w:hint="eastAsia"/>
          <w:szCs w:val="21"/>
          <w:lang w:eastAsia="zh-CN"/>
        </w:rPr>
        <w:t>代理人无转委托权。</w:t>
      </w:r>
    </w:p>
    <w:p>
      <w:pPr>
        <w:tabs>
          <w:tab w:val="left" w:pos="3360"/>
        </w:tabs>
        <w:autoSpaceDE w:val="0"/>
        <w:autoSpaceDN w:val="0"/>
        <w:adjustRightInd w:val="0"/>
        <w:snapToGrid w:val="0"/>
        <w:spacing w:line="480" w:lineRule="auto"/>
        <w:ind w:firstLine="440" w:firstLineChars="200"/>
        <w:rPr>
          <w:szCs w:val="21"/>
          <w:lang w:eastAsia="zh-CN"/>
        </w:rPr>
      </w:pPr>
      <w:r>
        <w:rPr>
          <w:rFonts w:hint="eastAsia"/>
          <w:szCs w:val="21"/>
          <w:lang w:eastAsia="zh-CN"/>
        </w:rPr>
        <w:t>附：1. 法定代表人及委托代理人身份证扫描件（双面）</w:t>
      </w:r>
    </w:p>
    <w:p>
      <w:pPr>
        <w:tabs>
          <w:tab w:val="left" w:pos="1680"/>
          <w:tab w:val="left" w:pos="4200"/>
          <w:tab w:val="left" w:pos="4305"/>
          <w:tab w:val="left" w:pos="8000"/>
        </w:tabs>
        <w:autoSpaceDE w:val="0"/>
        <w:autoSpaceDN w:val="0"/>
        <w:adjustRightInd w:val="0"/>
        <w:snapToGrid w:val="0"/>
        <w:spacing w:line="480" w:lineRule="auto"/>
        <w:ind w:firstLine="420"/>
        <w:rPr>
          <w:szCs w:val="21"/>
          <w:lang w:eastAsia="zh-CN"/>
        </w:rPr>
      </w:pPr>
    </w:p>
    <w:p>
      <w:pPr>
        <w:tabs>
          <w:tab w:val="left" w:pos="1680"/>
          <w:tab w:val="left" w:pos="4200"/>
          <w:tab w:val="left" w:pos="4305"/>
          <w:tab w:val="left" w:pos="8000"/>
        </w:tabs>
        <w:autoSpaceDE w:val="0"/>
        <w:autoSpaceDN w:val="0"/>
        <w:adjustRightInd w:val="0"/>
        <w:snapToGrid w:val="0"/>
        <w:spacing w:line="480" w:lineRule="auto"/>
        <w:ind w:firstLine="420"/>
        <w:rPr>
          <w:szCs w:val="21"/>
          <w:lang w:eastAsia="zh-CN"/>
        </w:rPr>
      </w:pPr>
      <w:r>
        <w:rPr>
          <w:rFonts w:hint="eastAsia"/>
          <w:szCs w:val="21"/>
          <w:lang w:eastAsia="zh-CN"/>
        </w:rPr>
        <w:t>投  标  人：</w:t>
      </w:r>
      <w:r>
        <w:rPr>
          <w:rFonts w:hint="eastAsia"/>
          <w:w w:val="200"/>
          <w:szCs w:val="21"/>
          <w:u w:val="single"/>
          <w:lang w:eastAsia="zh-CN"/>
        </w:rPr>
        <w:t xml:space="preserve">                           </w:t>
      </w:r>
      <w:r>
        <w:rPr>
          <w:rFonts w:hint="eastAsia"/>
          <w:szCs w:val="21"/>
          <w:lang w:eastAsia="zh-CN"/>
        </w:rPr>
        <w:t>（</w:t>
      </w:r>
      <w:r>
        <w:rPr>
          <w:rFonts w:hint="eastAsia"/>
          <w:spacing w:val="-1"/>
          <w:szCs w:val="21"/>
          <w:lang w:eastAsia="zh-CN"/>
        </w:rPr>
        <w:t>盖单位法人章</w:t>
      </w:r>
      <w:r>
        <w:rPr>
          <w:rFonts w:hint="eastAsia"/>
          <w:szCs w:val="21"/>
          <w:lang w:eastAsia="zh-CN"/>
        </w:rPr>
        <w:t>）</w:t>
      </w:r>
    </w:p>
    <w:p>
      <w:pPr>
        <w:tabs>
          <w:tab w:val="left" w:pos="6300"/>
        </w:tabs>
        <w:autoSpaceDE w:val="0"/>
        <w:autoSpaceDN w:val="0"/>
        <w:adjustRightInd w:val="0"/>
        <w:snapToGrid w:val="0"/>
        <w:spacing w:line="480" w:lineRule="auto"/>
        <w:ind w:firstLine="440" w:firstLineChars="200"/>
        <w:rPr>
          <w:szCs w:val="21"/>
          <w:lang w:eastAsia="zh-CN"/>
        </w:rPr>
      </w:pPr>
      <w:r>
        <w:rPr>
          <w:rFonts w:hint="eastAsia"/>
          <w:szCs w:val="21"/>
          <w:lang w:eastAsia="zh-CN"/>
        </w:rPr>
        <w:t>法定代表人：</w:t>
      </w:r>
      <w:r>
        <w:rPr>
          <w:rFonts w:hint="eastAsia"/>
          <w:w w:val="200"/>
          <w:szCs w:val="21"/>
          <w:u w:val="single"/>
          <w:lang w:eastAsia="zh-CN"/>
        </w:rPr>
        <w:t xml:space="preserve">                           </w:t>
      </w:r>
      <w:r>
        <w:rPr>
          <w:rFonts w:hint="eastAsia"/>
          <w:szCs w:val="21"/>
          <w:lang w:eastAsia="zh-CN"/>
        </w:rPr>
        <w:t>（签名或盖章）</w:t>
      </w:r>
    </w:p>
    <w:p>
      <w:pPr>
        <w:tabs>
          <w:tab w:val="left" w:pos="5260"/>
        </w:tabs>
        <w:autoSpaceDE w:val="0"/>
        <w:autoSpaceDN w:val="0"/>
        <w:adjustRightInd w:val="0"/>
        <w:snapToGrid w:val="0"/>
        <w:spacing w:line="480" w:lineRule="auto"/>
        <w:ind w:firstLine="440" w:firstLineChars="200"/>
        <w:rPr>
          <w:szCs w:val="21"/>
          <w:u w:val="single"/>
          <w:lang w:eastAsia="zh-CN"/>
        </w:rPr>
      </w:pPr>
      <w:r>
        <w:rPr>
          <w:rFonts w:hint="eastAsia"/>
          <w:szCs w:val="21"/>
          <w:lang w:eastAsia="zh-CN"/>
        </w:rPr>
        <w:t>身份证号码：</w:t>
      </w:r>
      <w:r>
        <w:rPr>
          <w:rFonts w:hint="eastAsia"/>
          <w:w w:val="200"/>
          <w:szCs w:val="21"/>
          <w:u w:val="single"/>
          <w:lang w:eastAsia="zh-CN"/>
        </w:rPr>
        <w:t xml:space="preserve">                           </w:t>
      </w:r>
    </w:p>
    <w:p>
      <w:pPr>
        <w:tabs>
          <w:tab w:val="left" w:pos="5260"/>
        </w:tabs>
        <w:autoSpaceDE w:val="0"/>
        <w:autoSpaceDN w:val="0"/>
        <w:adjustRightInd w:val="0"/>
        <w:snapToGrid w:val="0"/>
        <w:spacing w:line="480" w:lineRule="auto"/>
        <w:ind w:firstLine="440" w:firstLineChars="200"/>
        <w:rPr>
          <w:szCs w:val="21"/>
          <w:lang w:eastAsia="zh-CN"/>
        </w:rPr>
      </w:pPr>
      <w:r>
        <w:rPr>
          <w:rFonts w:hint="eastAsia"/>
          <w:szCs w:val="21"/>
          <w:lang w:eastAsia="zh-CN"/>
        </w:rPr>
        <w:t>委托代理人：</w:t>
      </w:r>
      <w:r>
        <w:rPr>
          <w:rFonts w:hint="eastAsia"/>
          <w:w w:val="200"/>
          <w:szCs w:val="21"/>
          <w:u w:val="single"/>
          <w:lang w:eastAsia="zh-CN"/>
        </w:rPr>
        <w:t xml:space="preserve">                           </w:t>
      </w:r>
      <w:r>
        <w:rPr>
          <w:rFonts w:hint="eastAsia"/>
          <w:szCs w:val="21"/>
          <w:lang w:eastAsia="zh-CN"/>
        </w:rPr>
        <w:t>（签名）</w:t>
      </w:r>
    </w:p>
    <w:p>
      <w:pPr>
        <w:tabs>
          <w:tab w:val="left" w:pos="6825"/>
        </w:tabs>
        <w:autoSpaceDE w:val="0"/>
        <w:autoSpaceDN w:val="0"/>
        <w:adjustRightInd w:val="0"/>
        <w:snapToGrid w:val="0"/>
        <w:spacing w:line="480" w:lineRule="auto"/>
        <w:ind w:firstLine="440" w:firstLineChars="200"/>
        <w:rPr>
          <w:w w:val="200"/>
          <w:szCs w:val="21"/>
          <w:u w:val="single"/>
          <w:lang w:eastAsia="zh-CN"/>
        </w:rPr>
      </w:pPr>
      <w:r>
        <w:rPr>
          <w:rFonts w:hint="eastAsia"/>
          <w:szCs w:val="21"/>
          <w:lang w:eastAsia="zh-CN"/>
        </w:rPr>
        <w:t>身份证号码：</w:t>
      </w:r>
      <w:r>
        <w:rPr>
          <w:rFonts w:hint="eastAsia"/>
          <w:w w:val="200"/>
          <w:szCs w:val="21"/>
          <w:u w:val="single"/>
          <w:lang w:eastAsia="zh-CN"/>
        </w:rPr>
        <w:t xml:space="preserve">                           </w:t>
      </w:r>
    </w:p>
    <w:p>
      <w:pPr>
        <w:pStyle w:val="2"/>
        <w:spacing w:line="360" w:lineRule="auto"/>
        <w:ind w:firstLine="420" w:firstLineChars="200"/>
        <w:rPr>
          <w:snapToGrid w:val="0"/>
          <w:lang w:eastAsia="zh-CN"/>
        </w:rPr>
      </w:pPr>
      <w:r>
        <w:rPr>
          <w:rFonts w:hint="eastAsia"/>
          <w:snapToGrid w:val="0"/>
          <w:lang w:eastAsia="zh-CN"/>
        </w:rPr>
        <w:t>单位电话（座机）：</w:t>
      </w:r>
      <w:r>
        <w:rPr>
          <w:rFonts w:hint="eastAsia"/>
          <w:w w:val="200"/>
          <w:u w:val="single"/>
          <w:lang w:eastAsia="zh-CN"/>
        </w:rPr>
        <w:t xml:space="preserve">                        </w:t>
      </w:r>
    </w:p>
    <w:p>
      <w:pPr>
        <w:pStyle w:val="2"/>
        <w:spacing w:line="360" w:lineRule="auto"/>
        <w:ind w:firstLine="420" w:firstLineChars="200"/>
        <w:rPr>
          <w:lang w:eastAsia="zh-CN"/>
        </w:rPr>
      </w:pPr>
      <w:r>
        <w:rPr>
          <w:rFonts w:hint="eastAsia"/>
          <w:snapToGrid w:val="0"/>
          <w:lang w:eastAsia="zh-CN"/>
        </w:rPr>
        <w:t>委托代理人电话（手机）：</w:t>
      </w:r>
      <w:r>
        <w:rPr>
          <w:rFonts w:hint="eastAsia"/>
          <w:w w:val="200"/>
          <w:u w:val="single"/>
          <w:lang w:eastAsia="zh-CN"/>
        </w:rPr>
        <w:t xml:space="preserve">                     </w:t>
      </w:r>
    </w:p>
    <w:p>
      <w:pPr>
        <w:pStyle w:val="2"/>
        <w:rPr>
          <w:lang w:eastAsia="zh-CN"/>
        </w:rPr>
      </w:pPr>
    </w:p>
    <w:p>
      <w:pPr>
        <w:tabs>
          <w:tab w:val="left" w:pos="4005"/>
          <w:tab w:val="left" w:pos="4100"/>
          <w:tab w:val="left" w:pos="5040"/>
        </w:tabs>
        <w:wordWrap w:val="0"/>
        <w:autoSpaceDE w:val="0"/>
        <w:autoSpaceDN w:val="0"/>
        <w:adjustRightInd w:val="0"/>
        <w:snapToGrid w:val="0"/>
        <w:spacing w:line="360" w:lineRule="auto"/>
        <w:ind w:firstLine="3780"/>
        <w:jc w:val="right"/>
        <w:rPr>
          <w:szCs w:val="21"/>
          <w:lang w:eastAsia="zh-CN"/>
        </w:rPr>
      </w:pPr>
      <w:r>
        <w:rPr>
          <w:rFonts w:hint="eastAsia"/>
          <w:w w:val="200"/>
          <w:szCs w:val="21"/>
          <w:u w:val="single"/>
          <w:lang w:eastAsia="zh-CN"/>
        </w:rPr>
        <w:t xml:space="preserve">  </w:t>
      </w:r>
      <w:r>
        <w:rPr>
          <w:rFonts w:hint="eastAsia"/>
          <w:szCs w:val="21"/>
          <w:lang w:eastAsia="zh-CN"/>
        </w:rPr>
        <w:t>年</w:t>
      </w:r>
      <w:r>
        <w:rPr>
          <w:rFonts w:hint="eastAsia"/>
          <w:w w:val="200"/>
          <w:szCs w:val="21"/>
          <w:u w:val="single"/>
          <w:lang w:eastAsia="zh-CN"/>
        </w:rPr>
        <w:t xml:space="preserve">  </w:t>
      </w:r>
      <w:r>
        <w:rPr>
          <w:rFonts w:hint="eastAsia"/>
          <w:szCs w:val="21"/>
          <w:lang w:eastAsia="zh-CN"/>
        </w:rPr>
        <w:t>月</w:t>
      </w:r>
      <w:r>
        <w:rPr>
          <w:rFonts w:hint="eastAsia"/>
          <w:w w:val="200"/>
          <w:szCs w:val="21"/>
          <w:u w:val="single"/>
          <w:lang w:eastAsia="zh-CN"/>
        </w:rPr>
        <w:t xml:space="preserve">  </w:t>
      </w:r>
      <w:r>
        <w:rPr>
          <w:rFonts w:hint="eastAsia"/>
          <w:szCs w:val="21"/>
          <w:lang w:eastAsia="zh-CN"/>
        </w:rPr>
        <w:t xml:space="preserve">日 </w:t>
      </w:r>
    </w:p>
    <w:p>
      <w:pPr>
        <w:tabs>
          <w:tab w:val="left" w:pos="4005"/>
          <w:tab w:val="left" w:pos="4100"/>
          <w:tab w:val="left" w:pos="5040"/>
        </w:tabs>
        <w:autoSpaceDE w:val="0"/>
        <w:autoSpaceDN w:val="0"/>
        <w:adjustRightInd w:val="0"/>
        <w:snapToGrid w:val="0"/>
        <w:spacing w:line="360" w:lineRule="auto"/>
        <w:ind w:firstLine="3780"/>
        <w:jc w:val="right"/>
        <w:rPr>
          <w:szCs w:val="21"/>
          <w:lang w:eastAsia="zh-CN"/>
        </w:rPr>
      </w:pPr>
    </w:p>
    <w:p>
      <w:pPr>
        <w:tabs>
          <w:tab w:val="left" w:pos="1680"/>
          <w:tab w:val="left" w:pos="4215"/>
          <w:tab w:val="left" w:pos="4305"/>
          <w:tab w:val="left" w:pos="8000"/>
        </w:tabs>
        <w:autoSpaceDE w:val="0"/>
        <w:autoSpaceDN w:val="0"/>
        <w:adjustRightInd w:val="0"/>
        <w:snapToGrid w:val="0"/>
        <w:spacing w:line="360" w:lineRule="auto"/>
        <w:ind w:firstLine="440" w:firstLineChars="200"/>
        <w:rPr>
          <w:szCs w:val="21"/>
          <w:lang w:eastAsia="zh-CN"/>
        </w:rPr>
      </w:pPr>
      <w:r>
        <w:rPr>
          <w:rFonts w:hint="eastAsia"/>
          <w:szCs w:val="21"/>
          <w:lang w:eastAsia="zh-CN"/>
        </w:rPr>
        <w:t>注：1、法定代表人参加报价活动并签署文件的不需要授权委托书，只需提供法定代表人身份证明；非法定代表人参加报价活动及签署文件的除提供法定代表人身份证明外还须提供授权委托书。</w:t>
      </w:r>
    </w:p>
    <w:p>
      <w:pPr>
        <w:tabs>
          <w:tab w:val="left" w:pos="1680"/>
          <w:tab w:val="left" w:pos="4215"/>
          <w:tab w:val="left" w:pos="4305"/>
          <w:tab w:val="left" w:pos="8000"/>
        </w:tabs>
        <w:autoSpaceDE w:val="0"/>
        <w:autoSpaceDN w:val="0"/>
        <w:adjustRightInd w:val="0"/>
        <w:snapToGrid w:val="0"/>
        <w:spacing w:line="360" w:lineRule="auto"/>
        <w:ind w:firstLine="440" w:firstLineChars="200"/>
        <w:rPr>
          <w:lang w:eastAsia="zh-CN"/>
        </w:rPr>
      </w:pPr>
      <w:r>
        <w:rPr>
          <w:rFonts w:hint="eastAsia"/>
          <w:szCs w:val="21"/>
          <w:lang w:eastAsia="zh-CN"/>
        </w:rPr>
        <w:t>2.</w:t>
      </w:r>
      <w:r>
        <w:rPr>
          <w:rFonts w:hint="eastAsia"/>
          <w:lang w:eastAsia="zh-CN"/>
        </w:rPr>
        <w:t>授权委托书需按上述格式将空白处填写完整。在此基础上增加内容的不影响其有效性。</w:t>
      </w:r>
    </w:p>
    <w:p>
      <w:pPr>
        <w:rPr>
          <w:rFonts w:ascii="Times New Roman" w:hAnsi="Times New Roman" w:cs="Times New Roman" w:eastAsiaTheme="minorEastAsia"/>
          <w:kern w:val="2"/>
          <w:sz w:val="32"/>
          <w:szCs w:val="32"/>
          <w:lang w:eastAsia="zh-CN"/>
        </w:rPr>
      </w:pPr>
    </w:p>
    <w:p>
      <w:pPr>
        <w:pStyle w:val="2"/>
        <w:rPr>
          <w:lang w:eastAsia="zh-CN"/>
        </w:rPr>
      </w:pPr>
    </w:p>
    <w:bookmarkEnd w:id="756"/>
    <w:bookmarkEnd w:id="757"/>
    <w:bookmarkEnd w:id="758"/>
    <w:p>
      <w:pPr>
        <w:pStyle w:val="173"/>
        <w:shd w:val="clear" w:color="auto" w:fill="auto"/>
        <w:spacing w:before="0" w:after="476" w:line="240" w:lineRule="auto"/>
        <w:jc w:val="center"/>
        <w:rPr>
          <w:rFonts w:ascii="Times New Roman" w:hAnsi="Times New Roman" w:eastAsia="方正小标宋_GBK" w:cs="Times New Roman"/>
          <w:sz w:val="28"/>
          <w:szCs w:val="28"/>
        </w:rPr>
      </w:pPr>
      <w:bookmarkStart w:id="768" w:name="_Toc52097544"/>
      <w:bookmarkEnd w:id="768"/>
      <w:bookmarkStart w:id="769" w:name="_Toc23906"/>
      <w:bookmarkStart w:id="770" w:name="_Toc18251"/>
      <w:bookmarkStart w:id="771" w:name="_Toc3941"/>
      <w:bookmarkStart w:id="772" w:name="_Toc12431"/>
      <w:r>
        <w:rPr>
          <w:rFonts w:hint="eastAsia" w:ascii="Times New Roman" w:hAnsi="Times New Roman" w:eastAsia="方正小标宋_GBK" w:cs="Times New Roman"/>
          <w:sz w:val="28"/>
          <w:szCs w:val="28"/>
        </w:rPr>
        <w:t>二、报价函</w:t>
      </w:r>
      <w:bookmarkEnd w:id="769"/>
      <w:bookmarkEnd w:id="770"/>
      <w:bookmarkEnd w:id="771"/>
      <w:bookmarkEnd w:id="772"/>
    </w:p>
    <w:p>
      <w:pPr>
        <w:tabs>
          <w:tab w:val="left" w:leader="underscore" w:pos="2036"/>
        </w:tabs>
        <w:ind w:left="140"/>
        <w:rPr>
          <w:rFonts w:ascii="Times New Roman" w:hAnsi="Times New Roman" w:eastAsia="方正仿宋_GBK" w:cs="Times New Roman"/>
          <w:sz w:val="28"/>
          <w:szCs w:val="28"/>
          <w:lang w:eastAsia="zh-CN"/>
        </w:rPr>
      </w:pPr>
      <w:bookmarkStart w:id="773" w:name="bookmark293"/>
      <w:bookmarkEnd w:id="773"/>
      <w:r>
        <w:rPr>
          <w:rFonts w:hint="eastAsia" w:ascii="Times New Roman" w:hAnsi="Times New Roman" w:eastAsia="方正仿宋_GBK" w:cs="Times New Roman"/>
          <w:sz w:val="28"/>
          <w:szCs w:val="28"/>
          <w:lang w:eastAsia="zh-CN"/>
        </w:rPr>
        <w:t>____________(询价人名称</w:t>
      </w:r>
      <w:r>
        <w:rPr>
          <w:rFonts w:hint="eastAsia" w:ascii="Times New Roman" w:hAnsi="Times New Roman" w:eastAsia="方正仿宋_GBK" w:cs="Times New Roman"/>
          <w:sz w:val="28"/>
          <w:szCs w:val="28"/>
          <w:lang w:eastAsia="zh-CN" w:bidi="en-US"/>
        </w:rPr>
        <w:t>）：</w:t>
      </w:r>
    </w:p>
    <w:p>
      <w:pPr>
        <w:tabs>
          <w:tab w:val="left" w:pos="939"/>
        </w:tabs>
        <w:adjustRightInd w:val="0"/>
        <w:ind w:firstLine="560" w:firstLineChars="200"/>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bidi="en-US"/>
        </w:rPr>
        <w:t>1.</w:t>
      </w:r>
      <w:r>
        <w:rPr>
          <w:rFonts w:hint="eastAsia" w:ascii="Times New Roman" w:hAnsi="Times New Roman" w:eastAsia="方正仿宋_GBK" w:cs="Times New Roman"/>
          <w:sz w:val="28"/>
          <w:szCs w:val="28"/>
          <w:lang w:eastAsia="zh-CN"/>
        </w:rPr>
        <w:t>我方己仔细研究了_______项目询价文件的全部内容，愿意以人民币（大写</w:t>
      </w:r>
      <w:r>
        <w:rPr>
          <w:rFonts w:hint="eastAsia" w:ascii="Times New Roman" w:hAnsi="Times New Roman" w:eastAsia="方正仿宋_GBK" w:cs="Times New Roman"/>
          <w:sz w:val="28"/>
          <w:szCs w:val="28"/>
          <w:lang w:eastAsia="zh-CN" w:bidi="en-US"/>
        </w:rPr>
        <w:t>）</w:t>
      </w:r>
      <w:r>
        <w:rPr>
          <w:rFonts w:hint="eastAsia" w:ascii="Times New Roman" w:hAnsi="Times New Roman" w:eastAsia="方正仿宋_GBK" w:cs="Times New Roman"/>
          <w:sz w:val="28"/>
          <w:szCs w:val="28"/>
          <w:u w:val="single"/>
          <w:lang w:eastAsia="zh-CN" w:bidi="en-US"/>
        </w:rPr>
        <w:t xml:space="preserve">       </w:t>
      </w:r>
      <w:r>
        <w:rPr>
          <w:rFonts w:hint="eastAsia" w:ascii="Times New Roman" w:hAnsi="Times New Roman" w:eastAsia="方正仿宋_GBK" w:cs="Times New Roman"/>
          <w:sz w:val="28"/>
          <w:szCs w:val="28"/>
          <w:lang w:eastAsia="zh-CN" w:bidi="en-US"/>
        </w:rPr>
        <w:t>(¥</w:t>
      </w:r>
      <w:r>
        <w:rPr>
          <w:rFonts w:hint="eastAsia" w:ascii="Times New Roman" w:hAnsi="Times New Roman" w:eastAsia="方正仿宋_GBK" w:cs="Times New Roman"/>
          <w:sz w:val="28"/>
          <w:szCs w:val="28"/>
          <w:u w:val="single"/>
          <w:lang w:eastAsia="zh-CN" w:bidi="en-US"/>
        </w:rPr>
        <w:t xml:space="preserve">      </w:t>
      </w:r>
      <w:r>
        <w:rPr>
          <w:rFonts w:hint="eastAsia" w:ascii="Times New Roman" w:hAnsi="Times New Roman" w:eastAsia="方正仿宋_GBK" w:cs="Times New Roman"/>
          <w:color w:val="000000" w:themeColor="text1"/>
          <w:sz w:val="28"/>
          <w:szCs w:val="28"/>
          <w:u w:val="single"/>
          <w:lang w:eastAsia="zh-CN" w:bidi="en-US"/>
          <w14:textFill>
            <w14:solidFill>
              <w14:schemeClr w14:val="tx1"/>
            </w14:solidFill>
          </w14:textFill>
        </w:rPr>
        <w:t xml:space="preserve"> </w:t>
      </w:r>
      <w:r>
        <w:rPr>
          <w:rFonts w:hint="eastAsia" w:ascii="Times New Roman" w:hAnsi="Times New Roman" w:eastAsia="方正仿宋_GBK" w:cs="Times New Roman"/>
          <w:color w:val="000000" w:themeColor="text1"/>
          <w:sz w:val="28"/>
          <w:szCs w:val="28"/>
          <w:lang w:eastAsia="zh-CN" w:bidi="en-US"/>
          <w14:textFill>
            <w14:solidFill>
              <w14:schemeClr w14:val="tx1"/>
            </w14:solidFill>
          </w14:textFill>
        </w:rPr>
        <w:t>)元</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的</w:t>
      </w:r>
      <w:r>
        <w:rPr>
          <w:rFonts w:hint="eastAsia" w:ascii="Times New Roman" w:hAnsi="Times New Roman" w:eastAsia="方正仿宋_GBK" w:cs="Times New Roman"/>
          <w:sz w:val="28"/>
          <w:szCs w:val="28"/>
          <w:lang w:eastAsia="zh-CN"/>
        </w:rPr>
        <w:t>总报价提供相关服务，并按合同约定履行义务。</w:t>
      </w:r>
    </w:p>
    <w:p>
      <w:pPr>
        <w:tabs>
          <w:tab w:val="left" w:pos="939"/>
        </w:tabs>
        <w:adjustRightInd w:val="0"/>
        <w:ind w:left="420" w:leftChars="191" w:firstLine="280" w:firstLineChars="100"/>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2.我方的报价文件包括下列内容：</w:t>
      </w:r>
    </w:p>
    <w:p>
      <w:pPr>
        <w:tabs>
          <w:tab w:val="left" w:pos="1088"/>
        </w:tabs>
        <w:adjustRightInd w:val="0"/>
        <w:ind w:left="420"/>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（1）报价函；</w:t>
      </w:r>
    </w:p>
    <w:p>
      <w:pPr>
        <w:tabs>
          <w:tab w:val="left" w:pos="1088"/>
        </w:tabs>
        <w:adjustRightInd w:val="0"/>
        <w:ind w:left="420"/>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（2）法定代表人身份证明或授权委托书；</w:t>
      </w:r>
    </w:p>
    <w:p>
      <w:pPr>
        <w:tabs>
          <w:tab w:val="left" w:pos="1088"/>
        </w:tabs>
        <w:adjustRightInd w:val="0"/>
        <w:ind w:left="420"/>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（3）报价表；</w:t>
      </w:r>
    </w:p>
    <w:p>
      <w:pPr>
        <w:tabs>
          <w:tab w:val="left" w:pos="1088"/>
        </w:tabs>
        <w:adjustRightInd w:val="0"/>
        <w:ind w:left="420"/>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（4）资格审查资料；</w:t>
      </w:r>
    </w:p>
    <w:p>
      <w:pPr>
        <w:tabs>
          <w:tab w:val="left" w:pos="1088"/>
        </w:tabs>
        <w:adjustRightInd w:val="0"/>
        <w:ind w:left="420"/>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（5）项目方案；</w:t>
      </w:r>
    </w:p>
    <w:p>
      <w:pPr>
        <w:tabs>
          <w:tab w:val="left" w:pos="1088"/>
        </w:tabs>
        <w:adjustRightInd w:val="0"/>
        <w:ind w:firstLine="560" w:firstLineChars="200"/>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报价文件的上述组成部分如存在内容不一致的，以报标函为准。</w:t>
      </w:r>
    </w:p>
    <w:p>
      <w:pPr>
        <w:tabs>
          <w:tab w:val="left" w:pos="993"/>
        </w:tabs>
        <w:adjustRightInd w:val="0"/>
        <w:ind w:firstLine="560" w:firstLineChars="200"/>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3.我方承诺响应询价文件的全部要求。</w:t>
      </w:r>
    </w:p>
    <w:p>
      <w:pPr>
        <w:tabs>
          <w:tab w:val="left" w:pos="993"/>
        </w:tabs>
        <w:adjustRightInd w:val="0"/>
        <w:ind w:firstLine="560" w:firstLineChars="200"/>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4.如我方中选，我方承诺：</w:t>
      </w:r>
    </w:p>
    <w:p>
      <w:pPr>
        <w:tabs>
          <w:tab w:val="left" w:pos="1088"/>
        </w:tabs>
        <w:adjustRightInd w:val="0"/>
        <w:ind w:firstLine="280" w:firstLineChars="100"/>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（1）在收到中选通知后，在规定的期限内与你方签订合同；</w:t>
      </w:r>
    </w:p>
    <w:p>
      <w:pPr>
        <w:tabs>
          <w:tab w:val="left" w:pos="1088"/>
        </w:tabs>
        <w:adjustRightInd w:val="0"/>
        <w:ind w:left="420"/>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（2）在签订合同时不向你方提出附加条件；</w:t>
      </w:r>
    </w:p>
    <w:p>
      <w:pPr>
        <w:tabs>
          <w:tab w:val="left" w:pos="1088"/>
        </w:tabs>
        <w:adjustRightInd w:val="0"/>
        <w:ind w:left="420"/>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（3）在合同约定的期限内完成合同规定的全部义务。</w:t>
      </w:r>
    </w:p>
    <w:p>
      <w:pPr>
        <w:tabs>
          <w:tab w:val="left" w:pos="849"/>
        </w:tabs>
        <w:adjustRightInd w:val="0"/>
        <w:ind w:firstLine="560" w:firstLineChars="200"/>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6.我方在此声明，愿意对递交的报价文件及有关资料的真实性负法律责任。</w:t>
      </w:r>
    </w:p>
    <w:p>
      <w:pPr>
        <w:tabs>
          <w:tab w:val="left" w:pos="849"/>
        </w:tabs>
        <w:adjustRightInd w:val="0"/>
        <w:ind w:left="420"/>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bidi="en-US"/>
        </w:rPr>
        <w:t>7.(</w:t>
      </w:r>
      <w:r>
        <w:rPr>
          <w:rFonts w:hint="eastAsia" w:ascii="Times New Roman" w:hAnsi="Times New Roman" w:eastAsia="方正仿宋_GBK" w:cs="Times New Roman"/>
          <w:sz w:val="28"/>
          <w:szCs w:val="28"/>
          <w:lang w:eastAsia="zh-CN"/>
        </w:rPr>
        <w:t>其他补充说明）。</w:t>
      </w:r>
    </w:p>
    <w:p>
      <w:pPr>
        <w:ind w:left="2660"/>
        <w:rPr>
          <w:rFonts w:ascii="Times New Roman" w:hAnsi="Times New Roman" w:eastAsia="方正仿宋_GBK" w:cs="Times New Roman"/>
          <w:sz w:val="28"/>
          <w:szCs w:val="28"/>
          <w:lang w:eastAsia="zh-CN"/>
        </w:rPr>
      </w:pPr>
      <w:r>
        <w:rPr>
          <w:rStyle w:val="180"/>
          <w:rFonts w:hint="eastAsia" w:ascii="Times New Roman" w:hAnsi="Times New Roman" w:eastAsia="方正仿宋_GBK" w:cs="Times New Roman"/>
          <w:color w:val="auto"/>
          <w:sz w:val="28"/>
          <w:szCs w:val="28"/>
        </w:rPr>
        <w:t>报价人：</w:t>
      </w:r>
      <w:r>
        <w:rPr>
          <w:rStyle w:val="182"/>
          <w:rFonts w:hint="eastAsia" w:ascii="Times New Roman" w:hAnsi="Times New Roman" w:eastAsia="方正仿宋_GBK" w:cs="Times New Roman"/>
          <w:sz w:val="28"/>
          <w:szCs w:val="28"/>
          <w:lang w:eastAsia="zh-CN"/>
        </w:rPr>
        <w:t>(盖单位章）</w:t>
      </w:r>
    </w:p>
    <w:p>
      <w:pPr>
        <w:ind w:left="2660"/>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法定代表人或其委托代理人：</w:t>
      </w:r>
      <w:r>
        <w:rPr>
          <w:rStyle w:val="182"/>
          <w:rFonts w:hint="eastAsia" w:ascii="Times New Roman" w:hAnsi="Times New Roman" w:eastAsia="方正仿宋_GBK" w:cs="Times New Roman"/>
          <w:sz w:val="28"/>
          <w:szCs w:val="28"/>
          <w:lang w:eastAsia="zh-CN"/>
        </w:rPr>
        <w:t>(签字</w:t>
      </w:r>
      <w:r>
        <w:rPr>
          <w:rStyle w:val="182"/>
          <w:rFonts w:hint="eastAsia" w:ascii="Times New Roman" w:hAnsi="Times New Roman" w:eastAsia="方正仿宋_GBK" w:cs="Times New Roman"/>
          <w:sz w:val="28"/>
          <w:szCs w:val="28"/>
          <w:lang w:eastAsia="zh-CN" w:bidi="en-US"/>
        </w:rPr>
        <w:t>）</w:t>
      </w:r>
    </w:p>
    <w:p>
      <w:pPr>
        <w:tabs>
          <w:tab w:val="left" w:leader="underscore" w:pos="6768"/>
        </w:tabs>
        <w:ind w:left="2660"/>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地 址：</w:t>
      </w:r>
    </w:p>
    <w:p>
      <w:pPr>
        <w:tabs>
          <w:tab w:val="left" w:leader="underscore" w:pos="6768"/>
        </w:tabs>
        <w:ind w:left="2660"/>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电 话：</w:t>
      </w:r>
    </w:p>
    <w:p>
      <w:pPr>
        <w:tabs>
          <w:tab w:val="left" w:leader="underscore" w:pos="6768"/>
        </w:tabs>
        <w:ind w:left="2660"/>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传 真：</w:t>
      </w:r>
    </w:p>
    <w:p>
      <w:pPr>
        <w:tabs>
          <w:tab w:val="left" w:leader="underscore" w:pos="6768"/>
        </w:tabs>
        <w:ind w:left="2660"/>
        <w:rPr>
          <w:rFonts w:ascii="Times New Roman" w:hAnsi="Times New Roman" w:eastAsia="方正仿宋_GBK" w:cs="Times New Roman"/>
          <w:sz w:val="28"/>
          <w:szCs w:val="28"/>
          <w:u w:val="single"/>
          <w:lang w:eastAsia="zh-CN"/>
        </w:rPr>
      </w:pPr>
      <w:r>
        <w:rPr>
          <w:rFonts w:hint="eastAsia" w:ascii="Times New Roman" w:hAnsi="Times New Roman" w:eastAsia="方正仿宋_GBK" w:cs="Times New Roman"/>
          <w:sz w:val="28"/>
          <w:szCs w:val="28"/>
          <w:lang w:eastAsia="zh-CN"/>
        </w:rPr>
        <w:t>邮政编码：</w:t>
      </w:r>
    </w:p>
    <w:p>
      <w:pPr>
        <w:pStyle w:val="173"/>
        <w:numPr>
          <w:ilvl w:val="-1"/>
          <w:numId w:val="0"/>
        </w:numPr>
        <w:shd w:val="clear" w:color="auto" w:fill="auto"/>
        <w:spacing w:before="0" w:after="476" w:line="560" w:lineRule="exact"/>
        <w:jc w:val="center"/>
        <w:rPr>
          <w:rStyle w:val="181"/>
          <w:rFonts w:ascii="Times New Roman" w:hAnsi="Times New Roman" w:eastAsia="方正小标宋_GBK" w:cs="Times New Roman"/>
          <w:color w:val="auto"/>
          <w:sz w:val="44"/>
          <w:szCs w:val="44"/>
        </w:rPr>
      </w:pPr>
      <w:bookmarkStart w:id="774" w:name="_Toc52097545"/>
      <w:bookmarkEnd w:id="774"/>
      <w:bookmarkStart w:id="775" w:name="_Toc10710825"/>
      <w:bookmarkEnd w:id="775"/>
      <w:bookmarkStart w:id="776" w:name="_Toc29194794"/>
      <w:bookmarkEnd w:id="776"/>
      <w:r>
        <w:br w:type="page"/>
      </w:r>
      <w:bookmarkStart w:id="777" w:name="_Toc23411"/>
      <w:bookmarkStart w:id="778" w:name="_Toc6239"/>
      <w:bookmarkStart w:id="779" w:name="_Toc7096"/>
      <w:bookmarkStart w:id="780" w:name="_Toc29951"/>
      <w:r>
        <w:rPr>
          <w:rFonts w:hint="eastAsia"/>
          <w:lang w:val="en-US" w:eastAsia="zh-CN"/>
        </w:rPr>
        <w:t>三、</w:t>
      </w:r>
      <w:r>
        <w:rPr>
          <w:rStyle w:val="181"/>
          <w:rFonts w:ascii="Times New Roman" w:hAnsi="Times New Roman" w:eastAsia="方正小标宋_GBK" w:cs="Times New Roman"/>
          <w:color w:val="auto"/>
          <w:sz w:val="30"/>
          <w:szCs w:val="30"/>
        </w:rPr>
        <w:t>报价表</w:t>
      </w:r>
      <w:bookmarkEnd w:id="777"/>
      <w:bookmarkEnd w:id="778"/>
      <w:bookmarkEnd w:id="779"/>
      <w:bookmarkEnd w:id="780"/>
    </w:p>
    <w:p>
      <w:pPr>
        <w:tabs>
          <w:tab w:val="left" w:leader="underscore" w:pos="7582"/>
        </w:tabs>
        <w:spacing w:line="510" w:lineRule="exact"/>
        <w:ind w:firstLine="600" w:firstLineChars="200"/>
        <w:rPr>
          <w:rFonts w:ascii="Times New Roman" w:hAnsi="Times New Roman" w:eastAsia="黑体" w:cs="Times New Roman"/>
          <w:sz w:val="30"/>
          <w:szCs w:val="30"/>
          <w:lang w:eastAsia="zh-CN"/>
        </w:rPr>
      </w:pPr>
      <w:r>
        <w:rPr>
          <w:rFonts w:ascii="Times New Roman" w:hAnsi="Times New Roman" w:eastAsia="黑体" w:cs="Times New Roman"/>
          <w:sz w:val="30"/>
          <w:szCs w:val="30"/>
          <w:lang w:eastAsia="zh-CN"/>
        </w:rPr>
        <w:t>1.报价说明</w:t>
      </w:r>
    </w:p>
    <w:p>
      <w:pPr>
        <w:tabs>
          <w:tab w:val="left" w:leader="underscore" w:pos="7582"/>
        </w:tabs>
        <w:adjustRightInd w:val="0"/>
        <w:snapToGrid w:val="0"/>
        <w:spacing w:line="360" w:lineRule="auto"/>
        <w:ind w:firstLine="440" w:firstLineChars="200"/>
        <w:rPr>
          <w:szCs w:val="21"/>
          <w:lang w:eastAsia="zh-CN"/>
        </w:rPr>
      </w:pPr>
      <w:r>
        <w:rPr>
          <w:szCs w:val="21"/>
          <w:lang w:eastAsia="zh-CN"/>
        </w:rPr>
        <w:t>1.</w:t>
      </w:r>
      <w:r>
        <w:rPr>
          <w:rFonts w:hint="eastAsia"/>
          <w:szCs w:val="21"/>
          <w:lang w:eastAsia="zh-CN"/>
        </w:rPr>
        <w:t>价格应按照本说明的要求报价，以人民币计价，单位为元，精确到个数位。</w:t>
      </w:r>
    </w:p>
    <w:p>
      <w:pPr>
        <w:tabs>
          <w:tab w:val="left" w:leader="underscore" w:pos="7582"/>
        </w:tabs>
        <w:adjustRightInd w:val="0"/>
        <w:snapToGrid w:val="0"/>
        <w:spacing w:line="360" w:lineRule="auto"/>
        <w:ind w:firstLine="440" w:firstLineChars="200"/>
        <w:rPr>
          <w:szCs w:val="21"/>
          <w:lang w:eastAsia="zh-CN"/>
        </w:rPr>
      </w:pPr>
      <w:r>
        <w:rPr>
          <w:szCs w:val="21"/>
          <w:lang w:eastAsia="zh-CN"/>
        </w:rPr>
        <w:t>2.</w:t>
      </w:r>
      <w:r>
        <w:rPr>
          <w:rFonts w:hint="eastAsia"/>
          <w:szCs w:val="21"/>
          <w:lang w:eastAsia="zh-CN"/>
        </w:rPr>
        <w:t>表中的价格，应包括完成合同内容所需的设计费、零部件采购费、材料费、制造费、组装调试费、试验费、防腐费、包装费、保管费、运杂费，调试验收费，特种设备申报、检验及取证费用（若有）、技术服务费、保险费、管理费、利润、税费、</w:t>
      </w:r>
      <w:r>
        <w:rPr>
          <w:rFonts w:hint="eastAsia"/>
          <w:szCs w:val="21"/>
          <w:lang w:val="en-US" w:eastAsia="zh-CN"/>
        </w:rPr>
        <w:t>三维设计模型</w:t>
      </w:r>
      <w:r>
        <w:rPr>
          <w:rFonts w:hint="eastAsia"/>
          <w:szCs w:val="21"/>
          <w:lang w:eastAsia="zh-CN"/>
        </w:rPr>
        <w:t>，以及合同明示或暗示的风险、责任和义务等所发生的其他全部费用。</w:t>
      </w:r>
    </w:p>
    <w:p>
      <w:pPr>
        <w:tabs>
          <w:tab w:val="left" w:leader="underscore" w:pos="7582"/>
        </w:tabs>
        <w:adjustRightInd w:val="0"/>
        <w:snapToGrid w:val="0"/>
        <w:spacing w:line="360" w:lineRule="auto"/>
        <w:ind w:firstLine="440" w:firstLineChars="200"/>
        <w:rPr>
          <w:szCs w:val="21"/>
          <w:lang w:eastAsia="zh-CN"/>
        </w:rPr>
      </w:pPr>
      <w:r>
        <w:rPr>
          <w:szCs w:val="21"/>
          <w:lang w:eastAsia="zh-CN"/>
        </w:rPr>
        <w:t>3.</w:t>
      </w:r>
      <w:r>
        <w:rPr>
          <w:rFonts w:hint="eastAsia"/>
          <w:szCs w:val="21"/>
          <w:lang w:eastAsia="zh-CN"/>
        </w:rPr>
        <w:t>在价格清单中没有专门提及的、但对一套完整的性能优良的合同设备必不可少的或对改善合同设备运行品质所必需的设备及元器件</w:t>
      </w:r>
      <w:r>
        <w:rPr>
          <w:rFonts w:hint="eastAsia"/>
          <w:szCs w:val="21"/>
          <w:lang w:val="en-US" w:eastAsia="zh-CN"/>
        </w:rPr>
        <w:t>和</w:t>
      </w:r>
      <w:r>
        <w:rPr>
          <w:rFonts w:hint="eastAsia"/>
          <w:szCs w:val="21"/>
          <w:lang w:eastAsia="zh-CN"/>
        </w:rPr>
        <w:t>空调设备所有配套附件（包括</w:t>
      </w:r>
      <w:r>
        <w:rPr>
          <w:rFonts w:hint="eastAsia"/>
          <w:szCs w:val="21"/>
          <w:lang w:val="en-US" w:eastAsia="zh-CN"/>
        </w:rPr>
        <w:t>不限于</w:t>
      </w:r>
      <w:r>
        <w:rPr>
          <w:rFonts w:hint="eastAsia"/>
          <w:szCs w:val="21"/>
          <w:lang w:eastAsia="zh-CN"/>
        </w:rPr>
        <w:t>制冷剂、</w:t>
      </w:r>
      <w:bookmarkStart w:id="799" w:name="_GoBack"/>
      <w:bookmarkEnd w:id="799"/>
      <w:r>
        <w:rPr>
          <w:rFonts w:hint="eastAsia"/>
          <w:szCs w:val="21"/>
          <w:lang w:eastAsia="zh-CN"/>
        </w:rPr>
        <w:t>铜管支吊架、保温材料、冷凝水管、冷凝水管支吊架、空调机支吊架、电缆、电控箱等）亦应包含在合同设备供货范围内，报价人仍应全部、完整的提供，其价格均视为包含在合同总价中。</w:t>
      </w:r>
    </w:p>
    <w:p>
      <w:pPr>
        <w:tabs>
          <w:tab w:val="left" w:leader="underscore" w:pos="7582"/>
        </w:tabs>
        <w:adjustRightInd w:val="0"/>
        <w:snapToGrid w:val="0"/>
        <w:spacing w:line="360" w:lineRule="auto"/>
        <w:ind w:firstLine="440" w:firstLineChars="200"/>
        <w:rPr>
          <w:szCs w:val="21"/>
          <w:lang w:eastAsia="zh-CN"/>
        </w:rPr>
      </w:pPr>
      <w:r>
        <w:rPr>
          <w:szCs w:val="21"/>
          <w:lang w:eastAsia="zh-CN"/>
        </w:rPr>
        <w:t>4.</w:t>
      </w:r>
      <w:r>
        <w:rPr>
          <w:rFonts w:hint="eastAsia"/>
          <w:szCs w:val="21"/>
          <w:lang w:eastAsia="zh-CN"/>
        </w:rPr>
        <w:t>为了防止设备运输及现场保管变形，报价人应负责按相关规范标准对设备采取支托、加固、包装等措施，相关费用均已包含在报价报价中。</w:t>
      </w:r>
    </w:p>
    <w:p>
      <w:pPr>
        <w:tabs>
          <w:tab w:val="left" w:leader="underscore" w:pos="7582"/>
        </w:tabs>
        <w:adjustRightInd w:val="0"/>
        <w:snapToGrid w:val="0"/>
        <w:spacing w:line="360" w:lineRule="auto"/>
        <w:ind w:firstLine="440" w:firstLineChars="200"/>
        <w:rPr>
          <w:szCs w:val="21"/>
          <w:lang w:eastAsia="zh-CN"/>
        </w:rPr>
      </w:pPr>
      <w:r>
        <w:rPr>
          <w:szCs w:val="21"/>
          <w:lang w:eastAsia="zh-CN"/>
        </w:rPr>
        <w:t>5.</w:t>
      </w:r>
      <w:r>
        <w:rPr>
          <w:rFonts w:hint="eastAsia"/>
          <w:szCs w:val="21"/>
          <w:lang w:eastAsia="zh-CN"/>
        </w:rPr>
        <w:t>依据国家法律、行政法规、国务院有关部门的规章以及重庆市的法规和规章的规定应由报价人缴纳的税金、费用均应按规定计入报价报价中。</w:t>
      </w:r>
    </w:p>
    <w:p>
      <w:pPr>
        <w:tabs>
          <w:tab w:val="left" w:leader="underscore" w:pos="7582"/>
        </w:tabs>
        <w:adjustRightInd w:val="0"/>
        <w:snapToGrid w:val="0"/>
        <w:spacing w:line="360" w:lineRule="auto"/>
        <w:ind w:firstLine="440" w:firstLineChars="200"/>
        <w:rPr>
          <w:szCs w:val="21"/>
          <w:lang w:eastAsia="zh-CN"/>
        </w:rPr>
      </w:pPr>
      <w:r>
        <w:rPr>
          <w:szCs w:val="21"/>
          <w:lang w:eastAsia="zh-CN"/>
        </w:rPr>
        <w:t>6.</w:t>
      </w:r>
      <w:r>
        <w:rPr>
          <w:rFonts w:hint="eastAsia"/>
          <w:szCs w:val="21"/>
          <w:lang w:eastAsia="zh-CN"/>
        </w:rPr>
        <w:t>报价文件报价的“单价”、“合价”均由报价人填写。若报价人对某些项目未填报单价和合价，则应认为已包括在其它项目的单价和合价以及报价总报价内。若某项报价不足以支付合同中约定的应支付费用，视为该项费用已包含在报价总报价中。</w:t>
      </w:r>
    </w:p>
    <w:p>
      <w:pPr>
        <w:tabs>
          <w:tab w:val="left" w:leader="underscore" w:pos="7582"/>
        </w:tabs>
        <w:adjustRightInd w:val="0"/>
        <w:snapToGrid w:val="0"/>
        <w:spacing w:line="360" w:lineRule="auto"/>
        <w:ind w:firstLine="440" w:firstLineChars="200"/>
        <w:rPr>
          <w:szCs w:val="21"/>
          <w:lang w:eastAsia="zh-CN"/>
        </w:rPr>
      </w:pPr>
      <w:r>
        <w:rPr>
          <w:szCs w:val="21"/>
          <w:lang w:eastAsia="zh-CN"/>
        </w:rPr>
        <w:t>7.</w:t>
      </w:r>
      <w:r>
        <w:rPr>
          <w:rFonts w:hint="eastAsia"/>
          <w:szCs w:val="21"/>
          <w:lang w:eastAsia="zh-CN"/>
        </w:rPr>
        <w:t>本项目报价报价表中没有明确的而与本项目的实施有关的其它所有费用，包含在报价总价中，不单列，包括但不限于以下：</w:t>
      </w:r>
    </w:p>
    <w:p>
      <w:pPr>
        <w:tabs>
          <w:tab w:val="left" w:leader="underscore" w:pos="7582"/>
        </w:tabs>
        <w:adjustRightInd w:val="0"/>
        <w:snapToGrid w:val="0"/>
        <w:spacing w:line="360" w:lineRule="auto"/>
        <w:ind w:firstLine="440" w:firstLineChars="200"/>
        <w:rPr>
          <w:szCs w:val="21"/>
          <w:lang w:eastAsia="zh-CN"/>
        </w:rPr>
      </w:pPr>
      <w:r>
        <w:rPr>
          <w:rFonts w:hint="eastAsia"/>
          <w:szCs w:val="21"/>
          <w:lang w:eastAsia="zh-CN"/>
        </w:rPr>
        <w:t>1）买方（含设计单位）参加设计联络会、工厂培训等所发生的相关费用（包括往返交通、食宿、会务等）。参加会议的人次数详见合同专用条款。</w:t>
      </w:r>
    </w:p>
    <w:p>
      <w:pPr>
        <w:tabs>
          <w:tab w:val="left" w:leader="underscore" w:pos="7582"/>
        </w:tabs>
        <w:adjustRightInd w:val="0"/>
        <w:snapToGrid w:val="0"/>
        <w:spacing w:line="360" w:lineRule="auto"/>
        <w:ind w:firstLine="440" w:firstLineChars="200"/>
        <w:rPr>
          <w:szCs w:val="21"/>
          <w:lang w:eastAsia="zh-CN"/>
        </w:rPr>
      </w:pPr>
      <w:r>
        <w:rPr>
          <w:rFonts w:hint="eastAsia"/>
          <w:szCs w:val="21"/>
          <w:lang w:eastAsia="zh-CN"/>
        </w:rPr>
        <w:t>2）卖方派遣相关专业技术人员到工地现场指导安装调试及验收所发生的相关费用（包括往返交通、食宿、办公等）。卖方不得因现场实际发生的人次数、天数超过报价报价人次数、天数而停止现场服务，也不得因此提出增加费用。</w:t>
      </w:r>
    </w:p>
    <w:p>
      <w:pPr>
        <w:tabs>
          <w:tab w:val="left" w:leader="underscore" w:pos="7582"/>
        </w:tabs>
        <w:adjustRightInd w:val="0"/>
        <w:snapToGrid w:val="0"/>
        <w:spacing w:line="360" w:lineRule="auto"/>
        <w:ind w:firstLine="440" w:firstLineChars="200"/>
        <w:rPr>
          <w:szCs w:val="21"/>
          <w:lang w:eastAsia="zh-CN"/>
        </w:rPr>
      </w:pPr>
      <w:r>
        <w:rPr>
          <w:szCs w:val="21"/>
          <w:lang w:eastAsia="zh-CN"/>
        </w:rPr>
        <w:t>8.</w:t>
      </w:r>
      <w:r>
        <w:rPr>
          <w:rFonts w:hint="eastAsia"/>
          <w:szCs w:val="21"/>
          <w:lang w:eastAsia="zh-CN"/>
        </w:rPr>
        <w:t>报价表中的单价、合价及总价等在合同有效期内均固定不变，</w:t>
      </w:r>
      <w:r>
        <w:rPr>
          <w:rFonts w:hint="eastAsia"/>
          <w:szCs w:val="21"/>
          <w:lang w:val="en-US" w:eastAsia="zh-CN"/>
        </w:rPr>
        <w:t>总价包干</w:t>
      </w:r>
      <w:r>
        <w:rPr>
          <w:rFonts w:hint="eastAsia"/>
          <w:szCs w:val="21"/>
          <w:lang w:eastAsia="zh-CN"/>
        </w:rPr>
        <w:t>。</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p>
    <w:p>
      <w:pPr>
        <w:jc w:val="center"/>
        <w:rPr>
          <w:lang w:eastAsia="zh-CN"/>
        </w:rPr>
      </w:pPr>
      <w:r>
        <w:rPr>
          <w:lang w:eastAsia="zh-CN"/>
        </w:rPr>
        <w:br w:type="page"/>
      </w:r>
    </w:p>
    <w:p>
      <w:pPr>
        <w:jc w:val="center"/>
        <w:rPr>
          <w:lang w:eastAsia="zh-CN"/>
        </w:rPr>
      </w:pPr>
    </w:p>
    <w:p>
      <w:pPr>
        <w:jc w:val="center"/>
        <w:rPr>
          <w:lang w:eastAsia="zh-CN"/>
        </w:rPr>
      </w:pPr>
    </w:p>
    <w:p>
      <w:pPr>
        <w:jc w:val="center"/>
        <w:rPr>
          <w:rFonts w:hint="eastAsia" w:ascii="宋体" w:hAnsi="宋体"/>
          <w:sz w:val="28"/>
          <w:szCs w:val="28"/>
        </w:rPr>
      </w:pPr>
      <w:r>
        <w:rPr>
          <w:rFonts w:hint="eastAsia" w:ascii="宋体" w:hAnsi="宋体"/>
          <w:sz w:val="28"/>
          <w:szCs w:val="28"/>
        </w:rPr>
        <w:t>投标报价汇总表</w:t>
      </w:r>
    </w:p>
    <w:p>
      <w:pPr>
        <w:pStyle w:val="2"/>
        <w:rPr>
          <w:rFonts w:hint="eastAsia" w:ascii="宋体" w:hAnsi="宋体"/>
          <w:sz w:val="28"/>
          <w:szCs w:val="28"/>
        </w:rPr>
      </w:pPr>
    </w:p>
    <w:p/>
    <w:tbl>
      <w:tblPr>
        <w:tblStyle w:val="44"/>
        <w:tblW w:w="462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4377"/>
        <w:gridCol w:w="1183"/>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blHeader/>
        </w:trPr>
        <w:tc>
          <w:tcPr>
            <w:tcW w:w="1270" w:type="dxa"/>
            <w:vAlign w:val="center"/>
          </w:tcPr>
          <w:p>
            <w:pPr>
              <w:adjustRightInd w:val="0"/>
              <w:snapToGrid w:val="0"/>
              <w:jc w:val="center"/>
              <w:rPr>
                <w:rFonts w:ascii="宋体" w:hAnsi="宋体" w:cs="宋体"/>
                <w:szCs w:val="21"/>
              </w:rPr>
            </w:pPr>
            <w:r>
              <w:rPr>
                <w:rFonts w:hint="eastAsia" w:ascii="宋体" w:hAnsi="宋体" w:cs="宋体"/>
                <w:szCs w:val="21"/>
              </w:rPr>
              <w:t>序号</w:t>
            </w:r>
          </w:p>
        </w:tc>
        <w:tc>
          <w:tcPr>
            <w:tcW w:w="5138" w:type="dxa"/>
            <w:vAlign w:val="center"/>
          </w:tcPr>
          <w:p>
            <w:pPr>
              <w:adjustRightInd w:val="0"/>
              <w:snapToGrid w:val="0"/>
              <w:jc w:val="center"/>
              <w:rPr>
                <w:rFonts w:ascii="宋体" w:hAnsi="宋体" w:cs="宋体"/>
                <w:szCs w:val="21"/>
              </w:rPr>
            </w:pPr>
            <w:r>
              <w:rPr>
                <w:rFonts w:hint="eastAsia" w:ascii="宋体" w:hAnsi="宋体" w:cs="宋体"/>
                <w:szCs w:val="21"/>
              </w:rPr>
              <w:t>项目</w:t>
            </w:r>
          </w:p>
        </w:tc>
        <w:tc>
          <w:tcPr>
            <w:tcW w:w="1384" w:type="dxa"/>
            <w:vAlign w:val="center"/>
          </w:tcPr>
          <w:p>
            <w:pPr>
              <w:adjustRightInd w:val="0"/>
              <w:snapToGrid w:val="0"/>
              <w:jc w:val="center"/>
              <w:rPr>
                <w:rFonts w:ascii="宋体" w:hAnsi="宋体" w:cs="宋体"/>
                <w:szCs w:val="21"/>
              </w:rPr>
            </w:pPr>
            <w:r>
              <w:rPr>
                <w:rFonts w:hint="eastAsia" w:ascii="宋体" w:hAnsi="宋体" w:cs="宋体"/>
                <w:szCs w:val="21"/>
              </w:rPr>
              <w:t>报价（元）</w:t>
            </w:r>
          </w:p>
        </w:tc>
        <w:tc>
          <w:tcPr>
            <w:tcW w:w="1453" w:type="dxa"/>
            <w:vAlign w:val="center"/>
          </w:tcPr>
          <w:p>
            <w:pPr>
              <w:adjustRightInd w:val="0"/>
              <w:snapToGrid w:val="0"/>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70" w:type="dxa"/>
            <w:vAlign w:val="center"/>
          </w:tcPr>
          <w:p>
            <w:pPr>
              <w:adjustRightInd w:val="0"/>
              <w:snapToGrid w:val="0"/>
              <w:jc w:val="center"/>
              <w:rPr>
                <w:rFonts w:ascii="宋体" w:hAnsi="宋体" w:cs="宋体"/>
                <w:b/>
                <w:szCs w:val="21"/>
              </w:rPr>
            </w:pPr>
            <w:r>
              <w:rPr>
                <w:rFonts w:asciiTheme="minorEastAsia" w:hAnsiTheme="minorEastAsia" w:eastAsiaTheme="minorEastAsia"/>
                <w:szCs w:val="21"/>
              </w:rPr>
              <w:t>1</w:t>
            </w:r>
          </w:p>
        </w:tc>
        <w:tc>
          <w:tcPr>
            <w:tcW w:w="5138" w:type="dxa"/>
            <w:vAlign w:val="center"/>
          </w:tcPr>
          <w:p>
            <w:pPr>
              <w:adjustRightInd w:val="0"/>
              <w:snapToGrid w:val="0"/>
              <w:jc w:val="center"/>
              <w:rPr>
                <w:rFonts w:hint="eastAsia" w:ascii="宋体" w:hAnsi="宋体" w:eastAsia="宋体" w:cs="宋体"/>
                <w:b/>
                <w:szCs w:val="21"/>
                <w:lang w:eastAsia="zh-CN"/>
              </w:rPr>
            </w:pPr>
            <w:r>
              <w:rPr>
                <w:rFonts w:hint="eastAsia" w:asciiTheme="minorEastAsia" w:hAnsiTheme="minorEastAsia" w:eastAsiaTheme="minorEastAsia"/>
                <w:szCs w:val="21"/>
                <w:lang w:val="en-US" w:eastAsia="zh-CN"/>
              </w:rPr>
              <w:t>空调设备</w:t>
            </w:r>
          </w:p>
        </w:tc>
        <w:tc>
          <w:tcPr>
            <w:tcW w:w="1384" w:type="dxa"/>
          </w:tcPr>
          <w:p>
            <w:pPr>
              <w:adjustRightInd w:val="0"/>
              <w:snapToGrid w:val="0"/>
              <w:jc w:val="center"/>
              <w:rPr>
                <w:rFonts w:ascii="宋体" w:hAnsi="宋体" w:cs="宋体"/>
                <w:b/>
                <w:szCs w:val="21"/>
              </w:rPr>
            </w:pPr>
          </w:p>
        </w:tc>
        <w:tc>
          <w:tcPr>
            <w:tcW w:w="1453" w:type="dxa"/>
            <w:vAlign w:val="center"/>
          </w:tcPr>
          <w:p>
            <w:pPr>
              <w:adjustRightInd w:val="0"/>
              <w:snapToGrid w:val="0"/>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270" w:type="dxa"/>
            <w:vAlign w:val="center"/>
          </w:tcPr>
          <w:p>
            <w:pPr>
              <w:numPr>
                <w:ilvl w:val="255"/>
                <w:numId w:val="0"/>
              </w:numPr>
              <w:adjustRightInd w:val="0"/>
              <w:snapToGrid w:val="0"/>
              <w:jc w:val="center"/>
              <w:rPr>
                <w:rFonts w:ascii="宋体" w:hAnsi="宋体" w:cs="宋体" w:eastAsiaTheme="minorEastAsia"/>
                <w:b/>
                <w:szCs w:val="21"/>
              </w:rPr>
            </w:pPr>
            <w:r>
              <w:rPr>
                <w:rFonts w:hint="eastAsia" w:asciiTheme="minorEastAsia" w:hAnsiTheme="minorEastAsia" w:eastAsiaTheme="minorEastAsia"/>
                <w:szCs w:val="21"/>
              </w:rPr>
              <w:t>2</w:t>
            </w:r>
          </w:p>
        </w:tc>
        <w:tc>
          <w:tcPr>
            <w:tcW w:w="5138" w:type="dxa"/>
            <w:vAlign w:val="center"/>
          </w:tcPr>
          <w:p>
            <w:pPr>
              <w:adjustRightInd w:val="0"/>
              <w:snapToGrid w:val="0"/>
              <w:jc w:val="center"/>
              <w:rPr>
                <w:rFonts w:ascii="宋体" w:hAnsi="宋体" w:cs="宋体"/>
                <w:szCs w:val="21"/>
              </w:rPr>
            </w:pPr>
            <w:r>
              <w:rPr>
                <w:rFonts w:hint="eastAsia" w:asciiTheme="minorEastAsia" w:hAnsiTheme="minorEastAsia" w:eastAsiaTheme="minorEastAsia"/>
                <w:szCs w:val="21"/>
              </w:rPr>
              <w:t>专用工具</w:t>
            </w:r>
          </w:p>
        </w:tc>
        <w:tc>
          <w:tcPr>
            <w:tcW w:w="1384" w:type="dxa"/>
          </w:tcPr>
          <w:p>
            <w:pPr>
              <w:adjustRightInd w:val="0"/>
              <w:snapToGrid w:val="0"/>
              <w:jc w:val="center"/>
              <w:rPr>
                <w:rFonts w:ascii="宋体" w:hAnsi="宋体" w:cs="宋体"/>
                <w:b/>
                <w:szCs w:val="21"/>
              </w:rPr>
            </w:pPr>
          </w:p>
        </w:tc>
        <w:tc>
          <w:tcPr>
            <w:tcW w:w="1453" w:type="dxa"/>
            <w:vAlign w:val="center"/>
          </w:tcPr>
          <w:p>
            <w:pPr>
              <w:adjustRightInd w:val="0"/>
              <w:snapToGrid w:val="0"/>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270" w:type="dxa"/>
            <w:vAlign w:val="center"/>
          </w:tcPr>
          <w:p>
            <w:pPr>
              <w:numPr>
                <w:ilvl w:val="255"/>
                <w:numId w:val="0"/>
              </w:numPr>
              <w:adjustRightInd w:val="0"/>
              <w:snapToGrid w:val="0"/>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w:t>
            </w:r>
          </w:p>
        </w:tc>
        <w:tc>
          <w:tcPr>
            <w:tcW w:w="5138" w:type="dxa"/>
            <w:vAlign w:val="center"/>
          </w:tcPr>
          <w:p>
            <w:pPr>
              <w:adjustRightInd w:val="0"/>
              <w:snapToGrid w:val="0"/>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三维设计模型</w:t>
            </w:r>
          </w:p>
        </w:tc>
        <w:tc>
          <w:tcPr>
            <w:tcW w:w="1384" w:type="dxa"/>
          </w:tcPr>
          <w:p>
            <w:pPr>
              <w:adjustRightInd w:val="0"/>
              <w:snapToGrid w:val="0"/>
              <w:jc w:val="center"/>
              <w:rPr>
                <w:rFonts w:ascii="宋体" w:hAnsi="宋体" w:cs="宋体"/>
                <w:b/>
                <w:szCs w:val="21"/>
              </w:rPr>
            </w:pPr>
          </w:p>
        </w:tc>
        <w:tc>
          <w:tcPr>
            <w:tcW w:w="1453" w:type="dxa"/>
            <w:vAlign w:val="center"/>
          </w:tcPr>
          <w:p>
            <w:pPr>
              <w:adjustRightInd w:val="0"/>
              <w:snapToGrid w:val="0"/>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408" w:type="dxa"/>
            <w:gridSpan w:val="2"/>
            <w:vAlign w:val="center"/>
          </w:tcPr>
          <w:p>
            <w:pPr>
              <w:adjustRightInd w:val="0"/>
              <w:snapToGrid w:val="0"/>
              <w:jc w:val="center"/>
              <w:rPr>
                <w:rFonts w:ascii="宋体" w:hAnsi="宋体" w:cs="宋体"/>
                <w:szCs w:val="21"/>
              </w:rPr>
            </w:pPr>
            <w:r>
              <w:rPr>
                <w:rFonts w:hint="eastAsia" w:ascii="宋体" w:hAnsi="宋体" w:cs="宋体"/>
              </w:rPr>
              <w:t>合计</w:t>
            </w:r>
            <w:r>
              <w:rPr>
                <w:rFonts w:hint="eastAsia" w:ascii="宋体" w:hAnsi="宋体" w:cs="宋体"/>
                <w:szCs w:val="21"/>
              </w:rPr>
              <w:t>（投标总报价，填入投标函）</w:t>
            </w:r>
          </w:p>
        </w:tc>
        <w:tc>
          <w:tcPr>
            <w:tcW w:w="2837" w:type="dxa"/>
            <w:gridSpan w:val="2"/>
          </w:tcPr>
          <w:p>
            <w:pPr>
              <w:adjustRightInd w:val="0"/>
              <w:snapToGrid w:val="0"/>
              <w:jc w:val="center"/>
              <w:rPr>
                <w:rFonts w:ascii="宋体" w:hAnsi="宋体" w:cs="宋体"/>
                <w:b/>
                <w:szCs w:val="21"/>
              </w:rPr>
            </w:pPr>
            <w:r>
              <w:rPr>
                <w:rFonts w:hint="eastAsia" w:ascii="宋体" w:hAnsi="宋体" w:cs="宋体"/>
                <w:szCs w:val="21"/>
                <w:u w:val="single"/>
              </w:rPr>
              <w:t xml:space="preserve">            </w:t>
            </w:r>
            <w:r>
              <w:rPr>
                <w:rFonts w:hint="eastAsia" w:ascii="宋体" w:hAnsi="宋体" w:cs="宋体"/>
                <w:szCs w:val="21"/>
              </w:rPr>
              <w:t>元</w:t>
            </w:r>
          </w:p>
        </w:tc>
      </w:tr>
    </w:tbl>
    <w:p>
      <w:pPr>
        <w:adjustRightInd w:val="0"/>
        <w:snapToGrid w:val="0"/>
        <w:spacing w:line="360" w:lineRule="auto"/>
        <w:ind w:right="840"/>
        <w:jc w:val="right"/>
        <w:rPr>
          <w:rFonts w:ascii="宋体" w:hAnsi="宋体"/>
          <w:szCs w:val="21"/>
        </w:rPr>
      </w:pPr>
    </w:p>
    <w:p>
      <w:pPr>
        <w:adjustRightInd w:val="0"/>
        <w:snapToGrid w:val="0"/>
        <w:spacing w:line="360" w:lineRule="auto"/>
        <w:ind w:right="840"/>
        <w:jc w:val="right"/>
        <w:rPr>
          <w:rFonts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（盖单位法人章）</w:t>
      </w:r>
    </w:p>
    <w:p>
      <w:pPr>
        <w:adjustRightInd w:val="0"/>
        <w:snapToGrid w:val="0"/>
        <w:spacing w:line="360" w:lineRule="auto"/>
        <w:ind w:right="840"/>
        <w:jc w:val="right"/>
        <w:rPr>
          <w:rFonts w:ascii="宋体" w:hAnsi="宋体"/>
          <w:szCs w:val="21"/>
        </w:rPr>
      </w:pPr>
      <w:r>
        <w:rPr>
          <w:rFonts w:hint="eastAsia" w:ascii="宋体" w:hAnsi="宋体"/>
          <w:szCs w:val="21"/>
        </w:rPr>
        <w:t>法定代表人（或委托代理人）：</w:t>
      </w:r>
      <w:r>
        <w:rPr>
          <w:rFonts w:hint="eastAsia" w:ascii="宋体" w:hAnsi="宋体"/>
          <w:szCs w:val="21"/>
          <w:u w:val="single"/>
        </w:rPr>
        <w:t xml:space="preserve">       </w:t>
      </w:r>
      <w:r>
        <w:rPr>
          <w:rFonts w:hint="eastAsia" w:ascii="宋体" w:hAnsi="宋体"/>
          <w:szCs w:val="21"/>
        </w:rPr>
        <w:t>（签字或盖章）</w:t>
      </w:r>
    </w:p>
    <w:p>
      <w:pPr>
        <w:adjustRightInd w:val="0"/>
        <w:snapToGrid w:val="0"/>
        <w:spacing w:line="360" w:lineRule="auto"/>
        <w:ind w:right="840"/>
        <w:jc w:val="right"/>
        <w:rPr>
          <w:rFonts w:ascii="宋体" w:hAnsi="宋体"/>
        </w:rPr>
      </w:pP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tabs>
          <w:tab w:val="left" w:leader="underscore" w:pos="7582"/>
        </w:tabs>
        <w:spacing w:line="360" w:lineRule="auto"/>
        <w:rPr>
          <w:rFonts w:ascii="Times New Roman" w:hAnsi="Times New Roman" w:cs="Times New Roman"/>
          <w:sz w:val="21"/>
          <w:szCs w:val="21"/>
          <w:lang w:eastAsia="zh-CN"/>
        </w:rPr>
      </w:pPr>
    </w:p>
    <w:p>
      <w:pPr>
        <w:rPr>
          <w:rFonts w:ascii="Times New Roman" w:hAnsi="Times New Roman" w:cs="Times New Roman"/>
          <w:lang w:eastAsia="zh-CN"/>
        </w:rPr>
      </w:pPr>
    </w:p>
    <w:p>
      <w:pPr>
        <w:numPr>
          <w:ilvl w:val="0"/>
          <w:numId w:val="0"/>
        </w:numPr>
        <w:tabs>
          <w:tab w:val="left" w:leader="underscore" w:pos="7582"/>
        </w:tabs>
        <w:spacing w:line="510" w:lineRule="exact"/>
        <w:rPr>
          <w:rFonts w:hint="eastAsia" w:ascii="Times New Roman" w:hAnsi="Times New Roman" w:eastAsia="黑体" w:cs="Times New Roman"/>
          <w:sz w:val="32"/>
          <w:szCs w:val="32"/>
          <w:lang w:val="en-US" w:eastAsia="zh-CN"/>
        </w:rPr>
      </w:pPr>
    </w:p>
    <w:p>
      <w:pPr>
        <w:numPr>
          <w:ilvl w:val="0"/>
          <w:numId w:val="0"/>
        </w:numPr>
        <w:tabs>
          <w:tab w:val="left" w:leader="underscore" w:pos="7582"/>
        </w:tabs>
        <w:spacing w:line="510" w:lineRule="exact"/>
        <w:rPr>
          <w:rFonts w:hint="eastAsia" w:ascii="Times New Roman" w:hAnsi="Times New Roman" w:eastAsia="黑体" w:cs="Times New Roman"/>
          <w:sz w:val="32"/>
          <w:szCs w:val="32"/>
          <w:lang w:val="en-US" w:eastAsia="zh-CN"/>
        </w:rPr>
      </w:pPr>
    </w:p>
    <w:p>
      <w:pPr>
        <w:numPr>
          <w:ilvl w:val="0"/>
          <w:numId w:val="0"/>
        </w:numPr>
        <w:tabs>
          <w:tab w:val="left" w:leader="underscore" w:pos="7582"/>
        </w:tabs>
        <w:spacing w:line="510" w:lineRule="exact"/>
        <w:rPr>
          <w:rFonts w:hint="eastAsia" w:ascii="Times New Roman" w:hAnsi="Times New Roman" w:eastAsia="黑体" w:cs="Times New Roman"/>
          <w:sz w:val="32"/>
          <w:szCs w:val="32"/>
          <w:lang w:val="en-US" w:eastAsia="zh-CN"/>
        </w:rPr>
      </w:pPr>
    </w:p>
    <w:p>
      <w:pPr>
        <w:numPr>
          <w:ilvl w:val="0"/>
          <w:numId w:val="0"/>
        </w:numPr>
        <w:tabs>
          <w:tab w:val="left" w:leader="underscore" w:pos="7582"/>
        </w:tabs>
        <w:spacing w:line="510" w:lineRule="exact"/>
        <w:rPr>
          <w:rFonts w:hint="eastAsia" w:ascii="Times New Roman" w:hAnsi="Times New Roman" w:eastAsia="黑体" w:cs="Times New Roman"/>
          <w:sz w:val="32"/>
          <w:szCs w:val="32"/>
          <w:lang w:val="en-US" w:eastAsia="zh-CN"/>
        </w:rPr>
      </w:pPr>
    </w:p>
    <w:p>
      <w:pPr>
        <w:numPr>
          <w:ilvl w:val="0"/>
          <w:numId w:val="0"/>
        </w:numPr>
        <w:tabs>
          <w:tab w:val="left" w:leader="underscore" w:pos="7582"/>
        </w:tabs>
        <w:spacing w:line="510" w:lineRule="exact"/>
        <w:rPr>
          <w:rFonts w:hint="eastAsia" w:ascii="Times New Roman" w:hAnsi="Times New Roman" w:eastAsia="黑体" w:cs="Times New Roman"/>
          <w:sz w:val="32"/>
          <w:szCs w:val="32"/>
          <w:lang w:val="en-US" w:eastAsia="zh-CN"/>
        </w:rPr>
      </w:pPr>
    </w:p>
    <w:p>
      <w:pPr>
        <w:numPr>
          <w:ilvl w:val="0"/>
          <w:numId w:val="0"/>
        </w:numPr>
        <w:tabs>
          <w:tab w:val="left" w:leader="underscore" w:pos="7582"/>
        </w:tabs>
        <w:spacing w:line="510" w:lineRule="exact"/>
        <w:rPr>
          <w:rFonts w:hint="eastAsia" w:ascii="Times New Roman" w:hAnsi="Times New Roman" w:eastAsia="黑体" w:cs="Times New Roman"/>
          <w:sz w:val="32"/>
          <w:szCs w:val="32"/>
          <w:lang w:val="en-US" w:eastAsia="zh-CN"/>
        </w:rPr>
      </w:pPr>
    </w:p>
    <w:p>
      <w:pPr>
        <w:numPr>
          <w:ilvl w:val="0"/>
          <w:numId w:val="0"/>
        </w:numPr>
        <w:tabs>
          <w:tab w:val="left" w:leader="underscore" w:pos="7582"/>
        </w:tabs>
        <w:spacing w:line="510" w:lineRule="exact"/>
        <w:rPr>
          <w:rFonts w:hint="eastAsia" w:ascii="Times New Roman" w:hAnsi="Times New Roman" w:eastAsia="黑体" w:cs="Times New Roman"/>
          <w:sz w:val="32"/>
          <w:szCs w:val="32"/>
          <w:lang w:val="en-US" w:eastAsia="zh-CN"/>
        </w:rPr>
      </w:pPr>
    </w:p>
    <w:p>
      <w:pPr>
        <w:numPr>
          <w:ilvl w:val="0"/>
          <w:numId w:val="0"/>
        </w:numPr>
        <w:tabs>
          <w:tab w:val="left" w:leader="underscore" w:pos="7582"/>
        </w:tabs>
        <w:spacing w:line="510" w:lineRule="exact"/>
        <w:rPr>
          <w:rFonts w:hint="eastAsia" w:ascii="Times New Roman" w:hAnsi="Times New Roman" w:eastAsia="黑体" w:cs="Times New Roman"/>
          <w:sz w:val="32"/>
          <w:szCs w:val="32"/>
          <w:lang w:val="en-US" w:eastAsia="zh-CN"/>
        </w:rPr>
      </w:pPr>
    </w:p>
    <w:p>
      <w:pPr>
        <w:numPr>
          <w:ilvl w:val="0"/>
          <w:numId w:val="0"/>
        </w:numPr>
        <w:tabs>
          <w:tab w:val="left" w:leader="underscore" w:pos="7582"/>
        </w:tabs>
        <w:spacing w:line="510" w:lineRule="exact"/>
        <w:rPr>
          <w:rFonts w:hint="eastAsia" w:ascii="Times New Roman" w:hAnsi="Times New Roman" w:eastAsia="黑体" w:cs="Times New Roman"/>
          <w:sz w:val="32"/>
          <w:szCs w:val="32"/>
          <w:lang w:val="en-US" w:eastAsia="zh-CN"/>
        </w:rPr>
      </w:pPr>
    </w:p>
    <w:p>
      <w:pPr>
        <w:numPr>
          <w:ilvl w:val="0"/>
          <w:numId w:val="0"/>
        </w:numPr>
        <w:tabs>
          <w:tab w:val="left" w:leader="underscore" w:pos="7582"/>
        </w:tabs>
        <w:spacing w:line="510" w:lineRule="exact"/>
        <w:rPr>
          <w:rFonts w:hint="eastAsia" w:ascii="Times New Roman" w:hAnsi="Times New Roman" w:eastAsia="黑体" w:cs="Times New Roman"/>
          <w:sz w:val="32"/>
          <w:szCs w:val="32"/>
          <w:lang w:val="en-US" w:eastAsia="zh-CN"/>
        </w:rPr>
      </w:pPr>
    </w:p>
    <w:p>
      <w:pPr>
        <w:numPr>
          <w:ilvl w:val="0"/>
          <w:numId w:val="0"/>
        </w:numPr>
        <w:tabs>
          <w:tab w:val="left" w:leader="underscore" w:pos="7582"/>
        </w:tabs>
        <w:spacing w:line="510" w:lineRule="exact"/>
        <w:rPr>
          <w:rFonts w:hint="eastAsia" w:ascii="Times New Roman" w:hAnsi="Times New Roman" w:eastAsia="黑体" w:cs="Times New Roman"/>
          <w:sz w:val="32"/>
          <w:szCs w:val="32"/>
          <w:lang w:val="en-US" w:eastAsia="zh-CN"/>
        </w:rPr>
      </w:pPr>
    </w:p>
    <w:p>
      <w:pPr>
        <w:numPr>
          <w:ilvl w:val="0"/>
          <w:numId w:val="0"/>
        </w:numPr>
        <w:tabs>
          <w:tab w:val="left" w:leader="underscore" w:pos="7582"/>
        </w:tabs>
        <w:spacing w:line="510" w:lineRule="exact"/>
        <w:rPr>
          <w:rFonts w:hint="eastAsia" w:ascii="Times New Roman" w:hAnsi="Times New Roman" w:eastAsia="黑体" w:cs="Times New Roman"/>
          <w:sz w:val="32"/>
          <w:szCs w:val="32"/>
          <w:lang w:val="en-US" w:eastAsia="zh-CN"/>
        </w:rPr>
      </w:pPr>
    </w:p>
    <w:p>
      <w:pPr>
        <w:numPr>
          <w:ilvl w:val="0"/>
          <w:numId w:val="0"/>
        </w:numPr>
        <w:tabs>
          <w:tab w:val="left" w:leader="underscore" w:pos="7582"/>
        </w:tabs>
        <w:spacing w:line="510" w:lineRule="exact"/>
        <w:rPr>
          <w:rFonts w:hint="eastAsia" w:ascii="Times New Roman" w:hAnsi="Times New Roman" w:eastAsia="黑体" w:cs="Times New Roman"/>
          <w:sz w:val="32"/>
          <w:szCs w:val="32"/>
          <w:lang w:val="en-US" w:eastAsia="zh-CN"/>
        </w:rPr>
      </w:pPr>
    </w:p>
    <w:p>
      <w:pPr>
        <w:numPr>
          <w:ilvl w:val="0"/>
          <w:numId w:val="0"/>
        </w:numPr>
        <w:tabs>
          <w:tab w:val="left" w:leader="underscore" w:pos="7582"/>
        </w:tabs>
        <w:spacing w:line="510" w:lineRule="exact"/>
        <w:rPr>
          <w:rFonts w:hint="eastAsia" w:ascii="Times New Roman" w:hAnsi="Times New Roman" w:eastAsia="黑体" w:cs="Times New Roman"/>
          <w:sz w:val="32"/>
          <w:szCs w:val="32"/>
          <w:lang w:val="en-US" w:eastAsia="zh-CN"/>
        </w:rPr>
      </w:pPr>
    </w:p>
    <w:p>
      <w:pPr>
        <w:numPr>
          <w:ilvl w:val="0"/>
          <w:numId w:val="0"/>
        </w:numPr>
        <w:tabs>
          <w:tab w:val="left" w:leader="underscore" w:pos="7582"/>
        </w:tabs>
        <w:spacing w:line="510" w:lineRule="exact"/>
        <w:rPr>
          <w:rFonts w:ascii="Times New Roman" w:hAnsi="Times New Roman" w:eastAsia="方正仿宋_GBK" w:cs="Times New Roman"/>
          <w:sz w:val="32"/>
          <w:szCs w:val="32"/>
          <w:lang w:eastAsia="zh-CN"/>
        </w:rPr>
      </w:pPr>
      <w:r>
        <w:rPr>
          <w:rFonts w:hint="eastAsia" w:ascii="Times New Roman" w:hAnsi="Times New Roman" w:eastAsia="黑体" w:cs="Times New Roman"/>
          <w:sz w:val="32"/>
          <w:szCs w:val="32"/>
          <w:lang w:val="en-US" w:eastAsia="zh-CN"/>
        </w:rPr>
        <w:t>2、</w:t>
      </w:r>
      <w:r>
        <w:rPr>
          <w:rFonts w:ascii="Times New Roman" w:hAnsi="Times New Roman" w:eastAsia="黑体" w:cs="Times New Roman"/>
          <w:sz w:val="32"/>
          <w:szCs w:val="32"/>
          <w:lang w:eastAsia="zh-CN"/>
        </w:rPr>
        <w:t>报价表</w:t>
      </w:r>
    </w:p>
    <w:p>
      <w:pPr>
        <w:tabs>
          <w:tab w:val="right" w:pos="8120"/>
        </w:tabs>
        <w:adjustRightInd w:val="0"/>
        <w:snapToGrid w:val="0"/>
        <w:spacing w:line="360" w:lineRule="auto"/>
        <w:jc w:val="center"/>
        <w:rPr>
          <w:rFonts w:ascii="黑体" w:hAnsi="黑体" w:eastAsia="黑体" w:cs="黑体"/>
          <w:bCs/>
          <w:sz w:val="30"/>
          <w:szCs w:val="30"/>
          <w:lang w:eastAsia="zh-CN"/>
        </w:rPr>
      </w:pPr>
      <w:bookmarkStart w:id="781" w:name="_Toc19753"/>
      <w:bookmarkStart w:id="782" w:name="_Toc23463"/>
      <w:bookmarkStart w:id="783" w:name="_Toc2822"/>
      <w:r>
        <w:rPr>
          <w:rStyle w:val="70"/>
          <w:rFonts w:hint="eastAsia"/>
          <w:b/>
          <w:lang w:val="en-US" w:eastAsia="zh-CN"/>
        </w:rPr>
        <w:t xml:space="preserve">      一、空调设备</w:t>
      </w:r>
      <w:r>
        <w:rPr>
          <w:rStyle w:val="70"/>
          <w:b/>
          <w:lang w:eastAsia="zh-CN"/>
        </w:rPr>
        <w:t>报价表</w:t>
      </w:r>
      <w:bookmarkEnd w:id="781"/>
      <w:bookmarkEnd w:id="782"/>
      <w:bookmarkEnd w:id="783"/>
      <w:r>
        <w:rPr>
          <w:rStyle w:val="70"/>
          <w:rFonts w:hint="eastAsia"/>
          <w:b/>
          <w:lang w:val="en-US" w:eastAsia="zh-CN"/>
        </w:rPr>
        <w:t xml:space="preserve">   </w:t>
      </w:r>
      <w:r>
        <w:rPr>
          <w:rStyle w:val="70"/>
          <w:rFonts w:hint="default" w:ascii="宋体" w:hAnsi="宋体" w:eastAsia="宋体" w:cs="宋体"/>
          <w:b/>
          <w:bCs w:val="0"/>
          <w:sz w:val="28"/>
          <w:szCs w:val="28"/>
          <w:lang w:eastAsia="zh-CN"/>
        </w:rPr>
        <w:t>（单位：元）</w:t>
      </w:r>
    </w:p>
    <w:tbl>
      <w:tblPr>
        <w:tblStyle w:val="44"/>
        <w:tblW w:w="5187"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7" w:type="dxa"/>
          <w:bottom w:w="0" w:type="dxa"/>
          <w:right w:w="107" w:type="dxa"/>
        </w:tblCellMar>
      </w:tblPr>
      <w:tblGrid>
        <w:gridCol w:w="839"/>
        <w:gridCol w:w="1891"/>
        <w:gridCol w:w="1631"/>
        <w:gridCol w:w="876"/>
        <w:gridCol w:w="549"/>
        <w:gridCol w:w="551"/>
        <w:gridCol w:w="837"/>
        <w:gridCol w:w="862"/>
        <w:gridCol w:w="8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autoSpaceDE w:val="0"/>
              <w:autoSpaceDN w:val="0"/>
              <w:jc w:val="center"/>
              <w:textAlignment w:val="bottom"/>
              <w:rPr>
                <w:rFonts w:hint="eastAsia" w:hAnsi="宋体" w:eastAsia="宋体"/>
                <w:spacing w:val="15"/>
                <w:sz w:val="21"/>
                <w:szCs w:val="21"/>
                <w:lang w:val="en-US" w:eastAsia="zh-CN"/>
              </w:rPr>
            </w:pPr>
            <w:r>
              <w:rPr>
                <w:rFonts w:hint="eastAsia" w:hAnsi="宋体"/>
                <w:spacing w:val="15"/>
                <w:sz w:val="21"/>
                <w:szCs w:val="21"/>
                <w:lang w:val="en-US" w:eastAsia="zh-CN"/>
              </w:rPr>
              <w:t>序号</w:t>
            </w:r>
          </w:p>
        </w:tc>
        <w:tc>
          <w:tcPr>
            <w:tcW w:w="1068" w:type="pct"/>
            <w:vAlign w:val="center"/>
          </w:tcPr>
          <w:p>
            <w:pPr>
              <w:widowControl/>
              <w:autoSpaceDE w:val="0"/>
              <w:autoSpaceDN w:val="0"/>
              <w:ind w:right="-112" w:rightChars="-51" w:firstLine="720" w:firstLineChars="300"/>
              <w:jc w:val="left"/>
              <w:textAlignment w:val="bottom"/>
              <w:rPr>
                <w:rFonts w:hint="eastAsia" w:hAnsi="宋体" w:eastAsia="宋体"/>
                <w:spacing w:val="15"/>
                <w:sz w:val="21"/>
                <w:szCs w:val="21"/>
                <w:lang w:val="en-US" w:eastAsia="zh-CN"/>
              </w:rPr>
            </w:pPr>
            <w:r>
              <w:rPr>
                <w:rFonts w:hint="eastAsia" w:hAnsi="宋体"/>
                <w:spacing w:val="15"/>
                <w:sz w:val="21"/>
                <w:szCs w:val="21"/>
                <w:lang w:val="en-US" w:eastAsia="zh-CN"/>
              </w:rPr>
              <w:t>名称</w:t>
            </w:r>
          </w:p>
        </w:tc>
        <w:tc>
          <w:tcPr>
            <w:tcW w:w="921" w:type="pct"/>
            <w:vAlign w:val="center"/>
          </w:tcPr>
          <w:p>
            <w:pPr>
              <w:widowControl/>
              <w:autoSpaceDE/>
              <w:autoSpaceDN/>
              <w:adjustRightInd w:val="0"/>
              <w:snapToGrid w:val="0"/>
              <w:jc w:val="center"/>
              <w:textAlignment w:val="auto"/>
              <w:rPr>
                <w:rFonts w:hint="eastAsia" w:ascii="宋体" w:hAnsi="宋体" w:eastAsia="宋体" w:cs="宋体"/>
                <w:b w:val="0"/>
                <w:spacing w:val="0"/>
                <w:sz w:val="21"/>
                <w:szCs w:val="21"/>
                <w:lang w:val="en-US" w:eastAsia="zh-CN" w:bidi="ar-SA"/>
              </w:rPr>
            </w:pPr>
            <w:r>
              <w:rPr>
                <w:rFonts w:hint="eastAsia" w:hAnsi="宋体"/>
                <w:b w:val="0"/>
                <w:spacing w:val="0"/>
                <w:sz w:val="21"/>
                <w:szCs w:val="21"/>
                <w:lang w:val="en-US" w:eastAsia="zh-CN"/>
              </w:rPr>
              <w:t>规格型号</w:t>
            </w:r>
          </w:p>
        </w:tc>
        <w:tc>
          <w:tcPr>
            <w:tcW w:w="495" w:type="pct"/>
            <w:vAlign w:val="top"/>
          </w:tcPr>
          <w:p>
            <w:pPr>
              <w:widowControl/>
              <w:autoSpaceDE/>
              <w:autoSpaceDN/>
              <w:adjustRightInd w:val="0"/>
              <w:snapToGrid w:val="0"/>
              <w:jc w:val="center"/>
              <w:textAlignment w:val="auto"/>
              <w:rPr>
                <w:rFonts w:hint="eastAsia" w:ascii="宋体" w:hAnsi="宋体" w:eastAsia="宋体" w:cs="宋体"/>
                <w:b w:val="0"/>
                <w:sz w:val="21"/>
                <w:szCs w:val="21"/>
                <w:lang w:val="en-US" w:eastAsia="zh-CN" w:bidi="ar-SA"/>
              </w:rPr>
            </w:pPr>
            <w:r>
              <w:rPr>
                <w:rFonts w:hint="eastAsia" w:hAnsi="宋体" w:cs="宋体"/>
                <w:b w:val="0"/>
                <w:sz w:val="21"/>
                <w:szCs w:val="21"/>
                <w:lang w:val="en-US" w:eastAsia="zh-CN"/>
              </w:rPr>
              <w:t>产地</w:t>
            </w:r>
            <w:r>
              <w:rPr>
                <w:rFonts w:hint="eastAsia" w:cs="宋体"/>
                <w:b w:val="0"/>
                <w:sz w:val="21"/>
                <w:szCs w:val="21"/>
                <w:lang w:val="en-US" w:eastAsia="zh-CN"/>
              </w:rPr>
              <w:t>/</w:t>
            </w:r>
            <w:r>
              <w:rPr>
                <w:rFonts w:hint="eastAsia" w:hAnsi="宋体" w:cs="宋体"/>
                <w:b w:val="0"/>
                <w:sz w:val="21"/>
                <w:szCs w:val="21"/>
                <w:lang w:val="en-US" w:eastAsia="zh-CN"/>
              </w:rPr>
              <w:t>品牌</w:t>
            </w:r>
          </w:p>
        </w:tc>
        <w:tc>
          <w:tcPr>
            <w:tcW w:w="310" w:type="pct"/>
            <w:vAlign w:val="center"/>
          </w:tcPr>
          <w:p>
            <w:pPr>
              <w:widowControl/>
              <w:autoSpaceDE/>
              <w:autoSpaceDN/>
              <w:adjustRightInd w:val="0"/>
              <w:snapToGrid w:val="0"/>
              <w:jc w:val="center"/>
              <w:textAlignment w:val="auto"/>
              <w:rPr>
                <w:rFonts w:hint="eastAsia" w:ascii="宋体" w:hAnsi="宋体" w:eastAsia="宋体" w:cs="宋体"/>
                <w:b w:val="0"/>
                <w:spacing w:val="0"/>
                <w:sz w:val="21"/>
                <w:szCs w:val="21"/>
                <w:lang w:val="en-US" w:eastAsia="zh-CN" w:bidi="ar-SA"/>
              </w:rPr>
            </w:pPr>
            <w:r>
              <w:rPr>
                <w:rFonts w:hint="eastAsia"/>
                <w:b w:val="0"/>
                <w:spacing w:val="0"/>
                <w:sz w:val="21"/>
                <w:szCs w:val="21"/>
                <w:lang w:val="en-US" w:eastAsia="zh-CN"/>
              </w:rPr>
              <w:t>单位</w:t>
            </w:r>
          </w:p>
        </w:tc>
        <w:tc>
          <w:tcPr>
            <w:tcW w:w="311" w:type="pct"/>
            <w:vAlign w:val="center"/>
          </w:tcPr>
          <w:p>
            <w:pPr>
              <w:widowControl/>
              <w:autoSpaceDE/>
              <w:autoSpaceDN/>
              <w:adjustRightInd w:val="0"/>
              <w:snapToGrid w:val="0"/>
              <w:jc w:val="center"/>
              <w:textAlignment w:val="auto"/>
              <w:rPr>
                <w:rFonts w:hint="eastAsia" w:ascii="宋体" w:hAnsi="宋体" w:eastAsia="宋体" w:cs="宋体"/>
                <w:b w:val="0"/>
                <w:spacing w:val="0"/>
                <w:sz w:val="21"/>
                <w:szCs w:val="21"/>
                <w:lang w:val="en-US" w:eastAsia="zh-CN" w:bidi="ar-SA"/>
              </w:rPr>
            </w:pPr>
            <w:r>
              <w:rPr>
                <w:rFonts w:hint="eastAsia"/>
                <w:b w:val="0"/>
                <w:spacing w:val="0"/>
                <w:sz w:val="21"/>
                <w:szCs w:val="21"/>
                <w:lang w:val="en-US" w:eastAsia="zh-CN"/>
              </w:rPr>
              <w:t>数量</w:t>
            </w:r>
          </w:p>
        </w:tc>
        <w:tc>
          <w:tcPr>
            <w:tcW w:w="473" w:type="pct"/>
            <w:vAlign w:val="top"/>
          </w:tcPr>
          <w:p>
            <w:pPr>
              <w:widowControl/>
              <w:autoSpaceDE/>
              <w:autoSpaceDN/>
              <w:adjustRightInd w:val="0"/>
              <w:snapToGrid w:val="0"/>
              <w:jc w:val="center"/>
              <w:textAlignment w:val="auto"/>
              <w:rPr>
                <w:rFonts w:hint="eastAsia"/>
                <w:b w:val="0"/>
                <w:spacing w:val="0"/>
                <w:sz w:val="21"/>
                <w:szCs w:val="21"/>
                <w:lang w:val="en-US" w:eastAsia="zh-CN"/>
              </w:rPr>
            </w:pPr>
          </w:p>
          <w:p>
            <w:pPr>
              <w:widowControl/>
              <w:autoSpaceDE/>
              <w:autoSpaceDN/>
              <w:adjustRightInd w:val="0"/>
              <w:snapToGrid w:val="0"/>
              <w:jc w:val="center"/>
              <w:textAlignment w:val="auto"/>
              <w:rPr>
                <w:rFonts w:hint="eastAsia" w:ascii="宋体" w:hAnsi="宋体" w:eastAsia="宋体" w:cs="宋体"/>
                <w:b w:val="0"/>
                <w:spacing w:val="0"/>
                <w:sz w:val="21"/>
                <w:szCs w:val="21"/>
                <w:lang w:val="en-US" w:eastAsia="zh-CN" w:bidi="ar-SA"/>
              </w:rPr>
            </w:pPr>
            <w:r>
              <w:rPr>
                <w:rFonts w:hint="eastAsia"/>
                <w:b w:val="0"/>
                <w:spacing w:val="0"/>
                <w:sz w:val="21"/>
                <w:szCs w:val="21"/>
                <w:lang w:val="en-US" w:eastAsia="zh-CN"/>
              </w:rPr>
              <w:t>单价</w:t>
            </w:r>
          </w:p>
        </w:tc>
        <w:tc>
          <w:tcPr>
            <w:tcW w:w="487" w:type="pct"/>
            <w:vAlign w:val="top"/>
          </w:tcPr>
          <w:p>
            <w:pPr>
              <w:widowControl/>
              <w:autoSpaceDE/>
              <w:autoSpaceDN/>
              <w:adjustRightInd w:val="0"/>
              <w:snapToGrid w:val="0"/>
              <w:jc w:val="center"/>
              <w:textAlignment w:val="auto"/>
              <w:rPr>
                <w:rFonts w:hint="eastAsia"/>
                <w:b w:val="0"/>
                <w:spacing w:val="0"/>
                <w:sz w:val="21"/>
                <w:szCs w:val="21"/>
                <w:lang w:val="en-US" w:eastAsia="zh-CN"/>
              </w:rPr>
            </w:pPr>
          </w:p>
          <w:p>
            <w:pPr>
              <w:widowControl/>
              <w:autoSpaceDE/>
              <w:autoSpaceDN/>
              <w:adjustRightInd w:val="0"/>
              <w:snapToGrid w:val="0"/>
              <w:jc w:val="center"/>
              <w:textAlignment w:val="auto"/>
              <w:rPr>
                <w:rFonts w:hint="eastAsia" w:ascii="宋体" w:hAnsi="宋体" w:eastAsia="宋体" w:cs="宋体"/>
                <w:b w:val="0"/>
                <w:spacing w:val="0"/>
                <w:sz w:val="21"/>
                <w:szCs w:val="21"/>
                <w:lang w:val="en-US" w:eastAsia="zh-CN" w:bidi="ar-SA"/>
              </w:rPr>
            </w:pPr>
            <w:r>
              <w:rPr>
                <w:rFonts w:hint="eastAsia"/>
                <w:b w:val="0"/>
                <w:spacing w:val="0"/>
                <w:sz w:val="21"/>
                <w:szCs w:val="21"/>
                <w:lang w:val="en-US" w:eastAsia="zh-CN"/>
              </w:rPr>
              <w:t>合价</w:t>
            </w:r>
          </w:p>
        </w:tc>
        <w:tc>
          <w:tcPr>
            <w:tcW w:w="457" w:type="pct"/>
            <w:vAlign w:val="top"/>
          </w:tcPr>
          <w:p>
            <w:pPr>
              <w:widowControl/>
              <w:autoSpaceDE/>
              <w:autoSpaceDN/>
              <w:adjustRightInd w:val="0"/>
              <w:snapToGrid w:val="0"/>
              <w:jc w:val="center"/>
              <w:textAlignment w:val="auto"/>
              <w:rPr>
                <w:rFonts w:hint="eastAsia"/>
                <w:b w:val="0"/>
                <w:spacing w:val="0"/>
                <w:sz w:val="21"/>
                <w:szCs w:val="21"/>
                <w:lang w:val="en-US" w:eastAsia="zh-CN"/>
              </w:rPr>
            </w:pPr>
          </w:p>
          <w:p>
            <w:pPr>
              <w:widowControl/>
              <w:autoSpaceDE/>
              <w:autoSpaceDN/>
              <w:adjustRightInd w:val="0"/>
              <w:snapToGrid w:val="0"/>
              <w:jc w:val="center"/>
              <w:textAlignment w:val="auto"/>
              <w:rPr>
                <w:rFonts w:hint="eastAsia" w:ascii="宋体" w:hAnsi="宋体" w:eastAsia="宋体" w:cs="宋体"/>
                <w:b w:val="0"/>
                <w:spacing w:val="0"/>
                <w:sz w:val="21"/>
                <w:szCs w:val="21"/>
                <w:lang w:val="en-US" w:eastAsia="zh-CN" w:bidi="ar-SA"/>
              </w:rPr>
            </w:pPr>
            <w:r>
              <w:rPr>
                <w:rFonts w:hint="eastAsia"/>
                <w:b w:val="0"/>
                <w:spacing w:val="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numPr>
                <w:ilvl w:val="0"/>
                <w:numId w:val="4"/>
              </w:numPr>
              <w:adjustRightInd w:val="0"/>
              <w:spacing w:line="300" w:lineRule="auto"/>
              <w:ind w:left="420" w:leftChars="0" w:hanging="420" w:firstLineChars="0"/>
              <w:jc w:val="center"/>
              <w:textAlignment w:val="baseline"/>
              <w:rPr>
                <w:rFonts w:hAnsi="宋体"/>
                <w:spacing w:val="15"/>
                <w:sz w:val="21"/>
                <w:szCs w:val="21"/>
              </w:rPr>
            </w:pPr>
          </w:p>
        </w:tc>
        <w:tc>
          <w:tcPr>
            <w:tcW w:w="1068" w:type="pct"/>
            <w:vAlign w:val="center"/>
          </w:tcPr>
          <w:p>
            <w:pPr>
              <w:pStyle w:val="135"/>
              <w:spacing w:before="100" w:after="100" w:line="240" w:lineRule="auto"/>
              <w:jc w:val="both"/>
              <w:rPr>
                <w:rFonts w:ascii="华文细黑" w:hAnsi="华文细黑" w:eastAsia="仿宋" w:cs="Times New Roman"/>
                <w:color w:val="000000" w:themeColor="text1"/>
                <w:sz w:val="21"/>
                <w:szCs w:val="21"/>
                <w:lang w:val="en-US" w:eastAsia="zh-CN" w:bidi="ar-SA"/>
                <w14:textFill>
                  <w14:solidFill>
                    <w14:schemeClr w14:val="tx1"/>
                  </w14:solidFill>
                </w14:textFill>
              </w:rPr>
            </w:pPr>
            <w:r>
              <w:rPr>
                <w:rFonts w:eastAsia="仿宋"/>
                <w:color w:val="000000" w:themeColor="text1"/>
                <w:sz w:val="21"/>
                <w:szCs w:val="21"/>
                <w14:textFill>
                  <w14:solidFill>
                    <w14:schemeClr w14:val="tx1"/>
                  </w14:solidFill>
                </w14:textFill>
              </w:rPr>
              <w:t>多联空调主机</w:t>
            </w:r>
          </w:p>
        </w:tc>
        <w:tc>
          <w:tcPr>
            <w:tcW w:w="921" w:type="pct"/>
            <w:vAlign w:val="center"/>
          </w:tcPr>
          <w:p>
            <w:pPr>
              <w:pStyle w:val="196"/>
              <w:rPr>
                <w:rFonts w:hint="eastAsia" w:ascii="宋体" w:hAnsi="宋体" w:eastAsia="宋体" w:cs="宋体"/>
                <w:color w:val="000000" w:themeColor="text1"/>
                <w:sz w:val="21"/>
                <w:szCs w:val="21"/>
                <w:lang w:val="en-US" w:eastAsia="zh-CN"/>
                <w14:textFill>
                  <w14:solidFill>
                    <w14:schemeClr w14:val="tx1"/>
                  </w14:solidFill>
                </w14:textFill>
              </w:rPr>
            </w:pPr>
            <w:r>
              <w:rPr>
                <w:rStyle w:val="197"/>
                <w:rFonts w:hint="eastAsia" w:ascii="宋体" w:hAnsi="宋体" w:eastAsia="宋体" w:cs="宋体"/>
                <w:sz w:val="21"/>
                <w:szCs w:val="21"/>
                <w:lang w:val="en"/>
              </w:rPr>
              <w:t>制冷量≥145.5kW；制热量≥162kW；功率≤39.2 kW</w:t>
            </w:r>
          </w:p>
        </w:tc>
        <w:tc>
          <w:tcPr>
            <w:tcW w:w="495" w:type="pct"/>
          </w:tcPr>
          <w:p>
            <w:pPr>
              <w:widowControl/>
              <w:autoSpaceDE/>
              <w:autoSpaceDN/>
              <w:adjustRightInd w:val="0"/>
              <w:snapToGrid w:val="0"/>
              <w:jc w:val="center"/>
              <w:textAlignment w:val="auto"/>
              <w:rPr>
                <w:rFonts w:hint="eastAsia" w:hAnsi="宋体" w:eastAsia="宋体" w:cs="宋体"/>
                <w:b w:val="0"/>
                <w:sz w:val="21"/>
                <w:szCs w:val="21"/>
                <w:lang w:val="en-US" w:eastAsia="zh-CN"/>
              </w:rPr>
            </w:pPr>
          </w:p>
        </w:tc>
        <w:tc>
          <w:tcPr>
            <w:tcW w:w="310" w:type="pct"/>
            <w:vAlign w:val="center"/>
          </w:tcPr>
          <w:p>
            <w:pPr>
              <w:spacing w:before="100" w:after="100" w:line="200" w:lineRule="exact"/>
              <w:jc w:val="center"/>
              <w:rPr>
                <w:rFonts w:hint="default" w:ascii="宋体" w:hAnsi="宋体" w:eastAsia="仿宋" w:cs="宋体"/>
                <w:color w:val="000000" w:themeColor="text1"/>
                <w:sz w:val="21"/>
                <w:szCs w:val="21"/>
                <w:lang w:val="en-US" w:eastAsia="zh-CN" w:bidi="ar-SA"/>
                <w14:textFill>
                  <w14:solidFill>
                    <w14:schemeClr w14:val="tx1"/>
                  </w14:solidFill>
                </w14:textFill>
              </w:rPr>
            </w:pPr>
            <w:r>
              <w:rPr>
                <w:rFonts w:eastAsia="仿宋"/>
                <w:color w:val="000000" w:themeColor="text1"/>
                <w:sz w:val="21"/>
                <w:szCs w:val="21"/>
                <w14:textFill>
                  <w14:solidFill>
                    <w14:schemeClr w14:val="tx1"/>
                  </w14:solidFill>
                </w14:textFill>
              </w:rPr>
              <w:t>套</w:t>
            </w:r>
          </w:p>
        </w:tc>
        <w:tc>
          <w:tcPr>
            <w:tcW w:w="311" w:type="pct"/>
            <w:vAlign w:val="center"/>
          </w:tcPr>
          <w:p>
            <w:pPr>
              <w:spacing w:before="100" w:after="100" w:line="200" w:lineRule="exact"/>
              <w:jc w:val="center"/>
              <w:rPr>
                <w:rFonts w:hint="default" w:ascii="宋体" w:hAnsi="宋体" w:eastAsia="仿宋" w:cs="宋体"/>
                <w:color w:val="000000" w:themeColor="text1"/>
                <w:sz w:val="21"/>
                <w:szCs w:val="21"/>
                <w:lang w:val="en-US" w:eastAsia="zh-CN" w:bidi="ar-SA"/>
                <w14:textFill>
                  <w14:solidFill>
                    <w14:schemeClr w14:val="tx1"/>
                  </w14:solidFill>
                </w14:textFill>
              </w:rPr>
            </w:pPr>
            <w:r>
              <w:rPr>
                <w:rFonts w:eastAsia="仿宋"/>
                <w:color w:val="000000" w:themeColor="text1"/>
                <w:sz w:val="21"/>
                <w:szCs w:val="21"/>
                <w14:textFill>
                  <w14:solidFill>
                    <w14:schemeClr w14:val="tx1"/>
                  </w14:solidFill>
                </w14:textFill>
              </w:rPr>
              <w:t>1</w:t>
            </w:r>
          </w:p>
        </w:tc>
        <w:tc>
          <w:tcPr>
            <w:tcW w:w="473" w:type="pct"/>
          </w:tcPr>
          <w:p>
            <w:pPr>
              <w:widowControl/>
              <w:autoSpaceDE/>
              <w:autoSpaceDN/>
              <w:adjustRightInd w:val="0"/>
              <w:snapToGrid w:val="0"/>
              <w:jc w:val="center"/>
              <w:textAlignment w:val="auto"/>
              <w:rPr>
                <w:rFonts w:hint="eastAsia"/>
                <w:b w:val="0"/>
                <w:spacing w:val="0"/>
                <w:sz w:val="21"/>
                <w:szCs w:val="21"/>
                <w:lang w:val="en-US" w:eastAsia="zh-CN"/>
              </w:rPr>
            </w:pPr>
          </w:p>
          <w:p>
            <w:pPr>
              <w:widowControl/>
              <w:autoSpaceDE/>
              <w:autoSpaceDN/>
              <w:adjustRightInd w:val="0"/>
              <w:snapToGrid w:val="0"/>
              <w:jc w:val="center"/>
              <w:textAlignment w:val="auto"/>
              <w:rPr>
                <w:rFonts w:hint="default"/>
                <w:b w:val="0"/>
                <w:spacing w:val="0"/>
                <w:sz w:val="21"/>
                <w:szCs w:val="21"/>
                <w:lang w:eastAsia="zh-CN"/>
              </w:rPr>
            </w:pPr>
          </w:p>
        </w:tc>
        <w:tc>
          <w:tcPr>
            <w:tcW w:w="487" w:type="pct"/>
          </w:tcPr>
          <w:p>
            <w:pPr>
              <w:widowControl/>
              <w:autoSpaceDE/>
              <w:autoSpaceDN/>
              <w:adjustRightInd w:val="0"/>
              <w:snapToGrid w:val="0"/>
              <w:jc w:val="center"/>
              <w:textAlignment w:val="auto"/>
              <w:rPr>
                <w:rFonts w:hint="eastAsia"/>
                <w:b w:val="0"/>
                <w:spacing w:val="0"/>
                <w:sz w:val="21"/>
                <w:szCs w:val="21"/>
                <w:lang w:val="en-US" w:eastAsia="zh-CN"/>
              </w:rPr>
            </w:pPr>
          </w:p>
          <w:p>
            <w:pPr>
              <w:widowControl/>
              <w:autoSpaceDE/>
              <w:autoSpaceDN/>
              <w:adjustRightInd w:val="0"/>
              <w:snapToGrid w:val="0"/>
              <w:jc w:val="center"/>
              <w:textAlignment w:val="auto"/>
              <w:rPr>
                <w:rFonts w:hint="default"/>
                <w:b w:val="0"/>
                <w:spacing w:val="0"/>
                <w:sz w:val="21"/>
                <w:szCs w:val="21"/>
                <w:lang w:eastAsia="zh-CN"/>
              </w:rPr>
            </w:pPr>
          </w:p>
        </w:tc>
        <w:tc>
          <w:tcPr>
            <w:tcW w:w="457" w:type="pct"/>
          </w:tcPr>
          <w:p>
            <w:pPr>
              <w:widowControl/>
              <w:autoSpaceDE/>
              <w:autoSpaceDN/>
              <w:adjustRightInd w:val="0"/>
              <w:snapToGrid w:val="0"/>
              <w:jc w:val="center"/>
              <w:textAlignment w:val="auto"/>
              <w:rPr>
                <w:rFonts w:hint="eastAsia"/>
                <w:b w:val="0"/>
                <w:spacing w:val="0"/>
                <w:sz w:val="21"/>
                <w:szCs w:val="21"/>
                <w:lang w:val="en-US" w:eastAsia="zh-CN"/>
              </w:rPr>
            </w:pPr>
          </w:p>
          <w:p>
            <w:pPr>
              <w:widowControl/>
              <w:autoSpaceDE/>
              <w:autoSpaceDN/>
              <w:adjustRightInd w:val="0"/>
              <w:snapToGrid w:val="0"/>
              <w:jc w:val="center"/>
              <w:textAlignment w:val="auto"/>
              <w:rPr>
                <w:rFonts w:hint="default"/>
                <w:b w:val="0"/>
                <w:spacing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numPr>
                <w:ilvl w:val="0"/>
                <w:numId w:val="4"/>
              </w:numPr>
              <w:adjustRightInd w:val="0"/>
              <w:spacing w:line="300" w:lineRule="auto"/>
              <w:ind w:left="420" w:leftChars="0" w:hanging="420" w:firstLineChars="0"/>
              <w:jc w:val="center"/>
              <w:textAlignment w:val="baseline"/>
              <w:rPr>
                <w:rFonts w:hint="eastAsia" w:hAnsi="宋体" w:eastAsia="宋体"/>
                <w:spacing w:val="15"/>
                <w:sz w:val="21"/>
                <w:szCs w:val="21"/>
                <w:lang w:eastAsia="zh-CN"/>
              </w:rPr>
            </w:pPr>
          </w:p>
        </w:tc>
        <w:tc>
          <w:tcPr>
            <w:tcW w:w="1068" w:type="pct"/>
            <w:vAlign w:val="center"/>
          </w:tcPr>
          <w:p>
            <w:pPr>
              <w:pStyle w:val="135"/>
              <w:spacing w:before="100" w:after="100" w:line="240" w:lineRule="auto"/>
              <w:jc w:val="both"/>
              <w:rPr>
                <w:rFonts w:ascii="华文细黑" w:hAnsi="华文细黑" w:eastAsia="仿宋" w:cs="Times New Roman"/>
                <w:color w:val="000000" w:themeColor="text1"/>
                <w:sz w:val="21"/>
                <w:szCs w:val="21"/>
                <w:lang w:val="en-US" w:eastAsia="zh-CN" w:bidi="ar-SA"/>
                <w14:textFill>
                  <w14:solidFill>
                    <w14:schemeClr w14:val="tx1"/>
                  </w14:solidFill>
                </w14:textFill>
              </w:rPr>
            </w:pPr>
            <w:r>
              <w:rPr>
                <w:rFonts w:hint="eastAsia" w:eastAsia="仿宋"/>
                <w:color w:val="000000" w:themeColor="text1"/>
                <w:sz w:val="21"/>
                <w:szCs w:val="21"/>
                <w14:textFill>
                  <w14:solidFill>
                    <w14:schemeClr w14:val="tx1"/>
                  </w14:solidFill>
                </w14:textFill>
              </w:rPr>
              <w:t>单冷</w:t>
            </w:r>
            <w:r>
              <w:rPr>
                <w:rFonts w:eastAsia="仿宋"/>
                <w:color w:val="000000" w:themeColor="text1"/>
                <w:sz w:val="21"/>
                <w:szCs w:val="21"/>
                <w14:textFill>
                  <w14:solidFill>
                    <w14:schemeClr w14:val="tx1"/>
                  </w14:solidFill>
                </w14:textFill>
              </w:rPr>
              <w:t>多联空调主机</w:t>
            </w:r>
          </w:p>
        </w:tc>
        <w:tc>
          <w:tcPr>
            <w:tcW w:w="921" w:type="pct"/>
            <w:vAlign w:val="center"/>
          </w:tcPr>
          <w:p>
            <w:pPr>
              <w:spacing w:before="40" w:after="40"/>
              <w:rPr>
                <w:rFonts w:hint="eastAsia" w:ascii="宋体" w:hAnsi="宋体" w:eastAsia="宋体" w:cs="宋体"/>
                <w:color w:val="000000" w:themeColor="text1"/>
                <w:sz w:val="21"/>
                <w:szCs w:val="21"/>
                <w:lang w:val="en-US" w:eastAsia="en-US"/>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制冷量≥50.4kW；功率≤13.49kW </w:t>
            </w:r>
          </w:p>
        </w:tc>
        <w:tc>
          <w:tcPr>
            <w:tcW w:w="495" w:type="pct"/>
          </w:tcPr>
          <w:p>
            <w:pPr>
              <w:widowControl/>
              <w:autoSpaceDE w:val="0"/>
              <w:autoSpaceDN w:val="0"/>
              <w:jc w:val="center"/>
              <w:textAlignment w:val="bottom"/>
              <w:rPr>
                <w:rFonts w:hAnsi="宋体"/>
                <w:spacing w:val="15"/>
                <w:sz w:val="21"/>
                <w:szCs w:val="21"/>
              </w:rPr>
            </w:pPr>
          </w:p>
        </w:tc>
        <w:tc>
          <w:tcPr>
            <w:tcW w:w="310" w:type="pct"/>
            <w:vAlign w:val="center"/>
          </w:tcPr>
          <w:p>
            <w:pPr>
              <w:spacing w:before="100" w:after="100" w:line="200" w:lineRule="exact"/>
              <w:jc w:val="center"/>
              <w:rPr>
                <w:rFonts w:ascii="宋体" w:hAnsi="宋体" w:eastAsia="仿宋" w:cs="宋体"/>
                <w:color w:val="000000" w:themeColor="text1"/>
                <w:sz w:val="21"/>
                <w:szCs w:val="21"/>
                <w:lang w:val="en-US" w:eastAsia="en-US" w:bidi="ar-SA"/>
                <w14:textFill>
                  <w14:solidFill>
                    <w14:schemeClr w14:val="tx1"/>
                  </w14:solidFill>
                </w14:textFill>
              </w:rPr>
            </w:pPr>
            <w:r>
              <w:rPr>
                <w:rFonts w:eastAsia="仿宋"/>
                <w:color w:val="000000" w:themeColor="text1"/>
                <w:sz w:val="21"/>
                <w:szCs w:val="21"/>
                <w14:textFill>
                  <w14:solidFill>
                    <w14:schemeClr w14:val="tx1"/>
                  </w14:solidFill>
                </w14:textFill>
              </w:rPr>
              <w:t>套</w:t>
            </w:r>
          </w:p>
        </w:tc>
        <w:tc>
          <w:tcPr>
            <w:tcW w:w="311" w:type="pct"/>
            <w:vAlign w:val="center"/>
          </w:tcPr>
          <w:p>
            <w:pPr>
              <w:spacing w:before="100" w:after="100" w:line="200" w:lineRule="exact"/>
              <w:jc w:val="center"/>
              <w:rPr>
                <w:rFonts w:ascii="宋体" w:hAnsi="宋体" w:eastAsia="仿宋" w:cs="宋体"/>
                <w:color w:val="000000" w:themeColor="text1"/>
                <w:sz w:val="21"/>
                <w:szCs w:val="21"/>
                <w:lang w:val="en-US" w:eastAsia="en-US" w:bidi="ar-SA"/>
                <w14:textFill>
                  <w14:solidFill>
                    <w14:schemeClr w14:val="tx1"/>
                  </w14:solidFill>
                </w14:textFill>
              </w:rPr>
            </w:pPr>
            <w:r>
              <w:rPr>
                <w:rFonts w:eastAsia="仿宋"/>
                <w:color w:val="000000" w:themeColor="text1"/>
                <w:sz w:val="21"/>
                <w:szCs w:val="21"/>
                <w14:textFill>
                  <w14:solidFill>
                    <w14:schemeClr w14:val="tx1"/>
                  </w14:solidFill>
                </w14:textFill>
              </w:rPr>
              <w:t>1</w:t>
            </w:r>
          </w:p>
        </w:tc>
        <w:tc>
          <w:tcPr>
            <w:tcW w:w="473" w:type="pct"/>
          </w:tcPr>
          <w:p>
            <w:pPr>
              <w:widowControl/>
              <w:autoSpaceDE w:val="0"/>
              <w:autoSpaceDN w:val="0"/>
              <w:jc w:val="center"/>
              <w:textAlignment w:val="bottom"/>
              <w:rPr>
                <w:spacing w:val="15"/>
                <w:sz w:val="21"/>
                <w:szCs w:val="21"/>
              </w:rPr>
            </w:pPr>
          </w:p>
        </w:tc>
        <w:tc>
          <w:tcPr>
            <w:tcW w:w="487" w:type="pct"/>
          </w:tcPr>
          <w:p>
            <w:pPr>
              <w:widowControl/>
              <w:autoSpaceDE w:val="0"/>
              <w:autoSpaceDN w:val="0"/>
              <w:jc w:val="center"/>
              <w:textAlignment w:val="bottom"/>
              <w:rPr>
                <w:spacing w:val="15"/>
                <w:sz w:val="21"/>
                <w:szCs w:val="21"/>
              </w:rPr>
            </w:pPr>
          </w:p>
        </w:tc>
        <w:tc>
          <w:tcPr>
            <w:tcW w:w="457" w:type="pct"/>
          </w:tcPr>
          <w:p>
            <w:pPr>
              <w:widowControl/>
              <w:autoSpaceDE w:val="0"/>
              <w:autoSpaceDN w:val="0"/>
              <w:jc w:val="center"/>
              <w:textAlignment w:val="bottom"/>
              <w:rPr>
                <w:spacing w:val="15"/>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numPr>
                <w:ilvl w:val="0"/>
                <w:numId w:val="4"/>
              </w:numPr>
              <w:adjustRightInd w:val="0"/>
              <w:spacing w:line="300" w:lineRule="auto"/>
              <w:ind w:left="420" w:leftChars="0" w:hanging="420" w:firstLineChars="0"/>
              <w:jc w:val="center"/>
              <w:textAlignment w:val="baseline"/>
              <w:rPr>
                <w:rFonts w:hint="eastAsia" w:hAnsi="宋体" w:eastAsia="宋体"/>
                <w:spacing w:val="15"/>
                <w:sz w:val="21"/>
                <w:szCs w:val="21"/>
                <w:lang w:eastAsia="zh-CN"/>
              </w:rPr>
            </w:pPr>
          </w:p>
        </w:tc>
        <w:tc>
          <w:tcPr>
            <w:tcW w:w="1068" w:type="pct"/>
            <w:vAlign w:val="center"/>
          </w:tcPr>
          <w:p>
            <w:pPr>
              <w:pStyle w:val="135"/>
              <w:spacing w:before="100" w:after="100" w:line="240" w:lineRule="auto"/>
              <w:jc w:val="both"/>
              <w:rPr>
                <w:rFonts w:ascii="华文细黑" w:hAnsi="华文细黑" w:eastAsia="仿宋" w:cs="Times New Roman"/>
                <w:color w:val="000000" w:themeColor="text1"/>
                <w:sz w:val="21"/>
                <w:szCs w:val="21"/>
                <w:lang w:val="en-US" w:eastAsia="zh-CN" w:bidi="ar-SA"/>
                <w14:textFill>
                  <w14:solidFill>
                    <w14:schemeClr w14:val="tx1"/>
                  </w14:solidFill>
                </w14:textFill>
              </w:rPr>
            </w:pPr>
            <w:r>
              <w:rPr>
                <w:rFonts w:eastAsia="仿宋"/>
                <w:color w:val="000000" w:themeColor="text1"/>
                <w:sz w:val="21"/>
                <w:szCs w:val="21"/>
                <w14:textFill>
                  <w14:solidFill>
                    <w14:schemeClr w14:val="tx1"/>
                  </w14:solidFill>
                </w14:textFill>
              </w:rPr>
              <w:t>多联空调</w:t>
            </w:r>
            <w:r>
              <w:rPr>
                <w:rFonts w:hint="eastAsia" w:eastAsia="仿宋"/>
                <w:color w:val="000000" w:themeColor="text1"/>
                <w:sz w:val="21"/>
                <w:szCs w:val="21"/>
                <w14:textFill>
                  <w14:solidFill>
                    <w14:schemeClr w14:val="tx1"/>
                  </w14:solidFill>
                </w14:textFill>
              </w:rPr>
              <w:t>单冷</w:t>
            </w:r>
            <w:r>
              <w:rPr>
                <w:rFonts w:eastAsia="仿宋"/>
                <w:color w:val="000000" w:themeColor="text1"/>
                <w:sz w:val="21"/>
                <w:szCs w:val="21"/>
                <w14:textFill>
                  <w14:solidFill>
                    <w14:schemeClr w14:val="tx1"/>
                  </w14:solidFill>
                </w14:textFill>
              </w:rPr>
              <w:t>吊顶落地式室内机</w:t>
            </w:r>
          </w:p>
        </w:tc>
        <w:tc>
          <w:tcPr>
            <w:tcW w:w="921" w:type="pct"/>
            <w:vAlign w:val="center"/>
          </w:tcPr>
          <w:p>
            <w:pPr>
              <w:spacing w:before="40" w:after="40"/>
              <w:rPr>
                <w:rFonts w:hint="eastAsia" w:ascii="宋体" w:hAnsi="宋体" w:eastAsia="宋体" w:cs="宋体"/>
                <w:color w:val="000000" w:themeColor="text1"/>
                <w:sz w:val="21"/>
                <w:szCs w:val="21"/>
                <w:lang w:val="en-US" w:eastAsia="en-US"/>
                <w14:textFill>
                  <w14:solidFill>
                    <w14:schemeClr w14:val="tx1"/>
                  </w14:solidFill>
                </w14:textFill>
              </w:rPr>
            </w:pPr>
            <w:r>
              <w:rPr>
                <w:rStyle w:val="197"/>
                <w:rFonts w:hint="eastAsia" w:ascii="宋体" w:hAnsi="宋体" w:eastAsia="宋体" w:cs="宋体"/>
                <w:sz w:val="21"/>
                <w:szCs w:val="21"/>
                <w:lang w:val="en"/>
              </w:rPr>
              <w:t>制冷量</w:t>
            </w:r>
            <w:r>
              <w:rPr>
                <w:rStyle w:val="198"/>
                <w:rFonts w:hint="eastAsia" w:ascii="宋体" w:hAnsi="宋体" w:eastAsia="宋体" w:cs="宋体"/>
                <w:sz w:val="21"/>
                <w:szCs w:val="21"/>
                <w:lang w:val="en"/>
              </w:rPr>
              <w:t>≥</w:t>
            </w:r>
            <w:r>
              <w:rPr>
                <w:rStyle w:val="199"/>
                <w:rFonts w:hint="eastAsia" w:ascii="宋体" w:hAnsi="宋体" w:eastAsia="宋体" w:cs="宋体"/>
                <w:sz w:val="21"/>
                <w:szCs w:val="21"/>
                <w:lang w:val="en"/>
              </w:rPr>
              <w:t>7.1kW；功率≤0.09kW</w:t>
            </w:r>
          </w:p>
        </w:tc>
        <w:tc>
          <w:tcPr>
            <w:tcW w:w="495" w:type="pct"/>
          </w:tcPr>
          <w:p>
            <w:pPr>
              <w:widowControl/>
              <w:autoSpaceDE w:val="0"/>
              <w:autoSpaceDN w:val="0"/>
              <w:jc w:val="center"/>
              <w:textAlignment w:val="bottom"/>
              <w:rPr>
                <w:rFonts w:hAnsi="宋体"/>
                <w:spacing w:val="15"/>
                <w:sz w:val="21"/>
                <w:szCs w:val="21"/>
              </w:rPr>
            </w:pPr>
          </w:p>
        </w:tc>
        <w:tc>
          <w:tcPr>
            <w:tcW w:w="310" w:type="pct"/>
            <w:vAlign w:val="center"/>
          </w:tcPr>
          <w:p>
            <w:pPr>
              <w:spacing w:before="100" w:after="100" w:line="200" w:lineRule="exact"/>
              <w:jc w:val="center"/>
              <w:rPr>
                <w:rFonts w:ascii="宋体" w:hAnsi="宋体" w:eastAsia="仿宋" w:cs="宋体"/>
                <w:color w:val="000000" w:themeColor="text1"/>
                <w:sz w:val="21"/>
                <w:szCs w:val="21"/>
                <w:lang w:val="en-US" w:eastAsia="en-US" w:bidi="ar-SA"/>
                <w14:textFill>
                  <w14:solidFill>
                    <w14:schemeClr w14:val="tx1"/>
                  </w14:solidFill>
                </w14:textFill>
              </w:rPr>
            </w:pPr>
            <w:r>
              <w:rPr>
                <w:rFonts w:eastAsia="仿宋"/>
                <w:color w:val="000000" w:themeColor="text1"/>
                <w:sz w:val="21"/>
                <w:szCs w:val="21"/>
                <w14:textFill>
                  <w14:solidFill>
                    <w14:schemeClr w14:val="tx1"/>
                  </w14:solidFill>
                </w14:textFill>
              </w:rPr>
              <w:t>台</w:t>
            </w:r>
          </w:p>
        </w:tc>
        <w:tc>
          <w:tcPr>
            <w:tcW w:w="311" w:type="pct"/>
            <w:vAlign w:val="center"/>
          </w:tcPr>
          <w:p>
            <w:pPr>
              <w:spacing w:before="100" w:after="100" w:line="200" w:lineRule="exact"/>
              <w:jc w:val="center"/>
              <w:rPr>
                <w:rFonts w:ascii="宋体" w:hAnsi="宋体" w:eastAsia="仿宋" w:cs="宋体"/>
                <w:color w:val="000000" w:themeColor="text1"/>
                <w:sz w:val="21"/>
                <w:szCs w:val="21"/>
                <w:lang w:val="en-US" w:eastAsia="en-US" w:bidi="ar-SA"/>
                <w14:textFill>
                  <w14:solidFill>
                    <w14:schemeClr w14:val="tx1"/>
                  </w14:solidFill>
                </w14:textFill>
              </w:rPr>
            </w:pPr>
            <w:r>
              <w:rPr>
                <w:rFonts w:eastAsia="仿宋"/>
                <w:color w:val="000000" w:themeColor="text1"/>
                <w:sz w:val="21"/>
                <w:szCs w:val="21"/>
                <w14:textFill>
                  <w14:solidFill>
                    <w14:schemeClr w14:val="tx1"/>
                  </w14:solidFill>
                </w14:textFill>
              </w:rPr>
              <w:t>6</w:t>
            </w:r>
          </w:p>
        </w:tc>
        <w:tc>
          <w:tcPr>
            <w:tcW w:w="473" w:type="pct"/>
          </w:tcPr>
          <w:p>
            <w:pPr>
              <w:widowControl/>
              <w:autoSpaceDE w:val="0"/>
              <w:autoSpaceDN w:val="0"/>
              <w:jc w:val="center"/>
              <w:textAlignment w:val="bottom"/>
              <w:rPr>
                <w:spacing w:val="15"/>
                <w:sz w:val="21"/>
                <w:szCs w:val="21"/>
              </w:rPr>
            </w:pPr>
          </w:p>
        </w:tc>
        <w:tc>
          <w:tcPr>
            <w:tcW w:w="487" w:type="pct"/>
          </w:tcPr>
          <w:p>
            <w:pPr>
              <w:widowControl/>
              <w:autoSpaceDE w:val="0"/>
              <w:autoSpaceDN w:val="0"/>
              <w:jc w:val="center"/>
              <w:textAlignment w:val="bottom"/>
              <w:rPr>
                <w:spacing w:val="15"/>
                <w:sz w:val="21"/>
                <w:szCs w:val="21"/>
              </w:rPr>
            </w:pPr>
          </w:p>
        </w:tc>
        <w:tc>
          <w:tcPr>
            <w:tcW w:w="457" w:type="pct"/>
          </w:tcPr>
          <w:p>
            <w:pPr>
              <w:widowControl/>
              <w:autoSpaceDE w:val="0"/>
              <w:autoSpaceDN w:val="0"/>
              <w:jc w:val="center"/>
              <w:textAlignment w:val="bottom"/>
              <w:rPr>
                <w:spacing w:val="15"/>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numPr>
                <w:ilvl w:val="0"/>
                <w:numId w:val="4"/>
              </w:numPr>
              <w:adjustRightInd w:val="0"/>
              <w:spacing w:line="300" w:lineRule="auto"/>
              <w:ind w:left="420" w:leftChars="0" w:hanging="420" w:firstLineChars="0"/>
              <w:jc w:val="center"/>
              <w:textAlignment w:val="baseline"/>
              <w:rPr>
                <w:rFonts w:hint="eastAsia" w:hAnsi="宋体" w:eastAsia="宋体"/>
                <w:spacing w:val="15"/>
                <w:sz w:val="21"/>
                <w:szCs w:val="21"/>
                <w:lang w:eastAsia="zh-CN"/>
              </w:rPr>
            </w:pPr>
          </w:p>
        </w:tc>
        <w:tc>
          <w:tcPr>
            <w:tcW w:w="1068" w:type="pct"/>
            <w:vAlign w:val="center"/>
          </w:tcPr>
          <w:p>
            <w:pPr>
              <w:pStyle w:val="135"/>
              <w:spacing w:before="100" w:after="100" w:line="240" w:lineRule="auto"/>
              <w:jc w:val="both"/>
              <w:rPr>
                <w:rFonts w:ascii="华文细黑" w:hAnsi="华文细黑" w:eastAsia="仿宋" w:cs="Times New Roman"/>
                <w:color w:val="000000" w:themeColor="text1"/>
                <w:sz w:val="21"/>
                <w:szCs w:val="21"/>
                <w:lang w:val="en-US" w:eastAsia="zh-CN" w:bidi="ar-SA"/>
                <w14:textFill>
                  <w14:solidFill>
                    <w14:schemeClr w14:val="tx1"/>
                  </w14:solidFill>
                </w14:textFill>
              </w:rPr>
            </w:pPr>
            <w:r>
              <w:rPr>
                <w:rFonts w:eastAsia="仿宋"/>
                <w:color w:val="000000" w:themeColor="text1"/>
                <w:sz w:val="21"/>
                <w:szCs w:val="21"/>
                <w14:textFill>
                  <w14:solidFill>
                    <w14:schemeClr w14:val="tx1"/>
                  </w14:solidFill>
                </w14:textFill>
              </w:rPr>
              <w:t>多联</w:t>
            </w:r>
            <w:r>
              <w:rPr>
                <w:rFonts w:eastAsia="仿宋"/>
                <w:color w:val="auto"/>
                <w:sz w:val="21"/>
                <w:szCs w:val="21"/>
              </w:rPr>
              <w:t>空调</w:t>
            </w:r>
            <w:r>
              <w:rPr>
                <w:rFonts w:hint="eastAsia" w:eastAsia="仿宋"/>
                <w:color w:val="000000" w:themeColor="text1"/>
                <w:sz w:val="21"/>
                <w:szCs w:val="21"/>
                <w14:textFill>
                  <w14:solidFill>
                    <w14:schemeClr w14:val="tx1"/>
                  </w14:solidFill>
                </w14:textFill>
              </w:rPr>
              <w:t>环绕</w:t>
            </w:r>
            <w:r>
              <w:rPr>
                <w:rFonts w:eastAsia="仿宋"/>
                <w:color w:val="000000" w:themeColor="text1"/>
                <w:sz w:val="21"/>
                <w:szCs w:val="21"/>
                <w14:textFill>
                  <w14:solidFill>
                    <w14:schemeClr w14:val="tx1"/>
                  </w14:solidFill>
                </w14:textFill>
              </w:rPr>
              <w:t>四面出风嵌入式室内机</w:t>
            </w:r>
          </w:p>
        </w:tc>
        <w:tc>
          <w:tcPr>
            <w:tcW w:w="921" w:type="pct"/>
            <w:vAlign w:val="center"/>
          </w:tcPr>
          <w:p>
            <w:pPr>
              <w:spacing w:before="40" w:after="40"/>
              <w:rPr>
                <w:rFonts w:hint="eastAsia" w:ascii="宋体" w:hAnsi="宋体" w:eastAsia="宋体" w:cs="宋体"/>
                <w:color w:val="000000" w:themeColor="text1"/>
                <w:sz w:val="21"/>
                <w:szCs w:val="21"/>
                <w:lang w:val="en-US" w:eastAsia="en-US"/>
                <w14:textFill>
                  <w14:solidFill>
                    <w14:schemeClr w14:val="tx1"/>
                  </w14:solidFill>
                </w14:textFill>
              </w:rPr>
            </w:pPr>
            <w:r>
              <w:rPr>
                <w:rStyle w:val="197"/>
                <w:rFonts w:hint="eastAsia" w:ascii="宋体" w:hAnsi="宋体" w:eastAsia="宋体" w:cs="宋体"/>
                <w:sz w:val="21"/>
                <w:szCs w:val="21"/>
                <w:lang w:val="en"/>
              </w:rPr>
              <w:t>制冷量</w:t>
            </w:r>
            <w:r>
              <w:rPr>
                <w:rStyle w:val="198"/>
                <w:rFonts w:hint="eastAsia" w:ascii="宋体" w:hAnsi="宋体" w:eastAsia="宋体" w:cs="宋体"/>
                <w:sz w:val="21"/>
                <w:szCs w:val="21"/>
                <w:lang w:val="en"/>
              </w:rPr>
              <w:t>≥</w:t>
            </w:r>
            <w:r>
              <w:rPr>
                <w:rStyle w:val="199"/>
                <w:rFonts w:hint="eastAsia" w:ascii="宋体" w:hAnsi="宋体" w:eastAsia="宋体" w:cs="宋体"/>
                <w:sz w:val="21"/>
                <w:szCs w:val="21"/>
                <w:lang w:val="en"/>
              </w:rPr>
              <w:t>7.1kW；制热量</w:t>
            </w:r>
            <w:r>
              <w:rPr>
                <w:rStyle w:val="198"/>
                <w:rFonts w:hint="eastAsia" w:ascii="宋体" w:hAnsi="宋体" w:eastAsia="宋体" w:cs="宋体"/>
                <w:sz w:val="21"/>
                <w:szCs w:val="21"/>
                <w:lang w:val="en"/>
              </w:rPr>
              <w:t>≥</w:t>
            </w:r>
            <w:r>
              <w:rPr>
                <w:rStyle w:val="199"/>
                <w:rFonts w:hint="eastAsia" w:ascii="宋体" w:hAnsi="宋体" w:eastAsia="宋体" w:cs="宋体"/>
                <w:sz w:val="21"/>
                <w:szCs w:val="21"/>
                <w:lang w:val="en"/>
              </w:rPr>
              <w:t>8.0+1.45kW；功率</w:t>
            </w:r>
            <w:r>
              <w:rPr>
                <w:rStyle w:val="198"/>
                <w:rFonts w:hint="eastAsia" w:ascii="宋体" w:hAnsi="宋体" w:eastAsia="宋体" w:cs="宋体"/>
                <w:sz w:val="21"/>
                <w:szCs w:val="21"/>
                <w:lang w:val="en"/>
              </w:rPr>
              <w:t>≤0.04+1.45kW</w:t>
            </w:r>
          </w:p>
        </w:tc>
        <w:tc>
          <w:tcPr>
            <w:tcW w:w="495" w:type="pct"/>
          </w:tcPr>
          <w:p>
            <w:pPr>
              <w:widowControl/>
              <w:autoSpaceDE w:val="0"/>
              <w:autoSpaceDN w:val="0"/>
              <w:jc w:val="center"/>
              <w:textAlignment w:val="bottom"/>
              <w:rPr>
                <w:rFonts w:hAnsi="宋体"/>
                <w:spacing w:val="15"/>
                <w:sz w:val="21"/>
                <w:szCs w:val="21"/>
              </w:rPr>
            </w:pPr>
          </w:p>
        </w:tc>
        <w:tc>
          <w:tcPr>
            <w:tcW w:w="310" w:type="pct"/>
            <w:vAlign w:val="center"/>
          </w:tcPr>
          <w:p>
            <w:pPr>
              <w:spacing w:before="100" w:after="100" w:line="200" w:lineRule="exact"/>
              <w:jc w:val="center"/>
              <w:rPr>
                <w:rFonts w:ascii="宋体" w:hAnsi="宋体" w:eastAsia="仿宋" w:cs="宋体"/>
                <w:color w:val="000000" w:themeColor="text1"/>
                <w:sz w:val="21"/>
                <w:szCs w:val="21"/>
                <w:lang w:val="en-US" w:eastAsia="en-US" w:bidi="ar-SA"/>
                <w14:textFill>
                  <w14:solidFill>
                    <w14:schemeClr w14:val="tx1"/>
                  </w14:solidFill>
                </w14:textFill>
              </w:rPr>
            </w:pPr>
            <w:r>
              <w:rPr>
                <w:rFonts w:eastAsia="仿宋"/>
                <w:color w:val="000000" w:themeColor="text1"/>
                <w:sz w:val="21"/>
                <w:szCs w:val="21"/>
                <w14:textFill>
                  <w14:solidFill>
                    <w14:schemeClr w14:val="tx1"/>
                  </w14:solidFill>
                </w14:textFill>
              </w:rPr>
              <w:t>台</w:t>
            </w:r>
          </w:p>
        </w:tc>
        <w:tc>
          <w:tcPr>
            <w:tcW w:w="311" w:type="pct"/>
            <w:vAlign w:val="center"/>
          </w:tcPr>
          <w:p>
            <w:pPr>
              <w:spacing w:before="100" w:after="100" w:line="200" w:lineRule="exact"/>
              <w:jc w:val="center"/>
              <w:rPr>
                <w:rFonts w:hint="default" w:ascii="宋体" w:hAnsi="宋体" w:eastAsia="仿宋" w:cs="宋体"/>
                <w:color w:val="000000" w:themeColor="text1"/>
                <w:sz w:val="21"/>
                <w:szCs w:val="21"/>
                <w:lang w:val="en-US" w:eastAsia="zh-CN" w:bidi="ar-SA"/>
                <w14:textFill>
                  <w14:solidFill>
                    <w14:schemeClr w14:val="tx1"/>
                  </w14:solidFill>
                </w14:textFill>
              </w:rPr>
            </w:pPr>
            <w:r>
              <w:rPr>
                <w:rFonts w:hint="eastAsia" w:eastAsia="仿宋"/>
                <w:color w:val="000000" w:themeColor="text1"/>
                <w:sz w:val="21"/>
                <w:szCs w:val="21"/>
                <w14:textFill>
                  <w14:solidFill>
                    <w14:schemeClr w14:val="tx1"/>
                  </w14:solidFill>
                </w14:textFill>
              </w:rPr>
              <w:t>21</w:t>
            </w:r>
          </w:p>
        </w:tc>
        <w:tc>
          <w:tcPr>
            <w:tcW w:w="473" w:type="pct"/>
          </w:tcPr>
          <w:p>
            <w:pPr>
              <w:widowControl/>
              <w:autoSpaceDE w:val="0"/>
              <w:autoSpaceDN w:val="0"/>
              <w:jc w:val="center"/>
              <w:textAlignment w:val="bottom"/>
              <w:rPr>
                <w:spacing w:val="15"/>
                <w:sz w:val="21"/>
                <w:szCs w:val="21"/>
              </w:rPr>
            </w:pPr>
          </w:p>
        </w:tc>
        <w:tc>
          <w:tcPr>
            <w:tcW w:w="487" w:type="pct"/>
          </w:tcPr>
          <w:p>
            <w:pPr>
              <w:widowControl/>
              <w:autoSpaceDE w:val="0"/>
              <w:autoSpaceDN w:val="0"/>
              <w:jc w:val="center"/>
              <w:textAlignment w:val="bottom"/>
              <w:rPr>
                <w:spacing w:val="15"/>
                <w:sz w:val="21"/>
                <w:szCs w:val="21"/>
              </w:rPr>
            </w:pPr>
          </w:p>
        </w:tc>
        <w:tc>
          <w:tcPr>
            <w:tcW w:w="457" w:type="pct"/>
          </w:tcPr>
          <w:p>
            <w:pPr>
              <w:widowControl/>
              <w:autoSpaceDE w:val="0"/>
              <w:autoSpaceDN w:val="0"/>
              <w:jc w:val="center"/>
              <w:textAlignment w:val="bottom"/>
              <w:rPr>
                <w:spacing w:val="15"/>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numPr>
                <w:ilvl w:val="0"/>
                <w:numId w:val="4"/>
              </w:numPr>
              <w:adjustRightInd w:val="0"/>
              <w:spacing w:line="300" w:lineRule="auto"/>
              <w:ind w:left="420" w:leftChars="0" w:hanging="420" w:firstLineChars="0"/>
              <w:jc w:val="center"/>
              <w:textAlignment w:val="baseline"/>
              <w:rPr>
                <w:rFonts w:hint="eastAsia" w:hAnsi="宋体" w:eastAsia="宋体"/>
                <w:spacing w:val="15"/>
                <w:sz w:val="21"/>
                <w:szCs w:val="21"/>
                <w:lang w:eastAsia="zh-CN"/>
              </w:rPr>
            </w:pPr>
          </w:p>
        </w:tc>
        <w:tc>
          <w:tcPr>
            <w:tcW w:w="1068" w:type="pct"/>
            <w:vAlign w:val="center"/>
          </w:tcPr>
          <w:p>
            <w:pPr>
              <w:pStyle w:val="135"/>
              <w:spacing w:before="100" w:after="100" w:line="240" w:lineRule="auto"/>
              <w:jc w:val="both"/>
              <w:rPr>
                <w:rFonts w:ascii="华文细黑" w:hAnsi="华文细黑" w:eastAsia="仿宋" w:cs="Times New Roman"/>
                <w:color w:val="000000" w:themeColor="text1"/>
                <w:sz w:val="21"/>
                <w:szCs w:val="21"/>
                <w:lang w:val="en-US" w:eastAsia="zh-CN" w:bidi="ar-SA"/>
                <w14:textFill>
                  <w14:solidFill>
                    <w14:schemeClr w14:val="tx1"/>
                  </w14:solidFill>
                </w14:textFill>
              </w:rPr>
            </w:pPr>
            <w:r>
              <w:rPr>
                <w:rFonts w:eastAsia="仿宋"/>
                <w:color w:val="000000" w:themeColor="text1"/>
                <w:sz w:val="21"/>
                <w:szCs w:val="21"/>
                <w14:textFill>
                  <w14:solidFill>
                    <w14:schemeClr w14:val="tx1"/>
                  </w14:solidFill>
                </w14:textFill>
              </w:rPr>
              <w:t>防爆型风冷分体空调机</w:t>
            </w:r>
          </w:p>
        </w:tc>
        <w:tc>
          <w:tcPr>
            <w:tcW w:w="921" w:type="pct"/>
            <w:vAlign w:val="center"/>
          </w:tcPr>
          <w:p>
            <w:pPr>
              <w:spacing w:before="40" w:after="40"/>
              <w:rPr>
                <w:rFonts w:hint="eastAsia" w:ascii="宋体" w:hAnsi="宋体" w:eastAsia="宋体" w:cs="宋体"/>
                <w:color w:val="000000" w:themeColor="text1"/>
                <w:sz w:val="21"/>
                <w:szCs w:val="21"/>
                <w:lang w:val="en-US" w:eastAsia="en-US"/>
                <w14:textFill>
                  <w14:solidFill>
                    <w14:schemeClr w14:val="tx1"/>
                  </w14:solidFill>
                </w14:textFill>
              </w:rPr>
            </w:pPr>
            <w:r>
              <w:rPr>
                <w:rStyle w:val="197"/>
                <w:rFonts w:hint="eastAsia" w:ascii="宋体" w:hAnsi="宋体" w:eastAsia="宋体" w:cs="宋体"/>
                <w:sz w:val="21"/>
                <w:szCs w:val="21"/>
                <w:lang w:val="en"/>
              </w:rPr>
              <w:t>Q=14kW     N≤6kW 380V</w:t>
            </w:r>
            <w:r>
              <w:rPr>
                <w:rFonts w:hint="eastAsia" w:ascii="宋体" w:hAnsi="宋体" w:eastAsia="宋体" w:cs="宋体"/>
                <w:color w:val="000000" w:themeColor="text1"/>
                <w:sz w:val="21"/>
                <w:szCs w:val="21"/>
                <w14:textFill>
                  <w14:solidFill>
                    <w14:schemeClr w14:val="tx1"/>
                  </w14:solidFill>
                </w14:textFill>
              </w:rPr>
              <w:t xml:space="preserve"> </w:t>
            </w:r>
          </w:p>
        </w:tc>
        <w:tc>
          <w:tcPr>
            <w:tcW w:w="495" w:type="pct"/>
          </w:tcPr>
          <w:p>
            <w:pPr>
              <w:widowControl/>
              <w:autoSpaceDE w:val="0"/>
              <w:autoSpaceDN w:val="0"/>
              <w:jc w:val="center"/>
              <w:textAlignment w:val="bottom"/>
              <w:rPr>
                <w:rFonts w:hAnsi="宋体"/>
                <w:spacing w:val="15"/>
                <w:sz w:val="21"/>
                <w:szCs w:val="21"/>
              </w:rPr>
            </w:pPr>
          </w:p>
        </w:tc>
        <w:tc>
          <w:tcPr>
            <w:tcW w:w="310" w:type="pct"/>
            <w:vAlign w:val="center"/>
          </w:tcPr>
          <w:p>
            <w:pPr>
              <w:spacing w:before="100" w:after="100" w:line="200" w:lineRule="exact"/>
              <w:jc w:val="center"/>
              <w:rPr>
                <w:rFonts w:ascii="宋体" w:hAnsi="宋体" w:eastAsia="仿宋" w:cs="宋体"/>
                <w:color w:val="000000" w:themeColor="text1"/>
                <w:sz w:val="21"/>
                <w:szCs w:val="21"/>
                <w:lang w:val="en-US" w:eastAsia="en-US" w:bidi="ar-SA"/>
                <w14:textFill>
                  <w14:solidFill>
                    <w14:schemeClr w14:val="tx1"/>
                  </w14:solidFill>
                </w14:textFill>
              </w:rPr>
            </w:pPr>
            <w:r>
              <w:rPr>
                <w:rFonts w:eastAsia="仿宋"/>
                <w:color w:val="000000" w:themeColor="text1"/>
                <w:sz w:val="21"/>
                <w:szCs w:val="21"/>
                <w14:textFill>
                  <w14:solidFill>
                    <w14:schemeClr w14:val="tx1"/>
                  </w14:solidFill>
                </w14:textFill>
              </w:rPr>
              <w:t>台</w:t>
            </w:r>
          </w:p>
        </w:tc>
        <w:tc>
          <w:tcPr>
            <w:tcW w:w="311" w:type="pct"/>
            <w:vAlign w:val="center"/>
          </w:tcPr>
          <w:p>
            <w:pPr>
              <w:spacing w:before="100" w:after="100" w:line="200" w:lineRule="exact"/>
              <w:jc w:val="center"/>
              <w:rPr>
                <w:rFonts w:ascii="宋体" w:hAnsi="宋体" w:eastAsia="仿宋" w:cs="宋体"/>
                <w:color w:val="000000" w:themeColor="text1"/>
                <w:sz w:val="21"/>
                <w:szCs w:val="21"/>
                <w:lang w:val="en-US" w:eastAsia="en-US" w:bidi="ar-SA"/>
                <w14:textFill>
                  <w14:solidFill>
                    <w14:schemeClr w14:val="tx1"/>
                  </w14:solidFill>
                </w14:textFill>
              </w:rPr>
            </w:pPr>
            <w:r>
              <w:rPr>
                <w:rFonts w:eastAsia="仿宋"/>
                <w:color w:val="000000" w:themeColor="text1"/>
                <w:sz w:val="21"/>
                <w:szCs w:val="21"/>
                <w14:textFill>
                  <w14:solidFill>
                    <w14:schemeClr w14:val="tx1"/>
                  </w14:solidFill>
                </w14:textFill>
              </w:rPr>
              <w:t>2</w:t>
            </w:r>
          </w:p>
        </w:tc>
        <w:tc>
          <w:tcPr>
            <w:tcW w:w="473" w:type="pct"/>
          </w:tcPr>
          <w:p>
            <w:pPr>
              <w:widowControl/>
              <w:autoSpaceDE w:val="0"/>
              <w:autoSpaceDN w:val="0"/>
              <w:jc w:val="center"/>
              <w:textAlignment w:val="bottom"/>
              <w:rPr>
                <w:spacing w:val="15"/>
                <w:sz w:val="21"/>
                <w:szCs w:val="21"/>
              </w:rPr>
            </w:pPr>
          </w:p>
        </w:tc>
        <w:tc>
          <w:tcPr>
            <w:tcW w:w="487" w:type="pct"/>
          </w:tcPr>
          <w:p>
            <w:pPr>
              <w:widowControl/>
              <w:autoSpaceDE w:val="0"/>
              <w:autoSpaceDN w:val="0"/>
              <w:jc w:val="center"/>
              <w:textAlignment w:val="bottom"/>
              <w:rPr>
                <w:spacing w:val="15"/>
                <w:sz w:val="21"/>
                <w:szCs w:val="21"/>
              </w:rPr>
            </w:pPr>
          </w:p>
        </w:tc>
        <w:tc>
          <w:tcPr>
            <w:tcW w:w="457" w:type="pct"/>
          </w:tcPr>
          <w:p>
            <w:pPr>
              <w:widowControl/>
              <w:autoSpaceDE w:val="0"/>
              <w:autoSpaceDN w:val="0"/>
              <w:jc w:val="center"/>
              <w:textAlignment w:val="bottom"/>
              <w:rPr>
                <w:spacing w:val="15"/>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numPr>
                <w:ilvl w:val="0"/>
                <w:numId w:val="4"/>
              </w:numPr>
              <w:adjustRightInd w:val="0"/>
              <w:spacing w:line="300" w:lineRule="auto"/>
              <w:ind w:left="420" w:leftChars="0" w:hanging="420" w:firstLineChars="0"/>
              <w:jc w:val="center"/>
              <w:textAlignment w:val="baseline"/>
              <w:rPr>
                <w:rFonts w:hint="eastAsia" w:hAnsi="宋体" w:eastAsia="宋体"/>
                <w:spacing w:val="15"/>
                <w:sz w:val="21"/>
                <w:szCs w:val="21"/>
                <w:lang w:eastAsia="zh-CN"/>
              </w:rPr>
            </w:pPr>
          </w:p>
        </w:tc>
        <w:tc>
          <w:tcPr>
            <w:tcW w:w="1068" w:type="pct"/>
            <w:vAlign w:val="center"/>
          </w:tcPr>
          <w:p>
            <w:pPr>
              <w:pStyle w:val="135"/>
              <w:spacing w:before="100" w:after="100" w:line="240" w:lineRule="auto"/>
              <w:jc w:val="both"/>
              <w:rPr>
                <w:rFonts w:ascii="华文细黑" w:hAnsi="华文细黑" w:eastAsia="仿宋" w:cs="Times New Roman"/>
                <w:color w:val="000000" w:themeColor="text1"/>
                <w:sz w:val="21"/>
                <w:szCs w:val="21"/>
                <w:lang w:val="en-US" w:eastAsia="zh-CN" w:bidi="ar-SA"/>
                <w14:textFill>
                  <w14:solidFill>
                    <w14:schemeClr w14:val="tx1"/>
                  </w14:solidFill>
                </w14:textFill>
              </w:rPr>
            </w:pPr>
            <w:r>
              <w:rPr>
                <w:rFonts w:eastAsia="仿宋"/>
                <w:color w:val="000000" w:themeColor="text1"/>
                <w:sz w:val="21"/>
                <w:szCs w:val="21"/>
                <w14:textFill>
                  <w14:solidFill>
                    <w14:schemeClr w14:val="tx1"/>
                  </w14:solidFill>
                </w14:textFill>
              </w:rPr>
              <w:t>多联空调室内机有线控制器</w:t>
            </w:r>
          </w:p>
        </w:tc>
        <w:tc>
          <w:tcPr>
            <w:tcW w:w="921" w:type="pct"/>
            <w:vAlign w:val="center"/>
          </w:tcPr>
          <w:p>
            <w:pPr>
              <w:spacing w:before="40" w:after="40"/>
              <w:rPr>
                <w:rFonts w:hint="eastAsia" w:ascii="宋体" w:hAnsi="宋体" w:eastAsia="宋体" w:cs="宋体"/>
                <w:color w:val="000000" w:themeColor="text1"/>
                <w:sz w:val="21"/>
                <w:szCs w:val="21"/>
                <w:lang w:val="en-US" w:eastAsia="en-US"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与机组配套</w:t>
            </w:r>
          </w:p>
        </w:tc>
        <w:tc>
          <w:tcPr>
            <w:tcW w:w="495" w:type="pct"/>
          </w:tcPr>
          <w:p>
            <w:pPr>
              <w:widowControl/>
              <w:autoSpaceDE w:val="0"/>
              <w:autoSpaceDN w:val="0"/>
              <w:jc w:val="center"/>
              <w:textAlignment w:val="bottom"/>
              <w:rPr>
                <w:rFonts w:hAnsi="宋体"/>
                <w:spacing w:val="15"/>
                <w:sz w:val="21"/>
                <w:szCs w:val="21"/>
              </w:rPr>
            </w:pPr>
          </w:p>
        </w:tc>
        <w:tc>
          <w:tcPr>
            <w:tcW w:w="310" w:type="pct"/>
            <w:vAlign w:val="center"/>
          </w:tcPr>
          <w:p>
            <w:pPr>
              <w:spacing w:before="100" w:after="100" w:line="200" w:lineRule="exact"/>
              <w:jc w:val="center"/>
              <w:rPr>
                <w:rFonts w:hint="default" w:ascii="宋体" w:hAnsi="宋体" w:eastAsia="仿宋" w:cs="宋体"/>
                <w:color w:val="000000" w:themeColor="text1"/>
                <w:sz w:val="21"/>
                <w:szCs w:val="21"/>
                <w:lang w:val="en-US" w:eastAsia="zh-CN" w:bidi="ar-SA"/>
                <w14:textFill>
                  <w14:solidFill>
                    <w14:schemeClr w14:val="tx1"/>
                  </w14:solidFill>
                </w14:textFill>
              </w:rPr>
            </w:pPr>
            <w:r>
              <w:rPr>
                <w:rFonts w:eastAsia="仿宋"/>
                <w:color w:val="000000" w:themeColor="text1"/>
                <w:sz w:val="21"/>
                <w:szCs w:val="21"/>
                <w14:textFill>
                  <w14:solidFill>
                    <w14:schemeClr w14:val="tx1"/>
                  </w14:solidFill>
                </w14:textFill>
              </w:rPr>
              <w:t>台</w:t>
            </w:r>
          </w:p>
        </w:tc>
        <w:tc>
          <w:tcPr>
            <w:tcW w:w="311" w:type="pct"/>
            <w:vAlign w:val="center"/>
          </w:tcPr>
          <w:p>
            <w:pPr>
              <w:spacing w:before="100" w:after="100" w:line="200" w:lineRule="exact"/>
              <w:jc w:val="center"/>
              <w:rPr>
                <w:rFonts w:hint="default" w:ascii="宋体" w:hAnsi="宋体" w:eastAsia="仿宋" w:cs="宋体"/>
                <w:color w:val="000000" w:themeColor="text1"/>
                <w:sz w:val="21"/>
                <w:szCs w:val="21"/>
                <w:lang w:val="en-US" w:eastAsia="zh-CN" w:bidi="ar-SA"/>
                <w14:textFill>
                  <w14:solidFill>
                    <w14:schemeClr w14:val="tx1"/>
                  </w14:solidFill>
                </w14:textFill>
              </w:rPr>
            </w:pPr>
            <w:r>
              <w:rPr>
                <w:rFonts w:eastAsia="仿宋"/>
                <w:color w:val="000000" w:themeColor="text1"/>
                <w:sz w:val="21"/>
                <w:szCs w:val="21"/>
                <w14:textFill>
                  <w14:solidFill>
                    <w14:schemeClr w14:val="tx1"/>
                  </w14:solidFill>
                </w14:textFill>
              </w:rPr>
              <w:t>2</w:t>
            </w:r>
          </w:p>
        </w:tc>
        <w:tc>
          <w:tcPr>
            <w:tcW w:w="473" w:type="pct"/>
          </w:tcPr>
          <w:p>
            <w:pPr>
              <w:widowControl/>
              <w:autoSpaceDE w:val="0"/>
              <w:autoSpaceDN w:val="0"/>
              <w:jc w:val="center"/>
              <w:textAlignment w:val="bottom"/>
              <w:rPr>
                <w:spacing w:val="15"/>
                <w:sz w:val="21"/>
                <w:szCs w:val="21"/>
              </w:rPr>
            </w:pPr>
          </w:p>
        </w:tc>
        <w:tc>
          <w:tcPr>
            <w:tcW w:w="487" w:type="pct"/>
          </w:tcPr>
          <w:p>
            <w:pPr>
              <w:widowControl/>
              <w:autoSpaceDE w:val="0"/>
              <w:autoSpaceDN w:val="0"/>
              <w:jc w:val="center"/>
              <w:textAlignment w:val="bottom"/>
              <w:rPr>
                <w:spacing w:val="15"/>
                <w:sz w:val="21"/>
                <w:szCs w:val="21"/>
              </w:rPr>
            </w:pPr>
          </w:p>
        </w:tc>
        <w:tc>
          <w:tcPr>
            <w:tcW w:w="457" w:type="pct"/>
          </w:tcPr>
          <w:p>
            <w:pPr>
              <w:widowControl/>
              <w:autoSpaceDE w:val="0"/>
              <w:autoSpaceDN w:val="0"/>
              <w:jc w:val="center"/>
              <w:textAlignment w:val="bottom"/>
              <w:rPr>
                <w:spacing w:val="15"/>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numPr>
                <w:ilvl w:val="0"/>
                <w:numId w:val="4"/>
              </w:numPr>
              <w:adjustRightInd w:val="0"/>
              <w:spacing w:line="300" w:lineRule="auto"/>
              <w:ind w:left="420" w:leftChars="0" w:hanging="420" w:firstLineChars="0"/>
              <w:jc w:val="center"/>
              <w:textAlignment w:val="baseline"/>
              <w:rPr>
                <w:rFonts w:hint="eastAsia" w:hAnsi="宋体" w:eastAsia="宋体"/>
                <w:spacing w:val="15"/>
                <w:sz w:val="21"/>
                <w:szCs w:val="21"/>
                <w:lang w:eastAsia="zh-CN"/>
              </w:rPr>
            </w:pPr>
          </w:p>
        </w:tc>
        <w:tc>
          <w:tcPr>
            <w:tcW w:w="1068" w:type="pct"/>
            <w:vAlign w:val="center"/>
          </w:tcPr>
          <w:p>
            <w:pPr>
              <w:pStyle w:val="135"/>
              <w:spacing w:before="100" w:after="100" w:line="240" w:lineRule="auto"/>
              <w:jc w:val="both"/>
              <w:rPr>
                <w:rFonts w:ascii="华文细黑" w:hAnsi="华文细黑" w:eastAsia="仿宋" w:cs="Times New Roman"/>
                <w:color w:val="000000" w:themeColor="text1"/>
                <w:sz w:val="21"/>
                <w:szCs w:val="21"/>
                <w:lang w:val="en-US" w:eastAsia="zh-CN" w:bidi="ar-SA"/>
                <w14:textFill>
                  <w14:solidFill>
                    <w14:schemeClr w14:val="tx1"/>
                  </w14:solidFill>
                </w14:textFill>
              </w:rPr>
            </w:pPr>
            <w:bookmarkStart w:id="784" w:name="_Toc404807887"/>
            <w:bookmarkEnd w:id="784"/>
            <w:r>
              <w:rPr>
                <w:rFonts w:eastAsia="仿宋"/>
                <w:color w:val="000000" w:themeColor="text1"/>
                <w:sz w:val="21"/>
                <w:szCs w:val="21"/>
                <w14:textFill>
                  <w14:solidFill>
                    <w14:schemeClr w14:val="tx1"/>
                  </w14:solidFill>
                </w14:textFill>
              </w:rPr>
              <w:t>多联空调室内机有线</w:t>
            </w:r>
            <w:r>
              <w:rPr>
                <w:rFonts w:hint="eastAsia" w:eastAsia="仿宋"/>
                <w:color w:val="000000" w:themeColor="text1"/>
                <w:sz w:val="21"/>
                <w:szCs w:val="21"/>
                <w14:textFill>
                  <w14:solidFill>
                    <w14:schemeClr w14:val="tx1"/>
                  </w14:solidFill>
                </w14:textFill>
              </w:rPr>
              <w:t>集</w:t>
            </w:r>
            <w:r>
              <w:rPr>
                <w:rFonts w:eastAsia="仿宋"/>
                <w:color w:val="000000" w:themeColor="text1"/>
                <w:sz w:val="21"/>
                <w:szCs w:val="21"/>
                <w14:textFill>
                  <w14:solidFill>
                    <w14:schemeClr w14:val="tx1"/>
                  </w14:solidFill>
                </w14:textFill>
              </w:rPr>
              <w:t>控器</w:t>
            </w:r>
          </w:p>
        </w:tc>
        <w:tc>
          <w:tcPr>
            <w:tcW w:w="921" w:type="pct"/>
            <w:vAlign w:val="center"/>
          </w:tcPr>
          <w:p>
            <w:pPr>
              <w:spacing w:before="40" w:after="40"/>
              <w:rPr>
                <w:rFonts w:hint="eastAsia" w:ascii="宋体" w:hAnsi="宋体" w:eastAsia="宋体" w:cs="宋体"/>
                <w:color w:val="000000" w:themeColor="text1"/>
                <w:sz w:val="21"/>
                <w:szCs w:val="21"/>
                <w:lang w:val="en-US" w:eastAsia="en-US"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与机组配套</w:t>
            </w:r>
          </w:p>
        </w:tc>
        <w:tc>
          <w:tcPr>
            <w:tcW w:w="495" w:type="pct"/>
            <w:vAlign w:val="center"/>
          </w:tcPr>
          <w:p>
            <w:pPr>
              <w:adjustRightInd w:val="0"/>
              <w:spacing w:before="60" w:after="60"/>
              <w:textAlignment w:val="baseline"/>
              <w:rPr>
                <w:rFonts w:ascii="宋体" w:hAnsi="宋体"/>
                <w:b/>
                <w:bCs/>
                <w:color w:val="000000"/>
                <w:sz w:val="21"/>
                <w:szCs w:val="21"/>
              </w:rPr>
            </w:pPr>
          </w:p>
        </w:tc>
        <w:tc>
          <w:tcPr>
            <w:tcW w:w="310" w:type="pct"/>
            <w:vAlign w:val="center"/>
          </w:tcPr>
          <w:p>
            <w:pPr>
              <w:spacing w:before="100" w:after="100" w:line="200" w:lineRule="exact"/>
              <w:jc w:val="center"/>
              <w:rPr>
                <w:rFonts w:ascii="宋体" w:hAnsi="宋体" w:eastAsia="仿宋" w:cs="宋体"/>
                <w:color w:val="000000" w:themeColor="text1"/>
                <w:sz w:val="21"/>
                <w:szCs w:val="21"/>
                <w:lang w:val="en-US" w:eastAsia="en-US" w:bidi="ar-SA"/>
                <w14:textFill>
                  <w14:solidFill>
                    <w14:schemeClr w14:val="tx1"/>
                  </w14:solidFill>
                </w14:textFill>
              </w:rPr>
            </w:pPr>
            <w:r>
              <w:rPr>
                <w:rFonts w:eastAsia="仿宋"/>
                <w:color w:val="000000" w:themeColor="text1"/>
                <w:sz w:val="21"/>
                <w:szCs w:val="21"/>
                <w14:textFill>
                  <w14:solidFill>
                    <w14:schemeClr w14:val="tx1"/>
                  </w14:solidFill>
                </w14:textFill>
              </w:rPr>
              <w:t>台</w:t>
            </w:r>
          </w:p>
        </w:tc>
        <w:tc>
          <w:tcPr>
            <w:tcW w:w="311" w:type="pct"/>
            <w:vAlign w:val="center"/>
          </w:tcPr>
          <w:p>
            <w:pPr>
              <w:spacing w:before="100" w:after="100" w:line="200" w:lineRule="exact"/>
              <w:jc w:val="center"/>
              <w:rPr>
                <w:rFonts w:ascii="宋体" w:hAnsi="宋体" w:eastAsia="仿宋" w:cs="宋体"/>
                <w:color w:val="000000" w:themeColor="text1"/>
                <w:sz w:val="21"/>
                <w:szCs w:val="21"/>
                <w:lang w:val="en-US" w:eastAsia="en-US" w:bidi="ar-SA"/>
                <w14:textFill>
                  <w14:solidFill>
                    <w14:schemeClr w14:val="tx1"/>
                  </w14:solidFill>
                </w14:textFill>
              </w:rPr>
            </w:pPr>
            <w:r>
              <w:rPr>
                <w:rFonts w:eastAsia="仿宋"/>
                <w:color w:val="000000" w:themeColor="text1"/>
                <w:sz w:val="21"/>
                <w:szCs w:val="21"/>
                <w14:textFill>
                  <w14:solidFill>
                    <w14:schemeClr w14:val="tx1"/>
                  </w14:solidFill>
                </w14:textFill>
              </w:rPr>
              <w:t>6</w:t>
            </w:r>
          </w:p>
        </w:tc>
        <w:tc>
          <w:tcPr>
            <w:tcW w:w="473" w:type="pct"/>
          </w:tcPr>
          <w:p>
            <w:pPr>
              <w:widowControl/>
              <w:autoSpaceDE w:val="0"/>
              <w:autoSpaceDN w:val="0"/>
              <w:jc w:val="center"/>
              <w:textAlignment w:val="bottom"/>
              <w:rPr>
                <w:spacing w:val="15"/>
                <w:sz w:val="21"/>
                <w:szCs w:val="21"/>
              </w:rPr>
            </w:pPr>
          </w:p>
        </w:tc>
        <w:tc>
          <w:tcPr>
            <w:tcW w:w="487" w:type="pct"/>
          </w:tcPr>
          <w:p>
            <w:pPr>
              <w:widowControl/>
              <w:autoSpaceDE w:val="0"/>
              <w:autoSpaceDN w:val="0"/>
              <w:jc w:val="center"/>
              <w:textAlignment w:val="bottom"/>
              <w:rPr>
                <w:spacing w:val="15"/>
                <w:sz w:val="21"/>
                <w:szCs w:val="21"/>
              </w:rPr>
            </w:pPr>
          </w:p>
        </w:tc>
        <w:tc>
          <w:tcPr>
            <w:tcW w:w="457" w:type="pct"/>
          </w:tcPr>
          <w:p>
            <w:pPr>
              <w:widowControl/>
              <w:autoSpaceDE w:val="0"/>
              <w:autoSpaceDN w:val="0"/>
              <w:jc w:val="center"/>
              <w:textAlignment w:val="bottom"/>
              <w:rPr>
                <w:spacing w:val="15"/>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numPr>
                <w:ilvl w:val="0"/>
                <w:numId w:val="4"/>
              </w:numPr>
              <w:adjustRightInd w:val="0"/>
              <w:spacing w:line="300" w:lineRule="auto"/>
              <w:ind w:left="420" w:leftChars="0" w:hanging="420" w:firstLineChars="0"/>
              <w:jc w:val="center"/>
              <w:textAlignment w:val="baseline"/>
              <w:rPr>
                <w:rFonts w:hint="default" w:hAnsi="宋体" w:eastAsia="宋体"/>
                <w:color w:val="auto"/>
                <w:spacing w:val="15"/>
                <w:sz w:val="21"/>
                <w:szCs w:val="21"/>
                <w:lang w:val="en-US" w:eastAsia="zh-CN"/>
              </w:rPr>
            </w:pPr>
          </w:p>
        </w:tc>
        <w:tc>
          <w:tcPr>
            <w:tcW w:w="1068" w:type="pct"/>
            <w:vAlign w:val="center"/>
          </w:tcPr>
          <w:p>
            <w:pPr>
              <w:spacing w:line="300" w:lineRule="auto"/>
              <w:ind w:left="1" w:leftChars="-6" w:hanging="14" w:hangingChars="7"/>
              <w:rPr>
                <w:rFonts w:ascii="仿宋" w:hAnsi="仿宋" w:eastAsia="仿宋" w:cs="Times New Roman"/>
                <w:color w:val="auto"/>
                <w:sz w:val="21"/>
                <w:szCs w:val="21"/>
                <w:lang w:val="en-US" w:eastAsia="zh-CN" w:bidi="ar-SA"/>
              </w:rPr>
            </w:pPr>
            <w:r>
              <w:rPr>
                <w:rFonts w:hint="eastAsia" w:ascii="仿宋" w:hAnsi="仿宋" w:eastAsia="仿宋"/>
                <w:sz w:val="21"/>
                <w:szCs w:val="21"/>
              </w:rPr>
              <w:t>低温型</w:t>
            </w:r>
            <w:r>
              <w:rPr>
                <w:rFonts w:hint="eastAsia" w:ascii="仿宋" w:hAnsi="仿宋" w:eastAsia="仿宋"/>
                <w:color w:val="000000" w:themeColor="text1"/>
                <w:sz w:val="21"/>
                <w:szCs w:val="21"/>
                <w14:textFill>
                  <w14:solidFill>
                    <w14:schemeClr w14:val="tx1"/>
                  </w14:solidFill>
                </w14:textFill>
              </w:rPr>
              <w:t>工业</w:t>
            </w:r>
            <w:r>
              <w:rPr>
                <w:rFonts w:ascii="仿宋" w:hAnsi="仿宋" w:eastAsia="仿宋"/>
                <w:sz w:val="21"/>
                <w:szCs w:val="21"/>
              </w:rPr>
              <w:t>除湿机（移动型、前出风）(含插座面板及电缆收放装置）</w:t>
            </w:r>
          </w:p>
        </w:tc>
        <w:tc>
          <w:tcPr>
            <w:tcW w:w="921" w:type="pct"/>
            <w:vAlign w:val="center"/>
          </w:tcPr>
          <w:p>
            <w:pPr>
              <w:spacing w:before="40" w:after="40"/>
              <w:rPr>
                <w:rFonts w:hint="eastAsia" w:ascii="宋体" w:hAnsi="宋体" w:eastAsia="宋体" w:cs="宋体"/>
                <w:color w:val="auto"/>
                <w:sz w:val="21"/>
                <w:szCs w:val="21"/>
                <w:lang w:val="en-US" w:eastAsia="en-US" w:bidi="ar-SA"/>
              </w:rPr>
            </w:pPr>
            <w:r>
              <w:rPr>
                <w:rStyle w:val="197"/>
                <w:rFonts w:hint="eastAsia" w:ascii="宋体" w:hAnsi="宋体" w:eastAsia="宋体" w:cs="宋体"/>
                <w:sz w:val="21"/>
                <w:szCs w:val="21"/>
                <w:lang w:val="en"/>
              </w:rPr>
              <w:t>型号：HMFC10；风量：3000 m</w:t>
            </w:r>
            <w:r>
              <w:rPr>
                <w:rStyle w:val="198"/>
                <w:rFonts w:hint="eastAsia" w:ascii="宋体" w:hAnsi="宋体" w:eastAsia="宋体" w:cs="宋体"/>
                <w:sz w:val="21"/>
                <w:szCs w:val="21"/>
                <w:lang w:val="en"/>
              </w:rPr>
              <w:t>3/h；除湿量：9.5kg/h； 功率：≤4.5 kW</w:t>
            </w:r>
          </w:p>
        </w:tc>
        <w:tc>
          <w:tcPr>
            <w:tcW w:w="495" w:type="pct"/>
          </w:tcPr>
          <w:p>
            <w:pPr>
              <w:widowControl/>
              <w:autoSpaceDE w:val="0"/>
              <w:autoSpaceDN w:val="0"/>
              <w:jc w:val="center"/>
              <w:textAlignment w:val="bottom"/>
              <w:rPr>
                <w:rFonts w:hAnsi="宋体"/>
                <w:color w:val="auto"/>
                <w:spacing w:val="15"/>
                <w:sz w:val="21"/>
                <w:szCs w:val="21"/>
              </w:rPr>
            </w:pPr>
          </w:p>
        </w:tc>
        <w:tc>
          <w:tcPr>
            <w:tcW w:w="310" w:type="pct"/>
            <w:vAlign w:val="center"/>
          </w:tcPr>
          <w:p>
            <w:pPr>
              <w:spacing w:before="100" w:after="100" w:line="200" w:lineRule="exact"/>
              <w:jc w:val="center"/>
              <w:rPr>
                <w:rFonts w:ascii="仿宋" w:hAnsi="仿宋" w:eastAsia="仿宋" w:cs="宋体"/>
                <w:color w:val="auto"/>
                <w:sz w:val="21"/>
                <w:szCs w:val="21"/>
                <w:lang w:val="en-US" w:eastAsia="en-US" w:bidi="ar-SA"/>
              </w:rPr>
            </w:pPr>
            <w:r>
              <w:rPr>
                <w:rFonts w:ascii="仿宋" w:hAnsi="仿宋" w:eastAsia="仿宋"/>
                <w:sz w:val="21"/>
                <w:szCs w:val="21"/>
              </w:rPr>
              <w:t>台</w:t>
            </w:r>
          </w:p>
        </w:tc>
        <w:tc>
          <w:tcPr>
            <w:tcW w:w="311" w:type="pct"/>
            <w:vAlign w:val="center"/>
          </w:tcPr>
          <w:p>
            <w:pPr>
              <w:spacing w:before="100" w:after="100" w:line="200" w:lineRule="exact"/>
              <w:jc w:val="center"/>
              <w:rPr>
                <w:rFonts w:hint="eastAsia" w:ascii="仿宋" w:hAnsi="仿宋" w:eastAsia="仿宋" w:cs="宋体"/>
                <w:color w:val="auto"/>
                <w:sz w:val="21"/>
                <w:szCs w:val="21"/>
                <w:lang w:val="en-US" w:eastAsia="zh-CN" w:bidi="ar-SA"/>
              </w:rPr>
            </w:pPr>
            <w:r>
              <w:rPr>
                <w:rFonts w:ascii="仿宋" w:hAnsi="仿宋" w:eastAsia="仿宋"/>
                <w:sz w:val="21"/>
                <w:szCs w:val="21"/>
              </w:rPr>
              <w:t>3</w:t>
            </w:r>
          </w:p>
        </w:tc>
        <w:tc>
          <w:tcPr>
            <w:tcW w:w="473" w:type="pct"/>
          </w:tcPr>
          <w:p>
            <w:pPr>
              <w:widowControl/>
              <w:autoSpaceDE w:val="0"/>
              <w:autoSpaceDN w:val="0"/>
              <w:jc w:val="center"/>
              <w:textAlignment w:val="bottom"/>
              <w:rPr>
                <w:color w:val="auto"/>
                <w:spacing w:val="15"/>
                <w:sz w:val="21"/>
                <w:szCs w:val="21"/>
              </w:rPr>
            </w:pPr>
          </w:p>
        </w:tc>
        <w:tc>
          <w:tcPr>
            <w:tcW w:w="487" w:type="pct"/>
          </w:tcPr>
          <w:p>
            <w:pPr>
              <w:widowControl/>
              <w:autoSpaceDE w:val="0"/>
              <w:autoSpaceDN w:val="0"/>
              <w:jc w:val="center"/>
              <w:textAlignment w:val="bottom"/>
              <w:rPr>
                <w:color w:val="auto"/>
                <w:spacing w:val="15"/>
                <w:sz w:val="21"/>
                <w:szCs w:val="21"/>
              </w:rPr>
            </w:pPr>
          </w:p>
        </w:tc>
        <w:tc>
          <w:tcPr>
            <w:tcW w:w="457" w:type="pct"/>
          </w:tcPr>
          <w:p>
            <w:pPr>
              <w:widowControl/>
              <w:autoSpaceDE w:val="0"/>
              <w:autoSpaceDN w:val="0"/>
              <w:jc w:val="center"/>
              <w:textAlignment w:val="bottom"/>
              <w:rPr>
                <w:color w:val="auto"/>
                <w:spacing w:val="15"/>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trHeight w:val="1275" w:hRule="atLeast"/>
          <w:jc w:val="center"/>
        </w:trPr>
        <w:tc>
          <w:tcPr>
            <w:tcW w:w="474" w:type="pct"/>
            <w:vAlign w:val="center"/>
          </w:tcPr>
          <w:p>
            <w:pPr>
              <w:widowControl/>
              <w:numPr>
                <w:ilvl w:val="0"/>
                <w:numId w:val="4"/>
              </w:numPr>
              <w:adjustRightInd w:val="0"/>
              <w:spacing w:line="300" w:lineRule="auto"/>
              <w:ind w:left="420" w:leftChars="0" w:hanging="420" w:firstLineChars="0"/>
              <w:jc w:val="center"/>
              <w:textAlignment w:val="baseline"/>
              <w:rPr>
                <w:rFonts w:hint="default" w:hAnsi="宋体" w:eastAsia="宋体"/>
                <w:color w:val="auto"/>
                <w:spacing w:val="15"/>
                <w:sz w:val="21"/>
                <w:szCs w:val="21"/>
                <w:highlight w:val="none"/>
                <w:lang w:val="en-US" w:eastAsia="zh-CN"/>
              </w:rPr>
            </w:pPr>
          </w:p>
        </w:tc>
        <w:tc>
          <w:tcPr>
            <w:tcW w:w="1068" w:type="pct"/>
            <w:vAlign w:val="center"/>
          </w:tcPr>
          <w:p>
            <w:pPr>
              <w:pStyle w:val="135"/>
              <w:spacing w:before="100" w:after="100" w:line="240" w:lineRule="auto"/>
              <w:jc w:val="both"/>
              <w:rPr>
                <w:rFonts w:ascii="仿宋" w:hAnsi="仿宋" w:eastAsia="仿宋" w:cs="Times New Roman"/>
                <w:color w:val="auto"/>
                <w:sz w:val="21"/>
                <w:szCs w:val="21"/>
                <w:highlight w:val="none"/>
                <w:lang w:val="en-US" w:eastAsia="zh-CN" w:bidi="ar-SA"/>
              </w:rPr>
            </w:pPr>
            <w:r>
              <w:rPr>
                <w:rFonts w:hint="eastAsia" w:ascii="仿宋" w:hAnsi="仿宋" w:eastAsia="仿宋"/>
                <w:color w:val="auto"/>
                <w:sz w:val="21"/>
                <w:szCs w:val="21"/>
                <w:highlight w:val="none"/>
              </w:rPr>
              <w:t>分体立柜冷暖空调</w:t>
            </w:r>
          </w:p>
        </w:tc>
        <w:tc>
          <w:tcPr>
            <w:tcW w:w="921" w:type="pct"/>
            <w:vAlign w:val="center"/>
          </w:tcPr>
          <w:p>
            <w:pPr>
              <w:spacing w:before="40" w:after="4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制冷量:6KW,功率:0.8KW，制热量:6.5KW</w:t>
            </w:r>
          </w:p>
        </w:tc>
        <w:tc>
          <w:tcPr>
            <w:tcW w:w="495" w:type="pct"/>
          </w:tcPr>
          <w:p>
            <w:pPr>
              <w:widowControl/>
              <w:autoSpaceDE w:val="0"/>
              <w:autoSpaceDN w:val="0"/>
              <w:jc w:val="center"/>
              <w:textAlignment w:val="bottom"/>
              <w:rPr>
                <w:rFonts w:hAnsi="宋体"/>
                <w:color w:val="auto"/>
                <w:spacing w:val="15"/>
                <w:sz w:val="21"/>
                <w:szCs w:val="21"/>
                <w:highlight w:val="none"/>
              </w:rPr>
            </w:pPr>
          </w:p>
        </w:tc>
        <w:tc>
          <w:tcPr>
            <w:tcW w:w="310" w:type="pct"/>
            <w:vAlign w:val="center"/>
          </w:tcPr>
          <w:p>
            <w:pPr>
              <w:spacing w:before="100" w:after="100" w:line="200" w:lineRule="exact"/>
              <w:jc w:val="center"/>
              <w:rPr>
                <w:rFonts w:ascii="仿宋" w:hAnsi="仿宋" w:eastAsia="仿宋" w:cs="宋体"/>
                <w:color w:val="auto"/>
                <w:sz w:val="21"/>
                <w:szCs w:val="21"/>
                <w:highlight w:val="none"/>
                <w:lang w:val="en-US" w:eastAsia="en-US" w:bidi="ar-SA"/>
              </w:rPr>
            </w:pPr>
            <w:r>
              <w:rPr>
                <w:rFonts w:ascii="仿宋" w:hAnsi="仿宋" w:eastAsia="仿宋"/>
                <w:color w:val="auto"/>
                <w:sz w:val="21"/>
                <w:szCs w:val="21"/>
                <w:highlight w:val="none"/>
              </w:rPr>
              <w:t>台</w:t>
            </w:r>
          </w:p>
        </w:tc>
        <w:tc>
          <w:tcPr>
            <w:tcW w:w="311" w:type="pct"/>
            <w:vAlign w:val="center"/>
          </w:tcPr>
          <w:p>
            <w:pPr>
              <w:spacing w:before="100" w:after="100" w:line="200" w:lineRule="exact"/>
              <w:jc w:val="center"/>
              <w:rPr>
                <w:rFonts w:ascii="仿宋" w:hAnsi="仿宋" w:eastAsia="仿宋" w:cs="宋体"/>
                <w:color w:val="auto"/>
                <w:sz w:val="21"/>
                <w:szCs w:val="21"/>
                <w:highlight w:val="none"/>
                <w:lang w:val="en-US" w:eastAsia="en-US" w:bidi="ar-SA"/>
              </w:rPr>
            </w:pPr>
            <w:r>
              <w:rPr>
                <w:rFonts w:hint="eastAsia" w:ascii="仿宋" w:hAnsi="仿宋" w:eastAsia="仿宋"/>
                <w:color w:val="auto"/>
                <w:sz w:val="21"/>
                <w:szCs w:val="21"/>
                <w:highlight w:val="none"/>
              </w:rPr>
              <w:t>3</w:t>
            </w:r>
          </w:p>
        </w:tc>
        <w:tc>
          <w:tcPr>
            <w:tcW w:w="473" w:type="pct"/>
          </w:tcPr>
          <w:p>
            <w:pPr>
              <w:widowControl/>
              <w:autoSpaceDE w:val="0"/>
              <w:autoSpaceDN w:val="0"/>
              <w:jc w:val="center"/>
              <w:textAlignment w:val="bottom"/>
              <w:rPr>
                <w:color w:val="auto"/>
                <w:spacing w:val="15"/>
                <w:sz w:val="21"/>
                <w:szCs w:val="21"/>
                <w:highlight w:val="none"/>
              </w:rPr>
            </w:pPr>
          </w:p>
        </w:tc>
        <w:tc>
          <w:tcPr>
            <w:tcW w:w="487" w:type="pct"/>
          </w:tcPr>
          <w:p>
            <w:pPr>
              <w:widowControl/>
              <w:autoSpaceDE w:val="0"/>
              <w:autoSpaceDN w:val="0"/>
              <w:jc w:val="center"/>
              <w:textAlignment w:val="bottom"/>
              <w:rPr>
                <w:color w:val="auto"/>
                <w:spacing w:val="15"/>
                <w:sz w:val="21"/>
                <w:szCs w:val="21"/>
                <w:highlight w:val="none"/>
              </w:rPr>
            </w:pPr>
          </w:p>
        </w:tc>
        <w:tc>
          <w:tcPr>
            <w:tcW w:w="457" w:type="pct"/>
          </w:tcPr>
          <w:p>
            <w:pPr>
              <w:widowControl/>
              <w:autoSpaceDE w:val="0"/>
              <w:autoSpaceDN w:val="0"/>
              <w:jc w:val="center"/>
              <w:textAlignment w:val="bottom"/>
              <w:rPr>
                <w:color w:val="auto"/>
                <w:spacing w:val="15"/>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numPr>
                <w:ilvl w:val="0"/>
                <w:numId w:val="4"/>
              </w:numPr>
              <w:adjustRightInd w:val="0"/>
              <w:spacing w:line="300" w:lineRule="auto"/>
              <w:ind w:left="420" w:leftChars="0" w:hanging="420" w:firstLineChars="0"/>
              <w:jc w:val="center"/>
              <w:textAlignment w:val="baseline"/>
              <w:rPr>
                <w:rFonts w:hint="default" w:hAnsi="宋体" w:eastAsia="宋体"/>
                <w:color w:val="auto"/>
                <w:spacing w:val="15"/>
                <w:sz w:val="21"/>
                <w:szCs w:val="21"/>
                <w:highlight w:val="none"/>
                <w:lang w:val="en-US" w:eastAsia="zh-CN"/>
              </w:rPr>
            </w:pPr>
          </w:p>
        </w:tc>
        <w:tc>
          <w:tcPr>
            <w:tcW w:w="1068" w:type="pct"/>
            <w:vAlign w:val="center"/>
          </w:tcPr>
          <w:p>
            <w:pPr>
              <w:pStyle w:val="135"/>
              <w:spacing w:before="100" w:after="100" w:line="240" w:lineRule="auto"/>
              <w:jc w:val="both"/>
              <w:rPr>
                <w:rFonts w:ascii="仿宋" w:hAnsi="仿宋" w:eastAsia="仿宋" w:cs="Times New Roman"/>
                <w:color w:val="auto"/>
                <w:sz w:val="21"/>
                <w:szCs w:val="21"/>
                <w:highlight w:val="none"/>
                <w:lang w:val="en-US" w:eastAsia="zh-CN" w:bidi="ar-SA"/>
              </w:rPr>
            </w:pPr>
            <w:r>
              <w:rPr>
                <w:rFonts w:hint="eastAsia" w:ascii="仿宋" w:hAnsi="仿宋" w:eastAsia="仿宋"/>
                <w:color w:val="auto"/>
                <w:sz w:val="21"/>
                <w:szCs w:val="21"/>
                <w:highlight w:val="none"/>
              </w:rPr>
              <w:t>机房精密空调</w:t>
            </w:r>
          </w:p>
        </w:tc>
        <w:tc>
          <w:tcPr>
            <w:tcW w:w="921" w:type="pct"/>
            <w:vAlign w:val="center"/>
          </w:tcPr>
          <w:p>
            <w:pPr>
              <w:spacing w:before="40" w:after="40"/>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制冷量:7.5KW,功率:4.5KW制热量:8.5KW</w:t>
            </w:r>
          </w:p>
        </w:tc>
        <w:tc>
          <w:tcPr>
            <w:tcW w:w="495" w:type="pct"/>
          </w:tcPr>
          <w:p>
            <w:pPr>
              <w:widowControl/>
              <w:autoSpaceDE w:val="0"/>
              <w:autoSpaceDN w:val="0"/>
              <w:jc w:val="center"/>
              <w:textAlignment w:val="bottom"/>
              <w:rPr>
                <w:rFonts w:hAnsi="宋体"/>
                <w:color w:val="auto"/>
                <w:spacing w:val="15"/>
                <w:sz w:val="21"/>
                <w:szCs w:val="21"/>
                <w:highlight w:val="none"/>
              </w:rPr>
            </w:pPr>
          </w:p>
        </w:tc>
        <w:tc>
          <w:tcPr>
            <w:tcW w:w="310" w:type="pct"/>
            <w:vAlign w:val="center"/>
          </w:tcPr>
          <w:p>
            <w:pPr>
              <w:spacing w:before="100" w:after="100" w:line="200" w:lineRule="exact"/>
              <w:jc w:val="center"/>
              <w:rPr>
                <w:rFonts w:ascii="仿宋" w:hAnsi="仿宋" w:eastAsia="仿宋" w:cs="宋体"/>
                <w:color w:val="auto"/>
                <w:sz w:val="21"/>
                <w:szCs w:val="21"/>
                <w:highlight w:val="none"/>
                <w:lang w:val="en-US" w:eastAsia="en-US" w:bidi="ar-SA"/>
              </w:rPr>
            </w:pPr>
            <w:r>
              <w:rPr>
                <w:rFonts w:ascii="仿宋" w:hAnsi="仿宋" w:eastAsia="仿宋"/>
                <w:color w:val="auto"/>
                <w:sz w:val="21"/>
                <w:szCs w:val="21"/>
                <w:highlight w:val="none"/>
              </w:rPr>
              <w:t>台</w:t>
            </w:r>
          </w:p>
        </w:tc>
        <w:tc>
          <w:tcPr>
            <w:tcW w:w="311" w:type="pct"/>
            <w:vAlign w:val="center"/>
          </w:tcPr>
          <w:p>
            <w:pPr>
              <w:spacing w:before="100" w:after="100" w:line="200" w:lineRule="exact"/>
              <w:jc w:val="center"/>
              <w:rPr>
                <w:rFonts w:hint="eastAsia" w:ascii="仿宋" w:hAnsi="仿宋" w:eastAsia="仿宋" w:cs="宋体"/>
                <w:color w:val="auto"/>
                <w:sz w:val="21"/>
                <w:szCs w:val="21"/>
                <w:highlight w:val="none"/>
                <w:lang w:val="en-US" w:eastAsia="zh-CN" w:bidi="ar-SA"/>
              </w:rPr>
            </w:pPr>
            <w:r>
              <w:rPr>
                <w:rFonts w:hint="eastAsia" w:ascii="仿宋" w:hAnsi="仿宋" w:eastAsia="仿宋"/>
                <w:color w:val="auto"/>
                <w:sz w:val="21"/>
                <w:szCs w:val="21"/>
                <w:highlight w:val="none"/>
              </w:rPr>
              <w:t>1</w:t>
            </w:r>
          </w:p>
        </w:tc>
        <w:tc>
          <w:tcPr>
            <w:tcW w:w="473" w:type="pct"/>
          </w:tcPr>
          <w:p>
            <w:pPr>
              <w:widowControl/>
              <w:autoSpaceDE w:val="0"/>
              <w:autoSpaceDN w:val="0"/>
              <w:jc w:val="center"/>
              <w:textAlignment w:val="bottom"/>
              <w:rPr>
                <w:color w:val="auto"/>
                <w:spacing w:val="15"/>
                <w:sz w:val="21"/>
                <w:szCs w:val="21"/>
                <w:highlight w:val="none"/>
              </w:rPr>
            </w:pPr>
          </w:p>
        </w:tc>
        <w:tc>
          <w:tcPr>
            <w:tcW w:w="487" w:type="pct"/>
          </w:tcPr>
          <w:p>
            <w:pPr>
              <w:widowControl/>
              <w:autoSpaceDE w:val="0"/>
              <w:autoSpaceDN w:val="0"/>
              <w:jc w:val="center"/>
              <w:textAlignment w:val="bottom"/>
              <w:rPr>
                <w:color w:val="auto"/>
                <w:spacing w:val="15"/>
                <w:sz w:val="21"/>
                <w:szCs w:val="21"/>
                <w:highlight w:val="none"/>
              </w:rPr>
            </w:pPr>
          </w:p>
        </w:tc>
        <w:tc>
          <w:tcPr>
            <w:tcW w:w="457" w:type="pct"/>
          </w:tcPr>
          <w:p>
            <w:pPr>
              <w:widowControl/>
              <w:autoSpaceDE w:val="0"/>
              <w:autoSpaceDN w:val="0"/>
              <w:jc w:val="center"/>
              <w:textAlignment w:val="bottom"/>
              <w:rPr>
                <w:color w:val="auto"/>
                <w:spacing w:val="15"/>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numPr>
                <w:ilvl w:val="0"/>
                <w:numId w:val="4"/>
              </w:numPr>
              <w:adjustRightInd w:val="0"/>
              <w:spacing w:line="300" w:lineRule="auto"/>
              <w:ind w:left="420" w:leftChars="0" w:hanging="420" w:firstLineChars="0"/>
              <w:jc w:val="center"/>
              <w:textAlignment w:val="baseline"/>
              <w:rPr>
                <w:rFonts w:hint="default" w:hAnsi="宋体" w:eastAsia="宋体"/>
                <w:color w:val="auto"/>
                <w:spacing w:val="15"/>
                <w:sz w:val="21"/>
                <w:szCs w:val="21"/>
                <w:highlight w:val="none"/>
                <w:lang w:val="en-US" w:eastAsia="zh-CN"/>
              </w:rPr>
            </w:pPr>
          </w:p>
        </w:tc>
        <w:tc>
          <w:tcPr>
            <w:tcW w:w="1068" w:type="pct"/>
            <w:vAlign w:val="center"/>
          </w:tcPr>
          <w:p>
            <w:pPr>
              <w:pStyle w:val="135"/>
              <w:spacing w:before="100" w:after="100" w:line="240" w:lineRule="auto"/>
              <w:jc w:val="both"/>
              <w:rPr>
                <w:rFonts w:ascii="仿宋" w:hAnsi="仿宋" w:eastAsia="仿宋" w:cs="Times New Roman"/>
                <w:color w:val="auto"/>
                <w:sz w:val="21"/>
                <w:szCs w:val="21"/>
                <w:highlight w:val="none"/>
                <w:lang w:val="en-US" w:eastAsia="zh-CN" w:bidi="ar-SA"/>
              </w:rPr>
            </w:pPr>
            <w:r>
              <w:rPr>
                <w:rFonts w:hint="eastAsia" w:ascii="仿宋" w:hAnsi="仿宋" w:eastAsia="仿宋"/>
                <w:color w:val="auto"/>
                <w:sz w:val="21"/>
                <w:szCs w:val="21"/>
                <w:highlight w:val="none"/>
              </w:rPr>
              <w:t>变频风冷单元式柜机</w:t>
            </w:r>
          </w:p>
        </w:tc>
        <w:tc>
          <w:tcPr>
            <w:tcW w:w="921" w:type="pct"/>
            <w:vAlign w:val="center"/>
          </w:tcPr>
          <w:p>
            <w:pPr>
              <w:spacing w:before="40" w:after="40"/>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制冷量:25KW,功率:10.5KW制热量:26KW</w:t>
            </w:r>
          </w:p>
        </w:tc>
        <w:tc>
          <w:tcPr>
            <w:tcW w:w="495" w:type="pct"/>
          </w:tcPr>
          <w:p>
            <w:pPr>
              <w:widowControl/>
              <w:autoSpaceDE w:val="0"/>
              <w:autoSpaceDN w:val="0"/>
              <w:jc w:val="center"/>
              <w:textAlignment w:val="bottom"/>
              <w:rPr>
                <w:rFonts w:hAnsi="宋体"/>
                <w:color w:val="auto"/>
                <w:spacing w:val="15"/>
                <w:sz w:val="21"/>
                <w:szCs w:val="21"/>
                <w:highlight w:val="none"/>
              </w:rPr>
            </w:pPr>
          </w:p>
        </w:tc>
        <w:tc>
          <w:tcPr>
            <w:tcW w:w="310" w:type="pct"/>
            <w:vAlign w:val="center"/>
          </w:tcPr>
          <w:p>
            <w:pPr>
              <w:spacing w:before="100" w:after="100" w:line="200" w:lineRule="exact"/>
              <w:jc w:val="center"/>
              <w:rPr>
                <w:rFonts w:ascii="仿宋" w:hAnsi="仿宋" w:eastAsia="仿宋" w:cs="宋体"/>
                <w:color w:val="auto"/>
                <w:sz w:val="21"/>
                <w:szCs w:val="21"/>
                <w:highlight w:val="none"/>
                <w:lang w:val="en-US" w:eastAsia="en-US" w:bidi="ar-SA"/>
              </w:rPr>
            </w:pPr>
            <w:r>
              <w:rPr>
                <w:rFonts w:ascii="仿宋" w:hAnsi="仿宋" w:eastAsia="仿宋"/>
                <w:color w:val="auto"/>
                <w:sz w:val="21"/>
                <w:szCs w:val="21"/>
                <w:highlight w:val="none"/>
              </w:rPr>
              <w:t>台</w:t>
            </w:r>
          </w:p>
        </w:tc>
        <w:tc>
          <w:tcPr>
            <w:tcW w:w="311" w:type="pct"/>
            <w:vAlign w:val="center"/>
          </w:tcPr>
          <w:p>
            <w:pPr>
              <w:spacing w:before="100" w:after="100" w:line="200" w:lineRule="exact"/>
              <w:jc w:val="center"/>
              <w:rPr>
                <w:rFonts w:hint="eastAsia" w:ascii="仿宋" w:hAnsi="仿宋" w:eastAsia="仿宋" w:cs="宋体"/>
                <w:color w:val="auto"/>
                <w:sz w:val="21"/>
                <w:szCs w:val="21"/>
                <w:highlight w:val="none"/>
                <w:lang w:val="en-US" w:eastAsia="zh-CN" w:bidi="ar-SA"/>
              </w:rPr>
            </w:pPr>
            <w:r>
              <w:rPr>
                <w:rFonts w:hint="eastAsia" w:ascii="仿宋" w:hAnsi="仿宋" w:eastAsia="仿宋"/>
                <w:color w:val="auto"/>
                <w:sz w:val="21"/>
                <w:szCs w:val="21"/>
                <w:highlight w:val="none"/>
              </w:rPr>
              <w:t>1</w:t>
            </w:r>
          </w:p>
        </w:tc>
        <w:tc>
          <w:tcPr>
            <w:tcW w:w="473" w:type="pct"/>
          </w:tcPr>
          <w:p>
            <w:pPr>
              <w:widowControl/>
              <w:autoSpaceDE w:val="0"/>
              <w:autoSpaceDN w:val="0"/>
              <w:jc w:val="center"/>
              <w:textAlignment w:val="bottom"/>
              <w:rPr>
                <w:color w:val="auto"/>
                <w:spacing w:val="15"/>
                <w:sz w:val="21"/>
                <w:szCs w:val="21"/>
                <w:highlight w:val="none"/>
              </w:rPr>
            </w:pPr>
          </w:p>
        </w:tc>
        <w:tc>
          <w:tcPr>
            <w:tcW w:w="487" w:type="pct"/>
          </w:tcPr>
          <w:p>
            <w:pPr>
              <w:widowControl/>
              <w:autoSpaceDE w:val="0"/>
              <w:autoSpaceDN w:val="0"/>
              <w:jc w:val="center"/>
              <w:textAlignment w:val="bottom"/>
              <w:rPr>
                <w:color w:val="auto"/>
                <w:spacing w:val="15"/>
                <w:sz w:val="21"/>
                <w:szCs w:val="21"/>
                <w:highlight w:val="none"/>
              </w:rPr>
            </w:pPr>
          </w:p>
        </w:tc>
        <w:tc>
          <w:tcPr>
            <w:tcW w:w="457" w:type="pct"/>
          </w:tcPr>
          <w:p>
            <w:pPr>
              <w:widowControl/>
              <w:autoSpaceDE w:val="0"/>
              <w:autoSpaceDN w:val="0"/>
              <w:jc w:val="center"/>
              <w:textAlignment w:val="bottom"/>
              <w:rPr>
                <w:color w:val="auto"/>
                <w:spacing w:val="15"/>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numPr>
                <w:ilvl w:val="0"/>
                <w:numId w:val="4"/>
              </w:numPr>
              <w:adjustRightInd w:val="0"/>
              <w:spacing w:line="300" w:lineRule="auto"/>
              <w:ind w:left="420" w:leftChars="0" w:hanging="420" w:firstLineChars="0"/>
              <w:jc w:val="center"/>
              <w:textAlignment w:val="baseline"/>
              <w:rPr>
                <w:rFonts w:hint="default" w:hAnsi="宋体" w:eastAsia="宋体"/>
                <w:color w:val="auto"/>
                <w:spacing w:val="15"/>
                <w:sz w:val="21"/>
                <w:szCs w:val="21"/>
                <w:highlight w:val="none"/>
                <w:lang w:val="en-US" w:eastAsia="zh-CN"/>
              </w:rPr>
            </w:pPr>
          </w:p>
        </w:tc>
        <w:tc>
          <w:tcPr>
            <w:tcW w:w="1068" w:type="pct"/>
            <w:vAlign w:val="center"/>
          </w:tcPr>
          <w:p>
            <w:pPr>
              <w:pStyle w:val="135"/>
              <w:spacing w:before="100" w:after="100" w:line="240" w:lineRule="auto"/>
              <w:jc w:val="both"/>
              <w:rPr>
                <w:rFonts w:ascii="仿宋" w:hAnsi="仿宋" w:eastAsia="仿宋" w:cs="Times New Roman"/>
                <w:color w:val="auto"/>
                <w:sz w:val="21"/>
                <w:szCs w:val="21"/>
                <w:highlight w:val="none"/>
                <w:lang w:val="en-US" w:eastAsia="zh-CN" w:bidi="ar-SA"/>
              </w:rPr>
            </w:pPr>
            <w:r>
              <w:rPr>
                <w:rFonts w:hint="eastAsia" w:ascii="仿宋" w:hAnsi="仿宋" w:eastAsia="仿宋"/>
                <w:color w:val="auto"/>
                <w:sz w:val="21"/>
                <w:szCs w:val="21"/>
                <w:highlight w:val="none"/>
              </w:rPr>
              <w:t>风管室内机</w:t>
            </w:r>
          </w:p>
        </w:tc>
        <w:tc>
          <w:tcPr>
            <w:tcW w:w="921" w:type="pct"/>
            <w:vAlign w:val="center"/>
          </w:tcPr>
          <w:p>
            <w:pPr>
              <w:spacing w:before="40" w:after="40"/>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制冷量:21KW,功率:0.5KW制热量:22.4KW</w:t>
            </w:r>
          </w:p>
        </w:tc>
        <w:tc>
          <w:tcPr>
            <w:tcW w:w="495" w:type="pct"/>
          </w:tcPr>
          <w:p>
            <w:pPr>
              <w:widowControl/>
              <w:autoSpaceDE w:val="0"/>
              <w:autoSpaceDN w:val="0"/>
              <w:jc w:val="center"/>
              <w:textAlignment w:val="bottom"/>
              <w:rPr>
                <w:rFonts w:hAnsi="宋体"/>
                <w:color w:val="auto"/>
                <w:spacing w:val="15"/>
                <w:sz w:val="21"/>
                <w:szCs w:val="21"/>
                <w:highlight w:val="none"/>
              </w:rPr>
            </w:pPr>
          </w:p>
        </w:tc>
        <w:tc>
          <w:tcPr>
            <w:tcW w:w="310" w:type="pct"/>
            <w:vAlign w:val="center"/>
          </w:tcPr>
          <w:p>
            <w:pPr>
              <w:spacing w:before="100" w:after="100" w:line="200" w:lineRule="exact"/>
              <w:jc w:val="center"/>
              <w:rPr>
                <w:rFonts w:ascii="仿宋" w:hAnsi="仿宋" w:eastAsia="仿宋" w:cs="宋体"/>
                <w:color w:val="auto"/>
                <w:sz w:val="21"/>
                <w:szCs w:val="21"/>
                <w:highlight w:val="none"/>
                <w:lang w:val="en-US" w:eastAsia="en-US" w:bidi="ar-SA"/>
              </w:rPr>
            </w:pPr>
            <w:r>
              <w:rPr>
                <w:rFonts w:ascii="仿宋" w:hAnsi="仿宋" w:eastAsia="仿宋"/>
                <w:color w:val="auto"/>
                <w:sz w:val="21"/>
                <w:szCs w:val="21"/>
                <w:highlight w:val="none"/>
              </w:rPr>
              <w:t>台</w:t>
            </w:r>
          </w:p>
        </w:tc>
        <w:tc>
          <w:tcPr>
            <w:tcW w:w="311" w:type="pct"/>
            <w:vAlign w:val="center"/>
          </w:tcPr>
          <w:p>
            <w:pPr>
              <w:spacing w:before="100" w:after="100" w:line="200" w:lineRule="exact"/>
              <w:jc w:val="center"/>
              <w:rPr>
                <w:rFonts w:hint="eastAsia" w:ascii="仿宋" w:hAnsi="仿宋" w:eastAsia="仿宋" w:cs="宋体"/>
                <w:color w:val="auto"/>
                <w:sz w:val="21"/>
                <w:szCs w:val="21"/>
                <w:highlight w:val="none"/>
                <w:lang w:val="en-US" w:eastAsia="zh-CN" w:bidi="ar-SA"/>
              </w:rPr>
            </w:pPr>
            <w:r>
              <w:rPr>
                <w:rFonts w:hint="eastAsia" w:ascii="仿宋" w:hAnsi="仿宋" w:eastAsia="仿宋"/>
                <w:color w:val="auto"/>
                <w:sz w:val="21"/>
                <w:szCs w:val="21"/>
                <w:highlight w:val="none"/>
              </w:rPr>
              <w:t>4</w:t>
            </w:r>
          </w:p>
        </w:tc>
        <w:tc>
          <w:tcPr>
            <w:tcW w:w="473" w:type="pct"/>
          </w:tcPr>
          <w:p>
            <w:pPr>
              <w:widowControl/>
              <w:autoSpaceDE w:val="0"/>
              <w:autoSpaceDN w:val="0"/>
              <w:jc w:val="center"/>
              <w:textAlignment w:val="bottom"/>
              <w:rPr>
                <w:color w:val="auto"/>
                <w:spacing w:val="15"/>
                <w:sz w:val="21"/>
                <w:szCs w:val="21"/>
                <w:highlight w:val="none"/>
              </w:rPr>
            </w:pPr>
          </w:p>
        </w:tc>
        <w:tc>
          <w:tcPr>
            <w:tcW w:w="487" w:type="pct"/>
          </w:tcPr>
          <w:p>
            <w:pPr>
              <w:widowControl/>
              <w:autoSpaceDE w:val="0"/>
              <w:autoSpaceDN w:val="0"/>
              <w:jc w:val="center"/>
              <w:textAlignment w:val="bottom"/>
              <w:rPr>
                <w:color w:val="auto"/>
                <w:spacing w:val="15"/>
                <w:sz w:val="21"/>
                <w:szCs w:val="21"/>
                <w:highlight w:val="none"/>
              </w:rPr>
            </w:pPr>
          </w:p>
        </w:tc>
        <w:tc>
          <w:tcPr>
            <w:tcW w:w="457" w:type="pct"/>
          </w:tcPr>
          <w:p>
            <w:pPr>
              <w:widowControl/>
              <w:autoSpaceDE w:val="0"/>
              <w:autoSpaceDN w:val="0"/>
              <w:jc w:val="center"/>
              <w:textAlignment w:val="bottom"/>
              <w:rPr>
                <w:color w:val="auto"/>
                <w:spacing w:val="15"/>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numPr>
                <w:ilvl w:val="0"/>
                <w:numId w:val="4"/>
              </w:numPr>
              <w:adjustRightInd w:val="0"/>
              <w:spacing w:line="300" w:lineRule="auto"/>
              <w:ind w:left="420" w:leftChars="0" w:hanging="420" w:firstLineChars="0"/>
              <w:jc w:val="center"/>
              <w:textAlignment w:val="baseline"/>
              <w:rPr>
                <w:rFonts w:hint="eastAsia" w:ascii="宋体" w:hAnsi="宋体" w:eastAsia="仿宋" w:cs="宋体"/>
                <w:color w:val="auto"/>
                <w:sz w:val="21"/>
                <w:szCs w:val="21"/>
                <w:highlight w:val="none"/>
                <w:lang w:val="en-US" w:eastAsia="zh-CN" w:bidi="ar-SA"/>
              </w:rPr>
            </w:pPr>
          </w:p>
        </w:tc>
        <w:tc>
          <w:tcPr>
            <w:tcW w:w="1068" w:type="pct"/>
            <w:vAlign w:val="center"/>
          </w:tcPr>
          <w:p>
            <w:pPr>
              <w:pStyle w:val="135"/>
              <w:spacing w:before="100" w:after="100" w:line="240" w:lineRule="auto"/>
              <w:jc w:val="both"/>
              <w:rPr>
                <w:rFonts w:hint="eastAsia" w:ascii="仿宋" w:hAnsi="仿宋" w:eastAsia="仿宋" w:cs="Times New Roman"/>
                <w:color w:val="auto"/>
                <w:sz w:val="21"/>
                <w:szCs w:val="21"/>
                <w:highlight w:val="none"/>
                <w:lang w:val="en-US" w:eastAsia="zh-CN" w:bidi="ar-SA"/>
              </w:rPr>
            </w:pPr>
            <w:r>
              <w:rPr>
                <w:rFonts w:hint="eastAsia" w:ascii="仿宋" w:hAnsi="仿宋" w:eastAsia="仿宋"/>
                <w:color w:val="auto"/>
                <w:sz w:val="21"/>
                <w:szCs w:val="21"/>
                <w:highlight w:val="none"/>
              </w:rPr>
              <w:t>变频多联室外机</w:t>
            </w:r>
          </w:p>
        </w:tc>
        <w:tc>
          <w:tcPr>
            <w:tcW w:w="921" w:type="pct"/>
            <w:vAlign w:val="center"/>
          </w:tcPr>
          <w:p>
            <w:pPr>
              <w:spacing w:before="40" w:after="40"/>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制冷量:45KW,功率:1.25KW制热量:32KW,风量：4000m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 xml:space="preserve"> /h；机外静压：300Pa</w:t>
            </w:r>
          </w:p>
        </w:tc>
        <w:tc>
          <w:tcPr>
            <w:tcW w:w="495" w:type="pct"/>
            <w:vAlign w:val="center"/>
          </w:tcPr>
          <w:p>
            <w:pPr>
              <w:spacing w:before="100" w:after="100" w:line="200" w:lineRule="exact"/>
              <w:jc w:val="center"/>
              <w:rPr>
                <w:rFonts w:hint="eastAsia" w:ascii="仿宋" w:hAnsi="仿宋" w:eastAsia="仿宋" w:cs="宋体"/>
                <w:color w:val="auto"/>
                <w:sz w:val="21"/>
                <w:szCs w:val="21"/>
                <w:highlight w:val="none"/>
                <w:lang w:val="en-US" w:eastAsia="zh-CN" w:bidi="ar-SA"/>
              </w:rPr>
            </w:pPr>
          </w:p>
        </w:tc>
        <w:tc>
          <w:tcPr>
            <w:tcW w:w="310" w:type="pct"/>
            <w:vAlign w:val="center"/>
          </w:tcPr>
          <w:p>
            <w:pPr>
              <w:spacing w:before="100" w:after="100" w:line="200" w:lineRule="exact"/>
              <w:jc w:val="center"/>
              <w:rPr>
                <w:rFonts w:ascii="仿宋" w:hAnsi="仿宋" w:eastAsia="仿宋" w:cs="宋体"/>
                <w:color w:val="auto"/>
                <w:sz w:val="21"/>
                <w:szCs w:val="21"/>
                <w:highlight w:val="none"/>
                <w:lang w:val="en-US" w:eastAsia="en-US" w:bidi="ar-SA"/>
              </w:rPr>
            </w:pPr>
            <w:r>
              <w:rPr>
                <w:rFonts w:ascii="仿宋" w:hAnsi="仿宋" w:eastAsia="仿宋"/>
                <w:color w:val="auto"/>
                <w:sz w:val="21"/>
                <w:szCs w:val="21"/>
                <w:highlight w:val="none"/>
              </w:rPr>
              <w:t>台</w:t>
            </w:r>
          </w:p>
        </w:tc>
        <w:tc>
          <w:tcPr>
            <w:tcW w:w="311" w:type="pct"/>
            <w:vAlign w:val="center"/>
          </w:tcPr>
          <w:p>
            <w:pPr>
              <w:spacing w:before="100" w:after="100" w:line="200" w:lineRule="exact"/>
              <w:jc w:val="center"/>
              <w:rPr>
                <w:rFonts w:hint="eastAsia" w:ascii="仿宋" w:hAnsi="仿宋" w:eastAsia="仿宋"/>
                <w:color w:val="auto"/>
                <w:sz w:val="21"/>
                <w:szCs w:val="21"/>
                <w:highlight w:val="none"/>
              </w:rPr>
            </w:pPr>
            <w:r>
              <w:rPr>
                <w:rFonts w:hint="eastAsia" w:ascii="仿宋" w:hAnsi="仿宋" w:eastAsia="仿宋"/>
                <w:color w:val="auto"/>
                <w:sz w:val="21"/>
                <w:szCs w:val="21"/>
                <w:highlight w:val="none"/>
              </w:rPr>
              <w:t>2</w:t>
            </w:r>
          </w:p>
        </w:tc>
        <w:tc>
          <w:tcPr>
            <w:tcW w:w="473" w:type="pct"/>
          </w:tcPr>
          <w:p>
            <w:pPr>
              <w:widowControl/>
              <w:autoSpaceDE w:val="0"/>
              <w:autoSpaceDN w:val="0"/>
              <w:jc w:val="center"/>
              <w:textAlignment w:val="bottom"/>
              <w:rPr>
                <w:color w:val="auto"/>
                <w:spacing w:val="15"/>
                <w:sz w:val="21"/>
                <w:szCs w:val="21"/>
                <w:highlight w:val="none"/>
              </w:rPr>
            </w:pPr>
          </w:p>
        </w:tc>
        <w:tc>
          <w:tcPr>
            <w:tcW w:w="487" w:type="pct"/>
          </w:tcPr>
          <w:p>
            <w:pPr>
              <w:widowControl/>
              <w:autoSpaceDE w:val="0"/>
              <w:autoSpaceDN w:val="0"/>
              <w:jc w:val="center"/>
              <w:textAlignment w:val="bottom"/>
              <w:rPr>
                <w:color w:val="auto"/>
                <w:spacing w:val="15"/>
                <w:sz w:val="21"/>
                <w:szCs w:val="21"/>
                <w:highlight w:val="none"/>
              </w:rPr>
            </w:pPr>
          </w:p>
        </w:tc>
        <w:tc>
          <w:tcPr>
            <w:tcW w:w="457" w:type="pct"/>
          </w:tcPr>
          <w:p>
            <w:pPr>
              <w:widowControl/>
              <w:autoSpaceDE w:val="0"/>
              <w:autoSpaceDN w:val="0"/>
              <w:jc w:val="center"/>
              <w:textAlignment w:val="bottom"/>
              <w:rPr>
                <w:color w:val="auto"/>
                <w:spacing w:val="15"/>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numPr>
                <w:ilvl w:val="0"/>
                <w:numId w:val="4"/>
              </w:numPr>
              <w:adjustRightInd w:val="0"/>
              <w:spacing w:line="300" w:lineRule="auto"/>
              <w:ind w:left="420" w:leftChars="0" w:hanging="420" w:firstLineChars="0"/>
              <w:jc w:val="center"/>
              <w:textAlignment w:val="baseline"/>
              <w:rPr>
                <w:rFonts w:hint="eastAsia" w:ascii="宋体" w:hAnsi="宋体" w:eastAsia="仿宋" w:cs="宋体"/>
                <w:color w:val="auto"/>
                <w:sz w:val="21"/>
                <w:szCs w:val="21"/>
                <w:highlight w:val="none"/>
                <w:lang w:val="en-US" w:eastAsia="zh-CN" w:bidi="ar-SA"/>
              </w:rPr>
            </w:pPr>
          </w:p>
        </w:tc>
        <w:tc>
          <w:tcPr>
            <w:tcW w:w="1068" w:type="pct"/>
            <w:vAlign w:val="center"/>
          </w:tcPr>
          <w:p>
            <w:pPr>
              <w:pStyle w:val="135"/>
              <w:spacing w:before="100" w:after="100" w:line="240" w:lineRule="auto"/>
              <w:jc w:val="both"/>
              <w:rPr>
                <w:rFonts w:hint="eastAsia" w:ascii="仿宋" w:hAnsi="仿宋" w:eastAsia="仿宋" w:cs="Times New Roman"/>
                <w:color w:val="auto"/>
                <w:sz w:val="21"/>
                <w:szCs w:val="21"/>
                <w:highlight w:val="none"/>
                <w:lang w:val="en-US" w:eastAsia="zh-CN" w:bidi="ar-SA"/>
              </w:rPr>
            </w:pPr>
            <w:r>
              <w:rPr>
                <w:rFonts w:hint="eastAsia" w:ascii="仿宋" w:hAnsi="仿宋" w:eastAsia="仿宋"/>
                <w:color w:val="auto"/>
                <w:sz w:val="21"/>
                <w:szCs w:val="21"/>
                <w:highlight w:val="none"/>
              </w:rPr>
              <w:t>轴流风机</w:t>
            </w:r>
          </w:p>
        </w:tc>
        <w:tc>
          <w:tcPr>
            <w:tcW w:w="921" w:type="pct"/>
            <w:vAlign w:val="center"/>
          </w:tcPr>
          <w:p>
            <w:pPr>
              <w:spacing w:before="40" w:after="40"/>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风量:2000m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 全压:60Pa,功率：0.2KW</w:t>
            </w:r>
          </w:p>
        </w:tc>
        <w:tc>
          <w:tcPr>
            <w:tcW w:w="495" w:type="pct"/>
            <w:vAlign w:val="center"/>
          </w:tcPr>
          <w:p>
            <w:pPr>
              <w:spacing w:before="100" w:after="100" w:line="200" w:lineRule="exact"/>
              <w:jc w:val="center"/>
              <w:rPr>
                <w:rFonts w:ascii="仿宋" w:hAnsi="仿宋" w:eastAsia="仿宋" w:cs="宋体"/>
                <w:color w:val="auto"/>
                <w:sz w:val="21"/>
                <w:szCs w:val="21"/>
                <w:highlight w:val="none"/>
                <w:lang w:val="en-US" w:eastAsia="en-US" w:bidi="ar-SA"/>
              </w:rPr>
            </w:pPr>
          </w:p>
        </w:tc>
        <w:tc>
          <w:tcPr>
            <w:tcW w:w="310" w:type="pct"/>
            <w:vAlign w:val="center"/>
          </w:tcPr>
          <w:p>
            <w:pPr>
              <w:spacing w:before="100" w:after="100" w:line="200" w:lineRule="exact"/>
              <w:jc w:val="center"/>
              <w:rPr>
                <w:rFonts w:ascii="仿宋" w:hAnsi="仿宋" w:eastAsia="仿宋" w:cs="宋体"/>
                <w:color w:val="auto"/>
                <w:sz w:val="21"/>
                <w:szCs w:val="21"/>
                <w:highlight w:val="none"/>
                <w:lang w:val="en-US" w:eastAsia="en-US" w:bidi="ar-SA"/>
              </w:rPr>
            </w:pPr>
            <w:r>
              <w:rPr>
                <w:rFonts w:ascii="仿宋" w:hAnsi="仿宋" w:eastAsia="仿宋"/>
                <w:color w:val="auto"/>
                <w:sz w:val="21"/>
                <w:szCs w:val="21"/>
                <w:highlight w:val="none"/>
              </w:rPr>
              <w:t>台</w:t>
            </w:r>
          </w:p>
        </w:tc>
        <w:tc>
          <w:tcPr>
            <w:tcW w:w="311" w:type="pct"/>
            <w:vAlign w:val="center"/>
          </w:tcPr>
          <w:p>
            <w:pPr>
              <w:spacing w:before="100" w:after="100" w:line="200" w:lineRule="exact"/>
              <w:jc w:val="center"/>
              <w:rPr>
                <w:rFonts w:hint="eastAsia" w:ascii="仿宋" w:hAnsi="仿宋" w:eastAsia="仿宋"/>
                <w:color w:val="auto"/>
                <w:sz w:val="21"/>
                <w:szCs w:val="21"/>
                <w:highlight w:val="none"/>
              </w:rPr>
            </w:pPr>
            <w:r>
              <w:rPr>
                <w:rFonts w:hint="eastAsia" w:ascii="仿宋" w:hAnsi="仿宋" w:eastAsia="仿宋"/>
                <w:color w:val="auto"/>
                <w:sz w:val="21"/>
                <w:szCs w:val="21"/>
                <w:highlight w:val="none"/>
              </w:rPr>
              <w:t>1</w:t>
            </w:r>
          </w:p>
        </w:tc>
        <w:tc>
          <w:tcPr>
            <w:tcW w:w="473" w:type="pct"/>
          </w:tcPr>
          <w:p>
            <w:pPr>
              <w:widowControl/>
              <w:autoSpaceDE w:val="0"/>
              <w:autoSpaceDN w:val="0"/>
              <w:jc w:val="center"/>
              <w:textAlignment w:val="bottom"/>
              <w:rPr>
                <w:color w:val="auto"/>
                <w:spacing w:val="15"/>
                <w:sz w:val="21"/>
                <w:szCs w:val="21"/>
                <w:highlight w:val="none"/>
              </w:rPr>
            </w:pPr>
          </w:p>
        </w:tc>
        <w:tc>
          <w:tcPr>
            <w:tcW w:w="487" w:type="pct"/>
          </w:tcPr>
          <w:p>
            <w:pPr>
              <w:widowControl/>
              <w:autoSpaceDE w:val="0"/>
              <w:autoSpaceDN w:val="0"/>
              <w:jc w:val="center"/>
              <w:textAlignment w:val="bottom"/>
              <w:rPr>
                <w:color w:val="auto"/>
                <w:spacing w:val="15"/>
                <w:sz w:val="21"/>
                <w:szCs w:val="21"/>
                <w:highlight w:val="none"/>
              </w:rPr>
            </w:pPr>
          </w:p>
        </w:tc>
        <w:tc>
          <w:tcPr>
            <w:tcW w:w="457" w:type="pct"/>
          </w:tcPr>
          <w:p>
            <w:pPr>
              <w:widowControl/>
              <w:autoSpaceDE w:val="0"/>
              <w:autoSpaceDN w:val="0"/>
              <w:jc w:val="center"/>
              <w:textAlignment w:val="bottom"/>
              <w:rPr>
                <w:color w:val="auto"/>
                <w:spacing w:val="15"/>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numPr>
                <w:ilvl w:val="0"/>
                <w:numId w:val="4"/>
              </w:numPr>
              <w:adjustRightInd w:val="0"/>
              <w:spacing w:line="300" w:lineRule="auto"/>
              <w:ind w:left="420" w:leftChars="0" w:hanging="420" w:firstLineChars="0"/>
              <w:jc w:val="center"/>
              <w:textAlignment w:val="baseline"/>
              <w:rPr>
                <w:rFonts w:hint="eastAsia" w:ascii="宋体" w:hAnsi="宋体" w:eastAsia="仿宋" w:cs="宋体"/>
                <w:color w:val="auto"/>
                <w:sz w:val="21"/>
                <w:szCs w:val="21"/>
                <w:highlight w:val="none"/>
                <w:lang w:val="en-US" w:eastAsia="zh-CN" w:bidi="ar-SA"/>
              </w:rPr>
            </w:pPr>
          </w:p>
        </w:tc>
        <w:tc>
          <w:tcPr>
            <w:tcW w:w="1068" w:type="pct"/>
            <w:vAlign w:val="center"/>
          </w:tcPr>
          <w:p>
            <w:pPr>
              <w:pStyle w:val="135"/>
              <w:spacing w:before="100" w:after="100" w:line="240" w:lineRule="auto"/>
              <w:jc w:val="both"/>
              <w:rPr>
                <w:rFonts w:hint="eastAsia" w:ascii="仿宋" w:hAnsi="仿宋" w:eastAsia="仿宋" w:cs="Times New Roman"/>
                <w:color w:val="auto"/>
                <w:sz w:val="21"/>
                <w:szCs w:val="21"/>
                <w:highlight w:val="none"/>
                <w:lang w:val="en-US" w:eastAsia="zh-CN" w:bidi="ar-SA"/>
              </w:rPr>
            </w:pPr>
            <w:r>
              <w:rPr>
                <w:rFonts w:hint="eastAsia" w:ascii="仿宋" w:hAnsi="仿宋" w:eastAsia="仿宋"/>
                <w:color w:val="auto"/>
                <w:sz w:val="21"/>
                <w:szCs w:val="21"/>
                <w:highlight w:val="none"/>
              </w:rPr>
              <w:t>轴流风机</w:t>
            </w:r>
          </w:p>
        </w:tc>
        <w:tc>
          <w:tcPr>
            <w:tcW w:w="921" w:type="pct"/>
            <w:vAlign w:val="center"/>
          </w:tcPr>
          <w:p>
            <w:pPr>
              <w:spacing w:before="40" w:after="40"/>
              <w:jc w:val="left"/>
              <w:rPr>
                <w:rFonts w:hint="eastAsia" w:ascii="仿宋" w:hAnsi="仿宋" w:eastAsia="仿宋" w:cs="宋体"/>
                <w:color w:val="auto"/>
                <w:sz w:val="21"/>
                <w:szCs w:val="21"/>
                <w:highlight w:val="none"/>
                <w:lang w:val="en-US" w:eastAsia="en-US" w:bidi="ar-SA"/>
              </w:rPr>
            </w:pPr>
            <w:r>
              <w:rPr>
                <w:rFonts w:hint="eastAsia" w:ascii="仿宋" w:hAnsi="仿宋" w:eastAsia="仿宋"/>
                <w:color w:val="auto"/>
                <w:sz w:val="21"/>
                <w:szCs w:val="21"/>
                <w:highlight w:val="none"/>
              </w:rPr>
              <w:t>风量:1000 m</w:t>
            </w:r>
            <w:r>
              <w:rPr>
                <w:rFonts w:hint="eastAsia" w:ascii="仿宋" w:hAnsi="仿宋" w:eastAsia="仿宋"/>
                <w:color w:val="auto"/>
                <w:sz w:val="21"/>
                <w:szCs w:val="21"/>
                <w:highlight w:val="none"/>
                <w:vertAlign w:val="superscript"/>
              </w:rPr>
              <w:t>3</w:t>
            </w:r>
            <w:r>
              <w:rPr>
                <w:rFonts w:hint="eastAsia" w:ascii="仿宋" w:hAnsi="仿宋" w:eastAsia="仿宋"/>
                <w:color w:val="auto"/>
                <w:sz w:val="21"/>
                <w:szCs w:val="21"/>
                <w:highlight w:val="none"/>
              </w:rPr>
              <w:t>/h 全压:40Pa,功率：0.15KW</w:t>
            </w:r>
          </w:p>
        </w:tc>
        <w:tc>
          <w:tcPr>
            <w:tcW w:w="495" w:type="pct"/>
            <w:vAlign w:val="center"/>
          </w:tcPr>
          <w:p>
            <w:pPr>
              <w:spacing w:before="100" w:after="100" w:line="200" w:lineRule="exact"/>
              <w:jc w:val="center"/>
              <w:rPr>
                <w:rFonts w:ascii="仿宋" w:hAnsi="仿宋" w:eastAsia="仿宋" w:cs="宋体"/>
                <w:color w:val="auto"/>
                <w:sz w:val="21"/>
                <w:szCs w:val="21"/>
                <w:highlight w:val="none"/>
                <w:lang w:val="en-US" w:eastAsia="en-US" w:bidi="ar-SA"/>
              </w:rPr>
            </w:pPr>
          </w:p>
        </w:tc>
        <w:tc>
          <w:tcPr>
            <w:tcW w:w="310" w:type="pct"/>
            <w:vAlign w:val="center"/>
          </w:tcPr>
          <w:p>
            <w:pPr>
              <w:spacing w:before="100" w:after="100" w:line="200" w:lineRule="exact"/>
              <w:jc w:val="center"/>
              <w:rPr>
                <w:rFonts w:ascii="仿宋" w:hAnsi="仿宋" w:eastAsia="仿宋" w:cs="宋体"/>
                <w:color w:val="auto"/>
                <w:sz w:val="21"/>
                <w:szCs w:val="21"/>
                <w:highlight w:val="none"/>
                <w:lang w:val="en-US" w:eastAsia="en-US" w:bidi="ar-SA"/>
              </w:rPr>
            </w:pPr>
            <w:r>
              <w:rPr>
                <w:rFonts w:ascii="仿宋" w:hAnsi="仿宋" w:eastAsia="仿宋"/>
                <w:color w:val="auto"/>
                <w:sz w:val="21"/>
                <w:szCs w:val="21"/>
                <w:highlight w:val="none"/>
              </w:rPr>
              <w:t>台</w:t>
            </w:r>
          </w:p>
        </w:tc>
        <w:tc>
          <w:tcPr>
            <w:tcW w:w="311" w:type="pct"/>
            <w:vAlign w:val="center"/>
          </w:tcPr>
          <w:p>
            <w:pPr>
              <w:spacing w:before="100" w:after="100" w:line="200" w:lineRule="exact"/>
              <w:jc w:val="center"/>
              <w:rPr>
                <w:rFonts w:hint="eastAsia" w:ascii="仿宋" w:hAnsi="仿宋" w:eastAsia="仿宋"/>
                <w:color w:val="auto"/>
                <w:sz w:val="21"/>
                <w:szCs w:val="21"/>
                <w:highlight w:val="none"/>
              </w:rPr>
            </w:pPr>
            <w:r>
              <w:rPr>
                <w:rFonts w:hint="eastAsia" w:ascii="仿宋" w:hAnsi="仿宋" w:eastAsia="仿宋"/>
                <w:color w:val="auto"/>
                <w:sz w:val="21"/>
                <w:szCs w:val="21"/>
                <w:highlight w:val="none"/>
              </w:rPr>
              <w:t>1</w:t>
            </w:r>
          </w:p>
        </w:tc>
        <w:tc>
          <w:tcPr>
            <w:tcW w:w="473" w:type="pct"/>
          </w:tcPr>
          <w:p>
            <w:pPr>
              <w:widowControl/>
              <w:autoSpaceDE w:val="0"/>
              <w:autoSpaceDN w:val="0"/>
              <w:jc w:val="center"/>
              <w:textAlignment w:val="bottom"/>
              <w:rPr>
                <w:color w:val="auto"/>
                <w:spacing w:val="15"/>
                <w:sz w:val="21"/>
                <w:szCs w:val="21"/>
                <w:highlight w:val="none"/>
              </w:rPr>
            </w:pPr>
          </w:p>
        </w:tc>
        <w:tc>
          <w:tcPr>
            <w:tcW w:w="487" w:type="pct"/>
          </w:tcPr>
          <w:p>
            <w:pPr>
              <w:widowControl/>
              <w:autoSpaceDE w:val="0"/>
              <w:autoSpaceDN w:val="0"/>
              <w:jc w:val="center"/>
              <w:textAlignment w:val="bottom"/>
              <w:rPr>
                <w:color w:val="auto"/>
                <w:spacing w:val="15"/>
                <w:sz w:val="21"/>
                <w:szCs w:val="21"/>
                <w:highlight w:val="none"/>
              </w:rPr>
            </w:pPr>
          </w:p>
        </w:tc>
        <w:tc>
          <w:tcPr>
            <w:tcW w:w="457" w:type="pct"/>
          </w:tcPr>
          <w:p>
            <w:pPr>
              <w:widowControl/>
              <w:autoSpaceDE w:val="0"/>
              <w:autoSpaceDN w:val="0"/>
              <w:jc w:val="center"/>
              <w:textAlignment w:val="bottom"/>
              <w:rPr>
                <w:color w:val="auto"/>
                <w:spacing w:val="15"/>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numPr>
                <w:ilvl w:val="0"/>
                <w:numId w:val="4"/>
              </w:numPr>
              <w:adjustRightInd w:val="0"/>
              <w:spacing w:line="300" w:lineRule="auto"/>
              <w:ind w:left="420" w:leftChars="0" w:hanging="420" w:firstLineChars="0"/>
              <w:jc w:val="center"/>
              <w:textAlignment w:val="baseline"/>
              <w:rPr>
                <w:rFonts w:hint="eastAsia" w:ascii="宋体" w:hAnsi="宋体" w:eastAsia="仿宋" w:cs="宋体"/>
                <w:color w:val="auto"/>
                <w:sz w:val="21"/>
                <w:szCs w:val="21"/>
                <w:highlight w:val="none"/>
                <w:lang w:val="en-US" w:eastAsia="zh-CN" w:bidi="ar-SA"/>
              </w:rPr>
            </w:pPr>
          </w:p>
        </w:tc>
        <w:tc>
          <w:tcPr>
            <w:tcW w:w="1068" w:type="pct"/>
            <w:vAlign w:val="center"/>
          </w:tcPr>
          <w:p>
            <w:pPr>
              <w:pStyle w:val="135"/>
              <w:spacing w:before="100" w:after="100" w:line="240" w:lineRule="auto"/>
              <w:jc w:val="both"/>
              <w:rPr>
                <w:rFonts w:hint="eastAsia" w:ascii="仿宋" w:hAnsi="仿宋" w:eastAsia="仿宋" w:cs="Times New Roman"/>
                <w:color w:val="auto"/>
                <w:sz w:val="21"/>
                <w:szCs w:val="21"/>
                <w:highlight w:val="none"/>
                <w:lang w:val="en-US" w:eastAsia="zh-CN" w:bidi="ar-SA"/>
              </w:rPr>
            </w:pPr>
            <w:r>
              <w:rPr>
                <w:rFonts w:hint="eastAsia" w:ascii="仿宋" w:hAnsi="仿宋" w:eastAsia="仿宋"/>
                <w:color w:val="auto"/>
                <w:sz w:val="21"/>
                <w:szCs w:val="21"/>
                <w:highlight w:val="none"/>
              </w:rPr>
              <w:t>排气扇</w:t>
            </w:r>
          </w:p>
        </w:tc>
        <w:tc>
          <w:tcPr>
            <w:tcW w:w="921" w:type="pct"/>
            <w:vAlign w:val="center"/>
          </w:tcPr>
          <w:p>
            <w:pPr>
              <w:spacing w:before="40" w:after="40"/>
              <w:rPr>
                <w:rFonts w:hint="eastAsia" w:ascii="仿宋" w:hAnsi="仿宋" w:eastAsia="仿宋" w:cs="宋体"/>
                <w:color w:val="auto"/>
                <w:sz w:val="21"/>
                <w:szCs w:val="21"/>
                <w:highlight w:val="none"/>
                <w:lang w:val="en-US" w:eastAsia="en-US" w:bidi="ar-SA"/>
              </w:rPr>
            </w:pPr>
            <w:r>
              <w:rPr>
                <w:rFonts w:hint="eastAsia" w:ascii="仿宋" w:hAnsi="仿宋" w:eastAsia="仿宋"/>
                <w:color w:val="auto"/>
                <w:sz w:val="21"/>
                <w:szCs w:val="21"/>
                <w:highlight w:val="none"/>
              </w:rPr>
              <w:t>额定风量:400 m</w:t>
            </w:r>
            <w:r>
              <w:rPr>
                <w:rFonts w:hint="eastAsia" w:ascii="仿宋" w:hAnsi="仿宋" w:eastAsia="仿宋"/>
                <w:color w:val="auto"/>
                <w:sz w:val="21"/>
                <w:szCs w:val="21"/>
                <w:highlight w:val="none"/>
                <w:vertAlign w:val="superscript"/>
              </w:rPr>
              <w:t>3</w:t>
            </w:r>
            <w:r>
              <w:rPr>
                <w:rFonts w:hint="eastAsia" w:ascii="仿宋" w:hAnsi="仿宋" w:eastAsia="仿宋"/>
                <w:color w:val="auto"/>
                <w:sz w:val="21"/>
                <w:szCs w:val="21"/>
                <w:highlight w:val="none"/>
              </w:rPr>
              <w:t>/h 全压:250Pa,功率：0.04kW</w:t>
            </w:r>
          </w:p>
        </w:tc>
        <w:tc>
          <w:tcPr>
            <w:tcW w:w="495" w:type="pct"/>
            <w:vAlign w:val="center"/>
          </w:tcPr>
          <w:p>
            <w:pPr>
              <w:spacing w:before="100" w:after="100" w:line="200" w:lineRule="exact"/>
              <w:jc w:val="center"/>
              <w:rPr>
                <w:rFonts w:ascii="仿宋" w:hAnsi="仿宋" w:eastAsia="仿宋" w:cs="宋体"/>
                <w:color w:val="auto"/>
                <w:sz w:val="21"/>
                <w:szCs w:val="21"/>
                <w:highlight w:val="none"/>
                <w:lang w:val="en-US" w:eastAsia="en-US" w:bidi="ar-SA"/>
              </w:rPr>
            </w:pPr>
          </w:p>
        </w:tc>
        <w:tc>
          <w:tcPr>
            <w:tcW w:w="310" w:type="pct"/>
            <w:vAlign w:val="center"/>
          </w:tcPr>
          <w:p>
            <w:pPr>
              <w:spacing w:before="100" w:after="100" w:line="200" w:lineRule="exact"/>
              <w:jc w:val="center"/>
              <w:rPr>
                <w:rFonts w:ascii="仿宋" w:hAnsi="仿宋" w:eastAsia="仿宋" w:cs="宋体"/>
                <w:color w:val="auto"/>
                <w:sz w:val="21"/>
                <w:szCs w:val="21"/>
                <w:highlight w:val="none"/>
                <w:lang w:val="en-US" w:eastAsia="en-US" w:bidi="ar-SA"/>
              </w:rPr>
            </w:pPr>
            <w:r>
              <w:rPr>
                <w:rFonts w:ascii="仿宋" w:hAnsi="仿宋" w:eastAsia="仿宋"/>
                <w:color w:val="auto"/>
                <w:sz w:val="21"/>
                <w:szCs w:val="21"/>
                <w:highlight w:val="none"/>
              </w:rPr>
              <w:t>台</w:t>
            </w:r>
          </w:p>
        </w:tc>
        <w:tc>
          <w:tcPr>
            <w:tcW w:w="311" w:type="pct"/>
            <w:vAlign w:val="center"/>
          </w:tcPr>
          <w:p>
            <w:pPr>
              <w:spacing w:before="100" w:after="100" w:line="200" w:lineRule="exact"/>
              <w:jc w:val="center"/>
              <w:rPr>
                <w:rFonts w:hint="eastAsia" w:ascii="仿宋" w:hAnsi="仿宋" w:eastAsia="仿宋"/>
                <w:color w:val="auto"/>
                <w:sz w:val="21"/>
                <w:szCs w:val="21"/>
                <w:highlight w:val="none"/>
              </w:rPr>
            </w:pPr>
            <w:r>
              <w:rPr>
                <w:rFonts w:hint="eastAsia" w:ascii="仿宋" w:hAnsi="仿宋" w:eastAsia="仿宋"/>
                <w:color w:val="auto"/>
                <w:sz w:val="21"/>
                <w:szCs w:val="21"/>
                <w:highlight w:val="none"/>
              </w:rPr>
              <w:t>3</w:t>
            </w:r>
          </w:p>
        </w:tc>
        <w:tc>
          <w:tcPr>
            <w:tcW w:w="473" w:type="pct"/>
          </w:tcPr>
          <w:p>
            <w:pPr>
              <w:widowControl/>
              <w:autoSpaceDE w:val="0"/>
              <w:autoSpaceDN w:val="0"/>
              <w:jc w:val="center"/>
              <w:textAlignment w:val="bottom"/>
              <w:rPr>
                <w:color w:val="auto"/>
                <w:spacing w:val="15"/>
                <w:sz w:val="21"/>
                <w:szCs w:val="21"/>
                <w:highlight w:val="none"/>
              </w:rPr>
            </w:pPr>
          </w:p>
        </w:tc>
        <w:tc>
          <w:tcPr>
            <w:tcW w:w="487" w:type="pct"/>
          </w:tcPr>
          <w:p>
            <w:pPr>
              <w:widowControl/>
              <w:autoSpaceDE w:val="0"/>
              <w:autoSpaceDN w:val="0"/>
              <w:jc w:val="center"/>
              <w:textAlignment w:val="bottom"/>
              <w:rPr>
                <w:color w:val="auto"/>
                <w:spacing w:val="15"/>
                <w:sz w:val="21"/>
                <w:szCs w:val="21"/>
                <w:highlight w:val="none"/>
              </w:rPr>
            </w:pPr>
          </w:p>
        </w:tc>
        <w:tc>
          <w:tcPr>
            <w:tcW w:w="457" w:type="pct"/>
          </w:tcPr>
          <w:p>
            <w:pPr>
              <w:widowControl/>
              <w:autoSpaceDE w:val="0"/>
              <w:autoSpaceDN w:val="0"/>
              <w:jc w:val="center"/>
              <w:textAlignment w:val="bottom"/>
              <w:rPr>
                <w:color w:val="auto"/>
                <w:spacing w:val="15"/>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jc w:val="center"/>
        </w:trPr>
        <w:tc>
          <w:tcPr>
            <w:tcW w:w="474" w:type="pct"/>
            <w:vAlign w:val="center"/>
          </w:tcPr>
          <w:p>
            <w:pPr>
              <w:widowControl/>
              <w:numPr>
                <w:ilvl w:val="0"/>
                <w:numId w:val="4"/>
              </w:numPr>
              <w:adjustRightInd w:val="0"/>
              <w:spacing w:line="300" w:lineRule="auto"/>
              <w:ind w:left="420" w:leftChars="0" w:hanging="420" w:firstLineChars="0"/>
              <w:jc w:val="center"/>
              <w:textAlignment w:val="baseline"/>
              <w:rPr>
                <w:rFonts w:hint="eastAsia" w:ascii="宋体" w:hAnsi="宋体" w:eastAsia="仿宋" w:cs="宋体"/>
                <w:color w:val="auto"/>
                <w:sz w:val="21"/>
                <w:szCs w:val="21"/>
                <w:highlight w:val="none"/>
                <w:lang w:val="en-US" w:eastAsia="zh-CN" w:bidi="ar-SA"/>
              </w:rPr>
            </w:pPr>
          </w:p>
        </w:tc>
        <w:tc>
          <w:tcPr>
            <w:tcW w:w="1068" w:type="pct"/>
            <w:vAlign w:val="center"/>
          </w:tcPr>
          <w:p>
            <w:pPr>
              <w:pStyle w:val="135"/>
              <w:spacing w:before="100" w:after="100" w:line="240" w:lineRule="auto"/>
              <w:jc w:val="both"/>
              <w:rPr>
                <w:rFonts w:hint="eastAsia" w:ascii="仿宋" w:hAnsi="仿宋" w:eastAsia="仿宋"/>
                <w:color w:val="auto"/>
                <w:sz w:val="21"/>
                <w:szCs w:val="21"/>
                <w:highlight w:val="none"/>
              </w:rPr>
            </w:pPr>
            <w:r>
              <w:rPr>
                <w:rFonts w:hint="eastAsia" w:ascii="仿宋" w:hAnsi="仿宋" w:eastAsia="仿宋"/>
                <w:color w:val="auto"/>
                <w:sz w:val="21"/>
                <w:szCs w:val="21"/>
                <w:highlight w:val="none"/>
                <w:lang w:eastAsia="zh-CN"/>
              </w:rPr>
              <w:t>铜管</w:t>
            </w:r>
          </w:p>
        </w:tc>
        <w:tc>
          <w:tcPr>
            <w:tcW w:w="921" w:type="pct"/>
            <w:vAlign w:val="center"/>
          </w:tcPr>
          <w:p>
            <w:pPr>
              <w:spacing w:before="40" w:after="40"/>
              <w:rPr>
                <w:rFonts w:hint="eastAsia" w:ascii="仿宋" w:hAnsi="仿宋" w:eastAsia="仿宋"/>
                <w:color w:val="auto"/>
                <w:sz w:val="21"/>
                <w:szCs w:val="21"/>
                <w:highlight w:val="none"/>
              </w:rPr>
            </w:pPr>
          </w:p>
        </w:tc>
        <w:tc>
          <w:tcPr>
            <w:tcW w:w="495" w:type="pct"/>
            <w:vAlign w:val="center"/>
          </w:tcPr>
          <w:p>
            <w:pPr>
              <w:spacing w:before="100" w:after="100" w:line="200" w:lineRule="exact"/>
              <w:jc w:val="center"/>
              <w:rPr>
                <w:rFonts w:ascii="仿宋" w:hAnsi="仿宋" w:eastAsia="仿宋" w:cs="宋体"/>
                <w:color w:val="auto"/>
                <w:sz w:val="21"/>
                <w:szCs w:val="21"/>
                <w:highlight w:val="none"/>
                <w:lang w:val="en-US" w:eastAsia="en-US" w:bidi="ar-SA"/>
              </w:rPr>
            </w:pPr>
          </w:p>
        </w:tc>
        <w:tc>
          <w:tcPr>
            <w:tcW w:w="310" w:type="pct"/>
            <w:vAlign w:val="center"/>
          </w:tcPr>
          <w:p>
            <w:pPr>
              <w:spacing w:before="100" w:after="100" w:line="200" w:lineRule="exact"/>
              <w:jc w:val="center"/>
              <w:rPr>
                <w:rFonts w:hint="default" w:ascii="仿宋" w:hAnsi="仿宋" w:eastAsia="仿宋"/>
                <w:color w:val="auto"/>
                <w:sz w:val="21"/>
                <w:szCs w:val="21"/>
                <w:highlight w:val="none"/>
                <w:lang w:val="en-US" w:eastAsia="zh-CN"/>
              </w:rPr>
            </w:pPr>
            <w:r>
              <w:rPr>
                <w:rFonts w:hint="eastAsia" w:ascii="仿宋" w:hAnsi="仿宋" w:eastAsia="仿宋"/>
                <w:color w:val="auto"/>
                <w:sz w:val="21"/>
                <w:szCs w:val="21"/>
                <w:highlight w:val="none"/>
                <w:lang w:val="en-US" w:eastAsia="zh-CN"/>
              </w:rPr>
              <w:t>m</w:t>
            </w:r>
          </w:p>
        </w:tc>
        <w:tc>
          <w:tcPr>
            <w:tcW w:w="311" w:type="pct"/>
            <w:vAlign w:val="center"/>
          </w:tcPr>
          <w:p>
            <w:pPr>
              <w:spacing w:before="100" w:after="100" w:line="200" w:lineRule="exact"/>
              <w:jc w:val="center"/>
              <w:rPr>
                <w:rFonts w:hint="default" w:ascii="仿宋" w:hAnsi="仿宋" w:eastAsia="仿宋"/>
                <w:color w:val="auto"/>
                <w:sz w:val="21"/>
                <w:szCs w:val="21"/>
                <w:highlight w:val="none"/>
                <w:lang w:val="en-US" w:eastAsia="zh-CN"/>
              </w:rPr>
            </w:pPr>
            <w:r>
              <w:rPr>
                <w:rFonts w:hint="eastAsia" w:ascii="仿宋" w:hAnsi="仿宋" w:eastAsia="仿宋"/>
                <w:color w:val="auto"/>
                <w:sz w:val="21"/>
                <w:szCs w:val="21"/>
                <w:highlight w:val="none"/>
                <w:lang w:val="en-US" w:eastAsia="zh-CN"/>
              </w:rPr>
              <w:t>400</w:t>
            </w:r>
          </w:p>
        </w:tc>
        <w:tc>
          <w:tcPr>
            <w:tcW w:w="473" w:type="pct"/>
          </w:tcPr>
          <w:p>
            <w:pPr>
              <w:widowControl/>
              <w:autoSpaceDE w:val="0"/>
              <w:autoSpaceDN w:val="0"/>
              <w:jc w:val="center"/>
              <w:textAlignment w:val="bottom"/>
              <w:rPr>
                <w:color w:val="auto"/>
                <w:spacing w:val="15"/>
                <w:sz w:val="21"/>
                <w:szCs w:val="21"/>
                <w:highlight w:val="none"/>
              </w:rPr>
            </w:pPr>
          </w:p>
        </w:tc>
        <w:tc>
          <w:tcPr>
            <w:tcW w:w="487" w:type="pct"/>
          </w:tcPr>
          <w:p>
            <w:pPr>
              <w:widowControl/>
              <w:autoSpaceDE w:val="0"/>
              <w:autoSpaceDN w:val="0"/>
              <w:jc w:val="center"/>
              <w:textAlignment w:val="bottom"/>
              <w:rPr>
                <w:color w:val="auto"/>
                <w:spacing w:val="15"/>
                <w:sz w:val="21"/>
                <w:szCs w:val="21"/>
                <w:highlight w:val="none"/>
              </w:rPr>
            </w:pPr>
          </w:p>
        </w:tc>
        <w:tc>
          <w:tcPr>
            <w:tcW w:w="457" w:type="pct"/>
          </w:tcPr>
          <w:p>
            <w:pPr>
              <w:widowControl/>
              <w:autoSpaceDE w:val="0"/>
              <w:autoSpaceDN w:val="0"/>
              <w:jc w:val="center"/>
              <w:textAlignment w:val="bottom"/>
              <w:rPr>
                <w:rFonts w:hint="default" w:eastAsia="宋体"/>
                <w:color w:val="auto"/>
                <w:spacing w:val="15"/>
                <w:sz w:val="21"/>
                <w:szCs w:val="21"/>
                <w:highlight w:val="none"/>
                <w:lang w:val="en-US" w:eastAsia="zh-CN"/>
              </w:rPr>
            </w:pPr>
            <w:r>
              <w:rPr>
                <w:rFonts w:hint="eastAsia" w:ascii="仿宋" w:hAnsi="仿宋" w:eastAsia="仿宋" w:cs="Times New Roman"/>
                <w:color w:val="auto"/>
                <w:sz w:val="21"/>
                <w:szCs w:val="21"/>
                <w:highlight w:val="none"/>
                <w:lang w:val="en-US" w:eastAsia="zh-CN" w:bidi="ar-SA"/>
              </w:rPr>
              <w:t>以实际使用长度结算</w:t>
            </w:r>
          </w:p>
        </w:tc>
      </w:tr>
    </w:tbl>
    <w:p>
      <w:pPr>
        <w:adjustRightInd w:val="0"/>
        <w:snapToGrid w:val="0"/>
        <w:spacing w:line="360" w:lineRule="auto"/>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注：</w:t>
      </w:r>
    </w:p>
    <w:p>
      <w:pPr>
        <w:adjustRightInd w:val="0"/>
        <w:snapToGrid w:val="0"/>
        <w:spacing w:line="360" w:lineRule="auto"/>
        <w:rPr>
          <w:szCs w:val="21"/>
          <w:lang w:eastAsia="zh-CN"/>
        </w:rPr>
      </w:pPr>
      <w:r>
        <w:rPr>
          <w:rFonts w:hint="eastAsia"/>
          <w:szCs w:val="21"/>
          <w:lang w:eastAsia="zh-CN"/>
        </w:rPr>
        <w:t>1.报价人应在该表中应详细列明本项目所包含的全部部件；未列项目或数量缺漏的，均已视为包含在合同总价中；</w:t>
      </w:r>
    </w:p>
    <w:p>
      <w:pPr>
        <w:adjustRightInd w:val="0"/>
        <w:snapToGrid w:val="0"/>
        <w:spacing w:line="360" w:lineRule="auto"/>
        <w:rPr>
          <w:szCs w:val="21"/>
          <w:lang w:eastAsia="zh-CN"/>
        </w:rPr>
      </w:pPr>
      <w:r>
        <w:rPr>
          <w:rFonts w:hint="eastAsia"/>
          <w:szCs w:val="21"/>
          <w:lang w:eastAsia="zh-CN"/>
        </w:rPr>
        <w:t>2.表中单价是指设备运至工程工地现场买方指定地点的全费用价格;</w:t>
      </w:r>
    </w:p>
    <w:p>
      <w:pPr>
        <w:adjustRightInd w:val="0"/>
        <w:snapToGrid w:val="0"/>
        <w:spacing w:line="360" w:lineRule="auto"/>
        <w:rPr>
          <w:szCs w:val="21"/>
          <w:lang w:eastAsia="zh-CN"/>
        </w:rPr>
      </w:pPr>
      <w:r>
        <w:rPr>
          <w:rFonts w:hint="eastAsia"/>
          <w:szCs w:val="21"/>
          <w:lang w:eastAsia="zh-CN"/>
        </w:rPr>
        <w:t>3.表中没有专门提及的、但对一套完整的性能优良的合同设备必不可少的或对改善合同设备运行品质所必需的设备及元器件</w:t>
      </w:r>
      <w:r>
        <w:rPr>
          <w:rFonts w:hint="eastAsia"/>
          <w:szCs w:val="21"/>
          <w:lang w:val="en-US" w:eastAsia="zh-CN"/>
        </w:rPr>
        <w:t>和</w:t>
      </w:r>
      <w:r>
        <w:rPr>
          <w:rFonts w:hint="eastAsia"/>
          <w:szCs w:val="21"/>
          <w:lang w:eastAsia="zh-CN"/>
        </w:rPr>
        <w:t>空调设备所有配套附件亦应包含在合同设备供货范围内，报价人仍应全部、完整的提供，其价格均视为包含在合同总价中；</w:t>
      </w:r>
    </w:p>
    <w:p>
      <w:pPr>
        <w:rPr>
          <w:rFonts w:ascii="Times New Roman" w:hAnsi="Times New Roman" w:cs="Times New Roman"/>
          <w:szCs w:val="21"/>
          <w:lang w:eastAsia="zh-CN"/>
        </w:rPr>
      </w:pPr>
    </w:p>
    <w:p>
      <w:pPr>
        <w:ind w:firstLine="720" w:firstLineChars="300"/>
        <w:rPr>
          <w:rFonts w:hint="eastAsia" w:eastAsia="仿宋"/>
          <w:color w:val="000000" w:themeColor="text1"/>
          <w:sz w:val="24"/>
          <w:szCs w:val="24"/>
          <w14:textFill>
            <w14:solidFill>
              <w14:schemeClr w14:val="tx1"/>
            </w14:solidFill>
          </w14:textFill>
        </w:rPr>
      </w:pPr>
    </w:p>
    <w:p>
      <w:pPr>
        <w:ind w:firstLine="720" w:firstLineChars="300"/>
        <w:rPr>
          <w:rFonts w:hint="eastAsia" w:eastAsia="仿宋"/>
          <w:color w:val="000000" w:themeColor="text1"/>
          <w:sz w:val="24"/>
          <w:szCs w:val="24"/>
          <w14:textFill>
            <w14:solidFill>
              <w14:schemeClr w14:val="tx1"/>
            </w14:solidFill>
          </w14:textFill>
        </w:rPr>
      </w:pPr>
    </w:p>
    <w:p>
      <w:pPr>
        <w:ind w:firstLine="720" w:firstLineChars="300"/>
        <w:rPr>
          <w:rFonts w:hint="eastAsia" w:eastAsia="仿宋"/>
          <w:color w:val="000000" w:themeColor="text1"/>
          <w:sz w:val="24"/>
          <w:szCs w:val="24"/>
          <w14:textFill>
            <w14:solidFill>
              <w14:schemeClr w14:val="tx1"/>
            </w14:solidFill>
          </w14:textFill>
        </w:rPr>
      </w:pPr>
    </w:p>
    <w:p>
      <w:pPr>
        <w:pStyle w:val="2"/>
        <w:rPr>
          <w:rFonts w:hint="eastAsia" w:eastAsia="仿宋"/>
          <w:color w:val="000000" w:themeColor="text1"/>
          <w:sz w:val="24"/>
          <w:szCs w:val="24"/>
          <w14:textFill>
            <w14:solidFill>
              <w14:schemeClr w14:val="tx1"/>
            </w14:solidFill>
          </w14:textFill>
        </w:rPr>
      </w:pPr>
    </w:p>
    <w:p>
      <w:pPr>
        <w:rPr>
          <w:rFonts w:hint="eastAsia" w:eastAsia="仿宋"/>
          <w:color w:val="000000" w:themeColor="text1"/>
          <w:sz w:val="24"/>
          <w:szCs w:val="24"/>
          <w14:textFill>
            <w14:solidFill>
              <w14:schemeClr w14:val="tx1"/>
            </w14:solidFill>
          </w14:textFill>
        </w:rPr>
      </w:pPr>
    </w:p>
    <w:p>
      <w:pPr>
        <w:pStyle w:val="2"/>
        <w:rPr>
          <w:rFonts w:hint="eastAsia" w:eastAsia="仿宋"/>
          <w:color w:val="000000" w:themeColor="text1"/>
          <w:sz w:val="24"/>
          <w:szCs w:val="24"/>
          <w14:textFill>
            <w14:solidFill>
              <w14:schemeClr w14:val="tx1"/>
            </w14:solidFill>
          </w14:textFill>
        </w:rPr>
      </w:pPr>
    </w:p>
    <w:p>
      <w:pPr>
        <w:rPr>
          <w:rFonts w:hint="eastAsia" w:eastAsia="仿宋"/>
          <w:color w:val="000000" w:themeColor="text1"/>
          <w:sz w:val="24"/>
          <w:szCs w:val="24"/>
          <w14:textFill>
            <w14:solidFill>
              <w14:schemeClr w14:val="tx1"/>
            </w14:solidFill>
          </w14:textFill>
        </w:rPr>
      </w:pPr>
    </w:p>
    <w:p>
      <w:pPr>
        <w:pStyle w:val="2"/>
        <w:rPr>
          <w:rFonts w:hint="eastAsia" w:eastAsia="仿宋"/>
          <w:color w:val="000000" w:themeColor="text1"/>
          <w:sz w:val="24"/>
          <w:szCs w:val="24"/>
          <w14:textFill>
            <w14:solidFill>
              <w14:schemeClr w14:val="tx1"/>
            </w14:solidFill>
          </w14:textFill>
        </w:rPr>
      </w:pPr>
    </w:p>
    <w:p>
      <w:pPr>
        <w:rPr>
          <w:rFonts w:hint="eastAsia" w:eastAsia="仿宋"/>
          <w:color w:val="000000" w:themeColor="text1"/>
          <w:sz w:val="24"/>
          <w:szCs w:val="24"/>
          <w14:textFill>
            <w14:solidFill>
              <w14:schemeClr w14:val="tx1"/>
            </w14:solidFill>
          </w14:textFill>
        </w:rPr>
      </w:pPr>
    </w:p>
    <w:p>
      <w:pPr>
        <w:pStyle w:val="2"/>
        <w:rPr>
          <w:rFonts w:hint="eastAsia" w:eastAsia="仿宋"/>
          <w:color w:val="000000" w:themeColor="text1"/>
          <w:sz w:val="24"/>
          <w:szCs w:val="24"/>
          <w14:textFill>
            <w14:solidFill>
              <w14:schemeClr w14:val="tx1"/>
            </w14:solidFill>
          </w14:textFill>
        </w:rPr>
      </w:pPr>
    </w:p>
    <w:p>
      <w:pPr>
        <w:rPr>
          <w:rFonts w:hint="eastAsia" w:eastAsia="仿宋"/>
          <w:color w:val="000000" w:themeColor="text1"/>
          <w:sz w:val="24"/>
          <w:szCs w:val="24"/>
          <w14:textFill>
            <w14:solidFill>
              <w14:schemeClr w14:val="tx1"/>
            </w14:solidFill>
          </w14:textFill>
        </w:rPr>
      </w:pPr>
    </w:p>
    <w:p>
      <w:pPr>
        <w:pStyle w:val="2"/>
        <w:rPr>
          <w:rFonts w:hint="eastAsia" w:eastAsia="仿宋"/>
          <w:color w:val="000000" w:themeColor="text1"/>
          <w:sz w:val="24"/>
          <w:szCs w:val="24"/>
          <w14:textFill>
            <w14:solidFill>
              <w14:schemeClr w14:val="tx1"/>
            </w14:solidFill>
          </w14:textFill>
        </w:rPr>
      </w:pPr>
    </w:p>
    <w:p>
      <w:pPr>
        <w:rPr>
          <w:rFonts w:hint="eastAsia" w:eastAsia="仿宋"/>
          <w:color w:val="000000" w:themeColor="text1"/>
          <w:sz w:val="24"/>
          <w:szCs w:val="24"/>
          <w14:textFill>
            <w14:solidFill>
              <w14:schemeClr w14:val="tx1"/>
            </w14:solidFill>
          </w14:textFill>
        </w:rPr>
      </w:pPr>
    </w:p>
    <w:p>
      <w:pPr>
        <w:pStyle w:val="2"/>
        <w:rPr>
          <w:rFonts w:hint="eastAsia" w:eastAsia="仿宋"/>
          <w:color w:val="000000" w:themeColor="text1"/>
          <w:sz w:val="24"/>
          <w:szCs w:val="24"/>
          <w14:textFill>
            <w14:solidFill>
              <w14:schemeClr w14:val="tx1"/>
            </w14:solidFill>
          </w14:textFill>
        </w:rPr>
      </w:pPr>
    </w:p>
    <w:p>
      <w:pPr>
        <w:rPr>
          <w:rFonts w:hint="eastAsia" w:eastAsia="仿宋"/>
          <w:color w:val="000000" w:themeColor="text1"/>
          <w:sz w:val="24"/>
          <w:szCs w:val="24"/>
          <w14:textFill>
            <w14:solidFill>
              <w14:schemeClr w14:val="tx1"/>
            </w14:solidFill>
          </w14:textFill>
        </w:rPr>
      </w:pPr>
    </w:p>
    <w:p>
      <w:pPr>
        <w:pStyle w:val="2"/>
        <w:rPr>
          <w:rFonts w:hint="eastAsia"/>
        </w:rPr>
      </w:pPr>
    </w:p>
    <w:p>
      <w:pPr>
        <w:ind w:firstLine="720" w:firstLineChars="300"/>
        <w:rPr>
          <w:rFonts w:hint="eastAsia" w:eastAsia="仿宋"/>
          <w:color w:val="000000" w:themeColor="text1"/>
          <w:sz w:val="24"/>
          <w:szCs w:val="24"/>
          <w14:textFill>
            <w14:solidFill>
              <w14:schemeClr w14:val="tx1"/>
            </w14:solidFill>
          </w14:textFill>
        </w:rPr>
      </w:pPr>
    </w:p>
    <w:p>
      <w:pPr>
        <w:adjustRightInd w:val="0"/>
        <w:snapToGrid w:val="0"/>
        <w:spacing w:line="360" w:lineRule="auto"/>
      </w:pPr>
      <w:r>
        <w:rPr>
          <w:rFonts w:hint="eastAsia"/>
          <w:szCs w:val="21"/>
          <w:lang w:val="en-US" w:eastAsia="zh-CN"/>
        </w:rPr>
        <w:t>3、</w:t>
      </w:r>
      <w:r>
        <w:rPr>
          <w:rFonts w:hint="eastAsia"/>
          <w:szCs w:val="21"/>
          <w:lang w:eastAsia="zh-CN"/>
        </w:rPr>
        <w:t>专用工具</w:t>
      </w:r>
      <w:r>
        <w:t xml:space="preserve">    </w:t>
      </w:r>
    </w:p>
    <w:tbl>
      <w:tblPr>
        <w:tblStyle w:val="45"/>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1086"/>
        <w:gridCol w:w="1735"/>
        <w:gridCol w:w="748"/>
        <w:gridCol w:w="697"/>
        <w:gridCol w:w="1043"/>
        <w:gridCol w:w="1227"/>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pPr>
              <w:pStyle w:val="43"/>
              <w:ind w:left="0" w:leftChars="0" w:firstLine="0" w:firstLineChars="0"/>
              <w:jc w:val="center"/>
              <w:rPr>
                <w:rFonts w:hint="eastAsia"/>
                <w:color w:val="auto"/>
              </w:rPr>
            </w:pPr>
            <w:r>
              <w:rPr>
                <w:rFonts w:hint="eastAsia"/>
                <w:color w:val="auto"/>
              </w:rPr>
              <w:t>序号</w:t>
            </w:r>
          </w:p>
        </w:tc>
        <w:tc>
          <w:tcPr>
            <w:tcW w:w="1086" w:type="dxa"/>
          </w:tcPr>
          <w:p>
            <w:pPr>
              <w:pStyle w:val="43"/>
              <w:ind w:left="0" w:firstLine="0"/>
              <w:jc w:val="center"/>
              <w:rPr>
                <w:rFonts w:hint="eastAsia"/>
                <w:color w:val="auto"/>
              </w:rPr>
            </w:pPr>
            <w:r>
              <w:rPr>
                <w:rFonts w:hint="eastAsia"/>
                <w:color w:val="auto"/>
              </w:rPr>
              <w:t>设备名称</w:t>
            </w:r>
          </w:p>
        </w:tc>
        <w:tc>
          <w:tcPr>
            <w:tcW w:w="1735" w:type="dxa"/>
          </w:tcPr>
          <w:p>
            <w:pPr>
              <w:pStyle w:val="43"/>
              <w:ind w:left="0" w:firstLine="0"/>
              <w:jc w:val="center"/>
              <w:rPr>
                <w:rFonts w:hint="eastAsia"/>
                <w:color w:val="auto"/>
              </w:rPr>
            </w:pPr>
            <w:r>
              <w:rPr>
                <w:rFonts w:hint="eastAsia"/>
                <w:color w:val="auto"/>
              </w:rPr>
              <w:t>规格型号</w:t>
            </w:r>
          </w:p>
        </w:tc>
        <w:tc>
          <w:tcPr>
            <w:tcW w:w="748" w:type="dxa"/>
          </w:tcPr>
          <w:p>
            <w:pPr>
              <w:pStyle w:val="43"/>
              <w:ind w:left="0" w:leftChars="0" w:firstLine="0" w:firstLineChars="0"/>
              <w:jc w:val="center"/>
              <w:rPr>
                <w:rFonts w:hint="eastAsia"/>
                <w:color w:val="auto"/>
              </w:rPr>
            </w:pPr>
            <w:r>
              <w:rPr>
                <w:rFonts w:hint="eastAsia"/>
                <w:color w:val="auto"/>
              </w:rPr>
              <w:t>单位</w:t>
            </w:r>
          </w:p>
        </w:tc>
        <w:tc>
          <w:tcPr>
            <w:tcW w:w="697" w:type="dxa"/>
          </w:tcPr>
          <w:p>
            <w:pPr>
              <w:pStyle w:val="43"/>
              <w:ind w:left="0" w:leftChars="0" w:firstLine="0" w:firstLineChars="0"/>
              <w:jc w:val="center"/>
              <w:rPr>
                <w:rFonts w:hint="eastAsia"/>
                <w:color w:val="auto"/>
              </w:rPr>
            </w:pPr>
            <w:r>
              <w:rPr>
                <w:rFonts w:hint="eastAsia"/>
                <w:color w:val="auto"/>
              </w:rPr>
              <w:t>数量</w:t>
            </w:r>
          </w:p>
        </w:tc>
        <w:tc>
          <w:tcPr>
            <w:tcW w:w="1043" w:type="dxa"/>
          </w:tcPr>
          <w:p>
            <w:pPr>
              <w:pStyle w:val="43"/>
              <w:ind w:left="0" w:leftChars="0" w:firstLine="0" w:firstLineChars="0"/>
              <w:jc w:val="center"/>
              <w:rPr>
                <w:rFonts w:hint="eastAsia" w:eastAsia="宋体"/>
                <w:color w:val="auto"/>
                <w:lang w:val="en-US" w:eastAsia="zh-CN"/>
              </w:rPr>
            </w:pPr>
            <w:r>
              <w:rPr>
                <w:rFonts w:hint="eastAsia"/>
                <w:color w:val="auto"/>
                <w:lang w:val="en-US" w:eastAsia="zh-CN"/>
              </w:rPr>
              <w:t>单价</w:t>
            </w:r>
          </w:p>
        </w:tc>
        <w:tc>
          <w:tcPr>
            <w:tcW w:w="1227" w:type="dxa"/>
          </w:tcPr>
          <w:p>
            <w:pPr>
              <w:pStyle w:val="43"/>
              <w:ind w:left="0" w:leftChars="0" w:firstLine="0" w:firstLineChars="0"/>
              <w:jc w:val="center"/>
              <w:rPr>
                <w:rFonts w:hint="eastAsia" w:eastAsia="宋体"/>
                <w:color w:val="auto"/>
                <w:lang w:val="en-US" w:eastAsia="zh-CN"/>
              </w:rPr>
            </w:pPr>
            <w:r>
              <w:rPr>
                <w:rFonts w:hint="eastAsia"/>
                <w:color w:val="auto"/>
                <w:lang w:val="en-US" w:eastAsia="zh-CN"/>
              </w:rPr>
              <w:t>合价</w:t>
            </w:r>
          </w:p>
        </w:tc>
        <w:tc>
          <w:tcPr>
            <w:tcW w:w="1227" w:type="dxa"/>
          </w:tcPr>
          <w:p>
            <w:pPr>
              <w:pStyle w:val="43"/>
              <w:ind w:left="0" w:leftChars="0" w:firstLine="0" w:firstLineChars="0"/>
              <w:jc w:val="center"/>
              <w:rPr>
                <w:rFonts w:hint="eastAsia" w:eastAsia="宋体"/>
                <w:color w:val="auto"/>
                <w:lang w:val="en-US" w:eastAsia="zh-CN"/>
              </w:rPr>
            </w:pPr>
            <w:r>
              <w:rPr>
                <w:rFonts w:hint="eastAsia"/>
                <w:color w:val="auto"/>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pPr>
              <w:pStyle w:val="43"/>
              <w:numPr>
                <w:ilvl w:val="0"/>
                <w:numId w:val="0"/>
              </w:numPr>
              <w:ind w:leftChars="200"/>
              <w:jc w:val="center"/>
              <w:rPr>
                <w:rFonts w:hint="eastAsia" w:eastAsia="宋体"/>
                <w:color w:val="auto"/>
                <w:lang w:val="en-US" w:eastAsia="zh-CN"/>
              </w:rPr>
            </w:pPr>
            <w:r>
              <w:rPr>
                <w:rFonts w:hint="eastAsia"/>
                <w:color w:val="auto"/>
                <w:lang w:val="en-US" w:eastAsia="zh-CN"/>
              </w:rPr>
              <w:t>1</w:t>
            </w:r>
          </w:p>
        </w:tc>
        <w:tc>
          <w:tcPr>
            <w:tcW w:w="1086" w:type="dxa"/>
          </w:tcPr>
          <w:p>
            <w:pPr>
              <w:pStyle w:val="43"/>
              <w:ind w:left="0" w:leftChars="0" w:firstLine="0" w:firstLineChars="0"/>
              <w:jc w:val="center"/>
              <w:rPr>
                <w:rFonts w:hint="eastAsia"/>
                <w:color w:val="auto"/>
              </w:rPr>
            </w:pPr>
            <w:r>
              <w:rPr>
                <w:rFonts w:hint="eastAsia"/>
                <w:color w:val="auto"/>
              </w:rPr>
              <w:t>平锉刀、圆锉刀、扁锉刀</w:t>
            </w:r>
          </w:p>
        </w:tc>
        <w:tc>
          <w:tcPr>
            <w:tcW w:w="1735" w:type="dxa"/>
          </w:tcPr>
          <w:p>
            <w:pPr>
              <w:pStyle w:val="43"/>
              <w:ind w:left="0" w:firstLine="0"/>
              <w:jc w:val="center"/>
              <w:rPr>
                <w:rFonts w:hint="eastAsia"/>
                <w:color w:val="auto"/>
              </w:rPr>
            </w:pPr>
            <w:r>
              <w:rPr>
                <w:rFonts w:hint="eastAsia"/>
                <w:color w:val="auto"/>
              </w:rPr>
              <w:t>1</w:t>
            </w:r>
            <w:r>
              <w:rPr>
                <w:color w:val="auto"/>
              </w:rPr>
              <w:t>2</w:t>
            </w:r>
            <w:r>
              <w:rPr>
                <w:rFonts w:hint="eastAsia"/>
                <w:color w:val="auto"/>
              </w:rPr>
              <w:t>寸、1</w:t>
            </w:r>
            <w:r>
              <w:rPr>
                <w:color w:val="auto"/>
              </w:rPr>
              <w:t>4</w:t>
            </w:r>
            <w:r>
              <w:rPr>
                <w:rFonts w:hint="eastAsia"/>
                <w:color w:val="auto"/>
              </w:rPr>
              <w:t>寸</w:t>
            </w:r>
          </w:p>
        </w:tc>
        <w:tc>
          <w:tcPr>
            <w:tcW w:w="748" w:type="dxa"/>
          </w:tcPr>
          <w:p>
            <w:pPr>
              <w:pStyle w:val="43"/>
              <w:ind w:left="0" w:leftChars="0" w:firstLine="210" w:firstLineChars="100"/>
              <w:jc w:val="center"/>
              <w:rPr>
                <w:rFonts w:hint="eastAsia"/>
                <w:color w:val="auto"/>
              </w:rPr>
            </w:pPr>
          </w:p>
          <w:p>
            <w:pPr>
              <w:pStyle w:val="43"/>
              <w:ind w:left="0" w:leftChars="0" w:firstLine="210" w:firstLineChars="100"/>
              <w:jc w:val="center"/>
              <w:rPr>
                <w:rFonts w:hint="eastAsia"/>
                <w:color w:val="auto"/>
              </w:rPr>
            </w:pPr>
            <w:r>
              <w:rPr>
                <w:rFonts w:hint="eastAsia"/>
                <w:color w:val="auto"/>
              </w:rPr>
              <w:t>把</w:t>
            </w:r>
          </w:p>
        </w:tc>
        <w:tc>
          <w:tcPr>
            <w:tcW w:w="697" w:type="dxa"/>
          </w:tcPr>
          <w:p>
            <w:pPr>
              <w:pStyle w:val="43"/>
              <w:ind w:left="0" w:leftChars="0" w:firstLine="0" w:firstLineChars="0"/>
              <w:jc w:val="center"/>
              <w:rPr>
                <w:rFonts w:hint="eastAsia"/>
                <w:color w:val="auto"/>
              </w:rPr>
            </w:pPr>
          </w:p>
          <w:p>
            <w:pPr>
              <w:pStyle w:val="43"/>
              <w:ind w:left="0" w:leftChars="0" w:firstLine="0" w:firstLineChars="0"/>
              <w:jc w:val="center"/>
              <w:rPr>
                <w:rFonts w:hint="eastAsia"/>
                <w:color w:val="auto"/>
              </w:rPr>
            </w:pPr>
            <w:r>
              <w:rPr>
                <w:rFonts w:hint="eastAsia"/>
                <w:color w:val="auto"/>
              </w:rPr>
              <w:t>各2</w:t>
            </w:r>
          </w:p>
        </w:tc>
        <w:tc>
          <w:tcPr>
            <w:tcW w:w="1043" w:type="dxa"/>
          </w:tcPr>
          <w:p>
            <w:pPr>
              <w:pStyle w:val="43"/>
              <w:ind w:left="0" w:firstLine="0"/>
              <w:jc w:val="center"/>
              <w:rPr>
                <w:rFonts w:hint="eastAsia"/>
                <w:color w:val="auto"/>
              </w:rPr>
            </w:pPr>
          </w:p>
        </w:tc>
        <w:tc>
          <w:tcPr>
            <w:tcW w:w="1227" w:type="dxa"/>
          </w:tcPr>
          <w:p>
            <w:pPr>
              <w:pStyle w:val="43"/>
              <w:ind w:left="0" w:firstLine="0"/>
              <w:jc w:val="center"/>
              <w:rPr>
                <w:rFonts w:hint="eastAsia"/>
                <w:color w:val="auto"/>
              </w:rPr>
            </w:pPr>
          </w:p>
        </w:tc>
        <w:tc>
          <w:tcPr>
            <w:tcW w:w="1227" w:type="dxa"/>
          </w:tcPr>
          <w:p>
            <w:pPr>
              <w:pStyle w:val="43"/>
              <w:ind w:left="0" w:firstLine="0"/>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pPr>
              <w:pStyle w:val="43"/>
              <w:numPr>
                <w:ilvl w:val="0"/>
                <w:numId w:val="0"/>
              </w:numPr>
              <w:ind w:left="440" w:leftChars="0"/>
              <w:jc w:val="center"/>
              <w:rPr>
                <w:rFonts w:hint="eastAsia" w:eastAsia="宋体"/>
                <w:color w:val="auto"/>
                <w:lang w:val="en-US" w:eastAsia="zh-CN"/>
              </w:rPr>
            </w:pPr>
            <w:r>
              <w:rPr>
                <w:rFonts w:hint="eastAsia"/>
                <w:color w:val="auto"/>
                <w:lang w:val="en-US" w:eastAsia="zh-CN"/>
              </w:rPr>
              <w:t>2</w:t>
            </w:r>
          </w:p>
        </w:tc>
        <w:tc>
          <w:tcPr>
            <w:tcW w:w="1086" w:type="dxa"/>
          </w:tcPr>
          <w:p>
            <w:pPr>
              <w:pStyle w:val="43"/>
              <w:ind w:left="0" w:leftChars="0" w:firstLine="630" w:firstLineChars="300"/>
              <w:jc w:val="center"/>
              <w:rPr>
                <w:rFonts w:hint="eastAsia"/>
                <w:color w:val="auto"/>
              </w:rPr>
            </w:pPr>
          </w:p>
          <w:p>
            <w:pPr>
              <w:pStyle w:val="43"/>
              <w:ind w:left="0" w:leftChars="0" w:firstLine="0" w:firstLineChars="0"/>
              <w:jc w:val="center"/>
              <w:rPr>
                <w:rFonts w:hint="eastAsia"/>
                <w:color w:val="auto"/>
              </w:rPr>
            </w:pPr>
            <w:r>
              <w:rPr>
                <w:rFonts w:hint="eastAsia"/>
                <w:color w:val="auto"/>
              </w:rPr>
              <w:t>塞尺</w:t>
            </w:r>
          </w:p>
        </w:tc>
        <w:tc>
          <w:tcPr>
            <w:tcW w:w="1735" w:type="dxa"/>
          </w:tcPr>
          <w:p>
            <w:pPr>
              <w:pStyle w:val="43"/>
              <w:ind w:left="0" w:firstLine="0"/>
              <w:jc w:val="center"/>
              <w:rPr>
                <w:rFonts w:hint="eastAsia"/>
                <w:color w:val="auto"/>
              </w:rPr>
            </w:pPr>
            <w:r>
              <w:rPr>
                <w:rFonts w:hint="eastAsia"/>
                <w:color w:val="auto"/>
              </w:rPr>
              <w:t>0.05-1.0，长150mm；0.02-1.0，长150mm</w:t>
            </w:r>
          </w:p>
        </w:tc>
        <w:tc>
          <w:tcPr>
            <w:tcW w:w="748" w:type="dxa"/>
          </w:tcPr>
          <w:p>
            <w:pPr>
              <w:pStyle w:val="43"/>
              <w:ind w:left="0" w:leftChars="0" w:firstLine="210" w:firstLineChars="100"/>
              <w:jc w:val="center"/>
              <w:rPr>
                <w:rFonts w:hint="eastAsia"/>
                <w:color w:val="auto"/>
              </w:rPr>
            </w:pPr>
          </w:p>
          <w:p>
            <w:pPr>
              <w:pStyle w:val="43"/>
              <w:ind w:left="0" w:leftChars="0" w:firstLine="210" w:firstLineChars="100"/>
              <w:jc w:val="center"/>
              <w:rPr>
                <w:rFonts w:hint="eastAsia"/>
                <w:color w:val="auto"/>
              </w:rPr>
            </w:pPr>
            <w:r>
              <w:rPr>
                <w:rFonts w:hint="eastAsia"/>
                <w:color w:val="auto"/>
              </w:rPr>
              <w:t>把</w:t>
            </w:r>
          </w:p>
        </w:tc>
        <w:tc>
          <w:tcPr>
            <w:tcW w:w="697" w:type="dxa"/>
          </w:tcPr>
          <w:p>
            <w:pPr>
              <w:pStyle w:val="43"/>
              <w:ind w:left="0" w:leftChars="0" w:firstLine="0" w:firstLineChars="0"/>
              <w:jc w:val="center"/>
              <w:rPr>
                <w:rFonts w:hint="eastAsia"/>
                <w:color w:val="auto"/>
              </w:rPr>
            </w:pPr>
            <w:r>
              <w:rPr>
                <w:rFonts w:hint="eastAsia"/>
                <w:color w:val="auto"/>
              </w:rPr>
              <w:t>各2</w:t>
            </w:r>
          </w:p>
        </w:tc>
        <w:tc>
          <w:tcPr>
            <w:tcW w:w="1043" w:type="dxa"/>
          </w:tcPr>
          <w:p>
            <w:pPr>
              <w:pStyle w:val="43"/>
              <w:ind w:left="0" w:firstLine="0"/>
              <w:jc w:val="center"/>
              <w:rPr>
                <w:rFonts w:hint="eastAsia"/>
                <w:color w:val="auto"/>
              </w:rPr>
            </w:pPr>
          </w:p>
        </w:tc>
        <w:tc>
          <w:tcPr>
            <w:tcW w:w="1227" w:type="dxa"/>
          </w:tcPr>
          <w:p>
            <w:pPr>
              <w:pStyle w:val="43"/>
              <w:ind w:left="0" w:firstLine="0"/>
              <w:jc w:val="center"/>
              <w:rPr>
                <w:rFonts w:hint="eastAsia"/>
                <w:color w:val="auto"/>
              </w:rPr>
            </w:pPr>
          </w:p>
        </w:tc>
        <w:tc>
          <w:tcPr>
            <w:tcW w:w="1227" w:type="dxa"/>
          </w:tcPr>
          <w:p>
            <w:pPr>
              <w:pStyle w:val="43"/>
              <w:ind w:left="0" w:firstLine="0"/>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pPr>
              <w:pStyle w:val="43"/>
              <w:numPr>
                <w:ilvl w:val="0"/>
                <w:numId w:val="0"/>
              </w:numPr>
              <w:ind w:firstLine="420" w:firstLineChars="200"/>
              <w:jc w:val="center"/>
              <w:rPr>
                <w:rFonts w:hint="eastAsia" w:eastAsia="宋体"/>
                <w:color w:val="auto"/>
                <w:lang w:val="en-US" w:eastAsia="zh-CN"/>
              </w:rPr>
            </w:pPr>
            <w:r>
              <w:rPr>
                <w:rFonts w:hint="eastAsia"/>
                <w:color w:val="auto"/>
                <w:lang w:val="en-US" w:eastAsia="zh-CN"/>
              </w:rPr>
              <w:t>3</w:t>
            </w:r>
          </w:p>
        </w:tc>
        <w:tc>
          <w:tcPr>
            <w:tcW w:w="1086" w:type="dxa"/>
          </w:tcPr>
          <w:p>
            <w:pPr>
              <w:pStyle w:val="43"/>
              <w:ind w:left="0" w:leftChars="0" w:firstLine="0" w:firstLineChars="0"/>
              <w:jc w:val="center"/>
              <w:rPr>
                <w:rFonts w:hint="eastAsia"/>
                <w:color w:val="auto"/>
              </w:rPr>
            </w:pPr>
            <w:r>
              <w:rPr>
                <w:rFonts w:hint="eastAsia"/>
                <w:color w:val="auto"/>
              </w:rPr>
              <w:t>框式水平仪</w:t>
            </w:r>
          </w:p>
        </w:tc>
        <w:tc>
          <w:tcPr>
            <w:tcW w:w="1735" w:type="dxa"/>
          </w:tcPr>
          <w:p>
            <w:pPr>
              <w:pStyle w:val="43"/>
              <w:ind w:left="0" w:firstLine="0"/>
              <w:jc w:val="center"/>
              <w:rPr>
                <w:rFonts w:hint="eastAsia"/>
                <w:color w:val="auto"/>
              </w:rPr>
            </w:pPr>
            <w:r>
              <w:rPr>
                <w:color w:val="auto"/>
              </w:rPr>
              <w:t>250*250mm</w:t>
            </w:r>
          </w:p>
        </w:tc>
        <w:tc>
          <w:tcPr>
            <w:tcW w:w="748" w:type="dxa"/>
          </w:tcPr>
          <w:p>
            <w:pPr>
              <w:pStyle w:val="43"/>
              <w:ind w:left="0" w:leftChars="0" w:firstLine="210" w:firstLineChars="100"/>
              <w:jc w:val="center"/>
              <w:rPr>
                <w:rFonts w:hint="eastAsia"/>
                <w:color w:val="auto"/>
              </w:rPr>
            </w:pPr>
            <w:r>
              <w:rPr>
                <w:rFonts w:hint="eastAsia"/>
                <w:color w:val="auto"/>
              </w:rPr>
              <w:t>台</w:t>
            </w:r>
          </w:p>
        </w:tc>
        <w:tc>
          <w:tcPr>
            <w:tcW w:w="697" w:type="dxa"/>
          </w:tcPr>
          <w:p>
            <w:pPr>
              <w:pStyle w:val="43"/>
              <w:ind w:left="0" w:leftChars="0" w:firstLine="0" w:firstLineChars="0"/>
              <w:jc w:val="center"/>
              <w:rPr>
                <w:rFonts w:hint="eastAsia"/>
                <w:color w:val="auto"/>
              </w:rPr>
            </w:pPr>
            <w:r>
              <w:rPr>
                <w:rFonts w:hint="eastAsia"/>
                <w:color w:val="auto"/>
              </w:rPr>
              <w:t>2</w:t>
            </w:r>
          </w:p>
        </w:tc>
        <w:tc>
          <w:tcPr>
            <w:tcW w:w="1043" w:type="dxa"/>
          </w:tcPr>
          <w:p>
            <w:pPr>
              <w:pStyle w:val="43"/>
              <w:ind w:left="0" w:firstLine="0"/>
              <w:jc w:val="center"/>
              <w:rPr>
                <w:rFonts w:hint="eastAsia"/>
                <w:color w:val="auto"/>
              </w:rPr>
            </w:pPr>
          </w:p>
        </w:tc>
        <w:tc>
          <w:tcPr>
            <w:tcW w:w="1227" w:type="dxa"/>
          </w:tcPr>
          <w:p>
            <w:pPr>
              <w:pStyle w:val="43"/>
              <w:ind w:left="0" w:firstLine="0"/>
              <w:jc w:val="center"/>
              <w:rPr>
                <w:rFonts w:hint="eastAsia"/>
                <w:color w:val="auto"/>
              </w:rPr>
            </w:pPr>
          </w:p>
        </w:tc>
        <w:tc>
          <w:tcPr>
            <w:tcW w:w="1227" w:type="dxa"/>
          </w:tcPr>
          <w:p>
            <w:pPr>
              <w:pStyle w:val="43"/>
              <w:ind w:left="0" w:firstLine="0"/>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pPr>
              <w:pStyle w:val="43"/>
              <w:numPr>
                <w:ilvl w:val="0"/>
                <w:numId w:val="0"/>
              </w:numPr>
              <w:ind w:left="440" w:leftChars="0"/>
              <w:jc w:val="center"/>
              <w:rPr>
                <w:rFonts w:hint="eastAsia" w:eastAsia="宋体"/>
                <w:color w:val="auto"/>
                <w:lang w:val="en-US" w:eastAsia="zh-CN"/>
              </w:rPr>
            </w:pPr>
            <w:r>
              <w:rPr>
                <w:rFonts w:hint="eastAsia"/>
                <w:color w:val="auto"/>
                <w:lang w:val="en-US" w:eastAsia="zh-CN"/>
              </w:rPr>
              <w:t>4</w:t>
            </w:r>
          </w:p>
        </w:tc>
        <w:tc>
          <w:tcPr>
            <w:tcW w:w="1086" w:type="dxa"/>
          </w:tcPr>
          <w:p>
            <w:pPr>
              <w:pStyle w:val="43"/>
              <w:ind w:left="0" w:leftChars="0" w:firstLine="0" w:firstLineChars="0"/>
              <w:jc w:val="center"/>
              <w:rPr>
                <w:rFonts w:hint="eastAsia"/>
                <w:color w:val="auto"/>
              </w:rPr>
            </w:pPr>
            <w:r>
              <w:rPr>
                <w:rFonts w:hint="eastAsia"/>
                <w:color w:val="auto"/>
              </w:rPr>
              <w:t>生锈螺母破开器</w:t>
            </w:r>
          </w:p>
        </w:tc>
        <w:tc>
          <w:tcPr>
            <w:tcW w:w="1735" w:type="dxa"/>
          </w:tcPr>
          <w:p>
            <w:pPr>
              <w:pStyle w:val="43"/>
              <w:ind w:left="0" w:firstLine="0"/>
              <w:jc w:val="center"/>
              <w:rPr>
                <w:rFonts w:hint="eastAsia"/>
                <w:color w:val="auto"/>
              </w:rPr>
            </w:pPr>
            <w:r>
              <w:rPr>
                <w:rFonts w:hint="eastAsia"/>
                <w:color w:val="auto"/>
              </w:rPr>
              <w:t>适用9mm-27mm</w:t>
            </w:r>
          </w:p>
        </w:tc>
        <w:tc>
          <w:tcPr>
            <w:tcW w:w="748" w:type="dxa"/>
          </w:tcPr>
          <w:p>
            <w:pPr>
              <w:pStyle w:val="43"/>
              <w:ind w:left="0" w:leftChars="0" w:firstLine="210" w:firstLineChars="100"/>
              <w:jc w:val="center"/>
              <w:rPr>
                <w:rFonts w:hint="eastAsia"/>
                <w:color w:val="auto"/>
              </w:rPr>
            </w:pPr>
            <w:r>
              <w:rPr>
                <w:rFonts w:hint="eastAsia"/>
                <w:color w:val="auto"/>
              </w:rPr>
              <w:t>套</w:t>
            </w:r>
          </w:p>
        </w:tc>
        <w:tc>
          <w:tcPr>
            <w:tcW w:w="697" w:type="dxa"/>
          </w:tcPr>
          <w:p>
            <w:pPr>
              <w:pStyle w:val="43"/>
              <w:ind w:left="0" w:leftChars="0" w:firstLine="0" w:firstLineChars="0"/>
              <w:jc w:val="center"/>
              <w:rPr>
                <w:rFonts w:hint="eastAsia"/>
                <w:color w:val="auto"/>
              </w:rPr>
            </w:pPr>
            <w:r>
              <w:rPr>
                <w:rFonts w:hint="eastAsia"/>
                <w:color w:val="auto"/>
              </w:rPr>
              <w:t>2</w:t>
            </w:r>
          </w:p>
        </w:tc>
        <w:tc>
          <w:tcPr>
            <w:tcW w:w="1043" w:type="dxa"/>
          </w:tcPr>
          <w:p>
            <w:pPr>
              <w:pStyle w:val="43"/>
              <w:ind w:left="0" w:firstLine="0"/>
              <w:jc w:val="center"/>
              <w:rPr>
                <w:rFonts w:hint="eastAsia"/>
                <w:color w:val="auto"/>
              </w:rPr>
            </w:pPr>
          </w:p>
        </w:tc>
        <w:tc>
          <w:tcPr>
            <w:tcW w:w="1227" w:type="dxa"/>
          </w:tcPr>
          <w:p>
            <w:pPr>
              <w:pStyle w:val="43"/>
              <w:ind w:left="0" w:firstLine="0"/>
              <w:jc w:val="center"/>
              <w:rPr>
                <w:rFonts w:hint="eastAsia"/>
                <w:color w:val="auto"/>
              </w:rPr>
            </w:pPr>
          </w:p>
        </w:tc>
        <w:tc>
          <w:tcPr>
            <w:tcW w:w="1227" w:type="dxa"/>
          </w:tcPr>
          <w:p>
            <w:pPr>
              <w:pStyle w:val="43"/>
              <w:ind w:left="0" w:firstLine="0"/>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pPr>
              <w:pStyle w:val="43"/>
              <w:numPr>
                <w:ilvl w:val="0"/>
                <w:numId w:val="0"/>
              </w:numPr>
              <w:ind w:left="440" w:leftChars="0"/>
              <w:jc w:val="center"/>
              <w:rPr>
                <w:rFonts w:hint="eastAsia" w:eastAsia="宋体"/>
                <w:color w:val="auto"/>
                <w:lang w:val="en-US" w:eastAsia="zh-CN"/>
              </w:rPr>
            </w:pPr>
            <w:r>
              <w:rPr>
                <w:rFonts w:hint="eastAsia"/>
                <w:color w:val="auto"/>
                <w:lang w:val="en-US" w:eastAsia="zh-CN"/>
              </w:rPr>
              <w:t>5</w:t>
            </w:r>
          </w:p>
        </w:tc>
        <w:tc>
          <w:tcPr>
            <w:tcW w:w="1086" w:type="dxa"/>
          </w:tcPr>
          <w:p>
            <w:pPr>
              <w:pStyle w:val="43"/>
              <w:ind w:left="0" w:leftChars="0" w:firstLine="0" w:firstLineChars="0"/>
              <w:jc w:val="center"/>
              <w:rPr>
                <w:rFonts w:hint="eastAsia"/>
                <w:color w:val="auto"/>
              </w:rPr>
            </w:pPr>
            <w:r>
              <w:rPr>
                <w:rFonts w:hint="eastAsia"/>
                <w:color w:val="auto"/>
              </w:rPr>
              <w:t>断头螺丝取出器</w:t>
            </w:r>
          </w:p>
        </w:tc>
        <w:tc>
          <w:tcPr>
            <w:tcW w:w="1735" w:type="dxa"/>
          </w:tcPr>
          <w:p>
            <w:pPr>
              <w:pStyle w:val="43"/>
              <w:ind w:left="0" w:firstLine="0"/>
              <w:jc w:val="center"/>
              <w:rPr>
                <w:rFonts w:hint="eastAsia"/>
                <w:color w:val="auto"/>
              </w:rPr>
            </w:pPr>
            <w:r>
              <w:rPr>
                <w:color w:val="auto"/>
              </w:rPr>
              <w:t>M3-M14</w:t>
            </w:r>
          </w:p>
        </w:tc>
        <w:tc>
          <w:tcPr>
            <w:tcW w:w="748" w:type="dxa"/>
          </w:tcPr>
          <w:p>
            <w:pPr>
              <w:pStyle w:val="43"/>
              <w:ind w:left="0" w:leftChars="0" w:firstLine="210" w:firstLineChars="100"/>
              <w:jc w:val="center"/>
              <w:rPr>
                <w:rFonts w:hint="eastAsia"/>
                <w:color w:val="auto"/>
              </w:rPr>
            </w:pPr>
            <w:r>
              <w:rPr>
                <w:rFonts w:hint="eastAsia"/>
                <w:color w:val="auto"/>
              </w:rPr>
              <w:t>套</w:t>
            </w:r>
          </w:p>
        </w:tc>
        <w:tc>
          <w:tcPr>
            <w:tcW w:w="697" w:type="dxa"/>
          </w:tcPr>
          <w:p>
            <w:pPr>
              <w:pStyle w:val="43"/>
              <w:ind w:left="0" w:leftChars="0" w:firstLine="0" w:firstLineChars="0"/>
              <w:jc w:val="center"/>
              <w:rPr>
                <w:rFonts w:hint="eastAsia"/>
                <w:color w:val="auto"/>
              </w:rPr>
            </w:pPr>
            <w:r>
              <w:rPr>
                <w:rFonts w:hint="eastAsia"/>
                <w:color w:val="auto"/>
              </w:rPr>
              <w:t>2</w:t>
            </w:r>
          </w:p>
        </w:tc>
        <w:tc>
          <w:tcPr>
            <w:tcW w:w="1043" w:type="dxa"/>
          </w:tcPr>
          <w:p>
            <w:pPr>
              <w:pStyle w:val="43"/>
              <w:ind w:left="0" w:firstLine="0"/>
              <w:jc w:val="center"/>
              <w:rPr>
                <w:rFonts w:hint="eastAsia"/>
                <w:color w:val="auto"/>
              </w:rPr>
            </w:pPr>
          </w:p>
        </w:tc>
        <w:tc>
          <w:tcPr>
            <w:tcW w:w="1227" w:type="dxa"/>
          </w:tcPr>
          <w:p>
            <w:pPr>
              <w:pStyle w:val="43"/>
              <w:ind w:left="0" w:firstLine="0"/>
              <w:jc w:val="center"/>
              <w:rPr>
                <w:rFonts w:hint="eastAsia"/>
                <w:color w:val="auto"/>
              </w:rPr>
            </w:pPr>
          </w:p>
        </w:tc>
        <w:tc>
          <w:tcPr>
            <w:tcW w:w="1227" w:type="dxa"/>
          </w:tcPr>
          <w:p>
            <w:pPr>
              <w:pStyle w:val="43"/>
              <w:ind w:left="0" w:firstLine="0"/>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pPr>
              <w:pStyle w:val="43"/>
              <w:numPr>
                <w:ilvl w:val="0"/>
                <w:numId w:val="0"/>
              </w:numPr>
              <w:ind w:left="440" w:leftChars="0"/>
              <w:jc w:val="center"/>
              <w:rPr>
                <w:rFonts w:hint="eastAsia" w:eastAsia="宋体"/>
                <w:color w:val="auto"/>
                <w:lang w:val="en-US" w:eastAsia="zh-CN"/>
              </w:rPr>
            </w:pPr>
            <w:r>
              <w:rPr>
                <w:rFonts w:hint="eastAsia"/>
                <w:color w:val="auto"/>
                <w:lang w:val="en-US" w:eastAsia="zh-CN"/>
              </w:rPr>
              <w:t>6</w:t>
            </w:r>
          </w:p>
        </w:tc>
        <w:tc>
          <w:tcPr>
            <w:tcW w:w="1086" w:type="dxa"/>
          </w:tcPr>
          <w:p>
            <w:pPr>
              <w:pStyle w:val="43"/>
              <w:ind w:left="0" w:leftChars="0" w:firstLine="0" w:firstLineChars="0"/>
              <w:jc w:val="center"/>
              <w:rPr>
                <w:rFonts w:hint="eastAsia"/>
                <w:color w:val="auto"/>
              </w:rPr>
            </w:pPr>
            <w:r>
              <w:rPr>
                <w:rFonts w:hint="eastAsia"/>
                <w:color w:val="auto"/>
              </w:rPr>
              <w:t>角尺</w:t>
            </w:r>
          </w:p>
        </w:tc>
        <w:tc>
          <w:tcPr>
            <w:tcW w:w="1735" w:type="dxa"/>
          </w:tcPr>
          <w:p>
            <w:pPr>
              <w:pStyle w:val="43"/>
              <w:ind w:left="0" w:firstLine="0"/>
              <w:jc w:val="center"/>
              <w:rPr>
                <w:rFonts w:hint="eastAsia"/>
                <w:color w:val="auto"/>
              </w:rPr>
            </w:pPr>
            <w:r>
              <w:rPr>
                <w:rFonts w:hint="eastAsia"/>
                <w:color w:val="auto"/>
              </w:rPr>
              <w:t>300mm、600mm</w:t>
            </w:r>
          </w:p>
        </w:tc>
        <w:tc>
          <w:tcPr>
            <w:tcW w:w="748" w:type="dxa"/>
          </w:tcPr>
          <w:p>
            <w:pPr>
              <w:pStyle w:val="43"/>
              <w:ind w:left="0" w:leftChars="0" w:firstLine="210" w:firstLineChars="100"/>
              <w:jc w:val="center"/>
              <w:rPr>
                <w:rFonts w:hint="eastAsia"/>
                <w:color w:val="auto"/>
              </w:rPr>
            </w:pPr>
            <w:r>
              <w:rPr>
                <w:rFonts w:hint="eastAsia"/>
                <w:color w:val="auto"/>
              </w:rPr>
              <w:t>把</w:t>
            </w:r>
          </w:p>
        </w:tc>
        <w:tc>
          <w:tcPr>
            <w:tcW w:w="697" w:type="dxa"/>
          </w:tcPr>
          <w:p>
            <w:pPr>
              <w:pStyle w:val="43"/>
              <w:ind w:left="0" w:leftChars="0" w:firstLine="0" w:firstLineChars="0"/>
              <w:jc w:val="center"/>
              <w:rPr>
                <w:rFonts w:hint="eastAsia"/>
                <w:color w:val="auto"/>
              </w:rPr>
            </w:pPr>
            <w:r>
              <w:rPr>
                <w:rFonts w:hint="eastAsia"/>
                <w:color w:val="auto"/>
              </w:rPr>
              <w:t>各2</w:t>
            </w:r>
          </w:p>
        </w:tc>
        <w:tc>
          <w:tcPr>
            <w:tcW w:w="1043" w:type="dxa"/>
          </w:tcPr>
          <w:p>
            <w:pPr>
              <w:pStyle w:val="43"/>
              <w:ind w:left="0" w:firstLine="0"/>
              <w:jc w:val="center"/>
              <w:rPr>
                <w:rFonts w:hint="eastAsia"/>
                <w:color w:val="auto"/>
              </w:rPr>
            </w:pPr>
          </w:p>
        </w:tc>
        <w:tc>
          <w:tcPr>
            <w:tcW w:w="1227" w:type="dxa"/>
          </w:tcPr>
          <w:p>
            <w:pPr>
              <w:pStyle w:val="43"/>
              <w:ind w:left="0" w:firstLine="0"/>
              <w:jc w:val="center"/>
              <w:rPr>
                <w:rFonts w:hint="eastAsia"/>
                <w:color w:val="auto"/>
              </w:rPr>
            </w:pPr>
          </w:p>
        </w:tc>
        <w:tc>
          <w:tcPr>
            <w:tcW w:w="1227" w:type="dxa"/>
          </w:tcPr>
          <w:p>
            <w:pPr>
              <w:pStyle w:val="43"/>
              <w:ind w:left="0" w:firstLine="0"/>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63" w:type="dxa"/>
          </w:tcPr>
          <w:p>
            <w:pPr>
              <w:pStyle w:val="43"/>
              <w:numPr>
                <w:ilvl w:val="0"/>
                <w:numId w:val="0"/>
              </w:numPr>
              <w:ind w:left="440" w:leftChars="0"/>
              <w:jc w:val="center"/>
              <w:rPr>
                <w:rFonts w:hint="eastAsia" w:eastAsia="宋体"/>
                <w:color w:val="auto"/>
                <w:lang w:val="en-US" w:eastAsia="zh-CN"/>
              </w:rPr>
            </w:pPr>
            <w:r>
              <w:rPr>
                <w:rFonts w:hint="eastAsia"/>
                <w:color w:val="auto"/>
                <w:lang w:val="en-US" w:eastAsia="zh-CN"/>
              </w:rPr>
              <w:t>7</w:t>
            </w:r>
          </w:p>
        </w:tc>
        <w:tc>
          <w:tcPr>
            <w:tcW w:w="1086" w:type="dxa"/>
          </w:tcPr>
          <w:p>
            <w:pPr>
              <w:pStyle w:val="43"/>
              <w:ind w:left="0" w:leftChars="0" w:firstLine="0" w:firstLineChars="0"/>
              <w:jc w:val="center"/>
              <w:rPr>
                <w:rFonts w:hint="eastAsia"/>
                <w:color w:val="auto"/>
              </w:rPr>
            </w:pPr>
            <w:r>
              <w:rPr>
                <w:rFonts w:hint="eastAsia"/>
                <w:color w:val="auto"/>
              </w:rPr>
              <w:t>钢板尺</w:t>
            </w:r>
          </w:p>
        </w:tc>
        <w:tc>
          <w:tcPr>
            <w:tcW w:w="1735" w:type="dxa"/>
          </w:tcPr>
          <w:p>
            <w:pPr>
              <w:pStyle w:val="43"/>
              <w:ind w:left="0" w:firstLine="0"/>
              <w:jc w:val="center"/>
              <w:rPr>
                <w:rFonts w:hint="eastAsia"/>
                <w:color w:val="auto"/>
              </w:rPr>
            </w:pPr>
            <w:r>
              <w:rPr>
                <w:color w:val="auto"/>
              </w:rPr>
              <w:t>1000 mm</w:t>
            </w:r>
            <w:r>
              <w:rPr>
                <w:rFonts w:hint="eastAsia"/>
                <w:color w:val="auto"/>
              </w:rPr>
              <w:t>、3</w:t>
            </w:r>
            <w:r>
              <w:rPr>
                <w:color w:val="auto"/>
              </w:rPr>
              <w:t>00 mm</w:t>
            </w:r>
          </w:p>
        </w:tc>
        <w:tc>
          <w:tcPr>
            <w:tcW w:w="748" w:type="dxa"/>
          </w:tcPr>
          <w:p>
            <w:pPr>
              <w:pStyle w:val="43"/>
              <w:ind w:left="0" w:leftChars="0" w:firstLine="210" w:firstLineChars="100"/>
              <w:jc w:val="center"/>
              <w:rPr>
                <w:rFonts w:hint="eastAsia"/>
                <w:color w:val="auto"/>
              </w:rPr>
            </w:pPr>
            <w:r>
              <w:rPr>
                <w:rFonts w:hint="eastAsia"/>
                <w:color w:val="auto"/>
              </w:rPr>
              <w:t>把</w:t>
            </w:r>
          </w:p>
        </w:tc>
        <w:tc>
          <w:tcPr>
            <w:tcW w:w="697" w:type="dxa"/>
          </w:tcPr>
          <w:p>
            <w:pPr>
              <w:pStyle w:val="43"/>
              <w:ind w:left="0" w:leftChars="0" w:firstLine="0" w:firstLineChars="0"/>
              <w:jc w:val="center"/>
              <w:rPr>
                <w:rFonts w:hint="eastAsia"/>
                <w:color w:val="auto"/>
              </w:rPr>
            </w:pPr>
            <w:r>
              <w:rPr>
                <w:rFonts w:hint="eastAsia"/>
                <w:color w:val="auto"/>
              </w:rPr>
              <w:t>各2</w:t>
            </w:r>
          </w:p>
        </w:tc>
        <w:tc>
          <w:tcPr>
            <w:tcW w:w="1043" w:type="dxa"/>
          </w:tcPr>
          <w:p>
            <w:pPr>
              <w:pStyle w:val="43"/>
              <w:ind w:left="0" w:firstLine="0"/>
              <w:jc w:val="center"/>
              <w:rPr>
                <w:rFonts w:hint="eastAsia"/>
                <w:color w:val="auto"/>
              </w:rPr>
            </w:pPr>
          </w:p>
        </w:tc>
        <w:tc>
          <w:tcPr>
            <w:tcW w:w="1227" w:type="dxa"/>
          </w:tcPr>
          <w:p>
            <w:pPr>
              <w:pStyle w:val="43"/>
              <w:ind w:left="0" w:firstLine="0"/>
              <w:jc w:val="center"/>
              <w:rPr>
                <w:rFonts w:hint="eastAsia"/>
                <w:color w:val="auto"/>
              </w:rPr>
            </w:pPr>
          </w:p>
        </w:tc>
        <w:tc>
          <w:tcPr>
            <w:tcW w:w="1227" w:type="dxa"/>
          </w:tcPr>
          <w:p>
            <w:pPr>
              <w:pStyle w:val="43"/>
              <w:ind w:left="0" w:firstLine="0"/>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pPr>
              <w:pStyle w:val="43"/>
              <w:numPr>
                <w:ilvl w:val="0"/>
                <w:numId w:val="0"/>
              </w:numPr>
              <w:ind w:left="440" w:leftChars="0"/>
              <w:jc w:val="center"/>
              <w:rPr>
                <w:rFonts w:hint="eastAsia" w:eastAsia="宋体"/>
                <w:color w:val="auto"/>
                <w:lang w:val="en-US" w:eastAsia="zh-CN"/>
              </w:rPr>
            </w:pPr>
            <w:r>
              <w:rPr>
                <w:rFonts w:hint="eastAsia"/>
                <w:color w:val="auto"/>
                <w:lang w:val="en-US" w:eastAsia="zh-CN"/>
              </w:rPr>
              <w:t>8</w:t>
            </w:r>
          </w:p>
        </w:tc>
        <w:tc>
          <w:tcPr>
            <w:tcW w:w="1086" w:type="dxa"/>
          </w:tcPr>
          <w:p>
            <w:pPr>
              <w:pStyle w:val="43"/>
              <w:ind w:left="0" w:leftChars="0" w:firstLine="0" w:firstLineChars="0"/>
              <w:jc w:val="center"/>
              <w:rPr>
                <w:rFonts w:hint="eastAsia"/>
                <w:color w:val="auto"/>
              </w:rPr>
            </w:pPr>
            <w:r>
              <w:rPr>
                <w:rFonts w:hint="eastAsia"/>
                <w:color w:val="auto"/>
              </w:rPr>
              <w:t>卷尺</w:t>
            </w:r>
          </w:p>
        </w:tc>
        <w:tc>
          <w:tcPr>
            <w:tcW w:w="1735" w:type="dxa"/>
          </w:tcPr>
          <w:p>
            <w:pPr>
              <w:pStyle w:val="43"/>
              <w:ind w:left="0" w:firstLine="0"/>
              <w:jc w:val="center"/>
              <w:rPr>
                <w:rFonts w:hint="eastAsia"/>
                <w:color w:val="auto"/>
              </w:rPr>
            </w:pPr>
            <w:r>
              <w:rPr>
                <w:rFonts w:hint="eastAsia"/>
                <w:color w:val="auto"/>
              </w:rPr>
              <w:t>5</w:t>
            </w:r>
            <w:r>
              <w:rPr>
                <w:color w:val="auto"/>
              </w:rPr>
              <w:t>m</w:t>
            </w:r>
          </w:p>
        </w:tc>
        <w:tc>
          <w:tcPr>
            <w:tcW w:w="748" w:type="dxa"/>
          </w:tcPr>
          <w:p>
            <w:pPr>
              <w:pStyle w:val="43"/>
              <w:ind w:left="0" w:leftChars="0" w:firstLine="210" w:firstLineChars="100"/>
              <w:jc w:val="center"/>
              <w:rPr>
                <w:rFonts w:hint="eastAsia"/>
                <w:color w:val="auto"/>
              </w:rPr>
            </w:pPr>
            <w:r>
              <w:rPr>
                <w:rFonts w:hint="eastAsia"/>
                <w:color w:val="auto"/>
              </w:rPr>
              <w:t>把</w:t>
            </w:r>
          </w:p>
        </w:tc>
        <w:tc>
          <w:tcPr>
            <w:tcW w:w="697" w:type="dxa"/>
          </w:tcPr>
          <w:p>
            <w:pPr>
              <w:pStyle w:val="43"/>
              <w:ind w:left="0" w:leftChars="0" w:firstLine="0" w:firstLineChars="0"/>
              <w:jc w:val="center"/>
              <w:rPr>
                <w:rFonts w:hint="eastAsia"/>
                <w:color w:val="auto"/>
              </w:rPr>
            </w:pPr>
            <w:r>
              <w:rPr>
                <w:rFonts w:hint="eastAsia"/>
                <w:color w:val="auto"/>
              </w:rPr>
              <w:t>2</w:t>
            </w:r>
          </w:p>
        </w:tc>
        <w:tc>
          <w:tcPr>
            <w:tcW w:w="1043" w:type="dxa"/>
          </w:tcPr>
          <w:p>
            <w:pPr>
              <w:pStyle w:val="43"/>
              <w:ind w:left="0" w:firstLine="0"/>
              <w:jc w:val="center"/>
              <w:rPr>
                <w:rFonts w:hint="eastAsia"/>
                <w:color w:val="auto"/>
              </w:rPr>
            </w:pPr>
          </w:p>
        </w:tc>
        <w:tc>
          <w:tcPr>
            <w:tcW w:w="1227" w:type="dxa"/>
          </w:tcPr>
          <w:p>
            <w:pPr>
              <w:pStyle w:val="43"/>
              <w:ind w:left="0" w:firstLine="0"/>
              <w:jc w:val="center"/>
              <w:rPr>
                <w:rFonts w:hint="eastAsia"/>
                <w:color w:val="auto"/>
              </w:rPr>
            </w:pPr>
          </w:p>
        </w:tc>
        <w:tc>
          <w:tcPr>
            <w:tcW w:w="1227" w:type="dxa"/>
          </w:tcPr>
          <w:p>
            <w:pPr>
              <w:pStyle w:val="43"/>
              <w:ind w:left="0" w:firstLine="0"/>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pPr>
              <w:pStyle w:val="43"/>
              <w:numPr>
                <w:ilvl w:val="0"/>
                <w:numId w:val="0"/>
              </w:numPr>
              <w:ind w:left="440" w:leftChars="0"/>
              <w:jc w:val="center"/>
              <w:rPr>
                <w:rFonts w:hint="eastAsia" w:eastAsia="宋体"/>
                <w:color w:val="auto"/>
                <w:lang w:val="en-US" w:eastAsia="zh-CN"/>
              </w:rPr>
            </w:pPr>
            <w:r>
              <w:rPr>
                <w:rFonts w:hint="eastAsia"/>
                <w:color w:val="auto"/>
                <w:lang w:val="en-US" w:eastAsia="zh-CN"/>
              </w:rPr>
              <w:t>9</w:t>
            </w:r>
          </w:p>
        </w:tc>
        <w:tc>
          <w:tcPr>
            <w:tcW w:w="1086" w:type="dxa"/>
          </w:tcPr>
          <w:p>
            <w:pPr>
              <w:pStyle w:val="43"/>
              <w:ind w:left="0" w:leftChars="0" w:firstLine="0" w:firstLineChars="0"/>
              <w:jc w:val="center"/>
              <w:rPr>
                <w:rFonts w:hint="eastAsia"/>
                <w:color w:val="auto"/>
              </w:rPr>
            </w:pPr>
            <w:r>
              <w:rPr>
                <w:rFonts w:hint="eastAsia"/>
                <w:color w:val="auto"/>
              </w:rPr>
              <w:t>多用卡簧钳</w:t>
            </w:r>
          </w:p>
        </w:tc>
        <w:tc>
          <w:tcPr>
            <w:tcW w:w="1735" w:type="dxa"/>
          </w:tcPr>
          <w:p>
            <w:pPr>
              <w:pStyle w:val="43"/>
              <w:ind w:left="0" w:firstLine="0"/>
              <w:jc w:val="center"/>
              <w:rPr>
                <w:rFonts w:hint="eastAsia"/>
                <w:color w:val="auto"/>
              </w:rPr>
            </w:pPr>
            <w:r>
              <w:rPr>
                <w:rFonts w:hint="eastAsia"/>
                <w:color w:val="auto"/>
              </w:rPr>
              <w:t>内外两用</w:t>
            </w:r>
          </w:p>
        </w:tc>
        <w:tc>
          <w:tcPr>
            <w:tcW w:w="748" w:type="dxa"/>
          </w:tcPr>
          <w:p>
            <w:pPr>
              <w:pStyle w:val="43"/>
              <w:ind w:left="0" w:leftChars="0" w:firstLine="210" w:firstLineChars="100"/>
              <w:jc w:val="center"/>
              <w:rPr>
                <w:rFonts w:hint="eastAsia"/>
                <w:color w:val="auto"/>
              </w:rPr>
            </w:pPr>
            <w:r>
              <w:rPr>
                <w:rFonts w:hint="eastAsia"/>
                <w:color w:val="auto"/>
              </w:rPr>
              <w:t>把</w:t>
            </w:r>
          </w:p>
        </w:tc>
        <w:tc>
          <w:tcPr>
            <w:tcW w:w="697" w:type="dxa"/>
          </w:tcPr>
          <w:p>
            <w:pPr>
              <w:pStyle w:val="43"/>
              <w:ind w:left="0" w:leftChars="0" w:firstLine="0" w:firstLineChars="0"/>
              <w:jc w:val="center"/>
              <w:rPr>
                <w:rFonts w:hint="eastAsia"/>
                <w:color w:val="auto"/>
              </w:rPr>
            </w:pPr>
            <w:r>
              <w:rPr>
                <w:rFonts w:hint="eastAsia"/>
                <w:color w:val="auto"/>
              </w:rPr>
              <w:t>4</w:t>
            </w:r>
          </w:p>
        </w:tc>
        <w:tc>
          <w:tcPr>
            <w:tcW w:w="1043" w:type="dxa"/>
          </w:tcPr>
          <w:p>
            <w:pPr>
              <w:pStyle w:val="43"/>
              <w:ind w:left="0" w:firstLine="0"/>
              <w:jc w:val="center"/>
              <w:rPr>
                <w:rFonts w:hint="eastAsia"/>
                <w:color w:val="auto"/>
              </w:rPr>
            </w:pPr>
          </w:p>
        </w:tc>
        <w:tc>
          <w:tcPr>
            <w:tcW w:w="1227" w:type="dxa"/>
          </w:tcPr>
          <w:p>
            <w:pPr>
              <w:pStyle w:val="43"/>
              <w:ind w:left="0" w:firstLine="0"/>
              <w:jc w:val="center"/>
              <w:rPr>
                <w:rFonts w:hint="eastAsia"/>
                <w:color w:val="auto"/>
              </w:rPr>
            </w:pPr>
          </w:p>
        </w:tc>
        <w:tc>
          <w:tcPr>
            <w:tcW w:w="1227" w:type="dxa"/>
          </w:tcPr>
          <w:p>
            <w:pPr>
              <w:pStyle w:val="43"/>
              <w:ind w:left="0" w:firstLine="0"/>
              <w:jc w:val="center"/>
              <w:rPr>
                <w:rFonts w:hint="eastAsia"/>
                <w:color w:val="auto"/>
              </w:rPr>
            </w:pPr>
          </w:p>
        </w:tc>
      </w:tr>
    </w:tbl>
    <w:p>
      <w:pPr>
        <w:rPr>
          <w:rFonts w:ascii="Times New Roman" w:hAnsi="Times New Roman" w:cs="Times New Roman"/>
          <w:lang w:eastAsia="zh-CN"/>
        </w:rPr>
      </w:pPr>
    </w:p>
    <w:p>
      <w:pPr>
        <w:adjustRightInd w:val="0"/>
        <w:snapToGrid w:val="0"/>
        <w:spacing w:line="360" w:lineRule="auto"/>
        <w:rPr>
          <w:rFonts w:ascii="宋体" w:hAnsi="宋体"/>
          <w:szCs w:val="21"/>
        </w:rPr>
      </w:pPr>
      <w:bookmarkStart w:id="785" w:name="_Toc52097546"/>
      <w:bookmarkEnd w:id="785"/>
      <w:bookmarkStart w:id="786" w:name="_Toc31472"/>
      <w:bookmarkStart w:id="787" w:name="_Toc14167"/>
      <w:bookmarkStart w:id="788" w:name="_Toc8953"/>
      <w:bookmarkStart w:id="789" w:name="_Toc18883"/>
      <w:r>
        <w:rPr>
          <w:rFonts w:hint="eastAsia" w:ascii="宋体" w:hAnsi="宋体"/>
          <w:szCs w:val="21"/>
        </w:rPr>
        <w:t xml:space="preserve">注：1.此表中招标人规定的专用工具是必须提供的、不得删除； </w:t>
      </w:r>
    </w:p>
    <w:p>
      <w:pPr>
        <w:adjustRightInd w:val="0"/>
        <w:snapToGrid w:val="0"/>
        <w:spacing w:line="360" w:lineRule="auto"/>
        <w:rPr>
          <w:rFonts w:ascii="宋体" w:hAnsi="宋体"/>
          <w:szCs w:val="21"/>
        </w:rPr>
      </w:pPr>
      <w:r>
        <w:rPr>
          <w:rFonts w:hint="eastAsia" w:ascii="宋体" w:hAnsi="宋体"/>
          <w:szCs w:val="21"/>
        </w:rPr>
        <w:t>2.招标人规定的及投标人推荐的专用工具的价格均计入本表的合计价格；</w:t>
      </w:r>
    </w:p>
    <w:p>
      <w:pPr>
        <w:adjustRightInd w:val="0"/>
        <w:snapToGrid w:val="0"/>
        <w:spacing w:line="360" w:lineRule="auto"/>
        <w:rPr>
          <w:rFonts w:ascii="宋体" w:hAnsi="宋体"/>
          <w:szCs w:val="21"/>
        </w:rPr>
      </w:pPr>
      <w:r>
        <w:rPr>
          <w:rFonts w:hint="eastAsia" w:ascii="宋体" w:hAnsi="宋体"/>
          <w:szCs w:val="21"/>
        </w:rPr>
        <w:t>3.此表中合计金额应与投标报价汇总表中的对应的单价一致。</w:t>
      </w:r>
    </w:p>
    <w:p>
      <w:pPr>
        <w:pStyle w:val="173"/>
        <w:shd w:val="clear" w:color="auto" w:fill="auto"/>
        <w:spacing w:before="0" w:after="476" w:line="510" w:lineRule="exact"/>
        <w:jc w:val="center"/>
        <w:rPr>
          <w:rFonts w:ascii="Times New Roman" w:hAnsi="Times New Roman" w:eastAsia="方正小标宋_GBK" w:cs="Times New Roman"/>
          <w:sz w:val="44"/>
          <w:szCs w:val="44"/>
        </w:rPr>
      </w:pPr>
    </w:p>
    <w:p>
      <w:pPr>
        <w:pStyle w:val="173"/>
        <w:shd w:val="clear" w:color="auto" w:fill="auto"/>
        <w:spacing w:before="0" w:after="476" w:line="510" w:lineRule="exact"/>
        <w:jc w:val="center"/>
        <w:rPr>
          <w:rFonts w:ascii="Times New Roman" w:hAnsi="Times New Roman" w:eastAsia="方正小标宋_GBK" w:cs="Times New Roman"/>
          <w:sz w:val="44"/>
          <w:szCs w:val="44"/>
        </w:rPr>
      </w:pPr>
    </w:p>
    <w:p>
      <w:pPr>
        <w:pStyle w:val="173"/>
        <w:shd w:val="clear" w:color="auto" w:fill="auto"/>
        <w:spacing w:before="0" w:after="476" w:line="510" w:lineRule="exact"/>
        <w:jc w:val="center"/>
        <w:rPr>
          <w:rFonts w:ascii="Times New Roman" w:hAnsi="Times New Roman" w:eastAsia="方正小标宋_GBK" w:cs="Times New Roman"/>
          <w:sz w:val="44"/>
          <w:szCs w:val="44"/>
        </w:rPr>
      </w:pPr>
    </w:p>
    <w:p>
      <w:pPr>
        <w:pStyle w:val="173"/>
        <w:shd w:val="clear" w:color="auto" w:fill="auto"/>
        <w:spacing w:before="0" w:after="476" w:line="510" w:lineRule="exact"/>
        <w:jc w:val="center"/>
        <w:rPr>
          <w:rFonts w:ascii="Times New Roman" w:hAnsi="Times New Roman" w:eastAsia="方正小标宋_GBK" w:cs="Times New Roman"/>
          <w:sz w:val="44"/>
          <w:szCs w:val="44"/>
        </w:rPr>
      </w:pPr>
    </w:p>
    <w:p>
      <w:pPr>
        <w:pStyle w:val="173"/>
        <w:shd w:val="clear" w:color="auto" w:fill="auto"/>
        <w:spacing w:before="0" w:after="476" w:line="510" w:lineRule="exact"/>
        <w:jc w:val="center"/>
        <w:rPr>
          <w:rFonts w:ascii="Times New Roman" w:hAnsi="Times New Roman" w:eastAsia="方正小标宋_GBK" w:cs="Times New Roman"/>
          <w:sz w:val="44"/>
          <w:szCs w:val="44"/>
        </w:rPr>
      </w:pPr>
    </w:p>
    <w:p>
      <w:pPr>
        <w:pStyle w:val="173"/>
        <w:shd w:val="clear" w:color="auto" w:fill="auto"/>
        <w:spacing w:before="0" w:after="476" w:line="51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四、资格审查资料</w:t>
      </w:r>
      <w:bookmarkEnd w:id="786"/>
      <w:bookmarkEnd w:id="787"/>
      <w:bookmarkEnd w:id="788"/>
      <w:bookmarkEnd w:id="789"/>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1.营业执照、法定代表人身份证明及授权委托书</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2.资质证书</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3.业绩证明</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.承诺书</w:t>
      </w:r>
    </w:p>
    <w:p>
      <w:pPr>
        <w:spacing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5.其他</w:t>
      </w:r>
      <w:r>
        <w:rPr>
          <w:rFonts w:ascii="Times New Roman" w:hAnsi="Times New Roman" w:eastAsia="方正仿宋_GBK" w:cs="Times New Roman"/>
          <w:sz w:val="32"/>
          <w:szCs w:val="32"/>
          <w:lang w:eastAsia="zh-CN"/>
        </w:rPr>
        <w:t>。</w:t>
      </w:r>
    </w:p>
    <w:p>
      <w:pPr>
        <w:rPr>
          <w:rFonts w:ascii="Times New Roman" w:hAnsi="Times New Roman" w:cs="Times New Roman" w:eastAsiaTheme="minorEastAsia"/>
          <w:sz w:val="32"/>
          <w:szCs w:val="32"/>
          <w:lang w:eastAsia="zh-CN"/>
        </w:rPr>
      </w:pPr>
    </w:p>
    <w:p>
      <w:pPr>
        <w:adjustRightInd w:val="0"/>
        <w:snapToGrid w:val="0"/>
        <w:spacing w:after="120" w:line="360" w:lineRule="auto"/>
        <w:jc w:val="center"/>
        <w:rPr>
          <w:rFonts w:ascii="Times New Roman" w:hAnsi="Times New Roman" w:cs="Times New Roman" w:eastAsiaTheme="minorEastAsia"/>
          <w:sz w:val="32"/>
          <w:szCs w:val="32"/>
          <w:lang w:eastAsia="zh-CN"/>
        </w:rPr>
      </w:pPr>
      <w:r>
        <w:rPr>
          <w:lang w:eastAsia="zh-CN"/>
        </w:rPr>
        <w:br w:type="page"/>
      </w:r>
    </w:p>
    <w:p>
      <w:pPr>
        <w:pStyle w:val="2"/>
        <w:jc w:val="center"/>
        <w:rPr>
          <w:bCs/>
          <w:sz w:val="32"/>
          <w:szCs w:val="32"/>
          <w:lang w:eastAsia="zh-CN"/>
        </w:rPr>
      </w:pPr>
      <w:r>
        <w:rPr>
          <w:bCs/>
          <w:sz w:val="32"/>
          <w:szCs w:val="32"/>
          <w:lang w:eastAsia="zh-CN"/>
        </w:rPr>
        <w:t>类似项目情况表</w:t>
      </w:r>
    </w:p>
    <w:p>
      <w:pPr>
        <w:rPr>
          <w:lang w:eastAsia="zh-CN"/>
        </w:rPr>
      </w:pPr>
    </w:p>
    <w:p>
      <w:pPr>
        <w:pStyle w:val="2"/>
        <w:jc w:val="center"/>
        <w:rPr>
          <w:sz w:val="28"/>
          <w:szCs w:val="28"/>
          <w:lang w:eastAsia="zh-CN"/>
        </w:rPr>
      </w:pPr>
      <w:r>
        <w:rPr>
          <w:rFonts w:hint="eastAsia"/>
          <w:sz w:val="28"/>
          <w:szCs w:val="28"/>
          <w:lang w:eastAsia="zh-CN"/>
        </w:rPr>
        <w:t>类似项目业绩汇总一览表</w:t>
      </w:r>
    </w:p>
    <w:tbl>
      <w:tblPr>
        <w:tblStyle w:val="44"/>
        <w:tblW w:w="479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571"/>
        <w:gridCol w:w="2722"/>
        <w:gridCol w:w="2319"/>
        <w:gridCol w:w="1192"/>
        <w:gridCol w:w="117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65" w:hRule="exact"/>
          <w:jc w:val="center"/>
        </w:trPr>
        <w:tc>
          <w:tcPr>
            <w:tcW w:w="358" w:type="pct"/>
            <w:vAlign w:val="center"/>
          </w:tcPr>
          <w:p>
            <w:pPr>
              <w:autoSpaceDE w:val="0"/>
              <w:autoSpaceDN w:val="0"/>
              <w:adjustRightInd w:val="0"/>
              <w:snapToGrid w:val="0"/>
              <w:spacing w:line="360" w:lineRule="auto"/>
              <w:jc w:val="center"/>
              <w:rPr>
                <w:szCs w:val="21"/>
              </w:rPr>
            </w:pPr>
            <w:r>
              <w:rPr>
                <w:rFonts w:hint="eastAsia"/>
                <w:szCs w:val="21"/>
              </w:rPr>
              <w:t>序号</w:t>
            </w:r>
          </w:p>
        </w:tc>
        <w:tc>
          <w:tcPr>
            <w:tcW w:w="1704" w:type="pct"/>
            <w:vAlign w:val="center"/>
          </w:tcPr>
          <w:p>
            <w:pPr>
              <w:autoSpaceDE w:val="0"/>
              <w:autoSpaceDN w:val="0"/>
              <w:adjustRightInd w:val="0"/>
              <w:snapToGrid w:val="0"/>
              <w:spacing w:line="360" w:lineRule="auto"/>
              <w:jc w:val="center"/>
              <w:rPr>
                <w:szCs w:val="21"/>
              </w:rPr>
            </w:pPr>
            <w:r>
              <w:rPr>
                <w:rFonts w:hint="eastAsia"/>
                <w:szCs w:val="21"/>
              </w:rPr>
              <w:t>合同名称</w:t>
            </w:r>
          </w:p>
        </w:tc>
        <w:tc>
          <w:tcPr>
            <w:tcW w:w="1452" w:type="pct"/>
            <w:vAlign w:val="center"/>
          </w:tcPr>
          <w:p>
            <w:pPr>
              <w:autoSpaceDE w:val="0"/>
              <w:autoSpaceDN w:val="0"/>
              <w:adjustRightInd w:val="0"/>
              <w:snapToGrid w:val="0"/>
              <w:spacing w:line="360" w:lineRule="auto"/>
              <w:jc w:val="center"/>
            </w:pPr>
            <w:r>
              <w:t>特性指标</w:t>
            </w:r>
          </w:p>
        </w:tc>
        <w:tc>
          <w:tcPr>
            <w:tcW w:w="746" w:type="pct"/>
            <w:vAlign w:val="center"/>
          </w:tcPr>
          <w:p>
            <w:pPr>
              <w:autoSpaceDE w:val="0"/>
              <w:autoSpaceDN w:val="0"/>
              <w:adjustRightInd w:val="0"/>
              <w:snapToGrid w:val="0"/>
              <w:spacing w:line="360" w:lineRule="auto"/>
              <w:jc w:val="center"/>
              <w:rPr>
                <w:szCs w:val="21"/>
              </w:rPr>
            </w:pPr>
            <w:r>
              <w:rPr>
                <w:rFonts w:hint="eastAsia"/>
                <w:szCs w:val="21"/>
              </w:rPr>
              <w:t>合同金额</w:t>
            </w:r>
          </w:p>
          <w:p>
            <w:pPr>
              <w:autoSpaceDE w:val="0"/>
              <w:autoSpaceDN w:val="0"/>
              <w:adjustRightInd w:val="0"/>
              <w:snapToGrid w:val="0"/>
              <w:spacing w:line="360" w:lineRule="auto"/>
              <w:jc w:val="center"/>
              <w:rPr>
                <w:szCs w:val="21"/>
              </w:rPr>
            </w:pPr>
            <w:r>
              <w:rPr>
                <w:rFonts w:hint="eastAsia"/>
                <w:szCs w:val="21"/>
              </w:rPr>
              <w:t>（万元）</w:t>
            </w:r>
          </w:p>
        </w:tc>
        <w:tc>
          <w:tcPr>
            <w:tcW w:w="738" w:type="pct"/>
            <w:vAlign w:val="center"/>
          </w:tcPr>
          <w:p>
            <w:pPr>
              <w:autoSpaceDE w:val="0"/>
              <w:autoSpaceDN w:val="0"/>
              <w:adjustRightInd w:val="0"/>
              <w:snapToGrid w:val="0"/>
              <w:spacing w:line="360" w:lineRule="auto"/>
              <w:jc w:val="center"/>
            </w:pPr>
            <w:r>
              <w:rPr>
                <w:szCs w:val="21"/>
              </w:rPr>
              <w:t>合同签订日期</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358" w:type="pct"/>
            <w:vAlign w:val="center"/>
          </w:tcPr>
          <w:p>
            <w:pPr>
              <w:autoSpaceDE w:val="0"/>
              <w:autoSpaceDN w:val="0"/>
              <w:adjustRightInd w:val="0"/>
              <w:snapToGrid w:val="0"/>
              <w:spacing w:line="360" w:lineRule="auto"/>
              <w:jc w:val="center"/>
              <w:rPr>
                <w:szCs w:val="21"/>
              </w:rPr>
            </w:pPr>
            <w:r>
              <w:rPr>
                <w:rFonts w:hint="eastAsia"/>
                <w:szCs w:val="21"/>
              </w:rPr>
              <w:t>1</w:t>
            </w:r>
          </w:p>
        </w:tc>
        <w:tc>
          <w:tcPr>
            <w:tcW w:w="1704" w:type="pct"/>
            <w:vAlign w:val="center"/>
          </w:tcPr>
          <w:p>
            <w:pPr>
              <w:autoSpaceDE w:val="0"/>
              <w:autoSpaceDN w:val="0"/>
              <w:adjustRightInd w:val="0"/>
              <w:snapToGrid w:val="0"/>
              <w:spacing w:line="360" w:lineRule="auto"/>
              <w:jc w:val="center"/>
              <w:rPr>
                <w:szCs w:val="21"/>
              </w:rPr>
            </w:pPr>
          </w:p>
        </w:tc>
        <w:tc>
          <w:tcPr>
            <w:tcW w:w="1452" w:type="pct"/>
            <w:vAlign w:val="center"/>
          </w:tcPr>
          <w:p>
            <w:pPr>
              <w:autoSpaceDE w:val="0"/>
              <w:autoSpaceDN w:val="0"/>
              <w:adjustRightInd w:val="0"/>
              <w:snapToGrid w:val="0"/>
              <w:spacing w:line="360" w:lineRule="auto"/>
              <w:jc w:val="center"/>
              <w:rPr>
                <w:szCs w:val="21"/>
              </w:rPr>
            </w:pPr>
          </w:p>
        </w:tc>
        <w:tc>
          <w:tcPr>
            <w:tcW w:w="746" w:type="pct"/>
            <w:vAlign w:val="center"/>
          </w:tcPr>
          <w:p>
            <w:pPr>
              <w:autoSpaceDE w:val="0"/>
              <w:autoSpaceDN w:val="0"/>
              <w:adjustRightInd w:val="0"/>
              <w:snapToGrid w:val="0"/>
              <w:spacing w:line="360" w:lineRule="auto"/>
              <w:jc w:val="center"/>
              <w:rPr>
                <w:szCs w:val="21"/>
              </w:rPr>
            </w:pPr>
          </w:p>
        </w:tc>
        <w:tc>
          <w:tcPr>
            <w:tcW w:w="738" w:type="pct"/>
            <w:vAlign w:val="center"/>
          </w:tcPr>
          <w:p>
            <w:pPr>
              <w:autoSpaceDE w:val="0"/>
              <w:autoSpaceDN w:val="0"/>
              <w:adjustRightInd w:val="0"/>
              <w:snapToGrid w:val="0"/>
              <w:spacing w:line="360" w:lineRule="auto"/>
              <w:jc w:val="center"/>
              <w:rPr>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358" w:type="pct"/>
            <w:vAlign w:val="center"/>
          </w:tcPr>
          <w:p>
            <w:pPr>
              <w:autoSpaceDE w:val="0"/>
              <w:autoSpaceDN w:val="0"/>
              <w:adjustRightInd w:val="0"/>
              <w:snapToGrid w:val="0"/>
              <w:spacing w:line="360" w:lineRule="auto"/>
              <w:jc w:val="center"/>
              <w:rPr>
                <w:szCs w:val="21"/>
              </w:rPr>
            </w:pPr>
            <w:r>
              <w:rPr>
                <w:rFonts w:hint="eastAsia"/>
                <w:szCs w:val="21"/>
              </w:rPr>
              <w:t>2</w:t>
            </w:r>
          </w:p>
        </w:tc>
        <w:tc>
          <w:tcPr>
            <w:tcW w:w="1704" w:type="pct"/>
            <w:vAlign w:val="center"/>
          </w:tcPr>
          <w:p>
            <w:pPr>
              <w:autoSpaceDE w:val="0"/>
              <w:autoSpaceDN w:val="0"/>
              <w:adjustRightInd w:val="0"/>
              <w:snapToGrid w:val="0"/>
              <w:spacing w:line="360" w:lineRule="auto"/>
              <w:jc w:val="center"/>
              <w:rPr>
                <w:szCs w:val="21"/>
              </w:rPr>
            </w:pPr>
          </w:p>
        </w:tc>
        <w:tc>
          <w:tcPr>
            <w:tcW w:w="1452" w:type="pct"/>
            <w:vAlign w:val="center"/>
          </w:tcPr>
          <w:p>
            <w:pPr>
              <w:autoSpaceDE w:val="0"/>
              <w:autoSpaceDN w:val="0"/>
              <w:adjustRightInd w:val="0"/>
              <w:snapToGrid w:val="0"/>
              <w:spacing w:line="360" w:lineRule="auto"/>
              <w:jc w:val="center"/>
              <w:rPr>
                <w:szCs w:val="21"/>
              </w:rPr>
            </w:pPr>
          </w:p>
        </w:tc>
        <w:tc>
          <w:tcPr>
            <w:tcW w:w="746" w:type="pct"/>
            <w:vAlign w:val="center"/>
          </w:tcPr>
          <w:p>
            <w:pPr>
              <w:autoSpaceDE w:val="0"/>
              <w:autoSpaceDN w:val="0"/>
              <w:adjustRightInd w:val="0"/>
              <w:snapToGrid w:val="0"/>
              <w:spacing w:line="360" w:lineRule="auto"/>
              <w:jc w:val="center"/>
              <w:rPr>
                <w:szCs w:val="21"/>
              </w:rPr>
            </w:pPr>
          </w:p>
        </w:tc>
        <w:tc>
          <w:tcPr>
            <w:tcW w:w="738" w:type="pct"/>
            <w:vAlign w:val="center"/>
          </w:tcPr>
          <w:p>
            <w:pPr>
              <w:autoSpaceDE w:val="0"/>
              <w:autoSpaceDN w:val="0"/>
              <w:adjustRightInd w:val="0"/>
              <w:snapToGrid w:val="0"/>
              <w:spacing w:line="360" w:lineRule="auto"/>
              <w:jc w:val="center"/>
              <w:rPr>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358" w:type="pct"/>
            <w:vAlign w:val="center"/>
          </w:tcPr>
          <w:p>
            <w:pPr>
              <w:autoSpaceDE w:val="0"/>
              <w:autoSpaceDN w:val="0"/>
              <w:adjustRightInd w:val="0"/>
              <w:snapToGrid w:val="0"/>
              <w:spacing w:line="360" w:lineRule="auto"/>
              <w:jc w:val="center"/>
              <w:rPr>
                <w:szCs w:val="21"/>
              </w:rPr>
            </w:pPr>
            <w:r>
              <w:rPr>
                <w:rFonts w:hint="eastAsia"/>
                <w:szCs w:val="21"/>
              </w:rPr>
              <w:t>3</w:t>
            </w:r>
          </w:p>
        </w:tc>
        <w:tc>
          <w:tcPr>
            <w:tcW w:w="1704" w:type="pct"/>
            <w:vAlign w:val="center"/>
          </w:tcPr>
          <w:p>
            <w:pPr>
              <w:autoSpaceDE w:val="0"/>
              <w:autoSpaceDN w:val="0"/>
              <w:adjustRightInd w:val="0"/>
              <w:snapToGrid w:val="0"/>
              <w:spacing w:line="360" w:lineRule="auto"/>
              <w:jc w:val="center"/>
              <w:rPr>
                <w:szCs w:val="21"/>
              </w:rPr>
            </w:pPr>
          </w:p>
        </w:tc>
        <w:tc>
          <w:tcPr>
            <w:tcW w:w="1452" w:type="pct"/>
            <w:vAlign w:val="center"/>
          </w:tcPr>
          <w:p>
            <w:pPr>
              <w:autoSpaceDE w:val="0"/>
              <w:autoSpaceDN w:val="0"/>
              <w:adjustRightInd w:val="0"/>
              <w:snapToGrid w:val="0"/>
              <w:spacing w:line="360" w:lineRule="auto"/>
              <w:jc w:val="center"/>
              <w:rPr>
                <w:szCs w:val="21"/>
              </w:rPr>
            </w:pPr>
          </w:p>
        </w:tc>
        <w:tc>
          <w:tcPr>
            <w:tcW w:w="746" w:type="pct"/>
            <w:vAlign w:val="center"/>
          </w:tcPr>
          <w:p>
            <w:pPr>
              <w:autoSpaceDE w:val="0"/>
              <w:autoSpaceDN w:val="0"/>
              <w:adjustRightInd w:val="0"/>
              <w:snapToGrid w:val="0"/>
              <w:spacing w:line="360" w:lineRule="auto"/>
              <w:jc w:val="center"/>
              <w:rPr>
                <w:szCs w:val="21"/>
              </w:rPr>
            </w:pPr>
          </w:p>
        </w:tc>
        <w:tc>
          <w:tcPr>
            <w:tcW w:w="738" w:type="pct"/>
            <w:vAlign w:val="center"/>
          </w:tcPr>
          <w:p>
            <w:pPr>
              <w:autoSpaceDE w:val="0"/>
              <w:autoSpaceDN w:val="0"/>
              <w:adjustRightInd w:val="0"/>
              <w:snapToGrid w:val="0"/>
              <w:spacing w:line="360" w:lineRule="auto"/>
              <w:jc w:val="center"/>
              <w:rPr>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358" w:type="pct"/>
            <w:vAlign w:val="center"/>
          </w:tcPr>
          <w:p>
            <w:pPr>
              <w:autoSpaceDE w:val="0"/>
              <w:autoSpaceDN w:val="0"/>
              <w:adjustRightInd w:val="0"/>
              <w:snapToGrid w:val="0"/>
              <w:spacing w:line="360" w:lineRule="auto"/>
              <w:jc w:val="center"/>
              <w:rPr>
                <w:szCs w:val="21"/>
              </w:rPr>
            </w:pPr>
            <w:r>
              <w:rPr>
                <w:rFonts w:hint="eastAsia"/>
                <w:szCs w:val="21"/>
              </w:rPr>
              <w:t>...</w:t>
            </w:r>
          </w:p>
        </w:tc>
        <w:tc>
          <w:tcPr>
            <w:tcW w:w="1704" w:type="pct"/>
            <w:vAlign w:val="center"/>
          </w:tcPr>
          <w:p>
            <w:pPr>
              <w:autoSpaceDE w:val="0"/>
              <w:autoSpaceDN w:val="0"/>
              <w:adjustRightInd w:val="0"/>
              <w:snapToGrid w:val="0"/>
              <w:spacing w:line="360" w:lineRule="auto"/>
              <w:jc w:val="center"/>
              <w:rPr>
                <w:szCs w:val="21"/>
              </w:rPr>
            </w:pPr>
          </w:p>
        </w:tc>
        <w:tc>
          <w:tcPr>
            <w:tcW w:w="1452" w:type="pct"/>
            <w:vAlign w:val="center"/>
          </w:tcPr>
          <w:p>
            <w:pPr>
              <w:autoSpaceDE w:val="0"/>
              <w:autoSpaceDN w:val="0"/>
              <w:adjustRightInd w:val="0"/>
              <w:snapToGrid w:val="0"/>
              <w:spacing w:line="360" w:lineRule="auto"/>
              <w:jc w:val="center"/>
              <w:rPr>
                <w:szCs w:val="21"/>
              </w:rPr>
            </w:pPr>
          </w:p>
        </w:tc>
        <w:tc>
          <w:tcPr>
            <w:tcW w:w="746" w:type="pct"/>
            <w:vAlign w:val="center"/>
          </w:tcPr>
          <w:p>
            <w:pPr>
              <w:autoSpaceDE w:val="0"/>
              <w:autoSpaceDN w:val="0"/>
              <w:adjustRightInd w:val="0"/>
              <w:snapToGrid w:val="0"/>
              <w:spacing w:line="360" w:lineRule="auto"/>
              <w:jc w:val="center"/>
              <w:rPr>
                <w:szCs w:val="21"/>
              </w:rPr>
            </w:pPr>
          </w:p>
        </w:tc>
        <w:tc>
          <w:tcPr>
            <w:tcW w:w="738" w:type="pct"/>
            <w:vAlign w:val="center"/>
          </w:tcPr>
          <w:p>
            <w:pPr>
              <w:autoSpaceDE w:val="0"/>
              <w:autoSpaceDN w:val="0"/>
              <w:adjustRightInd w:val="0"/>
              <w:snapToGrid w:val="0"/>
              <w:spacing w:line="360" w:lineRule="auto"/>
              <w:jc w:val="center"/>
              <w:rPr>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1" w:hRule="exact"/>
          <w:jc w:val="center"/>
        </w:trPr>
        <w:tc>
          <w:tcPr>
            <w:tcW w:w="358" w:type="pct"/>
            <w:vAlign w:val="center"/>
          </w:tcPr>
          <w:p>
            <w:pPr>
              <w:autoSpaceDE w:val="0"/>
              <w:autoSpaceDN w:val="0"/>
              <w:adjustRightInd w:val="0"/>
              <w:snapToGrid w:val="0"/>
              <w:spacing w:line="360" w:lineRule="auto"/>
              <w:jc w:val="center"/>
              <w:rPr>
                <w:szCs w:val="21"/>
              </w:rPr>
            </w:pPr>
          </w:p>
        </w:tc>
        <w:tc>
          <w:tcPr>
            <w:tcW w:w="1704" w:type="pct"/>
            <w:vAlign w:val="center"/>
          </w:tcPr>
          <w:p>
            <w:pPr>
              <w:autoSpaceDE w:val="0"/>
              <w:autoSpaceDN w:val="0"/>
              <w:adjustRightInd w:val="0"/>
              <w:snapToGrid w:val="0"/>
              <w:spacing w:line="360" w:lineRule="auto"/>
              <w:jc w:val="center"/>
              <w:rPr>
                <w:szCs w:val="21"/>
              </w:rPr>
            </w:pPr>
          </w:p>
        </w:tc>
        <w:tc>
          <w:tcPr>
            <w:tcW w:w="1452" w:type="pct"/>
            <w:vAlign w:val="center"/>
          </w:tcPr>
          <w:p>
            <w:pPr>
              <w:autoSpaceDE w:val="0"/>
              <w:autoSpaceDN w:val="0"/>
              <w:adjustRightInd w:val="0"/>
              <w:snapToGrid w:val="0"/>
              <w:spacing w:line="360" w:lineRule="auto"/>
              <w:jc w:val="center"/>
              <w:rPr>
                <w:szCs w:val="21"/>
              </w:rPr>
            </w:pPr>
          </w:p>
        </w:tc>
        <w:tc>
          <w:tcPr>
            <w:tcW w:w="746" w:type="pct"/>
            <w:vAlign w:val="center"/>
          </w:tcPr>
          <w:p>
            <w:pPr>
              <w:autoSpaceDE w:val="0"/>
              <w:autoSpaceDN w:val="0"/>
              <w:adjustRightInd w:val="0"/>
              <w:snapToGrid w:val="0"/>
              <w:spacing w:line="360" w:lineRule="auto"/>
              <w:jc w:val="center"/>
              <w:rPr>
                <w:szCs w:val="21"/>
              </w:rPr>
            </w:pPr>
          </w:p>
        </w:tc>
        <w:tc>
          <w:tcPr>
            <w:tcW w:w="738" w:type="pct"/>
            <w:vAlign w:val="center"/>
          </w:tcPr>
          <w:p>
            <w:pPr>
              <w:autoSpaceDE w:val="0"/>
              <w:autoSpaceDN w:val="0"/>
              <w:adjustRightInd w:val="0"/>
              <w:snapToGrid w:val="0"/>
              <w:spacing w:line="360" w:lineRule="auto"/>
              <w:jc w:val="center"/>
              <w:rPr>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5" w:hRule="exact"/>
          <w:jc w:val="center"/>
        </w:trPr>
        <w:tc>
          <w:tcPr>
            <w:tcW w:w="358" w:type="pct"/>
            <w:vAlign w:val="center"/>
          </w:tcPr>
          <w:p>
            <w:pPr>
              <w:autoSpaceDE w:val="0"/>
              <w:autoSpaceDN w:val="0"/>
              <w:adjustRightInd w:val="0"/>
              <w:snapToGrid w:val="0"/>
              <w:spacing w:line="360" w:lineRule="auto"/>
              <w:jc w:val="center"/>
              <w:rPr>
                <w:szCs w:val="21"/>
              </w:rPr>
            </w:pPr>
          </w:p>
        </w:tc>
        <w:tc>
          <w:tcPr>
            <w:tcW w:w="1704" w:type="pct"/>
            <w:vAlign w:val="center"/>
          </w:tcPr>
          <w:p>
            <w:pPr>
              <w:autoSpaceDE w:val="0"/>
              <w:autoSpaceDN w:val="0"/>
              <w:adjustRightInd w:val="0"/>
              <w:snapToGrid w:val="0"/>
              <w:spacing w:line="360" w:lineRule="auto"/>
              <w:jc w:val="center"/>
              <w:rPr>
                <w:szCs w:val="21"/>
              </w:rPr>
            </w:pPr>
          </w:p>
        </w:tc>
        <w:tc>
          <w:tcPr>
            <w:tcW w:w="1452" w:type="pct"/>
            <w:vAlign w:val="center"/>
          </w:tcPr>
          <w:p>
            <w:pPr>
              <w:autoSpaceDE w:val="0"/>
              <w:autoSpaceDN w:val="0"/>
              <w:adjustRightInd w:val="0"/>
              <w:snapToGrid w:val="0"/>
              <w:spacing w:line="360" w:lineRule="auto"/>
              <w:jc w:val="center"/>
              <w:rPr>
                <w:szCs w:val="21"/>
              </w:rPr>
            </w:pPr>
          </w:p>
        </w:tc>
        <w:tc>
          <w:tcPr>
            <w:tcW w:w="746" w:type="pct"/>
            <w:vAlign w:val="center"/>
          </w:tcPr>
          <w:p>
            <w:pPr>
              <w:autoSpaceDE w:val="0"/>
              <w:autoSpaceDN w:val="0"/>
              <w:adjustRightInd w:val="0"/>
              <w:snapToGrid w:val="0"/>
              <w:spacing w:line="360" w:lineRule="auto"/>
              <w:jc w:val="center"/>
              <w:rPr>
                <w:szCs w:val="21"/>
              </w:rPr>
            </w:pPr>
          </w:p>
        </w:tc>
        <w:tc>
          <w:tcPr>
            <w:tcW w:w="738" w:type="pct"/>
            <w:vAlign w:val="center"/>
          </w:tcPr>
          <w:p>
            <w:pPr>
              <w:autoSpaceDE w:val="0"/>
              <w:autoSpaceDN w:val="0"/>
              <w:adjustRightInd w:val="0"/>
              <w:snapToGrid w:val="0"/>
              <w:spacing w:line="360" w:lineRule="auto"/>
              <w:jc w:val="center"/>
              <w:rPr>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358" w:type="pct"/>
            <w:vAlign w:val="center"/>
          </w:tcPr>
          <w:p>
            <w:pPr>
              <w:adjustRightInd w:val="0"/>
              <w:snapToGrid w:val="0"/>
              <w:spacing w:line="360" w:lineRule="auto"/>
              <w:jc w:val="center"/>
            </w:pPr>
          </w:p>
        </w:tc>
        <w:tc>
          <w:tcPr>
            <w:tcW w:w="1704" w:type="pct"/>
            <w:vAlign w:val="center"/>
          </w:tcPr>
          <w:p>
            <w:pPr>
              <w:autoSpaceDE w:val="0"/>
              <w:autoSpaceDN w:val="0"/>
              <w:adjustRightInd w:val="0"/>
              <w:snapToGrid w:val="0"/>
              <w:spacing w:line="360" w:lineRule="auto"/>
              <w:jc w:val="center"/>
              <w:rPr>
                <w:szCs w:val="21"/>
              </w:rPr>
            </w:pPr>
          </w:p>
        </w:tc>
        <w:tc>
          <w:tcPr>
            <w:tcW w:w="1452" w:type="pct"/>
            <w:vAlign w:val="center"/>
          </w:tcPr>
          <w:p>
            <w:pPr>
              <w:autoSpaceDE w:val="0"/>
              <w:autoSpaceDN w:val="0"/>
              <w:adjustRightInd w:val="0"/>
              <w:snapToGrid w:val="0"/>
              <w:spacing w:line="360" w:lineRule="auto"/>
              <w:jc w:val="center"/>
              <w:rPr>
                <w:szCs w:val="21"/>
              </w:rPr>
            </w:pPr>
          </w:p>
        </w:tc>
        <w:tc>
          <w:tcPr>
            <w:tcW w:w="746" w:type="pct"/>
            <w:vAlign w:val="center"/>
          </w:tcPr>
          <w:p>
            <w:pPr>
              <w:autoSpaceDE w:val="0"/>
              <w:autoSpaceDN w:val="0"/>
              <w:adjustRightInd w:val="0"/>
              <w:snapToGrid w:val="0"/>
              <w:spacing w:line="360" w:lineRule="auto"/>
              <w:jc w:val="center"/>
              <w:rPr>
                <w:szCs w:val="21"/>
              </w:rPr>
            </w:pPr>
          </w:p>
        </w:tc>
        <w:tc>
          <w:tcPr>
            <w:tcW w:w="738" w:type="pct"/>
            <w:vAlign w:val="center"/>
          </w:tcPr>
          <w:p>
            <w:pPr>
              <w:autoSpaceDE w:val="0"/>
              <w:autoSpaceDN w:val="0"/>
              <w:adjustRightInd w:val="0"/>
              <w:snapToGrid w:val="0"/>
              <w:spacing w:line="360" w:lineRule="auto"/>
              <w:jc w:val="center"/>
              <w:rPr>
                <w:szCs w:val="21"/>
              </w:rPr>
            </w:pPr>
          </w:p>
        </w:tc>
      </w:tr>
    </w:tbl>
    <w:p>
      <w:pPr>
        <w:pStyle w:val="43"/>
        <w:ind w:left="0" w:leftChars="0" w:firstLine="0"/>
      </w:pPr>
    </w:p>
    <w:p>
      <w:pPr>
        <w:adjustRightInd w:val="0"/>
        <w:snapToGrid w:val="0"/>
        <w:spacing w:after="120"/>
        <w:jc w:val="center"/>
        <w:rPr>
          <w:rFonts w:ascii="黑体" w:hAnsi="黑体" w:eastAsia="黑体" w:cs="黑体"/>
          <w:sz w:val="36"/>
          <w:szCs w:val="36"/>
          <w:lang w:eastAsia="zh-CN"/>
        </w:rPr>
      </w:pPr>
    </w:p>
    <w:p>
      <w:pPr>
        <w:pStyle w:val="2"/>
        <w:rPr>
          <w:rFonts w:ascii="黑体" w:hAnsi="黑体" w:eastAsia="黑体" w:cs="黑体"/>
          <w:sz w:val="36"/>
          <w:szCs w:val="36"/>
          <w:lang w:eastAsia="zh-CN"/>
        </w:rPr>
      </w:pPr>
    </w:p>
    <w:p>
      <w:pPr>
        <w:rPr>
          <w:rFonts w:ascii="黑体" w:hAnsi="黑体" w:eastAsia="黑体" w:cs="黑体"/>
          <w:sz w:val="36"/>
          <w:szCs w:val="36"/>
          <w:lang w:eastAsia="zh-CN"/>
        </w:rPr>
      </w:pPr>
    </w:p>
    <w:p>
      <w:pPr>
        <w:pStyle w:val="2"/>
        <w:rPr>
          <w:rFonts w:ascii="黑体" w:hAnsi="黑体" w:eastAsia="黑体" w:cs="黑体"/>
          <w:sz w:val="36"/>
          <w:szCs w:val="36"/>
          <w:lang w:eastAsia="zh-CN"/>
        </w:rPr>
      </w:pPr>
    </w:p>
    <w:p>
      <w:pPr>
        <w:rPr>
          <w:rFonts w:ascii="黑体" w:hAnsi="黑体" w:eastAsia="黑体" w:cs="黑体"/>
          <w:sz w:val="36"/>
          <w:szCs w:val="36"/>
          <w:lang w:eastAsia="zh-CN"/>
        </w:rPr>
      </w:pPr>
    </w:p>
    <w:p>
      <w:pPr>
        <w:pStyle w:val="2"/>
        <w:rPr>
          <w:rFonts w:ascii="黑体" w:hAnsi="黑体" w:eastAsia="黑体" w:cs="黑体"/>
          <w:sz w:val="36"/>
          <w:szCs w:val="36"/>
          <w:lang w:eastAsia="zh-CN"/>
        </w:rPr>
      </w:pPr>
    </w:p>
    <w:p>
      <w:pPr>
        <w:rPr>
          <w:rFonts w:ascii="黑体" w:hAnsi="黑体" w:eastAsia="黑体" w:cs="黑体"/>
          <w:sz w:val="36"/>
          <w:szCs w:val="36"/>
          <w:lang w:eastAsia="zh-CN"/>
        </w:rPr>
      </w:pPr>
    </w:p>
    <w:p>
      <w:pPr>
        <w:pStyle w:val="2"/>
        <w:rPr>
          <w:rFonts w:ascii="黑体" w:hAnsi="黑体" w:eastAsia="黑体" w:cs="黑体"/>
          <w:sz w:val="36"/>
          <w:szCs w:val="36"/>
          <w:lang w:eastAsia="zh-CN"/>
        </w:rPr>
      </w:pPr>
    </w:p>
    <w:p>
      <w:pPr>
        <w:rPr>
          <w:rFonts w:ascii="黑体" w:hAnsi="黑体" w:eastAsia="黑体" w:cs="黑体"/>
          <w:sz w:val="36"/>
          <w:szCs w:val="36"/>
          <w:lang w:eastAsia="zh-CN"/>
        </w:rPr>
      </w:pPr>
    </w:p>
    <w:p>
      <w:pPr>
        <w:pStyle w:val="2"/>
        <w:rPr>
          <w:rFonts w:ascii="黑体" w:hAnsi="黑体" w:eastAsia="黑体" w:cs="黑体"/>
          <w:sz w:val="36"/>
          <w:szCs w:val="36"/>
          <w:lang w:eastAsia="zh-CN"/>
        </w:rPr>
      </w:pPr>
    </w:p>
    <w:p>
      <w:pPr>
        <w:rPr>
          <w:rFonts w:ascii="黑体" w:hAnsi="黑体" w:eastAsia="黑体" w:cs="黑体"/>
          <w:sz w:val="36"/>
          <w:szCs w:val="36"/>
          <w:lang w:eastAsia="zh-CN"/>
        </w:rPr>
      </w:pPr>
    </w:p>
    <w:p>
      <w:pPr>
        <w:pStyle w:val="2"/>
        <w:rPr>
          <w:rFonts w:ascii="黑体" w:hAnsi="黑体" w:eastAsia="黑体" w:cs="黑体"/>
          <w:sz w:val="36"/>
          <w:szCs w:val="36"/>
          <w:lang w:eastAsia="zh-CN"/>
        </w:rPr>
      </w:pPr>
    </w:p>
    <w:p>
      <w:pPr>
        <w:rPr>
          <w:rFonts w:ascii="黑体" w:hAnsi="黑体" w:eastAsia="黑体" w:cs="黑体"/>
          <w:sz w:val="36"/>
          <w:szCs w:val="36"/>
          <w:lang w:eastAsia="zh-CN"/>
        </w:rPr>
      </w:pPr>
    </w:p>
    <w:p>
      <w:pPr>
        <w:rPr>
          <w:rFonts w:ascii="黑体" w:hAnsi="黑体" w:eastAsia="黑体" w:cs="黑体"/>
          <w:sz w:val="36"/>
          <w:szCs w:val="36"/>
          <w:lang w:eastAsia="zh-CN"/>
        </w:rPr>
      </w:pPr>
    </w:p>
    <w:p>
      <w:pPr>
        <w:pStyle w:val="2"/>
        <w:rPr>
          <w:lang w:eastAsia="zh-CN"/>
        </w:rPr>
      </w:pPr>
    </w:p>
    <w:p>
      <w:pPr>
        <w:adjustRightInd w:val="0"/>
        <w:snapToGrid w:val="0"/>
        <w:spacing w:after="120"/>
        <w:jc w:val="center"/>
        <w:rPr>
          <w:rFonts w:ascii="黑体" w:hAnsi="黑体" w:eastAsia="黑体" w:cs="黑体"/>
          <w:sz w:val="36"/>
          <w:szCs w:val="36"/>
          <w:lang w:eastAsia="zh-CN"/>
        </w:rPr>
      </w:pPr>
      <w:r>
        <w:rPr>
          <w:rFonts w:hint="eastAsia" w:ascii="黑体" w:hAnsi="黑体" w:eastAsia="黑体" w:cs="黑体"/>
          <w:sz w:val="36"/>
          <w:szCs w:val="36"/>
          <w:lang w:eastAsia="zh-CN"/>
        </w:rPr>
        <w:t>承诺书</w:t>
      </w:r>
    </w:p>
    <w:p>
      <w:pPr>
        <w:adjustRightInd w:val="0"/>
        <w:snapToGrid w:val="0"/>
        <w:spacing w:after="120"/>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重庆双江航运发展有限公司</w:t>
      </w:r>
      <w:r>
        <w:rPr>
          <w:rFonts w:ascii="Times New Roman" w:hAnsi="Times New Roman" w:eastAsia="方正仿宋_GBK" w:cs="Times New Roman"/>
          <w:sz w:val="28"/>
          <w:szCs w:val="28"/>
          <w:lang w:eastAsia="zh-CN"/>
        </w:rPr>
        <w:t>：</w:t>
      </w:r>
    </w:p>
    <w:p>
      <w:pPr>
        <w:adjustRightInd w:val="0"/>
        <w:snapToGrid w:val="0"/>
        <w:spacing w:after="120"/>
        <w:ind w:firstLine="560" w:firstLineChars="200"/>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我公司（报价人名称）参加了贵单位</w:t>
      </w:r>
      <w:r>
        <w:rPr>
          <w:rFonts w:hint="eastAsia" w:ascii="Times New Roman" w:hAnsi="Times New Roman" w:eastAsia="方正仿宋_GBK" w:cs="Times New Roman"/>
          <w:sz w:val="28"/>
          <w:szCs w:val="28"/>
          <w:lang w:eastAsia="zh-CN"/>
        </w:rPr>
        <w:t>_______</w:t>
      </w:r>
      <w:r>
        <w:rPr>
          <w:rFonts w:ascii="Times New Roman" w:hAnsi="Times New Roman" w:eastAsia="方正仿宋_GBK" w:cs="Times New Roman"/>
          <w:sz w:val="28"/>
          <w:szCs w:val="28"/>
          <w:lang w:eastAsia="zh-CN"/>
        </w:rPr>
        <w:t>项目的询价，自愿作出以下承诺：</w:t>
      </w:r>
    </w:p>
    <w:p>
      <w:pPr>
        <w:adjustRightInd w:val="0"/>
        <w:snapToGrid w:val="0"/>
        <w:spacing w:after="120"/>
        <w:ind w:firstLine="560" w:firstLineChars="200"/>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1、询价截止日报价资格情况不存在下列情形之一：</w:t>
      </w:r>
    </w:p>
    <w:p>
      <w:pPr>
        <w:adjustRightInd w:val="0"/>
        <w:snapToGrid w:val="0"/>
        <w:spacing w:after="120"/>
        <w:ind w:firstLine="560" w:firstLineChars="200"/>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（1）被人民法院在“信用中国”网站（www.creditchina.gov.cn）列入失信被执行人名单且在被执行期内；</w:t>
      </w:r>
    </w:p>
    <w:p>
      <w:pPr>
        <w:adjustRightInd w:val="0"/>
        <w:snapToGrid w:val="0"/>
        <w:spacing w:after="120"/>
        <w:ind w:firstLine="560" w:firstLineChars="200"/>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（2）被列入《重庆市工程建设领域招标</w:t>
      </w:r>
      <w:r>
        <w:rPr>
          <w:rFonts w:hint="eastAsia" w:ascii="Times New Roman" w:hAnsi="Times New Roman" w:eastAsia="方正仿宋_GBK" w:cs="Times New Roman"/>
          <w:sz w:val="28"/>
          <w:szCs w:val="28"/>
          <w:lang w:eastAsia="zh-CN"/>
        </w:rPr>
        <w:t>报价</w:t>
      </w:r>
      <w:r>
        <w:rPr>
          <w:rFonts w:ascii="Times New Roman" w:hAnsi="Times New Roman" w:eastAsia="方正仿宋_GBK" w:cs="Times New Roman"/>
          <w:sz w:val="28"/>
          <w:szCs w:val="28"/>
          <w:lang w:eastAsia="zh-CN"/>
        </w:rPr>
        <w:t>信用管理暂行办法》规定的重点关注名单且记分达到12分且在记分有效期内；</w:t>
      </w:r>
    </w:p>
    <w:p>
      <w:pPr>
        <w:adjustRightInd w:val="0"/>
        <w:snapToGrid w:val="0"/>
        <w:spacing w:after="120"/>
        <w:ind w:firstLine="560" w:firstLineChars="200"/>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（3）被列入《重庆市工程建设领域招标</w:t>
      </w:r>
      <w:r>
        <w:rPr>
          <w:rFonts w:hint="eastAsia" w:ascii="Times New Roman" w:hAnsi="Times New Roman" w:eastAsia="方正仿宋_GBK" w:cs="Times New Roman"/>
          <w:sz w:val="28"/>
          <w:szCs w:val="28"/>
          <w:lang w:eastAsia="zh-CN"/>
        </w:rPr>
        <w:t>报价</w:t>
      </w:r>
      <w:r>
        <w:rPr>
          <w:rFonts w:ascii="Times New Roman" w:hAnsi="Times New Roman" w:eastAsia="方正仿宋_GBK" w:cs="Times New Roman"/>
          <w:sz w:val="28"/>
          <w:szCs w:val="28"/>
          <w:lang w:eastAsia="zh-CN"/>
        </w:rPr>
        <w:t>信用管理暂行办法》规定的黑名单且在有效期内；</w:t>
      </w:r>
    </w:p>
    <w:p>
      <w:pPr>
        <w:adjustRightInd w:val="0"/>
        <w:snapToGrid w:val="0"/>
        <w:spacing w:after="120"/>
        <w:ind w:firstLine="560" w:firstLineChars="200"/>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（4）被国家、重庆市（含市或任意区县）有关行政部门处以暂停</w:t>
      </w:r>
      <w:r>
        <w:rPr>
          <w:rFonts w:hint="eastAsia" w:ascii="Times New Roman" w:hAnsi="Times New Roman" w:eastAsia="方正仿宋_GBK" w:cs="Times New Roman"/>
          <w:sz w:val="28"/>
          <w:szCs w:val="28"/>
          <w:lang w:eastAsia="zh-CN"/>
        </w:rPr>
        <w:t>报价</w:t>
      </w:r>
      <w:r>
        <w:rPr>
          <w:rFonts w:ascii="Times New Roman" w:hAnsi="Times New Roman" w:eastAsia="方正仿宋_GBK" w:cs="Times New Roman"/>
          <w:sz w:val="28"/>
          <w:szCs w:val="28"/>
          <w:lang w:eastAsia="zh-CN"/>
        </w:rPr>
        <w:t>资格行政处罚，且在处罚期限内；</w:t>
      </w:r>
    </w:p>
    <w:p>
      <w:pPr>
        <w:adjustRightInd w:val="0"/>
        <w:snapToGrid w:val="0"/>
        <w:spacing w:after="120"/>
        <w:ind w:firstLine="560" w:firstLineChars="200"/>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（5）被重庆市相关行政主管部门暂停在渝承揽新业务且在暂停期内。</w:t>
      </w:r>
    </w:p>
    <w:p>
      <w:pPr>
        <w:adjustRightInd w:val="0"/>
        <w:snapToGrid w:val="0"/>
        <w:spacing w:after="120"/>
        <w:ind w:firstLine="560" w:firstLineChars="200"/>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2、</w:t>
      </w:r>
      <w:r>
        <w:rPr>
          <w:rFonts w:ascii="Times New Roman" w:hAnsi="Times New Roman" w:eastAsia="方正仿宋_GBK" w:cs="Times New Roman"/>
          <w:sz w:val="28"/>
          <w:szCs w:val="28"/>
          <w:lang w:eastAsia="zh-CN"/>
        </w:rPr>
        <w:t>我单位在本资格审查部分中的相关证明材料真实有效，不存在弄虚作假情形。</w:t>
      </w:r>
      <w:r>
        <w:rPr>
          <w:rFonts w:hint="eastAsia" w:ascii="Times New Roman" w:hAnsi="Times New Roman" w:eastAsia="方正仿宋_GBK" w:cs="Times New Roman"/>
          <w:sz w:val="28"/>
          <w:szCs w:val="28"/>
          <w:lang w:val="en-US" w:eastAsia="zh-CN"/>
        </w:rPr>
        <w:t>询价人</w:t>
      </w:r>
      <w:r>
        <w:rPr>
          <w:rFonts w:ascii="Times New Roman" w:hAnsi="Times New Roman" w:eastAsia="方正仿宋_GBK" w:cs="Times New Roman"/>
          <w:sz w:val="28"/>
          <w:szCs w:val="28"/>
          <w:lang w:eastAsia="zh-CN"/>
        </w:rPr>
        <w:t>在合同签订前均有权对我</w:t>
      </w:r>
      <w:r>
        <w:rPr>
          <w:rFonts w:hint="eastAsia" w:ascii="Times New Roman" w:hAnsi="Times New Roman" w:eastAsia="方正仿宋_GBK" w:cs="Times New Roman"/>
          <w:sz w:val="28"/>
          <w:szCs w:val="28"/>
          <w:lang w:eastAsia="zh-CN"/>
        </w:rPr>
        <w:t>单位</w:t>
      </w:r>
      <w:r>
        <w:rPr>
          <w:rFonts w:ascii="Times New Roman" w:hAnsi="Times New Roman" w:eastAsia="方正仿宋_GBK" w:cs="Times New Roman"/>
          <w:sz w:val="28"/>
          <w:szCs w:val="28"/>
          <w:lang w:eastAsia="zh-CN"/>
        </w:rPr>
        <w:t>提供的资料（如业绩截图信息等相关证明材料）进行核实，若发现弄虚作假</w:t>
      </w:r>
      <w:r>
        <w:rPr>
          <w:rFonts w:hint="default" w:ascii="Times New Roman" w:hAnsi="Times New Roman" w:eastAsia="方正仿宋_GBK" w:cs="Times New Roman"/>
          <w:sz w:val="28"/>
          <w:szCs w:val="28"/>
          <w:u w:val="none"/>
          <w:lang w:val="en-US" w:eastAsia="zh-CN"/>
        </w:rPr>
        <w:t>或不配合核实</w:t>
      </w:r>
      <w:r>
        <w:rPr>
          <w:rFonts w:ascii="Times New Roman" w:hAnsi="Times New Roman" w:eastAsia="方正仿宋_GBK" w:cs="Times New Roman"/>
          <w:sz w:val="28"/>
          <w:szCs w:val="28"/>
          <w:lang w:eastAsia="zh-CN"/>
        </w:rPr>
        <w:t>，取消中选资格，我</w:t>
      </w:r>
      <w:r>
        <w:rPr>
          <w:rFonts w:hint="eastAsia" w:ascii="Times New Roman" w:hAnsi="Times New Roman" w:eastAsia="方正仿宋_GBK" w:cs="Times New Roman"/>
          <w:sz w:val="28"/>
          <w:szCs w:val="28"/>
          <w:lang w:eastAsia="zh-CN"/>
        </w:rPr>
        <w:t>单位</w:t>
      </w:r>
      <w:r>
        <w:rPr>
          <w:rFonts w:ascii="Times New Roman" w:hAnsi="Times New Roman" w:eastAsia="方正仿宋_GBK" w:cs="Times New Roman"/>
          <w:sz w:val="28"/>
          <w:szCs w:val="28"/>
          <w:lang w:eastAsia="zh-CN"/>
        </w:rPr>
        <w:t>自愿承担因此造成的相关责任并赔偿相应损失。</w:t>
      </w:r>
    </w:p>
    <w:p>
      <w:pPr>
        <w:adjustRightInd w:val="0"/>
        <w:snapToGrid w:val="0"/>
        <w:spacing w:after="120"/>
        <w:ind w:firstLine="560" w:firstLineChars="200"/>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3</w:t>
      </w:r>
      <w:r>
        <w:rPr>
          <w:rFonts w:ascii="Times New Roman" w:hAnsi="Times New Roman" w:eastAsia="方正仿宋_GBK" w:cs="Times New Roman"/>
          <w:sz w:val="28"/>
          <w:szCs w:val="28"/>
          <w:lang w:eastAsia="zh-CN"/>
        </w:rPr>
        <w:t>、询价文件中没有</w:t>
      </w:r>
      <w:r>
        <w:rPr>
          <w:rFonts w:hint="eastAsia" w:ascii="Times New Roman" w:hAnsi="Times New Roman" w:eastAsia="方正仿宋_GBK" w:cs="Times New Roman"/>
          <w:sz w:val="28"/>
          <w:szCs w:val="28"/>
          <w:lang w:eastAsia="zh-CN"/>
        </w:rPr>
        <w:t>报价人</w:t>
      </w:r>
      <w:r>
        <w:rPr>
          <w:rFonts w:ascii="Times New Roman" w:hAnsi="Times New Roman" w:eastAsia="方正仿宋_GBK" w:cs="Times New Roman"/>
          <w:sz w:val="28"/>
          <w:szCs w:val="28"/>
          <w:lang w:eastAsia="zh-CN"/>
        </w:rPr>
        <w:t>不能接受的条件。</w:t>
      </w:r>
    </w:p>
    <w:p>
      <w:pPr>
        <w:adjustRightInd w:val="0"/>
        <w:snapToGrid w:val="0"/>
        <w:spacing w:after="120"/>
        <w:ind w:firstLine="560" w:firstLineChars="200"/>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4</w:t>
      </w:r>
      <w:r>
        <w:rPr>
          <w:rFonts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eastAsia="zh-CN"/>
        </w:rPr>
        <w:t>我公司承诺提供投标合同设备的三维建模服务，相关费用包含在投标报价中。</w:t>
      </w:r>
    </w:p>
    <w:p>
      <w:pPr>
        <w:adjustRightInd w:val="0"/>
        <w:snapToGrid w:val="0"/>
        <w:spacing w:after="120"/>
        <w:ind w:firstLine="560" w:firstLineChars="200"/>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特此承诺。</w:t>
      </w:r>
    </w:p>
    <w:p>
      <w:pPr>
        <w:adjustRightInd w:val="0"/>
        <w:snapToGrid w:val="0"/>
        <w:spacing w:after="120"/>
        <w:jc w:val="right"/>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报价人：         （盖单位法人章）</w:t>
      </w:r>
    </w:p>
    <w:p>
      <w:pPr>
        <w:adjustRightInd w:val="0"/>
        <w:snapToGrid w:val="0"/>
        <w:spacing w:after="120"/>
        <w:jc w:val="right"/>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法定代表人：       （签字或盖章）</w:t>
      </w:r>
    </w:p>
    <w:p>
      <w:pPr>
        <w:pStyle w:val="43"/>
        <w:ind w:left="440"/>
        <w:jc w:val="right"/>
        <w:rPr>
          <w:rFonts w:ascii="Times New Roman" w:hAnsi="Times New Roman" w:eastAsia="方正仿宋_GBK" w:cs="Times New Roman"/>
          <w:sz w:val="28"/>
          <w:szCs w:val="28"/>
        </w:rPr>
      </w:pPr>
      <w:r>
        <w:rPr>
          <w:rFonts w:ascii="Times New Roman" w:hAnsi="Times New Roman" w:eastAsia="方正仿宋_GBK" w:cs="Times New Roman"/>
          <w:sz w:val="28"/>
          <w:szCs w:val="28"/>
        </w:rPr>
        <w:t>年    月    日</w:t>
      </w:r>
    </w:p>
    <w:p>
      <w:pPr>
        <w:pStyle w:val="43"/>
        <w:ind w:left="440"/>
        <w:rPr>
          <w:rFonts w:ascii="Times New Roman" w:hAnsi="Times New Roman" w:eastAsia="方正仿宋_GBK" w:cs="Times New Roman"/>
          <w:sz w:val="32"/>
          <w:szCs w:val="32"/>
        </w:rPr>
      </w:pPr>
      <w:r>
        <w:br w:type="page"/>
      </w:r>
    </w:p>
    <w:p>
      <w:pPr>
        <w:pStyle w:val="173"/>
        <w:shd w:val="clear" w:color="auto" w:fill="auto"/>
        <w:spacing w:before="0" w:after="476" w:line="510" w:lineRule="exact"/>
        <w:jc w:val="center"/>
        <w:rPr>
          <w:rFonts w:ascii="Times New Roman" w:hAnsi="Times New Roman" w:eastAsia="方正小标宋_GBK" w:cs="Times New Roman"/>
          <w:sz w:val="36"/>
          <w:szCs w:val="36"/>
        </w:rPr>
      </w:pPr>
      <w:bookmarkStart w:id="790" w:name="_Toc30363"/>
      <w:bookmarkStart w:id="791" w:name="_Toc3206"/>
      <w:bookmarkStart w:id="792" w:name="_Toc31906"/>
      <w:bookmarkStart w:id="793" w:name="_Toc4024"/>
      <w:r>
        <w:rPr>
          <w:rFonts w:hint="eastAsia" w:ascii="Times New Roman" w:hAnsi="Times New Roman" w:eastAsia="方正小标宋_GBK" w:cs="Times New Roman"/>
          <w:sz w:val="36"/>
          <w:szCs w:val="36"/>
        </w:rPr>
        <w:t>五、</w:t>
      </w:r>
      <w:r>
        <w:rPr>
          <w:rFonts w:ascii="Times New Roman" w:hAnsi="Times New Roman" w:eastAsia="方正小标宋_GBK" w:cs="Times New Roman"/>
          <w:sz w:val="36"/>
          <w:szCs w:val="36"/>
        </w:rPr>
        <w:t>项目方案</w:t>
      </w:r>
      <w:bookmarkEnd w:id="790"/>
      <w:bookmarkEnd w:id="791"/>
      <w:bookmarkEnd w:id="792"/>
      <w:bookmarkEnd w:id="793"/>
    </w:p>
    <w:p>
      <w:pPr>
        <w:adjustRightInd w:val="0"/>
        <w:snapToGrid w:val="0"/>
        <w:spacing w:after="120" w:line="510" w:lineRule="exact"/>
        <w:ind w:firstLine="560" w:firstLineChars="200"/>
        <w:rPr>
          <w:rFonts w:hint="eastAsia"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1、项目方案</w:t>
      </w:r>
      <w:r>
        <w:rPr>
          <w:rFonts w:ascii="Times New Roman" w:hAnsi="Times New Roman" w:eastAsia="方正仿宋_GBK" w:cs="Times New Roman"/>
          <w:sz w:val="28"/>
          <w:szCs w:val="28"/>
          <w:lang w:eastAsia="zh-CN"/>
        </w:rPr>
        <w:t>包含但不限于对项目的认识（结合项目背景、区域概况、</w:t>
      </w:r>
      <w:r>
        <w:rPr>
          <w:rFonts w:hint="eastAsia" w:ascii="Times New Roman" w:hAnsi="Times New Roman" w:eastAsia="方正仿宋_GBK" w:cs="Times New Roman"/>
          <w:sz w:val="28"/>
          <w:szCs w:val="28"/>
          <w:lang w:eastAsia="zh-CN"/>
        </w:rPr>
        <w:t>等</w:t>
      </w:r>
      <w:r>
        <w:rPr>
          <w:rFonts w:ascii="Times New Roman" w:hAnsi="Times New Roman" w:eastAsia="方正仿宋_GBK" w:cs="Times New Roman"/>
          <w:sz w:val="28"/>
          <w:szCs w:val="28"/>
          <w:lang w:eastAsia="zh-CN"/>
        </w:rPr>
        <w:t>书面资料）、技术方案（结合项目需求，编制相应专项研究方案、工作程序等）、项目管理及质量保证措施、进度计划与措施</w:t>
      </w:r>
      <w:r>
        <w:rPr>
          <w:rFonts w:hint="eastAsia" w:ascii="Times New Roman" w:hAnsi="Times New Roman" w:eastAsia="方正仿宋_GBK" w:cs="Times New Roman"/>
          <w:sz w:val="28"/>
          <w:szCs w:val="28"/>
          <w:lang w:eastAsia="zh-CN"/>
        </w:rPr>
        <w:t>，拟投入的</w:t>
      </w:r>
      <w:r>
        <w:rPr>
          <w:rFonts w:ascii="Times New Roman" w:hAnsi="Times New Roman" w:eastAsia="方正仿宋_GBK" w:cs="Times New Roman"/>
          <w:sz w:val="28"/>
          <w:szCs w:val="28"/>
          <w:lang w:eastAsia="zh-CN"/>
        </w:rPr>
        <w:t>试验设备</w:t>
      </w:r>
      <w:r>
        <w:rPr>
          <w:rFonts w:hint="eastAsia" w:ascii="Times New Roman" w:hAnsi="Times New Roman" w:eastAsia="方正仿宋_GBK" w:cs="Times New Roman"/>
          <w:sz w:val="28"/>
          <w:szCs w:val="28"/>
          <w:lang w:eastAsia="zh-CN"/>
        </w:rPr>
        <w:t>、</w:t>
      </w:r>
      <w:r>
        <w:rPr>
          <w:rFonts w:ascii="Times New Roman" w:hAnsi="Times New Roman" w:eastAsia="方正仿宋_GBK" w:cs="Times New Roman"/>
          <w:sz w:val="28"/>
          <w:szCs w:val="28"/>
          <w:lang w:eastAsia="zh-CN"/>
        </w:rPr>
        <w:t>承诺</w:t>
      </w:r>
      <w:r>
        <w:rPr>
          <w:rFonts w:hint="eastAsia" w:ascii="Times New Roman" w:hAnsi="Times New Roman" w:eastAsia="方正仿宋_GBK" w:cs="Times New Roman"/>
          <w:sz w:val="28"/>
          <w:szCs w:val="28"/>
          <w:lang w:eastAsia="zh-CN"/>
        </w:rPr>
        <w:t>等。</w:t>
      </w: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rPr>
          <w:rFonts w:ascii="Times New Roman" w:hAnsi="Times New Roman" w:eastAsia="方正仿宋_GBK" w:cs="Times New Roman"/>
          <w:i/>
          <w:iCs/>
          <w:sz w:val="32"/>
          <w:szCs w:val="32"/>
          <w:highlight w:val="yellow"/>
          <w:lang w:eastAsia="zh-CN"/>
        </w:rPr>
      </w:pPr>
    </w:p>
    <w:p>
      <w:pPr>
        <w:pStyle w:val="43"/>
        <w:rPr>
          <w:rFonts w:ascii="Times New Roman" w:hAnsi="Times New Roman" w:eastAsia="方正仿宋_GBK" w:cs="Times New Roman"/>
          <w:i/>
          <w:iCs/>
          <w:sz w:val="32"/>
          <w:szCs w:val="32"/>
          <w:highlight w:val="yellow"/>
          <w:lang w:eastAsia="zh-CN"/>
        </w:rPr>
      </w:pPr>
    </w:p>
    <w:p>
      <w:pPr>
        <w:pStyle w:val="43"/>
        <w:rPr>
          <w:rFonts w:ascii="Times New Roman" w:hAnsi="Times New Roman" w:eastAsia="方正仿宋_GBK" w:cs="Times New Roman"/>
          <w:i/>
          <w:iCs/>
          <w:sz w:val="32"/>
          <w:szCs w:val="32"/>
          <w:highlight w:val="yellow"/>
          <w:lang w:eastAsia="zh-CN"/>
        </w:rPr>
      </w:pPr>
    </w:p>
    <w:p>
      <w:pPr>
        <w:pStyle w:val="43"/>
        <w:rPr>
          <w:rFonts w:ascii="Times New Roman" w:hAnsi="Times New Roman" w:eastAsia="方正仿宋_GBK" w:cs="Times New Roman"/>
          <w:i/>
          <w:iCs/>
          <w:sz w:val="32"/>
          <w:szCs w:val="32"/>
          <w:highlight w:val="yellow"/>
          <w:lang w:eastAsia="zh-CN"/>
        </w:rPr>
      </w:pPr>
    </w:p>
    <w:p>
      <w:pPr>
        <w:pStyle w:val="43"/>
        <w:rPr>
          <w:rFonts w:ascii="Times New Roman" w:hAnsi="Times New Roman" w:eastAsia="方正仿宋_GBK" w:cs="Times New Roman"/>
          <w:i/>
          <w:iCs/>
          <w:sz w:val="32"/>
          <w:szCs w:val="32"/>
          <w:highlight w:val="yellow"/>
          <w:lang w:eastAsia="zh-CN"/>
        </w:rPr>
      </w:pPr>
    </w:p>
    <w:p>
      <w:pPr>
        <w:pStyle w:val="43"/>
        <w:rPr>
          <w:rFonts w:ascii="Times New Roman" w:hAnsi="Times New Roman" w:eastAsia="方正仿宋_GBK" w:cs="Times New Roman"/>
          <w:i/>
          <w:iCs/>
          <w:sz w:val="32"/>
          <w:szCs w:val="32"/>
          <w:highlight w:val="yellow"/>
          <w:lang w:eastAsia="zh-CN"/>
        </w:rPr>
      </w:pPr>
    </w:p>
    <w:p>
      <w:pPr>
        <w:pStyle w:val="43"/>
        <w:rPr>
          <w:rFonts w:ascii="Times New Roman" w:hAnsi="Times New Roman" w:eastAsia="方正仿宋_GBK" w:cs="Times New Roman"/>
          <w:i/>
          <w:iCs/>
          <w:sz w:val="32"/>
          <w:szCs w:val="32"/>
          <w:highlight w:val="yellow"/>
          <w:lang w:eastAsia="zh-CN"/>
        </w:rPr>
      </w:pPr>
    </w:p>
    <w:p>
      <w:pPr>
        <w:pStyle w:val="43"/>
        <w:rPr>
          <w:rFonts w:ascii="Times New Roman" w:hAnsi="Times New Roman" w:eastAsia="方正仿宋_GBK" w:cs="Times New Roman"/>
          <w:i/>
          <w:iCs/>
          <w:sz w:val="32"/>
          <w:szCs w:val="32"/>
          <w:highlight w:val="yellow"/>
          <w:lang w:eastAsia="zh-CN"/>
        </w:rPr>
      </w:pPr>
    </w:p>
    <w:p>
      <w:pPr>
        <w:autoSpaceDE w:val="0"/>
        <w:autoSpaceDN w:val="0"/>
        <w:adjustRightInd w:val="0"/>
        <w:spacing w:line="564" w:lineRule="exact"/>
        <w:ind w:right="117" w:firstLine="0" w:firstLineChars="0"/>
        <w:jc w:val="both"/>
        <w:outlineLvl w:val="0"/>
        <w:rPr>
          <w:rFonts w:hint="eastAsia" w:ascii="Times New Roman" w:hAnsi="Times New Roman" w:eastAsia="方正小标宋_GBK" w:cs="Times New Roman"/>
          <w:bCs/>
          <w:sz w:val="44"/>
          <w:szCs w:val="44"/>
          <w:lang w:val="zh-CN" w:eastAsia="zh-CN"/>
        </w:rPr>
      </w:pPr>
      <w:bookmarkStart w:id="794" w:name="_Toc15373"/>
      <w:bookmarkStart w:id="795" w:name="_Toc20296"/>
      <w:bookmarkStart w:id="796" w:name="_Toc6834"/>
      <w:bookmarkStart w:id="797" w:name="_Toc80627904"/>
      <w:bookmarkStart w:id="798" w:name="_Toc29080"/>
    </w:p>
    <w:p>
      <w:pPr>
        <w:autoSpaceDE w:val="0"/>
        <w:autoSpaceDN w:val="0"/>
        <w:adjustRightInd w:val="0"/>
        <w:spacing w:line="564" w:lineRule="exact"/>
        <w:ind w:right="117" w:firstLine="2200" w:firstLineChars="500"/>
        <w:jc w:val="both"/>
        <w:outlineLvl w:val="0"/>
        <w:rPr>
          <w:rFonts w:ascii="Times New Roman" w:hAnsi="Times New Roman" w:eastAsia="方正小标宋_GBK" w:cs="Times New Roman"/>
          <w:bCs/>
          <w:sz w:val="44"/>
          <w:szCs w:val="44"/>
          <w:lang w:val="zh-CN" w:eastAsia="zh-CN"/>
        </w:rPr>
      </w:pPr>
      <w:r>
        <w:rPr>
          <w:rFonts w:hint="eastAsia" w:ascii="Times New Roman" w:hAnsi="Times New Roman" w:eastAsia="方正小标宋_GBK" w:cs="Times New Roman"/>
          <w:bCs/>
          <w:sz w:val="44"/>
          <w:szCs w:val="44"/>
          <w:lang w:val="zh-CN" w:eastAsia="zh-CN"/>
        </w:rPr>
        <w:t>第五章</w:t>
      </w:r>
      <w:r>
        <w:rPr>
          <w:rFonts w:hint="eastAsia" w:ascii="Times New Roman" w:hAnsi="Times New Roman" w:eastAsia="方正小标宋_GBK" w:cs="Times New Roman"/>
          <w:bCs/>
          <w:sz w:val="44"/>
          <w:szCs w:val="44"/>
          <w:lang w:eastAsia="zh-CN"/>
        </w:rPr>
        <w:t xml:space="preserve"> </w:t>
      </w:r>
      <w:r>
        <w:rPr>
          <w:rFonts w:hint="eastAsia" w:ascii="Times New Roman" w:hAnsi="Times New Roman" w:eastAsia="方正小标宋_GBK" w:cs="Times New Roman"/>
          <w:bCs/>
          <w:sz w:val="44"/>
          <w:szCs w:val="44"/>
          <w:lang w:val="zh-CN" w:eastAsia="zh-CN"/>
        </w:rPr>
        <w:t>技术标准和要求</w:t>
      </w:r>
      <w:bookmarkEnd w:id="794"/>
      <w:bookmarkEnd w:id="795"/>
      <w:bookmarkEnd w:id="796"/>
      <w:bookmarkEnd w:id="797"/>
      <w:bookmarkEnd w:id="798"/>
    </w:p>
    <w:p>
      <w:pPr>
        <w:pStyle w:val="2"/>
        <w:numPr>
          <w:ilvl w:val="255"/>
          <w:numId w:val="0"/>
        </w:numPr>
        <w:rPr>
          <w:lang w:eastAsia="zh-CN"/>
        </w:rPr>
      </w:pPr>
    </w:p>
    <w:p>
      <w:pPr>
        <w:pStyle w:val="2"/>
        <w:numPr>
          <w:ilvl w:val="255"/>
          <w:numId w:val="0"/>
        </w:numPr>
        <w:rPr>
          <w:sz w:val="24"/>
          <w:szCs w:val="24"/>
          <w:lang w:eastAsia="zh-CN"/>
        </w:rPr>
      </w:pPr>
      <w:r>
        <w:rPr>
          <w:rFonts w:hint="eastAsia"/>
          <w:sz w:val="24"/>
          <w:szCs w:val="24"/>
          <w:lang w:eastAsia="zh-CN"/>
        </w:rPr>
        <w:t>附件：</w:t>
      </w:r>
    </w:p>
    <w:p>
      <w:pPr>
        <w:pStyle w:val="2"/>
        <w:numPr>
          <w:ilvl w:val="255"/>
          <w:numId w:val="0"/>
        </w:numPr>
        <w:rPr>
          <w:rFonts w:hint="eastAsia"/>
          <w:sz w:val="24"/>
          <w:szCs w:val="24"/>
          <w:lang w:eastAsia="zh-CN"/>
        </w:rPr>
      </w:pPr>
      <w:r>
        <w:rPr>
          <w:rFonts w:hint="eastAsia"/>
          <w:sz w:val="24"/>
          <w:szCs w:val="24"/>
          <w:lang w:eastAsia="zh-CN"/>
        </w:rPr>
        <w:t>《涪江干流梯级渠化双江航电枢纽工程</w:t>
      </w:r>
      <w:r>
        <w:rPr>
          <w:rFonts w:hint="eastAsia"/>
          <w:sz w:val="24"/>
          <w:szCs w:val="24"/>
          <w:lang w:val="en-US" w:eastAsia="zh-CN"/>
        </w:rPr>
        <w:t>厂区空调设备</w:t>
      </w:r>
      <w:r>
        <w:rPr>
          <w:rFonts w:hint="eastAsia"/>
          <w:sz w:val="24"/>
          <w:szCs w:val="24"/>
          <w:lang w:eastAsia="zh-CN"/>
        </w:rPr>
        <w:t>采购技术文件》</w:t>
      </w:r>
    </w:p>
    <w:p>
      <w:pPr>
        <w:jc w:val="center"/>
        <w:rPr>
          <w:rFonts w:hint="eastAsia"/>
          <w:sz w:val="24"/>
          <w:szCs w:val="24"/>
          <w:lang w:val="en-US" w:eastAsia="zh-CN"/>
        </w:rPr>
      </w:pPr>
    </w:p>
    <w:p>
      <w:pPr>
        <w:jc w:val="center"/>
        <w:rPr>
          <w:rFonts w:hint="eastAsia"/>
          <w:sz w:val="24"/>
          <w:szCs w:val="24"/>
          <w:lang w:eastAsia="zh-CN"/>
        </w:rPr>
      </w:pPr>
      <w:r>
        <w:rPr>
          <w:rFonts w:hint="eastAsia"/>
          <w:sz w:val="24"/>
          <w:szCs w:val="24"/>
          <w:lang w:val="en-US" w:eastAsia="zh-CN"/>
        </w:rPr>
        <w:t>技术参数相应表</w:t>
      </w:r>
    </w:p>
    <w:tbl>
      <w:tblPr>
        <w:tblStyle w:val="44"/>
        <w:tblW w:w="8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2617"/>
        <w:gridCol w:w="2638"/>
        <w:gridCol w:w="2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6" w:type="dxa"/>
            <w:shd w:val="clear" w:color="auto" w:fill="auto"/>
            <w:vAlign w:val="center"/>
          </w:tcPr>
          <w:p>
            <w:r>
              <w:rPr>
                <w:rFonts w:hint="eastAsia"/>
              </w:rPr>
              <w:t>序 号</w:t>
            </w:r>
          </w:p>
        </w:tc>
        <w:tc>
          <w:tcPr>
            <w:tcW w:w="2617" w:type="dxa"/>
            <w:shd w:val="clear" w:color="auto" w:fill="auto"/>
            <w:vAlign w:val="center"/>
          </w:tcPr>
          <w:p>
            <w:r>
              <w:rPr>
                <w:rFonts w:hint="eastAsia"/>
              </w:rPr>
              <w:t>内容</w:t>
            </w:r>
          </w:p>
        </w:tc>
        <w:tc>
          <w:tcPr>
            <w:tcW w:w="2638" w:type="dxa"/>
            <w:shd w:val="clear" w:color="auto" w:fill="auto"/>
            <w:vAlign w:val="center"/>
          </w:tcPr>
          <w:p>
            <w:r>
              <w:rPr>
                <w:rFonts w:hint="eastAsia"/>
              </w:rPr>
              <w:t>买方技术参数要求</w:t>
            </w:r>
          </w:p>
        </w:tc>
        <w:tc>
          <w:tcPr>
            <w:tcW w:w="2185" w:type="dxa"/>
          </w:tcPr>
          <w:p>
            <w:r>
              <w:rPr>
                <w:rFonts w:hint="eastAsia"/>
              </w:rPr>
              <w:t>卖方技术参数响应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6" w:type="dxa"/>
            <w:shd w:val="clear" w:color="auto" w:fill="auto"/>
            <w:vAlign w:val="center"/>
          </w:tcPr>
          <w:p>
            <w:r>
              <w:rPr>
                <w:rFonts w:hint="eastAsia"/>
              </w:rPr>
              <w:t>1</w:t>
            </w:r>
          </w:p>
        </w:tc>
        <w:tc>
          <w:tcPr>
            <w:tcW w:w="2617" w:type="dxa"/>
            <w:shd w:val="clear" w:color="auto" w:fill="auto"/>
            <w:vAlign w:val="center"/>
          </w:tcPr>
          <w:p>
            <w:r>
              <w:rPr>
                <w:rFonts w:eastAsia="仿宋"/>
                <w:color w:val="000000" w:themeColor="text1"/>
                <w:sz w:val="24"/>
                <w:szCs w:val="24"/>
                <w14:textFill>
                  <w14:solidFill>
                    <w14:schemeClr w14:val="tx1"/>
                  </w14:solidFill>
                </w14:textFill>
              </w:rPr>
              <w:t>多联空调主机</w:t>
            </w:r>
          </w:p>
        </w:tc>
        <w:tc>
          <w:tcPr>
            <w:tcW w:w="2638" w:type="dxa"/>
            <w:shd w:val="clear" w:color="auto" w:fill="auto"/>
            <w:vAlign w:val="center"/>
          </w:tcP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6" w:type="dxa"/>
            <w:shd w:val="clear" w:color="auto" w:fill="auto"/>
            <w:vAlign w:val="center"/>
          </w:tcPr>
          <w:p>
            <w:r>
              <w:rPr>
                <w:rFonts w:hint="eastAsia"/>
              </w:rPr>
              <w:t>1.1</w:t>
            </w:r>
          </w:p>
        </w:tc>
        <w:tc>
          <w:tcPr>
            <w:tcW w:w="2617" w:type="dxa"/>
            <w:shd w:val="clear" w:color="auto" w:fill="auto"/>
            <w:vAlign w:val="center"/>
          </w:tcPr>
          <w:p>
            <w:r>
              <w:rPr>
                <w:rFonts w:eastAsia="仿宋"/>
                <w:color w:val="000000" w:themeColor="text1"/>
                <w:sz w:val="24"/>
                <w:szCs w:val="24"/>
                <w14:textFill>
                  <w14:solidFill>
                    <w14:schemeClr w14:val="tx1"/>
                  </w14:solidFill>
                </w14:textFill>
              </w:rPr>
              <w:t>制冷量</w:t>
            </w:r>
          </w:p>
        </w:tc>
        <w:tc>
          <w:tcPr>
            <w:tcW w:w="2638" w:type="dxa"/>
            <w:shd w:val="clear" w:color="auto" w:fill="auto"/>
            <w:vAlign w:val="center"/>
          </w:tcPr>
          <w:p>
            <w:r>
              <w:rPr>
                <w:rFonts w:eastAsia="仿宋"/>
                <w:color w:val="000000" w:themeColor="text1"/>
                <w:sz w:val="24"/>
                <w:szCs w:val="24"/>
                <w14:textFill>
                  <w14:solidFill>
                    <w14:schemeClr w14:val="tx1"/>
                  </w14:solidFill>
                </w14:textFill>
              </w:rPr>
              <w:t>≥145kW</w:t>
            </w: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6" w:type="dxa"/>
            <w:shd w:val="clear" w:color="auto" w:fill="auto"/>
            <w:vAlign w:val="center"/>
          </w:tcPr>
          <w:p>
            <w:r>
              <w:rPr>
                <w:rFonts w:hint="eastAsia"/>
              </w:rPr>
              <w:t>1.2</w:t>
            </w:r>
          </w:p>
        </w:tc>
        <w:tc>
          <w:tcPr>
            <w:tcW w:w="2617" w:type="dxa"/>
            <w:shd w:val="clear" w:color="auto" w:fill="auto"/>
            <w:vAlign w:val="center"/>
          </w:tcPr>
          <w:p>
            <w:r>
              <w:rPr>
                <w:rFonts w:eastAsia="仿宋"/>
                <w:color w:val="000000" w:themeColor="text1"/>
                <w:sz w:val="24"/>
                <w:szCs w:val="24"/>
                <w14:textFill>
                  <w14:solidFill>
                    <w14:schemeClr w14:val="tx1"/>
                  </w14:solidFill>
                </w14:textFill>
              </w:rPr>
              <w:t>制</w:t>
            </w:r>
            <w:r>
              <w:rPr>
                <w:rFonts w:hint="eastAsia" w:eastAsia="仿宋"/>
                <w:color w:val="000000" w:themeColor="text1"/>
                <w:sz w:val="24"/>
                <w:szCs w:val="24"/>
                <w14:textFill>
                  <w14:solidFill>
                    <w14:schemeClr w14:val="tx1"/>
                  </w14:solidFill>
                </w14:textFill>
              </w:rPr>
              <w:t>热</w:t>
            </w:r>
            <w:r>
              <w:rPr>
                <w:rFonts w:eastAsia="仿宋"/>
                <w:color w:val="000000" w:themeColor="text1"/>
                <w:sz w:val="24"/>
                <w:szCs w:val="24"/>
                <w14:textFill>
                  <w14:solidFill>
                    <w14:schemeClr w14:val="tx1"/>
                  </w14:solidFill>
                </w14:textFill>
              </w:rPr>
              <w:t>量</w:t>
            </w:r>
          </w:p>
        </w:tc>
        <w:tc>
          <w:tcPr>
            <w:tcW w:w="2638" w:type="dxa"/>
            <w:shd w:val="clear" w:color="auto" w:fill="auto"/>
            <w:vAlign w:val="center"/>
          </w:tcPr>
          <w:p>
            <w:r>
              <w:rPr>
                <w:rFonts w:eastAsia="仿宋"/>
                <w:color w:val="000000" w:themeColor="text1"/>
                <w:sz w:val="24"/>
                <w:szCs w:val="24"/>
                <w14:textFill>
                  <w14:solidFill>
                    <w14:schemeClr w14:val="tx1"/>
                  </w14:solidFill>
                </w14:textFill>
              </w:rPr>
              <w:t>≥16</w:t>
            </w:r>
            <w:r>
              <w:rPr>
                <w:rFonts w:hint="eastAsia" w:eastAsia="仿宋"/>
                <w:color w:val="000000" w:themeColor="text1"/>
                <w:sz w:val="24"/>
                <w:szCs w:val="24"/>
                <w14:textFill>
                  <w14:solidFill>
                    <w14:schemeClr w14:val="tx1"/>
                  </w14:solidFill>
                </w14:textFill>
              </w:rPr>
              <w:t>0</w:t>
            </w:r>
            <w:r>
              <w:rPr>
                <w:rFonts w:eastAsia="仿宋"/>
                <w:color w:val="000000" w:themeColor="text1"/>
                <w:sz w:val="24"/>
                <w:szCs w:val="24"/>
                <w14:textFill>
                  <w14:solidFill>
                    <w14:schemeClr w14:val="tx1"/>
                  </w14:solidFill>
                </w14:textFill>
              </w:rPr>
              <w:t>kW</w:t>
            </w: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6" w:type="dxa"/>
            <w:shd w:val="clear" w:color="auto" w:fill="auto"/>
            <w:vAlign w:val="center"/>
          </w:tcPr>
          <w:p>
            <w:r>
              <w:rPr>
                <w:rFonts w:hint="eastAsia"/>
              </w:rPr>
              <w:t>1.3</w:t>
            </w:r>
          </w:p>
        </w:tc>
        <w:tc>
          <w:tcPr>
            <w:tcW w:w="2617" w:type="dxa"/>
            <w:shd w:val="clear" w:color="auto" w:fill="auto"/>
            <w:vAlign w:val="center"/>
          </w:tcPr>
          <w:p>
            <w:r>
              <w:rPr>
                <w:rFonts w:eastAsia="仿宋"/>
                <w:color w:val="000000" w:themeColor="text1"/>
                <w:sz w:val="24"/>
                <w:szCs w:val="24"/>
                <w14:textFill>
                  <w14:solidFill>
                    <w14:schemeClr w14:val="tx1"/>
                  </w14:solidFill>
                </w14:textFill>
              </w:rPr>
              <w:t>功率</w:t>
            </w:r>
          </w:p>
        </w:tc>
        <w:tc>
          <w:tcPr>
            <w:tcW w:w="2638" w:type="dxa"/>
            <w:shd w:val="clear" w:color="auto" w:fill="auto"/>
            <w:vAlign w:val="center"/>
          </w:tcPr>
          <w:p>
            <w:r>
              <w:rPr>
                <w:rFonts w:eastAsia="仿宋"/>
                <w:color w:val="000000" w:themeColor="text1"/>
                <w:sz w:val="24"/>
                <w:szCs w:val="24"/>
                <w14:textFill>
                  <w14:solidFill>
                    <w14:schemeClr w14:val="tx1"/>
                  </w14:solidFill>
                </w14:textFill>
              </w:rPr>
              <w:t>≤39.</w:t>
            </w:r>
            <w:r>
              <w:rPr>
                <w:rFonts w:hint="eastAsia" w:eastAsia="仿宋"/>
                <w:color w:val="000000" w:themeColor="text1"/>
                <w:sz w:val="24"/>
                <w:szCs w:val="24"/>
                <w14:textFill>
                  <w14:solidFill>
                    <w14:schemeClr w14:val="tx1"/>
                  </w14:solidFill>
                </w14:textFill>
              </w:rPr>
              <w:t>4</w:t>
            </w:r>
            <w:r>
              <w:rPr>
                <w:rFonts w:eastAsia="仿宋"/>
                <w:color w:val="000000" w:themeColor="text1"/>
                <w:sz w:val="24"/>
                <w:szCs w:val="24"/>
                <w14:textFill>
                  <w14:solidFill>
                    <w14:schemeClr w14:val="tx1"/>
                  </w14:solidFill>
                </w14:textFill>
              </w:rPr>
              <w:t xml:space="preserve"> kW</w:t>
            </w: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6" w:type="dxa"/>
            <w:shd w:val="clear" w:color="auto" w:fill="auto"/>
            <w:vAlign w:val="center"/>
          </w:tcPr>
          <w:p>
            <w:r>
              <w:rPr>
                <w:rFonts w:hint="eastAsia"/>
              </w:rPr>
              <w:t>1.4</w:t>
            </w:r>
          </w:p>
        </w:tc>
        <w:tc>
          <w:tcPr>
            <w:tcW w:w="2617" w:type="dxa"/>
            <w:shd w:val="clear" w:color="auto" w:fill="auto"/>
            <w:vAlign w:val="center"/>
          </w:tcPr>
          <w:p>
            <w:pPr>
              <w:rPr>
                <w:rFonts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风量</w:t>
            </w:r>
          </w:p>
        </w:tc>
        <w:tc>
          <w:tcPr>
            <w:tcW w:w="2638" w:type="dxa"/>
            <w:shd w:val="clear" w:color="auto" w:fill="auto"/>
            <w:vAlign w:val="center"/>
          </w:tcPr>
          <w:p>
            <w:pPr>
              <w:pStyle w:val="16"/>
              <w:rPr>
                <w:rFonts w:eastAsia="仿宋" w:asciiTheme="minorHAnsi" w:hAnsiTheme="minorHAnsi" w:cstheme="minorBidi"/>
                <w:color w:val="000000" w:themeColor="text1"/>
                <w:sz w:val="24"/>
                <w:szCs w:val="24"/>
                <w14:textFill>
                  <w14:solidFill>
                    <w14:schemeClr w14:val="tx1"/>
                  </w14:solidFill>
                </w14:textFill>
                <w14:ligatures w14:val="standardContextual"/>
              </w:rPr>
            </w:pPr>
            <w:r>
              <w:rPr>
                <w:rFonts w:eastAsia="仿宋" w:asciiTheme="minorHAnsi" w:hAnsiTheme="minorHAnsi" w:cstheme="minorBidi"/>
                <w:color w:val="000000" w:themeColor="text1"/>
                <w:sz w:val="24"/>
                <w:szCs w:val="24"/>
                <w14:textFill>
                  <w14:solidFill>
                    <w14:schemeClr w14:val="tx1"/>
                  </w14:solidFill>
                </w14:textFill>
                <w14:ligatures w14:val="standardContextual"/>
              </w:rPr>
              <w:t>≥</w:t>
            </w:r>
            <w:r>
              <w:rPr>
                <w:rFonts w:hint="eastAsia" w:eastAsia="仿宋" w:asciiTheme="minorHAnsi" w:hAnsiTheme="minorHAnsi" w:cstheme="minorBidi"/>
                <w:color w:val="000000" w:themeColor="text1"/>
                <w:sz w:val="24"/>
                <w:szCs w:val="24"/>
                <w14:textFill>
                  <w14:solidFill>
                    <w14:schemeClr w14:val="tx1"/>
                  </w14:solidFill>
                </w14:textFill>
                <w14:ligatures w14:val="standardContextual"/>
              </w:rPr>
              <w:t>42500</w:t>
            </w:r>
            <w:r>
              <w:rPr>
                <w:rFonts w:eastAsia="仿宋" w:asciiTheme="minorHAnsi" w:hAnsiTheme="minorHAnsi" w:cstheme="minorBidi"/>
                <w:color w:val="000000" w:themeColor="text1"/>
                <w:sz w:val="24"/>
                <w:szCs w:val="24"/>
                <w14:textFill>
                  <w14:solidFill>
                    <w14:schemeClr w14:val="tx1"/>
                  </w14:solidFill>
                </w14:textFill>
                <w14:ligatures w14:val="standardContextual"/>
              </w:rPr>
              <w:t>m3/h</w:t>
            </w: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6" w:type="dxa"/>
            <w:shd w:val="clear" w:color="auto" w:fill="auto"/>
            <w:vAlign w:val="center"/>
          </w:tcPr>
          <w:p>
            <w:r>
              <w:rPr>
                <w:rFonts w:hint="eastAsia"/>
              </w:rPr>
              <w:t>1.5</w:t>
            </w:r>
          </w:p>
        </w:tc>
        <w:tc>
          <w:tcPr>
            <w:tcW w:w="2617" w:type="dxa"/>
            <w:shd w:val="clear" w:color="auto" w:fill="auto"/>
            <w:vAlign w:val="center"/>
          </w:tcPr>
          <w:p>
            <w:pPr>
              <w:rPr>
                <w:rFonts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机组噪声</w:t>
            </w:r>
          </w:p>
        </w:tc>
        <w:tc>
          <w:tcPr>
            <w:tcW w:w="2638" w:type="dxa"/>
            <w:shd w:val="clear" w:color="auto" w:fill="auto"/>
            <w:vAlign w:val="center"/>
          </w:tcPr>
          <w:p>
            <w:pPr>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≤6</w:t>
            </w:r>
            <w:r>
              <w:rPr>
                <w:rFonts w:hint="eastAsia" w:eastAsia="仿宋"/>
                <w:color w:val="000000" w:themeColor="text1"/>
                <w:sz w:val="24"/>
                <w:szCs w:val="24"/>
                <w14:textFill>
                  <w14:solidFill>
                    <w14:schemeClr w14:val="tx1"/>
                  </w14:solidFill>
                </w14:textFill>
              </w:rPr>
              <w:t>6</w:t>
            </w:r>
            <w:r>
              <w:rPr>
                <w:rFonts w:eastAsia="仿宋"/>
                <w:color w:val="000000" w:themeColor="text1"/>
                <w:sz w:val="24"/>
                <w:szCs w:val="24"/>
                <w14:textFill>
                  <w14:solidFill>
                    <w14:schemeClr w14:val="tx1"/>
                  </w14:solidFill>
                </w14:textFill>
              </w:rPr>
              <w:t>dB（A）</w:t>
            </w: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6" w:type="dxa"/>
            <w:shd w:val="clear" w:color="auto" w:fill="auto"/>
            <w:vAlign w:val="center"/>
          </w:tcPr>
          <w:p>
            <w:r>
              <w:t>2</w:t>
            </w:r>
          </w:p>
        </w:tc>
        <w:tc>
          <w:tcPr>
            <w:tcW w:w="2617" w:type="dxa"/>
            <w:shd w:val="clear" w:color="auto" w:fill="auto"/>
            <w:vAlign w:val="center"/>
          </w:tcPr>
          <w:p>
            <w:r>
              <w:rPr>
                <w:rFonts w:hint="eastAsia" w:eastAsia="仿宋"/>
                <w:color w:val="000000" w:themeColor="text1"/>
                <w:sz w:val="24"/>
                <w:szCs w:val="24"/>
                <w14:textFill>
                  <w14:solidFill>
                    <w14:schemeClr w14:val="tx1"/>
                  </w14:solidFill>
                </w14:textFill>
              </w:rPr>
              <w:t>单冷</w:t>
            </w:r>
            <w:r>
              <w:rPr>
                <w:rFonts w:eastAsia="仿宋"/>
                <w:color w:val="000000" w:themeColor="text1"/>
                <w:sz w:val="24"/>
                <w:szCs w:val="24"/>
                <w14:textFill>
                  <w14:solidFill>
                    <w14:schemeClr w14:val="tx1"/>
                  </w14:solidFill>
                </w14:textFill>
              </w:rPr>
              <w:t>多联空调主机</w:t>
            </w:r>
          </w:p>
        </w:tc>
        <w:tc>
          <w:tcPr>
            <w:tcW w:w="2638" w:type="dxa"/>
            <w:shd w:val="clear" w:color="auto" w:fill="auto"/>
            <w:vAlign w:val="center"/>
          </w:tcP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6" w:type="dxa"/>
            <w:shd w:val="clear" w:color="auto" w:fill="auto"/>
            <w:vAlign w:val="center"/>
          </w:tcPr>
          <w:p>
            <w:r>
              <w:t>2.1</w:t>
            </w:r>
          </w:p>
        </w:tc>
        <w:tc>
          <w:tcPr>
            <w:tcW w:w="2617" w:type="dxa"/>
            <w:shd w:val="clear" w:color="auto" w:fill="auto"/>
            <w:vAlign w:val="center"/>
          </w:tcPr>
          <w:p>
            <w:r>
              <w:rPr>
                <w:rFonts w:eastAsia="仿宋"/>
                <w:color w:val="000000" w:themeColor="text1"/>
                <w:sz w:val="24"/>
                <w:szCs w:val="24"/>
                <w14:textFill>
                  <w14:solidFill>
                    <w14:schemeClr w14:val="tx1"/>
                  </w14:solidFill>
                </w14:textFill>
              </w:rPr>
              <w:t>制冷量</w:t>
            </w:r>
          </w:p>
        </w:tc>
        <w:tc>
          <w:tcPr>
            <w:tcW w:w="2638" w:type="dxa"/>
            <w:shd w:val="clear" w:color="auto" w:fill="auto"/>
            <w:vAlign w:val="center"/>
          </w:tcPr>
          <w:p>
            <w:r>
              <w:rPr>
                <w:rFonts w:eastAsia="仿宋"/>
                <w:color w:val="000000" w:themeColor="text1"/>
                <w:sz w:val="24"/>
                <w:szCs w:val="24"/>
                <w14:textFill>
                  <w14:solidFill>
                    <w14:schemeClr w14:val="tx1"/>
                  </w14:solidFill>
                </w14:textFill>
              </w:rPr>
              <w:t>≥50kW</w:t>
            </w: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6" w:type="dxa"/>
            <w:shd w:val="clear" w:color="auto" w:fill="auto"/>
            <w:vAlign w:val="center"/>
          </w:tcPr>
          <w:p>
            <w:r>
              <w:t>2.2</w:t>
            </w:r>
          </w:p>
        </w:tc>
        <w:tc>
          <w:tcPr>
            <w:tcW w:w="2617" w:type="dxa"/>
            <w:shd w:val="clear" w:color="auto" w:fill="auto"/>
            <w:vAlign w:val="center"/>
          </w:tcPr>
          <w:p>
            <w:r>
              <w:rPr>
                <w:rFonts w:eastAsia="仿宋"/>
                <w:color w:val="000000" w:themeColor="text1"/>
                <w:sz w:val="24"/>
                <w:szCs w:val="24"/>
                <w14:textFill>
                  <w14:solidFill>
                    <w14:schemeClr w14:val="tx1"/>
                  </w14:solidFill>
                </w14:textFill>
              </w:rPr>
              <w:t>功率</w:t>
            </w:r>
          </w:p>
        </w:tc>
        <w:tc>
          <w:tcPr>
            <w:tcW w:w="2638" w:type="dxa"/>
            <w:shd w:val="clear" w:color="auto" w:fill="auto"/>
            <w:vAlign w:val="center"/>
          </w:tcPr>
          <w:p>
            <w:r>
              <w:rPr>
                <w:rFonts w:eastAsia="仿宋"/>
                <w:color w:val="000000" w:themeColor="text1"/>
                <w:sz w:val="24"/>
                <w:szCs w:val="24"/>
                <w14:textFill>
                  <w14:solidFill>
                    <w14:schemeClr w14:val="tx1"/>
                  </w14:solidFill>
                </w14:textFill>
              </w:rPr>
              <w:t>≤13.</w:t>
            </w:r>
            <w:r>
              <w:rPr>
                <w:rFonts w:hint="eastAsia" w:eastAsia="仿宋"/>
                <w:color w:val="000000" w:themeColor="text1"/>
                <w:sz w:val="24"/>
                <w:szCs w:val="24"/>
                <w14:textFill>
                  <w14:solidFill>
                    <w14:schemeClr w14:val="tx1"/>
                  </w14:solidFill>
                </w14:textFill>
              </w:rPr>
              <w:t>5</w:t>
            </w:r>
            <w:r>
              <w:rPr>
                <w:rFonts w:eastAsia="仿宋"/>
                <w:color w:val="000000" w:themeColor="text1"/>
                <w:sz w:val="24"/>
                <w:szCs w:val="24"/>
                <w14:textFill>
                  <w14:solidFill>
                    <w14:schemeClr w14:val="tx1"/>
                  </w14:solidFill>
                </w14:textFill>
              </w:rPr>
              <w:t>kW</w:t>
            </w: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6" w:type="dxa"/>
            <w:shd w:val="clear" w:color="auto" w:fill="auto"/>
            <w:vAlign w:val="center"/>
          </w:tcPr>
          <w:p>
            <w:r>
              <w:rPr>
                <w:rFonts w:hint="eastAsia"/>
              </w:rPr>
              <w:t>2.3</w:t>
            </w:r>
          </w:p>
        </w:tc>
        <w:tc>
          <w:tcPr>
            <w:tcW w:w="2617" w:type="dxa"/>
            <w:shd w:val="clear" w:color="auto" w:fill="auto"/>
            <w:vAlign w:val="center"/>
          </w:tcPr>
          <w:p>
            <w:pPr>
              <w:rPr>
                <w:rFonts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风量</w:t>
            </w:r>
          </w:p>
        </w:tc>
        <w:tc>
          <w:tcPr>
            <w:tcW w:w="2638" w:type="dxa"/>
            <w:shd w:val="clear" w:color="auto" w:fill="auto"/>
            <w:vAlign w:val="center"/>
          </w:tcPr>
          <w:p>
            <w:pPr>
              <w:pStyle w:val="16"/>
              <w:rPr>
                <w:rFonts w:eastAsia="仿宋" w:asciiTheme="minorHAnsi" w:hAnsiTheme="minorHAnsi" w:cstheme="minorBidi"/>
                <w:color w:val="000000" w:themeColor="text1"/>
                <w:sz w:val="24"/>
                <w:szCs w:val="24"/>
                <w14:textFill>
                  <w14:solidFill>
                    <w14:schemeClr w14:val="tx1"/>
                  </w14:solidFill>
                </w14:textFill>
                <w14:ligatures w14:val="standardContextual"/>
              </w:rPr>
            </w:pPr>
            <w:r>
              <w:rPr>
                <w:rFonts w:eastAsia="仿宋" w:asciiTheme="minorHAnsi" w:hAnsiTheme="minorHAnsi" w:cstheme="minorBidi"/>
                <w:color w:val="000000" w:themeColor="text1"/>
                <w:sz w:val="24"/>
                <w:szCs w:val="24"/>
                <w14:textFill>
                  <w14:solidFill>
                    <w14:schemeClr w14:val="tx1"/>
                  </w14:solidFill>
                </w14:textFill>
                <w14:ligatures w14:val="standardContextual"/>
              </w:rPr>
              <w:t>≥</w:t>
            </w:r>
            <w:r>
              <w:rPr>
                <w:rFonts w:hint="eastAsia" w:eastAsia="仿宋" w:asciiTheme="minorHAnsi" w:hAnsiTheme="minorHAnsi" w:cstheme="minorBidi"/>
                <w:color w:val="000000" w:themeColor="text1"/>
                <w:sz w:val="24"/>
                <w:szCs w:val="24"/>
                <w14:textFill>
                  <w14:solidFill>
                    <w14:schemeClr w14:val="tx1"/>
                  </w14:solidFill>
                </w14:textFill>
                <w14:ligatures w14:val="standardContextual"/>
              </w:rPr>
              <w:t>16000</w:t>
            </w:r>
            <w:r>
              <w:rPr>
                <w:rFonts w:eastAsia="仿宋" w:asciiTheme="minorHAnsi" w:hAnsiTheme="minorHAnsi" w:cstheme="minorBidi"/>
                <w:color w:val="000000" w:themeColor="text1"/>
                <w:sz w:val="24"/>
                <w:szCs w:val="24"/>
                <w14:textFill>
                  <w14:solidFill>
                    <w14:schemeClr w14:val="tx1"/>
                  </w14:solidFill>
                </w14:textFill>
                <w14:ligatures w14:val="standardContextual"/>
              </w:rPr>
              <w:t>m3/h</w:t>
            </w: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6" w:type="dxa"/>
            <w:shd w:val="clear" w:color="auto" w:fill="auto"/>
            <w:vAlign w:val="center"/>
          </w:tcPr>
          <w:p>
            <w:r>
              <w:rPr>
                <w:rFonts w:hint="eastAsia"/>
              </w:rPr>
              <w:t>2.4</w:t>
            </w:r>
          </w:p>
        </w:tc>
        <w:tc>
          <w:tcPr>
            <w:tcW w:w="2617" w:type="dxa"/>
            <w:shd w:val="clear" w:color="auto" w:fill="auto"/>
            <w:vAlign w:val="center"/>
          </w:tcPr>
          <w:p>
            <w:pPr>
              <w:rPr>
                <w:rFonts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机组噪声</w:t>
            </w:r>
          </w:p>
        </w:tc>
        <w:tc>
          <w:tcPr>
            <w:tcW w:w="2638" w:type="dxa"/>
            <w:shd w:val="clear" w:color="auto" w:fill="auto"/>
            <w:vAlign w:val="center"/>
          </w:tcPr>
          <w:p>
            <w:pPr>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≤6</w:t>
            </w:r>
            <w:r>
              <w:rPr>
                <w:rFonts w:hint="eastAsia" w:eastAsia="仿宋"/>
                <w:color w:val="000000" w:themeColor="text1"/>
                <w:sz w:val="24"/>
                <w:szCs w:val="24"/>
                <w14:textFill>
                  <w14:solidFill>
                    <w14:schemeClr w14:val="tx1"/>
                  </w14:solidFill>
                </w14:textFill>
              </w:rPr>
              <w:t>3</w:t>
            </w:r>
            <w:r>
              <w:rPr>
                <w:rFonts w:eastAsia="仿宋"/>
                <w:color w:val="000000" w:themeColor="text1"/>
                <w:sz w:val="24"/>
                <w:szCs w:val="24"/>
                <w14:textFill>
                  <w14:solidFill>
                    <w14:schemeClr w14:val="tx1"/>
                  </w14:solidFill>
                </w14:textFill>
              </w:rPr>
              <w:t>dB（A）</w:t>
            </w: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6" w:type="dxa"/>
            <w:shd w:val="clear" w:color="auto" w:fill="auto"/>
            <w:vAlign w:val="center"/>
          </w:tcPr>
          <w:p>
            <w:r>
              <w:t>3</w:t>
            </w:r>
          </w:p>
        </w:tc>
        <w:tc>
          <w:tcPr>
            <w:tcW w:w="2617" w:type="dxa"/>
            <w:shd w:val="clear" w:color="auto" w:fill="auto"/>
            <w:vAlign w:val="center"/>
          </w:tcPr>
          <w:p>
            <w:r>
              <w:rPr>
                <w:rFonts w:eastAsia="仿宋"/>
                <w:color w:val="000000" w:themeColor="text1"/>
                <w:sz w:val="24"/>
                <w:szCs w:val="24"/>
                <w14:textFill>
                  <w14:solidFill>
                    <w14:schemeClr w14:val="tx1"/>
                  </w14:solidFill>
                </w14:textFill>
              </w:rPr>
              <w:t>多联空调</w:t>
            </w:r>
            <w:r>
              <w:rPr>
                <w:rFonts w:hint="eastAsia" w:eastAsia="仿宋"/>
                <w:color w:val="000000" w:themeColor="text1"/>
                <w:sz w:val="24"/>
                <w:szCs w:val="24"/>
                <w14:textFill>
                  <w14:solidFill>
                    <w14:schemeClr w14:val="tx1"/>
                  </w14:solidFill>
                </w14:textFill>
              </w:rPr>
              <w:t>单冷</w:t>
            </w:r>
            <w:r>
              <w:rPr>
                <w:rFonts w:eastAsia="仿宋"/>
                <w:color w:val="000000" w:themeColor="text1"/>
                <w:sz w:val="24"/>
                <w:szCs w:val="24"/>
                <w14:textFill>
                  <w14:solidFill>
                    <w14:schemeClr w14:val="tx1"/>
                  </w14:solidFill>
                </w14:textFill>
              </w:rPr>
              <w:t>吊顶落地式室内机</w:t>
            </w:r>
          </w:p>
        </w:tc>
        <w:tc>
          <w:tcPr>
            <w:tcW w:w="2638" w:type="dxa"/>
            <w:shd w:val="clear" w:color="auto" w:fill="auto"/>
            <w:vAlign w:val="center"/>
          </w:tcP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6" w:type="dxa"/>
            <w:shd w:val="clear" w:color="auto" w:fill="auto"/>
            <w:vAlign w:val="center"/>
          </w:tcPr>
          <w:p>
            <w:r>
              <w:t>3.1</w:t>
            </w:r>
          </w:p>
        </w:tc>
        <w:tc>
          <w:tcPr>
            <w:tcW w:w="2617" w:type="dxa"/>
            <w:shd w:val="clear" w:color="auto" w:fill="auto"/>
            <w:vAlign w:val="center"/>
          </w:tcPr>
          <w:p>
            <w:r>
              <w:rPr>
                <w:rFonts w:eastAsia="仿宋"/>
                <w:color w:val="000000" w:themeColor="text1"/>
                <w:sz w:val="24"/>
                <w:szCs w:val="24"/>
                <w14:textFill>
                  <w14:solidFill>
                    <w14:schemeClr w14:val="tx1"/>
                  </w14:solidFill>
                </w14:textFill>
              </w:rPr>
              <w:t>制冷量</w:t>
            </w:r>
          </w:p>
        </w:tc>
        <w:tc>
          <w:tcPr>
            <w:tcW w:w="2638" w:type="dxa"/>
            <w:shd w:val="clear" w:color="auto" w:fill="auto"/>
            <w:vAlign w:val="center"/>
          </w:tcPr>
          <w:p>
            <w:r>
              <w:rPr>
                <w:rFonts w:eastAsia="仿宋"/>
                <w:color w:val="000000" w:themeColor="text1"/>
                <w:sz w:val="24"/>
                <w:szCs w:val="24"/>
                <w14:textFill>
                  <w14:solidFill>
                    <w14:schemeClr w14:val="tx1"/>
                  </w14:solidFill>
                </w14:textFill>
              </w:rPr>
              <w:t>≥7.1kW</w:t>
            </w: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6" w:type="dxa"/>
            <w:shd w:val="clear" w:color="auto" w:fill="auto"/>
            <w:vAlign w:val="center"/>
          </w:tcPr>
          <w:p>
            <w:r>
              <w:rPr>
                <w:rFonts w:hint="eastAsia"/>
              </w:rPr>
              <w:t>3</w:t>
            </w:r>
            <w:r>
              <w:t>.2</w:t>
            </w:r>
          </w:p>
        </w:tc>
        <w:tc>
          <w:tcPr>
            <w:tcW w:w="2617" w:type="dxa"/>
            <w:shd w:val="clear" w:color="auto" w:fill="auto"/>
            <w:vAlign w:val="center"/>
          </w:tcPr>
          <w:p>
            <w:r>
              <w:rPr>
                <w:rFonts w:eastAsia="仿宋"/>
                <w:color w:val="000000" w:themeColor="text1"/>
                <w:sz w:val="24"/>
                <w:szCs w:val="24"/>
                <w14:textFill>
                  <w14:solidFill>
                    <w14:schemeClr w14:val="tx1"/>
                  </w14:solidFill>
                </w14:textFill>
              </w:rPr>
              <w:t>功率</w:t>
            </w:r>
          </w:p>
        </w:tc>
        <w:tc>
          <w:tcPr>
            <w:tcW w:w="2638" w:type="dxa"/>
            <w:shd w:val="clear" w:color="auto" w:fill="auto"/>
            <w:vAlign w:val="center"/>
          </w:tcPr>
          <w:p>
            <w:r>
              <w:rPr>
                <w:rFonts w:eastAsia="仿宋"/>
                <w:color w:val="000000" w:themeColor="text1"/>
                <w:sz w:val="24"/>
                <w:szCs w:val="24"/>
                <w14:textFill>
                  <w14:solidFill>
                    <w14:schemeClr w14:val="tx1"/>
                  </w14:solidFill>
                </w14:textFill>
              </w:rPr>
              <w:t>≤0.</w:t>
            </w:r>
            <w:r>
              <w:rPr>
                <w:rFonts w:hint="eastAsia" w:eastAsia="仿宋"/>
                <w:color w:val="000000" w:themeColor="text1"/>
                <w:sz w:val="24"/>
                <w:szCs w:val="24"/>
                <w14:textFill>
                  <w14:solidFill>
                    <w14:schemeClr w14:val="tx1"/>
                  </w14:solidFill>
                </w14:textFill>
              </w:rPr>
              <w:t>1</w:t>
            </w:r>
            <w:r>
              <w:rPr>
                <w:rFonts w:eastAsia="仿宋"/>
                <w:color w:val="000000" w:themeColor="text1"/>
                <w:sz w:val="24"/>
                <w:szCs w:val="24"/>
                <w14:textFill>
                  <w14:solidFill>
                    <w14:schemeClr w14:val="tx1"/>
                  </w14:solidFill>
                </w14:textFill>
              </w:rPr>
              <w:t>kW</w:t>
            </w: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6" w:type="dxa"/>
            <w:shd w:val="clear" w:color="auto" w:fill="auto"/>
            <w:vAlign w:val="center"/>
          </w:tcPr>
          <w:p>
            <w:r>
              <w:rPr>
                <w:rFonts w:hint="eastAsia"/>
              </w:rPr>
              <w:t>3.3</w:t>
            </w:r>
          </w:p>
        </w:tc>
        <w:tc>
          <w:tcPr>
            <w:tcW w:w="2617" w:type="dxa"/>
            <w:shd w:val="clear" w:color="auto" w:fill="auto"/>
            <w:vAlign w:val="center"/>
          </w:tcPr>
          <w:p>
            <w:pPr>
              <w:rPr>
                <w:rFonts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风量</w:t>
            </w:r>
          </w:p>
        </w:tc>
        <w:tc>
          <w:tcPr>
            <w:tcW w:w="2638" w:type="dxa"/>
            <w:shd w:val="clear" w:color="auto" w:fill="auto"/>
            <w:vAlign w:val="center"/>
          </w:tcPr>
          <w:p>
            <w:pPr>
              <w:pStyle w:val="16"/>
              <w:rPr>
                <w:rFonts w:eastAsia="仿宋" w:asciiTheme="minorHAnsi" w:hAnsiTheme="minorHAnsi" w:cstheme="minorBidi"/>
                <w:color w:val="000000" w:themeColor="text1"/>
                <w:sz w:val="24"/>
                <w:szCs w:val="24"/>
                <w14:textFill>
                  <w14:solidFill>
                    <w14:schemeClr w14:val="tx1"/>
                  </w14:solidFill>
                </w14:textFill>
                <w14:ligatures w14:val="standardContextual"/>
              </w:rPr>
            </w:pPr>
            <w:r>
              <w:rPr>
                <w:rFonts w:eastAsia="仿宋" w:asciiTheme="minorHAnsi" w:hAnsiTheme="minorHAnsi" w:cstheme="minorBidi"/>
                <w:color w:val="000000" w:themeColor="text1"/>
                <w:sz w:val="24"/>
                <w:szCs w:val="24"/>
                <w14:textFill>
                  <w14:solidFill>
                    <w14:schemeClr w14:val="tx1"/>
                  </w14:solidFill>
                </w14:textFill>
                <w14:ligatures w14:val="standardContextual"/>
              </w:rPr>
              <w:t>≥</w:t>
            </w:r>
            <w:r>
              <w:rPr>
                <w:rFonts w:hint="eastAsia" w:eastAsia="仿宋" w:asciiTheme="minorHAnsi" w:hAnsiTheme="minorHAnsi" w:cstheme="minorBidi"/>
                <w:color w:val="000000" w:themeColor="text1"/>
                <w:sz w:val="24"/>
                <w:szCs w:val="24"/>
                <w14:textFill>
                  <w14:solidFill>
                    <w14:schemeClr w14:val="tx1"/>
                  </w14:solidFill>
                </w14:textFill>
                <w14:ligatures w14:val="standardContextual"/>
              </w:rPr>
              <w:t>1000</w:t>
            </w:r>
            <w:r>
              <w:rPr>
                <w:rFonts w:eastAsia="仿宋" w:asciiTheme="minorHAnsi" w:hAnsiTheme="minorHAnsi" w:cstheme="minorBidi"/>
                <w:color w:val="000000" w:themeColor="text1"/>
                <w:sz w:val="24"/>
                <w:szCs w:val="24"/>
                <w14:textFill>
                  <w14:solidFill>
                    <w14:schemeClr w14:val="tx1"/>
                  </w14:solidFill>
                </w14:textFill>
                <w14:ligatures w14:val="standardContextual"/>
              </w:rPr>
              <w:t>m3/h</w:t>
            </w: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6" w:type="dxa"/>
            <w:shd w:val="clear" w:color="auto" w:fill="auto"/>
            <w:vAlign w:val="center"/>
          </w:tcPr>
          <w:p>
            <w:r>
              <w:rPr>
                <w:rFonts w:hint="eastAsia"/>
              </w:rPr>
              <w:t>3.4</w:t>
            </w:r>
          </w:p>
        </w:tc>
        <w:tc>
          <w:tcPr>
            <w:tcW w:w="2617" w:type="dxa"/>
            <w:shd w:val="clear" w:color="auto" w:fill="auto"/>
            <w:vAlign w:val="center"/>
          </w:tcPr>
          <w:p>
            <w:pPr>
              <w:rPr>
                <w:rFonts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机组噪声</w:t>
            </w:r>
          </w:p>
        </w:tc>
        <w:tc>
          <w:tcPr>
            <w:tcW w:w="2638" w:type="dxa"/>
            <w:shd w:val="clear" w:color="auto" w:fill="auto"/>
            <w:vAlign w:val="center"/>
          </w:tcPr>
          <w:p>
            <w:pPr>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w:t>
            </w:r>
            <w:r>
              <w:rPr>
                <w:rFonts w:hint="eastAsia" w:eastAsia="仿宋"/>
                <w:color w:val="000000" w:themeColor="text1"/>
                <w:sz w:val="24"/>
                <w:szCs w:val="24"/>
                <w14:textFill>
                  <w14:solidFill>
                    <w14:schemeClr w14:val="tx1"/>
                  </w14:solidFill>
                </w14:textFill>
              </w:rPr>
              <w:t>41</w:t>
            </w:r>
            <w:r>
              <w:rPr>
                <w:rFonts w:eastAsia="仿宋"/>
                <w:color w:val="000000" w:themeColor="text1"/>
                <w:sz w:val="24"/>
                <w:szCs w:val="24"/>
                <w14:textFill>
                  <w14:solidFill>
                    <w14:schemeClr w14:val="tx1"/>
                  </w14:solidFill>
                </w14:textFill>
              </w:rPr>
              <w:t>dB（A）</w:t>
            </w: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6" w:type="dxa"/>
            <w:shd w:val="clear" w:color="auto" w:fill="auto"/>
            <w:vAlign w:val="center"/>
          </w:tcPr>
          <w:p>
            <w:r>
              <w:rPr>
                <w:rFonts w:hint="eastAsia"/>
              </w:rPr>
              <w:t>4</w:t>
            </w:r>
          </w:p>
        </w:tc>
        <w:tc>
          <w:tcPr>
            <w:tcW w:w="2617" w:type="dxa"/>
            <w:shd w:val="clear" w:color="auto" w:fill="auto"/>
            <w:vAlign w:val="center"/>
          </w:tcPr>
          <w:p>
            <w:r>
              <w:rPr>
                <w:rFonts w:eastAsia="仿宋"/>
                <w:color w:val="000000" w:themeColor="text1"/>
                <w:sz w:val="24"/>
                <w:szCs w:val="24"/>
                <w14:textFill>
                  <w14:solidFill>
                    <w14:schemeClr w14:val="tx1"/>
                  </w14:solidFill>
                </w14:textFill>
              </w:rPr>
              <w:t>多联</w:t>
            </w:r>
            <w:r>
              <w:rPr>
                <w:rFonts w:eastAsia="仿宋"/>
                <w:sz w:val="24"/>
                <w:szCs w:val="24"/>
              </w:rPr>
              <w:t>空调</w:t>
            </w:r>
            <w:r>
              <w:rPr>
                <w:rFonts w:hint="eastAsia" w:eastAsia="仿宋"/>
                <w:color w:val="000000" w:themeColor="text1"/>
                <w:sz w:val="24"/>
                <w:szCs w:val="24"/>
                <w14:textFill>
                  <w14:solidFill>
                    <w14:schemeClr w14:val="tx1"/>
                  </w14:solidFill>
                </w14:textFill>
              </w:rPr>
              <w:t>环绕</w:t>
            </w:r>
            <w:r>
              <w:rPr>
                <w:rFonts w:eastAsia="仿宋"/>
                <w:color w:val="000000" w:themeColor="text1"/>
                <w:sz w:val="24"/>
                <w:szCs w:val="24"/>
                <w14:textFill>
                  <w14:solidFill>
                    <w14:schemeClr w14:val="tx1"/>
                  </w14:solidFill>
                </w14:textFill>
              </w:rPr>
              <w:t>四面出风嵌入式室内机</w:t>
            </w:r>
          </w:p>
        </w:tc>
        <w:tc>
          <w:tcPr>
            <w:tcW w:w="2638" w:type="dxa"/>
            <w:shd w:val="clear" w:color="auto" w:fill="auto"/>
            <w:vAlign w:val="center"/>
          </w:tcP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6" w:type="dxa"/>
            <w:shd w:val="clear" w:color="auto" w:fill="auto"/>
            <w:vAlign w:val="center"/>
          </w:tcPr>
          <w:p>
            <w:r>
              <w:t>4</w:t>
            </w:r>
            <w:r>
              <w:rPr>
                <w:rFonts w:hint="eastAsia"/>
              </w:rPr>
              <w:t>.1</w:t>
            </w:r>
          </w:p>
        </w:tc>
        <w:tc>
          <w:tcPr>
            <w:tcW w:w="2617" w:type="dxa"/>
            <w:shd w:val="clear" w:color="auto" w:fill="auto"/>
            <w:vAlign w:val="center"/>
          </w:tcPr>
          <w:p>
            <w:r>
              <w:rPr>
                <w:rFonts w:eastAsia="仿宋"/>
                <w:color w:val="000000" w:themeColor="text1"/>
                <w:sz w:val="24"/>
                <w:szCs w:val="24"/>
                <w14:textFill>
                  <w14:solidFill>
                    <w14:schemeClr w14:val="tx1"/>
                  </w14:solidFill>
                </w14:textFill>
              </w:rPr>
              <w:t>制冷量</w:t>
            </w:r>
          </w:p>
        </w:tc>
        <w:tc>
          <w:tcPr>
            <w:tcW w:w="2638" w:type="dxa"/>
            <w:shd w:val="clear" w:color="auto" w:fill="auto"/>
            <w:vAlign w:val="center"/>
          </w:tcPr>
          <w:p>
            <w:r>
              <w:rPr>
                <w:rFonts w:eastAsia="仿宋"/>
                <w:color w:val="000000" w:themeColor="text1"/>
                <w:sz w:val="24"/>
                <w:szCs w:val="24"/>
                <w14:textFill>
                  <w14:solidFill>
                    <w14:schemeClr w14:val="tx1"/>
                  </w14:solidFill>
                </w14:textFill>
              </w:rPr>
              <w:t>≥7.1kW</w:t>
            </w: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6" w:type="dxa"/>
            <w:shd w:val="clear" w:color="auto" w:fill="auto"/>
            <w:vAlign w:val="center"/>
          </w:tcPr>
          <w:p>
            <w:r>
              <w:t>4</w:t>
            </w:r>
            <w:r>
              <w:rPr>
                <w:rFonts w:hint="eastAsia"/>
              </w:rPr>
              <w:t>.2</w:t>
            </w:r>
          </w:p>
        </w:tc>
        <w:tc>
          <w:tcPr>
            <w:tcW w:w="2617" w:type="dxa"/>
            <w:shd w:val="clear" w:color="auto" w:fill="auto"/>
            <w:vAlign w:val="center"/>
          </w:tcPr>
          <w:p>
            <w:r>
              <w:rPr>
                <w:rFonts w:eastAsia="仿宋"/>
                <w:color w:val="000000" w:themeColor="text1"/>
                <w:sz w:val="24"/>
                <w:szCs w:val="24"/>
                <w14:textFill>
                  <w14:solidFill>
                    <w14:schemeClr w14:val="tx1"/>
                  </w14:solidFill>
                </w14:textFill>
              </w:rPr>
              <w:t>制</w:t>
            </w:r>
            <w:r>
              <w:rPr>
                <w:rFonts w:hint="eastAsia" w:eastAsia="仿宋"/>
                <w:color w:val="000000" w:themeColor="text1"/>
                <w:sz w:val="24"/>
                <w:szCs w:val="24"/>
                <w14:textFill>
                  <w14:solidFill>
                    <w14:schemeClr w14:val="tx1"/>
                  </w14:solidFill>
                </w14:textFill>
              </w:rPr>
              <w:t>热</w:t>
            </w:r>
            <w:r>
              <w:rPr>
                <w:rFonts w:eastAsia="仿宋"/>
                <w:color w:val="000000" w:themeColor="text1"/>
                <w:sz w:val="24"/>
                <w:szCs w:val="24"/>
                <w14:textFill>
                  <w14:solidFill>
                    <w14:schemeClr w14:val="tx1"/>
                  </w14:solidFill>
                </w14:textFill>
              </w:rPr>
              <w:t>量</w:t>
            </w:r>
          </w:p>
        </w:tc>
        <w:tc>
          <w:tcPr>
            <w:tcW w:w="2638" w:type="dxa"/>
            <w:shd w:val="clear" w:color="auto" w:fill="auto"/>
            <w:vAlign w:val="center"/>
          </w:tcPr>
          <w:p>
            <w:pPr>
              <w:rPr>
                <w:rFonts w:eastAsia="仿宋"/>
              </w:rPr>
            </w:pPr>
            <w:r>
              <w:rPr>
                <w:rFonts w:eastAsia="仿宋"/>
                <w:color w:val="000000" w:themeColor="text1"/>
                <w:sz w:val="24"/>
                <w:szCs w:val="24"/>
                <w14:textFill>
                  <w14:solidFill>
                    <w14:schemeClr w14:val="tx1"/>
                  </w14:solidFill>
                </w14:textFill>
              </w:rPr>
              <w:t>≥8.0+</w:t>
            </w:r>
            <w:r>
              <w:rPr>
                <w:rFonts w:hint="eastAsia" w:eastAsia="仿宋"/>
                <w:color w:val="000000" w:themeColor="text1"/>
                <w:sz w:val="24"/>
                <w:szCs w:val="24"/>
                <w14:textFill>
                  <w14:solidFill>
                    <w14:schemeClr w14:val="tx1"/>
                  </w14:solidFill>
                </w14:textFill>
              </w:rPr>
              <w:t>1.4</w:t>
            </w:r>
            <w:r>
              <w:rPr>
                <w:rFonts w:eastAsia="仿宋"/>
                <w:color w:val="000000" w:themeColor="text1"/>
                <w:sz w:val="24"/>
                <w:szCs w:val="24"/>
                <w14:textFill>
                  <w14:solidFill>
                    <w14:schemeClr w14:val="tx1"/>
                  </w14:solidFill>
                </w14:textFill>
              </w:rPr>
              <w:t>kW</w:t>
            </w:r>
            <w:r>
              <w:rPr>
                <w:rFonts w:hint="eastAsia" w:eastAsia="仿宋"/>
                <w:color w:val="000000" w:themeColor="text1"/>
                <w:sz w:val="24"/>
                <w:szCs w:val="24"/>
                <w14:textFill>
                  <w14:solidFill>
                    <w14:schemeClr w14:val="tx1"/>
                  </w14:solidFill>
                </w14:textFill>
              </w:rPr>
              <w:t>（电加热）</w:t>
            </w: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6" w:type="dxa"/>
            <w:shd w:val="clear" w:color="auto" w:fill="auto"/>
            <w:vAlign w:val="center"/>
          </w:tcPr>
          <w:p>
            <w:r>
              <w:t>4</w:t>
            </w:r>
            <w:r>
              <w:rPr>
                <w:rFonts w:hint="eastAsia"/>
              </w:rPr>
              <w:t>.3</w:t>
            </w:r>
          </w:p>
        </w:tc>
        <w:tc>
          <w:tcPr>
            <w:tcW w:w="2617" w:type="dxa"/>
            <w:shd w:val="clear" w:color="auto" w:fill="auto"/>
            <w:vAlign w:val="center"/>
          </w:tcPr>
          <w:p>
            <w:r>
              <w:rPr>
                <w:rFonts w:eastAsia="仿宋"/>
                <w:color w:val="000000" w:themeColor="text1"/>
                <w:sz w:val="24"/>
                <w:szCs w:val="24"/>
                <w14:textFill>
                  <w14:solidFill>
                    <w14:schemeClr w14:val="tx1"/>
                  </w14:solidFill>
                </w14:textFill>
              </w:rPr>
              <w:t>功率</w:t>
            </w:r>
          </w:p>
        </w:tc>
        <w:tc>
          <w:tcPr>
            <w:tcW w:w="2638" w:type="dxa"/>
            <w:shd w:val="clear" w:color="auto" w:fill="auto"/>
            <w:vAlign w:val="center"/>
          </w:tcPr>
          <w:p>
            <w:pPr>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≤0.</w:t>
            </w:r>
            <w:r>
              <w:rPr>
                <w:rFonts w:hint="eastAsia" w:eastAsia="仿宋"/>
                <w:color w:val="000000" w:themeColor="text1"/>
                <w:sz w:val="24"/>
                <w:szCs w:val="24"/>
                <w14:textFill>
                  <w14:solidFill>
                    <w14:schemeClr w14:val="tx1"/>
                  </w14:solidFill>
                </w14:textFill>
              </w:rPr>
              <w:t>04</w:t>
            </w:r>
            <w:r>
              <w:rPr>
                <w:rFonts w:eastAsia="仿宋"/>
                <w:color w:val="000000" w:themeColor="text1"/>
                <w:sz w:val="24"/>
                <w:szCs w:val="24"/>
                <w14:textFill>
                  <w14:solidFill>
                    <w14:schemeClr w14:val="tx1"/>
                  </w14:solidFill>
                </w14:textFill>
              </w:rPr>
              <w:t>+</w:t>
            </w:r>
            <w:r>
              <w:rPr>
                <w:rFonts w:hint="eastAsia" w:eastAsia="仿宋"/>
                <w:color w:val="000000" w:themeColor="text1"/>
                <w:sz w:val="24"/>
                <w:szCs w:val="24"/>
                <w14:textFill>
                  <w14:solidFill>
                    <w14:schemeClr w14:val="tx1"/>
                  </w14:solidFill>
                </w14:textFill>
              </w:rPr>
              <w:t>1.4</w:t>
            </w:r>
            <w:r>
              <w:rPr>
                <w:rFonts w:eastAsia="仿宋"/>
                <w:color w:val="000000" w:themeColor="text1"/>
                <w:sz w:val="24"/>
                <w:szCs w:val="24"/>
                <w14:textFill>
                  <w14:solidFill>
                    <w14:schemeClr w14:val="tx1"/>
                  </w14:solidFill>
                </w14:textFill>
              </w:rPr>
              <w:t>kW</w:t>
            </w: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6" w:type="dxa"/>
            <w:shd w:val="clear" w:color="auto" w:fill="auto"/>
            <w:vAlign w:val="center"/>
          </w:tcPr>
          <w:p>
            <w:r>
              <w:rPr>
                <w:rFonts w:hint="eastAsia"/>
              </w:rPr>
              <w:t>4.4</w:t>
            </w:r>
          </w:p>
        </w:tc>
        <w:tc>
          <w:tcPr>
            <w:tcW w:w="2617" w:type="dxa"/>
            <w:shd w:val="clear" w:color="auto" w:fill="auto"/>
            <w:vAlign w:val="center"/>
          </w:tcPr>
          <w:p>
            <w:pPr>
              <w:rPr>
                <w:rFonts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风量</w:t>
            </w:r>
          </w:p>
        </w:tc>
        <w:tc>
          <w:tcPr>
            <w:tcW w:w="2638" w:type="dxa"/>
            <w:shd w:val="clear" w:color="auto" w:fill="auto"/>
            <w:vAlign w:val="center"/>
          </w:tcPr>
          <w:p>
            <w:pPr>
              <w:pStyle w:val="16"/>
              <w:rPr>
                <w:rFonts w:eastAsia="仿宋" w:asciiTheme="minorHAnsi" w:hAnsiTheme="minorHAnsi" w:cstheme="minorBidi"/>
                <w:color w:val="000000" w:themeColor="text1"/>
                <w:sz w:val="24"/>
                <w:szCs w:val="24"/>
                <w14:textFill>
                  <w14:solidFill>
                    <w14:schemeClr w14:val="tx1"/>
                  </w14:solidFill>
                </w14:textFill>
                <w14:ligatures w14:val="standardContextual"/>
              </w:rPr>
            </w:pPr>
            <w:r>
              <w:rPr>
                <w:rFonts w:eastAsia="仿宋" w:asciiTheme="minorHAnsi" w:hAnsiTheme="minorHAnsi" w:cstheme="minorBidi"/>
                <w:color w:val="000000" w:themeColor="text1"/>
                <w:sz w:val="24"/>
                <w:szCs w:val="24"/>
                <w14:textFill>
                  <w14:solidFill>
                    <w14:schemeClr w14:val="tx1"/>
                  </w14:solidFill>
                </w14:textFill>
                <w14:ligatures w14:val="standardContextual"/>
              </w:rPr>
              <w:t>≥</w:t>
            </w:r>
            <w:r>
              <w:rPr>
                <w:rFonts w:hint="eastAsia" w:eastAsia="仿宋" w:asciiTheme="minorHAnsi" w:hAnsiTheme="minorHAnsi" w:cstheme="minorBidi"/>
                <w:color w:val="000000" w:themeColor="text1"/>
                <w:sz w:val="24"/>
                <w:szCs w:val="24"/>
                <w14:textFill>
                  <w14:solidFill>
                    <w14:schemeClr w14:val="tx1"/>
                  </w14:solidFill>
                </w14:textFill>
                <w14:ligatures w14:val="standardContextual"/>
              </w:rPr>
              <w:t>1000</w:t>
            </w:r>
            <w:r>
              <w:rPr>
                <w:rFonts w:eastAsia="仿宋" w:asciiTheme="minorHAnsi" w:hAnsiTheme="minorHAnsi" w:cstheme="minorBidi"/>
                <w:color w:val="000000" w:themeColor="text1"/>
                <w:sz w:val="24"/>
                <w:szCs w:val="24"/>
                <w14:textFill>
                  <w14:solidFill>
                    <w14:schemeClr w14:val="tx1"/>
                  </w14:solidFill>
                </w14:textFill>
                <w14:ligatures w14:val="standardContextual"/>
              </w:rPr>
              <w:t>m3/h</w:t>
            </w: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6" w:type="dxa"/>
            <w:shd w:val="clear" w:color="auto" w:fill="auto"/>
            <w:vAlign w:val="center"/>
          </w:tcPr>
          <w:p>
            <w:r>
              <w:rPr>
                <w:rFonts w:hint="eastAsia"/>
              </w:rPr>
              <w:t>4.5</w:t>
            </w:r>
          </w:p>
        </w:tc>
        <w:tc>
          <w:tcPr>
            <w:tcW w:w="2617" w:type="dxa"/>
            <w:shd w:val="clear" w:color="auto" w:fill="auto"/>
            <w:vAlign w:val="center"/>
          </w:tcPr>
          <w:p>
            <w:pPr>
              <w:rPr>
                <w:rFonts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机组噪声</w:t>
            </w:r>
          </w:p>
        </w:tc>
        <w:tc>
          <w:tcPr>
            <w:tcW w:w="2638" w:type="dxa"/>
            <w:shd w:val="clear" w:color="auto" w:fill="auto"/>
            <w:vAlign w:val="center"/>
          </w:tcPr>
          <w:p>
            <w:pPr>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w:t>
            </w:r>
            <w:r>
              <w:rPr>
                <w:rFonts w:hint="eastAsia" w:eastAsia="仿宋"/>
                <w:color w:val="000000" w:themeColor="text1"/>
                <w:sz w:val="24"/>
                <w:szCs w:val="24"/>
                <w14:textFill>
                  <w14:solidFill>
                    <w14:schemeClr w14:val="tx1"/>
                  </w14:solidFill>
                </w14:textFill>
              </w:rPr>
              <w:t>42</w:t>
            </w:r>
            <w:r>
              <w:rPr>
                <w:rFonts w:eastAsia="仿宋"/>
                <w:color w:val="000000" w:themeColor="text1"/>
                <w:sz w:val="24"/>
                <w:szCs w:val="24"/>
                <w14:textFill>
                  <w14:solidFill>
                    <w14:schemeClr w14:val="tx1"/>
                  </w14:solidFill>
                </w14:textFill>
              </w:rPr>
              <w:t>dB（A）</w:t>
            </w: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6" w:type="dxa"/>
            <w:shd w:val="clear" w:color="auto" w:fill="auto"/>
            <w:vAlign w:val="center"/>
          </w:tcPr>
          <w:p>
            <w:r>
              <w:rPr>
                <w:rFonts w:hint="eastAsia"/>
              </w:rPr>
              <w:t>5</w:t>
            </w:r>
          </w:p>
        </w:tc>
        <w:tc>
          <w:tcPr>
            <w:tcW w:w="2617" w:type="dxa"/>
            <w:shd w:val="clear" w:color="auto" w:fill="auto"/>
            <w:vAlign w:val="center"/>
          </w:tcPr>
          <w:p>
            <w:r>
              <w:rPr>
                <w:rFonts w:eastAsia="仿宋"/>
                <w:color w:val="000000" w:themeColor="text1"/>
                <w:sz w:val="24"/>
                <w:szCs w:val="24"/>
                <w14:textFill>
                  <w14:solidFill>
                    <w14:schemeClr w14:val="tx1"/>
                  </w14:solidFill>
                </w14:textFill>
              </w:rPr>
              <w:t>防爆型风冷分体空调机</w:t>
            </w:r>
          </w:p>
        </w:tc>
        <w:tc>
          <w:tcPr>
            <w:tcW w:w="2638" w:type="dxa"/>
            <w:shd w:val="clear" w:color="auto" w:fill="auto"/>
            <w:vAlign w:val="center"/>
          </w:tcP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6" w:type="dxa"/>
            <w:shd w:val="clear" w:color="auto" w:fill="auto"/>
            <w:vAlign w:val="center"/>
          </w:tcPr>
          <w:p>
            <w:r>
              <w:t>5.1</w:t>
            </w:r>
          </w:p>
        </w:tc>
        <w:tc>
          <w:tcPr>
            <w:tcW w:w="2617" w:type="dxa"/>
            <w:shd w:val="clear" w:color="auto" w:fill="auto"/>
            <w:vAlign w:val="center"/>
          </w:tcPr>
          <w:p>
            <w:r>
              <w:rPr>
                <w:rFonts w:eastAsia="仿宋"/>
                <w:color w:val="000000" w:themeColor="text1"/>
                <w:sz w:val="24"/>
                <w:szCs w:val="24"/>
                <w14:textFill>
                  <w14:solidFill>
                    <w14:schemeClr w14:val="tx1"/>
                  </w14:solidFill>
                </w14:textFill>
              </w:rPr>
              <w:t>制冷量</w:t>
            </w:r>
          </w:p>
        </w:tc>
        <w:tc>
          <w:tcPr>
            <w:tcW w:w="2638" w:type="dxa"/>
            <w:shd w:val="clear" w:color="auto" w:fill="auto"/>
            <w:vAlign w:val="center"/>
          </w:tcPr>
          <w:p>
            <w:r>
              <w:rPr>
                <w:rFonts w:eastAsia="仿宋"/>
                <w:color w:val="000000" w:themeColor="text1"/>
                <w:sz w:val="24"/>
                <w:szCs w:val="24"/>
                <w14:textFill>
                  <w14:solidFill>
                    <w14:schemeClr w14:val="tx1"/>
                  </w14:solidFill>
                </w14:textFill>
              </w:rPr>
              <w:t>≥</w:t>
            </w:r>
            <w:r>
              <w:rPr>
                <w:rFonts w:hint="eastAsia" w:eastAsia="仿宋"/>
                <w:color w:val="000000" w:themeColor="text1"/>
                <w:sz w:val="24"/>
                <w:szCs w:val="24"/>
                <w14:textFill>
                  <w14:solidFill>
                    <w14:schemeClr w14:val="tx1"/>
                  </w14:solidFill>
                </w14:textFill>
              </w:rPr>
              <w:t>13.8</w:t>
            </w:r>
            <w:r>
              <w:rPr>
                <w:rFonts w:eastAsia="仿宋"/>
                <w:color w:val="000000" w:themeColor="text1"/>
                <w:sz w:val="24"/>
                <w:szCs w:val="24"/>
                <w14:textFill>
                  <w14:solidFill>
                    <w14:schemeClr w14:val="tx1"/>
                  </w14:solidFill>
                </w14:textFill>
              </w:rPr>
              <w:t>kW</w:t>
            </w: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6" w:type="dxa"/>
            <w:shd w:val="clear" w:color="auto" w:fill="auto"/>
            <w:vAlign w:val="center"/>
          </w:tcPr>
          <w:p>
            <w:r>
              <w:t>5.2</w:t>
            </w:r>
          </w:p>
        </w:tc>
        <w:tc>
          <w:tcPr>
            <w:tcW w:w="2617" w:type="dxa"/>
            <w:shd w:val="clear" w:color="auto" w:fill="auto"/>
            <w:vAlign w:val="center"/>
          </w:tcPr>
          <w:p>
            <w:r>
              <w:rPr>
                <w:rFonts w:eastAsia="仿宋"/>
                <w:color w:val="000000" w:themeColor="text1"/>
                <w:sz w:val="24"/>
                <w:szCs w:val="24"/>
                <w14:textFill>
                  <w14:solidFill>
                    <w14:schemeClr w14:val="tx1"/>
                  </w14:solidFill>
                </w14:textFill>
              </w:rPr>
              <w:t>功率</w:t>
            </w:r>
          </w:p>
        </w:tc>
        <w:tc>
          <w:tcPr>
            <w:tcW w:w="2638" w:type="dxa"/>
            <w:shd w:val="clear" w:color="auto" w:fill="auto"/>
            <w:vAlign w:val="center"/>
          </w:tcPr>
          <w:p>
            <w:r>
              <w:rPr>
                <w:rFonts w:eastAsia="仿宋"/>
                <w:color w:val="000000" w:themeColor="text1"/>
                <w:sz w:val="24"/>
                <w:szCs w:val="24"/>
                <w14:textFill>
                  <w14:solidFill>
                    <w14:schemeClr w14:val="tx1"/>
                  </w14:solidFill>
                </w14:textFill>
              </w:rPr>
              <w:t>≤6kW 380</w:t>
            </w:r>
            <w:r>
              <w:rPr>
                <w:rFonts w:hint="eastAsia" w:eastAsia="仿宋"/>
                <w:color w:val="000000" w:themeColor="text1"/>
                <w:sz w:val="24"/>
                <w:szCs w:val="24"/>
                <w14:textFill>
                  <w14:solidFill>
                    <w14:schemeClr w14:val="tx1"/>
                  </w14:solidFill>
                </w14:textFill>
              </w:rPr>
              <w:t>V</w:t>
            </w: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6" w:type="dxa"/>
            <w:shd w:val="clear" w:color="auto" w:fill="auto"/>
            <w:vAlign w:val="center"/>
          </w:tcPr>
          <w:p>
            <w:r>
              <w:rPr>
                <w:rFonts w:hint="eastAsia"/>
              </w:rPr>
              <w:t>5.3</w:t>
            </w:r>
          </w:p>
        </w:tc>
        <w:tc>
          <w:tcPr>
            <w:tcW w:w="2617" w:type="dxa"/>
            <w:shd w:val="clear" w:color="auto" w:fill="auto"/>
            <w:vAlign w:val="center"/>
          </w:tcPr>
          <w:p>
            <w:pPr>
              <w:rPr>
                <w:rFonts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风量</w:t>
            </w:r>
          </w:p>
        </w:tc>
        <w:tc>
          <w:tcPr>
            <w:tcW w:w="2638" w:type="dxa"/>
            <w:shd w:val="clear" w:color="auto" w:fill="auto"/>
            <w:vAlign w:val="center"/>
          </w:tcPr>
          <w:p>
            <w:pPr>
              <w:pStyle w:val="16"/>
              <w:rPr>
                <w:rFonts w:eastAsia="仿宋" w:asciiTheme="minorHAnsi" w:hAnsiTheme="minorHAnsi" w:cstheme="minorBidi"/>
                <w:color w:val="000000" w:themeColor="text1"/>
                <w:sz w:val="24"/>
                <w:szCs w:val="24"/>
                <w14:textFill>
                  <w14:solidFill>
                    <w14:schemeClr w14:val="tx1"/>
                  </w14:solidFill>
                </w14:textFill>
                <w14:ligatures w14:val="standardContextual"/>
              </w:rPr>
            </w:pPr>
            <w:r>
              <w:rPr>
                <w:rFonts w:eastAsia="仿宋" w:asciiTheme="minorHAnsi" w:hAnsiTheme="minorHAnsi" w:cstheme="minorBidi"/>
                <w:color w:val="000000" w:themeColor="text1"/>
                <w:sz w:val="24"/>
                <w:szCs w:val="24"/>
                <w14:textFill>
                  <w14:solidFill>
                    <w14:schemeClr w14:val="tx1"/>
                  </w14:solidFill>
                </w14:textFill>
                <w14:ligatures w14:val="standardContextual"/>
              </w:rPr>
              <w:t>≥</w:t>
            </w:r>
            <w:r>
              <w:rPr>
                <w:rFonts w:hint="eastAsia" w:eastAsia="仿宋" w:asciiTheme="minorHAnsi" w:hAnsiTheme="minorHAnsi" w:cstheme="minorBidi"/>
                <w:color w:val="000000" w:themeColor="text1"/>
                <w:sz w:val="24"/>
                <w:szCs w:val="24"/>
                <w14:textFill>
                  <w14:solidFill>
                    <w14:schemeClr w14:val="tx1"/>
                  </w14:solidFill>
                </w14:textFill>
                <w14:ligatures w14:val="standardContextual"/>
              </w:rPr>
              <w:t>2380</w:t>
            </w:r>
            <w:r>
              <w:rPr>
                <w:rFonts w:eastAsia="仿宋" w:asciiTheme="minorHAnsi" w:hAnsiTheme="minorHAnsi" w:cstheme="minorBidi"/>
                <w:color w:val="000000" w:themeColor="text1"/>
                <w:sz w:val="24"/>
                <w:szCs w:val="24"/>
                <w14:textFill>
                  <w14:solidFill>
                    <w14:schemeClr w14:val="tx1"/>
                  </w14:solidFill>
                </w14:textFill>
                <w14:ligatures w14:val="standardContextual"/>
              </w:rPr>
              <w:t>m3/h</w:t>
            </w: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6" w:type="dxa"/>
            <w:shd w:val="clear" w:color="auto" w:fill="auto"/>
            <w:vAlign w:val="center"/>
          </w:tcPr>
          <w:p>
            <w:r>
              <w:rPr>
                <w:rFonts w:hint="eastAsia"/>
              </w:rPr>
              <w:t>5.4</w:t>
            </w:r>
          </w:p>
        </w:tc>
        <w:tc>
          <w:tcPr>
            <w:tcW w:w="2617" w:type="dxa"/>
            <w:shd w:val="clear" w:color="auto" w:fill="auto"/>
            <w:vAlign w:val="center"/>
          </w:tcPr>
          <w:p>
            <w:pPr>
              <w:rPr>
                <w:rFonts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机组噪声</w:t>
            </w:r>
          </w:p>
        </w:tc>
        <w:tc>
          <w:tcPr>
            <w:tcW w:w="2638" w:type="dxa"/>
            <w:shd w:val="clear" w:color="auto" w:fill="auto"/>
            <w:vAlign w:val="center"/>
          </w:tcPr>
          <w:p>
            <w:pPr>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w:t>
            </w:r>
            <w:r>
              <w:rPr>
                <w:rFonts w:hint="eastAsia" w:eastAsia="仿宋"/>
                <w:color w:val="000000" w:themeColor="text1"/>
                <w:sz w:val="24"/>
                <w:szCs w:val="24"/>
                <w14:textFill>
                  <w14:solidFill>
                    <w14:schemeClr w14:val="tx1"/>
                  </w14:solidFill>
                </w14:textFill>
              </w:rPr>
              <w:t>60</w:t>
            </w:r>
            <w:r>
              <w:rPr>
                <w:rFonts w:eastAsia="仿宋"/>
                <w:color w:val="000000" w:themeColor="text1"/>
                <w:sz w:val="24"/>
                <w:szCs w:val="24"/>
                <w14:textFill>
                  <w14:solidFill>
                    <w14:schemeClr w14:val="tx1"/>
                  </w14:solidFill>
                </w14:textFill>
              </w:rPr>
              <w:t>dB（A）</w:t>
            </w: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6" w:type="dxa"/>
            <w:shd w:val="clear" w:color="auto" w:fill="auto"/>
            <w:vAlign w:val="center"/>
          </w:tcPr>
          <w:p>
            <w:r>
              <w:rPr>
                <w:rFonts w:hint="eastAsia"/>
              </w:rPr>
              <w:t>6</w:t>
            </w:r>
          </w:p>
        </w:tc>
        <w:tc>
          <w:tcPr>
            <w:tcW w:w="2617" w:type="dxa"/>
            <w:shd w:val="clear" w:color="auto" w:fill="auto"/>
            <w:vAlign w:val="center"/>
          </w:tcPr>
          <w:p>
            <w:pPr>
              <w:spacing w:line="300" w:lineRule="auto"/>
              <w:ind w:left="2" w:leftChars="-6" w:hanging="15" w:hangingChars="7"/>
              <w:rPr>
                <w:rFonts w:ascii="仿宋" w:hAnsi="仿宋" w:eastAsia="仿宋"/>
                <w:szCs w:val="21"/>
              </w:rPr>
            </w:pPr>
            <w:r>
              <w:rPr>
                <w:rFonts w:hint="eastAsia" w:ascii="仿宋" w:hAnsi="仿宋" w:eastAsia="仿宋"/>
                <w:szCs w:val="21"/>
              </w:rPr>
              <w:t>低温型</w:t>
            </w:r>
            <w:r>
              <w:rPr>
                <w:rFonts w:hint="eastAsia" w:ascii="仿宋" w:hAnsi="仿宋" w:eastAsia="仿宋"/>
                <w:color w:val="000000" w:themeColor="text1"/>
                <w:szCs w:val="21"/>
                <w14:textFill>
                  <w14:solidFill>
                    <w14:schemeClr w14:val="tx1"/>
                  </w14:solidFill>
                </w14:textFill>
              </w:rPr>
              <w:t>工业</w:t>
            </w:r>
            <w:r>
              <w:rPr>
                <w:rFonts w:ascii="仿宋" w:hAnsi="仿宋" w:eastAsia="仿宋"/>
                <w:szCs w:val="21"/>
              </w:rPr>
              <w:t>除湿机</w:t>
            </w:r>
          </w:p>
          <w:p>
            <w:r>
              <w:rPr>
                <w:rFonts w:ascii="仿宋" w:hAnsi="仿宋" w:eastAsia="仿宋"/>
              </w:rPr>
              <w:t>（移动型、前出风）(含插座面板及电缆收放装置）</w:t>
            </w:r>
          </w:p>
        </w:tc>
        <w:tc>
          <w:tcPr>
            <w:tcW w:w="2638" w:type="dxa"/>
            <w:shd w:val="clear" w:color="auto" w:fill="auto"/>
            <w:vAlign w:val="center"/>
          </w:tcP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6" w:type="dxa"/>
            <w:shd w:val="clear" w:color="auto" w:fill="auto"/>
            <w:vAlign w:val="center"/>
          </w:tcPr>
          <w:p>
            <w:r>
              <w:rPr>
                <w:rFonts w:hint="eastAsia"/>
              </w:rPr>
              <w:t>6.1</w:t>
            </w:r>
          </w:p>
        </w:tc>
        <w:tc>
          <w:tcPr>
            <w:tcW w:w="2617" w:type="dxa"/>
            <w:shd w:val="clear" w:color="auto" w:fill="auto"/>
            <w:vAlign w:val="center"/>
          </w:tcPr>
          <w:p>
            <w:pP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除湿量</w:t>
            </w:r>
          </w:p>
        </w:tc>
        <w:tc>
          <w:tcPr>
            <w:tcW w:w="2638" w:type="dxa"/>
            <w:shd w:val="clear" w:color="auto" w:fill="auto"/>
            <w:vAlign w:val="center"/>
          </w:tcPr>
          <w:p>
            <w:pPr>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w:t>
            </w:r>
            <w:r>
              <w:rPr>
                <w:rFonts w:hint="eastAsia" w:eastAsia="仿宋"/>
                <w:color w:val="000000" w:themeColor="text1"/>
                <w:sz w:val="24"/>
                <w:szCs w:val="24"/>
                <w14:textFill>
                  <w14:solidFill>
                    <w14:schemeClr w14:val="tx1"/>
                  </w14:solidFill>
                </w14:textFill>
              </w:rPr>
              <w:t>9.5kg/h</w:t>
            </w: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36" w:type="dxa"/>
            <w:shd w:val="clear" w:color="auto" w:fill="auto"/>
            <w:vAlign w:val="center"/>
          </w:tcPr>
          <w:p>
            <w:r>
              <w:rPr>
                <w:rFonts w:hint="eastAsia"/>
              </w:rPr>
              <w:t>6.2</w:t>
            </w:r>
          </w:p>
        </w:tc>
        <w:tc>
          <w:tcPr>
            <w:tcW w:w="2617" w:type="dxa"/>
            <w:shd w:val="clear" w:color="auto" w:fill="auto"/>
            <w:vAlign w:val="center"/>
          </w:tcPr>
          <w:p>
            <w:pP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功率</w:t>
            </w:r>
          </w:p>
        </w:tc>
        <w:tc>
          <w:tcPr>
            <w:tcW w:w="2638" w:type="dxa"/>
            <w:shd w:val="clear" w:color="auto" w:fill="auto"/>
            <w:vAlign w:val="center"/>
          </w:tcPr>
          <w:p>
            <w:pPr>
              <w:rPr>
                <w:rFonts w:eastAsia="仿宋"/>
                <w:color w:val="000000" w:themeColor="text1"/>
                <w:sz w:val="24"/>
                <w:szCs w:val="24"/>
                <w14:textFill>
                  <w14:solidFill>
                    <w14:schemeClr w14:val="tx1"/>
                  </w14:solidFill>
                </w14:textFill>
              </w:rPr>
            </w:pPr>
            <w:r>
              <w:rPr>
                <w:rFonts w:hint="eastAsia" w:eastAsia="仿宋"/>
                <w:color w:val="000000" w:themeColor="text1"/>
                <w:sz w:val="24"/>
                <w:szCs w:val="24"/>
                <w14:textFill>
                  <w14:solidFill>
                    <w14:schemeClr w14:val="tx1"/>
                  </w14:solidFill>
                </w14:textFill>
              </w:rPr>
              <w:t>≤4.5 kW</w:t>
            </w: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36" w:type="dxa"/>
            <w:shd w:val="clear" w:color="auto" w:fill="auto"/>
            <w:vAlign w:val="center"/>
          </w:tcPr>
          <w:p>
            <w:r>
              <w:rPr>
                <w:rFonts w:hint="eastAsia"/>
              </w:rPr>
              <w:t>6.3</w:t>
            </w:r>
          </w:p>
        </w:tc>
        <w:tc>
          <w:tcPr>
            <w:tcW w:w="2617" w:type="dxa"/>
            <w:shd w:val="clear" w:color="auto" w:fill="auto"/>
            <w:vAlign w:val="center"/>
          </w:tcPr>
          <w:p>
            <w:pP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风量</w:t>
            </w:r>
          </w:p>
        </w:tc>
        <w:tc>
          <w:tcPr>
            <w:tcW w:w="2638" w:type="dxa"/>
            <w:shd w:val="clear" w:color="auto" w:fill="auto"/>
            <w:vAlign w:val="center"/>
          </w:tcPr>
          <w:p>
            <w:pPr>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w:t>
            </w:r>
            <w:r>
              <w:rPr>
                <w:rFonts w:hint="eastAsia" w:eastAsia="仿宋"/>
                <w:color w:val="000000" w:themeColor="text1"/>
                <w:sz w:val="24"/>
                <w:szCs w:val="24"/>
                <w14:textFill>
                  <w14:solidFill>
                    <w14:schemeClr w14:val="tx1"/>
                  </w14:solidFill>
                </w14:textFill>
              </w:rPr>
              <w:t>2950m3/h</w:t>
            </w: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36" w:type="dxa"/>
            <w:shd w:val="clear" w:color="auto" w:fill="auto"/>
            <w:vAlign w:val="center"/>
          </w:tcPr>
          <w:p>
            <w:r>
              <w:rPr>
                <w:rFonts w:hint="eastAsia"/>
              </w:rPr>
              <w:t>6.4</w:t>
            </w:r>
          </w:p>
        </w:tc>
        <w:tc>
          <w:tcPr>
            <w:tcW w:w="2617" w:type="dxa"/>
            <w:shd w:val="clear" w:color="auto" w:fill="auto"/>
            <w:vAlign w:val="center"/>
          </w:tcPr>
          <w:p>
            <w:pPr>
              <w:rPr>
                <w:rFonts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机组噪声</w:t>
            </w:r>
          </w:p>
        </w:tc>
        <w:tc>
          <w:tcPr>
            <w:tcW w:w="2638" w:type="dxa"/>
            <w:shd w:val="clear" w:color="auto" w:fill="auto"/>
            <w:vAlign w:val="center"/>
          </w:tcPr>
          <w:p>
            <w:pPr>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w:t>
            </w:r>
            <w:r>
              <w:rPr>
                <w:rFonts w:hint="eastAsia" w:eastAsia="仿宋"/>
                <w:color w:val="000000" w:themeColor="text1"/>
                <w:sz w:val="24"/>
                <w:szCs w:val="24"/>
                <w14:textFill>
                  <w14:solidFill>
                    <w14:schemeClr w14:val="tx1"/>
                  </w14:solidFill>
                </w14:textFill>
              </w:rPr>
              <w:t>68</w:t>
            </w:r>
            <w:r>
              <w:rPr>
                <w:rFonts w:eastAsia="仿宋"/>
                <w:color w:val="000000" w:themeColor="text1"/>
                <w:sz w:val="24"/>
                <w:szCs w:val="24"/>
                <w14:textFill>
                  <w14:solidFill>
                    <w14:schemeClr w14:val="tx1"/>
                  </w14:solidFill>
                </w14:textFill>
              </w:rPr>
              <w:t>dB（A）</w:t>
            </w: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36" w:type="dxa"/>
            <w:shd w:val="clear" w:color="auto" w:fill="auto"/>
            <w:vAlign w:val="center"/>
          </w:tcPr>
          <w:p>
            <w:r>
              <w:rPr>
                <w:rFonts w:hint="eastAsia"/>
              </w:rPr>
              <w:t>7</w:t>
            </w:r>
          </w:p>
        </w:tc>
        <w:tc>
          <w:tcPr>
            <w:tcW w:w="2617" w:type="dxa"/>
            <w:shd w:val="clear" w:color="auto" w:fill="auto"/>
            <w:vAlign w:val="center"/>
          </w:tcPr>
          <w:p>
            <w:pP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分体立柜冷暖空调</w:t>
            </w:r>
          </w:p>
        </w:tc>
        <w:tc>
          <w:tcPr>
            <w:tcW w:w="2638" w:type="dxa"/>
            <w:shd w:val="clear" w:color="auto" w:fill="auto"/>
            <w:vAlign w:val="center"/>
          </w:tcPr>
          <w:p>
            <w:pPr>
              <w:rPr>
                <w:rFonts w:eastAsia="仿宋"/>
                <w:color w:val="000000" w:themeColor="text1"/>
                <w:sz w:val="24"/>
                <w:szCs w:val="24"/>
                <w14:textFill>
                  <w14:solidFill>
                    <w14:schemeClr w14:val="tx1"/>
                  </w14:solidFill>
                </w14:textFill>
              </w:rPr>
            </w:pP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36" w:type="dxa"/>
            <w:shd w:val="clear" w:color="auto" w:fill="auto"/>
            <w:vAlign w:val="center"/>
          </w:tcPr>
          <w:p>
            <w:r>
              <w:rPr>
                <w:rFonts w:hint="eastAsia"/>
              </w:rPr>
              <w:t>7.1</w:t>
            </w:r>
          </w:p>
        </w:tc>
        <w:tc>
          <w:tcPr>
            <w:tcW w:w="2617" w:type="dxa"/>
            <w:shd w:val="clear" w:color="auto" w:fill="auto"/>
            <w:vAlign w:val="center"/>
          </w:tcPr>
          <w:p>
            <w:pP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制冷量</w:t>
            </w:r>
          </w:p>
        </w:tc>
        <w:tc>
          <w:tcPr>
            <w:tcW w:w="2638" w:type="dxa"/>
            <w:shd w:val="clear" w:color="auto" w:fill="auto"/>
            <w:vAlign w:val="center"/>
          </w:tcPr>
          <w:p>
            <w:pPr>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w:t>
            </w:r>
            <w:r>
              <w:rPr>
                <w:rFonts w:hint="eastAsia" w:eastAsia="仿宋"/>
                <w:color w:val="000000" w:themeColor="text1"/>
                <w:sz w:val="24"/>
                <w:szCs w:val="24"/>
                <w14:textFill>
                  <w14:solidFill>
                    <w14:schemeClr w14:val="tx1"/>
                  </w14:solidFill>
                </w14:textFill>
              </w:rPr>
              <w:t>7200W</w:t>
            </w: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36" w:type="dxa"/>
            <w:shd w:val="clear" w:color="auto" w:fill="auto"/>
            <w:vAlign w:val="center"/>
          </w:tcPr>
          <w:p>
            <w:r>
              <w:rPr>
                <w:rFonts w:hint="eastAsia"/>
              </w:rPr>
              <w:t>7.2</w:t>
            </w:r>
          </w:p>
        </w:tc>
        <w:tc>
          <w:tcPr>
            <w:tcW w:w="2617" w:type="dxa"/>
            <w:shd w:val="clear" w:color="auto" w:fill="auto"/>
            <w:vAlign w:val="center"/>
          </w:tcPr>
          <w:p>
            <w:pP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制冷功率</w:t>
            </w:r>
          </w:p>
        </w:tc>
        <w:tc>
          <w:tcPr>
            <w:tcW w:w="2638" w:type="dxa"/>
            <w:shd w:val="clear" w:color="auto" w:fill="auto"/>
            <w:vAlign w:val="center"/>
          </w:tcPr>
          <w:p>
            <w:pPr>
              <w:rPr>
                <w:rFonts w:eastAsia="仿宋"/>
                <w:color w:val="000000" w:themeColor="text1"/>
                <w:sz w:val="24"/>
                <w:szCs w:val="24"/>
                <w14:textFill>
                  <w14:solidFill>
                    <w14:schemeClr w14:val="tx1"/>
                  </w14:solidFill>
                </w14:textFill>
              </w:rPr>
            </w:pPr>
            <w:r>
              <w:rPr>
                <w:rFonts w:hint="eastAsia" w:eastAsia="仿宋"/>
                <w:color w:val="000000" w:themeColor="text1"/>
                <w:sz w:val="24"/>
                <w:szCs w:val="24"/>
                <w14:textFill>
                  <w14:solidFill>
                    <w14:schemeClr w14:val="tx1"/>
                  </w14:solidFill>
                </w14:textFill>
              </w:rPr>
              <w:t>≤2400W</w:t>
            </w: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36" w:type="dxa"/>
            <w:shd w:val="clear" w:color="auto" w:fill="auto"/>
            <w:vAlign w:val="center"/>
          </w:tcPr>
          <w:p>
            <w:r>
              <w:rPr>
                <w:rFonts w:hint="eastAsia"/>
              </w:rPr>
              <w:t>7.3</w:t>
            </w:r>
          </w:p>
        </w:tc>
        <w:tc>
          <w:tcPr>
            <w:tcW w:w="2617" w:type="dxa"/>
            <w:shd w:val="clear" w:color="auto" w:fill="auto"/>
            <w:vAlign w:val="center"/>
          </w:tcPr>
          <w:p>
            <w:pP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制热量</w:t>
            </w:r>
          </w:p>
        </w:tc>
        <w:tc>
          <w:tcPr>
            <w:tcW w:w="2638" w:type="dxa"/>
            <w:shd w:val="clear" w:color="auto" w:fill="auto"/>
            <w:vAlign w:val="center"/>
          </w:tcPr>
          <w:p>
            <w:pPr>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w:t>
            </w:r>
            <w:r>
              <w:rPr>
                <w:rFonts w:hint="eastAsia" w:eastAsia="仿宋"/>
                <w:color w:val="000000" w:themeColor="text1"/>
                <w:sz w:val="24"/>
                <w:szCs w:val="24"/>
                <w14:textFill>
                  <w14:solidFill>
                    <w14:schemeClr w14:val="tx1"/>
                  </w14:solidFill>
                </w14:textFill>
              </w:rPr>
              <w:t>9200W</w:t>
            </w: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36" w:type="dxa"/>
            <w:shd w:val="clear" w:color="auto" w:fill="auto"/>
            <w:vAlign w:val="center"/>
          </w:tcPr>
          <w:p>
            <w:r>
              <w:rPr>
                <w:rFonts w:hint="eastAsia"/>
              </w:rPr>
              <w:t>7.4</w:t>
            </w:r>
          </w:p>
        </w:tc>
        <w:tc>
          <w:tcPr>
            <w:tcW w:w="2617" w:type="dxa"/>
            <w:shd w:val="clear" w:color="auto" w:fill="auto"/>
            <w:vAlign w:val="center"/>
          </w:tcPr>
          <w:p>
            <w:pP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制热功率</w:t>
            </w:r>
          </w:p>
        </w:tc>
        <w:tc>
          <w:tcPr>
            <w:tcW w:w="2638" w:type="dxa"/>
            <w:shd w:val="clear" w:color="auto" w:fill="auto"/>
            <w:vAlign w:val="center"/>
          </w:tcPr>
          <w:p>
            <w:pPr>
              <w:rPr>
                <w:rFonts w:eastAsia="仿宋"/>
                <w:color w:val="000000" w:themeColor="text1"/>
                <w:sz w:val="24"/>
                <w:szCs w:val="24"/>
                <w14:textFill>
                  <w14:solidFill>
                    <w14:schemeClr w14:val="tx1"/>
                  </w14:solidFill>
                </w14:textFill>
              </w:rPr>
            </w:pPr>
            <w:r>
              <w:rPr>
                <w:rFonts w:hint="eastAsia" w:eastAsia="仿宋"/>
                <w:color w:val="000000" w:themeColor="text1"/>
                <w:sz w:val="24"/>
                <w:szCs w:val="24"/>
                <w14:textFill>
                  <w14:solidFill>
                    <w14:schemeClr w14:val="tx1"/>
                  </w14:solidFill>
                </w14:textFill>
              </w:rPr>
              <w:t>≤2800W</w:t>
            </w: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36" w:type="dxa"/>
            <w:shd w:val="clear" w:color="auto" w:fill="auto"/>
            <w:vAlign w:val="center"/>
          </w:tcPr>
          <w:p>
            <w:r>
              <w:rPr>
                <w:rFonts w:hint="eastAsia"/>
              </w:rPr>
              <w:t>7.5</w:t>
            </w:r>
          </w:p>
        </w:tc>
        <w:tc>
          <w:tcPr>
            <w:tcW w:w="2617" w:type="dxa"/>
            <w:shd w:val="clear" w:color="auto" w:fill="auto"/>
            <w:vAlign w:val="center"/>
          </w:tcPr>
          <w:p>
            <w:pP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风量</w:t>
            </w:r>
          </w:p>
        </w:tc>
        <w:tc>
          <w:tcPr>
            <w:tcW w:w="2638" w:type="dxa"/>
            <w:shd w:val="clear" w:color="auto" w:fill="auto"/>
            <w:vAlign w:val="center"/>
          </w:tcPr>
          <w:p>
            <w:pPr>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w:t>
            </w:r>
            <w:r>
              <w:rPr>
                <w:rFonts w:hint="eastAsia" w:eastAsia="仿宋"/>
                <w:color w:val="000000" w:themeColor="text1"/>
                <w:sz w:val="24"/>
                <w:szCs w:val="24"/>
                <w14:textFill>
                  <w14:solidFill>
                    <w14:schemeClr w14:val="tx1"/>
                  </w14:solidFill>
                </w14:textFill>
              </w:rPr>
              <w:t>1200m3/h</w:t>
            </w: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36" w:type="dxa"/>
            <w:shd w:val="clear" w:color="auto" w:fill="auto"/>
            <w:vAlign w:val="center"/>
          </w:tcPr>
          <w:p>
            <w:r>
              <w:rPr>
                <w:rFonts w:hint="eastAsia"/>
              </w:rPr>
              <w:t>8</w:t>
            </w:r>
          </w:p>
        </w:tc>
        <w:tc>
          <w:tcPr>
            <w:tcW w:w="2617" w:type="dxa"/>
            <w:shd w:val="clear" w:color="auto" w:fill="auto"/>
            <w:vAlign w:val="center"/>
          </w:tcPr>
          <w:p>
            <w:pP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机房精密空调</w:t>
            </w:r>
          </w:p>
        </w:tc>
        <w:tc>
          <w:tcPr>
            <w:tcW w:w="2638" w:type="dxa"/>
            <w:shd w:val="clear" w:color="auto" w:fill="auto"/>
            <w:vAlign w:val="center"/>
          </w:tcPr>
          <w:p>
            <w:pPr>
              <w:rPr>
                <w:rFonts w:eastAsia="仿宋"/>
                <w:color w:val="000000" w:themeColor="text1"/>
                <w:sz w:val="24"/>
                <w:szCs w:val="24"/>
                <w14:textFill>
                  <w14:solidFill>
                    <w14:schemeClr w14:val="tx1"/>
                  </w14:solidFill>
                </w14:textFill>
              </w:rPr>
            </w:pP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36" w:type="dxa"/>
            <w:shd w:val="clear" w:color="auto" w:fill="auto"/>
            <w:vAlign w:val="center"/>
          </w:tcPr>
          <w:p>
            <w:r>
              <w:rPr>
                <w:rFonts w:hint="eastAsia"/>
              </w:rPr>
              <w:t>8.1</w:t>
            </w:r>
          </w:p>
        </w:tc>
        <w:tc>
          <w:tcPr>
            <w:tcW w:w="2617" w:type="dxa"/>
            <w:shd w:val="clear" w:color="auto" w:fill="auto"/>
            <w:vAlign w:val="center"/>
          </w:tcPr>
          <w:p>
            <w:pP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制冷量</w:t>
            </w:r>
          </w:p>
        </w:tc>
        <w:tc>
          <w:tcPr>
            <w:tcW w:w="2638" w:type="dxa"/>
            <w:shd w:val="clear" w:color="auto" w:fill="auto"/>
            <w:vAlign w:val="center"/>
          </w:tcPr>
          <w:p>
            <w:pPr>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w:t>
            </w:r>
            <w:r>
              <w:rPr>
                <w:rFonts w:hint="eastAsia" w:eastAsia="仿宋"/>
                <w:color w:val="000000" w:themeColor="text1"/>
                <w:sz w:val="24"/>
                <w:szCs w:val="24"/>
                <w14:textFill>
                  <w14:solidFill>
                    <w14:schemeClr w14:val="tx1"/>
                  </w14:solidFill>
                </w14:textFill>
              </w:rPr>
              <w:t>7.5kW</w:t>
            </w: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36" w:type="dxa"/>
            <w:shd w:val="clear" w:color="auto" w:fill="auto"/>
            <w:vAlign w:val="center"/>
          </w:tcPr>
          <w:p>
            <w:r>
              <w:rPr>
                <w:rFonts w:hint="eastAsia"/>
              </w:rPr>
              <w:t>8.2</w:t>
            </w:r>
          </w:p>
        </w:tc>
        <w:tc>
          <w:tcPr>
            <w:tcW w:w="2617" w:type="dxa"/>
            <w:shd w:val="clear" w:color="auto" w:fill="auto"/>
            <w:vAlign w:val="center"/>
          </w:tcPr>
          <w:p>
            <w:pP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风量</w:t>
            </w:r>
          </w:p>
        </w:tc>
        <w:tc>
          <w:tcPr>
            <w:tcW w:w="2638" w:type="dxa"/>
            <w:shd w:val="clear" w:color="auto" w:fill="auto"/>
            <w:vAlign w:val="center"/>
          </w:tcPr>
          <w:p>
            <w:pPr>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w:t>
            </w:r>
            <w:r>
              <w:rPr>
                <w:rFonts w:hint="eastAsia" w:eastAsia="仿宋"/>
                <w:color w:val="000000" w:themeColor="text1"/>
                <w:sz w:val="24"/>
                <w:szCs w:val="24"/>
                <w14:textFill>
                  <w14:solidFill>
                    <w14:schemeClr w14:val="tx1"/>
                  </w14:solidFill>
                </w14:textFill>
              </w:rPr>
              <w:t>2200 m3/h</w:t>
            </w: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36" w:type="dxa"/>
            <w:shd w:val="clear" w:color="auto" w:fill="auto"/>
            <w:vAlign w:val="center"/>
          </w:tcPr>
          <w:p>
            <w:r>
              <w:rPr>
                <w:rFonts w:hint="eastAsia"/>
              </w:rPr>
              <w:t>8.3</w:t>
            </w:r>
          </w:p>
        </w:tc>
        <w:tc>
          <w:tcPr>
            <w:tcW w:w="2617" w:type="dxa"/>
            <w:shd w:val="clear" w:color="auto" w:fill="auto"/>
            <w:vAlign w:val="center"/>
          </w:tcPr>
          <w:p>
            <w:pP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电加热量</w:t>
            </w:r>
          </w:p>
        </w:tc>
        <w:tc>
          <w:tcPr>
            <w:tcW w:w="2638" w:type="dxa"/>
            <w:shd w:val="clear" w:color="auto" w:fill="auto"/>
            <w:vAlign w:val="center"/>
          </w:tcPr>
          <w:p>
            <w:pPr>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w:t>
            </w:r>
            <w:r>
              <w:rPr>
                <w:rFonts w:hint="eastAsia" w:eastAsia="仿宋"/>
                <w:color w:val="000000" w:themeColor="text1"/>
                <w:sz w:val="24"/>
                <w:szCs w:val="24"/>
                <w14:textFill>
                  <w14:solidFill>
                    <w14:schemeClr w14:val="tx1"/>
                  </w14:solidFill>
                </w14:textFill>
              </w:rPr>
              <w:t>3kW</w:t>
            </w: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36" w:type="dxa"/>
            <w:shd w:val="clear" w:color="auto" w:fill="auto"/>
            <w:vAlign w:val="center"/>
          </w:tcPr>
          <w:p>
            <w:r>
              <w:rPr>
                <w:rFonts w:hint="eastAsia"/>
              </w:rPr>
              <w:t>8.4</w:t>
            </w:r>
          </w:p>
        </w:tc>
        <w:tc>
          <w:tcPr>
            <w:tcW w:w="2617" w:type="dxa"/>
            <w:shd w:val="clear" w:color="auto" w:fill="auto"/>
            <w:vAlign w:val="center"/>
          </w:tcPr>
          <w:p>
            <w:pP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加湿量</w:t>
            </w:r>
          </w:p>
        </w:tc>
        <w:tc>
          <w:tcPr>
            <w:tcW w:w="2638" w:type="dxa"/>
            <w:shd w:val="clear" w:color="auto" w:fill="auto"/>
            <w:vAlign w:val="center"/>
          </w:tcPr>
          <w:p>
            <w:pPr>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w:t>
            </w:r>
            <w:r>
              <w:rPr>
                <w:rFonts w:hint="eastAsia" w:eastAsia="仿宋"/>
                <w:color w:val="000000" w:themeColor="text1"/>
                <w:sz w:val="24"/>
                <w:szCs w:val="24"/>
                <w14:textFill>
                  <w14:solidFill>
                    <w14:schemeClr w14:val="tx1"/>
                  </w14:solidFill>
                </w14:textFill>
              </w:rPr>
              <w:t>3kg/h</w:t>
            </w: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36" w:type="dxa"/>
            <w:shd w:val="clear" w:color="auto" w:fill="auto"/>
            <w:vAlign w:val="center"/>
          </w:tcPr>
          <w:p>
            <w:r>
              <w:rPr>
                <w:rFonts w:hint="eastAsia"/>
              </w:rPr>
              <w:t>8.5</w:t>
            </w:r>
          </w:p>
        </w:tc>
        <w:tc>
          <w:tcPr>
            <w:tcW w:w="2617" w:type="dxa"/>
            <w:shd w:val="clear" w:color="auto" w:fill="auto"/>
            <w:vAlign w:val="center"/>
          </w:tcPr>
          <w:p>
            <w:pP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最大负荷电流</w:t>
            </w:r>
          </w:p>
        </w:tc>
        <w:tc>
          <w:tcPr>
            <w:tcW w:w="2638" w:type="dxa"/>
            <w:shd w:val="clear" w:color="auto" w:fill="auto"/>
            <w:vAlign w:val="center"/>
          </w:tcPr>
          <w:p>
            <w:pPr>
              <w:rPr>
                <w:rFonts w:eastAsia="仿宋"/>
                <w:color w:val="000000" w:themeColor="text1"/>
                <w:sz w:val="24"/>
                <w:szCs w:val="24"/>
                <w14:textFill>
                  <w14:solidFill>
                    <w14:schemeClr w14:val="tx1"/>
                  </w14:solidFill>
                </w14:textFill>
              </w:rPr>
            </w:pPr>
            <w:r>
              <w:rPr>
                <w:rFonts w:hint="eastAsia" w:eastAsia="仿宋"/>
                <w:color w:val="000000" w:themeColor="text1"/>
                <w:sz w:val="24"/>
                <w:szCs w:val="24"/>
                <w14:textFill>
                  <w14:solidFill>
                    <w14:schemeClr w14:val="tx1"/>
                  </w14:solidFill>
                </w14:textFill>
              </w:rPr>
              <w:t>≤15A</w:t>
            </w: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6" w:type="dxa"/>
            <w:shd w:val="clear" w:color="auto" w:fill="auto"/>
            <w:vAlign w:val="center"/>
          </w:tcPr>
          <w:p>
            <w:r>
              <w:rPr>
                <w:rFonts w:hint="eastAsia"/>
              </w:rPr>
              <w:t>8.6</w:t>
            </w:r>
          </w:p>
        </w:tc>
        <w:tc>
          <w:tcPr>
            <w:tcW w:w="2617" w:type="dxa"/>
            <w:shd w:val="clear" w:color="auto" w:fill="auto"/>
            <w:vAlign w:val="center"/>
          </w:tcPr>
          <w:p>
            <w:pP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其它要求</w:t>
            </w:r>
          </w:p>
        </w:tc>
        <w:tc>
          <w:tcPr>
            <w:tcW w:w="2638" w:type="dxa"/>
            <w:shd w:val="clear" w:color="auto" w:fill="auto"/>
            <w:vAlign w:val="center"/>
          </w:tcPr>
          <w:p>
            <w:pP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配置PTC电加热、湿膜加湿，采用EC离心风机实现风量连续可调，配备高精度电子膨胀阀，室外机组冷凝风扇具备无极调速功能，采用R410A环保冷媒，微电脑智能控制，7英寸超大触摸屏动态显示机组实时运行状态，曲线图形象显示温湿度参数变化</w:t>
            </w: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6" w:type="dxa"/>
            <w:shd w:val="clear" w:color="auto" w:fill="auto"/>
            <w:vAlign w:val="center"/>
          </w:tcPr>
          <w:p>
            <w:r>
              <w:rPr>
                <w:rFonts w:hint="eastAsia"/>
              </w:rPr>
              <w:t>9</w:t>
            </w:r>
          </w:p>
        </w:tc>
        <w:tc>
          <w:tcPr>
            <w:tcW w:w="2617" w:type="dxa"/>
            <w:shd w:val="clear" w:color="auto" w:fill="auto"/>
            <w:vAlign w:val="center"/>
          </w:tcPr>
          <w:p>
            <w:pP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变频风冷单元式柜机</w:t>
            </w:r>
          </w:p>
        </w:tc>
        <w:tc>
          <w:tcPr>
            <w:tcW w:w="2638" w:type="dxa"/>
            <w:shd w:val="clear" w:color="auto" w:fill="auto"/>
            <w:vAlign w:val="center"/>
          </w:tcPr>
          <w:p>
            <w:pPr>
              <w:rPr>
                <w:rFonts w:eastAsia="仿宋"/>
                <w:color w:val="000000" w:themeColor="text1"/>
                <w:sz w:val="24"/>
                <w:szCs w:val="24"/>
                <w14:textFill>
                  <w14:solidFill>
                    <w14:schemeClr w14:val="tx1"/>
                  </w14:solidFill>
                </w14:textFill>
              </w:rPr>
            </w:pP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6" w:type="dxa"/>
            <w:shd w:val="clear" w:color="auto" w:fill="auto"/>
            <w:vAlign w:val="center"/>
          </w:tcPr>
          <w:p>
            <w:r>
              <w:rPr>
                <w:rFonts w:hint="eastAsia"/>
              </w:rPr>
              <w:t>9.1</w:t>
            </w:r>
          </w:p>
        </w:tc>
        <w:tc>
          <w:tcPr>
            <w:tcW w:w="2617" w:type="dxa"/>
            <w:shd w:val="clear" w:color="auto" w:fill="auto"/>
            <w:vAlign w:val="center"/>
          </w:tcPr>
          <w:p>
            <w:pP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制冷量</w:t>
            </w:r>
          </w:p>
        </w:tc>
        <w:tc>
          <w:tcPr>
            <w:tcW w:w="2638" w:type="dxa"/>
            <w:shd w:val="clear" w:color="auto" w:fill="auto"/>
            <w:vAlign w:val="center"/>
          </w:tcPr>
          <w:p>
            <w:pPr>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w:t>
            </w:r>
            <w:r>
              <w:rPr>
                <w:rFonts w:hint="eastAsia" w:eastAsia="仿宋"/>
                <w:color w:val="000000" w:themeColor="text1"/>
                <w:sz w:val="24"/>
                <w:szCs w:val="24"/>
                <w14:textFill>
                  <w14:solidFill>
                    <w14:schemeClr w14:val="tx1"/>
                  </w14:solidFill>
                </w14:textFill>
              </w:rPr>
              <w:t>25kW</w:t>
            </w: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6" w:type="dxa"/>
            <w:shd w:val="clear" w:color="auto" w:fill="auto"/>
            <w:vAlign w:val="center"/>
          </w:tcPr>
          <w:p>
            <w:r>
              <w:rPr>
                <w:rFonts w:hint="eastAsia"/>
              </w:rPr>
              <w:t>9.2</w:t>
            </w:r>
          </w:p>
        </w:tc>
        <w:tc>
          <w:tcPr>
            <w:tcW w:w="2617" w:type="dxa"/>
            <w:shd w:val="clear" w:color="auto" w:fill="auto"/>
            <w:vAlign w:val="center"/>
          </w:tcPr>
          <w:p>
            <w:pP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制热量</w:t>
            </w:r>
          </w:p>
        </w:tc>
        <w:tc>
          <w:tcPr>
            <w:tcW w:w="2638" w:type="dxa"/>
            <w:shd w:val="clear" w:color="auto" w:fill="auto"/>
            <w:vAlign w:val="center"/>
          </w:tcPr>
          <w:p>
            <w:pPr>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w:t>
            </w:r>
            <w:r>
              <w:rPr>
                <w:rFonts w:hint="eastAsia" w:eastAsia="仿宋"/>
                <w:color w:val="000000" w:themeColor="text1"/>
                <w:sz w:val="24"/>
                <w:szCs w:val="24"/>
                <w14:textFill>
                  <w14:solidFill>
                    <w14:schemeClr w14:val="tx1"/>
                  </w14:solidFill>
                </w14:textFill>
              </w:rPr>
              <w:t>25kW</w:t>
            </w: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6" w:type="dxa"/>
            <w:shd w:val="clear" w:color="auto" w:fill="auto"/>
            <w:vAlign w:val="center"/>
          </w:tcPr>
          <w:p>
            <w:r>
              <w:rPr>
                <w:rFonts w:hint="eastAsia"/>
              </w:rPr>
              <w:t>9.3</w:t>
            </w:r>
          </w:p>
        </w:tc>
        <w:tc>
          <w:tcPr>
            <w:tcW w:w="2617" w:type="dxa"/>
            <w:shd w:val="clear" w:color="auto" w:fill="auto"/>
            <w:vAlign w:val="center"/>
          </w:tcPr>
          <w:p>
            <w:pP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功率</w:t>
            </w:r>
          </w:p>
        </w:tc>
        <w:tc>
          <w:tcPr>
            <w:tcW w:w="2638" w:type="dxa"/>
            <w:shd w:val="clear" w:color="auto" w:fill="auto"/>
            <w:vAlign w:val="center"/>
          </w:tcPr>
          <w:p>
            <w:pPr>
              <w:rPr>
                <w:rFonts w:eastAsia="仿宋"/>
                <w:color w:val="000000" w:themeColor="text1"/>
                <w:sz w:val="24"/>
                <w:szCs w:val="24"/>
                <w14:textFill>
                  <w14:solidFill>
                    <w14:schemeClr w14:val="tx1"/>
                  </w14:solidFill>
                </w14:textFill>
              </w:rPr>
            </w:pPr>
            <w:r>
              <w:rPr>
                <w:rFonts w:hint="eastAsia" w:eastAsia="仿宋"/>
                <w:color w:val="000000" w:themeColor="text1"/>
                <w:sz w:val="24"/>
                <w:szCs w:val="24"/>
                <w14:textFill>
                  <w14:solidFill>
                    <w14:schemeClr w14:val="tx1"/>
                  </w14:solidFill>
                </w14:textFill>
              </w:rPr>
              <w:t>≤7.3kW</w:t>
            </w: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6" w:type="dxa"/>
            <w:shd w:val="clear" w:color="auto" w:fill="auto"/>
            <w:vAlign w:val="center"/>
          </w:tcPr>
          <w:p>
            <w:r>
              <w:rPr>
                <w:rFonts w:hint="eastAsia"/>
              </w:rPr>
              <w:t>9.4</w:t>
            </w:r>
          </w:p>
        </w:tc>
        <w:tc>
          <w:tcPr>
            <w:tcW w:w="2617" w:type="dxa"/>
            <w:shd w:val="clear" w:color="auto" w:fill="auto"/>
            <w:vAlign w:val="center"/>
          </w:tcPr>
          <w:p>
            <w:pP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室内机风量</w:t>
            </w:r>
          </w:p>
        </w:tc>
        <w:tc>
          <w:tcPr>
            <w:tcW w:w="2638" w:type="dxa"/>
            <w:shd w:val="clear" w:color="auto" w:fill="auto"/>
            <w:vAlign w:val="center"/>
          </w:tcPr>
          <w:p>
            <w:pPr>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w:t>
            </w:r>
            <w:r>
              <w:rPr>
                <w:rFonts w:hint="eastAsia" w:eastAsia="仿宋"/>
                <w:color w:val="000000" w:themeColor="text1"/>
                <w:sz w:val="24"/>
                <w:szCs w:val="24"/>
                <w14:textFill>
                  <w14:solidFill>
                    <w14:schemeClr w14:val="tx1"/>
                  </w14:solidFill>
                </w14:textFill>
              </w:rPr>
              <w:t>4450m3/h</w:t>
            </w: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6" w:type="dxa"/>
            <w:shd w:val="clear" w:color="auto" w:fill="auto"/>
            <w:vAlign w:val="center"/>
          </w:tcPr>
          <w:p>
            <w:r>
              <w:rPr>
                <w:rFonts w:hint="eastAsia"/>
              </w:rPr>
              <w:t>9.5</w:t>
            </w:r>
          </w:p>
        </w:tc>
        <w:tc>
          <w:tcPr>
            <w:tcW w:w="2617" w:type="dxa"/>
            <w:shd w:val="clear" w:color="auto" w:fill="auto"/>
            <w:vAlign w:val="center"/>
          </w:tcPr>
          <w:p>
            <w:pP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室外机风量</w:t>
            </w:r>
          </w:p>
        </w:tc>
        <w:tc>
          <w:tcPr>
            <w:tcW w:w="2638" w:type="dxa"/>
            <w:shd w:val="clear" w:color="auto" w:fill="auto"/>
            <w:vAlign w:val="center"/>
          </w:tcPr>
          <w:p>
            <w:pPr>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w:t>
            </w:r>
            <w:r>
              <w:rPr>
                <w:rFonts w:hint="eastAsia" w:eastAsia="仿宋"/>
                <w:color w:val="000000" w:themeColor="text1"/>
                <w:sz w:val="24"/>
                <w:szCs w:val="24"/>
                <w14:textFill>
                  <w14:solidFill>
                    <w14:schemeClr w14:val="tx1"/>
                  </w14:solidFill>
                </w14:textFill>
              </w:rPr>
              <w:t>11800m3/h</w:t>
            </w: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6" w:type="dxa"/>
            <w:shd w:val="clear" w:color="auto" w:fill="auto"/>
            <w:vAlign w:val="center"/>
          </w:tcPr>
          <w:p>
            <w:r>
              <w:rPr>
                <w:rFonts w:hint="eastAsia"/>
              </w:rPr>
              <w:t>9.6</w:t>
            </w:r>
          </w:p>
        </w:tc>
        <w:tc>
          <w:tcPr>
            <w:tcW w:w="2617" w:type="dxa"/>
            <w:shd w:val="clear" w:color="auto" w:fill="auto"/>
            <w:vAlign w:val="center"/>
          </w:tcPr>
          <w:p>
            <w:pP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其它要求</w:t>
            </w:r>
          </w:p>
        </w:tc>
        <w:tc>
          <w:tcPr>
            <w:tcW w:w="2638" w:type="dxa"/>
            <w:shd w:val="clear" w:color="auto" w:fill="auto"/>
            <w:vAlign w:val="center"/>
          </w:tcPr>
          <w:p>
            <w:pP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室内机箱体材质≥30mm无氟聚氨酯发泡（内板0.5mm镀锌板，外板0.5mm彩钢板）；配变频压缩机；室外轴流风机采用变频风机，可以无极调速；室外机出风方式为侧出风；采用R410A环保冷媒</w:t>
            </w: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6" w:type="dxa"/>
            <w:shd w:val="clear" w:color="auto" w:fill="auto"/>
            <w:vAlign w:val="center"/>
          </w:tcPr>
          <w:p>
            <w:r>
              <w:rPr>
                <w:rFonts w:hint="eastAsia"/>
              </w:rPr>
              <w:t>10</w:t>
            </w:r>
          </w:p>
        </w:tc>
        <w:tc>
          <w:tcPr>
            <w:tcW w:w="2617" w:type="dxa"/>
            <w:shd w:val="clear" w:color="auto" w:fill="auto"/>
            <w:vAlign w:val="center"/>
          </w:tcPr>
          <w:p>
            <w:pP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风管室内机</w:t>
            </w:r>
          </w:p>
        </w:tc>
        <w:tc>
          <w:tcPr>
            <w:tcW w:w="2638" w:type="dxa"/>
            <w:shd w:val="clear" w:color="auto" w:fill="auto"/>
            <w:vAlign w:val="center"/>
          </w:tcPr>
          <w:p>
            <w:pPr>
              <w:rPr>
                <w:rFonts w:eastAsia="仿宋"/>
                <w:color w:val="000000" w:themeColor="text1"/>
                <w:sz w:val="24"/>
                <w:szCs w:val="24"/>
                <w14:textFill>
                  <w14:solidFill>
                    <w14:schemeClr w14:val="tx1"/>
                  </w14:solidFill>
                </w14:textFill>
              </w:rPr>
            </w:pP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6" w:type="dxa"/>
            <w:shd w:val="clear" w:color="auto" w:fill="auto"/>
            <w:vAlign w:val="center"/>
          </w:tcPr>
          <w:p>
            <w:r>
              <w:rPr>
                <w:rFonts w:hint="eastAsia"/>
              </w:rPr>
              <w:t>10.1</w:t>
            </w:r>
          </w:p>
        </w:tc>
        <w:tc>
          <w:tcPr>
            <w:tcW w:w="2617" w:type="dxa"/>
            <w:shd w:val="clear" w:color="auto" w:fill="auto"/>
            <w:vAlign w:val="center"/>
          </w:tcPr>
          <w:p>
            <w:pP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制冷量</w:t>
            </w:r>
          </w:p>
        </w:tc>
        <w:tc>
          <w:tcPr>
            <w:tcW w:w="2638" w:type="dxa"/>
            <w:shd w:val="clear" w:color="auto" w:fill="auto"/>
            <w:vAlign w:val="center"/>
          </w:tcPr>
          <w:p>
            <w:pPr>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w:t>
            </w:r>
            <w:r>
              <w:rPr>
                <w:rFonts w:hint="eastAsia" w:eastAsia="仿宋"/>
                <w:color w:val="000000" w:themeColor="text1"/>
                <w:sz w:val="24"/>
                <w:szCs w:val="24"/>
                <w14:textFill>
                  <w14:solidFill>
                    <w14:schemeClr w14:val="tx1"/>
                  </w14:solidFill>
                </w14:textFill>
              </w:rPr>
              <w:t>20kW</w:t>
            </w: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6" w:type="dxa"/>
            <w:shd w:val="clear" w:color="auto" w:fill="auto"/>
            <w:vAlign w:val="center"/>
          </w:tcPr>
          <w:p>
            <w:r>
              <w:rPr>
                <w:rFonts w:hint="eastAsia"/>
              </w:rPr>
              <w:t>10.2</w:t>
            </w:r>
          </w:p>
        </w:tc>
        <w:tc>
          <w:tcPr>
            <w:tcW w:w="2617" w:type="dxa"/>
            <w:shd w:val="clear" w:color="auto" w:fill="auto"/>
            <w:vAlign w:val="center"/>
          </w:tcPr>
          <w:p>
            <w:pP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制热量</w:t>
            </w:r>
          </w:p>
        </w:tc>
        <w:tc>
          <w:tcPr>
            <w:tcW w:w="2638" w:type="dxa"/>
            <w:shd w:val="clear" w:color="auto" w:fill="auto"/>
            <w:vAlign w:val="center"/>
          </w:tcPr>
          <w:p>
            <w:pPr>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w:t>
            </w:r>
            <w:r>
              <w:rPr>
                <w:rFonts w:hint="eastAsia" w:eastAsia="仿宋"/>
                <w:color w:val="000000" w:themeColor="text1"/>
                <w:sz w:val="24"/>
                <w:szCs w:val="24"/>
                <w14:textFill>
                  <w14:solidFill>
                    <w14:schemeClr w14:val="tx1"/>
                  </w14:solidFill>
                </w14:textFill>
              </w:rPr>
              <w:t>22kW</w:t>
            </w: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6" w:type="dxa"/>
            <w:shd w:val="clear" w:color="auto" w:fill="auto"/>
            <w:vAlign w:val="center"/>
          </w:tcPr>
          <w:p>
            <w:r>
              <w:rPr>
                <w:rFonts w:hint="eastAsia"/>
              </w:rPr>
              <w:t>10.3</w:t>
            </w:r>
          </w:p>
        </w:tc>
        <w:tc>
          <w:tcPr>
            <w:tcW w:w="2617" w:type="dxa"/>
            <w:shd w:val="clear" w:color="auto" w:fill="auto"/>
            <w:vAlign w:val="center"/>
          </w:tcPr>
          <w:p>
            <w:pP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功率</w:t>
            </w:r>
          </w:p>
        </w:tc>
        <w:tc>
          <w:tcPr>
            <w:tcW w:w="2638" w:type="dxa"/>
            <w:shd w:val="clear" w:color="auto" w:fill="auto"/>
            <w:vAlign w:val="center"/>
          </w:tcPr>
          <w:p>
            <w:pPr>
              <w:rPr>
                <w:rFonts w:eastAsia="仿宋"/>
                <w:color w:val="000000" w:themeColor="text1"/>
                <w:sz w:val="24"/>
                <w:szCs w:val="24"/>
                <w14:textFill>
                  <w14:solidFill>
                    <w14:schemeClr w14:val="tx1"/>
                  </w14:solidFill>
                </w14:textFill>
              </w:rPr>
            </w:pPr>
            <w:r>
              <w:rPr>
                <w:rFonts w:hint="eastAsia" w:eastAsia="仿宋"/>
                <w:color w:val="000000" w:themeColor="text1"/>
                <w:sz w:val="24"/>
                <w:szCs w:val="24"/>
                <w14:textFill>
                  <w14:solidFill>
                    <w14:schemeClr w14:val="tx1"/>
                  </w14:solidFill>
                </w14:textFill>
              </w:rPr>
              <w:t>≤1kW</w:t>
            </w: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6" w:type="dxa"/>
            <w:shd w:val="clear" w:color="auto" w:fill="auto"/>
            <w:vAlign w:val="center"/>
          </w:tcPr>
          <w:p>
            <w:r>
              <w:rPr>
                <w:rFonts w:hint="eastAsia"/>
              </w:rPr>
              <w:t>10.4</w:t>
            </w:r>
          </w:p>
        </w:tc>
        <w:tc>
          <w:tcPr>
            <w:tcW w:w="2617" w:type="dxa"/>
            <w:shd w:val="clear" w:color="auto" w:fill="auto"/>
            <w:vAlign w:val="center"/>
          </w:tcPr>
          <w:p>
            <w:pP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风量</w:t>
            </w:r>
          </w:p>
        </w:tc>
        <w:tc>
          <w:tcPr>
            <w:tcW w:w="2638" w:type="dxa"/>
            <w:shd w:val="clear" w:color="auto" w:fill="auto"/>
            <w:vAlign w:val="center"/>
          </w:tcPr>
          <w:p>
            <w:pPr>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w:t>
            </w:r>
            <w:r>
              <w:rPr>
                <w:rFonts w:hint="eastAsia" w:eastAsia="仿宋"/>
                <w:color w:val="000000" w:themeColor="text1"/>
                <w:sz w:val="24"/>
                <w:szCs w:val="24"/>
                <w14:textFill>
                  <w14:solidFill>
                    <w14:schemeClr w14:val="tx1"/>
                  </w14:solidFill>
                </w14:textFill>
              </w:rPr>
              <w:t>4300m3/h</w:t>
            </w: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6" w:type="dxa"/>
            <w:shd w:val="clear" w:color="auto" w:fill="auto"/>
            <w:vAlign w:val="center"/>
          </w:tcPr>
          <w:p>
            <w:r>
              <w:rPr>
                <w:rFonts w:hint="eastAsia"/>
              </w:rPr>
              <w:t>10.5</w:t>
            </w:r>
          </w:p>
        </w:tc>
        <w:tc>
          <w:tcPr>
            <w:tcW w:w="2617" w:type="dxa"/>
            <w:shd w:val="clear" w:color="auto" w:fill="auto"/>
            <w:vAlign w:val="center"/>
          </w:tcPr>
          <w:p>
            <w:pP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机外静压</w:t>
            </w:r>
          </w:p>
        </w:tc>
        <w:tc>
          <w:tcPr>
            <w:tcW w:w="2638" w:type="dxa"/>
            <w:shd w:val="clear" w:color="auto" w:fill="auto"/>
            <w:vAlign w:val="center"/>
          </w:tcPr>
          <w:p>
            <w:pPr>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w:t>
            </w:r>
            <w:r>
              <w:rPr>
                <w:rFonts w:hint="eastAsia" w:eastAsia="仿宋"/>
                <w:color w:val="000000" w:themeColor="text1"/>
                <w:sz w:val="24"/>
                <w:szCs w:val="24"/>
                <w14:textFill>
                  <w14:solidFill>
                    <w14:schemeClr w14:val="tx1"/>
                  </w14:solidFill>
                </w14:textFill>
              </w:rPr>
              <w:t>250Pa</w:t>
            </w: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6" w:type="dxa"/>
            <w:shd w:val="clear" w:color="auto" w:fill="auto"/>
            <w:vAlign w:val="center"/>
          </w:tcPr>
          <w:p>
            <w:r>
              <w:rPr>
                <w:rFonts w:hint="eastAsia"/>
              </w:rPr>
              <w:t>11</w:t>
            </w:r>
          </w:p>
        </w:tc>
        <w:tc>
          <w:tcPr>
            <w:tcW w:w="2617" w:type="dxa"/>
            <w:shd w:val="clear" w:color="auto" w:fill="auto"/>
            <w:vAlign w:val="center"/>
          </w:tcPr>
          <w:p>
            <w:pP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变频多联室外机</w:t>
            </w:r>
          </w:p>
        </w:tc>
        <w:tc>
          <w:tcPr>
            <w:tcW w:w="2638" w:type="dxa"/>
            <w:shd w:val="clear" w:color="auto" w:fill="auto"/>
            <w:vAlign w:val="center"/>
          </w:tcPr>
          <w:p>
            <w:pPr>
              <w:rPr>
                <w:rFonts w:eastAsia="仿宋"/>
                <w:color w:val="000000" w:themeColor="text1"/>
                <w:sz w:val="24"/>
                <w:szCs w:val="24"/>
                <w14:textFill>
                  <w14:solidFill>
                    <w14:schemeClr w14:val="tx1"/>
                  </w14:solidFill>
                </w14:textFill>
              </w:rPr>
            </w:pP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6" w:type="dxa"/>
            <w:shd w:val="clear" w:color="auto" w:fill="auto"/>
            <w:vAlign w:val="center"/>
          </w:tcPr>
          <w:p>
            <w:r>
              <w:rPr>
                <w:rFonts w:hint="eastAsia"/>
              </w:rPr>
              <w:t>11.1</w:t>
            </w:r>
          </w:p>
        </w:tc>
        <w:tc>
          <w:tcPr>
            <w:tcW w:w="2617" w:type="dxa"/>
            <w:shd w:val="clear" w:color="auto" w:fill="auto"/>
            <w:vAlign w:val="center"/>
          </w:tcPr>
          <w:p>
            <w:pP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制冷量</w:t>
            </w:r>
          </w:p>
        </w:tc>
        <w:tc>
          <w:tcPr>
            <w:tcW w:w="2638" w:type="dxa"/>
            <w:shd w:val="clear" w:color="auto" w:fill="auto"/>
            <w:vAlign w:val="center"/>
          </w:tcPr>
          <w:p>
            <w:pPr>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w:t>
            </w:r>
            <w:r>
              <w:rPr>
                <w:rFonts w:hint="eastAsia" w:eastAsia="仿宋"/>
                <w:color w:val="000000" w:themeColor="text1"/>
                <w:sz w:val="24"/>
                <w:szCs w:val="24"/>
                <w14:textFill>
                  <w14:solidFill>
                    <w14:schemeClr w14:val="tx1"/>
                  </w14:solidFill>
                </w14:textFill>
              </w:rPr>
              <w:t>45kW</w:t>
            </w: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6" w:type="dxa"/>
            <w:shd w:val="clear" w:color="auto" w:fill="auto"/>
            <w:vAlign w:val="center"/>
          </w:tcPr>
          <w:p>
            <w:r>
              <w:rPr>
                <w:rFonts w:hint="eastAsia"/>
              </w:rPr>
              <w:t>11.2</w:t>
            </w:r>
          </w:p>
        </w:tc>
        <w:tc>
          <w:tcPr>
            <w:tcW w:w="2617" w:type="dxa"/>
            <w:shd w:val="clear" w:color="auto" w:fill="auto"/>
            <w:vAlign w:val="center"/>
          </w:tcPr>
          <w:p>
            <w:pP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制热量</w:t>
            </w:r>
          </w:p>
        </w:tc>
        <w:tc>
          <w:tcPr>
            <w:tcW w:w="2638" w:type="dxa"/>
            <w:shd w:val="clear" w:color="auto" w:fill="auto"/>
            <w:vAlign w:val="center"/>
          </w:tcPr>
          <w:p>
            <w:pPr>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w:t>
            </w:r>
            <w:r>
              <w:rPr>
                <w:rFonts w:hint="eastAsia" w:eastAsia="仿宋"/>
                <w:color w:val="000000" w:themeColor="text1"/>
                <w:sz w:val="24"/>
                <w:szCs w:val="24"/>
                <w14:textFill>
                  <w14:solidFill>
                    <w14:schemeClr w14:val="tx1"/>
                  </w14:solidFill>
                </w14:textFill>
              </w:rPr>
              <w:t>48.5kW</w:t>
            </w: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6" w:type="dxa"/>
            <w:shd w:val="clear" w:color="auto" w:fill="auto"/>
            <w:vAlign w:val="center"/>
          </w:tcPr>
          <w:p>
            <w:r>
              <w:rPr>
                <w:rFonts w:hint="eastAsia"/>
              </w:rPr>
              <w:t>11.3</w:t>
            </w:r>
          </w:p>
        </w:tc>
        <w:tc>
          <w:tcPr>
            <w:tcW w:w="2617" w:type="dxa"/>
            <w:shd w:val="clear" w:color="auto" w:fill="auto"/>
            <w:vAlign w:val="center"/>
          </w:tcPr>
          <w:p>
            <w:pP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功率</w:t>
            </w:r>
          </w:p>
        </w:tc>
        <w:tc>
          <w:tcPr>
            <w:tcW w:w="2638" w:type="dxa"/>
            <w:shd w:val="clear" w:color="auto" w:fill="auto"/>
            <w:vAlign w:val="center"/>
          </w:tcPr>
          <w:p>
            <w:pPr>
              <w:rPr>
                <w:rFonts w:eastAsia="仿宋"/>
                <w:color w:val="000000" w:themeColor="text1"/>
                <w:sz w:val="24"/>
                <w:szCs w:val="24"/>
                <w14:textFill>
                  <w14:solidFill>
                    <w14:schemeClr w14:val="tx1"/>
                  </w14:solidFill>
                </w14:textFill>
              </w:rPr>
            </w:pPr>
            <w:r>
              <w:rPr>
                <w:rFonts w:hint="eastAsia" w:eastAsia="仿宋"/>
                <w:color w:val="000000" w:themeColor="text1"/>
                <w:sz w:val="24"/>
                <w:szCs w:val="24"/>
                <w14:textFill>
                  <w14:solidFill>
                    <w14:schemeClr w14:val="tx1"/>
                  </w14:solidFill>
                </w14:textFill>
              </w:rPr>
              <w:t>≤12.1kW</w:t>
            </w: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6" w:type="dxa"/>
            <w:shd w:val="clear" w:color="auto" w:fill="auto"/>
            <w:vAlign w:val="center"/>
          </w:tcPr>
          <w:p>
            <w:r>
              <w:rPr>
                <w:rFonts w:hint="eastAsia"/>
              </w:rPr>
              <w:t>11.4</w:t>
            </w:r>
          </w:p>
        </w:tc>
        <w:tc>
          <w:tcPr>
            <w:tcW w:w="2617" w:type="dxa"/>
            <w:shd w:val="clear" w:color="auto" w:fill="auto"/>
            <w:vAlign w:val="center"/>
          </w:tcPr>
          <w:p>
            <w:pP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风量</w:t>
            </w:r>
          </w:p>
        </w:tc>
        <w:tc>
          <w:tcPr>
            <w:tcW w:w="2638" w:type="dxa"/>
            <w:shd w:val="clear" w:color="auto" w:fill="auto"/>
            <w:vAlign w:val="center"/>
          </w:tcPr>
          <w:p>
            <w:pPr>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w:t>
            </w:r>
            <w:r>
              <w:rPr>
                <w:rFonts w:hint="eastAsia" w:eastAsia="仿宋"/>
                <w:color w:val="000000" w:themeColor="text1"/>
                <w:sz w:val="24"/>
                <w:szCs w:val="24"/>
                <w14:textFill>
                  <w14:solidFill>
                    <w14:schemeClr w14:val="tx1"/>
                  </w14:solidFill>
                </w14:textFill>
              </w:rPr>
              <w:t>15000m3/h</w:t>
            </w: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6" w:type="dxa"/>
            <w:shd w:val="clear" w:color="auto" w:fill="auto"/>
            <w:vAlign w:val="center"/>
          </w:tcPr>
          <w:p>
            <w:r>
              <w:rPr>
                <w:rFonts w:hint="eastAsia"/>
              </w:rPr>
              <w:t>11.5</w:t>
            </w:r>
          </w:p>
        </w:tc>
        <w:tc>
          <w:tcPr>
            <w:tcW w:w="2617" w:type="dxa"/>
            <w:shd w:val="clear" w:color="auto" w:fill="auto"/>
            <w:vAlign w:val="center"/>
          </w:tcPr>
          <w:p>
            <w:pP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环保冷媒</w:t>
            </w:r>
          </w:p>
        </w:tc>
        <w:tc>
          <w:tcPr>
            <w:tcW w:w="2638" w:type="dxa"/>
            <w:shd w:val="clear" w:color="auto" w:fill="auto"/>
            <w:vAlign w:val="center"/>
          </w:tcPr>
          <w:p>
            <w:pPr>
              <w:rPr>
                <w:rFonts w:eastAsia="仿宋"/>
                <w:color w:val="000000" w:themeColor="text1"/>
                <w:sz w:val="24"/>
                <w:szCs w:val="24"/>
                <w14:textFill>
                  <w14:solidFill>
                    <w14:schemeClr w14:val="tx1"/>
                  </w14:solidFill>
                </w14:textFill>
              </w:rPr>
            </w:pPr>
            <w:r>
              <w:rPr>
                <w:rFonts w:hint="eastAsia" w:eastAsia="仿宋"/>
                <w:color w:val="000000" w:themeColor="text1"/>
                <w:sz w:val="24"/>
                <w:szCs w:val="24"/>
                <w14:textFill>
                  <w14:solidFill>
                    <w14:schemeClr w14:val="tx1"/>
                  </w14:solidFill>
                </w14:textFill>
              </w:rPr>
              <w:t>R410A</w:t>
            </w: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6" w:type="dxa"/>
            <w:shd w:val="clear" w:color="auto" w:fill="auto"/>
            <w:vAlign w:val="center"/>
          </w:tcPr>
          <w:p>
            <w:r>
              <w:rPr>
                <w:rFonts w:hint="eastAsia"/>
              </w:rPr>
              <w:t>12</w:t>
            </w:r>
          </w:p>
        </w:tc>
        <w:tc>
          <w:tcPr>
            <w:tcW w:w="2617" w:type="dxa"/>
            <w:shd w:val="clear" w:color="auto" w:fill="auto"/>
            <w:vAlign w:val="center"/>
          </w:tcPr>
          <w:p>
            <w:pP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轴流风机</w:t>
            </w:r>
          </w:p>
        </w:tc>
        <w:tc>
          <w:tcPr>
            <w:tcW w:w="2638" w:type="dxa"/>
            <w:shd w:val="clear" w:color="auto" w:fill="auto"/>
            <w:vAlign w:val="center"/>
          </w:tcPr>
          <w:p>
            <w:pPr>
              <w:rPr>
                <w:rFonts w:eastAsia="仿宋"/>
                <w:color w:val="000000" w:themeColor="text1"/>
                <w:sz w:val="24"/>
                <w:szCs w:val="24"/>
                <w14:textFill>
                  <w14:solidFill>
                    <w14:schemeClr w14:val="tx1"/>
                  </w14:solidFill>
                </w14:textFill>
              </w:rPr>
            </w:pP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6" w:type="dxa"/>
            <w:shd w:val="clear" w:color="auto" w:fill="auto"/>
            <w:vAlign w:val="center"/>
          </w:tcPr>
          <w:p>
            <w:r>
              <w:rPr>
                <w:rFonts w:hint="eastAsia"/>
              </w:rPr>
              <w:t>12.1</w:t>
            </w:r>
          </w:p>
        </w:tc>
        <w:tc>
          <w:tcPr>
            <w:tcW w:w="2617" w:type="dxa"/>
            <w:shd w:val="clear" w:color="auto" w:fill="auto"/>
            <w:vAlign w:val="center"/>
          </w:tcPr>
          <w:p>
            <w:pP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风量</w:t>
            </w:r>
          </w:p>
        </w:tc>
        <w:tc>
          <w:tcPr>
            <w:tcW w:w="2638" w:type="dxa"/>
            <w:shd w:val="clear" w:color="auto" w:fill="auto"/>
            <w:vAlign w:val="center"/>
          </w:tcPr>
          <w:p>
            <w:pPr>
              <w:rPr>
                <w:rFonts w:eastAsia="仿宋"/>
                <w:color w:val="000000" w:themeColor="text1"/>
                <w:sz w:val="24"/>
                <w:szCs w:val="24"/>
                <w14:textFill>
                  <w14:solidFill>
                    <w14:schemeClr w14:val="tx1"/>
                  </w14:solidFill>
                </w14:textFill>
              </w:rPr>
            </w:pPr>
            <w:r>
              <w:rPr>
                <w:rFonts w:hint="eastAsia" w:eastAsia="仿宋"/>
                <w:color w:val="000000" w:themeColor="text1"/>
                <w:sz w:val="24"/>
                <w:szCs w:val="24"/>
                <w14:textFill>
                  <w14:solidFill>
                    <w14:schemeClr w14:val="tx1"/>
                  </w14:solidFill>
                </w14:textFill>
              </w:rPr>
              <w:t>2000m3/h</w:t>
            </w: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6" w:type="dxa"/>
            <w:shd w:val="clear" w:color="auto" w:fill="auto"/>
            <w:vAlign w:val="center"/>
          </w:tcPr>
          <w:p>
            <w:r>
              <w:rPr>
                <w:rFonts w:hint="eastAsia"/>
              </w:rPr>
              <w:t>12.2</w:t>
            </w:r>
          </w:p>
        </w:tc>
        <w:tc>
          <w:tcPr>
            <w:tcW w:w="2617" w:type="dxa"/>
            <w:shd w:val="clear" w:color="auto" w:fill="auto"/>
            <w:vAlign w:val="center"/>
          </w:tcPr>
          <w:p>
            <w:pP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全压</w:t>
            </w:r>
          </w:p>
        </w:tc>
        <w:tc>
          <w:tcPr>
            <w:tcW w:w="2638" w:type="dxa"/>
            <w:shd w:val="clear" w:color="auto" w:fill="auto"/>
            <w:vAlign w:val="center"/>
          </w:tcPr>
          <w:p>
            <w:pPr>
              <w:rPr>
                <w:rFonts w:eastAsia="仿宋"/>
                <w:color w:val="000000" w:themeColor="text1"/>
                <w:sz w:val="24"/>
                <w:szCs w:val="24"/>
                <w14:textFill>
                  <w14:solidFill>
                    <w14:schemeClr w14:val="tx1"/>
                  </w14:solidFill>
                </w14:textFill>
              </w:rPr>
            </w:pPr>
            <w:r>
              <w:rPr>
                <w:rFonts w:hint="eastAsia" w:eastAsia="仿宋"/>
                <w:color w:val="000000" w:themeColor="text1"/>
                <w:sz w:val="24"/>
                <w:szCs w:val="24"/>
                <w14:textFill>
                  <w14:solidFill>
                    <w14:schemeClr w14:val="tx1"/>
                  </w14:solidFill>
                </w14:textFill>
              </w:rPr>
              <w:t>60Pa</w:t>
            </w: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6" w:type="dxa"/>
            <w:shd w:val="clear" w:color="auto" w:fill="auto"/>
            <w:vAlign w:val="center"/>
          </w:tcPr>
          <w:p>
            <w:r>
              <w:rPr>
                <w:rFonts w:hint="eastAsia"/>
              </w:rPr>
              <w:t>12.3</w:t>
            </w:r>
          </w:p>
        </w:tc>
        <w:tc>
          <w:tcPr>
            <w:tcW w:w="2617" w:type="dxa"/>
            <w:shd w:val="clear" w:color="auto" w:fill="auto"/>
            <w:vAlign w:val="center"/>
          </w:tcPr>
          <w:p>
            <w:pP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功率</w:t>
            </w:r>
          </w:p>
        </w:tc>
        <w:tc>
          <w:tcPr>
            <w:tcW w:w="2638" w:type="dxa"/>
            <w:shd w:val="clear" w:color="auto" w:fill="auto"/>
            <w:vAlign w:val="center"/>
          </w:tcPr>
          <w:p>
            <w:pPr>
              <w:rPr>
                <w:rFonts w:eastAsia="仿宋"/>
                <w:color w:val="000000" w:themeColor="text1"/>
                <w:sz w:val="24"/>
                <w:szCs w:val="24"/>
                <w14:textFill>
                  <w14:solidFill>
                    <w14:schemeClr w14:val="tx1"/>
                  </w14:solidFill>
                </w14:textFill>
              </w:rPr>
            </w:pPr>
            <w:r>
              <w:rPr>
                <w:rFonts w:hint="eastAsia" w:eastAsia="仿宋"/>
                <w:color w:val="000000" w:themeColor="text1"/>
                <w:sz w:val="24"/>
                <w:szCs w:val="24"/>
                <w14:textFill>
                  <w14:solidFill>
                    <w14:schemeClr w14:val="tx1"/>
                  </w14:solidFill>
                </w14:textFill>
              </w:rPr>
              <w:t>0.15kW</w:t>
            </w: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6" w:type="dxa"/>
            <w:shd w:val="clear" w:color="auto" w:fill="auto"/>
            <w:vAlign w:val="center"/>
          </w:tcPr>
          <w:p>
            <w:r>
              <w:rPr>
                <w:rFonts w:hint="eastAsia"/>
              </w:rPr>
              <w:t>13</w:t>
            </w:r>
          </w:p>
        </w:tc>
        <w:tc>
          <w:tcPr>
            <w:tcW w:w="2617" w:type="dxa"/>
            <w:shd w:val="clear" w:color="auto" w:fill="auto"/>
            <w:vAlign w:val="center"/>
          </w:tcPr>
          <w:p>
            <w:pP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轴流风机</w:t>
            </w:r>
          </w:p>
        </w:tc>
        <w:tc>
          <w:tcPr>
            <w:tcW w:w="2638" w:type="dxa"/>
            <w:shd w:val="clear" w:color="auto" w:fill="auto"/>
            <w:vAlign w:val="center"/>
          </w:tcPr>
          <w:p>
            <w:pPr>
              <w:rPr>
                <w:rFonts w:eastAsia="仿宋"/>
                <w:color w:val="000000" w:themeColor="text1"/>
                <w:sz w:val="24"/>
                <w:szCs w:val="24"/>
                <w14:textFill>
                  <w14:solidFill>
                    <w14:schemeClr w14:val="tx1"/>
                  </w14:solidFill>
                </w14:textFill>
              </w:rPr>
            </w:pP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6" w:type="dxa"/>
            <w:shd w:val="clear" w:color="auto" w:fill="auto"/>
            <w:vAlign w:val="center"/>
          </w:tcPr>
          <w:p>
            <w:r>
              <w:rPr>
                <w:rFonts w:hint="eastAsia"/>
              </w:rPr>
              <w:t>13.1</w:t>
            </w:r>
          </w:p>
        </w:tc>
        <w:tc>
          <w:tcPr>
            <w:tcW w:w="2617" w:type="dxa"/>
            <w:shd w:val="clear" w:color="auto" w:fill="auto"/>
            <w:vAlign w:val="center"/>
          </w:tcPr>
          <w:p>
            <w:pP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风量</w:t>
            </w:r>
          </w:p>
        </w:tc>
        <w:tc>
          <w:tcPr>
            <w:tcW w:w="2638" w:type="dxa"/>
            <w:shd w:val="clear" w:color="auto" w:fill="auto"/>
            <w:vAlign w:val="center"/>
          </w:tcPr>
          <w:p>
            <w:pPr>
              <w:rPr>
                <w:rFonts w:eastAsia="仿宋"/>
                <w:color w:val="000000" w:themeColor="text1"/>
                <w:sz w:val="24"/>
                <w:szCs w:val="24"/>
                <w14:textFill>
                  <w14:solidFill>
                    <w14:schemeClr w14:val="tx1"/>
                  </w14:solidFill>
                </w14:textFill>
              </w:rPr>
            </w:pPr>
            <w:r>
              <w:rPr>
                <w:rFonts w:hint="eastAsia" w:eastAsia="仿宋"/>
                <w:color w:val="000000" w:themeColor="text1"/>
                <w:sz w:val="24"/>
                <w:szCs w:val="24"/>
                <w14:textFill>
                  <w14:solidFill>
                    <w14:schemeClr w14:val="tx1"/>
                  </w14:solidFill>
                </w14:textFill>
              </w:rPr>
              <w:t>1000m3/h</w:t>
            </w: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6" w:type="dxa"/>
            <w:shd w:val="clear" w:color="auto" w:fill="auto"/>
            <w:vAlign w:val="center"/>
          </w:tcPr>
          <w:p>
            <w:r>
              <w:rPr>
                <w:rFonts w:hint="eastAsia"/>
              </w:rPr>
              <w:t>13.2</w:t>
            </w:r>
          </w:p>
        </w:tc>
        <w:tc>
          <w:tcPr>
            <w:tcW w:w="2617" w:type="dxa"/>
            <w:shd w:val="clear" w:color="auto" w:fill="auto"/>
            <w:vAlign w:val="center"/>
          </w:tcPr>
          <w:p>
            <w:pP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全压</w:t>
            </w:r>
          </w:p>
        </w:tc>
        <w:tc>
          <w:tcPr>
            <w:tcW w:w="2638" w:type="dxa"/>
            <w:shd w:val="clear" w:color="auto" w:fill="auto"/>
            <w:vAlign w:val="center"/>
          </w:tcPr>
          <w:p>
            <w:pPr>
              <w:rPr>
                <w:rFonts w:eastAsia="仿宋"/>
                <w:color w:val="000000" w:themeColor="text1"/>
                <w:sz w:val="24"/>
                <w:szCs w:val="24"/>
                <w14:textFill>
                  <w14:solidFill>
                    <w14:schemeClr w14:val="tx1"/>
                  </w14:solidFill>
                </w14:textFill>
              </w:rPr>
            </w:pPr>
            <w:r>
              <w:rPr>
                <w:rFonts w:hint="eastAsia" w:eastAsia="仿宋"/>
                <w:color w:val="000000" w:themeColor="text1"/>
                <w:sz w:val="24"/>
                <w:szCs w:val="24"/>
                <w14:textFill>
                  <w14:solidFill>
                    <w14:schemeClr w14:val="tx1"/>
                  </w14:solidFill>
                </w14:textFill>
              </w:rPr>
              <w:t>40Pa</w:t>
            </w: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6" w:type="dxa"/>
            <w:shd w:val="clear" w:color="auto" w:fill="auto"/>
            <w:vAlign w:val="center"/>
          </w:tcPr>
          <w:p>
            <w:r>
              <w:rPr>
                <w:rFonts w:hint="eastAsia"/>
              </w:rPr>
              <w:t>13.3</w:t>
            </w:r>
          </w:p>
        </w:tc>
        <w:tc>
          <w:tcPr>
            <w:tcW w:w="2617" w:type="dxa"/>
            <w:shd w:val="clear" w:color="auto" w:fill="auto"/>
            <w:vAlign w:val="center"/>
          </w:tcPr>
          <w:p>
            <w:pP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功率</w:t>
            </w:r>
          </w:p>
        </w:tc>
        <w:tc>
          <w:tcPr>
            <w:tcW w:w="2638" w:type="dxa"/>
            <w:shd w:val="clear" w:color="auto" w:fill="auto"/>
            <w:vAlign w:val="center"/>
          </w:tcPr>
          <w:p>
            <w:pPr>
              <w:rPr>
                <w:rFonts w:eastAsia="仿宋"/>
                <w:color w:val="000000" w:themeColor="text1"/>
                <w:sz w:val="24"/>
                <w:szCs w:val="24"/>
                <w14:textFill>
                  <w14:solidFill>
                    <w14:schemeClr w14:val="tx1"/>
                  </w14:solidFill>
                </w14:textFill>
              </w:rPr>
            </w:pPr>
            <w:r>
              <w:rPr>
                <w:rFonts w:hint="eastAsia" w:eastAsia="仿宋"/>
                <w:color w:val="000000" w:themeColor="text1"/>
                <w:sz w:val="24"/>
                <w:szCs w:val="24"/>
                <w14:textFill>
                  <w14:solidFill>
                    <w14:schemeClr w14:val="tx1"/>
                  </w14:solidFill>
                </w14:textFill>
              </w:rPr>
              <w:t>0.12kW</w:t>
            </w: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6" w:type="dxa"/>
            <w:shd w:val="clear" w:color="auto" w:fill="auto"/>
            <w:vAlign w:val="center"/>
          </w:tcPr>
          <w:p>
            <w:r>
              <w:rPr>
                <w:rFonts w:hint="eastAsia"/>
              </w:rPr>
              <w:t>14</w:t>
            </w:r>
          </w:p>
        </w:tc>
        <w:tc>
          <w:tcPr>
            <w:tcW w:w="2617" w:type="dxa"/>
            <w:shd w:val="clear" w:color="auto" w:fill="auto"/>
            <w:vAlign w:val="center"/>
          </w:tcPr>
          <w:p>
            <w:pP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排气扇</w:t>
            </w:r>
          </w:p>
        </w:tc>
        <w:tc>
          <w:tcPr>
            <w:tcW w:w="2638" w:type="dxa"/>
            <w:shd w:val="clear" w:color="auto" w:fill="auto"/>
            <w:vAlign w:val="center"/>
          </w:tcPr>
          <w:p>
            <w:pPr>
              <w:rPr>
                <w:rFonts w:eastAsia="仿宋"/>
                <w:color w:val="000000" w:themeColor="text1"/>
                <w:sz w:val="24"/>
                <w:szCs w:val="24"/>
                <w14:textFill>
                  <w14:solidFill>
                    <w14:schemeClr w14:val="tx1"/>
                  </w14:solidFill>
                </w14:textFill>
              </w:rPr>
            </w:pP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6" w:type="dxa"/>
            <w:shd w:val="clear" w:color="auto" w:fill="auto"/>
            <w:vAlign w:val="center"/>
          </w:tcPr>
          <w:p>
            <w:r>
              <w:rPr>
                <w:rFonts w:hint="eastAsia"/>
              </w:rPr>
              <w:t>14.1</w:t>
            </w:r>
          </w:p>
        </w:tc>
        <w:tc>
          <w:tcPr>
            <w:tcW w:w="2617" w:type="dxa"/>
            <w:shd w:val="clear" w:color="auto" w:fill="auto"/>
            <w:vAlign w:val="center"/>
          </w:tcPr>
          <w:p>
            <w:pP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额定风量</w:t>
            </w:r>
          </w:p>
        </w:tc>
        <w:tc>
          <w:tcPr>
            <w:tcW w:w="2638" w:type="dxa"/>
            <w:shd w:val="clear" w:color="auto" w:fill="auto"/>
            <w:vAlign w:val="center"/>
          </w:tcPr>
          <w:p>
            <w:pPr>
              <w:rPr>
                <w:rFonts w:eastAsia="仿宋"/>
                <w:color w:val="000000" w:themeColor="text1"/>
                <w:sz w:val="24"/>
                <w:szCs w:val="24"/>
                <w14:textFill>
                  <w14:solidFill>
                    <w14:schemeClr w14:val="tx1"/>
                  </w14:solidFill>
                </w14:textFill>
              </w:rPr>
            </w:pPr>
            <w:r>
              <w:rPr>
                <w:rFonts w:hint="eastAsia" w:eastAsia="仿宋"/>
                <w:color w:val="000000" w:themeColor="text1"/>
                <w:sz w:val="24"/>
                <w:szCs w:val="24"/>
                <w14:textFill>
                  <w14:solidFill>
                    <w14:schemeClr w14:val="tx1"/>
                  </w14:solidFill>
                </w14:textFill>
              </w:rPr>
              <w:t>400m3/h</w:t>
            </w: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6" w:type="dxa"/>
            <w:shd w:val="clear" w:color="auto" w:fill="auto"/>
            <w:vAlign w:val="center"/>
          </w:tcPr>
          <w:p>
            <w:r>
              <w:rPr>
                <w:rFonts w:hint="eastAsia"/>
              </w:rPr>
              <w:t>14.2</w:t>
            </w:r>
          </w:p>
        </w:tc>
        <w:tc>
          <w:tcPr>
            <w:tcW w:w="2617" w:type="dxa"/>
            <w:shd w:val="clear" w:color="auto" w:fill="auto"/>
            <w:vAlign w:val="center"/>
          </w:tcPr>
          <w:p>
            <w:pP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全压</w:t>
            </w:r>
          </w:p>
        </w:tc>
        <w:tc>
          <w:tcPr>
            <w:tcW w:w="2638" w:type="dxa"/>
            <w:shd w:val="clear" w:color="auto" w:fill="auto"/>
            <w:vAlign w:val="center"/>
          </w:tcPr>
          <w:p>
            <w:pPr>
              <w:rPr>
                <w:rFonts w:eastAsia="仿宋"/>
                <w:color w:val="000000" w:themeColor="text1"/>
                <w:sz w:val="24"/>
                <w:szCs w:val="24"/>
                <w14:textFill>
                  <w14:solidFill>
                    <w14:schemeClr w14:val="tx1"/>
                  </w14:solidFill>
                </w14:textFill>
              </w:rPr>
            </w:pPr>
            <w:r>
              <w:rPr>
                <w:rFonts w:hint="eastAsia" w:eastAsia="仿宋"/>
                <w:color w:val="000000" w:themeColor="text1"/>
                <w:sz w:val="24"/>
                <w:szCs w:val="24"/>
                <w14:textFill>
                  <w14:solidFill>
                    <w14:schemeClr w14:val="tx1"/>
                  </w14:solidFill>
                </w14:textFill>
              </w:rPr>
              <w:t>250Pa</w:t>
            </w: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6" w:type="dxa"/>
            <w:shd w:val="clear" w:color="auto" w:fill="auto"/>
            <w:vAlign w:val="center"/>
          </w:tcPr>
          <w:p>
            <w:r>
              <w:rPr>
                <w:rFonts w:hint="eastAsia"/>
              </w:rPr>
              <w:t>14.3</w:t>
            </w:r>
          </w:p>
        </w:tc>
        <w:tc>
          <w:tcPr>
            <w:tcW w:w="2617" w:type="dxa"/>
            <w:shd w:val="clear" w:color="auto" w:fill="auto"/>
            <w:vAlign w:val="center"/>
          </w:tcPr>
          <w:p>
            <w:pP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功率</w:t>
            </w:r>
          </w:p>
        </w:tc>
        <w:tc>
          <w:tcPr>
            <w:tcW w:w="2638" w:type="dxa"/>
            <w:shd w:val="clear" w:color="auto" w:fill="auto"/>
            <w:vAlign w:val="center"/>
          </w:tcPr>
          <w:p>
            <w:pPr>
              <w:rPr>
                <w:rFonts w:eastAsia="仿宋"/>
                <w:color w:val="000000" w:themeColor="text1"/>
                <w:sz w:val="24"/>
                <w:szCs w:val="24"/>
                <w14:textFill>
                  <w14:solidFill>
                    <w14:schemeClr w14:val="tx1"/>
                  </w14:solidFill>
                </w14:textFill>
              </w:rPr>
            </w:pPr>
            <w:r>
              <w:rPr>
                <w:rFonts w:hint="eastAsia" w:eastAsia="仿宋"/>
                <w:color w:val="000000" w:themeColor="text1"/>
                <w:sz w:val="24"/>
                <w:szCs w:val="24"/>
                <w14:textFill>
                  <w14:solidFill>
                    <w14:schemeClr w14:val="tx1"/>
                  </w14:solidFill>
                </w14:textFill>
              </w:rPr>
              <w:t>0.04kW</w:t>
            </w: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6" w:type="dxa"/>
            <w:shd w:val="clear" w:color="auto" w:fill="auto"/>
            <w:vAlign w:val="center"/>
          </w:tcPr>
          <w:p>
            <w:pPr>
              <w:rPr>
                <w:rFonts w:hint="eastAsia"/>
              </w:rPr>
            </w:pPr>
            <w:r>
              <w:rPr>
                <w:rFonts w:hint="eastAsia"/>
              </w:rPr>
              <w:t>1</w:t>
            </w:r>
            <w:r>
              <w:t>5</w:t>
            </w:r>
          </w:p>
        </w:tc>
        <w:tc>
          <w:tcPr>
            <w:tcW w:w="2617" w:type="dxa"/>
            <w:shd w:val="clear" w:color="auto" w:fill="auto"/>
            <w:vAlign w:val="center"/>
          </w:tcPr>
          <w:p>
            <w:pPr>
              <w:rPr>
                <w:rFonts w:hint="eastAsia"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外购件</w:t>
            </w:r>
          </w:p>
        </w:tc>
        <w:tc>
          <w:tcPr>
            <w:tcW w:w="2638" w:type="dxa"/>
            <w:shd w:val="clear" w:color="auto" w:fill="auto"/>
            <w:vAlign w:val="center"/>
          </w:tcPr>
          <w:p>
            <w:pPr>
              <w:rPr>
                <w:rFonts w:hint="eastAsia" w:eastAsia="仿宋"/>
                <w:color w:val="000000" w:themeColor="text1"/>
                <w:sz w:val="24"/>
                <w:szCs w:val="24"/>
                <w14:textFill>
                  <w14:solidFill>
                    <w14:schemeClr w14:val="tx1"/>
                  </w14:solidFill>
                </w14:textFill>
              </w:rPr>
            </w:pPr>
          </w:p>
        </w:tc>
        <w:tc>
          <w:tcPr>
            <w:tcW w:w="21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6" w:type="dxa"/>
            <w:shd w:val="clear" w:color="auto" w:fill="auto"/>
            <w:vAlign w:val="center"/>
          </w:tcPr>
          <w:p>
            <w:pPr>
              <w:rPr>
                <w:rFonts w:hint="eastAsia"/>
              </w:rPr>
            </w:pPr>
            <w:r>
              <w:t>……</w:t>
            </w:r>
          </w:p>
        </w:tc>
        <w:tc>
          <w:tcPr>
            <w:tcW w:w="2617" w:type="dxa"/>
            <w:shd w:val="clear" w:color="auto" w:fill="auto"/>
            <w:vAlign w:val="center"/>
          </w:tcPr>
          <w:p>
            <w:pPr>
              <w:rPr>
                <w:rFonts w:hint="eastAsia" w:ascii="Times New Roman" w:hAnsi="Times New Roman" w:eastAsia="仿宋"/>
                <w:color w:val="000000" w:themeColor="text1"/>
                <w:sz w:val="24"/>
                <w:szCs w:val="24"/>
                <w14:textFill>
                  <w14:solidFill>
                    <w14:schemeClr w14:val="tx1"/>
                  </w14:solidFill>
                </w14:textFill>
              </w:rPr>
            </w:pPr>
          </w:p>
        </w:tc>
        <w:tc>
          <w:tcPr>
            <w:tcW w:w="2638" w:type="dxa"/>
            <w:shd w:val="clear" w:color="auto" w:fill="auto"/>
            <w:vAlign w:val="center"/>
          </w:tcPr>
          <w:p>
            <w:pPr>
              <w:rPr>
                <w:rFonts w:hint="eastAsia" w:eastAsia="仿宋"/>
                <w:color w:val="000000" w:themeColor="text1"/>
                <w:sz w:val="24"/>
                <w:szCs w:val="24"/>
                <w14:textFill>
                  <w14:solidFill>
                    <w14:schemeClr w14:val="tx1"/>
                  </w14:solidFill>
                </w14:textFill>
              </w:rPr>
            </w:pPr>
          </w:p>
        </w:tc>
        <w:tc>
          <w:tcPr>
            <w:tcW w:w="2185" w:type="dxa"/>
          </w:tcPr>
          <w:p/>
        </w:tc>
      </w:tr>
    </w:tbl>
    <w:p>
      <w:pPr>
        <w:pStyle w:val="43"/>
        <w:rPr>
          <w:rFonts w:hint="eastAsia"/>
          <w:lang w:eastAsia="zh-CN"/>
        </w:rPr>
      </w:pPr>
    </w:p>
    <w:p>
      <w:pPr>
        <w:ind w:firstLine="220" w:firstLineChars="100"/>
        <w:jc w:val="center"/>
        <w:rPr>
          <w:rFonts w:hint="eastAsia" w:ascii="宋体" w:hAnsi="宋体"/>
          <w:bCs/>
          <w:szCs w:val="21"/>
        </w:rPr>
      </w:pPr>
    </w:p>
    <w:p>
      <w:pPr>
        <w:pStyle w:val="43"/>
        <w:rPr>
          <w:lang w:eastAsia="zh-CN"/>
        </w:rPr>
      </w:pPr>
    </w:p>
    <w:p>
      <w:pPr>
        <w:pStyle w:val="43"/>
        <w:rPr>
          <w:lang w:eastAsia="zh-CN"/>
        </w:rPr>
      </w:pPr>
    </w:p>
    <w:p>
      <w:pPr>
        <w:pStyle w:val="43"/>
        <w:rPr>
          <w:lang w:eastAsia="zh-CN"/>
        </w:rPr>
      </w:pPr>
    </w:p>
    <w:p>
      <w:pPr>
        <w:pStyle w:val="43"/>
        <w:rPr>
          <w:lang w:eastAsia="zh-CN"/>
        </w:rPr>
      </w:pPr>
    </w:p>
    <w:p>
      <w:pPr>
        <w:pStyle w:val="43"/>
        <w:rPr>
          <w:lang w:eastAsia="zh-CN"/>
        </w:rPr>
      </w:pPr>
    </w:p>
    <w:p>
      <w:pPr>
        <w:pStyle w:val="43"/>
        <w:rPr>
          <w:lang w:eastAsia="zh-CN"/>
        </w:rPr>
      </w:pPr>
    </w:p>
    <w:p>
      <w:pPr>
        <w:pStyle w:val="43"/>
        <w:rPr>
          <w:lang w:eastAsia="zh-CN"/>
        </w:rPr>
      </w:pPr>
    </w:p>
    <w:p>
      <w:pPr>
        <w:pStyle w:val="43"/>
        <w:rPr>
          <w:lang w:eastAsia="zh-CN"/>
        </w:rPr>
      </w:pPr>
    </w:p>
    <w:p>
      <w:pPr>
        <w:pStyle w:val="43"/>
        <w:rPr>
          <w:lang w:eastAsia="zh-CN"/>
        </w:rPr>
      </w:pPr>
    </w:p>
    <w:p>
      <w:pPr>
        <w:pStyle w:val="43"/>
        <w:rPr>
          <w:lang w:eastAsia="zh-CN"/>
        </w:rPr>
      </w:pPr>
    </w:p>
    <w:p>
      <w:pPr>
        <w:pStyle w:val="43"/>
        <w:rPr>
          <w:lang w:eastAsia="zh-CN"/>
        </w:rPr>
      </w:pPr>
    </w:p>
    <w:p>
      <w:pPr>
        <w:pStyle w:val="43"/>
        <w:rPr>
          <w:lang w:eastAsia="zh-CN"/>
        </w:rPr>
      </w:pPr>
    </w:p>
    <w:p>
      <w:pPr>
        <w:pStyle w:val="43"/>
        <w:rPr>
          <w:lang w:eastAsia="zh-CN"/>
        </w:rPr>
      </w:pPr>
    </w:p>
    <w:p>
      <w:pPr>
        <w:pStyle w:val="43"/>
        <w:rPr>
          <w:lang w:eastAsia="zh-CN"/>
        </w:rPr>
      </w:pPr>
    </w:p>
    <w:p>
      <w:pPr>
        <w:pStyle w:val="43"/>
        <w:rPr>
          <w:lang w:eastAsia="zh-CN"/>
        </w:rPr>
      </w:pPr>
    </w:p>
    <w:p>
      <w:pPr>
        <w:pStyle w:val="43"/>
        <w:rPr>
          <w:lang w:eastAsia="zh-CN"/>
        </w:rPr>
      </w:pPr>
    </w:p>
    <w:p>
      <w:pPr>
        <w:pStyle w:val="43"/>
        <w:rPr>
          <w:lang w:eastAsia="zh-CN"/>
        </w:rPr>
      </w:pPr>
    </w:p>
    <w:p>
      <w:pPr>
        <w:pStyle w:val="43"/>
        <w:rPr>
          <w:lang w:eastAsia="zh-CN"/>
        </w:rPr>
      </w:pPr>
    </w:p>
    <w:p>
      <w:pPr>
        <w:pStyle w:val="43"/>
        <w:rPr>
          <w:lang w:eastAsia="zh-CN"/>
        </w:rPr>
      </w:pPr>
    </w:p>
    <w:p>
      <w:pPr>
        <w:pStyle w:val="43"/>
        <w:rPr>
          <w:lang w:eastAsia="zh-CN"/>
        </w:rPr>
      </w:pPr>
    </w:p>
    <w:p>
      <w:pPr>
        <w:pStyle w:val="43"/>
        <w:rPr>
          <w:lang w:eastAsia="zh-CN"/>
        </w:rPr>
      </w:pPr>
    </w:p>
    <w:p>
      <w:pPr>
        <w:pStyle w:val="43"/>
        <w:rPr>
          <w:lang w:eastAsia="zh-CN"/>
        </w:rPr>
      </w:pPr>
    </w:p>
    <w:p>
      <w:pPr>
        <w:pStyle w:val="43"/>
        <w:rPr>
          <w:lang w:eastAsia="zh-CN"/>
        </w:rPr>
      </w:pPr>
    </w:p>
    <w:p>
      <w:pPr>
        <w:pStyle w:val="43"/>
        <w:rPr>
          <w:lang w:eastAsia="zh-CN"/>
        </w:rPr>
      </w:pPr>
    </w:p>
    <w:p>
      <w:pPr>
        <w:pStyle w:val="43"/>
        <w:rPr>
          <w:lang w:eastAsia="zh-CN"/>
        </w:rPr>
      </w:pPr>
    </w:p>
    <w:p>
      <w:pPr>
        <w:pStyle w:val="43"/>
        <w:rPr>
          <w:lang w:eastAsia="zh-CN"/>
        </w:rPr>
      </w:pPr>
    </w:p>
    <w:p>
      <w:pPr>
        <w:pStyle w:val="43"/>
        <w:rPr>
          <w:lang w:eastAsia="zh-CN"/>
        </w:rPr>
      </w:pPr>
    </w:p>
    <w:p>
      <w:pPr>
        <w:pStyle w:val="43"/>
        <w:rPr>
          <w:lang w:eastAsia="zh-CN"/>
        </w:rPr>
      </w:pPr>
    </w:p>
    <w:p>
      <w:pPr>
        <w:pStyle w:val="43"/>
        <w:rPr>
          <w:lang w:eastAsia="zh-CN"/>
        </w:rPr>
      </w:pPr>
    </w:p>
    <w:p>
      <w:pPr>
        <w:pStyle w:val="43"/>
        <w:rPr>
          <w:lang w:eastAsia="zh-CN"/>
        </w:rPr>
      </w:pPr>
    </w:p>
    <w:p>
      <w:pPr>
        <w:pStyle w:val="43"/>
        <w:rPr>
          <w:lang w:eastAsia="zh-CN"/>
        </w:rPr>
      </w:pPr>
    </w:p>
    <w:p>
      <w:pPr>
        <w:pStyle w:val="43"/>
        <w:rPr>
          <w:lang w:eastAsia="zh-CN"/>
        </w:rPr>
      </w:pPr>
    </w:p>
    <w:p>
      <w:pPr>
        <w:pStyle w:val="43"/>
        <w:rPr>
          <w:lang w:eastAsia="zh-CN"/>
        </w:rPr>
      </w:pPr>
    </w:p>
    <w:p>
      <w:pPr>
        <w:pStyle w:val="43"/>
        <w:rPr>
          <w:lang w:eastAsia="zh-CN"/>
        </w:rPr>
      </w:pPr>
    </w:p>
    <w:p>
      <w:pPr>
        <w:pStyle w:val="43"/>
        <w:rPr>
          <w:lang w:eastAsia="zh-CN"/>
        </w:rPr>
      </w:pPr>
    </w:p>
    <w:p>
      <w:pPr>
        <w:pStyle w:val="43"/>
        <w:rPr>
          <w:lang w:eastAsia="zh-CN"/>
        </w:rPr>
      </w:pPr>
    </w:p>
    <w:p>
      <w:pPr>
        <w:pStyle w:val="43"/>
        <w:rPr>
          <w:lang w:eastAsia="zh-CN"/>
        </w:rPr>
      </w:pPr>
    </w:p>
    <w:p>
      <w:pPr>
        <w:numPr>
          <w:ilvl w:val="0"/>
          <w:numId w:val="5"/>
        </w:numPr>
        <w:autoSpaceDE w:val="0"/>
        <w:autoSpaceDN w:val="0"/>
        <w:adjustRightInd w:val="0"/>
        <w:spacing w:line="564" w:lineRule="exact"/>
        <w:ind w:right="117" w:firstLine="2200" w:firstLineChars="500"/>
        <w:jc w:val="both"/>
        <w:outlineLvl w:val="0"/>
        <w:rPr>
          <w:rFonts w:hint="eastAsia" w:ascii="Times New Roman" w:hAnsi="Times New Roman" w:eastAsia="方正小标宋_GBK" w:cs="Times New Roman"/>
          <w:bCs/>
          <w:sz w:val="44"/>
          <w:szCs w:val="44"/>
          <w:lang w:val="en-US" w:eastAsia="zh-CN"/>
        </w:rPr>
      </w:pPr>
      <w:r>
        <w:rPr>
          <w:rFonts w:hint="eastAsia" w:ascii="Times New Roman" w:hAnsi="Times New Roman" w:eastAsia="方正小标宋_GBK" w:cs="Times New Roman"/>
          <w:bCs/>
          <w:sz w:val="44"/>
          <w:szCs w:val="44"/>
          <w:lang w:val="en-US" w:eastAsia="zh-CN"/>
        </w:rPr>
        <w:t>售后服务承诺书</w:t>
      </w:r>
    </w:p>
    <w:p>
      <w:pPr>
        <w:pStyle w:val="43"/>
        <w:numPr>
          <w:ilvl w:val="0"/>
          <w:numId w:val="0"/>
        </w:numPr>
        <w:ind w:leftChars="200"/>
        <w:rPr>
          <w:rFonts w:hint="eastAsia"/>
          <w:sz w:val="28"/>
          <w:szCs w:val="28"/>
          <w:lang w:val="en-US" w:eastAsia="zh-CN"/>
        </w:rPr>
      </w:pPr>
    </w:p>
    <w:p>
      <w:pPr>
        <w:pStyle w:val="43"/>
        <w:numPr>
          <w:ilvl w:val="0"/>
          <w:numId w:val="0"/>
        </w:numPr>
        <w:ind w:leftChars="200"/>
        <w:rPr>
          <w:rFonts w:hint="default"/>
          <w:sz w:val="24"/>
          <w:szCs w:val="24"/>
          <w:lang w:val="en-US" w:eastAsia="zh-CN"/>
        </w:rPr>
      </w:pPr>
      <w:r>
        <w:rPr>
          <w:rFonts w:hint="eastAsia"/>
          <w:sz w:val="24"/>
          <w:szCs w:val="24"/>
          <w:lang w:val="en-US" w:eastAsia="zh-CN"/>
        </w:rPr>
        <w:t>（内容包含不限于：质保期、保修范围、技术支持、服务响应等）</w:t>
      </w:r>
    </w:p>
    <w:sectPr>
      <w:headerReference r:id="rId5" w:type="default"/>
      <w:footerReference r:id="rId6" w:type="default"/>
      <w:pgSz w:w="11907" w:h="16840"/>
      <w:pgMar w:top="1440" w:right="1797" w:bottom="1440" w:left="1797" w:header="851" w:footer="992" w:gutter="0"/>
      <w:pgNumType w:start="1"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7"/>
          <w:jc w:val="center"/>
        </w:pPr>
        <w:r>
          <w:rPr>
            <w:lang w:eastAsia="en-US"/>
          </w:rPr>
          <w:fldChar w:fldCharType="begin"/>
        </w:r>
        <w:r>
          <w:instrText xml:space="preserve">PAGE   \* MERGEFORMAT</w:instrText>
        </w:r>
        <w:r>
          <w:rPr>
            <w:lang w:eastAsia="en-US"/>
          </w:rPr>
          <w:fldChar w:fldCharType="separate"/>
        </w:r>
        <w:r>
          <w:rPr>
            <w:lang w:val="zh-CN"/>
          </w:rPr>
          <w:t>1</w:t>
        </w:r>
        <w:r>
          <w:rPr>
            <w:lang w:val="zh-CN"/>
          </w:rPr>
          <w:fldChar w:fldCharType="end"/>
        </w:r>
      </w:p>
    </w:sdtContent>
  </w:sdt>
  <w:p>
    <w:pPr>
      <w:pStyle w:val="2"/>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021474"/>
    <w:multiLevelType w:val="singleLevel"/>
    <w:tmpl w:val="9F021474"/>
    <w:lvl w:ilvl="0" w:tentative="0">
      <w:start w:val="1"/>
      <w:numFmt w:val="chineseCounting"/>
      <w:suff w:val="nothing"/>
      <w:lvlText w:val="%1、"/>
      <w:lvlJc w:val="left"/>
      <w:rPr>
        <w:rFonts w:hint="eastAsia"/>
      </w:rPr>
    </w:lvl>
  </w:abstractNum>
  <w:abstractNum w:abstractNumId="1">
    <w:nsid w:val="0AA2136A"/>
    <w:multiLevelType w:val="multilevel"/>
    <w:tmpl w:val="0AA2136A"/>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5B22B44"/>
    <w:multiLevelType w:val="singleLevel"/>
    <w:tmpl w:val="35B22B44"/>
    <w:lvl w:ilvl="0" w:tentative="0">
      <w:start w:val="7"/>
      <w:numFmt w:val="chineseCounting"/>
      <w:suff w:val="nothing"/>
      <w:lvlText w:val="%1、"/>
      <w:lvlJc w:val="left"/>
      <w:rPr>
        <w:rFonts w:hint="eastAsia"/>
      </w:rPr>
    </w:lvl>
  </w:abstractNum>
  <w:abstractNum w:abstractNumId="3">
    <w:nsid w:val="60DA8213"/>
    <w:multiLevelType w:val="singleLevel"/>
    <w:tmpl w:val="60DA8213"/>
    <w:lvl w:ilvl="0" w:tentative="0">
      <w:start w:val="1"/>
      <w:numFmt w:val="decimal"/>
      <w:suff w:val="nothing"/>
      <w:lvlText w:val="%1）"/>
      <w:lvlJc w:val="left"/>
    </w:lvl>
  </w:abstractNum>
  <w:abstractNum w:abstractNumId="4">
    <w:nsid w:val="610B5B92"/>
    <w:multiLevelType w:val="singleLevel"/>
    <w:tmpl w:val="610B5B92"/>
    <w:lvl w:ilvl="0" w:tentative="0">
      <w:start w:val="1"/>
      <w:numFmt w:val="decimal"/>
      <w:suff w:val="nothing"/>
      <w:lvlText w:val="%1）"/>
      <w:lvlJc w:val="left"/>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ZTkxOGJkYjFkZGIzZDQ4ZjE4OTZjZTY4M2I2MDQifQ=="/>
  </w:docVars>
  <w:rsids>
    <w:rsidRoot w:val="00F03D31"/>
    <w:rsid w:val="000038E9"/>
    <w:rsid w:val="0001753D"/>
    <w:rsid w:val="0002442F"/>
    <w:rsid w:val="000251A1"/>
    <w:rsid w:val="000331F9"/>
    <w:rsid w:val="00057F05"/>
    <w:rsid w:val="00062D78"/>
    <w:rsid w:val="0006682E"/>
    <w:rsid w:val="00074C1E"/>
    <w:rsid w:val="000767C9"/>
    <w:rsid w:val="00084DCF"/>
    <w:rsid w:val="00085E4F"/>
    <w:rsid w:val="00087E0E"/>
    <w:rsid w:val="00097E36"/>
    <w:rsid w:val="000A428E"/>
    <w:rsid w:val="000A7FFC"/>
    <w:rsid w:val="000C7211"/>
    <w:rsid w:val="000C79E0"/>
    <w:rsid w:val="000E6BC3"/>
    <w:rsid w:val="000F14DE"/>
    <w:rsid w:val="000F20F1"/>
    <w:rsid w:val="000F469F"/>
    <w:rsid w:val="000F549D"/>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4110"/>
    <w:rsid w:val="001B6130"/>
    <w:rsid w:val="001B7ACB"/>
    <w:rsid w:val="001C0CEB"/>
    <w:rsid w:val="001C2511"/>
    <w:rsid w:val="001C3C6A"/>
    <w:rsid w:val="001D17E6"/>
    <w:rsid w:val="001D3C18"/>
    <w:rsid w:val="002254F8"/>
    <w:rsid w:val="00231682"/>
    <w:rsid w:val="00240F1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D35BA"/>
    <w:rsid w:val="002F11A2"/>
    <w:rsid w:val="0030195D"/>
    <w:rsid w:val="003318FF"/>
    <w:rsid w:val="0034245D"/>
    <w:rsid w:val="00347BB9"/>
    <w:rsid w:val="00363759"/>
    <w:rsid w:val="003653E6"/>
    <w:rsid w:val="00372CBF"/>
    <w:rsid w:val="00373ACB"/>
    <w:rsid w:val="00386752"/>
    <w:rsid w:val="003B53AF"/>
    <w:rsid w:val="003D31A3"/>
    <w:rsid w:val="003D654C"/>
    <w:rsid w:val="003D6A6E"/>
    <w:rsid w:val="003F25E7"/>
    <w:rsid w:val="003F5DD6"/>
    <w:rsid w:val="003F6525"/>
    <w:rsid w:val="00404B29"/>
    <w:rsid w:val="00433D93"/>
    <w:rsid w:val="004366EC"/>
    <w:rsid w:val="004368D7"/>
    <w:rsid w:val="0044139A"/>
    <w:rsid w:val="00445374"/>
    <w:rsid w:val="004459DC"/>
    <w:rsid w:val="004813B0"/>
    <w:rsid w:val="00487786"/>
    <w:rsid w:val="00492232"/>
    <w:rsid w:val="004A39FE"/>
    <w:rsid w:val="004B5725"/>
    <w:rsid w:val="004B6445"/>
    <w:rsid w:val="004C2A3A"/>
    <w:rsid w:val="004C31A4"/>
    <w:rsid w:val="004C3627"/>
    <w:rsid w:val="004C7BEC"/>
    <w:rsid w:val="004E164E"/>
    <w:rsid w:val="004E25DC"/>
    <w:rsid w:val="004E2FC4"/>
    <w:rsid w:val="004E3153"/>
    <w:rsid w:val="004E71E2"/>
    <w:rsid w:val="004F395A"/>
    <w:rsid w:val="004F6EF2"/>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7317D"/>
    <w:rsid w:val="007774A1"/>
    <w:rsid w:val="007824B9"/>
    <w:rsid w:val="007A26AB"/>
    <w:rsid w:val="007A55C4"/>
    <w:rsid w:val="007B06B2"/>
    <w:rsid w:val="007C56A4"/>
    <w:rsid w:val="00824248"/>
    <w:rsid w:val="00827C85"/>
    <w:rsid w:val="008408C8"/>
    <w:rsid w:val="00846809"/>
    <w:rsid w:val="008529C1"/>
    <w:rsid w:val="00854BAB"/>
    <w:rsid w:val="00860362"/>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55A1B"/>
    <w:rsid w:val="00964B91"/>
    <w:rsid w:val="00972AA1"/>
    <w:rsid w:val="009768C4"/>
    <w:rsid w:val="00996613"/>
    <w:rsid w:val="009B2376"/>
    <w:rsid w:val="009C11BB"/>
    <w:rsid w:val="009C1DD9"/>
    <w:rsid w:val="009C523E"/>
    <w:rsid w:val="009D1FF4"/>
    <w:rsid w:val="009D6466"/>
    <w:rsid w:val="009E1C9D"/>
    <w:rsid w:val="009E5716"/>
    <w:rsid w:val="00A16B71"/>
    <w:rsid w:val="00A302F4"/>
    <w:rsid w:val="00A3706B"/>
    <w:rsid w:val="00A6325C"/>
    <w:rsid w:val="00A668FA"/>
    <w:rsid w:val="00A71465"/>
    <w:rsid w:val="00A92441"/>
    <w:rsid w:val="00AA5ADC"/>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05B9"/>
    <w:rsid w:val="00BA1260"/>
    <w:rsid w:val="00BA192C"/>
    <w:rsid w:val="00BB7CD3"/>
    <w:rsid w:val="00BC1405"/>
    <w:rsid w:val="00BC69E2"/>
    <w:rsid w:val="00BF5A16"/>
    <w:rsid w:val="00C01152"/>
    <w:rsid w:val="00C23423"/>
    <w:rsid w:val="00C2706D"/>
    <w:rsid w:val="00C36243"/>
    <w:rsid w:val="00C4631C"/>
    <w:rsid w:val="00C473BB"/>
    <w:rsid w:val="00C51604"/>
    <w:rsid w:val="00C667E9"/>
    <w:rsid w:val="00C67E17"/>
    <w:rsid w:val="00C806ED"/>
    <w:rsid w:val="00C92D4B"/>
    <w:rsid w:val="00C952A5"/>
    <w:rsid w:val="00CB7A77"/>
    <w:rsid w:val="00CC2029"/>
    <w:rsid w:val="00CD4332"/>
    <w:rsid w:val="00D01E4D"/>
    <w:rsid w:val="00D07B97"/>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1878"/>
    <w:rsid w:val="00DB2961"/>
    <w:rsid w:val="00DB5738"/>
    <w:rsid w:val="00DB75D4"/>
    <w:rsid w:val="00DE0187"/>
    <w:rsid w:val="00DF3BA8"/>
    <w:rsid w:val="00E02256"/>
    <w:rsid w:val="00E03378"/>
    <w:rsid w:val="00E24418"/>
    <w:rsid w:val="00E31E5B"/>
    <w:rsid w:val="00E32EFF"/>
    <w:rsid w:val="00E436D5"/>
    <w:rsid w:val="00E6238E"/>
    <w:rsid w:val="00E63C9C"/>
    <w:rsid w:val="00E73EC9"/>
    <w:rsid w:val="00E85A17"/>
    <w:rsid w:val="00E86E95"/>
    <w:rsid w:val="00E937CA"/>
    <w:rsid w:val="00EA037A"/>
    <w:rsid w:val="00EB055F"/>
    <w:rsid w:val="00EC443B"/>
    <w:rsid w:val="00EC7F6D"/>
    <w:rsid w:val="00ED1A94"/>
    <w:rsid w:val="00EE0CAF"/>
    <w:rsid w:val="00EE0D41"/>
    <w:rsid w:val="00EE1A1C"/>
    <w:rsid w:val="00EE2796"/>
    <w:rsid w:val="00EE4001"/>
    <w:rsid w:val="00EE530A"/>
    <w:rsid w:val="00EF6DB7"/>
    <w:rsid w:val="00EF6EF2"/>
    <w:rsid w:val="00F0025A"/>
    <w:rsid w:val="00F03D31"/>
    <w:rsid w:val="00F05D71"/>
    <w:rsid w:val="00F22EFA"/>
    <w:rsid w:val="00F45028"/>
    <w:rsid w:val="00F5338D"/>
    <w:rsid w:val="00F609B8"/>
    <w:rsid w:val="00F634BE"/>
    <w:rsid w:val="00F6566A"/>
    <w:rsid w:val="00F73F70"/>
    <w:rsid w:val="00F85154"/>
    <w:rsid w:val="00F853BC"/>
    <w:rsid w:val="00F9368B"/>
    <w:rsid w:val="00F947F9"/>
    <w:rsid w:val="00FA0B26"/>
    <w:rsid w:val="00FA12A0"/>
    <w:rsid w:val="00FC0772"/>
    <w:rsid w:val="00FC5FA0"/>
    <w:rsid w:val="00FD1FC6"/>
    <w:rsid w:val="00FD2876"/>
    <w:rsid w:val="00FD6B82"/>
    <w:rsid w:val="00FD76F1"/>
    <w:rsid w:val="00FE4626"/>
    <w:rsid w:val="00FF226B"/>
    <w:rsid w:val="00FF6D6E"/>
    <w:rsid w:val="020019E7"/>
    <w:rsid w:val="03E172C5"/>
    <w:rsid w:val="048A3FA3"/>
    <w:rsid w:val="04BE7047"/>
    <w:rsid w:val="04C75BA9"/>
    <w:rsid w:val="05046843"/>
    <w:rsid w:val="0636605F"/>
    <w:rsid w:val="067A2C61"/>
    <w:rsid w:val="06ED263D"/>
    <w:rsid w:val="073A59CF"/>
    <w:rsid w:val="07501833"/>
    <w:rsid w:val="07854C3A"/>
    <w:rsid w:val="078D345C"/>
    <w:rsid w:val="08193505"/>
    <w:rsid w:val="082C3C8D"/>
    <w:rsid w:val="08651193"/>
    <w:rsid w:val="08F93D5B"/>
    <w:rsid w:val="09CD7F8F"/>
    <w:rsid w:val="09F50B90"/>
    <w:rsid w:val="0A95138C"/>
    <w:rsid w:val="0B131CFD"/>
    <w:rsid w:val="0BB95CD2"/>
    <w:rsid w:val="0BFE4292"/>
    <w:rsid w:val="0C292867"/>
    <w:rsid w:val="0CD07E15"/>
    <w:rsid w:val="0CEE6149"/>
    <w:rsid w:val="0CFA4A65"/>
    <w:rsid w:val="0F166D2F"/>
    <w:rsid w:val="0F2B61D1"/>
    <w:rsid w:val="0F805784"/>
    <w:rsid w:val="0FB66909"/>
    <w:rsid w:val="0FDD6BF4"/>
    <w:rsid w:val="0FE42798"/>
    <w:rsid w:val="10505E44"/>
    <w:rsid w:val="106815E3"/>
    <w:rsid w:val="10A81391"/>
    <w:rsid w:val="10C955C5"/>
    <w:rsid w:val="10CE3219"/>
    <w:rsid w:val="1173042F"/>
    <w:rsid w:val="117A6EEF"/>
    <w:rsid w:val="12663B89"/>
    <w:rsid w:val="12B33874"/>
    <w:rsid w:val="134317C0"/>
    <w:rsid w:val="13B86C2F"/>
    <w:rsid w:val="14295DAF"/>
    <w:rsid w:val="142A7E51"/>
    <w:rsid w:val="147026FF"/>
    <w:rsid w:val="14C00347"/>
    <w:rsid w:val="14FF43D6"/>
    <w:rsid w:val="153D3E4B"/>
    <w:rsid w:val="159E24E8"/>
    <w:rsid w:val="162417DF"/>
    <w:rsid w:val="16A76DEE"/>
    <w:rsid w:val="170D281E"/>
    <w:rsid w:val="17AC5B95"/>
    <w:rsid w:val="19421CE6"/>
    <w:rsid w:val="198130EF"/>
    <w:rsid w:val="19AE416C"/>
    <w:rsid w:val="19DD43BA"/>
    <w:rsid w:val="1A4B45F5"/>
    <w:rsid w:val="1AEB3291"/>
    <w:rsid w:val="1BE07C15"/>
    <w:rsid w:val="1BF05EBA"/>
    <w:rsid w:val="1CEB3111"/>
    <w:rsid w:val="1D1E25DF"/>
    <w:rsid w:val="1D652848"/>
    <w:rsid w:val="1DBE5D76"/>
    <w:rsid w:val="1DD736C3"/>
    <w:rsid w:val="1E3A2D8E"/>
    <w:rsid w:val="1E5C3BAD"/>
    <w:rsid w:val="1E8D365E"/>
    <w:rsid w:val="1FBE7939"/>
    <w:rsid w:val="209441B3"/>
    <w:rsid w:val="21560247"/>
    <w:rsid w:val="21CC3BA7"/>
    <w:rsid w:val="21E3769E"/>
    <w:rsid w:val="22102401"/>
    <w:rsid w:val="228765EB"/>
    <w:rsid w:val="22892CE3"/>
    <w:rsid w:val="22DE7BF2"/>
    <w:rsid w:val="23347A4B"/>
    <w:rsid w:val="236E20C9"/>
    <w:rsid w:val="23A06520"/>
    <w:rsid w:val="241174C5"/>
    <w:rsid w:val="24304B96"/>
    <w:rsid w:val="24430E72"/>
    <w:rsid w:val="24B738C2"/>
    <w:rsid w:val="24CA5E5B"/>
    <w:rsid w:val="255178E6"/>
    <w:rsid w:val="255E1927"/>
    <w:rsid w:val="259F04B9"/>
    <w:rsid w:val="25F14B98"/>
    <w:rsid w:val="26710645"/>
    <w:rsid w:val="26A91696"/>
    <w:rsid w:val="272F2851"/>
    <w:rsid w:val="274F3DB2"/>
    <w:rsid w:val="279C6923"/>
    <w:rsid w:val="27BD1AEB"/>
    <w:rsid w:val="27DD647C"/>
    <w:rsid w:val="282C1F78"/>
    <w:rsid w:val="288C5814"/>
    <w:rsid w:val="28FC289D"/>
    <w:rsid w:val="2914405B"/>
    <w:rsid w:val="29156EF2"/>
    <w:rsid w:val="29411198"/>
    <w:rsid w:val="2B004385"/>
    <w:rsid w:val="2B052B73"/>
    <w:rsid w:val="2B173523"/>
    <w:rsid w:val="2B6948BD"/>
    <w:rsid w:val="2BF539B5"/>
    <w:rsid w:val="2C61237F"/>
    <w:rsid w:val="2C783A35"/>
    <w:rsid w:val="2D280A7E"/>
    <w:rsid w:val="2E34365F"/>
    <w:rsid w:val="2F2146E2"/>
    <w:rsid w:val="30684B39"/>
    <w:rsid w:val="319A23E2"/>
    <w:rsid w:val="32203AB2"/>
    <w:rsid w:val="328937F3"/>
    <w:rsid w:val="32F017EB"/>
    <w:rsid w:val="32F077A2"/>
    <w:rsid w:val="33941524"/>
    <w:rsid w:val="33C83BC3"/>
    <w:rsid w:val="35153592"/>
    <w:rsid w:val="35276BCD"/>
    <w:rsid w:val="35333D13"/>
    <w:rsid w:val="35996867"/>
    <w:rsid w:val="35E95710"/>
    <w:rsid w:val="36184B9F"/>
    <w:rsid w:val="387B5356"/>
    <w:rsid w:val="389F0583"/>
    <w:rsid w:val="39197A5B"/>
    <w:rsid w:val="3A921DEF"/>
    <w:rsid w:val="3AA828BD"/>
    <w:rsid w:val="3B3B1938"/>
    <w:rsid w:val="3B536115"/>
    <w:rsid w:val="3B896557"/>
    <w:rsid w:val="3C51675B"/>
    <w:rsid w:val="3CD81731"/>
    <w:rsid w:val="3D12686E"/>
    <w:rsid w:val="3D18578A"/>
    <w:rsid w:val="3DA55E6C"/>
    <w:rsid w:val="3DB11BE6"/>
    <w:rsid w:val="3DC654EF"/>
    <w:rsid w:val="3DC82E90"/>
    <w:rsid w:val="3E0A4684"/>
    <w:rsid w:val="3E415AC4"/>
    <w:rsid w:val="3EBA1409"/>
    <w:rsid w:val="3EC066EC"/>
    <w:rsid w:val="3ED20001"/>
    <w:rsid w:val="3EE322BE"/>
    <w:rsid w:val="3EED6A2E"/>
    <w:rsid w:val="3EF25A32"/>
    <w:rsid w:val="3F794D8F"/>
    <w:rsid w:val="3FA779D5"/>
    <w:rsid w:val="40473055"/>
    <w:rsid w:val="40516C0C"/>
    <w:rsid w:val="408814E1"/>
    <w:rsid w:val="41716034"/>
    <w:rsid w:val="418D49B0"/>
    <w:rsid w:val="41DC2462"/>
    <w:rsid w:val="42615AA3"/>
    <w:rsid w:val="426A5D19"/>
    <w:rsid w:val="42A713D5"/>
    <w:rsid w:val="42EE0B57"/>
    <w:rsid w:val="42FC2B26"/>
    <w:rsid w:val="433F2F67"/>
    <w:rsid w:val="43EF3495"/>
    <w:rsid w:val="440C4C65"/>
    <w:rsid w:val="453756CC"/>
    <w:rsid w:val="455255E8"/>
    <w:rsid w:val="4583011C"/>
    <w:rsid w:val="46890DAC"/>
    <w:rsid w:val="46E4318C"/>
    <w:rsid w:val="471F4D88"/>
    <w:rsid w:val="475C612A"/>
    <w:rsid w:val="4766336A"/>
    <w:rsid w:val="479E3A47"/>
    <w:rsid w:val="47BA7D3C"/>
    <w:rsid w:val="47D00213"/>
    <w:rsid w:val="47D87266"/>
    <w:rsid w:val="48324764"/>
    <w:rsid w:val="484D5DCB"/>
    <w:rsid w:val="488F46D1"/>
    <w:rsid w:val="49222A1C"/>
    <w:rsid w:val="49254707"/>
    <w:rsid w:val="49266648"/>
    <w:rsid w:val="49A2577D"/>
    <w:rsid w:val="49ED12F3"/>
    <w:rsid w:val="4A321E22"/>
    <w:rsid w:val="4A3546F1"/>
    <w:rsid w:val="4A6F152E"/>
    <w:rsid w:val="4AF40C8C"/>
    <w:rsid w:val="4B106456"/>
    <w:rsid w:val="4B306265"/>
    <w:rsid w:val="4C330E81"/>
    <w:rsid w:val="4C6F2EDA"/>
    <w:rsid w:val="4E03626B"/>
    <w:rsid w:val="4F152B72"/>
    <w:rsid w:val="4F5655B0"/>
    <w:rsid w:val="4F7B2533"/>
    <w:rsid w:val="508711A9"/>
    <w:rsid w:val="510E35CE"/>
    <w:rsid w:val="517B4EC0"/>
    <w:rsid w:val="51804844"/>
    <w:rsid w:val="51B322DA"/>
    <w:rsid w:val="51CC3CA7"/>
    <w:rsid w:val="51F850A8"/>
    <w:rsid w:val="526D2EBF"/>
    <w:rsid w:val="52735300"/>
    <w:rsid w:val="53366EE7"/>
    <w:rsid w:val="54271112"/>
    <w:rsid w:val="54523A5C"/>
    <w:rsid w:val="54D6425D"/>
    <w:rsid w:val="555C3065"/>
    <w:rsid w:val="55816D64"/>
    <w:rsid w:val="55987088"/>
    <w:rsid w:val="55CD0715"/>
    <w:rsid w:val="56420695"/>
    <w:rsid w:val="56936838"/>
    <w:rsid w:val="56A32E66"/>
    <w:rsid w:val="56EF6751"/>
    <w:rsid w:val="577747A6"/>
    <w:rsid w:val="57792DD8"/>
    <w:rsid w:val="577A27D6"/>
    <w:rsid w:val="59374B66"/>
    <w:rsid w:val="593C56D0"/>
    <w:rsid w:val="593F171A"/>
    <w:rsid w:val="59E454CF"/>
    <w:rsid w:val="59F726F3"/>
    <w:rsid w:val="5ADB7A80"/>
    <w:rsid w:val="5B052582"/>
    <w:rsid w:val="5B297B8D"/>
    <w:rsid w:val="5B57543C"/>
    <w:rsid w:val="5BE066C1"/>
    <w:rsid w:val="5C1726A7"/>
    <w:rsid w:val="5C1B578B"/>
    <w:rsid w:val="5C5309A2"/>
    <w:rsid w:val="5CA00DF1"/>
    <w:rsid w:val="5CFD0956"/>
    <w:rsid w:val="5D313A8F"/>
    <w:rsid w:val="5D32446E"/>
    <w:rsid w:val="5DA1040B"/>
    <w:rsid w:val="5DA77392"/>
    <w:rsid w:val="5DBD4136"/>
    <w:rsid w:val="5DC845CB"/>
    <w:rsid w:val="5E7D7B12"/>
    <w:rsid w:val="5E96017E"/>
    <w:rsid w:val="5EB934BF"/>
    <w:rsid w:val="5ED271F1"/>
    <w:rsid w:val="5EF2527F"/>
    <w:rsid w:val="5F4768A1"/>
    <w:rsid w:val="5F500C15"/>
    <w:rsid w:val="5F8B1768"/>
    <w:rsid w:val="5FA74DF5"/>
    <w:rsid w:val="60895210"/>
    <w:rsid w:val="60DC0379"/>
    <w:rsid w:val="60F91A9B"/>
    <w:rsid w:val="61681DAA"/>
    <w:rsid w:val="62137647"/>
    <w:rsid w:val="635E4CE4"/>
    <w:rsid w:val="639B71E8"/>
    <w:rsid w:val="63B107E4"/>
    <w:rsid w:val="64761A1E"/>
    <w:rsid w:val="64BD6456"/>
    <w:rsid w:val="6551561A"/>
    <w:rsid w:val="65585085"/>
    <w:rsid w:val="656F7D88"/>
    <w:rsid w:val="65A56B32"/>
    <w:rsid w:val="67015D83"/>
    <w:rsid w:val="676C3643"/>
    <w:rsid w:val="677E31B6"/>
    <w:rsid w:val="67B30A70"/>
    <w:rsid w:val="68466749"/>
    <w:rsid w:val="68562C5D"/>
    <w:rsid w:val="689313CC"/>
    <w:rsid w:val="689B78F0"/>
    <w:rsid w:val="693C4933"/>
    <w:rsid w:val="69E81028"/>
    <w:rsid w:val="69FF4CA4"/>
    <w:rsid w:val="6BB92233"/>
    <w:rsid w:val="6C492150"/>
    <w:rsid w:val="6C88401A"/>
    <w:rsid w:val="6D541C74"/>
    <w:rsid w:val="6DAD722E"/>
    <w:rsid w:val="6DE06576"/>
    <w:rsid w:val="6DE30646"/>
    <w:rsid w:val="6E334577"/>
    <w:rsid w:val="6E5A4318"/>
    <w:rsid w:val="6F4D4C8B"/>
    <w:rsid w:val="7030198C"/>
    <w:rsid w:val="705E0D4E"/>
    <w:rsid w:val="70656815"/>
    <w:rsid w:val="70833368"/>
    <w:rsid w:val="709655A9"/>
    <w:rsid w:val="70D83866"/>
    <w:rsid w:val="710D7515"/>
    <w:rsid w:val="7139605B"/>
    <w:rsid w:val="717D2521"/>
    <w:rsid w:val="71B25E42"/>
    <w:rsid w:val="71FA3BAD"/>
    <w:rsid w:val="72B14FD5"/>
    <w:rsid w:val="734E5331"/>
    <w:rsid w:val="737F3A69"/>
    <w:rsid w:val="73D05A96"/>
    <w:rsid w:val="74181201"/>
    <w:rsid w:val="743D400A"/>
    <w:rsid w:val="74590E55"/>
    <w:rsid w:val="753246C8"/>
    <w:rsid w:val="755A6876"/>
    <w:rsid w:val="755F3CFE"/>
    <w:rsid w:val="756555F5"/>
    <w:rsid w:val="757347CA"/>
    <w:rsid w:val="760D0BC5"/>
    <w:rsid w:val="762D6621"/>
    <w:rsid w:val="76575395"/>
    <w:rsid w:val="76B36603"/>
    <w:rsid w:val="77700525"/>
    <w:rsid w:val="77AD20AE"/>
    <w:rsid w:val="78286988"/>
    <w:rsid w:val="78290889"/>
    <w:rsid w:val="7861167A"/>
    <w:rsid w:val="78DA2641"/>
    <w:rsid w:val="78E04108"/>
    <w:rsid w:val="796E0C91"/>
    <w:rsid w:val="79782D18"/>
    <w:rsid w:val="799E2644"/>
    <w:rsid w:val="79D15360"/>
    <w:rsid w:val="79E07E72"/>
    <w:rsid w:val="7A3E4002"/>
    <w:rsid w:val="7AAF6562"/>
    <w:rsid w:val="7B39060E"/>
    <w:rsid w:val="7C4D729D"/>
    <w:rsid w:val="7D100213"/>
    <w:rsid w:val="7D5A1439"/>
    <w:rsid w:val="7DCC7838"/>
    <w:rsid w:val="7E396945"/>
    <w:rsid w:val="7E8412E7"/>
    <w:rsid w:val="7E8B1EEF"/>
    <w:rsid w:val="7EBD184F"/>
    <w:rsid w:val="7EF33D7F"/>
    <w:rsid w:val="7F49148B"/>
    <w:rsid w:val="7F7108CD"/>
    <w:rsid w:val="7FCC3712"/>
    <w:rsid w:val="7FE74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3">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4">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5">
    <w:name w:val="heading 3"/>
    <w:basedOn w:val="1"/>
    <w:next w:val="1"/>
    <w:link w:val="70"/>
    <w:qFormat/>
    <w:uiPriority w:val="0"/>
    <w:pPr>
      <w:ind w:left="237" w:right="113"/>
      <w:outlineLvl w:val="2"/>
    </w:pPr>
    <w:rPr>
      <w:sz w:val="28"/>
      <w:szCs w:val="28"/>
    </w:rPr>
  </w:style>
  <w:style w:type="paragraph" w:styleId="6">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7">
    <w:name w:val="heading 5"/>
    <w:basedOn w:val="1"/>
    <w:next w:val="1"/>
    <w:link w:val="64"/>
    <w:qFormat/>
    <w:uiPriority w:val="0"/>
    <w:pPr>
      <w:spacing w:before="280" w:after="290" w:line="372"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5"/>
    <w:qFormat/>
    <w:uiPriority w:val="0"/>
    <w:pPr>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9">
    <w:name w:val="heading 7"/>
    <w:basedOn w:val="1"/>
    <w:next w:val="1"/>
    <w:link w:val="66"/>
    <w:qFormat/>
    <w:uiPriority w:val="0"/>
    <w:pPr>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0">
    <w:name w:val="heading 8"/>
    <w:basedOn w:val="1"/>
    <w:next w:val="1"/>
    <w:link w:val="67"/>
    <w:qFormat/>
    <w:uiPriority w:val="0"/>
    <w:pPr>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1">
    <w:name w:val="heading 9"/>
    <w:basedOn w:val="1"/>
    <w:next w:val="1"/>
    <w:link w:val="68"/>
    <w:qFormat/>
    <w:uiPriority w:val="0"/>
    <w:pPr>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5"/>
    <w:qFormat/>
    <w:uiPriority w:val="0"/>
    <w:rPr>
      <w:sz w:val="21"/>
      <w:szCs w:val="21"/>
    </w:rPr>
  </w:style>
  <w:style w:type="paragraph" w:styleId="12">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3">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4">
    <w:name w:val="caption"/>
    <w:basedOn w:val="1"/>
    <w:next w:val="1"/>
    <w:qFormat/>
    <w:uiPriority w:val="0"/>
    <w:pPr>
      <w:jc w:val="both"/>
    </w:pPr>
    <w:rPr>
      <w:rFonts w:ascii="Arial" w:hAnsi="Arial" w:eastAsia="黑体" w:cs="Arial"/>
      <w:kern w:val="2"/>
      <w:sz w:val="20"/>
      <w:szCs w:val="20"/>
      <w:lang w:eastAsia="zh-CN"/>
    </w:rPr>
  </w:style>
  <w:style w:type="paragraph" w:styleId="15">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6">
    <w:name w:val="annotation text"/>
    <w:basedOn w:val="1"/>
    <w:link w:val="85"/>
    <w:qFormat/>
    <w:uiPriority w:val="0"/>
    <w:rPr>
      <w:rFonts w:asciiTheme="minorHAnsi" w:hAnsiTheme="minorHAnsi" w:cstheme="minorBidi"/>
      <w:kern w:val="2"/>
      <w:sz w:val="21"/>
      <w:szCs w:val="24"/>
      <w:lang w:eastAsia="zh-CN"/>
    </w:rPr>
  </w:style>
  <w:style w:type="paragraph" w:styleId="17">
    <w:name w:val="Body Text 3"/>
    <w:basedOn w:val="1"/>
    <w:link w:val="100"/>
    <w:qFormat/>
    <w:uiPriority w:val="0"/>
    <w:pPr>
      <w:jc w:val="both"/>
    </w:pPr>
    <w:rPr>
      <w:rFonts w:hAnsiTheme="minorHAnsi" w:eastAsiaTheme="minorEastAsia" w:cstheme="minorBidi"/>
      <w:kern w:val="2"/>
      <w:sz w:val="24"/>
      <w:lang w:eastAsia="zh-CN"/>
    </w:rPr>
  </w:style>
  <w:style w:type="paragraph" w:styleId="18">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9">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0">
    <w:name w:val="toc 3"/>
    <w:basedOn w:val="1"/>
    <w:next w:val="1"/>
    <w:qFormat/>
    <w:uiPriority w:val="39"/>
    <w:pPr>
      <w:spacing w:line="272" w:lineRule="exact"/>
      <w:ind w:left="940"/>
    </w:pPr>
    <w:rPr>
      <w:sz w:val="21"/>
      <w:szCs w:val="21"/>
    </w:rPr>
  </w:style>
  <w:style w:type="paragraph" w:styleId="21">
    <w:name w:val="Plain Text"/>
    <w:basedOn w:val="1"/>
    <w:link w:val="87"/>
    <w:qFormat/>
    <w:uiPriority w:val="0"/>
    <w:pPr>
      <w:jc w:val="both"/>
    </w:pPr>
    <w:rPr>
      <w:rFonts w:hAnsi="Courier New" w:cstheme="minorBidi"/>
      <w:kern w:val="2"/>
      <w:sz w:val="21"/>
      <w:szCs w:val="21"/>
      <w:lang w:eastAsia="zh-CN"/>
    </w:rPr>
  </w:style>
  <w:style w:type="paragraph" w:styleId="22">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3">
    <w:name w:val="Date"/>
    <w:basedOn w:val="1"/>
    <w:next w:val="1"/>
    <w:link w:val="94"/>
    <w:unhideWhenUsed/>
    <w:qFormat/>
    <w:uiPriority w:val="0"/>
    <w:pPr>
      <w:ind w:left="100" w:leftChars="2500"/>
    </w:pPr>
  </w:style>
  <w:style w:type="paragraph" w:styleId="24">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5">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6">
    <w:name w:val="Balloon Text"/>
    <w:basedOn w:val="1"/>
    <w:link w:val="80"/>
    <w:unhideWhenUsed/>
    <w:qFormat/>
    <w:uiPriority w:val="0"/>
    <w:rPr>
      <w:sz w:val="18"/>
      <w:szCs w:val="18"/>
    </w:rPr>
  </w:style>
  <w:style w:type="paragraph" w:styleId="27">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8">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29">
    <w:name w:val="toc 1"/>
    <w:basedOn w:val="1"/>
    <w:next w:val="1"/>
    <w:qFormat/>
    <w:uiPriority w:val="39"/>
    <w:pPr>
      <w:spacing w:line="272" w:lineRule="exact"/>
      <w:ind w:left="100"/>
    </w:pPr>
    <w:rPr>
      <w:sz w:val="21"/>
      <w:szCs w:val="21"/>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77"/>
    <w:qFormat/>
    <w:uiPriority w:val="0"/>
    <w:pPr>
      <w:jc w:val="center"/>
    </w:pPr>
    <w:rPr>
      <w:rFonts w:asciiTheme="minorHAnsi" w:hAnsiTheme="minorHAnsi" w:eastAsiaTheme="minorEastAsia" w:cstheme="minorBidi"/>
      <w:kern w:val="2"/>
      <w:sz w:val="21"/>
      <w:szCs w:val="24"/>
      <w:u w:val="single"/>
      <w:lang w:eastAsia="zh-CN"/>
    </w:rPr>
  </w:style>
  <w:style w:type="paragraph" w:styleId="32">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3">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4">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5">
    <w:name w:val="toc 2"/>
    <w:basedOn w:val="1"/>
    <w:next w:val="1"/>
    <w:qFormat/>
    <w:uiPriority w:val="39"/>
    <w:pPr>
      <w:spacing w:line="272" w:lineRule="exact"/>
      <w:ind w:left="520"/>
    </w:pPr>
    <w:rPr>
      <w:sz w:val="21"/>
      <w:szCs w:val="21"/>
    </w:rPr>
  </w:style>
  <w:style w:type="paragraph" w:styleId="36">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7">
    <w:name w:val="Body Text 2"/>
    <w:basedOn w:val="1"/>
    <w:link w:val="189"/>
    <w:unhideWhenUsed/>
    <w:qFormat/>
    <w:uiPriority w:val="99"/>
    <w:pPr>
      <w:spacing w:after="120" w:line="480" w:lineRule="auto"/>
    </w:pPr>
  </w:style>
  <w:style w:type="paragraph" w:styleId="38">
    <w:name w:val="Normal (Web)"/>
    <w:basedOn w:val="1"/>
    <w:qFormat/>
    <w:uiPriority w:val="0"/>
    <w:pPr>
      <w:spacing w:before="100" w:beforeAutospacing="1" w:after="100" w:afterAutospacing="1"/>
    </w:pPr>
    <w:rPr>
      <w:sz w:val="24"/>
      <w:szCs w:val="24"/>
      <w:lang w:eastAsia="zh-CN"/>
    </w:rPr>
  </w:style>
  <w:style w:type="paragraph" w:styleId="39">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0">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1">
    <w:name w:val="annotation subject"/>
    <w:basedOn w:val="16"/>
    <w:next w:val="16"/>
    <w:link w:val="96"/>
    <w:unhideWhenUsed/>
    <w:qFormat/>
    <w:uiPriority w:val="0"/>
    <w:rPr>
      <w:rFonts w:ascii="宋体" w:hAnsi="宋体" w:cs="宋体"/>
      <w:b/>
      <w:bCs/>
    </w:rPr>
  </w:style>
  <w:style w:type="paragraph" w:styleId="42">
    <w:name w:val="Body Text First Indent"/>
    <w:basedOn w:val="2"/>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43">
    <w:name w:val="Body Text First Indent 2"/>
    <w:basedOn w:val="18"/>
    <w:unhideWhenUsed/>
    <w:qFormat/>
    <w:uiPriority w:val="99"/>
    <w:pPr>
      <w:ind w:firstLine="42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字符"/>
    <w:basedOn w:val="46"/>
    <w:link w:val="2"/>
    <w:qFormat/>
    <w:uiPriority w:val="1"/>
    <w:rPr>
      <w:rFonts w:ascii="宋体" w:hAnsi="宋体" w:eastAsia="宋体" w:cs="宋体"/>
      <w:kern w:val="0"/>
      <w:szCs w:val="21"/>
      <w:lang w:eastAsia="en-US"/>
    </w:rPr>
  </w:style>
  <w:style w:type="character" w:customStyle="1" w:styleId="56">
    <w:name w:val="页脚 字符"/>
    <w:link w:val="27"/>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字符"/>
    <w:basedOn w:val="46"/>
    <w:link w:val="4"/>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字符1"/>
    <w:basedOn w:val="46"/>
    <w:link w:val="7"/>
    <w:qFormat/>
    <w:uiPriority w:val="0"/>
    <w:rPr>
      <w:rFonts w:ascii="Times New Roman" w:hAnsi="Times New Roman" w:eastAsia="宋体" w:cs="Times New Roman"/>
      <w:b/>
      <w:bCs/>
      <w:sz w:val="28"/>
      <w:szCs w:val="28"/>
    </w:rPr>
  </w:style>
  <w:style w:type="character" w:customStyle="1" w:styleId="65">
    <w:name w:val="标题 6 字符1"/>
    <w:basedOn w:val="46"/>
    <w:link w:val="8"/>
    <w:qFormat/>
    <w:uiPriority w:val="0"/>
    <w:rPr>
      <w:rFonts w:ascii="Arial" w:hAnsi="Arial" w:eastAsia="黑体" w:cs="Times New Roman"/>
      <w:b/>
      <w:bCs/>
      <w:kern w:val="0"/>
      <w:sz w:val="24"/>
      <w:szCs w:val="24"/>
    </w:rPr>
  </w:style>
  <w:style w:type="character" w:customStyle="1" w:styleId="66">
    <w:name w:val="标题 7 字符1"/>
    <w:basedOn w:val="46"/>
    <w:link w:val="9"/>
    <w:qFormat/>
    <w:uiPriority w:val="0"/>
    <w:rPr>
      <w:rFonts w:ascii="Times New Roman" w:hAnsi="Times New Roman" w:eastAsia="宋体" w:cs="Times New Roman"/>
      <w:b/>
      <w:bCs/>
      <w:kern w:val="0"/>
      <w:sz w:val="24"/>
      <w:szCs w:val="24"/>
    </w:rPr>
  </w:style>
  <w:style w:type="character" w:customStyle="1" w:styleId="67">
    <w:name w:val="标题 8 字符1"/>
    <w:basedOn w:val="46"/>
    <w:link w:val="10"/>
    <w:qFormat/>
    <w:uiPriority w:val="0"/>
    <w:rPr>
      <w:rFonts w:ascii="Arial" w:hAnsi="Arial" w:eastAsia="黑体" w:cs="Times New Roman"/>
      <w:kern w:val="0"/>
      <w:sz w:val="24"/>
      <w:szCs w:val="24"/>
    </w:rPr>
  </w:style>
  <w:style w:type="character" w:customStyle="1" w:styleId="68">
    <w:name w:val="标题 9 字符1"/>
    <w:basedOn w:val="46"/>
    <w:link w:val="11"/>
    <w:qFormat/>
    <w:uiPriority w:val="0"/>
    <w:rPr>
      <w:rFonts w:ascii="Arial" w:hAnsi="Arial" w:eastAsia="黑体" w:cs="Times New Roman"/>
      <w:kern w:val="0"/>
      <w:szCs w:val="21"/>
    </w:rPr>
  </w:style>
  <w:style w:type="character" w:customStyle="1" w:styleId="69">
    <w:name w:val="标题 1 字符"/>
    <w:basedOn w:val="46"/>
    <w:link w:val="3"/>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字符"/>
    <w:basedOn w:val="46"/>
    <w:link w:val="5"/>
    <w:qFormat/>
    <w:uiPriority w:val="0"/>
    <w:rPr>
      <w:rFonts w:ascii="宋体" w:hAnsi="宋体" w:eastAsia="宋体" w:cs="宋体"/>
      <w:kern w:val="0"/>
      <w:sz w:val="28"/>
      <w:szCs w:val="28"/>
      <w:lang w:eastAsia="en-US"/>
    </w:rPr>
  </w:style>
  <w:style w:type="character" w:customStyle="1" w:styleId="71">
    <w:name w:val="标题 4 字符"/>
    <w:basedOn w:val="46"/>
    <w:link w:val="6"/>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3">
    <w:name w:val="列出段落1"/>
    <w:basedOn w:val="1"/>
    <w:qFormat/>
    <w:uiPriority w:val="1"/>
  </w:style>
  <w:style w:type="paragraph" w:customStyle="1" w:styleId="74">
    <w:name w:val="Table Paragraph"/>
    <w:basedOn w:val="1"/>
    <w:qFormat/>
    <w:uiPriority w:val="1"/>
  </w:style>
  <w:style w:type="character" w:customStyle="1" w:styleId="75">
    <w:name w:val="页眉 字符"/>
    <w:link w:val="28"/>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字符"/>
    <w:basedOn w:val="46"/>
    <w:link w:val="26"/>
    <w:semiHidden/>
    <w:qFormat/>
    <w:uiPriority w:val="0"/>
    <w:rPr>
      <w:rFonts w:ascii="宋体" w:hAnsi="宋体" w:eastAsia="宋体" w:cs="宋体"/>
      <w:kern w:val="0"/>
      <w:sz w:val="18"/>
      <w:szCs w:val="18"/>
      <w:lang w:eastAsia="en-US"/>
    </w:rPr>
  </w:style>
  <w:style w:type="paragraph" w:customStyle="1" w:styleId="81">
    <w:name w:val="TOC 标题1"/>
    <w:basedOn w:val="3"/>
    <w:unhideWhenUsed/>
    <w:qFormat/>
    <w:uiPriority w:val="39"/>
    <w:pPr>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rPr>
      <w:sz w:val="21"/>
      <w:szCs w:val="21"/>
      <w:lang w:eastAsia="zh-CN"/>
    </w:rPr>
  </w:style>
  <w:style w:type="character" w:customStyle="1" w:styleId="85">
    <w:name w:val="批注文字 字符"/>
    <w:link w:val="16"/>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字符"/>
    <w:link w:val="21"/>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字符"/>
    <w:basedOn w:val="46"/>
    <w:link w:val="23"/>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字符"/>
    <w:basedOn w:val="85"/>
    <w:link w:val="41"/>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字符1"/>
    <w:link w:val="17"/>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字符1"/>
    <w:link w:val="18"/>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字符1"/>
    <w:link w:val="25"/>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文本首行缩进 字符"/>
    <w:link w:val="42"/>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字符1"/>
    <w:link w:val="32"/>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字符1"/>
    <w:link w:val="15"/>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字符1"/>
    <w:link w:val="24"/>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字符1"/>
    <w:link w:val="34"/>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字符1"/>
    <w:link w:val="40"/>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next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5">
    <w:name w:val="mtitle"/>
    <w:basedOn w:val="1"/>
    <w:qFormat/>
    <w:uiPriority w:val="0"/>
    <w:pPr>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5"/>
    <w:qFormat/>
    <w:uiPriority w:val="0"/>
    <w:pPr>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spacing w:before="100" w:beforeAutospacing="1" w:after="100" w:afterAutospacing="1"/>
    </w:pPr>
    <w:rPr>
      <w:sz w:val="24"/>
      <w:szCs w:val="24"/>
      <w:lang w:eastAsia="zh-CN"/>
    </w:rPr>
  </w:style>
  <w:style w:type="paragraph" w:customStyle="1" w:styleId="148">
    <w:name w:val="Char Char Char Char"/>
    <w:basedOn w:val="1"/>
    <w:qFormat/>
    <w:uiPriority w:val="0"/>
    <w:pPr>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5"/>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3"/>
    <w:qFormat/>
    <w:uiPriority w:val="0"/>
    <w:pPr>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4"/>
    <w:qFormat/>
    <w:uiPriority w:val="0"/>
    <w:pPr>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3"/>
    <w:qFormat/>
    <w:uiPriority w:val="0"/>
    <w:pPr>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link w:val="200"/>
    <w:qFormat/>
    <w:uiPriority w:val="0"/>
    <w:pPr>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字符"/>
    <w:link w:val="31"/>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7"/>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字符"/>
    <w:basedOn w:val="46"/>
    <w:link w:val="37"/>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styleId="193">
    <w:name w:val="List Paragraph"/>
    <w:basedOn w:val="1"/>
    <w:unhideWhenUsed/>
    <w:qFormat/>
    <w:uiPriority w:val="99"/>
    <w:pPr>
      <w:ind w:firstLine="420" w:firstLineChars="200"/>
    </w:pPr>
  </w:style>
  <w:style w:type="paragraph" w:customStyle="1" w:styleId="194">
    <w:name w:val="Revision"/>
    <w:hidden/>
    <w:unhideWhenUsed/>
    <w:qFormat/>
    <w:uiPriority w:val="99"/>
    <w:rPr>
      <w:rFonts w:ascii="宋体" w:hAnsi="宋体" w:eastAsia="宋体" w:cs="宋体"/>
      <w:sz w:val="22"/>
      <w:szCs w:val="22"/>
      <w:lang w:val="en-US" w:eastAsia="en-US" w:bidi="ar-SA"/>
    </w:rPr>
  </w:style>
  <w:style w:type="character" w:customStyle="1" w:styleId="195">
    <w:name w:val="15"/>
    <w:qFormat/>
    <w:uiPriority w:val="0"/>
    <w:rPr>
      <w:rFonts w:hint="default" w:ascii="Calibri" w:hAnsi="Calibri" w:cs="Calibri"/>
    </w:rPr>
  </w:style>
  <w:style w:type="paragraph" w:customStyle="1" w:styleId="196">
    <w:name w:val="pf0"/>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97">
    <w:name w:val="cf01"/>
    <w:basedOn w:val="46"/>
    <w:qFormat/>
    <w:uiPriority w:val="0"/>
    <w:rPr>
      <w:rFonts w:hint="eastAsia" w:ascii="Microsoft YaHei UI" w:hAnsi="Microsoft YaHei UI" w:eastAsia="Microsoft YaHei UI"/>
      <w:sz w:val="18"/>
      <w:szCs w:val="18"/>
    </w:rPr>
  </w:style>
  <w:style w:type="character" w:customStyle="1" w:styleId="198">
    <w:name w:val="cf11"/>
    <w:basedOn w:val="46"/>
    <w:qFormat/>
    <w:uiPriority w:val="0"/>
    <w:rPr>
      <w:rFonts w:hint="eastAsia" w:ascii="Microsoft YaHei UI" w:hAnsi="Microsoft YaHei UI" w:eastAsia="Microsoft YaHei UI"/>
      <w:sz w:val="18"/>
      <w:szCs w:val="18"/>
    </w:rPr>
  </w:style>
  <w:style w:type="character" w:customStyle="1" w:styleId="199">
    <w:name w:val="cf21"/>
    <w:basedOn w:val="46"/>
    <w:qFormat/>
    <w:uiPriority w:val="0"/>
    <w:rPr>
      <w:rFonts w:hint="eastAsia" w:ascii="Microsoft YaHei UI" w:hAnsi="Microsoft YaHei UI" w:eastAsia="Microsoft YaHei UI"/>
      <w:sz w:val="18"/>
      <w:szCs w:val="18"/>
    </w:rPr>
  </w:style>
  <w:style w:type="character" w:customStyle="1" w:styleId="200">
    <w:name w:val="p0 Char"/>
    <w:link w:val="174"/>
    <w:qFormat/>
    <w:uiPriority w:val="0"/>
    <w:rPr>
      <w:rFonts w:ascii="Times New Roman" w:hAnsi="Times New Roman" w:cs="Times New Roman"/>
      <w:sz w:val="21"/>
      <w:szCs w:val="21"/>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64</Pages>
  <Words>6155</Words>
  <Characters>35090</Characters>
  <Lines>292</Lines>
  <Paragraphs>82</Paragraphs>
  <TotalTime>5</TotalTime>
  <ScaleCrop>false</ScaleCrop>
  <LinksUpToDate>false</LinksUpToDate>
  <CharactersWithSpaces>41163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2023-04-10T17:14:00Z</dcterms:created>
  <dc:creator>朱赵田</dc:creator>
  <cp:lastModifiedBy>支佩</cp:lastModifiedBy>
  <cp:lastPrinted>2023-04-11T06:19:00Z</cp:lastPrinted>
  <dcterms:modified xsi:type="dcterms:W3CDTF">2023-12-19T02:47:18Z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148A5EF00A9F4B25A0DAA744E2E3E483</vt:lpwstr>
  </property>
</Properties>
</file>