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eastAsia="zh-CN"/>
        </w:rPr>
      </w:pPr>
      <w:bookmarkStart w:id="0" w:name="OLE_LINK1"/>
      <w:r>
        <w:rPr>
          <w:rFonts w:hint="eastAsia" w:ascii="宋体" w:hAnsi="宋体" w:eastAsia="宋体" w:cs="宋体"/>
          <w:b/>
          <w:bCs/>
          <w:sz w:val="32"/>
          <w:szCs w:val="32"/>
          <w:lang w:val="en-US" w:eastAsia="zh-CN"/>
        </w:rPr>
        <w:t>重庆乌江白马航电枢纽工程生产管理用房施工</w:t>
      </w:r>
    </w:p>
    <w:p>
      <w:pPr>
        <w:jc w:val="center"/>
        <w:rPr>
          <w:rFonts w:hint="eastAsia" w:ascii="宋体" w:hAnsi="宋体" w:eastAsia="宋体" w:cs="宋体"/>
          <w:b/>
          <w:bCs/>
          <w:sz w:val="32"/>
          <w:szCs w:val="32"/>
        </w:rPr>
      </w:pPr>
      <w:r>
        <w:rPr>
          <w:rFonts w:hint="eastAsia" w:ascii="宋体" w:hAnsi="宋体" w:eastAsia="宋体" w:cs="宋体"/>
          <w:b/>
          <w:bCs/>
          <w:sz w:val="32"/>
          <w:szCs w:val="32"/>
        </w:rPr>
        <w:t>中标候选人公示</w:t>
      </w:r>
    </w:p>
    <w:p>
      <w:pPr>
        <w:jc w:val="center"/>
        <w:rPr>
          <w:rFonts w:ascii="宋体" w:hAnsi="宋体" w:eastAsia="宋体" w:cs="宋体"/>
          <w:sz w:val="24"/>
          <w:szCs w:val="24"/>
        </w:rPr>
      </w:pPr>
      <w:r>
        <w:rPr>
          <w:rFonts w:hint="eastAsia" w:ascii="宋体" w:hAnsi="宋体" w:eastAsia="宋体" w:cs="宋体"/>
          <w:sz w:val="24"/>
          <w:szCs w:val="24"/>
        </w:rPr>
        <w:t>（公示期：2023年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25</w:t>
      </w:r>
      <w:r>
        <w:rPr>
          <w:rFonts w:hint="eastAsia" w:ascii="宋体" w:hAnsi="宋体" w:eastAsia="宋体" w:cs="宋体"/>
          <w:sz w:val="24"/>
          <w:szCs w:val="24"/>
        </w:rPr>
        <w:t>日至 2023年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28</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45"/>
        <w:gridCol w:w="1404"/>
        <w:gridCol w:w="1129"/>
        <w:gridCol w:w="248"/>
        <w:gridCol w:w="1273"/>
        <w:gridCol w:w="750"/>
        <w:gridCol w:w="121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重庆乌江白马航电枢纽工程生产管理用房施工</w:t>
            </w:r>
          </w:p>
        </w:tc>
        <w:tc>
          <w:tcPr>
            <w:tcW w:w="1966"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56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64509685.59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50000120230828001020101</w:t>
            </w:r>
          </w:p>
        </w:tc>
        <w:tc>
          <w:tcPr>
            <w:tcW w:w="1966"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566" w:type="dxa"/>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966"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566" w:type="dxa"/>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重庆白马航运发展有限公司</w:t>
            </w:r>
          </w:p>
        </w:tc>
        <w:tc>
          <w:tcPr>
            <w:tcW w:w="1966"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5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023-77770015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966"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56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44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404"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377"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273"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532"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widowControl/>
              <w:jc w:val="left"/>
              <w:rPr>
                <w:rFonts w:ascii="宋体" w:hAnsi="宋体" w:eastAsia="宋体" w:cs="宋体"/>
                <w:color w:val="000000"/>
                <w:kern w:val="0"/>
                <w:szCs w:val="21"/>
              </w:rPr>
            </w:pPr>
          </w:p>
        </w:tc>
        <w:tc>
          <w:tcPr>
            <w:tcW w:w="1445" w:type="dxa"/>
            <w:vMerge w:val="continue"/>
            <w:vAlign w:val="center"/>
          </w:tcPr>
          <w:p>
            <w:pPr>
              <w:widowControl/>
              <w:jc w:val="left"/>
              <w:rPr>
                <w:rFonts w:ascii="宋体" w:hAnsi="宋体" w:eastAsia="宋体" w:cs="宋体"/>
                <w:color w:val="000000"/>
                <w:kern w:val="0"/>
                <w:szCs w:val="21"/>
              </w:rPr>
            </w:pPr>
          </w:p>
        </w:tc>
        <w:tc>
          <w:tcPr>
            <w:tcW w:w="1404" w:type="dxa"/>
            <w:vMerge w:val="continue"/>
            <w:vAlign w:val="center"/>
          </w:tcPr>
          <w:p>
            <w:pPr>
              <w:widowControl/>
              <w:jc w:val="left"/>
              <w:rPr>
                <w:rFonts w:ascii="宋体" w:hAnsi="宋体" w:eastAsia="宋体" w:cs="宋体"/>
                <w:color w:val="000000"/>
                <w:kern w:val="0"/>
                <w:szCs w:val="21"/>
              </w:rPr>
            </w:pPr>
          </w:p>
        </w:tc>
        <w:tc>
          <w:tcPr>
            <w:tcW w:w="1377" w:type="dxa"/>
            <w:gridSpan w:val="2"/>
            <w:vMerge w:val="continue"/>
            <w:vAlign w:val="center"/>
          </w:tcPr>
          <w:p>
            <w:pPr>
              <w:widowControl/>
              <w:jc w:val="left"/>
              <w:rPr>
                <w:rFonts w:ascii="宋体" w:hAnsi="宋体" w:eastAsia="宋体" w:cs="宋体"/>
                <w:color w:val="000000"/>
                <w:kern w:val="0"/>
                <w:szCs w:val="21"/>
              </w:rPr>
            </w:pPr>
          </w:p>
        </w:tc>
        <w:tc>
          <w:tcPr>
            <w:tcW w:w="1273" w:type="dxa"/>
            <w:vMerge w:val="continue"/>
            <w:vAlign w:val="center"/>
          </w:tcPr>
          <w:p>
            <w:pPr>
              <w:widowControl/>
              <w:jc w:val="left"/>
              <w:rPr>
                <w:rFonts w:ascii="宋体" w:hAnsi="宋体" w:eastAsia="宋体" w:cs="宋体"/>
                <w:color w:val="000000"/>
                <w:kern w:val="0"/>
                <w:szCs w:val="21"/>
              </w:rPr>
            </w:pPr>
          </w:p>
        </w:tc>
        <w:tc>
          <w:tcPr>
            <w:tcW w:w="7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2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5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445" w:type="dxa"/>
            <w:shd w:val="clear" w:color="auto" w:fill="auto"/>
            <w:vAlign w:val="center"/>
          </w:tcPr>
          <w:p>
            <w:pPr>
              <w:widowControl/>
              <w:spacing w:line="40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黑龙江省六建建筑工程有限责任公司</w:t>
            </w:r>
          </w:p>
        </w:tc>
        <w:tc>
          <w:tcPr>
            <w:tcW w:w="1404" w:type="dxa"/>
            <w:shd w:val="clear" w:color="auto" w:fill="auto"/>
            <w:vAlign w:val="center"/>
          </w:tcPr>
          <w:p>
            <w:pPr>
              <w:widowControl/>
              <w:spacing w:line="5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46446981.38</w:t>
            </w:r>
          </w:p>
        </w:tc>
        <w:tc>
          <w:tcPr>
            <w:tcW w:w="1377" w:type="dxa"/>
            <w:gridSpan w:val="2"/>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达到招标文件的要求</w:t>
            </w:r>
          </w:p>
        </w:tc>
        <w:tc>
          <w:tcPr>
            <w:tcW w:w="1273"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达到招标文件的要求</w:t>
            </w:r>
          </w:p>
        </w:tc>
        <w:tc>
          <w:tcPr>
            <w:tcW w:w="75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肖春亮</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职称证书、一级建造师注册证</w:t>
            </w:r>
          </w:p>
          <w:p>
            <w:pPr>
              <w:widowControl/>
              <w:jc w:val="center"/>
              <w:rPr>
                <w:rFonts w:hint="eastAsia" w:ascii="宋体" w:hAnsi="宋体" w:eastAsia="宋体" w:cs="宋体"/>
                <w:color w:val="000000"/>
                <w:kern w:val="0"/>
                <w:szCs w:val="21"/>
                <w:lang w:eastAsia="zh-CN"/>
              </w:rPr>
            </w:pPr>
          </w:p>
        </w:tc>
        <w:tc>
          <w:tcPr>
            <w:tcW w:w="1566" w:type="dxa"/>
            <w:shd w:val="clear" w:color="auto" w:fill="auto"/>
            <w:vAlign w:val="center"/>
          </w:tcPr>
          <w:p>
            <w:pPr>
              <w:pStyle w:val="27"/>
              <w:jc w:val="center"/>
              <w:rPr>
                <w:rFonts w:hint="eastAsia" w:eastAsia="宋体"/>
                <w:sz w:val="21"/>
                <w:szCs w:val="21"/>
                <w:lang w:eastAsia="zh-CN"/>
              </w:rPr>
            </w:pPr>
            <w:r>
              <w:rPr>
                <w:rFonts w:hint="eastAsia"/>
                <w:sz w:val="21"/>
                <w:szCs w:val="21"/>
                <w:lang w:val="en-US" w:eastAsia="zh-CN"/>
              </w:rPr>
              <w:t>A941811040、</w:t>
            </w:r>
            <w:r>
              <w:rPr>
                <w:rFonts w:hint="eastAsia" w:eastAsia="宋体"/>
                <w:sz w:val="21"/>
                <w:szCs w:val="21"/>
                <w:lang w:val="en-US" w:eastAsia="zh-CN"/>
              </w:rPr>
              <w:t>黑1232015201607276</w:t>
            </w:r>
          </w:p>
          <w:p>
            <w:pPr>
              <w:pStyle w:val="27"/>
              <w:jc w:val="center"/>
              <w:rPr>
                <w:rFonts w:hint="eastAsia"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445" w:type="dxa"/>
            <w:shd w:val="clear" w:color="auto" w:fill="auto"/>
            <w:vAlign w:val="center"/>
          </w:tcPr>
          <w:p>
            <w:pPr>
              <w:widowControl/>
              <w:spacing w:line="40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中建建工建设有限公司</w:t>
            </w:r>
          </w:p>
        </w:tc>
        <w:tc>
          <w:tcPr>
            <w:tcW w:w="1404" w:type="dxa"/>
            <w:shd w:val="clear" w:color="auto" w:fill="auto"/>
            <w:vAlign w:val="center"/>
          </w:tcPr>
          <w:p>
            <w:pPr>
              <w:widowControl/>
              <w:spacing w:line="5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47046434.09 </w:t>
            </w:r>
          </w:p>
        </w:tc>
        <w:tc>
          <w:tcPr>
            <w:tcW w:w="1377" w:type="dxa"/>
            <w:gridSpan w:val="2"/>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达到招标文件的要求</w:t>
            </w:r>
          </w:p>
        </w:tc>
        <w:tc>
          <w:tcPr>
            <w:tcW w:w="1273"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达到招标文件的要求</w:t>
            </w:r>
          </w:p>
        </w:tc>
        <w:tc>
          <w:tcPr>
            <w:tcW w:w="7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石金双</w:t>
            </w:r>
          </w:p>
        </w:tc>
        <w:tc>
          <w:tcPr>
            <w:tcW w:w="12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职称证书、一级建造师注册证</w:t>
            </w:r>
          </w:p>
        </w:tc>
        <w:tc>
          <w:tcPr>
            <w:tcW w:w="1566"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00040219、</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鄂1422019202006150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445" w:type="dxa"/>
            <w:shd w:val="clear" w:color="auto" w:fill="auto"/>
            <w:vAlign w:val="center"/>
          </w:tcPr>
          <w:p>
            <w:pPr>
              <w:widowControl/>
              <w:spacing w:line="4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誉海建设集团有限公司</w:t>
            </w:r>
          </w:p>
        </w:tc>
        <w:tc>
          <w:tcPr>
            <w:tcW w:w="1404" w:type="dxa"/>
            <w:shd w:val="clear" w:color="auto" w:fill="auto"/>
            <w:vAlign w:val="center"/>
          </w:tcPr>
          <w:p>
            <w:pPr>
              <w:widowControl/>
              <w:spacing w:line="500" w:lineRule="exact"/>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48187067.74</w:t>
            </w:r>
          </w:p>
        </w:tc>
        <w:tc>
          <w:tcPr>
            <w:tcW w:w="137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达到招标文件的要求</w:t>
            </w:r>
          </w:p>
        </w:tc>
        <w:tc>
          <w:tcPr>
            <w:tcW w:w="1273"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达到招标文件的要求</w:t>
            </w:r>
          </w:p>
        </w:tc>
        <w:tc>
          <w:tcPr>
            <w:tcW w:w="75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郑齐生</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职称证书、一级建造师注册证</w:t>
            </w:r>
          </w:p>
        </w:tc>
        <w:tc>
          <w:tcPr>
            <w:tcW w:w="1566"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11071007、</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晋1142007200801911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9031" w:type="dxa"/>
            <w:gridSpan w:val="8"/>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9031" w:type="dxa"/>
            <w:gridSpan w:val="8"/>
            <w:shd w:val="clear" w:color="auto" w:fill="auto"/>
            <w:vAlign w:val="center"/>
          </w:tcPr>
          <w:p>
            <w:pPr>
              <w:widowControl/>
              <w:numPr>
                <w:ilvl w:val="0"/>
                <w:numId w:val="1"/>
              </w:numPr>
              <w:ind w:firstLine="422" w:firstLineChars="200"/>
              <w:jc w:val="left"/>
              <w:rPr>
                <w:rFonts w:hint="default" w:ascii="宋体" w:hAnsi="Times New Roman" w:eastAsia="宋体" w:cs="宋体"/>
                <w:kern w:val="0"/>
                <w:sz w:val="21"/>
                <w:szCs w:val="21"/>
                <w:lang w:val="en-US" w:eastAsia="zh-CN" w:bidi="ar-SA"/>
              </w:rPr>
            </w:pPr>
            <w:r>
              <w:rPr>
                <w:rFonts w:hint="eastAsia" w:ascii="宋体" w:hAnsi="宋体" w:eastAsia="宋体" w:cs="宋体"/>
                <w:b/>
                <w:bCs/>
                <w:szCs w:val="21"/>
              </w:rPr>
              <w:t>否决投标情况：</w:t>
            </w:r>
            <w:r>
              <w:rPr>
                <w:rFonts w:hint="eastAsia" w:ascii="宋体" w:hAnsi="宋体" w:eastAsia="宋体" w:cs="宋体"/>
                <w:b/>
                <w:bCs/>
                <w:szCs w:val="21"/>
                <w:lang w:eastAsia="zh-CN"/>
              </w:rPr>
              <w:t>无。</w:t>
            </w:r>
          </w:p>
          <w:p>
            <w:pPr>
              <w:widowControl/>
              <w:numPr>
                <w:ilvl w:val="0"/>
                <w:numId w:val="0"/>
              </w:numPr>
              <w:ind w:firstLine="421"/>
              <w:jc w:val="left"/>
              <w:rPr>
                <w:rFonts w:hint="default" w:ascii="宋体" w:hAnsi="Times New Roman" w:eastAsia="宋体" w:cs="宋体"/>
                <w:kern w:val="0"/>
                <w:sz w:val="21"/>
                <w:szCs w:val="21"/>
                <w:lang w:val="en-US" w:eastAsia="zh-CN" w:bidi="ar-SA"/>
              </w:rPr>
            </w:pPr>
            <w:bookmarkStart w:id="1" w:name="_GoBack"/>
            <w:bookmarkEnd w:id="1"/>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8"/>
              <w:ind w:firstLineChars="200"/>
            </w:pPr>
            <w:r>
              <w:rPr>
                <w:rFonts w:hint="eastAsia"/>
              </w:rPr>
              <w:t>第一中标候选人：</w:t>
            </w:r>
            <w:r>
              <w:rPr>
                <w:rFonts w:hint="eastAsia" w:ascii="宋体" w:hAnsi="宋体" w:eastAsia="宋体" w:cs="宋体"/>
                <w:color w:val="000000"/>
                <w:kern w:val="0"/>
                <w:szCs w:val="21"/>
                <w:lang w:eastAsia="zh-CN"/>
              </w:rPr>
              <w:t>黑龙江省六建建筑工程有限责任公司</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w:t>
            </w:r>
            <w:r>
              <w:rPr>
                <w:rFonts w:hint="eastAsia" w:ascii="宋体" w:hAnsi="宋体" w:eastAsia="宋体" w:cs="宋体"/>
                <w:color w:val="000000"/>
                <w:kern w:val="0"/>
                <w:szCs w:val="21"/>
                <w:lang w:val="en-US" w:eastAsia="zh-CN"/>
              </w:rPr>
              <w:t>松北区E-02-04-02号地块(华润置地·万象府）项目工程施工</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项目经理业绩：</w:t>
            </w:r>
            <w:r>
              <w:rPr>
                <w:rFonts w:hint="eastAsia" w:ascii="宋体" w:hAnsi="宋体" w:eastAsia="宋体" w:cs="宋体"/>
                <w:color w:val="000000"/>
                <w:kern w:val="0"/>
                <w:szCs w:val="21"/>
                <w:lang w:val="en-US" w:eastAsia="zh-CN"/>
              </w:rPr>
              <w:t>华润置地·昆仑御II期项目</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 xml:space="preserve">第二中标候选人：中建建工建设有限公司 </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w:t>
            </w:r>
            <w:r>
              <w:rPr>
                <w:rFonts w:hint="eastAsia" w:ascii="宋体" w:hAnsi="宋体" w:eastAsia="宋体" w:cs="宋体"/>
                <w:color w:val="000000"/>
                <w:kern w:val="0"/>
                <w:szCs w:val="21"/>
                <w:lang w:val="en-US" w:eastAsia="zh-CN"/>
              </w:rPr>
              <w:t>阳新慈济医院大楼新建及附属工程</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项目经理业绩：</w:t>
            </w:r>
            <w:r>
              <w:rPr>
                <w:rFonts w:hint="eastAsia" w:ascii="宋体" w:hAnsi="宋体" w:eastAsia="宋体" w:cs="宋体"/>
                <w:color w:val="000000"/>
                <w:kern w:val="0"/>
                <w:szCs w:val="21"/>
                <w:lang w:val="en-US" w:eastAsia="zh-CN"/>
              </w:rPr>
              <w:t>阳新妇幼保健院二期新建大楼项目</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第三中标候选人：</w:t>
            </w:r>
            <w:r>
              <w:rPr>
                <w:rFonts w:hint="eastAsia" w:ascii="宋体" w:hAnsi="宋体" w:eastAsia="宋体" w:cs="宋体"/>
                <w:color w:val="000000"/>
                <w:kern w:val="0"/>
                <w:szCs w:val="21"/>
              </w:rPr>
              <w:t>誉海建设集团有限公司</w:t>
            </w:r>
            <w:r>
              <w:rPr>
                <w:rFonts w:hint="eastAsia" w:ascii="宋体" w:hAnsi="宋体" w:eastAsia="宋体" w:cs="宋体"/>
                <w:color w:val="000000"/>
                <w:kern w:val="0"/>
                <w:szCs w:val="21"/>
                <w:lang w:eastAsia="zh-CN"/>
              </w:rPr>
              <w:t xml:space="preserve"> </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w:t>
            </w:r>
            <w:r>
              <w:rPr>
                <w:rFonts w:hint="eastAsia" w:ascii="宋体" w:hAnsi="宋体" w:eastAsia="宋体" w:cs="宋体"/>
                <w:color w:val="000000"/>
                <w:kern w:val="0"/>
                <w:szCs w:val="21"/>
                <w:lang w:val="en-US" w:eastAsia="zh-CN"/>
              </w:rPr>
              <w:t>榆次电缆厂北宿舍区改造项目（榆次城建·燕园小区）一标段</w:t>
            </w:r>
          </w:p>
          <w:p>
            <w:pPr>
              <w:pStyle w:val="8"/>
              <w:ind w:firstLineChars="2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项目经理业绩：</w:t>
            </w:r>
            <w:r>
              <w:rPr>
                <w:rFonts w:hint="eastAsia" w:ascii="宋体" w:hAnsi="宋体" w:eastAsia="宋体" w:cs="宋体"/>
                <w:color w:val="000000"/>
                <w:kern w:val="0"/>
                <w:szCs w:val="21"/>
                <w:lang w:val="en-US" w:eastAsia="zh-CN"/>
              </w:rPr>
              <w:t>榆次电缆厂北宿舍区改造项目（榆次城建·燕园小区）一标段</w:t>
            </w:r>
          </w:p>
          <w:p>
            <w:pPr>
              <w:pStyle w:val="8"/>
              <w:ind w:firstLineChars="200"/>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9031" w:type="dxa"/>
            <w:gridSpan w:val="8"/>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r>
              <w:rPr>
                <w:rFonts w:hint="eastAsia" w:ascii="宋体" w:hAnsi="宋体"/>
                <w:spacing w:val="4"/>
                <w:kern w:val="0"/>
                <w:szCs w:val="21"/>
              </w:rPr>
              <w:t>投标函部分及经济部分评审</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9031" w:type="dxa"/>
            <w:gridSpan w:val="8"/>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default" w:ascii="宋体" w:hAnsi="宋体" w:eastAsia="宋体" w:cs="宋体"/>
                <w:color w:val="000000"/>
                <w:kern w:val="0"/>
                <w:szCs w:val="21"/>
              </w:rPr>
              <w:t>重庆白马航运发展有限公司</w:t>
            </w:r>
            <w:r>
              <w:rPr>
                <w:rFonts w:hint="eastAsia" w:ascii="宋体" w:hAnsi="宋体" w:eastAsia="宋体" w:cs="宋体"/>
                <w:kern w:val="0"/>
                <w:szCs w:val="21"/>
              </w:rPr>
              <w:t>(联系人：</w:t>
            </w:r>
            <w:r>
              <w:rPr>
                <w:rFonts w:hint="eastAsia" w:ascii="宋体" w:hAnsi="宋体" w:eastAsia="宋体" w:cs="宋体"/>
                <w:kern w:val="0"/>
                <w:szCs w:val="21"/>
                <w:lang w:eastAsia="zh-CN"/>
              </w:rPr>
              <w:t>张</w:t>
            </w:r>
            <w:r>
              <w:rPr>
                <w:rFonts w:hint="eastAsia" w:ascii="宋体" w:hAnsi="宋体" w:eastAsia="宋体" w:cs="宋体"/>
                <w:kern w:val="0"/>
                <w:szCs w:val="21"/>
              </w:rPr>
              <w:t>老师，联系电话：</w:t>
            </w:r>
            <w:r>
              <w:rPr>
                <w:rFonts w:hint="eastAsia" w:ascii="宋体" w:hAnsi="宋体" w:eastAsia="宋体" w:cs="宋体"/>
                <w:color w:val="000000"/>
                <w:kern w:val="0"/>
                <w:sz w:val="21"/>
                <w:szCs w:val="21"/>
                <w:lang w:val="en-US" w:eastAsia="zh-CN" w:bidi="ar-SA"/>
              </w:rPr>
              <w:t>023-77770015</w:t>
            </w:r>
            <w:r>
              <w:rPr>
                <w:rFonts w:hint="eastAsia" w:ascii="宋体" w:hAnsi="宋体" w:eastAsia="宋体" w:cs="宋体"/>
                <w:kern w:val="0"/>
                <w:szCs w:val="21"/>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default" w:ascii="宋体" w:hAnsi="宋体" w:eastAsia="宋体" w:cs="宋体"/>
                <w:color w:val="000000"/>
                <w:kern w:val="0"/>
                <w:szCs w:val="21"/>
              </w:rPr>
              <w:t>重庆白马航运发展有限公司</w:t>
            </w:r>
            <w:r>
              <w:rPr>
                <w:rFonts w:hint="eastAsia" w:ascii="宋体" w:hAnsi="宋体" w:eastAsia="宋体" w:cs="宋体"/>
                <w:szCs w:val="21"/>
              </w:rPr>
              <w:t xml:space="preserve"> </w:t>
            </w:r>
          </w:p>
          <w:p>
            <w:pPr>
              <w:pStyle w:val="8"/>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2023年</w:t>
            </w: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25</w:t>
            </w:r>
            <w:r>
              <w:rPr>
                <w:rFonts w:hint="eastAsia" w:ascii="宋体" w:hAnsi="宋体" w:eastAsia="宋体" w:cs="宋体"/>
                <w:color w:val="000000"/>
                <w:kern w:val="0"/>
                <w:szCs w:val="21"/>
              </w:rPr>
              <w:t>日</w:t>
            </w:r>
          </w:p>
        </w:tc>
        <w:tc>
          <w:tcPr>
            <w:tcW w:w="5053" w:type="dxa"/>
            <w:gridSpan w:val="5"/>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2023年</w:t>
            </w:r>
            <w:r>
              <w:rPr>
                <w:rFonts w:hint="eastAsia" w:ascii="宋体" w:hAnsi="宋体" w:eastAsia="宋体" w:cs="宋体"/>
                <w:color w:val="000000"/>
                <w:kern w:val="0"/>
                <w:szCs w:val="21"/>
                <w:lang w:val="en-US" w:eastAsia="zh-CN"/>
              </w:rPr>
              <w:t>12</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25</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EBF1"/>
    <w:multiLevelType w:val="singleLevel"/>
    <w:tmpl w:val="A798E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013E"/>
    <w:rsid w:val="00012D4A"/>
    <w:rsid w:val="0001632B"/>
    <w:rsid w:val="00016954"/>
    <w:rsid w:val="0002321C"/>
    <w:rsid w:val="00025C78"/>
    <w:rsid w:val="00045E24"/>
    <w:rsid w:val="00097B30"/>
    <w:rsid w:val="000A4470"/>
    <w:rsid w:val="000B0BEF"/>
    <w:rsid w:val="000C196D"/>
    <w:rsid w:val="000C480C"/>
    <w:rsid w:val="000D19B1"/>
    <w:rsid w:val="000D33BD"/>
    <w:rsid w:val="00104F3B"/>
    <w:rsid w:val="00111AC5"/>
    <w:rsid w:val="00121D39"/>
    <w:rsid w:val="001400BD"/>
    <w:rsid w:val="0014166A"/>
    <w:rsid w:val="00142C64"/>
    <w:rsid w:val="00152E33"/>
    <w:rsid w:val="001542F2"/>
    <w:rsid w:val="001557A7"/>
    <w:rsid w:val="001606AA"/>
    <w:rsid w:val="00166B04"/>
    <w:rsid w:val="00166FCA"/>
    <w:rsid w:val="00197768"/>
    <w:rsid w:val="001C0B9F"/>
    <w:rsid w:val="001E641F"/>
    <w:rsid w:val="00200E70"/>
    <w:rsid w:val="0020386D"/>
    <w:rsid w:val="00231921"/>
    <w:rsid w:val="002510EF"/>
    <w:rsid w:val="0025727D"/>
    <w:rsid w:val="00275116"/>
    <w:rsid w:val="00276DAB"/>
    <w:rsid w:val="002A4878"/>
    <w:rsid w:val="002B5EF1"/>
    <w:rsid w:val="002C3DB5"/>
    <w:rsid w:val="00303935"/>
    <w:rsid w:val="0034751D"/>
    <w:rsid w:val="00355274"/>
    <w:rsid w:val="00357AFE"/>
    <w:rsid w:val="0036350E"/>
    <w:rsid w:val="0039219A"/>
    <w:rsid w:val="003D1E45"/>
    <w:rsid w:val="003D2025"/>
    <w:rsid w:val="00424336"/>
    <w:rsid w:val="004402FA"/>
    <w:rsid w:val="00447B3F"/>
    <w:rsid w:val="00470346"/>
    <w:rsid w:val="00472CFE"/>
    <w:rsid w:val="004800B2"/>
    <w:rsid w:val="004A4D53"/>
    <w:rsid w:val="004C0C1C"/>
    <w:rsid w:val="004D5DAD"/>
    <w:rsid w:val="00515749"/>
    <w:rsid w:val="00527DC5"/>
    <w:rsid w:val="00530A0E"/>
    <w:rsid w:val="00545BE0"/>
    <w:rsid w:val="0055752E"/>
    <w:rsid w:val="00592EBF"/>
    <w:rsid w:val="005D3AA2"/>
    <w:rsid w:val="005E5399"/>
    <w:rsid w:val="005F7769"/>
    <w:rsid w:val="006139D3"/>
    <w:rsid w:val="00635D42"/>
    <w:rsid w:val="006451A7"/>
    <w:rsid w:val="00652E57"/>
    <w:rsid w:val="006531AE"/>
    <w:rsid w:val="00671E9A"/>
    <w:rsid w:val="00674073"/>
    <w:rsid w:val="0068610F"/>
    <w:rsid w:val="006A71D4"/>
    <w:rsid w:val="006B7907"/>
    <w:rsid w:val="006F798E"/>
    <w:rsid w:val="007059B2"/>
    <w:rsid w:val="00714D93"/>
    <w:rsid w:val="00734D3C"/>
    <w:rsid w:val="00753D86"/>
    <w:rsid w:val="007556D1"/>
    <w:rsid w:val="00761EC2"/>
    <w:rsid w:val="007B0476"/>
    <w:rsid w:val="007B7173"/>
    <w:rsid w:val="007C2463"/>
    <w:rsid w:val="007C4F8D"/>
    <w:rsid w:val="007E52F0"/>
    <w:rsid w:val="0083597E"/>
    <w:rsid w:val="00842646"/>
    <w:rsid w:val="00842A8D"/>
    <w:rsid w:val="00847139"/>
    <w:rsid w:val="008D1205"/>
    <w:rsid w:val="008D2F11"/>
    <w:rsid w:val="00915AAB"/>
    <w:rsid w:val="009353B9"/>
    <w:rsid w:val="0094601E"/>
    <w:rsid w:val="00992FBC"/>
    <w:rsid w:val="00A244C1"/>
    <w:rsid w:val="00A25924"/>
    <w:rsid w:val="00A31598"/>
    <w:rsid w:val="00A32478"/>
    <w:rsid w:val="00A55358"/>
    <w:rsid w:val="00A769A2"/>
    <w:rsid w:val="00AB3108"/>
    <w:rsid w:val="00AB56E2"/>
    <w:rsid w:val="00AC4E96"/>
    <w:rsid w:val="00AC5EA2"/>
    <w:rsid w:val="00AD0F18"/>
    <w:rsid w:val="00AF0590"/>
    <w:rsid w:val="00B2007A"/>
    <w:rsid w:val="00B3562F"/>
    <w:rsid w:val="00B41CEB"/>
    <w:rsid w:val="00B7098C"/>
    <w:rsid w:val="00B7219C"/>
    <w:rsid w:val="00B74133"/>
    <w:rsid w:val="00B83271"/>
    <w:rsid w:val="00BA06A0"/>
    <w:rsid w:val="00BA34F3"/>
    <w:rsid w:val="00BA3D04"/>
    <w:rsid w:val="00BB230C"/>
    <w:rsid w:val="00BE0377"/>
    <w:rsid w:val="00BE2C8D"/>
    <w:rsid w:val="00C10F95"/>
    <w:rsid w:val="00C47BC6"/>
    <w:rsid w:val="00C60C69"/>
    <w:rsid w:val="00C8563D"/>
    <w:rsid w:val="00CE2D60"/>
    <w:rsid w:val="00D00C2E"/>
    <w:rsid w:val="00D024F6"/>
    <w:rsid w:val="00D05FFD"/>
    <w:rsid w:val="00D21AED"/>
    <w:rsid w:val="00D60327"/>
    <w:rsid w:val="00D61F1A"/>
    <w:rsid w:val="00D7518E"/>
    <w:rsid w:val="00D83F41"/>
    <w:rsid w:val="00D94702"/>
    <w:rsid w:val="00DB67DE"/>
    <w:rsid w:val="00DC4B33"/>
    <w:rsid w:val="00DD64D7"/>
    <w:rsid w:val="00E02AF1"/>
    <w:rsid w:val="00E06970"/>
    <w:rsid w:val="00E10F26"/>
    <w:rsid w:val="00E12830"/>
    <w:rsid w:val="00E262F3"/>
    <w:rsid w:val="00E348AC"/>
    <w:rsid w:val="00E43D05"/>
    <w:rsid w:val="00E504B3"/>
    <w:rsid w:val="00E60402"/>
    <w:rsid w:val="00E66234"/>
    <w:rsid w:val="00E66CBA"/>
    <w:rsid w:val="00E755E8"/>
    <w:rsid w:val="00E82C48"/>
    <w:rsid w:val="00E864E2"/>
    <w:rsid w:val="00ED1AAC"/>
    <w:rsid w:val="00EE3140"/>
    <w:rsid w:val="00F3019E"/>
    <w:rsid w:val="00F51C94"/>
    <w:rsid w:val="00F57942"/>
    <w:rsid w:val="00F83723"/>
    <w:rsid w:val="00FA2572"/>
    <w:rsid w:val="00FA70B9"/>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D8788F"/>
    <w:rsid w:val="05084002"/>
    <w:rsid w:val="052E68D2"/>
    <w:rsid w:val="058613C5"/>
    <w:rsid w:val="058C19EA"/>
    <w:rsid w:val="06517F41"/>
    <w:rsid w:val="066D465F"/>
    <w:rsid w:val="069E55AE"/>
    <w:rsid w:val="079F4273"/>
    <w:rsid w:val="07CB737D"/>
    <w:rsid w:val="07E020D6"/>
    <w:rsid w:val="08883473"/>
    <w:rsid w:val="08AB4512"/>
    <w:rsid w:val="096D145F"/>
    <w:rsid w:val="09D65898"/>
    <w:rsid w:val="09FE0DC9"/>
    <w:rsid w:val="0A1D1B7F"/>
    <w:rsid w:val="0ACD103F"/>
    <w:rsid w:val="0BB44A56"/>
    <w:rsid w:val="0BC816BB"/>
    <w:rsid w:val="0CAE2A7A"/>
    <w:rsid w:val="0CB9696A"/>
    <w:rsid w:val="0CD01B29"/>
    <w:rsid w:val="0CFF25FC"/>
    <w:rsid w:val="0DE72D7F"/>
    <w:rsid w:val="0DF404F2"/>
    <w:rsid w:val="0E8205C8"/>
    <w:rsid w:val="0FFC0C8F"/>
    <w:rsid w:val="105E0260"/>
    <w:rsid w:val="10B627F1"/>
    <w:rsid w:val="112175BD"/>
    <w:rsid w:val="11320BDD"/>
    <w:rsid w:val="12AB471C"/>
    <w:rsid w:val="12FB0D10"/>
    <w:rsid w:val="14137C91"/>
    <w:rsid w:val="14420F6A"/>
    <w:rsid w:val="145D0625"/>
    <w:rsid w:val="16626B8B"/>
    <w:rsid w:val="179633E6"/>
    <w:rsid w:val="17F9563A"/>
    <w:rsid w:val="185B2121"/>
    <w:rsid w:val="18B4699D"/>
    <w:rsid w:val="18B633C7"/>
    <w:rsid w:val="19384759"/>
    <w:rsid w:val="1A2B04F0"/>
    <w:rsid w:val="1AE15197"/>
    <w:rsid w:val="1B277D73"/>
    <w:rsid w:val="1B8902E4"/>
    <w:rsid w:val="1BBA54BC"/>
    <w:rsid w:val="1BF34215"/>
    <w:rsid w:val="1C861FDE"/>
    <w:rsid w:val="1C866998"/>
    <w:rsid w:val="1D6F76A1"/>
    <w:rsid w:val="1D750B84"/>
    <w:rsid w:val="1DAF5EC8"/>
    <w:rsid w:val="1DE63533"/>
    <w:rsid w:val="1DFB1B8F"/>
    <w:rsid w:val="1DFF7FB6"/>
    <w:rsid w:val="1EE7224B"/>
    <w:rsid w:val="1EF57312"/>
    <w:rsid w:val="1F30748C"/>
    <w:rsid w:val="1F3A0E58"/>
    <w:rsid w:val="20A860DE"/>
    <w:rsid w:val="215920A4"/>
    <w:rsid w:val="215E6324"/>
    <w:rsid w:val="219E053F"/>
    <w:rsid w:val="220E453A"/>
    <w:rsid w:val="220E529F"/>
    <w:rsid w:val="23236E31"/>
    <w:rsid w:val="23337857"/>
    <w:rsid w:val="234238C4"/>
    <w:rsid w:val="235D67F9"/>
    <w:rsid w:val="2503759B"/>
    <w:rsid w:val="254F2D3F"/>
    <w:rsid w:val="256E344C"/>
    <w:rsid w:val="25D24ADB"/>
    <w:rsid w:val="26464F96"/>
    <w:rsid w:val="26712036"/>
    <w:rsid w:val="26D61190"/>
    <w:rsid w:val="27084938"/>
    <w:rsid w:val="27285B13"/>
    <w:rsid w:val="275D1DD9"/>
    <w:rsid w:val="281A5DDA"/>
    <w:rsid w:val="2891185B"/>
    <w:rsid w:val="2A6F4EEB"/>
    <w:rsid w:val="2B700F38"/>
    <w:rsid w:val="2BAE28B6"/>
    <w:rsid w:val="2BB50879"/>
    <w:rsid w:val="2BD93961"/>
    <w:rsid w:val="2C0B774A"/>
    <w:rsid w:val="2CF8563E"/>
    <w:rsid w:val="2DBE0A3F"/>
    <w:rsid w:val="2E4219E8"/>
    <w:rsid w:val="2E5C00E2"/>
    <w:rsid w:val="2ED40F97"/>
    <w:rsid w:val="2EE239A5"/>
    <w:rsid w:val="2FBA3040"/>
    <w:rsid w:val="2FFF0473"/>
    <w:rsid w:val="3025063D"/>
    <w:rsid w:val="318D480D"/>
    <w:rsid w:val="31C26558"/>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3FF35358"/>
    <w:rsid w:val="42EF0054"/>
    <w:rsid w:val="430072A4"/>
    <w:rsid w:val="431253FC"/>
    <w:rsid w:val="43551BCF"/>
    <w:rsid w:val="43555406"/>
    <w:rsid w:val="43606D84"/>
    <w:rsid w:val="44E63A7A"/>
    <w:rsid w:val="455A5D44"/>
    <w:rsid w:val="463E1BCA"/>
    <w:rsid w:val="47A5430A"/>
    <w:rsid w:val="48BA7DE8"/>
    <w:rsid w:val="48E867E9"/>
    <w:rsid w:val="48FE2A7F"/>
    <w:rsid w:val="49806C01"/>
    <w:rsid w:val="49B26D1B"/>
    <w:rsid w:val="4AA57074"/>
    <w:rsid w:val="4B3E2CB3"/>
    <w:rsid w:val="4C8C454F"/>
    <w:rsid w:val="4CBA23F5"/>
    <w:rsid w:val="4CC44DF2"/>
    <w:rsid w:val="4E112593"/>
    <w:rsid w:val="4EB747B3"/>
    <w:rsid w:val="4EFF6821"/>
    <w:rsid w:val="4F000A74"/>
    <w:rsid w:val="4F214E00"/>
    <w:rsid w:val="4FA141B5"/>
    <w:rsid w:val="4FAC552A"/>
    <w:rsid w:val="509F768C"/>
    <w:rsid w:val="51842CE2"/>
    <w:rsid w:val="51ED3FF0"/>
    <w:rsid w:val="53DD2500"/>
    <w:rsid w:val="54FA4C13"/>
    <w:rsid w:val="550905BC"/>
    <w:rsid w:val="5603083E"/>
    <w:rsid w:val="56490FF1"/>
    <w:rsid w:val="56603974"/>
    <w:rsid w:val="571A55AA"/>
    <w:rsid w:val="572A610E"/>
    <w:rsid w:val="57B118DC"/>
    <w:rsid w:val="5846588B"/>
    <w:rsid w:val="590E61D1"/>
    <w:rsid w:val="599E0F86"/>
    <w:rsid w:val="5AB75F9B"/>
    <w:rsid w:val="5BA1749D"/>
    <w:rsid w:val="5BCA3AE7"/>
    <w:rsid w:val="5C840B4C"/>
    <w:rsid w:val="5C9A5ABA"/>
    <w:rsid w:val="5CF77BE2"/>
    <w:rsid w:val="5E1C2268"/>
    <w:rsid w:val="5E201CFE"/>
    <w:rsid w:val="5E460650"/>
    <w:rsid w:val="5ECE427C"/>
    <w:rsid w:val="5F4B33DD"/>
    <w:rsid w:val="5FA7135A"/>
    <w:rsid w:val="603E3B47"/>
    <w:rsid w:val="61086113"/>
    <w:rsid w:val="61841EAC"/>
    <w:rsid w:val="61BC44E8"/>
    <w:rsid w:val="62511A2C"/>
    <w:rsid w:val="62D367E9"/>
    <w:rsid w:val="62E464A6"/>
    <w:rsid w:val="62FC2B1E"/>
    <w:rsid w:val="630E6CD9"/>
    <w:rsid w:val="63B31E6F"/>
    <w:rsid w:val="63FA4BD1"/>
    <w:rsid w:val="65546849"/>
    <w:rsid w:val="65A81FB0"/>
    <w:rsid w:val="65C17F63"/>
    <w:rsid w:val="6622123E"/>
    <w:rsid w:val="66491632"/>
    <w:rsid w:val="66706891"/>
    <w:rsid w:val="67563263"/>
    <w:rsid w:val="67E41B93"/>
    <w:rsid w:val="699A27E5"/>
    <w:rsid w:val="6BB23E9F"/>
    <w:rsid w:val="6C586B74"/>
    <w:rsid w:val="6E31559E"/>
    <w:rsid w:val="6E7109A8"/>
    <w:rsid w:val="6F760A3B"/>
    <w:rsid w:val="6FAE2029"/>
    <w:rsid w:val="701E4BEC"/>
    <w:rsid w:val="70441112"/>
    <w:rsid w:val="70FF1151"/>
    <w:rsid w:val="711A16CA"/>
    <w:rsid w:val="716E7698"/>
    <w:rsid w:val="723800FD"/>
    <w:rsid w:val="72BB669E"/>
    <w:rsid w:val="734852BD"/>
    <w:rsid w:val="73F520F8"/>
    <w:rsid w:val="74136DE1"/>
    <w:rsid w:val="7555782A"/>
    <w:rsid w:val="757A409B"/>
    <w:rsid w:val="75955D41"/>
    <w:rsid w:val="761056E0"/>
    <w:rsid w:val="76676220"/>
    <w:rsid w:val="76851D82"/>
    <w:rsid w:val="77F8409C"/>
    <w:rsid w:val="7864215A"/>
    <w:rsid w:val="78643AAF"/>
    <w:rsid w:val="79144D3D"/>
    <w:rsid w:val="7A30719C"/>
    <w:rsid w:val="7A3D5EDD"/>
    <w:rsid w:val="7A983AC6"/>
    <w:rsid w:val="7AFB14AF"/>
    <w:rsid w:val="7BB92AAD"/>
    <w:rsid w:val="7C59064B"/>
    <w:rsid w:val="7D06056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5">
    <w:name w:val="Body Text"/>
    <w:basedOn w:val="1"/>
    <w:qFormat/>
    <w:uiPriority w:val="1"/>
    <w:rPr>
      <w:szCs w:val="21"/>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spacing w:after="120"/>
      <w:ind w:firstLine="420" w:firstLineChars="100"/>
    </w:pPr>
    <w:rPr>
      <w:rFonts w:ascii="Times New Roman" w:hAnsi="Times New Roman" w:cs="Times New Roman"/>
      <w:szCs w:val="24"/>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7"/>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6"/>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231</Words>
  <Characters>1320</Characters>
  <Lines>11</Lines>
  <Paragraphs>3</Paragraphs>
  <TotalTime>5</TotalTime>
  <ScaleCrop>false</ScaleCrop>
  <LinksUpToDate>false</LinksUpToDate>
  <CharactersWithSpaces>1548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ldh</cp:lastModifiedBy>
  <cp:lastPrinted>2022-05-24T07:10:00Z</cp:lastPrinted>
  <dcterms:modified xsi:type="dcterms:W3CDTF">2023-12-25T04:55:19Z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