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sz w:val="32"/>
          <w:szCs w:val="32"/>
        </w:rPr>
      </w:pPr>
    </w:p>
    <w:p>
      <w:pPr>
        <w:jc w:val="center"/>
        <w:rPr>
          <w:rFonts w:ascii="宋体" w:hAnsi="宋体" w:cs="宋体"/>
          <w:b/>
          <w:sz w:val="32"/>
          <w:szCs w:val="32"/>
        </w:rPr>
      </w:pPr>
      <w:r>
        <w:rPr>
          <w:rFonts w:hint="eastAsia" w:ascii="宋体" w:hAnsi="宋体" w:cs="宋体"/>
          <w:b/>
          <w:sz w:val="32"/>
          <w:szCs w:val="32"/>
        </w:rPr>
        <w:t>项目名称：重庆高速数据资源管理平台建设项目</w:t>
      </w:r>
    </w:p>
    <w:p>
      <w:pPr>
        <w:rPr>
          <w:rFonts w:ascii="宋体" w:hAnsi="宋体" w:cs="宋体"/>
          <w:sz w:val="28"/>
          <w:szCs w:val="28"/>
        </w:rPr>
      </w:pPr>
    </w:p>
    <w:p>
      <w:pPr>
        <w:jc w:val="center"/>
        <w:rPr>
          <w:rFonts w:ascii="宋体" w:hAnsi="宋体" w:cs="宋体"/>
          <w:b/>
          <w:sz w:val="48"/>
          <w:szCs w:val="48"/>
        </w:rPr>
      </w:pPr>
      <w:r>
        <w:rPr>
          <w:rFonts w:hint="eastAsia" w:ascii="宋体" w:hAnsi="宋体" w:cs="宋体"/>
          <w:b/>
          <w:sz w:val="48"/>
          <w:szCs w:val="48"/>
        </w:rPr>
        <w:t>竞</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争</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性</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比</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选</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文</w:t>
      </w:r>
    </w:p>
    <w:p>
      <w:pPr>
        <w:jc w:val="center"/>
        <w:rPr>
          <w:rFonts w:ascii="宋体" w:hAnsi="宋体" w:cs="宋体"/>
          <w:b/>
          <w:sz w:val="48"/>
          <w:szCs w:val="48"/>
        </w:rPr>
      </w:pPr>
    </w:p>
    <w:p>
      <w:pPr>
        <w:jc w:val="center"/>
        <w:rPr>
          <w:rFonts w:ascii="宋体" w:hAnsi="宋体" w:cs="宋体"/>
          <w:b/>
          <w:sz w:val="96"/>
          <w:szCs w:val="72"/>
        </w:rPr>
      </w:pPr>
      <w:r>
        <w:rPr>
          <w:rFonts w:hint="eastAsia" w:ascii="宋体" w:hAnsi="宋体" w:cs="宋体"/>
          <w:b/>
          <w:sz w:val="48"/>
          <w:szCs w:val="48"/>
        </w:rPr>
        <w:t>件</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
    <w:p>
      <w:pPr>
        <w:jc w:val="center"/>
        <w:rPr>
          <w:rFonts w:ascii="宋体" w:hAnsi="宋体" w:cs="宋体"/>
          <w:b/>
          <w:sz w:val="28"/>
          <w:szCs w:val="28"/>
        </w:rPr>
      </w:pPr>
      <w:r>
        <w:rPr>
          <w:rFonts w:hint="eastAsia" w:ascii="宋体" w:hAnsi="宋体" w:cs="宋体"/>
          <w:b/>
          <w:sz w:val="28"/>
          <w:szCs w:val="28"/>
        </w:rPr>
        <w:t>采购人：重庆首讯科技股份有限公司</w:t>
      </w:r>
    </w:p>
    <w:p>
      <w:pPr>
        <w:jc w:val="center"/>
        <w:rPr>
          <w:rFonts w:ascii="宋体" w:hAnsi="宋体" w:cs="宋体"/>
          <w:b/>
          <w:sz w:val="28"/>
          <w:szCs w:val="28"/>
        </w:rPr>
      </w:pPr>
      <w:r>
        <w:rPr>
          <w:rFonts w:hint="eastAsia" w:ascii="宋体" w:hAnsi="宋体" w:cs="宋体"/>
          <w:b/>
          <w:sz w:val="28"/>
          <w:szCs w:val="28"/>
          <w:u w:val="single"/>
        </w:rPr>
        <w:t>2023</w:t>
      </w:r>
      <w:r>
        <w:rPr>
          <w:rFonts w:hint="eastAsia" w:ascii="宋体" w:hAnsi="宋体" w:cs="宋体"/>
          <w:b/>
          <w:sz w:val="28"/>
          <w:szCs w:val="28"/>
        </w:rPr>
        <w:t>年</w:t>
      </w:r>
      <w:r>
        <w:rPr>
          <w:rFonts w:hint="eastAsia" w:ascii="宋体" w:hAnsi="宋体" w:cs="宋体"/>
          <w:b/>
          <w:sz w:val="28"/>
          <w:szCs w:val="28"/>
          <w:u w:val="single"/>
        </w:rPr>
        <w:t>12</w:t>
      </w:r>
      <w:r>
        <w:rPr>
          <w:rFonts w:hint="eastAsia" w:ascii="宋体" w:hAnsi="宋体" w:cs="宋体"/>
          <w:b/>
          <w:sz w:val="28"/>
          <w:szCs w:val="28"/>
        </w:rPr>
        <w:t>月</w:t>
      </w:r>
    </w:p>
    <w:p>
      <w:pPr>
        <w:pStyle w:val="28"/>
        <w:jc w:val="center"/>
        <w:rPr>
          <w:rFonts w:ascii="宋体" w:hAnsi="宋体" w:cs="宋体"/>
          <w:szCs w:val="21"/>
        </w:rPr>
      </w:pPr>
      <w:r>
        <w:br w:type="page"/>
      </w:r>
      <w:bookmarkStart w:id="0" w:name="_Toc246996898"/>
      <w:bookmarkStart w:id="1" w:name="_Toc247085669"/>
      <w:bookmarkStart w:id="2" w:name="_Toc507428442"/>
      <w:bookmarkStart w:id="3" w:name="_Toc507319889"/>
      <w:bookmarkStart w:id="4" w:name="_Toc296602400"/>
      <w:r>
        <w:rPr>
          <w:rFonts w:hint="eastAsia" w:ascii="宋体" w:hAnsi="宋体" w:cs="宋体"/>
          <w:b w:val="0"/>
          <w:sz w:val="32"/>
        </w:rPr>
        <w:t>目   录</w:t>
      </w:r>
      <w:bookmarkEnd w:id="0"/>
      <w:bookmarkEnd w:id="1"/>
      <w:bookmarkEnd w:id="2"/>
      <w:bookmarkEnd w:id="3"/>
      <w:bookmarkEnd w:id="4"/>
    </w:p>
    <w:p>
      <w:pPr>
        <w:pStyle w:val="28"/>
        <w:tabs>
          <w:tab w:val="right" w:leader="dot" w:pos="9638"/>
        </w:tabs>
      </w:pPr>
      <w:r>
        <w:rPr>
          <w:rFonts w:hint="eastAsia" w:ascii="宋体" w:hAnsi="宋体" w:cs="宋体"/>
          <w:b w:val="0"/>
          <w:bCs w:val="0"/>
          <w:caps w:val="0"/>
        </w:rPr>
        <w:fldChar w:fldCharType="begin"/>
      </w:r>
      <w:r>
        <w:rPr>
          <w:rFonts w:hint="eastAsia" w:ascii="宋体" w:hAnsi="宋体" w:cs="宋体"/>
          <w:b w:val="0"/>
          <w:bCs w:val="0"/>
          <w:caps w:val="0"/>
        </w:rPr>
        <w:instrText xml:space="preserve"> TOC \o "1-2" \h \z \u </w:instrText>
      </w:r>
      <w:r>
        <w:rPr>
          <w:rFonts w:hint="eastAsia" w:ascii="宋体" w:hAnsi="宋体" w:cs="宋体"/>
          <w:b w:val="0"/>
          <w:bCs w:val="0"/>
          <w:caps w:val="0"/>
        </w:rPr>
        <w:fldChar w:fldCharType="separate"/>
      </w:r>
      <w:r>
        <w:fldChar w:fldCharType="begin"/>
      </w:r>
      <w:r>
        <w:instrText xml:space="preserve"> HYPERLINK \l "_Toc18378" </w:instrText>
      </w:r>
      <w:r>
        <w:fldChar w:fldCharType="separate"/>
      </w:r>
      <w:r>
        <w:rPr>
          <w:rFonts w:hint="eastAsia" w:ascii="宋体" w:hAnsi="宋体" w:cs="宋体"/>
        </w:rPr>
        <w:t>第一章 比选公告</w:t>
      </w:r>
      <w:r>
        <w:tab/>
      </w:r>
      <w:r>
        <w:fldChar w:fldCharType="begin"/>
      </w:r>
      <w:r>
        <w:instrText xml:space="preserve"> PAGEREF _Toc18378 \h </w:instrText>
      </w:r>
      <w:r>
        <w:fldChar w:fldCharType="separate"/>
      </w:r>
      <w:r>
        <w:t>1</w:t>
      </w:r>
      <w:r>
        <w:fldChar w:fldCharType="end"/>
      </w:r>
      <w:r>
        <w:fldChar w:fldCharType="end"/>
      </w:r>
    </w:p>
    <w:p>
      <w:pPr>
        <w:pStyle w:val="28"/>
        <w:tabs>
          <w:tab w:val="right" w:leader="dot" w:pos="9638"/>
        </w:tabs>
      </w:pPr>
      <w:r>
        <w:fldChar w:fldCharType="begin"/>
      </w:r>
      <w:r>
        <w:instrText xml:space="preserve"> HYPERLINK \l "_Toc29948" </w:instrText>
      </w:r>
      <w:r>
        <w:fldChar w:fldCharType="separate"/>
      </w:r>
      <w:r>
        <w:rPr>
          <w:rFonts w:hint="eastAsia" w:ascii="宋体" w:hAnsi="宋体" w:cs="宋体"/>
        </w:rPr>
        <w:t>第二章 报价人须知</w:t>
      </w:r>
      <w:r>
        <w:tab/>
      </w:r>
      <w:r>
        <w:fldChar w:fldCharType="begin"/>
      </w:r>
      <w:r>
        <w:instrText xml:space="preserve"> PAGEREF _Toc29948 \h </w:instrText>
      </w:r>
      <w:r>
        <w:fldChar w:fldCharType="separate"/>
      </w:r>
      <w:r>
        <w:t>3</w:t>
      </w:r>
      <w:r>
        <w:fldChar w:fldCharType="end"/>
      </w:r>
      <w:r>
        <w:fldChar w:fldCharType="end"/>
      </w:r>
    </w:p>
    <w:p>
      <w:pPr>
        <w:pStyle w:val="28"/>
        <w:tabs>
          <w:tab w:val="right" w:leader="dot" w:pos="9638"/>
        </w:tabs>
      </w:pPr>
      <w:r>
        <w:fldChar w:fldCharType="begin"/>
      </w:r>
      <w:r>
        <w:instrText xml:space="preserve"> HYPERLINK \l "_Toc32070" </w:instrText>
      </w:r>
      <w:r>
        <w:fldChar w:fldCharType="separate"/>
      </w:r>
      <w:r>
        <w:rPr>
          <w:rFonts w:hint="eastAsia"/>
        </w:rPr>
        <w:t xml:space="preserve">第三章 </w:t>
      </w:r>
      <w:r>
        <w:rPr>
          <w:rFonts w:hint="eastAsia" w:ascii="宋体" w:hAnsi="宋体" w:cs="宋体"/>
        </w:rPr>
        <w:t>评标办法（综合评估法）</w:t>
      </w:r>
      <w:r>
        <w:tab/>
      </w:r>
      <w:r>
        <w:fldChar w:fldCharType="begin"/>
      </w:r>
      <w:r>
        <w:instrText xml:space="preserve"> PAGEREF _Toc32070 \h </w:instrText>
      </w:r>
      <w:r>
        <w:fldChar w:fldCharType="separate"/>
      </w:r>
      <w:r>
        <w:t>8</w:t>
      </w:r>
      <w:r>
        <w:fldChar w:fldCharType="end"/>
      </w:r>
      <w:r>
        <w:fldChar w:fldCharType="end"/>
      </w:r>
    </w:p>
    <w:p>
      <w:pPr>
        <w:pStyle w:val="28"/>
        <w:tabs>
          <w:tab w:val="right" w:leader="dot" w:pos="9638"/>
        </w:tabs>
      </w:pPr>
      <w:r>
        <w:fldChar w:fldCharType="begin"/>
      </w:r>
      <w:r>
        <w:instrText xml:space="preserve"> HYPERLINK \l "_Toc32568" </w:instrText>
      </w:r>
      <w:r>
        <w:fldChar w:fldCharType="separate"/>
      </w:r>
      <w:r>
        <w:rPr>
          <w:rFonts w:hint="eastAsia"/>
        </w:rPr>
        <w:t>第四章 报价说明</w:t>
      </w:r>
      <w:r>
        <w:tab/>
      </w:r>
      <w:r>
        <w:fldChar w:fldCharType="begin"/>
      </w:r>
      <w:r>
        <w:instrText xml:space="preserve"> PAGEREF _Toc32568 \h </w:instrText>
      </w:r>
      <w:r>
        <w:fldChar w:fldCharType="separate"/>
      </w:r>
      <w:r>
        <w:t>14</w:t>
      </w:r>
      <w:r>
        <w:fldChar w:fldCharType="end"/>
      </w:r>
      <w:r>
        <w:fldChar w:fldCharType="end"/>
      </w:r>
    </w:p>
    <w:p>
      <w:pPr>
        <w:pStyle w:val="28"/>
        <w:tabs>
          <w:tab w:val="right" w:leader="dot" w:pos="9638"/>
        </w:tabs>
      </w:pPr>
      <w:r>
        <w:fldChar w:fldCharType="begin"/>
      </w:r>
      <w:r>
        <w:instrText xml:space="preserve"> HYPERLINK \l "_Toc10838" </w:instrText>
      </w:r>
      <w:r>
        <w:fldChar w:fldCharType="separate"/>
      </w:r>
      <w:r>
        <w:rPr>
          <w:rFonts w:hint="eastAsia" w:ascii="宋体" w:hAnsi="宋体" w:cs="宋体"/>
        </w:rPr>
        <w:t>第五章  工程量清单</w:t>
      </w:r>
      <w:r>
        <w:tab/>
      </w:r>
      <w:r>
        <w:fldChar w:fldCharType="begin"/>
      </w:r>
      <w:r>
        <w:instrText xml:space="preserve"> PAGEREF _Toc10838 \h </w:instrText>
      </w:r>
      <w:r>
        <w:fldChar w:fldCharType="separate"/>
      </w:r>
      <w:r>
        <w:t>15</w:t>
      </w:r>
      <w:r>
        <w:fldChar w:fldCharType="end"/>
      </w:r>
      <w:r>
        <w:fldChar w:fldCharType="end"/>
      </w:r>
    </w:p>
    <w:p>
      <w:pPr>
        <w:pStyle w:val="28"/>
        <w:tabs>
          <w:tab w:val="right" w:leader="dot" w:pos="9638"/>
        </w:tabs>
      </w:pPr>
      <w:r>
        <w:fldChar w:fldCharType="begin"/>
      </w:r>
      <w:r>
        <w:instrText xml:space="preserve"> HYPERLINK \l "_Toc2064" </w:instrText>
      </w:r>
      <w:r>
        <w:fldChar w:fldCharType="separate"/>
      </w:r>
      <w:r>
        <w:rPr>
          <w:rFonts w:hint="eastAsia" w:ascii="宋体" w:hAnsi="宋体" w:cs="宋体"/>
        </w:rPr>
        <w:t>第六章  图  纸</w:t>
      </w:r>
      <w:r>
        <w:tab/>
      </w:r>
      <w:r>
        <w:fldChar w:fldCharType="begin"/>
      </w:r>
      <w:r>
        <w:instrText xml:space="preserve"> PAGEREF _Toc2064 \h </w:instrText>
      </w:r>
      <w:r>
        <w:fldChar w:fldCharType="separate"/>
      </w:r>
      <w:r>
        <w:t>16</w:t>
      </w:r>
      <w:r>
        <w:fldChar w:fldCharType="end"/>
      </w:r>
      <w:r>
        <w:fldChar w:fldCharType="end"/>
      </w:r>
    </w:p>
    <w:p>
      <w:pPr>
        <w:pStyle w:val="28"/>
        <w:tabs>
          <w:tab w:val="right" w:leader="dot" w:pos="9638"/>
        </w:tabs>
      </w:pPr>
      <w:r>
        <w:fldChar w:fldCharType="begin"/>
      </w:r>
      <w:r>
        <w:instrText xml:space="preserve"> HYPERLINK \l "_Toc15316" </w:instrText>
      </w:r>
      <w:r>
        <w:fldChar w:fldCharType="separate"/>
      </w:r>
      <w:r>
        <w:rPr>
          <w:rFonts w:hint="eastAsia" w:ascii="宋体" w:hAnsi="宋体" w:cs="宋体"/>
        </w:rPr>
        <w:t>第七章  技术标准和工作要求</w:t>
      </w:r>
      <w:r>
        <w:tab/>
      </w:r>
      <w:r>
        <w:fldChar w:fldCharType="begin"/>
      </w:r>
      <w:r>
        <w:instrText xml:space="preserve"> PAGEREF _Toc15316 \h </w:instrText>
      </w:r>
      <w:r>
        <w:fldChar w:fldCharType="separate"/>
      </w:r>
      <w:r>
        <w:t>16</w:t>
      </w:r>
      <w:r>
        <w:fldChar w:fldCharType="end"/>
      </w:r>
      <w:r>
        <w:fldChar w:fldCharType="end"/>
      </w:r>
    </w:p>
    <w:p>
      <w:pPr>
        <w:pStyle w:val="28"/>
        <w:tabs>
          <w:tab w:val="right" w:leader="dot" w:pos="9638"/>
        </w:tabs>
      </w:pPr>
      <w:r>
        <w:fldChar w:fldCharType="begin"/>
      </w:r>
      <w:r>
        <w:instrText xml:space="preserve"> HYPERLINK \l "_Toc15140" </w:instrText>
      </w:r>
      <w:r>
        <w:fldChar w:fldCharType="separate"/>
      </w:r>
      <w:r>
        <w:rPr>
          <w:rFonts w:hint="eastAsia" w:ascii="宋体" w:hAnsi="宋体" w:cs="宋体"/>
        </w:rPr>
        <w:t>第八章  合同范本</w:t>
      </w:r>
      <w:r>
        <w:tab/>
      </w:r>
      <w:r>
        <w:fldChar w:fldCharType="begin"/>
      </w:r>
      <w:r>
        <w:instrText xml:space="preserve"> PAGEREF _Toc15140 \h </w:instrText>
      </w:r>
      <w:r>
        <w:fldChar w:fldCharType="separate"/>
      </w:r>
      <w:r>
        <w:t>19</w:t>
      </w:r>
      <w:r>
        <w:fldChar w:fldCharType="end"/>
      </w:r>
      <w:r>
        <w:fldChar w:fldCharType="end"/>
      </w:r>
    </w:p>
    <w:p>
      <w:pPr>
        <w:pStyle w:val="28"/>
        <w:tabs>
          <w:tab w:val="right" w:leader="dot" w:pos="9638"/>
        </w:tabs>
      </w:pPr>
      <w:r>
        <w:fldChar w:fldCharType="begin"/>
      </w:r>
      <w:r>
        <w:instrText xml:space="preserve"> HYPERLINK \l "_Toc10514" </w:instrText>
      </w:r>
      <w:r>
        <w:fldChar w:fldCharType="separate"/>
      </w:r>
      <w:r>
        <w:rPr>
          <w:rFonts w:hint="eastAsia" w:ascii="宋体" w:hAnsi="宋体" w:cs="宋体"/>
        </w:rPr>
        <w:t>第九章  竞争性比选响应文件格式</w:t>
      </w:r>
      <w:r>
        <w:tab/>
      </w:r>
      <w:r>
        <w:fldChar w:fldCharType="begin"/>
      </w:r>
      <w:r>
        <w:instrText xml:space="preserve"> PAGEREF _Toc10514 \h </w:instrText>
      </w:r>
      <w:r>
        <w:fldChar w:fldCharType="separate"/>
      </w:r>
      <w:r>
        <w:t>20</w:t>
      </w:r>
      <w:r>
        <w:fldChar w:fldCharType="end"/>
      </w:r>
      <w:r>
        <w:fldChar w:fldCharType="end"/>
      </w:r>
    </w:p>
    <w:p>
      <w:pPr>
        <w:pStyle w:val="34"/>
        <w:tabs>
          <w:tab w:val="right" w:leader="dot" w:pos="9628"/>
        </w:tabs>
        <w:ind w:left="0"/>
        <w:rPr>
          <w:rFonts w:ascii="宋体" w:hAnsi="宋体" w:cs="宋体"/>
          <w:b/>
          <w:bCs/>
          <w:caps/>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rPr>
        <w:fldChar w:fldCharType="end"/>
      </w:r>
    </w:p>
    <w:p>
      <w:pPr>
        <w:pStyle w:val="3"/>
        <w:spacing w:before="0" w:after="0" w:line="360" w:lineRule="auto"/>
        <w:jc w:val="center"/>
        <w:rPr>
          <w:rFonts w:ascii="宋体" w:hAnsi="宋体" w:cs="宋体"/>
        </w:rPr>
      </w:pPr>
      <w:bookmarkStart w:id="5" w:name="_Toc2000404"/>
      <w:bookmarkStart w:id="6" w:name="_Toc152045511"/>
      <w:bookmarkStart w:id="7" w:name="_Toc246996900"/>
      <w:bookmarkStart w:id="8" w:name="_Toc247085671"/>
      <w:bookmarkStart w:id="9" w:name="_Toc152042287"/>
      <w:bookmarkStart w:id="10" w:name="_Toc246996157"/>
      <w:bookmarkStart w:id="11" w:name="_Toc144974479"/>
      <w:bookmarkStart w:id="12" w:name="_Toc179632527"/>
      <w:bookmarkStart w:id="13" w:name="_Toc247096243"/>
      <w:bookmarkStart w:id="14" w:name="_Toc507319890"/>
      <w:bookmarkStart w:id="15" w:name="_Toc18378"/>
      <w:r>
        <w:rPr>
          <w:rFonts w:hint="eastAsia" w:ascii="宋体" w:hAnsi="宋体" w:cs="宋体"/>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rPr>
        <w:t>比选公告</w:t>
      </w:r>
      <w:bookmarkEnd w:id="15"/>
    </w:p>
    <w:p>
      <w:pPr>
        <w:spacing w:line="440" w:lineRule="exact"/>
        <w:jc w:val="center"/>
        <w:rPr>
          <w:rFonts w:ascii="宋体" w:hAnsi="宋体" w:cs="宋体"/>
          <w:b/>
          <w:sz w:val="28"/>
          <w:szCs w:val="28"/>
        </w:rPr>
      </w:pPr>
      <w:bookmarkStart w:id="16" w:name="OLE_LINK2"/>
      <w:bookmarkStart w:id="17" w:name="OLE_LINK3"/>
    </w:p>
    <w:p>
      <w:pPr>
        <w:pStyle w:val="4"/>
        <w:spacing w:before="0" w:after="0" w:line="360" w:lineRule="auto"/>
        <w:rPr>
          <w:rFonts w:ascii="宋体" w:hAnsi="宋体" w:eastAsia="宋体" w:cs="宋体"/>
        </w:rPr>
      </w:pPr>
      <w:bookmarkStart w:id="18" w:name="_Toc507319891"/>
      <w:bookmarkStart w:id="19" w:name="_Toc24874"/>
      <w:bookmarkStart w:id="20" w:name="_Toc10076"/>
      <w:bookmarkStart w:id="21" w:name="_Toc152042288"/>
      <w:bookmarkStart w:id="22" w:name="_Toc247085672"/>
      <w:bookmarkStart w:id="23" w:name="_Toc246996901"/>
      <w:bookmarkStart w:id="24" w:name="_Toc11329213"/>
      <w:bookmarkStart w:id="25" w:name="_Toc144974480"/>
      <w:bookmarkStart w:id="26" w:name="_Toc152045512"/>
      <w:bookmarkStart w:id="27" w:name="_Toc6549"/>
      <w:bookmarkStart w:id="28" w:name="_Toc179632528"/>
      <w:bookmarkStart w:id="29" w:name="_Toc246996158"/>
      <w:bookmarkStart w:id="30" w:name="_Toc30430"/>
      <w:r>
        <w:rPr>
          <w:rFonts w:hint="eastAsia" w:ascii="宋体" w:hAnsi="宋体" w:eastAsia="宋体" w:cs="宋体"/>
        </w:rPr>
        <w:t>1. 比选条件</w:t>
      </w:r>
      <w:bookmarkEnd w:id="18"/>
      <w:bookmarkEnd w:id="19"/>
      <w:bookmarkEnd w:id="20"/>
      <w:bookmarkEnd w:id="21"/>
      <w:bookmarkEnd w:id="22"/>
      <w:bookmarkEnd w:id="23"/>
      <w:bookmarkEnd w:id="24"/>
      <w:bookmarkEnd w:id="25"/>
      <w:bookmarkEnd w:id="26"/>
      <w:bookmarkEnd w:id="27"/>
      <w:bookmarkEnd w:id="28"/>
      <w:bookmarkEnd w:id="29"/>
      <w:bookmarkEnd w:id="30"/>
    </w:p>
    <w:p>
      <w:pPr>
        <w:spacing w:line="400" w:lineRule="exact"/>
        <w:rPr>
          <w:rFonts w:ascii="宋体" w:hAnsi="宋体" w:cs="宋体"/>
          <w:szCs w:val="21"/>
        </w:rPr>
      </w:pPr>
      <w:r>
        <w:rPr>
          <w:rFonts w:hint="eastAsia" w:ascii="宋体" w:hAnsi="宋体" w:cs="宋体"/>
          <w:szCs w:val="21"/>
        </w:rPr>
        <w:t>　　本竞争性比选项目</w:t>
      </w:r>
      <w:r>
        <w:rPr>
          <w:rFonts w:hint="eastAsia" w:ascii="宋体" w:hAnsi="宋体" w:cs="宋体"/>
          <w:szCs w:val="21"/>
          <w:u w:val="single"/>
        </w:rPr>
        <w:t>重庆高速数据资源管理平台建设项目</w:t>
      </w:r>
      <w:r>
        <w:rPr>
          <w:rFonts w:hint="eastAsia" w:ascii="宋体" w:hAnsi="宋体" w:cs="宋体"/>
          <w:szCs w:val="21"/>
        </w:rPr>
        <w:t>，采购人为</w:t>
      </w:r>
      <w:r>
        <w:rPr>
          <w:rFonts w:hint="eastAsia" w:ascii="宋体" w:hAnsi="宋体" w:cs="宋体"/>
          <w:szCs w:val="21"/>
          <w:u w:val="single"/>
        </w:rPr>
        <w:t xml:space="preserve"> 重庆首讯科技股份有限公司 </w:t>
      </w:r>
      <w:r>
        <w:rPr>
          <w:rFonts w:hint="eastAsia" w:ascii="宋体" w:hAnsi="宋体" w:cs="宋体"/>
          <w:szCs w:val="21"/>
        </w:rPr>
        <w:t>，该项目已具备比选条件，现对该项目进行竞争性比选。</w:t>
      </w:r>
    </w:p>
    <w:p>
      <w:pPr>
        <w:pStyle w:val="4"/>
        <w:spacing w:before="120" w:after="0" w:line="360" w:lineRule="auto"/>
        <w:rPr>
          <w:rFonts w:ascii="宋体" w:hAnsi="宋体" w:eastAsia="宋体" w:cs="宋体"/>
        </w:rPr>
      </w:pPr>
      <w:bookmarkStart w:id="31" w:name="_Toc11329214"/>
      <w:bookmarkStart w:id="32" w:name="_Toc152045513"/>
      <w:bookmarkStart w:id="33" w:name="_Toc507319892"/>
      <w:bookmarkStart w:id="34" w:name="_Toc179632529"/>
      <w:bookmarkStart w:id="35" w:name="_Toc21343"/>
      <w:bookmarkStart w:id="36" w:name="_Toc144974481"/>
      <w:bookmarkStart w:id="37" w:name="_Toc246996159"/>
      <w:bookmarkStart w:id="38" w:name="_Toc13546"/>
      <w:bookmarkStart w:id="39" w:name="_Toc10952"/>
      <w:bookmarkStart w:id="40" w:name="_Toc152042289"/>
      <w:bookmarkStart w:id="41" w:name="_Toc246996902"/>
      <w:bookmarkStart w:id="42" w:name="_Toc18109"/>
      <w:bookmarkStart w:id="43" w:name="_Toc247085673"/>
      <w:r>
        <w:rPr>
          <w:rFonts w:hint="eastAsia" w:ascii="宋体" w:hAnsi="宋体" w:eastAsia="宋体" w:cs="宋体"/>
        </w:rPr>
        <w:t>2. 项目概况与比选范围</w:t>
      </w:r>
      <w:bookmarkEnd w:id="31"/>
      <w:bookmarkEnd w:id="32"/>
      <w:bookmarkEnd w:id="33"/>
      <w:bookmarkEnd w:id="34"/>
      <w:bookmarkEnd w:id="35"/>
      <w:bookmarkEnd w:id="36"/>
      <w:bookmarkEnd w:id="37"/>
      <w:bookmarkEnd w:id="38"/>
      <w:bookmarkEnd w:id="39"/>
      <w:bookmarkEnd w:id="40"/>
      <w:bookmarkEnd w:id="41"/>
      <w:bookmarkEnd w:id="42"/>
      <w:bookmarkEnd w:id="43"/>
    </w:p>
    <w:p>
      <w:pPr>
        <w:pStyle w:val="13"/>
        <w:adjustRightInd w:val="0"/>
        <w:spacing w:line="400" w:lineRule="exact"/>
        <w:rPr>
          <w:rFonts w:ascii="宋体" w:hAnsi="宋体" w:cs="宋体"/>
          <w:highlight w:val="none"/>
        </w:rPr>
      </w:pPr>
      <w:bookmarkStart w:id="44" w:name="_Toc446247226"/>
      <w:r>
        <w:rPr>
          <w:rFonts w:hint="eastAsia" w:ascii="宋体" w:hAnsi="宋体" w:cs="宋体"/>
          <w:szCs w:val="21"/>
        </w:rPr>
        <w:t xml:space="preserve">2.1 </w:t>
      </w:r>
      <w:r>
        <w:rPr>
          <w:rFonts w:hint="eastAsia" w:ascii="宋体" w:hAnsi="宋体" w:cs="宋体"/>
          <w:highlight w:val="none"/>
        </w:rPr>
        <w:t>项目地点：</w:t>
      </w:r>
      <w:bookmarkEnd w:id="44"/>
      <w:r>
        <w:rPr>
          <w:rFonts w:hint="eastAsia" w:ascii="宋体" w:hAnsi="宋体" w:cs="宋体"/>
          <w:highlight w:val="none"/>
        </w:rPr>
        <w:t>重庆首讯科技股份有限公司。</w:t>
      </w:r>
    </w:p>
    <w:p>
      <w:pPr>
        <w:pStyle w:val="13"/>
        <w:adjustRightInd w:val="0"/>
        <w:spacing w:line="400" w:lineRule="exact"/>
        <w:rPr>
          <w:rFonts w:ascii="宋体" w:hAnsi="宋体" w:cs="宋体"/>
          <w:highlight w:val="none"/>
        </w:rPr>
      </w:pPr>
      <w:r>
        <w:rPr>
          <w:rFonts w:hint="eastAsia" w:ascii="宋体" w:hAnsi="宋体" w:cs="宋体"/>
          <w:highlight w:val="none"/>
        </w:rPr>
        <w:t>2.2 项目概况：重庆高速公路集团有限公司（以下简称集团）为市属公益类重点投融资企业，集团正紧紧围绕“十四五”发展规划，推进“135”高质量转型发展战略，“1”即致力于实现“交通建设运营综合服务商”的企业愿景；“3”即重点布局“公路、水上、建筑施工”三大板块；“5”即稳步实施“品质提升、智慧高速、转型发展、合资合作、走出去”五大战略，努力打造集投融资、建设施工、运营、服务保障、公水联运为一体的综合交通企业。</w:t>
      </w:r>
    </w:p>
    <w:p>
      <w:pPr>
        <w:pStyle w:val="13"/>
        <w:adjustRightInd w:val="0"/>
        <w:spacing w:line="400" w:lineRule="exact"/>
        <w:rPr>
          <w:rFonts w:ascii="宋体" w:hAnsi="宋体" w:cs="宋体"/>
          <w:highlight w:val="none"/>
        </w:rPr>
      </w:pPr>
      <w:r>
        <w:rPr>
          <w:rFonts w:hint="eastAsia" w:ascii="宋体" w:hAnsi="宋体" w:cs="宋体"/>
          <w:highlight w:val="none"/>
        </w:rPr>
        <w:t>集团经过多年持续的信息化投入和系统建设，支撑了业务发展和经营管理，同时在运行过程之中沉淀了大量的数据，集团计划更充分的对数据进行资产化管理，深挖数据价值，赋能各业务领域。本项目是从集团生产经营管理需要出发，从各信息系统采集数据，统一存储加工，经过数据治理，形成数据资产，利用数据为管理赋能。</w:t>
      </w:r>
    </w:p>
    <w:p>
      <w:pPr>
        <w:adjustRightInd w:val="0"/>
        <w:spacing w:line="520" w:lineRule="exact"/>
        <w:ind w:firstLine="420" w:firstLineChars="200"/>
        <w:rPr>
          <w:rFonts w:ascii="宋体" w:hAnsi="宋体" w:cs="宋体"/>
          <w:color w:val="auto"/>
        </w:rPr>
      </w:pPr>
      <w:r>
        <w:rPr>
          <w:rFonts w:hint="eastAsia" w:ascii="宋体" w:hAnsi="宋体" w:cs="宋体"/>
        </w:rPr>
        <w:t>2.3 采购预计金</w:t>
      </w:r>
      <w:r>
        <w:rPr>
          <w:rFonts w:hint="eastAsia" w:ascii="宋体" w:hAnsi="宋体" w:cs="宋体"/>
          <w:color w:val="auto"/>
        </w:rPr>
        <w:t>额：</w:t>
      </w:r>
      <w:r>
        <w:rPr>
          <w:rFonts w:hint="eastAsia" w:ascii="宋体" w:hAnsi="宋体" w:cs="宋体"/>
          <w:color w:val="auto"/>
          <w:lang w:val="en-US" w:eastAsia="zh-CN"/>
        </w:rPr>
        <w:t>97.1</w:t>
      </w:r>
      <w:r>
        <w:rPr>
          <w:rFonts w:hint="eastAsia" w:ascii="宋体" w:hAnsi="宋体" w:cs="宋体"/>
          <w:color w:val="auto"/>
        </w:rPr>
        <w:t>万元。</w:t>
      </w:r>
    </w:p>
    <w:p>
      <w:pPr>
        <w:pStyle w:val="13"/>
        <w:adjustRightInd w:val="0"/>
        <w:spacing w:line="400" w:lineRule="exact"/>
        <w:rPr>
          <w:rFonts w:ascii="宋体" w:hAnsi="宋体" w:cs="宋体"/>
        </w:rPr>
      </w:pPr>
      <w:r>
        <w:rPr>
          <w:rFonts w:hint="eastAsia" w:ascii="宋体" w:hAnsi="宋体" w:cs="宋体"/>
        </w:rPr>
        <w:t>2.4比选范围：提供数据采集治理管理模块、数据指标体系管理模块、数字工作台、AI中台、数据服务中心、数据运行监测模块的开发服务。</w:t>
      </w:r>
    </w:p>
    <w:p>
      <w:pPr>
        <w:spacing w:line="400" w:lineRule="exact"/>
        <w:ind w:firstLine="420" w:firstLineChars="200"/>
        <w:rPr>
          <w:rFonts w:ascii="宋体" w:hAnsi="宋体" w:cs="宋体"/>
          <w:b/>
          <w:bCs/>
        </w:rPr>
      </w:pPr>
      <w:r>
        <w:rPr>
          <w:rFonts w:hint="eastAsia" w:ascii="宋体" w:hAnsi="宋体" w:cs="宋体"/>
        </w:rPr>
        <w:t>2.5 工期要求：收到甲方的通知</w:t>
      </w:r>
      <w:r>
        <w:rPr>
          <w:rFonts w:hint="eastAsia" w:ascii="宋体" w:hAnsi="宋体" w:cs="宋体"/>
          <w:color w:val="auto"/>
        </w:rPr>
        <w:t>后</w:t>
      </w:r>
      <w:r>
        <w:rPr>
          <w:rFonts w:ascii="宋体" w:hAnsi="宋体" w:cs="宋体"/>
          <w:color w:val="auto"/>
        </w:rPr>
        <w:t>90</w:t>
      </w:r>
      <w:r>
        <w:rPr>
          <w:rFonts w:hint="eastAsia" w:ascii="宋体" w:hAnsi="宋体" w:cs="宋体"/>
          <w:color w:val="auto"/>
        </w:rPr>
        <w:t>天内</w:t>
      </w:r>
      <w:r>
        <w:rPr>
          <w:rFonts w:hint="eastAsia" w:ascii="宋体" w:hAnsi="宋体" w:cs="宋体"/>
        </w:rPr>
        <w:t>完成，具体以甲方通知为准。</w:t>
      </w:r>
    </w:p>
    <w:p>
      <w:pPr>
        <w:pStyle w:val="4"/>
        <w:spacing w:before="120" w:after="0" w:line="360" w:lineRule="auto"/>
        <w:rPr>
          <w:rFonts w:ascii="宋体" w:hAnsi="宋体" w:eastAsia="宋体" w:cs="宋体"/>
        </w:rPr>
      </w:pPr>
      <w:bookmarkStart w:id="45" w:name="_Toc246996903"/>
      <w:bookmarkStart w:id="46" w:name="_Toc179632530"/>
      <w:bookmarkStart w:id="47" w:name="_Toc11329215"/>
      <w:bookmarkStart w:id="48" w:name="_Toc152042290"/>
      <w:bookmarkStart w:id="49" w:name="_Toc247085674"/>
      <w:bookmarkStart w:id="50" w:name="_Toc507319893"/>
      <w:bookmarkStart w:id="51" w:name="_Toc152045514"/>
      <w:bookmarkStart w:id="52" w:name="_Toc11874"/>
      <w:bookmarkStart w:id="53" w:name="_Toc246996160"/>
      <w:bookmarkStart w:id="54" w:name="_Toc10171"/>
      <w:bookmarkStart w:id="55" w:name="_Toc30356"/>
      <w:bookmarkStart w:id="56" w:name="_Toc7065"/>
      <w:bookmarkStart w:id="57" w:name="_Toc144974482"/>
      <w:r>
        <w:rPr>
          <w:rFonts w:hint="eastAsia" w:ascii="宋体" w:hAnsi="宋体" w:eastAsia="宋体" w:cs="宋体"/>
        </w:rPr>
        <w:t>3. 报价人资格要求</w:t>
      </w:r>
      <w:bookmarkEnd w:id="45"/>
      <w:bookmarkEnd w:id="46"/>
      <w:bookmarkEnd w:id="47"/>
      <w:bookmarkEnd w:id="48"/>
      <w:bookmarkEnd w:id="49"/>
      <w:bookmarkEnd w:id="50"/>
      <w:bookmarkEnd w:id="51"/>
      <w:bookmarkEnd w:id="52"/>
      <w:bookmarkEnd w:id="53"/>
      <w:bookmarkEnd w:id="54"/>
      <w:bookmarkEnd w:id="55"/>
      <w:bookmarkEnd w:id="56"/>
      <w:bookmarkEnd w:id="57"/>
    </w:p>
    <w:p>
      <w:pPr>
        <w:pStyle w:val="13"/>
        <w:adjustRightInd w:val="0"/>
        <w:spacing w:line="400" w:lineRule="exact"/>
        <w:rPr>
          <w:rFonts w:ascii="宋体" w:hAnsi="宋体" w:cs="宋体"/>
          <w:color w:val="auto"/>
        </w:rPr>
      </w:pPr>
      <w:bookmarkStart w:id="58" w:name="_Toc152045515"/>
      <w:bookmarkStart w:id="59" w:name="_Toc179632531"/>
      <w:bookmarkStart w:id="60" w:name="_Toc144974483"/>
      <w:bookmarkStart w:id="61" w:name="_Toc152042291"/>
      <w:bookmarkStart w:id="62" w:name="_Toc246996161"/>
      <w:bookmarkStart w:id="63" w:name="_Toc247085675"/>
      <w:bookmarkStart w:id="64" w:name="_Toc246996904"/>
      <w:r>
        <w:rPr>
          <w:rFonts w:hint="eastAsia" w:ascii="宋体" w:hAnsi="宋体" w:cs="宋体"/>
          <w:color w:val="auto"/>
        </w:rPr>
        <w:t>3.1 资质要求（以下资质文件若因疫情影响过期无法办理延续手续，需附相关行政部门下发的延期办理文件）：</w:t>
      </w:r>
    </w:p>
    <w:p>
      <w:pPr>
        <w:pStyle w:val="13"/>
        <w:adjustRightInd w:val="0"/>
        <w:spacing w:line="400" w:lineRule="exact"/>
        <w:rPr>
          <w:rFonts w:hint="eastAsia" w:ascii="宋体" w:hAnsi="宋体" w:eastAsia="宋体" w:cs="宋体"/>
          <w:color w:val="auto"/>
          <w:lang w:eastAsia="zh-CN"/>
        </w:rPr>
      </w:pPr>
      <w:r>
        <w:rPr>
          <w:rFonts w:hint="eastAsia" w:ascii="宋体" w:hAnsi="宋体" w:cs="宋体"/>
          <w:color w:val="auto"/>
        </w:rPr>
        <w:t>（1）</w:t>
      </w:r>
      <w:r>
        <w:rPr>
          <w:rFonts w:hint="eastAsia" w:ascii="宋体" w:hAnsi="宋体" w:cs="宋体"/>
          <w:color w:val="auto"/>
          <w:lang w:val="en-US" w:eastAsia="zh-CN"/>
        </w:rPr>
        <w:t>具有</w:t>
      </w:r>
      <w:r>
        <w:rPr>
          <w:rFonts w:hint="eastAsia" w:ascii="宋体" w:hAnsi="宋体" w:cs="宋体"/>
          <w:color w:val="auto"/>
        </w:rPr>
        <w:t>有效的营业执照</w:t>
      </w:r>
      <w:r>
        <w:rPr>
          <w:rFonts w:hint="eastAsia" w:ascii="宋体" w:hAnsi="宋体" w:cs="宋体"/>
          <w:color w:val="auto"/>
          <w:lang w:eastAsia="zh-CN"/>
        </w:rPr>
        <w:t>。</w:t>
      </w:r>
    </w:p>
    <w:p>
      <w:pPr>
        <w:pStyle w:val="13"/>
        <w:adjustRightInd w:val="0"/>
        <w:spacing w:line="400" w:lineRule="exact"/>
        <w:rPr>
          <w:rFonts w:hint="eastAsia" w:ascii="宋体" w:hAnsi="宋体" w:cs="宋体"/>
          <w:color w:val="auto"/>
        </w:rPr>
      </w:pPr>
      <w:r>
        <w:rPr>
          <w:rFonts w:hint="eastAsia" w:ascii="宋体" w:hAnsi="宋体" w:cs="宋体"/>
          <w:color w:val="auto"/>
        </w:rPr>
        <w:t>（2）具有软件能力成熟度模型认证CMMI3 级及以上认证证书。</w:t>
      </w:r>
    </w:p>
    <w:p>
      <w:pPr>
        <w:pStyle w:val="13"/>
        <w:adjustRightInd w:val="0"/>
        <w:spacing w:line="400" w:lineRule="exact"/>
        <w:rPr>
          <w:rFonts w:hint="eastAsia" w:ascii="宋体" w:hAnsi="宋体" w:cs="宋体"/>
          <w:color w:val="auto"/>
        </w:rPr>
      </w:pPr>
      <w:r>
        <w:rPr>
          <w:rFonts w:hint="eastAsia" w:ascii="宋体" w:hAnsi="宋体" w:cs="宋体"/>
          <w:color w:val="auto"/>
        </w:rPr>
        <w:t>3.2 业绩要求：</w:t>
      </w:r>
      <w:r>
        <w:rPr>
          <w:rFonts w:hint="eastAsia" w:ascii="宋体" w:hAnsi="宋体" w:cs="宋体"/>
          <w:color w:val="auto"/>
          <w:lang w:val="en-US" w:eastAsia="zh-CN"/>
        </w:rPr>
        <w:t>在</w:t>
      </w:r>
      <w:r>
        <w:rPr>
          <w:rFonts w:hint="eastAsia" w:ascii="宋体" w:hAnsi="宋体" w:cs="宋体"/>
          <w:color w:val="auto"/>
        </w:rPr>
        <w:t>20</w:t>
      </w:r>
      <w:r>
        <w:rPr>
          <w:rFonts w:hint="eastAsia" w:ascii="宋体" w:hAnsi="宋体" w:cs="宋体"/>
          <w:color w:val="auto"/>
          <w:lang w:val="en-US" w:eastAsia="zh-CN"/>
        </w:rPr>
        <w:t>20</w:t>
      </w:r>
      <w:r>
        <w:rPr>
          <w:rFonts w:hint="eastAsia" w:ascii="宋体" w:hAnsi="宋体" w:cs="宋体"/>
          <w:color w:val="auto"/>
        </w:rPr>
        <w:t>年1月1日至投标截止时间止(以合同签订时间为准)</w:t>
      </w:r>
      <w:r>
        <w:rPr>
          <w:rFonts w:hint="eastAsia" w:ascii="宋体" w:hAnsi="宋体" w:cs="宋体"/>
          <w:color w:val="auto"/>
          <w:lang w:val="en-US" w:eastAsia="zh-CN"/>
        </w:rPr>
        <w:t>至少承担一项</w:t>
      </w:r>
      <w:r>
        <w:rPr>
          <w:rFonts w:hint="eastAsia" w:ascii="宋体" w:hAnsi="宋体" w:cs="宋体"/>
          <w:color w:val="auto"/>
        </w:rPr>
        <w:t>合同金额</w:t>
      </w:r>
      <w:r>
        <w:rPr>
          <w:rFonts w:hint="eastAsia" w:ascii="宋体" w:hAnsi="宋体" w:cs="宋体"/>
          <w:color w:val="auto"/>
          <w:lang w:val="en-US" w:eastAsia="zh-CN"/>
        </w:rPr>
        <w:t>不低于</w:t>
      </w:r>
      <w:r>
        <w:rPr>
          <w:rFonts w:ascii="宋体" w:hAnsi="宋体" w:cs="宋体"/>
          <w:color w:val="auto"/>
        </w:rPr>
        <w:t>5</w:t>
      </w:r>
      <w:r>
        <w:rPr>
          <w:rFonts w:hint="eastAsia" w:ascii="宋体" w:hAnsi="宋体" w:cs="宋体"/>
          <w:color w:val="auto"/>
        </w:rPr>
        <w:t>0万元</w:t>
      </w:r>
      <w:r>
        <w:rPr>
          <w:rFonts w:hint="eastAsia" w:ascii="宋体" w:hAnsi="宋体" w:cs="宋体"/>
          <w:color w:val="auto"/>
          <w:lang w:val="en-US" w:eastAsia="zh-CN"/>
        </w:rPr>
        <w:t>的</w:t>
      </w:r>
      <w:r>
        <w:rPr>
          <w:rFonts w:hint="eastAsia" w:ascii="宋体" w:hAnsi="宋体" w:cs="宋体"/>
          <w:color w:val="auto"/>
        </w:rPr>
        <w:t>的软件开发</w:t>
      </w:r>
      <w:r>
        <w:rPr>
          <w:rFonts w:hint="eastAsia" w:ascii="宋体" w:hAnsi="宋体" w:cs="宋体"/>
          <w:color w:val="auto"/>
          <w:lang w:val="en-US" w:eastAsia="zh-CN"/>
        </w:rPr>
        <w:t>业绩</w:t>
      </w:r>
      <w:r>
        <w:rPr>
          <w:rFonts w:hint="eastAsia" w:ascii="宋体" w:hAnsi="宋体" w:cs="宋体"/>
          <w:color w:val="000000" w:themeColor="text1"/>
          <w:szCs w:val="21"/>
          <w:highlight w:val="none"/>
          <w:shd w:val="clear" w:color="auto" w:fill="FFFFFF"/>
          <w14:textFill>
            <w14:solidFill>
              <w14:schemeClr w14:val="tx1"/>
            </w14:solidFill>
          </w14:textFill>
        </w:rPr>
        <w:t>（提供合同扫描件，以合同签订时间为准）</w:t>
      </w:r>
      <w:r>
        <w:rPr>
          <w:rFonts w:hint="eastAsia" w:ascii="宋体" w:hAnsi="宋体" w:cs="宋体"/>
          <w:color w:val="auto"/>
        </w:rPr>
        <w:t>。</w:t>
      </w:r>
    </w:p>
    <w:p>
      <w:pPr>
        <w:pStyle w:val="13"/>
        <w:keepNext w:val="0"/>
        <w:keepLines w:val="0"/>
        <w:pageBreakBefore w:val="0"/>
        <w:widowControl w:val="0"/>
        <w:kinsoku/>
        <w:wordWrap w:val="0"/>
        <w:overflowPunct/>
        <w:topLinePunct w:val="0"/>
        <w:autoSpaceDE/>
        <w:autoSpaceDN/>
        <w:bidi w:val="0"/>
        <w:adjustRightInd w:val="0"/>
        <w:snapToGrid/>
        <w:spacing w:line="400" w:lineRule="exact"/>
        <w:textAlignment w:val="auto"/>
        <w:rPr>
          <w:rFonts w:ascii="宋体" w:hAnsi="宋体" w:cs="宋体"/>
        </w:rPr>
      </w:pPr>
      <w:r>
        <w:rPr>
          <w:rFonts w:hint="eastAsia" w:ascii="宋体" w:hAnsi="宋体" w:cs="宋体"/>
          <w:color w:val="auto"/>
        </w:rPr>
        <w:t>3.3 信誉要求：在国家企业信用信息公示系统（http:</w:t>
      </w:r>
      <w:r>
        <w:rPr>
          <w:rFonts w:hint="eastAsia" w:ascii="宋体" w:hAnsi="宋体" w:cs="宋体"/>
        </w:rPr>
        <w:t>//www.gsxt.gov.cn/）中未被列入严重违法失信企业名单（黑名单）信息；在“信用中国”网站（http://www.creditchina.gov.cn/）中未被列入失信惩戒执行人名单。</w:t>
      </w:r>
    </w:p>
    <w:p>
      <w:pPr>
        <w:pStyle w:val="13"/>
        <w:adjustRightInd w:val="0"/>
        <w:spacing w:line="400" w:lineRule="exact"/>
        <w:rPr>
          <w:rFonts w:hint="eastAsia" w:ascii="宋体" w:hAnsi="宋体" w:cs="宋体"/>
          <w:color w:val="auto"/>
        </w:rPr>
      </w:pPr>
      <w:r>
        <w:rPr>
          <w:rFonts w:hint="eastAsia" w:ascii="宋体" w:hAnsi="宋体" w:cs="宋体"/>
          <w:color w:val="auto"/>
        </w:rPr>
        <w:t>3.4 须提供采购人要求的所有资质要求、业绩要求、信誉要求的复印件并加盖报价人公章。</w:t>
      </w:r>
    </w:p>
    <w:p>
      <w:pPr>
        <w:pStyle w:val="13"/>
        <w:adjustRightInd w:val="0"/>
        <w:spacing w:line="400" w:lineRule="exact"/>
        <w:rPr>
          <w:rFonts w:hint="eastAsia" w:ascii="宋体" w:hAnsi="宋体" w:cs="宋体"/>
          <w:color w:val="auto"/>
        </w:rPr>
      </w:pPr>
      <w:r>
        <w:rPr>
          <w:rFonts w:hint="eastAsia" w:ascii="宋体" w:hAnsi="宋体" w:cs="宋体"/>
          <w:color w:val="auto"/>
        </w:rPr>
        <w:t>3.5 本次比选不接受联合体报价。</w:t>
      </w:r>
    </w:p>
    <w:p>
      <w:pPr>
        <w:pStyle w:val="13"/>
        <w:adjustRightInd w:val="0"/>
        <w:spacing w:line="400" w:lineRule="exact"/>
        <w:rPr>
          <w:rFonts w:hint="eastAsia" w:ascii="宋体" w:hAnsi="宋体" w:cs="宋体"/>
          <w:color w:val="auto"/>
        </w:rPr>
      </w:pPr>
      <w:r>
        <w:rPr>
          <w:rFonts w:hint="eastAsia" w:ascii="宋体" w:hAnsi="宋体" w:cs="宋体"/>
          <w:color w:val="auto"/>
        </w:rPr>
        <w:t>3.6 单位负责人为同一人或者存在控股、管理关系的不同单位，不得同时参加本项目报价，否则均按无效报价处理。</w:t>
      </w:r>
    </w:p>
    <w:p>
      <w:pPr>
        <w:pStyle w:val="4"/>
        <w:spacing w:before="120" w:after="0" w:line="360" w:lineRule="auto"/>
        <w:rPr>
          <w:rFonts w:ascii="宋体" w:hAnsi="宋体" w:eastAsia="宋体" w:cs="宋体"/>
          <w:color w:val="auto"/>
        </w:rPr>
      </w:pPr>
      <w:bookmarkStart w:id="65" w:name="_Toc9941"/>
      <w:r>
        <w:rPr>
          <w:rFonts w:hint="eastAsia" w:ascii="宋体" w:hAnsi="宋体" w:eastAsia="宋体" w:cs="宋体"/>
          <w:color w:val="000000" w:themeColor="text1"/>
          <w14:textFill>
            <w14:solidFill>
              <w14:schemeClr w14:val="tx1"/>
            </w14:solidFill>
          </w14:textFill>
        </w:rPr>
        <w:t>4.</w:t>
      </w:r>
      <w:r>
        <w:rPr>
          <w:rFonts w:hint="eastAsia" w:ascii="宋体" w:hAnsi="宋体" w:eastAsia="宋体" w:cs="宋体"/>
          <w:color w:val="auto"/>
        </w:rPr>
        <w:t xml:space="preserve"> 评标办法</w:t>
      </w:r>
      <w:bookmarkEnd w:id="65"/>
    </w:p>
    <w:p>
      <w:pPr>
        <w:pStyle w:val="13"/>
        <w:adjustRightInd w:val="0"/>
        <w:spacing w:line="400" w:lineRule="exact"/>
        <w:rPr>
          <w:rFonts w:ascii="宋体" w:hAnsi="宋体" w:cs="宋体"/>
          <w:color w:val="auto"/>
        </w:rPr>
      </w:pPr>
      <w:r>
        <w:rPr>
          <w:rFonts w:hint="eastAsia" w:ascii="宋体" w:hAnsi="宋体" w:cs="宋体"/>
          <w:color w:val="auto"/>
        </w:rPr>
        <w:t>本项目采用综合评估法。</w:t>
      </w:r>
    </w:p>
    <w:p>
      <w:pPr>
        <w:pStyle w:val="4"/>
        <w:spacing w:before="120" w:after="0" w:line="400" w:lineRule="exact"/>
        <w:rPr>
          <w:rFonts w:ascii="宋体" w:hAnsi="宋体" w:eastAsia="宋体" w:cs="宋体"/>
          <w:color w:val="auto"/>
        </w:rPr>
      </w:pPr>
      <w:bookmarkStart w:id="66" w:name="_Toc14361"/>
      <w:bookmarkStart w:id="67" w:name="_Toc25619"/>
      <w:bookmarkStart w:id="68" w:name="_Toc12460"/>
      <w:bookmarkStart w:id="69" w:name="_Toc20441"/>
      <w:bookmarkStart w:id="70" w:name="_Toc11329216"/>
      <w:bookmarkStart w:id="71" w:name="_Toc507319894"/>
      <w:r>
        <w:rPr>
          <w:rFonts w:hint="eastAsia" w:ascii="宋体" w:hAnsi="宋体" w:eastAsia="宋体" w:cs="宋体"/>
          <w:color w:val="auto"/>
        </w:rPr>
        <w:t>5. 比选文件的获取</w:t>
      </w:r>
      <w:bookmarkEnd w:id="58"/>
      <w:bookmarkEnd w:id="59"/>
      <w:bookmarkEnd w:id="60"/>
      <w:bookmarkEnd w:id="61"/>
      <w:bookmarkEnd w:id="62"/>
      <w:bookmarkEnd w:id="63"/>
      <w:bookmarkEnd w:id="64"/>
      <w:bookmarkEnd w:id="66"/>
      <w:bookmarkEnd w:id="67"/>
      <w:bookmarkEnd w:id="68"/>
      <w:bookmarkEnd w:id="69"/>
      <w:bookmarkEnd w:id="70"/>
      <w:bookmarkEnd w:id="71"/>
    </w:p>
    <w:p>
      <w:pPr>
        <w:pStyle w:val="13"/>
        <w:keepNext w:val="0"/>
        <w:keepLines w:val="0"/>
        <w:pageBreakBefore w:val="0"/>
        <w:widowControl w:val="0"/>
        <w:kinsoku/>
        <w:wordWrap w:val="0"/>
        <w:overflowPunct/>
        <w:topLinePunct w:val="0"/>
        <w:autoSpaceDE/>
        <w:autoSpaceDN/>
        <w:bidi w:val="0"/>
        <w:adjustRightInd w:val="0"/>
        <w:snapToGrid/>
        <w:spacing w:line="400" w:lineRule="exact"/>
        <w:textAlignment w:val="auto"/>
        <w:rPr>
          <w:rFonts w:ascii="宋体" w:hAnsi="宋体" w:cs="宋体"/>
          <w:color w:val="auto"/>
        </w:rPr>
      </w:pPr>
      <w:bookmarkStart w:id="72" w:name="_Toc247085676"/>
      <w:bookmarkStart w:id="73" w:name="_Toc152042292"/>
      <w:bookmarkStart w:id="74" w:name="_Toc179632532"/>
      <w:bookmarkStart w:id="75" w:name="_Toc144974484"/>
      <w:bookmarkStart w:id="76" w:name="_Toc11329217"/>
      <w:bookmarkStart w:id="77" w:name="_Toc507319895"/>
      <w:bookmarkStart w:id="78" w:name="_Toc152045516"/>
      <w:bookmarkStart w:id="79" w:name="_Toc246996905"/>
      <w:bookmarkStart w:id="80" w:name="_Toc246996162"/>
      <w:bookmarkStart w:id="81" w:name="_Toc16686"/>
      <w:bookmarkStart w:id="82" w:name="_Toc9131"/>
      <w:bookmarkStart w:id="83" w:name="_Toc31493"/>
      <w:r>
        <w:rPr>
          <w:rFonts w:hint="eastAsia" w:ascii="宋体" w:hAnsi="宋体" w:cs="宋体"/>
          <w:color w:val="auto"/>
        </w:rPr>
        <w:t>凡愿意参加的潜在报价人，在2023年12月</w:t>
      </w:r>
      <w:r>
        <w:rPr>
          <w:rFonts w:hint="eastAsia" w:ascii="宋体" w:hAnsi="宋体" w:cs="宋体"/>
          <w:color w:val="auto"/>
          <w:lang w:val="en-US" w:eastAsia="zh-CN"/>
        </w:rPr>
        <w:t>28</w:t>
      </w:r>
      <w:r>
        <w:rPr>
          <w:rFonts w:hint="eastAsia" w:ascii="宋体" w:hAnsi="宋体" w:cs="宋体"/>
          <w:color w:val="auto"/>
        </w:rPr>
        <w:t>日</w:t>
      </w:r>
      <w:r>
        <w:rPr>
          <w:rFonts w:hint="eastAsia" w:ascii="宋体" w:hAnsi="宋体" w:cs="宋体"/>
          <w:color w:val="auto"/>
          <w:lang w:val="en-US" w:eastAsia="zh-CN"/>
        </w:rPr>
        <w:t>上</w:t>
      </w:r>
      <w:r>
        <w:rPr>
          <w:rFonts w:hint="eastAsia" w:ascii="宋体" w:hAnsi="宋体" w:cs="宋体"/>
          <w:color w:val="auto"/>
        </w:rPr>
        <w:t>午1</w:t>
      </w:r>
      <w:r>
        <w:rPr>
          <w:rFonts w:hint="eastAsia" w:ascii="宋体" w:hAnsi="宋体" w:cs="宋体"/>
          <w:color w:val="auto"/>
          <w:lang w:val="en-US" w:eastAsia="zh-CN"/>
        </w:rPr>
        <w:t>1</w:t>
      </w:r>
      <w:r>
        <w:rPr>
          <w:rFonts w:hint="eastAsia" w:ascii="宋体" w:hAnsi="宋体" w:cs="宋体"/>
          <w:color w:val="auto"/>
        </w:rPr>
        <w:t>:00前在重庆高速集团官网（http://www.cegc.com.cn）自行下载。各报价人应随时关注高速集团官网（http://www.cegc.com.cn/gw/newsInfoMenu.html?id=42&amp;key=2）上发布的竞争性比选文件答疑、补遗、澄清等文件内容，不管报价人是否下载，均视为已知晓竞争性比选文件的全部内容和有关事宜。</w:t>
      </w:r>
    </w:p>
    <w:p>
      <w:pPr>
        <w:pStyle w:val="4"/>
        <w:spacing w:before="120" w:after="0" w:line="400" w:lineRule="exact"/>
        <w:rPr>
          <w:rFonts w:ascii="宋体" w:hAnsi="宋体" w:eastAsia="宋体" w:cs="宋体"/>
          <w:color w:val="auto"/>
        </w:rPr>
      </w:pPr>
      <w:bookmarkStart w:id="84" w:name="_Toc6883"/>
      <w:r>
        <w:rPr>
          <w:rFonts w:hint="eastAsia" w:ascii="宋体" w:hAnsi="宋体" w:eastAsia="宋体" w:cs="宋体"/>
          <w:color w:val="auto"/>
        </w:rPr>
        <w:t>6. 竞争性比选响应文件的递交</w:t>
      </w:r>
      <w:bookmarkEnd w:id="72"/>
      <w:bookmarkEnd w:id="73"/>
      <w:bookmarkEnd w:id="74"/>
      <w:bookmarkEnd w:id="75"/>
      <w:bookmarkEnd w:id="76"/>
      <w:bookmarkEnd w:id="77"/>
      <w:bookmarkEnd w:id="78"/>
      <w:bookmarkEnd w:id="79"/>
      <w:bookmarkEnd w:id="80"/>
      <w:r>
        <w:rPr>
          <w:rFonts w:hint="eastAsia" w:ascii="宋体" w:hAnsi="宋体" w:eastAsia="宋体" w:cs="宋体"/>
          <w:color w:val="auto"/>
        </w:rPr>
        <w:t>及相关事宜</w:t>
      </w:r>
      <w:bookmarkEnd w:id="81"/>
      <w:bookmarkEnd w:id="82"/>
      <w:bookmarkEnd w:id="83"/>
      <w:bookmarkEnd w:id="84"/>
    </w:p>
    <w:p>
      <w:pPr>
        <w:pStyle w:val="13"/>
        <w:adjustRightInd w:val="0"/>
        <w:spacing w:line="400" w:lineRule="exact"/>
        <w:rPr>
          <w:rFonts w:ascii="宋体" w:hAnsi="宋体" w:cs="宋体"/>
          <w:color w:val="auto"/>
        </w:rPr>
      </w:pPr>
      <w:bookmarkStart w:id="85" w:name="_Toc152045517"/>
      <w:bookmarkStart w:id="86" w:name="_Toc247085678"/>
      <w:bookmarkStart w:id="87" w:name="_Toc507319897"/>
      <w:bookmarkStart w:id="88" w:name="_Toc179632534"/>
      <w:bookmarkStart w:id="89" w:name="_Toc21615"/>
      <w:bookmarkStart w:id="90" w:name="_Toc18402"/>
      <w:bookmarkStart w:id="91" w:name="_Toc11329219"/>
      <w:bookmarkStart w:id="92" w:name="_Toc393"/>
      <w:bookmarkStart w:id="93" w:name="_Toc246996164"/>
      <w:bookmarkStart w:id="94" w:name="_Toc152042293"/>
      <w:bookmarkStart w:id="95" w:name="_Toc144974485"/>
      <w:bookmarkStart w:id="96" w:name="_Toc246996907"/>
      <w:r>
        <w:rPr>
          <w:rFonts w:hint="eastAsia" w:ascii="宋体" w:hAnsi="宋体" w:cs="宋体"/>
          <w:color w:val="auto"/>
        </w:rPr>
        <w:t>6.1报价截止时间和开标时间：2023年12月</w:t>
      </w:r>
      <w:r>
        <w:rPr>
          <w:rFonts w:hint="eastAsia" w:ascii="宋体" w:hAnsi="宋体" w:cs="宋体"/>
          <w:color w:val="auto"/>
          <w:lang w:val="en-US" w:eastAsia="zh-CN"/>
        </w:rPr>
        <w:t>28</w:t>
      </w:r>
      <w:r>
        <w:rPr>
          <w:rFonts w:hint="eastAsia" w:ascii="宋体" w:hAnsi="宋体" w:cs="宋体"/>
          <w:color w:val="auto"/>
        </w:rPr>
        <w:t>日</w:t>
      </w:r>
      <w:r>
        <w:rPr>
          <w:rFonts w:hint="eastAsia" w:ascii="宋体" w:hAnsi="宋体" w:cs="宋体"/>
          <w:color w:val="auto"/>
          <w:lang w:val="en-US" w:eastAsia="zh-CN"/>
        </w:rPr>
        <w:t>上</w:t>
      </w:r>
      <w:r>
        <w:rPr>
          <w:rFonts w:hint="eastAsia" w:ascii="宋体" w:hAnsi="宋体" w:cs="宋体"/>
          <w:color w:val="auto"/>
        </w:rPr>
        <w:t>午1</w:t>
      </w:r>
      <w:r>
        <w:rPr>
          <w:rFonts w:hint="eastAsia" w:ascii="宋体" w:hAnsi="宋体" w:cs="宋体"/>
          <w:color w:val="auto"/>
          <w:lang w:val="en-US" w:eastAsia="zh-CN"/>
        </w:rPr>
        <w:t>1</w:t>
      </w:r>
      <w:r>
        <w:rPr>
          <w:rFonts w:hint="eastAsia" w:ascii="宋体" w:hAnsi="宋体" w:cs="宋体"/>
          <w:color w:val="auto"/>
        </w:rPr>
        <w:t>:00（北京时间）。</w:t>
      </w:r>
    </w:p>
    <w:p>
      <w:pPr>
        <w:pStyle w:val="13"/>
        <w:adjustRightInd w:val="0"/>
        <w:spacing w:line="400" w:lineRule="exact"/>
        <w:rPr>
          <w:rFonts w:ascii="宋体" w:hAnsi="宋体" w:cs="宋体"/>
          <w:color w:val="auto"/>
        </w:rPr>
      </w:pPr>
      <w:r>
        <w:rPr>
          <w:rFonts w:hint="eastAsia" w:ascii="宋体" w:hAnsi="宋体" w:cs="宋体"/>
          <w:color w:val="auto"/>
        </w:rPr>
        <w:t>6</w:t>
      </w:r>
      <w:r>
        <w:rPr>
          <w:rFonts w:ascii="宋体" w:hAnsi="宋体" w:cs="宋体"/>
          <w:color w:val="auto"/>
        </w:rPr>
        <w:t>.</w:t>
      </w:r>
      <w:r>
        <w:rPr>
          <w:rFonts w:hint="eastAsia" w:ascii="宋体" w:hAnsi="宋体" w:cs="宋体"/>
          <w:color w:val="auto"/>
        </w:rPr>
        <w:t>2</w:t>
      </w:r>
      <w:r>
        <w:rPr>
          <w:rFonts w:ascii="宋体" w:hAnsi="宋体" w:cs="宋体"/>
          <w:color w:val="auto"/>
        </w:rPr>
        <w:t xml:space="preserve"> 报价的递交方式：现场递交或邮寄，若采用现场递交方式须在报价截止当天将文件送达并参与现场开标；若采用邮寄方式需在报价截止时间之前将响应文件邮寄到达递交地址，并按要求进行密封，否则采购人有权拒收，采用邮寄方式的报价人默认认可采购人的开标结果，不得由此提出任何质疑。</w:t>
      </w:r>
    </w:p>
    <w:p>
      <w:pPr>
        <w:pStyle w:val="13"/>
        <w:adjustRightInd w:val="0"/>
        <w:spacing w:line="400" w:lineRule="exact"/>
        <w:rPr>
          <w:rFonts w:ascii="宋体" w:hAnsi="宋体" w:cs="宋体"/>
          <w:color w:val="auto"/>
        </w:rPr>
      </w:pPr>
      <w:r>
        <w:rPr>
          <w:rFonts w:hint="eastAsia" w:ascii="宋体" w:hAnsi="宋体" w:cs="宋体"/>
          <w:color w:val="auto"/>
        </w:rPr>
        <w:t>6</w:t>
      </w:r>
      <w:r>
        <w:rPr>
          <w:rFonts w:ascii="宋体" w:hAnsi="宋体" w:cs="宋体"/>
          <w:color w:val="auto"/>
        </w:rPr>
        <w:t>.3 递交地址：重庆市渝北区新南路52号东界龙湖</w:t>
      </w:r>
      <w:r>
        <w:rPr>
          <w:rFonts w:hint="eastAsia" w:ascii="宋体" w:hAnsi="宋体" w:cs="宋体"/>
          <w:color w:val="auto"/>
        </w:rPr>
        <w:t>三</w:t>
      </w:r>
      <w:r>
        <w:rPr>
          <w:rFonts w:ascii="宋体" w:hAnsi="宋体" w:cs="宋体"/>
          <w:color w:val="auto"/>
        </w:rPr>
        <w:t>楼重庆首讯科技股份有限公司。</w:t>
      </w:r>
    </w:p>
    <w:p>
      <w:pPr>
        <w:pStyle w:val="13"/>
        <w:adjustRightInd w:val="0"/>
        <w:spacing w:line="400" w:lineRule="exact"/>
        <w:rPr>
          <w:rFonts w:ascii="宋体" w:hAnsi="宋体" w:cs="宋体"/>
        </w:rPr>
      </w:pPr>
      <w:r>
        <w:rPr>
          <w:rFonts w:hint="eastAsia" w:ascii="宋体" w:hAnsi="宋体" w:cs="宋体"/>
        </w:rPr>
        <w:t>6</w:t>
      </w:r>
      <w:r>
        <w:rPr>
          <w:rFonts w:ascii="宋体" w:hAnsi="宋体" w:cs="宋体"/>
        </w:rPr>
        <w:t>.4 逾期送达，或未送达指定地点，或未密封的竞争性比选响应文件，采购人不予受理。</w:t>
      </w:r>
    </w:p>
    <w:p>
      <w:pPr>
        <w:pStyle w:val="13"/>
        <w:adjustRightInd w:val="0"/>
        <w:spacing w:line="400" w:lineRule="exact"/>
        <w:rPr>
          <w:rFonts w:ascii="宋体" w:hAnsi="宋体" w:cs="宋体"/>
        </w:rPr>
      </w:pPr>
      <w:r>
        <w:rPr>
          <w:rFonts w:hint="eastAsia" w:ascii="宋体" w:hAnsi="宋体" w:cs="宋体"/>
        </w:rPr>
        <w:t>6.5采购人不组织项目现场踏勘，不召开报价预备会。</w:t>
      </w:r>
    </w:p>
    <w:p>
      <w:pPr>
        <w:pStyle w:val="4"/>
        <w:spacing w:before="120" w:after="0" w:line="400" w:lineRule="exact"/>
        <w:rPr>
          <w:rFonts w:ascii="宋体" w:hAnsi="宋体" w:eastAsia="宋体" w:cs="宋体"/>
        </w:rPr>
      </w:pPr>
      <w:bookmarkStart w:id="97" w:name="_Toc12272"/>
      <w:r>
        <w:rPr>
          <w:rFonts w:hint="eastAsia" w:ascii="宋体" w:hAnsi="宋体" w:eastAsia="宋体" w:cs="宋体"/>
        </w:rPr>
        <w:t>7. 联系方式</w:t>
      </w:r>
      <w:bookmarkEnd w:id="85"/>
      <w:bookmarkEnd w:id="86"/>
      <w:bookmarkEnd w:id="87"/>
      <w:bookmarkEnd w:id="88"/>
      <w:bookmarkEnd w:id="89"/>
      <w:bookmarkEnd w:id="90"/>
      <w:bookmarkEnd w:id="91"/>
      <w:bookmarkEnd w:id="92"/>
      <w:bookmarkEnd w:id="93"/>
      <w:bookmarkEnd w:id="94"/>
      <w:bookmarkEnd w:id="95"/>
      <w:bookmarkEnd w:id="96"/>
      <w:bookmarkEnd w:id="97"/>
    </w:p>
    <w:tbl>
      <w:tblPr>
        <w:tblStyle w:val="43"/>
        <w:tblW w:w="9388" w:type="dxa"/>
        <w:tblInd w:w="0" w:type="dxa"/>
        <w:tblLayout w:type="fixed"/>
        <w:tblCellMar>
          <w:top w:w="0" w:type="dxa"/>
          <w:left w:w="108" w:type="dxa"/>
          <w:bottom w:w="0" w:type="dxa"/>
          <w:right w:w="108" w:type="dxa"/>
        </w:tblCellMar>
      </w:tblPr>
      <w:tblGrid>
        <w:gridCol w:w="9388"/>
      </w:tblGrid>
      <w:tr>
        <w:tblPrEx>
          <w:tblCellMar>
            <w:top w:w="0" w:type="dxa"/>
            <w:left w:w="108" w:type="dxa"/>
            <w:bottom w:w="0" w:type="dxa"/>
            <w:right w:w="108" w:type="dxa"/>
          </w:tblCellMar>
        </w:tblPrEx>
        <w:trPr>
          <w:trHeight w:val="470" w:hRule="atLeast"/>
        </w:trPr>
        <w:tc>
          <w:tcPr>
            <w:tcW w:w="9388" w:type="dxa"/>
            <w:vAlign w:val="center"/>
          </w:tcPr>
          <w:p>
            <w:pPr>
              <w:pStyle w:val="102"/>
              <w:spacing w:before="0" w:beforeAutospacing="0" w:after="0" w:afterAutospacing="0" w:line="400" w:lineRule="exact"/>
              <w:ind w:firstLine="420" w:firstLineChars="200"/>
              <w:jc w:val="both"/>
              <w:rPr>
                <w:rFonts w:ascii="宋体" w:hAnsi="宋体" w:cs="宋体"/>
                <w:kern w:val="2"/>
                <w:sz w:val="21"/>
                <w:szCs w:val="21"/>
              </w:rPr>
            </w:pPr>
            <w:r>
              <w:rPr>
                <w:rFonts w:hint="eastAsia" w:ascii="宋体" w:hAnsi="宋体" w:cs="宋体"/>
                <w:kern w:val="2"/>
                <w:sz w:val="21"/>
                <w:szCs w:val="21"/>
              </w:rPr>
              <w:t>采购人：重庆首讯科技股份有限公司</w:t>
            </w:r>
          </w:p>
        </w:tc>
      </w:tr>
      <w:tr>
        <w:tblPrEx>
          <w:tblCellMar>
            <w:top w:w="0" w:type="dxa"/>
            <w:left w:w="108" w:type="dxa"/>
            <w:bottom w:w="0" w:type="dxa"/>
            <w:right w:w="108" w:type="dxa"/>
          </w:tblCellMar>
        </w:tblPrEx>
        <w:trPr>
          <w:trHeight w:val="461" w:hRule="atLeast"/>
        </w:trPr>
        <w:tc>
          <w:tcPr>
            <w:tcW w:w="9388" w:type="dxa"/>
            <w:vAlign w:val="center"/>
          </w:tcPr>
          <w:p>
            <w:pPr>
              <w:topLinePunct/>
              <w:spacing w:line="400" w:lineRule="exact"/>
              <w:ind w:left="1050" w:leftChars="200" w:hanging="630" w:hangingChars="300"/>
              <w:rPr>
                <w:rFonts w:ascii="宋体" w:hAnsi="宋体" w:cs="宋体"/>
                <w:szCs w:val="21"/>
              </w:rPr>
            </w:pPr>
            <w:r>
              <w:rPr>
                <w:rFonts w:hint="eastAsia" w:ascii="宋体" w:hAnsi="宋体" w:cs="宋体"/>
                <w:szCs w:val="21"/>
              </w:rPr>
              <w:t>地址：重庆市渝北区新南路52号东界龙湖三楼</w:t>
            </w:r>
          </w:p>
        </w:tc>
      </w:tr>
      <w:tr>
        <w:tblPrEx>
          <w:tblCellMar>
            <w:top w:w="0" w:type="dxa"/>
            <w:left w:w="108" w:type="dxa"/>
            <w:bottom w:w="0" w:type="dxa"/>
            <w:right w:w="108" w:type="dxa"/>
          </w:tblCellMar>
        </w:tblPrEx>
        <w:trPr>
          <w:trHeight w:val="405" w:hRule="atLeast"/>
        </w:trPr>
        <w:tc>
          <w:tcPr>
            <w:tcW w:w="9388" w:type="dxa"/>
            <w:vAlign w:val="center"/>
          </w:tcPr>
          <w:p>
            <w:pPr>
              <w:topLinePunct/>
              <w:spacing w:line="420" w:lineRule="exact"/>
              <w:ind w:firstLine="420" w:firstLineChars="200"/>
            </w:pPr>
            <w:r>
              <w:rPr>
                <w:rFonts w:hint="eastAsia" w:ascii="宋体" w:hAnsi="宋体" w:cs="宋体"/>
                <w:szCs w:val="21"/>
              </w:rPr>
              <w:t>商务联系人：刘老师  电 话：18623655450</w:t>
            </w:r>
          </w:p>
        </w:tc>
      </w:tr>
      <w:tr>
        <w:tblPrEx>
          <w:tblCellMar>
            <w:top w:w="0" w:type="dxa"/>
            <w:left w:w="108" w:type="dxa"/>
            <w:bottom w:w="0" w:type="dxa"/>
            <w:right w:w="108" w:type="dxa"/>
          </w:tblCellMar>
        </w:tblPrEx>
        <w:trPr>
          <w:trHeight w:val="405" w:hRule="atLeast"/>
        </w:trPr>
        <w:tc>
          <w:tcPr>
            <w:tcW w:w="9388" w:type="dxa"/>
            <w:vAlign w:val="center"/>
          </w:tcPr>
          <w:p>
            <w:pPr>
              <w:topLinePunct/>
              <w:spacing w:line="420" w:lineRule="exact"/>
              <w:ind w:firstLine="420" w:firstLineChars="200"/>
              <w:rPr>
                <w:rFonts w:ascii="宋体" w:hAnsi="宋体" w:cs="宋体"/>
                <w:szCs w:val="21"/>
              </w:rPr>
            </w:pPr>
            <w:r>
              <w:rPr>
                <w:rFonts w:hint="eastAsia" w:ascii="宋体" w:hAnsi="宋体" w:cs="宋体"/>
                <w:szCs w:val="21"/>
              </w:rPr>
              <w:t>技术联系人：黎老师  电 话：18323165845</w:t>
            </w:r>
          </w:p>
        </w:tc>
      </w:tr>
    </w:tbl>
    <w:p/>
    <w:p>
      <w:pPr>
        <w:pStyle w:val="28"/>
      </w:pPr>
    </w:p>
    <w:p/>
    <w:p>
      <w:pPr>
        <w:pStyle w:val="12"/>
      </w:pPr>
    </w:p>
    <w:p/>
    <w:p>
      <w:pPr>
        <w:pStyle w:val="42"/>
      </w:pPr>
    </w:p>
    <w:p>
      <w:pPr>
        <w:pStyle w:val="42"/>
      </w:pPr>
    </w:p>
    <w:bookmarkEnd w:id="16"/>
    <w:bookmarkEnd w:id="17"/>
    <w:p>
      <w:pPr>
        <w:pStyle w:val="3"/>
        <w:spacing w:before="0" w:after="0" w:line="360" w:lineRule="auto"/>
        <w:jc w:val="center"/>
        <w:rPr>
          <w:rFonts w:ascii="宋体" w:hAnsi="宋体" w:cs="宋体"/>
        </w:rPr>
      </w:pPr>
      <w:bookmarkStart w:id="98" w:name="_Toc179632544"/>
      <w:bookmarkStart w:id="99" w:name="_Toc246996173"/>
      <w:bookmarkStart w:id="100" w:name="_Toc2000405"/>
      <w:bookmarkStart w:id="101" w:name="_Toc247085687"/>
      <w:bookmarkStart w:id="102" w:name="_Toc152045527"/>
      <w:bookmarkStart w:id="103" w:name="_Toc246996916"/>
      <w:bookmarkStart w:id="104" w:name="_Toc29948"/>
      <w:bookmarkStart w:id="105" w:name="_Toc507319898"/>
      <w:bookmarkStart w:id="106" w:name="_Toc152042303"/>
      <w:bookmarkStart w:id="107" w:name="_Toc144974495"/>
      <w:r>
        <w:rPr>
          <w:rFonts w:hint="eastAsia" w:ascii="宋体" w:hAnsi="宋体" w:cs="宋体"/>
        </w:rPr>
        <w:t>第二章 报价人须知</w:t>
      </w:r>
      <w:bookmarkEnd w:id="98"/>
      <w:bookmarkEnd w:id="99"/>
      <w:bookmarkEnd w:id="100"/>
      <w:bookmarkEnd w:id="101"/>
      <w:bookmarkEnd w:id="102"/>
      <w:bookmarkEnd w:id="103"/>
      <w:bookmarkEnd w:id="104"/>
      <w:bookmarkEnd w:id="105"/>
      <w:bookmarkEnd w:id="106"/>
      <w:bookmarkEnd w:id="107"/>
    </w:p>
    <w:p/>
    <w:tbl>
      <w:tblPr>
        <w:tblStyle w:val="4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789"/>
        <w:gridCol w:w="6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373" w:type="pct"/>
            <w:vAlign w:val="center"/>
          </w:tcPr>
          <w:p>
            <w:pPr>
              <w:spacing w:line="400" w:lineRule="exact"/>
              <w:jc w:val="center"/>
              <w:rPr>
                <w:rFonts w:ascii="宋体" w:hAnsi="宋体" w:cs="宋体"/>
                <w:b/>
                <w:kern w:val="0"/>
                <w:szCs w:val="21"/>
              </w:rPr>
            </w:pPr>
            <w:bookmarkStart w:id="108" w:name="_Toc326760840"/>
            <w:r>
              <w:rPr>
                <w:rFonts w:hint="eastAsia" w:ascii="宋体" w:hAnsi="宋体" w:cs="宋体"/>
                <w:b/>
                <w:kern w:val="0"/>
                <w:szCs w:val="21"/>
              </w:rPr>
              <w:t>序号</w:t>
            </w:r>
          </w:p>
        </w:tc>
        <w:tc>
          <w:tcPr>
            <w:tcW w:w="1050" w:type="pct"/>
            <w:vAlign w:val="center"/>
          </w:tcPr>
          <w:p>
            <w:pPr>
              <w:spacing w:line="400" w:lineRule="exact"/>
              <w:jc w:val="center"/>
              <w:rPr>
                <w:rFonts w:ascii="宋体" w:hAnsi="宋体" w:cs="宋体"/>
                <w:b/>
                <w:kern w:val="0"/>
                <w:szCs w:val="21"/>
              </w:rPr>
            </w:pPr>
            <w:r>
              <w:rPr>
                <w:rFonts w:hint="eastAsia" w:ascii="宋体" w:hAnsi="宋体" w:cs="宋体"/>
                <w:b/>
                <w:kern w:val="0"/>
                <w:szCs w:val="21"/>
              </w:rPr>
              <w:t>条款名称</w:t>
            </w:r>
          </w:p>
        </w:tc>
        <w:tc>
          <w:tcPr>
            <w:tcW w:w="3576" w:type="pct"/>
            <w:vAlign w:val="center"/>
          </w:tcPr>
          <w:p>
            <w:pPr>
              <w:spacing w:line="400" w:lineRule="exact"/>
              <w:ind w:firstLine="422" w:firstLineChars="200"/>
              <w:jc w:val="center"/>
              <w:rPr>
                <w:rFonts w:ascii="宋体" w:hAnsi="宋体" w:cs="宋体"/>
                <w:b/>
                <w:color w:val="auto"/>
                <w:kern w:val="0"/>
                <w:szCs w:val="21"/>
              </w:rPr>
            </w:pPr>
            <w:r>
              <w:rPr>
                <w:rFonts w:hint="eastAsia" w:ascii="宋体" w:hAnsi="宋体" w:cs="宋体"/>
                <w:b/>
                <w:color w:val="auto"/>
                <w:kern w:val="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373" w:type="pct"/>
            <w:vAlign w:val="center"/>
          </w:tcPr>
          <w:p>
            <w:pPr>
              <w:spacing w:line="400" w:lineRule="exact"/>
              <w:jc w:val="center"/>
              <w:rPr>
                <w:rFonts w:ascii="宋体" w:hAnsi="宋体" w:cs="宋体"/>
                <w:kern w:val="0"/>
                <w:szCs w:val="21"/>
              </w:rPr>
            </w:pPr>
            <w:r>
              <w:rPr>
                <w:rFonts w:hint="eastAsia" w:ascii="宋体" w:hAnsi="宋体" w:cs="宋体"/>
                <w:kern w:val="0"/>
                <w:szCs w:val="21"/>
              </w:rPr>
              <w:t>1</w:t>
            </w:r>
          </w:p>
        </w:tc>
        <w:tc>
          <w:tcPr>
            <w:tcW w:w="1050" w:type="pct"/>
            <w:vAlign w:val="center"/>
          </w:tcPr>
          <w:p>
            <w:pPr>
              <w:ind w:left="420"/>
              <w:rPr>
                <w:rFonts w:ascii="宋体" w:hAnsi="宋体" w:cs="宋体"/>
                <w:szCs w:val="21"/>
                <w:shd w:val="clear" w:color="auto" w:fill="FFFFFF"/>
              </w:rPr>
            </w:pPr>
            <w:r>
              <w:rPr>
                <w:rFonts w:hint="eastAsia" w:ascii="宋体" w:hAnsi="宋体" w:cs="宋体"/>
                <w:szCs w:val="21"/>
                <w:shd w:val="clear" w:color="auto" w:fill="FFFFFF"/>
              </w:rPr>
              <w:t>采购人</w:t>
            </w:r>
          </w:p>
        </w:tc>
        <w:tc>
          <w:tcPr>
            <w:tcW w:w="3576" w:type="pct"/>
            <w:vAlign w:val="center"/>
          </w:tcPr>
          <w:p>
            <w:pPr>
              <w:ind w:left="420"/>
              <w:rPr>
                <w:rFonts w:ascii="宋体" w:hAnsi="宋体" w:cs="宋体"/>
                <w:color w:val="auto"/>
                <w:szCs w:val="21"/>
                <w:shd w:val="clear" w:color="auto" w:fill="FFFFFF"/>
              </w:rPr>
            </w:pPr>
            <w:r>
              <w:rPr>
                <w:rFonts w:hint="eastAsia" w:ascii="宋体" w:hAnsi="宋体" w:cs="宋体"/>
                <w:color w:val="auto"/>
                <w:szCs w:val="21"/>
                <w:shd w:val="clear" w:color="auto" w:fill="FFFFFF"/>
              </w:rPr>
              <w:t>采购人：重庆首讯科技股份有限公司</w:t>
            </w:r>
          </w:p>
          <w:p>
            <w:pPr>
              <w:ind w:left="420"/>
              <w:rPr>
                <w:rFonts w:ascii="宋体" w:hAnsi="宋体" w:cs="宋体"/>
                <w:color w:val="auto"/>
                <w:szCs w:val="21"/>
                <w:shd w:val="clear" w:color="auto" w:fill="FFFFFF"/>
              </w:rPr>
            </w:pPr>
            <w:r>
              <w:rPr>
                <w:rFonts w:hint="eastAsia" w:ascii="宋体" w:hAnsi="宋体" w:cs="宋体"/>
                <w:color w:val="auto"/>
                <w:szCs w:val="21"/>
                <w:shd w:val="clear" w:color="auto" w:fill="FFFFFF"/>
              </w:rPr>
              <w:t>地  址：</w:t>
            </w:r>
            <w:r>
              <w:rPr>
                <w:rFonts w:hint="eastAsia" w:ascii="宋体" w:hAnsi="宋体" w:cs="宋体"/>
                <w:color w:val="auto"/>
                <w:szCs w:val="21"/>
              </w:rPr>
              <w:t>重庆市渝北区新南路52号东界龙湖三楼</w:t>
            </w:r>
          </w:p>
          <w:p>
            <w:pPr>
              <w:ind w:left="420"/>
              <w:rPr>
                <w:rFonts w:ascii="宋体" w:hAnsi="宋体" w:cs="宋体"/>
                <w:color w:val="auto"/>
                <w:szCs w:val="21"/>
                <w:shd w:val="clear" w:color="auto" w:fill="FFFFFF"/>
              </w:rPr>
            </w:pPr>
            <w:r>
              <w:rPr>
                <w:rFonts w:hint="eastAsia" w:ascii="宋体" w:hAnsi="宋体" w:cs="宋体"/>
                <w:color w:val="auto"/>
                <w:szCs w:val="21"/>
                <w:shd w:val="clear" w:color="auto" w:fill="FFFFFF"/>
              </w:rPr>
              <w:t>联系人：刘老师</w:t>
            </w:r>
          </w:p>
          <w:p>
            <w:pPr>
              <w:ind w:left="420"/>
              <w:rPr>
                <w:color w:val="auto"/>
              </w:rPr>
            </w:pPr>
            <w:r>
              <w:rPr>
                <w:rFonts w:hint="eastAsia" w:ascii="宋体" w:hAnsi="宋体" w:cs="宋体"/>
                <w:color w:val="auto"/>
                <w:szCs w:val="21"/>
                <w:shd w:val="clear" w:color="auto" w:fill="FFFFFF"/>
              </w:rPr>
              <w:t>电  话：18623655450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73" w:type="pct"/>
            <w:vAlign w:val="center"/>
          </w:tcPr>
          <w:p>
            <w:pPr>
              <w:spacing w:line="400" w:lineRule="exact"/>
              <w:jc w:val="center"/>
              <w:rPr>
                <w:rFonts w:ascii="宋体" w:hAnsi="宋体" w:cs="宋体"/>
                <w:kern w:val="0"/>
                <w:szCs w:val="21"/>
              </w:rPr>
            </w:pPr>
            <w:r>
              <w:rPr>
                <w:rFonts w:hint="eastAsia" w:ascii="宋体" w:hAnsi="宋体" w:cs="宋体"/>
                <w:kern w:val="0"/>
                <w:szCs w:val="21"/>
              </w:rPr>
              <w:t>2</w:t>
            </w:r>
          </w:p>
        </w:tc>
        <w:tc>
          <w:tcPr>
            <w:tcW w:w="1050" w:type="pct"/>
            <w:vAlign w:val="center"/>
          </w:tcPr>
          <w:p>
            <w:pPr>
              <w:ind w:left="420"/>
              <w:rPr>
                <w:rFonts w:ascii="宋体" w:hAnsi="宋体" w:cs="宋体"/>
                <w:szCs w:val="21"/>
                <w:shd w:val="clear" w:color="auto" w:fill="FFFFFF"/>
              </w:rPr>
            </w:pPr>
            <w:r>
              <w:rPr>
                <w:rFonts w:hint="eastAsia" w:ascii="宋体" w:hAnsi="宋体" w:cs="宋体"/>
                <w:szCs w:val="21"/>
                <w:shd w:val="clear" w:color="auto" w:fill="FFFFFF"/>
              </w:rPr>
              <w:t>项目名称</w:t>
            </w:r>
          </w:p>
        </w:tc>
        <w:tc>
          <w:tcPr>
            <w:tcW w:w="3576" w:type="pct"/>
            <w:vAlign w:val="center"/>
          </w:tcPr>
          <w:p>
            <w:pPr>
              <w:spacing w:line="400" w:lineRule="exact"/>
              <w:ind w:firstLine="420" w:firstLineChars="200"/>
              <w:rPr>
                <w:rFonts w:ascii="宋体" w:hAnsi="宋体" w:cs="宋体"/>
                <w:color w:val="auto"/>
                <w:szCs w:val="21"/>
              </w:rPr>
            </w:pPr>
            <w:r>
              <w:rPr>
                <w:rFonts w:hint="eastAsia" w:ascii="宋体" w:hAnsi="宋体" w:cs="宋体"/>
                <w:color w:val="auto"/>
                <w:szCs w:val="21"/>
              </w:rPr>
              <w:t>重庆高速数据资源管理平台建设项目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373" w:type="pct"/>
            <w:vAlign w:val="center"/>
          </w:tcPr>
          <w:p>
            <w:pPr>
              <w:spacing w:line="400" w:lineRule="exact"/>
              <w:jc w:val="center"/>
              <w:rPr>
                <w:rFonts w:ascii="宋体" w:hAnsi="宋体" w:cs="宋体"/>
                <w:kern w:val="0"/>
                <w:szCs w:val="21"/>
              </w:rPr>
            </w:pPr>
            <w:r>
              <w:rPr>
                <w:rFonts w:hint="eastAsia" w:ascii="宋体" w:hAnsi="宋体" w:cs="宋体"/>
                <w:kern w:val="0"/>
                <w:szCs w:val="21"/>
              </w:rPr>
              <w:t>3</w:t>
            </w:r>
          </w:p>
        </w:tc>
        <w:tc>
          <w:tcPr>
            <w:tcW w:w="1050" w:type="pct"/>
            <w:vAlign w:val="center"/>
          </w:tcPr>
          <w:p>
            <w:pPr>
              <w:ind w:left="420"/>
              <w:rPr>
                <w:rFonts w:ascii="宋体" w:hAnsi="宋体" w:cs="宋体"/>
                <w:szCs w:val="21"/>
                <w:shd w:val="clear" w:color="auto" w:fill="FFFFFF"/>
              </w:rPr>
            </w:pPr>
            <w:r>
              <w:rPr>
                <w:rFonts w:hint="eastAsia" w:ascii="宋体" w:hAnsi="宋体" w:cs="宋体"/>
                <w:szCs w:val="21"/>
                <w:shd w:val="clear" w:color="auto" w:fill="FFFFFF"/>
              </w:rPr>
              <w:t>项目地点</w:t>
            </w:r>
          </w:p>
        </w:tc>
        <w:tc>
          <w:tcPr>
            <w:tcW w:w="3576" w:type="pct"/>
            <w:vAlign w:val="center"/>
          </w:tcPr>
          <w:p>
            <w:pPr>
              <w:spacing w:line="400" w:lineRule="exact"/>
              <w:ind w:firstLine="420" w:firstLineChars="200"/>
              <w:rPr>
                <w:rFonts w:ascii="宋体" w:hAnsi="宋体" w:cs="宋体"/>
                <w:color w:val="auto"/>
                <w:szCs w:val="21"/>
              </w:rPr>
            </w:pPr>
            <w:r>
              <w:rPr>
                <w:rFonts w:hint="eastAsia" w:ascii="宋体" w:hAnsi="宋体" w:cs="宋体"/>
                <w:color w:val="auto"/>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373" w:type="pct"/>
            <w:vAlign w:val="center"/>
          </w:tcPr>
          <w:p>
            <w:pPr>
              <w:spacing w:line="400" w:lineRule="exact"/>
              <w:jc w:val="center"/>
              <w:rPr>
                <w:rFonts w:ascii="宋体" w:hAnsi="宋体" w:cs="宋体"/>
                <w:kern w:val="0"/>
                <w:szCs w:val="21"/>
              </w:rPr>
            </w:pPr>
            <w:r>
              <w:rPr>
                <w:rFonts w:hint="eastAsia" w:ascii="宋体" w:hAnsi="宋体" w:cs="宋体"/>
                <w:kern w:val="0"/>
                <w:szCs w:val="21"/>
              </w:rPr>
              <w:t>4</w:t>
            </w:r>
          </w:p>
        </w:tc>
        <w:tc>
          <w:tcPr>
            <w:tcW w:w="1050" w:type="pct"/>
            <w:vAlign w:val="center"/>
          </w:tcPr>
          <w:p>
            <w:pPr>
              <w:ind w:left="420"/>
              <w:rPr>
                <w:rFonts w:ascii="宋体" w:hAnsi="宋体" w:cs="宋体"/>
                <w:szCs w:val="21"/>
                <w:shd w:val="clear" w:color="auto" w:fill="FFFFFF"/>
              </w:rPr>
            </w:pPr>
            <w:r>
              <w:rPr>
                <w:rFonts w:hint="eastAsia" w:ascii="宋体" w:hAnsi="宋体" w:cs="宋体"/>
                <w:szCs w:val="21"/>
                <w:shd w:val="clear" w:color="auto" w:fill="FFFFFF"/>
              </w:rPr>
              <w:t>比选范围</w:t>
            </w:r>
          </w:p>
        </w:tc>
        <w:tc>
          <w:tcPr>
            <w:tcW w:w="3576" w:type="pct"/>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color w:val="auto"/>
                <w:szCs w:val="21"/>
              </w:rPr>
            </w:pPr>
            <w:r>
              <w:rPr>
                <w:rFonts w:hint="eastAsia" w:ascii="宋体" w:hAnsi="宋体" w:cs="宋体"/>
                <w:color w:val="auto"/>
                <w:kern w:val="0"/>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3" w:type="pct"/>
            <w:vAlign w:val="center"/>
          </w:tcPr>
          <w:p>
            <w:pPr>
              <w:spacing w:line="400" w:lineRule="exact"/>
              <w:jc w:val="center"/>
              <w:rPr>
                <w:rFonts w:ascii="宋体" w:hAnsi="宋体" w:cs="宋体"/>
                <w:kern w:val="0"/>
                <w:szCs w:val="21"/>
              </w:rPr>
            </w:pPr>
            <w:r>
              <w:rPr>
                <w:rFonts w:hint="eastAsia" w:ascii="宋体" w:hAnsi="宋体" w:cs="宋体"/>
                <w:kern w:val="0"/>
                <w:szCs w:val="21"/>
              </w:rPr>
              <w:t>5</w:t>
            </w:r>
          </w:p>
        </w:tc>
        <w:tc>
          <w:tcPr>
            <w:tcW w:w="1050" w:type="pct"/>
            <w:vAlign w:val="center"/>
          </w:tcPr>
          <w:p>
            <w:pPr>
              <w:ind w:left="420"/>
              <w:rPr>
                <w:rFonts w:ascii="宋体" w:hAnsi="宋体" w:cs="宋体"/>
                <w:szCs w:val="21"/>
                <w:shd w:val="clear" w:color="auto" w:fill="FFFFFF"/>
              </w:rPr>
            </w:pPr>
            <w:r>
              <w:rPr>
                <w:rFonts w:hint="eastAsia" w:ascii="宋体" w:hAnsi="宋体" w:cs="宋体"/>
                <w:szCs w:val="21"/>
                <w:shd w:val="clear" w:color="auto" w:fill="FFFFFF"/>
              </w:rPr>
              <w:t>工期要求</w:t>
            </w:r>
          </w:p>
        </w:tc>
        <w:tc>
          <w:tcPr>
            <w:tcW w:w="3576" w:type="pct"/>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color w:val="auto"/>
                <w:kern w:val="10"/>
                <w:szCs w:val="21"/>
              </w:rPr>
            </w:pPr>
            <w:r>
              <w:rPr>
                <w:rFonts w:hint="eastAsia" w:ascii="宋体" w:hAnsi="宋体" w:cs="宋体"/>
                <w:color w:val="auto"/>
                <w:kern w:val="0"/>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373" w:type="pct"/>
            <w:vAlign w:val="center"/>
          </w:tcPr>
          <w:p>
            <w:pPr>
              <w:spacing w:line="400" w:lineRule="exact"/>
              <w:jc w:val="center"/>
              <w:rPr>
                <w:rFonts w:ascii="宋体" w:hAnsi="宋体" w:cs="宋体"/>
                <w:kern w:val="0"/>
                <w:szCs w:val="21"/>
              </w:rPr>
            </w:pPr>
            <w:r>
              <w:rPr>
                <w:rFonts w:hint="eastAsia" w:ascii="宋体" w:hAnsi="宋体" w:cs="宋体"/>
                <w:kern w:val="0"/>
                <w:szCs w:val="21"/>
              </w:rPr>
              <w:t>6</w:t>
            </w:r>
          </w:p>
        </w:tc>
        <w:tc>
          <w:tcPr>
            <w:tcW w:w="1050" w:type="pct"/>
            <w:vAlign w:val="center"/>
          </w:tcPr>
          <w:p>
            <w:pPr>
              <w:ind w:left="420"/>
              <w:rPr>
                <w:rFonts w:ascii="宋体" w:hAnsi="宋体" w:cs="宋体"/>
                <w:szCs w:val="21"/>
                <w:shd w:val="clear" w:color="auto" w:fill="FFFFFF"/>
              </w:rPr>
            </w:pPr>
            <w:r>
              <w:rPr>
                <w:rFonts w:hint="eastAsia" w:ascii="宋体" w:hAnsi="宋体" w:cs="宋体"/>
                <w:szCs w:val="21"/>
                <w:shd w:val="clear" w:color="auto" w:fill="FFFFFF"/>
              </w:rPr>
              <w:t>质量要求</w:t>
            </w:r>
          </w:p>
        </w:tc>
        <w:tc>
          <w:tcPr>
            <w:tcW w:w="3576" w:type="pct"/>
          </w:tcPr>
          <w:p>
            <w:pPr>
              <w:spacing w:line="400" w:lineRule="exact"/>
              <w:ind w:firstLine="420" w:firstLineChars="200"/>
              <w:rPr>
                <w:rFonts w:ascii="宋体" w:hAnsi="宋体" w:cs="宋体"/>
                <w:color w:val="auto"/>
                <w:kern w:val="0"/>
                <w:szCs w:val="21"/>
              </w:rPr>
            </w:pPr>
            <w:r>
              <w:rPr>
                <w:rFonts w:hint="eastAsia" w:ascii="宋体" w:hAnsi="宋体" w:cs="宋体"/>
                <w:color w:val="auto"/>
                <w:szCs w:val="21"/>
              </w:rPr>
              <w:t>达到国家和地方现行有关质量标准和比选文件第七章技术标准和工作要求，并且一次性验收合格。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373" w:type="pct"/>
            <w:vAlign w:val="center"/>
          </w:tcPr>
          <w:p>
            <w:pPr>
              <w:spacing w:line="400" w:lineRule="exact"/>
              <w:jc w:val="center"/>
              <w:rPr>
                <w:rFonts w:ascii="宋体" w:hAnsi="宋体" w:cs="宋体"/>
                <w:kern w:val="0"/>
                <w:szCs w:val="21"/>
              </w:rPr>
            </w:pPr>
            <w:r>
              <w:rPr>
                <w:rFonts w:hint="eastAsia" w:ascii="宋体" w:hAnsi="宋体" w:cs="宋体"/>
                <w:kern w:val="0"/>
                <w:szCs w:val="21"/>
              </w:rPr>
              <w:t>7</w:t>
            </w:r>
          </w:p>
        </w:tc>
        <w:tc>
          <w:tcPr>
            <w:tcW w:w="1050" w:type="pct"/>
            <w:vAlign w:val="center"/>
          </w:tcPr>
          <w:p>
            <w:pPr>
              <w:ind w:left="420"/>
              <w:rPr>
                <w:rFonts w:ascii="宋体" w:hAnsi="宋体" w:cs="宋体"/>
                <w:szCs w:val="21"/>
                <w:shd w:val="clear" w:color="auto" w:fill="FFFFFF"/>
              </w:rPr>
            </w:pPr>
            <w:r>
              <w:rPr>
                <w:rFonts w:hint="eastAsia" w:ascii="宋体" w:hAnsi="宋体" w:cs="宋体"/>
                <w:szCs w:val="21"/>
                <w:shd w:val="clear" w:color="auto" w:fill="FFFFFF"/>
              </w:rPr>
              <w:t>安全目标</w:t>
            </w:r>
          </w:p>
        </w:tc>
        <w:tc>
          <w:tcPr>
            <w:tcW w:w="3576" w:type="pct"/>
          </w:tcPr>
          <w:p>
            <w:pPr>
              <w:spacing w:line="400" w:lineRule="exact"/>
              <w:ind w:firstLine="420" w:firstLineChars="200"/>
              <w:rPr>
                <w:rFonts w:ascii="宋体" w:hAnsi="宋体" w:cs="宋体"/>
                <w:color w:val="auto"/>
                <w:szCs w:val="21"/>
              </w:rPr>
            </w:pPr>
            <w:r>
              <w:rPr>
                <w:rFonts w:hint="eastAsia" w:ascii="宋体" w:hAnsi="宋体" w:cs="宋体"/>
                <w:color w:val="auto"/>
                <w:szCs w:val="21"/>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373" w:type="pct"/>
            <w:vAlign w:val="center"/>
          </w:tcPr>
          <w:p>
            <w:pPr>
              <w:spacing w:line="400" w:lineRule="exact"/>
              <w:jc w:val="center"/>
              <w:rPr>
                <w:rFonts w:ascii="宋体" w:hAnsi="宋体" w:cs="宋体"/>
                <w:kern w:val="0"/>
                <w:szCs w:val="21"/>
              </w:rPr>
            </w:pPr>
            <w:r>
              <w:rPr>
                <w:rFonts w:hint="eastAsia" w:ascii="宋体" w:hAnsi="宋体" w:cs="宋体"/>
                <w:kern w:val="0"/>
                <w:szCs w:val="21"/>
              </w:rPr>
              <w:t>8</w:t>
            </w:r>
          </w:p>
        </w:tc>
        <w:tc>
          <w:tcPr>
            <w:tcW w:w="1050" w:type="pct"/>
            <w:vAlign w:val="center"/>
          </w:tcPr>
          <w:p>
            <w:pPr>
              <w:jc w:val="center"/>
              <w:rPr>
                <w:rFonts w:ascii="宋体" w:hAnsi="宋体" w:cs="宋体"/>
                <w:szCs w:val="21"/>
                <w:shd w:val="clear" w:color="auto" w:fill="FFFFFF"/>
              </w:rPr>
            </w:pPr>
            <w:r>
              <w:rPr>
                <w:rFonts w:hint="eastAsia" w:ascii="宋体" w:hAnsi="宋体" w:cs="宋体"/>
                <w:szCs w:val="21"/>
                <w:shd w:val="clear" w:color="auto" w:fill="FFFFFF"/>
              </w:rPr>
              <w:t>报价人资质条件、能力与信誉</w:t>
            </w:r>
          </w:p>
        </w:tc>
        <w:tc>
          <w:tcPr>
            <w:tcW w:w="3576" w:type="pct"/>
            <w:vAlign w:val="center"/>
          </w:tcPr>
          <w:p>
            <w:pPr>
              <w:numPr>
                <w:ilvl w:val="0"/>
                <w:numId w:val="2"/>
              </w:numPr>
              <w:spacing w:line="400" w:lineRule="exact"/>
              <w:ind w:firstLine="420" w:firstLineChars="200"/>
              <w:rPr>
                <w:color w:val="auto"/>
              </w:rPr>
            </w:pPr>
            <w:r>
              <w:rPr>
                <w:rFonts w:hint="eastAsia" w:ascii="宋体" w:hAnsi="宋体" w:cs="宋体"/>
                <w:color w:val="auto"/>
                <w:szCs w:val="21"/>
              </w:rPr>
              <w:t>资质要求：见比选公告3.1</w:t>
            </w:r>
          </w:p>
          <w:p>
            <w:pPr>
              <w:spacing w:line="400" w:lineRule="exact"/>
              <w:ind w:firstLine="420" w:firstLineChars="200"/>
              <w:rPr>
                <w:color w:val="auto"/>
              </w:rPr>
            </w:pPr>
            <w:r>
              <w:rPr>
                <w:rFonts w:hint="eastAsia" w:ascii="宋体" w:hAnsi="宋体" w:cs="宋体"/>
                <w:color w:val="auto"/>
                <w:szCs w:val="21"/>
              </w:rPr>
              <w:t>（2）业绩要求：见比选公告3.2</w:t>
            </w:r>
          </w:p>
          <w:p>
            <w:pPr>
              <w:spacing w:line="400" w:lineRule="exact"/>
              <w:ind w:firstLine="420" w:firstLineChars="200"/>
              <w:rPr>
                <w:rFonts w:ascii="宋体" w:hAnsi="宋体" w:cs="宋体"/>
                <w:color w:val="auto"/>
                <w:szCs w:val="21"/>
              </w:rPr>
            </w:pPr>
            <w:r>
              <w:rPr>
                <w:rFonts w:hint="eastAsia" w:ascii="宋体" w:hAnsi="宋体" w:cs="宋体"/>
                <w:color w:val="auto"/>
                <w:szCs w:val="21"/>
              </w:rPr>
              <w:t>（3）信誉要求：见比选公告3.3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373" w:type="pct"/>
            <w:vAlign w:val="center"/>
          </w:tcPr>
          <w:p>
            <w:pPr>
              <w:spacing w:line="400" w:lineRule="exact"/>
              <w:jc w:val="center"/>
              <w:rPr>
                <w:rFonts w:ascii="宋体" w:hAnsi="宋体" w:cs="宋体"/>
                <w:kern w:val="0"/>
                <w:szCs w:val="21"/>
              </w:rPr>
            </w:pPr>
            <w:r>
              <w:rPr>
                <w:rFonts w:hint="eastAsia" w:ascii="宋体" w:hAnsi="宋体" w:cs="宋体"/>
                <w:kern w:val="0"/>
                <w:szCs w:val="21"/>
              </w:rPr>
              <w:t>9</w:t>
            </w:r>
          </w:p>
        </w:tc>
        <w:tc>
          <w:tcPr>
            <w:tcW w:w="1050" w:type="pct"/>
            <w:vAlign w:val="center"/>
          </w:tcPr>
          <w:p>
            <w:pPr>
              <w:ind w:left="420"/>
              <w:rPr>
                <w:rFonts w:ascii="宋体" w:hAnsi="宋体" w:cs="宋体"/>
                <w:szCs w:val="21"/>
                <w:shd w:val="clear" w:color="auto" w:fill="FFFFFF"/>
              </w:rPr>
            </w:pPr>
            <w:r>
              <w:rPr>
                <w:rFonts w:hint="eastAsia" w:ascii="宋体" w:hAnsi="宋体" w:cs="宋体"/>
                <w:szCs w:val="21"/>
                <w:shd w:val="clear" w:color="auto" w:fill="FFFFFF"/>
              </w:rPr>
              <w:t>是否接受</w:t>
            </w:r>
          </w:p>
          <w:p>
            <w:pPr>
              <w:ind w:left="420"/>
              <w:rPr>
                <w:rFonts w:ascii="宋体" w:hAnsi="宋体" w:cs="宋体"/>
                <w:szCs w:val="21"/>
                <w:shd w:val="clear" w:color="auto" w:fill="FFFFFF"/>
              </w:rPr>
            </w:pPr>
            <w:r>
              <w:rPr>
                <w:rFonts w:hint="eastAsia" w:ascii="宋体" w:hAnsi="宋体" w:cs="宋体"/>
                <w:szCs w:val="21"/>
                <w:shd w:val="clear" w:color="auto" w:fill="FFFFFF"/>
              </w:rPr>
              <w:t>联合体报价</w:t>
            </w:r>
          </w:p>
        </w:tc>
        <w:tc>
          <w:tcPr>
            <w:tcW w:w="3576" w:type="pct"/>
            <w:vAlign w:val="center"/>
          </w:tcPr>
          <w:p>
            <w:pPr>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373" w:type="pct"/>
            <w:vAlign w:val="center"/>
          </w:tcPr>
          <w:p>
            <w:pPr>
              <w:spacing w:line="400" w:lineRule="exact"/>
              <w:jc w:val="center"/>
              <w:rPr>
                <w:rFonts w:ascii="宋体" w:hAnsi="宋体" w:cs="宋体"/>
                <w:kern w:val="0"/>
                <w:szCs w:val="21"/>
              </w:rPr>
            </w:pPr>
            <w:r>
              <w:rPr>
                <w:rFonts w:hint="eastAsia" w:ascii="宋体" w:hAnsi="宋体" w:cs="宋体"/>
                <w:kern w:val="0"/>
                <w:szCs w:val="21"/>
              </w:rPr>
              <w:t>10</w:t>
            </w:r>
          </w:p>
        </w:tc>
        <w:tc>
          <w:tcPr>
            <w:tcW w:w="1050" w:type="pct"/>
            <w:vAlign w:val="center"/>
          </w:tcPr>
          <w:p>
            <w:pPr>
              <w:ind w:left="420"/>
              <w:rPr>
                <w:rFonts w:ascii="宋体" w:hAnsi="宋体" w:cs="宋体"/>
                <w:szCs w:val="21"/>
                <w:shd w:val="clear" w:color="auto" w:fill="FFFFFF"/>
              </w:rPr>
            </w:pPr>
            <w:r>
              <w:rPr>
                <w:rFonts w:hint="eastAsia" w:ascii="宋体" w:hAnsi="宋体" w:cs="宋体"/>
                <w:szCs w:val="21"/>
                <w:shd w:val="clear" w:color="auto" w:fill="FFFFFF"/>
              </w:rPr>
              <w:t>踏勘现场</w:t>
            </w:r>
          </w:p>
        </w:tc>
        <w:tc>
          <w:tcPr>
            <w:tcW w:w="3576" w:type="pct"/>
            <w:vAlign w:val="center"/>
          </w:tcPr>
          <w:p>
            <w:pPr>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73" w:type="pct"/>
            <w:vAlign w:val="center"/>
          </w:tcPr>
          <w:p>
            <w:pPr>
              <w:spacing w:line="400" w:lineRule="exact"/>
              <w:jc w:val="center"/>
              <w:rPr>
                <w:rFonts w:ascii="宋体" w:hAnsi="宋体" w:cs="宋体"/>
                <w:kern w:val="0"/>
                <w:szCs w:val="21"/>
              </w:rPr>
            </w:pPr>
            <w:r>
              <w:rPr>
                <w:rFonts w:hint="eastAsia" w:ascii="宋体" w:hAnsi="宋体" w:cs="宋体"/>
                <w:kern w:val="0"/>
                <w:szCs w:val="21"/>
              </w:rPr>
              <w:t>11</w:t>
            </w:r>
          </w:p>
        </w:tc>
        <w:tc>
          <w:tcPr>
            <w:tcW w:w="1050" w:type="pct"/>
            <w:vAlign w:val="center"/>
          </w:tcPr>
          <w:p>
            <w:pPr>
              <w:ind w:left="420"/>
              <w:rPr>
                <w:rFonts w:ascii="宋体" w:hAnsi="宋体" w:cs="宋体"/>
                <w:szCs w:val="21"/>
                <w:shd w:val="clear" w:color="auto" w:fill="FFFFFF"/>
              </w:rPr>
            </w:pPr>
            <w:r>
              <w:rPr>
                <w:rFonts w:hint="eastAsia" w:ascii="宋体" w:hAnsi="宋体" w:cs="宋体"/>
                <w:szCs w:val="21"/>
                <w:shd w:val="clear" w:color="auto" w:fill="FFFFFF"/>
              </w:rPr>
              <w:t>分包</w:t>
            </w:r>
          </w:p>
        </w:tc>
        <w:tc>
          <w:tcPr>
            <w:tcW w:w="3576" w:type="pct"/>
            <w:vAlign w:val="center"/>
          </w:tcPr>
          <w:p>
            <w:pPr>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73" w:type="pct"/>
            <w:vAlign w:val="center"/>
          </w:tcPr>
          <w:p>
            <w:pPr>
              <w:spacing w:line="400" w:lineRule="exact"/>
              <w:jc w:val="center"/>
              <w:rPr>
                <w:rFonts w:ascii="宋体" w:hAnsi="宋体" w:cs="宋体"/>
                <w:kern w:val="0"/>
                <w:szCs w:val="21"/>
              </w:rPr>
            </w:pPr>
            <w:r>
              <w:rPr>
                <w:rFonts w:hint="eastAsia" w:ascii="宋体" w:hAnsi="宋体" w:cs="宋体"/>
                <w:kern w:val="0"/>
                <w:szCs w:val="21"/>
              </w:rPr>
              <w:t>12</w:t>
            </w:r>
          </w:p>
        </w:tc>
        <w:tc>
          <w:tcPr>
            <w:tcW w:w="1050" w:type="pct"/>
            <w:vAlign w:val="center"/>
          </w:tcPr>
          <w:p>
            <w:pPr>
              <w:ind w:left="420"/>
              <w:rPr>
                <w:rFonts w:ascii="宋体" w:hAnsi="宋体" w:cs="宋体"/>
                <w:szCs w:val="21"/>
                <w:shd w:val="clear" w:color="auto" w:fill="FFFFFF"/>
              </w:rPr>
            </w:pPr>
            <w:r>
              <w:rPr>
                <w:rFonts w:hint="eastAsia" w:ascii="宋体" w:hAnsi="宋体" w:cs="宋体"/>
                <w:szCs w:val="21"/>
                <w:shd w:val="clear" w:color="auto" w:fill="FFFFFF"/>
              </w:rPr>
              <w:t>偏差</w:t>
            </w:r>
          </w:p>
        </w:tc>
        <w:tc>
          <w:tcPr>
            <w:tcW w:w="3576" w:type="pct"/>
            <w:vAlign w:val="center"/>
          </w:tcPr>
          <w:p>
            <w:pPr>
              <w:spacing w:line="400" w:lineRule="exact"/>
              <w:ind w:firstLine="422" w:firstLineChars="200"/>
              <w:rPr>
                <w:rFonts w:ascii="宋体" w:hAnsi="宋体" w:cs="宋体"/>
                <w:color w:val="auto"/>
                <w:kern w:val="0"/>
                <w:szCs w:val="21"/>
              </w:rPr>
            </w:pPr>
            <w:r>
              <w:rPr>
                <w:rFonts w:hint="eastAsia" w:ascii="宋体" w:hAnsi="宋体" w:cs="宋体"/>
                <w:b/>
                <w:color w:val="auto"/>
                <w:kern w:val="0"/>
                <w:szCs w:val="21"/>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373" w:type="pct"/>
            <w:vAlign w:val="center"/>
          </w:tcPr>
          <w:p>
            <w:pPr>
              <w:spacing w:line="400" w:lineRule="exact"/>
              <w:jc w:val="center"/>
              <w:rPr>
                <w:rFonts w:ascii="宋体" w:hAnsi="宋体" w:cs="宋体"/>
                <w:kern w:val="0"/>
                <w:szCs w:val="21"/>
              </w:rPr>
            </w:pPr>
            <w:r>
              <w:rPr>
                <w:rFonts w:hint="eastAsia" w:ascii="宋体" w:hAnsi="宋体" w:cs="宋体"/>
                <w:kern w:val="0"/>
                <w:szCs w:val="21"/>
              </w:rPr>
              <w:t>13</w:t>
            </w:r>
          </w:p>
        </w:tc>
        <w:tc>
          <w:tcPr>
            <w:tcW w:w="1050" w:type="pct"/>
            <w:vAlign w:val="center"/>
          </w:tcPr>
          <w:p>
            <w:pPr>
              <w:jc w:val="center"/>
              <w:rPr>
                <w:rFonts w:ascii="宋体" w:hAnsi="宋体" w:cs="宋体"/>
                <w:szCs w:val="21"/>
                <w:shd w:val="clear" w:color="auto" w:fill="FFFFFF"/>
              </w:rPr>
            </w:pPr>
            <w:r>
              <w:rPr>
                <w:rFonts w:hint="eastAsia" w:ascii="宋体" w:hAnsi="宋体" w:cs="宋体"/>
                <w:szCs w:val="21"/>
                <w:shd w:val="clear" w:color="auto" w:fill="FFFFFF"/>
              </w:rPr>
              <w:t>构成比选文件的其他材料</w:t>
            </w:r>
          </w:p>
        </w:tc>
        <w:tc>
          <w:tcPr>
            <w:tcW w:w="3576" w:type="pct"/>
            <w:vAlign w:val="center"/>
          </w:tcPr>
          <w:p>
            <w:pPr>
              <w:spacing w:line="440" w:lineRule="exact"/>
              <w:ind w:firstLine="420" w:firstLineChars="200"/>
              <w:rPr>
                <w:rFonts w:ascii="宋体" w:hAnsi="宋体" w:cs="宋体"/>
                <w:color w:val="auto"/>
                <w:szCs w:val="21"/>
              </w:rPr>
            </w:pPr>
            <w:r>
              <w:rPr>
                <w:rFonts w:hint="eastAsia" w:ascii="宋体" w:hAnsi="宋体" w:cs="宋体"/>
                <w:color w:val="auto"/>
                <w:szCs w:val="21"/>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373" w:type="pct"/>
            <w:vAlign w:val="center"/>
          </w:tcPr>
          <w:p>
            <w:pPr>
              <w:spacing w:line="400" w:lineRule="exact"/>
              <w:jc w:val="center"/>
              <w:rPr>
                <w:rFonts w:ascii="宋体" w:hAnsi="宋体" w:cs="宋体"/>
                <w:kern w:val="0"/>
                <w:szCs w:val="21"/>
              </w:rPr>
            </w:pPr>
            <w:bookmarkStart w:id="109" w:name="_Hlt227984024"/>
            <w:bookmarkEnd w:id="109"/>
            <w:r>
              <w:rPr>
                <w:rFonts w:hint="eastAsia" w:ascii="宋体" w:hAnsi="宋体" w:cs="宋体"/>
                <w:kern w:val="0"/>
                <w:szCs w:val="21"/>
              </w:rPr>
              <w:t>14</w:t>
            </w:r>
          </w:p>
        </w:tc>
        <w:tc>
          <w:tcPr>
            <w:tcW w:w="1050" w:type="pct"/>
            <w:vAlign w:val="center"/>
          </w:tcPr>
          <w:p>
            <w:pPr>
              <w:rPr>
                <w:rFonts w:ascii="宋体" w:hAnsi="宋体" w:cs="宋体"/>
                <w:szCs w:val="21"/>
                <w:shd w:val="clear" w:color="auto" w:fill="FFFFFF"/>
              </w:rPr>
            </w:pPr>
            <w:r>
              <w:rPr>
                <w:rFonts w:hint="eastAsia" w:ascii="宋体" w:hAnsi="宋体" w:cs="宋体"/>
                <w:szCs w:val="21"/>
                <w:shd w:val="clear" w:color="auto" w:fill="FFFFFF"/>
              </w:rPr>
              <w:t>构成竞争性比选响应文件的其他材料</w:t>
            </w:r>
          </w:p>
        </w:tc>
        <w:tc>
          <w:tcPr>
            <w:tcW w:w="3576" w:type="pct"/>
            <w:vAlign w:val="center"/>
          </w:tcPr>
          <w:p>
            <w:pPr>
              <w:pStyle w:val="149"/>
              <w:spacing w:before="72" w:line="400" w:lineRule="exact"/>
              <w:ind w:firstLine="420" w:firstLineChars="200"/>
              <w:jc w:val="both"/>
              <w:rPr>
                <w:rFonts w:hAnsi="宋体"/>
                <w:color w:val="auto"/>
                <w:sz w:val="21"/>
                <w:szCs w:val="21"/>
              </w:rPr>
            </w:pPr>
            <w:r>
              <w:rPr>
                <w:rFonts w:hint="eastAsia" w:hAnsi="宋体"/>
                <w:color w:val="auto"/>
                <w:sz w:val="21"/>
                <w:szCs w:val="21"/>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373" w:type="pct"/>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15</w:t>
            </w:r>
          </w:p>
        </w:tc>
        <w:tc>
          <w:tcPr>
            <w:tcW w:w="1050" w:type="pct"/>
            <w:tcBorders>
              <w:bottom w:val="single" w:color="auto" w:sz="4" w:space="0"/>
            </w:tcBorders>
            <w:vAlign w:val="center"/>
          </w:tcPr>
          <w:p>
            <w:pPr>
              <w:jc w:val="center"/>
              <w:rPr>
                <w:rFonts w:ascii="宋体" w:hAnsi="宋体" w:cs="宋体"/>
                <w:szCs w:val="21"/>
                <w:shd w:val="clear" w:color="auto" w:fill="FFFFFF"/>
              </w:rPr>
            </w:pPr>
            <w:r>
              <w:rPr>
                <w:rFonts w:hint="eastAsia" w:ascii="宋体" w:hAnsi="宋体" w:cs="宋体"/>
                <w:szCs w:val="21"/>
                <w:shd w:val="clear" w:color="auto" w:fill="FFFFFF"/>
              </w:rPr>
              <w:t>工程量清单的填写方式</w:t>
            </w:r>
          </w:p>
        </w:tc>
        <w:tc>
          <w:tcPr>
            <w:tcW w:w="3576" w:type="pct"/>
            <w:tcBorders>
              <w:bottom w:val="single" w:color="auto" w:sz="4" w:space="0"/>
            </w:tcBorders>
          </w:tcPr>
          <w:p>
            <w:pPr>
              <w:spacing w:line="400" w:lineRule="exact"/>
              <w:ind w:firstLine="420" w:firstLineChars="200"/>
              <w:jc w:val="left"/>
              <w:rPr>
                <w:rFonts w:ascii="宋体" w:hAnsi="宋体" w:cs="宋体"/>
                <w:color w:val="auto"/>
                <w:szCs w:val="21"/>
              </w:rPr>
            </w:pPr>
            <w:r>
              <w:rPr>
                <w:rFonts w:hint="eastAsia" w:ascii="宋体" w:hAnsi="宋体" w:cs="宋体"/>
                <w:color w:val="auto"/>
              </w:rPr>
              <w:t>报价人按照采购人提供的工程量清单填写工程量清单</w:t>
            </w:r>
          </w:p>
          <w:p>
            <w:pPr>
              <w:spacing w:line="400" w:lineRule="exact"/>
              <w:ind w:firstLine="422" w:firstLineChars="200"/>
              <w:rPr>
                <w:rFonts w:ascii="宋体" w:hAnsi="宋体" w:cs="宋体"/>
                <w:b/>
                <w:color w:val="auto"/>
                <w:szCs w:val="21"/>
              </w:rPr>
            </w:pPr>
            <w:r>
              <w:rPr>
                <w:rFonts w:hint="eastAsia" w:ascii="宋体" w:hAnsi="宋体" w:cs="宋体"/>
                <w:b/>
                <w:color w:val="auto"/>
                <w:szCs w:val="21"/>
              </w:rPr>
              <w:t>综合单价取小数点后两位，小数点后第三位四舍五入。</w:t>
            </w:r>
          </w:p>
          <w:p>
            <w:pPr>
              <w:spacing w:line="400" w:lineRule="exact"/>
              <w:ind w:firstLine="422" w:firstLineChars="200"/>
              <w:rPr>
                <w:rFonts w:ascii="宋体" w:hAnsi="宋体" w:cs="宋体"/>
                <w:color w:val="auto"/>
                <w:szCs w:val="21"/>
              </w:rPr>
            </w:pPr>
            <w:r>
              <w:rPr>
                <w:rFonts w:hint="eastAsia" w:ascii="宋体" w:hAnsi="宋体" w:cs="宋体"/>
                <w:b/>
                <w:bCs/>
                <w:color w:val="auto"/>
                <w:szCs w:val="21"/>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73" w:type="pct"/>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16</w:t>
            </w:r>
          </w:p>
        </w:tc>
        <w:tc>
          <w:tcPr>
            <w:tcW w:w="1050" w:type="pct"/>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最高投标限价</w:t>
            </w:r>
          </w:p>
        </w:tc>
        <w:tc>
          <w:tcPr>
            <w:tcW w:w="3576" w:type="pct"/>
            <w:tcBorders>
              <w:bottom w:val="single" w:color="auto" w:sz="4" w:space="0"/>
            </w:tcBorders>
          </w:tcPr>
          <w:p>
            <w:pPr>
              <w:spacing w:line="400" w:lineRule="exact"/>
              <w:ind w:firstLine="422" w:firstLineChars="200"/>
              <w:rPr>
                <w:rFonts w:ascii="宋体" w:hAnsi="宋体" w:cs="宋体"/>
                <w:b/>
                <w:bCs/>
                <w:color w:val="auto"/>
                <w:kern w:val="0"/>
                <w:szCs w:val="21"/>
              </w:rPr>
            </w:pPr>
            <w:r>
              <w:rPr>
                <w:rFonts w:hint="eastAsia" w:ascii="宋体" w:hAnsi="宋体"/>
                <w:b/>
                <w:bCs/>
                <w:color w:val="auto"/>
                <w:szCs w:val="21"/>
              </w:rPr>
              <w:t>重庆高速数据资源管理平台建设项目最高限价971000</w:t>
            </w:r>
            <w:r>
              <w:rPr>
                <w:rFonts w:hint="eastAsia" w:ascii="宋体" w:hAnsi="宋体"/>
                <w:b/>
                <w:bCs/>
                <w:color w:val="auto"/>
                <w:szCs w:val="21"/>
                <w:lang w:val="en-US" w:eastAsia="zh-CN"/>
              </w:rPr>
              <w:t>.00</w:t>
            </w:r>
            <w:r>
              <w:rPr>
                <w:rFonts w:hint="eastAsia" w:ascii="宋体" w:hAnsi="宋体"/>
                <w:b/>
                <w:bCs/>
                <w:color w:val="auto"/>
                <w:szCs w:val="21"/>
              </w:rPr>
              <w:t>元。</w:t>
            </w:r>
            <w:r>
              <w:rPr>
                <w:rFonts w:hint="eastAsia" w:ascii="宋体" w:hAnsi="宋体" w:cs="宋体"/>
                <w:b/>
                <w:color w:val="auto"/>
                <w:szCs w:val="21"/>
              </w:rPr>
              <w:t>报价人报价不得高于采购人发布的最高限价，否则其竞争性比选响应文件视为重大偏差，竞争性比选响应文件将按否决报价处理</w:t>
            </w:r>
            <w:r>
              <w:rPr>
                <w:rFonts w:hint="eastAsia" w:ascii="宋体" w:hAnsi="宋体" w:cs="宋体"/>
                <w:b/>
                <w:bCs/>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373" w:type="pct"/>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17</w:t>
            </w:r>
          </w:p>
        </w:tc>
        <w:tc>
          <w:tcPr>
            <w:tcW w:w="1050" w:type="pct"/>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合同支付办法</w:t>
            </w:r>
          </w:p>
        </w:tc>
        <w:tc>
          <w:tcPr>
            <w:tcW w:w="3576" w:type="pct"/>
            <w:tcBorders>
              <w:bottom w:val="single" w:color="auto" w:sz="4" w:space="0"/>
            </w:tcBorders>
          </w:tcPr>
          <w:p>
            <w:pPr>
              <w:widowControl/>
              <w:ind w:firstLine="420" w:firstLineChars="200"/>
              <w:rPr>
                <w:rFonts w:ascii="宋体" w:hAnsi="宋体" w:cs="宋体"/>
                <w:color w:val="auto"/>
                <w:kern w:val="0"/>
                <w:szCs w:val="21"/>
                <w:lang w:bidi="ar"/>
              </w:rPr>
            </w:pPr>
            <w:bookmarkStart w:id="110" w:name="_Hlk132637631"/>
            <w:r>
              <w:rPr>
                <w:rFonts w:ascii="宋体" w:hAnsi="宋体" w:cs="宋体"/>
                <w:color w:val="auto"/>
                <w:kern w:val="0"/>
                <w:szCs w:val="21"/>
                <w:lang w:bidi="ar"/>
              </w:rPr>
              <w:t>1</w:t>
            </w:r>
            <w:r>
              <w:rPr>
                <w:rFonts w:hint="eastAsia" w:ascii="宋体" w:hAnsi="宋体" w:cs="宋体"/>
                <w:color w:val="auto"/>
                <w:kern w:val="0"/>
                <w:szCs w:val="21"/>
                <w:lang w:bidi="ar"/>
              </w:rPr>
              <w:t>、乙方按要求完成本项目所有的服务内容并验收通过后，甲方向乙方支付至合同总金额的9</w:t>
            </w:r>
            <w:r>
              <w:rPr>
                <w:rFonts w:ascii="宋体" w:hAnsi="宋体" w:cs="宋体"/>
                <w:color w:val="auto"/>
                <w:kern w:val="0"/>
                <w:szCs w:val="21"/>
                <w:lang w:bidi="ar"/>
              </w:rPr>
              <w:t>5</w:t>
            </w:r>
            <w:r>
              <w:rPr>
                <w:rFonts w:hint="eastAsia" w:ascii="宋体" w:hAnsi="宋体" w:cs="宋体"/>
                <w:color w:val="auto"/>
                <w:kern w:val="0"/>
                <w:szCs w:val="21"/>
                <w:lang w:bidi="ar"/>
              </w:rPr>
              <w:t>%；</w:t>
            </w:r>
          </w:p>
          <w:p>
            <w:pPr>
              <w:widowControl/>
              <w:ind w:firstLine="420" w:firstLineChars="200"/>
              <w:rPr>
                <w:rFonts w:hint="eastAsia" w:ascii="宋体" w:hAnsi="宋体" w:eastAsia="宋体" w:cs="宋体"/>
                <w:color w:val="auto"/>
                <w:kern w:val="0"/>
                <w:szCs w:val="21"/>
                <w:lang w:eastAsia="zh-CN" w:bidi="ar"/>
              </w:rPr>
            </w:pPr>
            <w:r>
              <w:rPr>
                <w:rFonts w:ascii="宋体" w:hAnsi="宋体" w:cs="宋体"/>
                <w:color w:val="auto"/>
                <w:kern w:val="0"/>
                <w:szCs w:val="21"/>
                <w:lang w:bidi="ar"/>
              </w:rPr>
              <w:t>2</w:t>
            </w:r>
            <w:r>
              <w:rPr>
                <w:rFonts w:hint="eastAsia" w:ascii="宋体" w:hAnsi="宋体" w:cs="宋体"/>
                <w:color w:val="auto"/>
                <w:kern w:val="0"/>
                <w:szCs w:val="21"/>
                <w:lang w:bidi="ar"/>
              </w:rPr>
              <w:t>、</w:t>
            </w:r>
            <w:r>
              <w:rPr>
                <w:rFonts w:hint="eastAsia" w:ascii="宋体" w:hAnsi="宋体" w:cs="宋体"/>
                <w:color w:val="auto"/>
                <w:kern w:val="0"/>
                <w:szCs w:val="21"/>
                <w:lang w:val="en-US" w:eastAsia="zh-CN" w:bidi="ar"/>
              </w:rPr>
              <w:t>剩余5%为质量保证金，在</w:t>
            </w:r>
            <w:r>
              <w:rPr>
                <w:rFonts w:hint="eastAsia" w:ascii="宋体" w:hAnsi="宋体" w:cs="宋体"/>
                <w:color w:val="auto"/>
                <w:kern w:val="0"/>
                <w:szCs w:val="21"/>
                <w:lang w:bidi="ar"/>
              </w:rPr>
              <w:t>缺陷责任期一年（从本项目所有的服务内容验收通过之日起计算）届满后，由乙方提出书面申请并在甲方收到等额发票后，甲方在20个工作日内</w:t>
            </w:r>
            <w:r>
              <w:rPr>
                <w:rFonts w:hint="eastAsia" w:ascii="宋体" w:hAnsi="宋体" w:cs="宋体"/>
                <w:color w:val="auto"/>
                <w:kern w:val="0"/>
                <w:szCs w:val="21"/>
                <w:lang w:val="en-US" w:eastAsia="zh-CN" w:bidi="ar"/>
              </w:rPr>
              <w:t>向乙方</w:t>
            </w:r>
            <w:r>
              <w:rPr>
                <w:rFonts w:hint="eastAsia" w:ascii="宋体" w:hAnsi="宋体" w:cs="宋体"/>
                <w:color w:val="auto"/>
                <w:kern w:val="0"/>
                <w:szCs w:val="21"/>
                <w:lang w:bidi="ar"/>
              </w:rPr>
              <w:t>支付</w:t>
            </w:r>
            <w:r>
              <w:rPr>
                <w:rFonts w:hint="eastAsia" w:ascii="宋体" w:hAnsi="宋体" w:cs="宋体"/>
                <w:color w:val="auto"/>
                <w:kern w:val="0"/>
                <w:szCs w:val="21"/>
                <w:lang w:eastAsia="zh-CN" w:bidi="ar"/>
              </w:rPr>
              <w:t>；</w:t>
            </w:r>
          </w:p>
          <w:p>
            <w:pPr>
              <w:widowControl/>
              <w:ind w:firstLine="420" w:firstLineChars="200"/>
              <w:rPr>
                <w:color w:val="auto"/>
              </w:rPr>
            </w:pPr>
            <w:r>
              <w:rPr>
                <w:rFonts w:ascii="宋体" w:hAnsi="宋体" w:cs="宋体"/>
                <w:color w:val="auto"/>
                <w:kern w:val="0"/>
                <w:szCs w:val="21"/>
                <w:lang w:bidi="ar"/>
              </w:rPr>
              <w:t>3</w:t>
            </w:r>
            <w:r>
              <w:rPr>
                <w:rFonts w:hint="eastAsia" w:ascii="宋体" w:hAnsi="宋体" w:cs="宋体"/>
                <w:color w:val="auto"/>
                <w:kern w:val="0"/>
                <w:szCs w:val="21"/>
                <w:lang w:bidi="ar"/>
              </w:rPr>
              <w:t>、乙方应于甲方每次付款（预付款除外）前提供等额增值税专用发票给甲方。</w:t>
            </w:r>
            <w:bookmarkEnd w:id="1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373" w:type="pct"/>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18</w:t>
            </w:r>
          </w:p>
        </w:tc>
        <w:tc>
          <w:tcPr>
            <w:tcW w:w="1050" w:type="pct"/>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szCs w:val="21"/>
              </w:rPr>
              <w:t>乙方违约的处理</w:t>
            </w:r>
          </w:p>
        </w:tc>
        <w:tc>
          <w:tcPr>
            <w:tcW w:w="3576" w:type="pct"/>
            <w:tcBorders>
              <w:bottom w:val="single" w:color="auto" w:sz="4" w:space="0"/>
            </w:tcBorders>
          </w:tcPr>
          <w:p>
            <w:pPr>
              <w:widowControl/>
              <w:ind w:firstLine="420" w:firstLineChars="200"/>
              <w:rPr>
                <w:color w:val="auto"/>
              </w:rPr>
            </w:pPr>
            <w:r>
              <w:rPr>
                <w:rFonts w:hint="eastAsia" w:ascii="宋体" w:hAnsi="宋体" w:cs="宋体"/>
                <w:color w:val="auto"/>
                <w:kern w:val="0"/>
                <w:szCs w:val="21"/>
                <w:lang w:bidi="ar"/>
              </w:rPr>
              <w:t>1. 乙方未能按合同进度计划及时完成合同约定的工作，已造成或预期造成工期延误，甲方有权终止乙方不能按合同约定或预期不能按时完成的剩余项目，并由甲方另行选择单位实施，且因此产生的费用由乙方承担。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73" w:type="pct"/>
            <w:vAlign w:val="center"/>
          </w:tcPr>
          <w:p>
            <w:pPr>
              <w:spacing w:line="400" w:lineRule="exact"/>
              <w:jc w:val="center"/>
              <w:rPr>
                <w:rFonts w:ascii="宋体" w:hAnsi="宋体" w:cs="宋体"/>
                <w:szCs w:val="21"/>
              </w:rPr>
            </w:pPr>
            <w:r>
              <w:rPr>
                <w:rFonts w:hint="eastAsia" w:ascii="宋体" w:hAnsi="宋体" w:cs="宋体"/>
                <w:color w:val="000000" w:themeColor="text1"/>
                <w:kern w:val="0"/>
                <w:szCs w:val="21"/>
                <w14:textFill>
                  <w14:solidFill>
                    <w14:schemeClr w14:val="tx1"/>
                  </w14:solidFill>
                </w14:textFill>
              </w:rPr>
              <w:t>1</w:t>
            </w:r>
            <w:r>
              <w:rPr>
                <w:rFonts w:ascii="宋体" w:hAnsi="宋体" w:cs="宋体"/>
                <w:color w:val="000000" w:themeColor="text1"/>
                <w:kern w:val="0"/>
                <w:szCs w:val="21"/>
                <w14:textFill>
                  <w14:solidFill>
                    <w14:schemeClr w14:val="tx1"/>
                  </w14:solidFill>
                </w14:textFill>
              </w:rPr>
              <w:t>9</w:t>
            </w:r>
          </w:p>
        </w:tc>
        <w:tc>
          <w:tcPr>
            <w:tcW w:w="1050" w:type="pct"/>
            <w:vAlign w:val="center"/>
          </w:tcPr>
          <w:p>
            <w:pPr>
              <w:spacing w:line="400" w:lineRule="exact"/>
              <w:jc w:val="center"/>
              <w:rPr>
                <w:rFonts w:ascii="宋体" w:hAnsi="宋体" w:cs="宋体"/>
                <w:szCs w:val="21"/>
              </w:rPr>
            </w:pPr>
            <w:r>
              <w:rPr>
                <w:rFonts w:hint="eastAsia" w:ascii="宋体" w:hAnsi="宋体" w:cs="宋体"/>
                <w:color w:val="000000" w:themeColor="text1"/>
                <w:szCs w:val="21"/>
                <w14:textFill>
                  <w14:solidFill>
                    <w14:schemeClr w14:val="tx1"/>
                  </w14:solidFill>
                </w14:textFill>
              </w:rPr>
              <w:t>报价人须知</w:t>
            </w:r>
          </w:p>
        </w:tc>
        <w:tc>
          <w:tcPr>
            <w:tcW w:w="3576" w:type="pct"/>
          </w:tcPr>
          <w:p>
            <w:pPr>
              <w:spacing w:line="400" w:lineRule="exact"/>
              <w:ind w:firstLine="420" w:firstLineChars="200"/>
              <w:rPr>
                <w:rFonts w:ascii="宋体" w:hAnsi="宋体" w:cs="宋体"/>
                <w:color w:val="auto"/>
              </w:rPr>
            </w:pPr>
            <w:r>
              <w:rPr>
                <w:rFonts w:hint="eastAsia"/>
                <w:color w:val="auto"/>
              </w:rPr>
              <w:t>报价人应认真阅读《技术标准和工作要求》后以确认在填报单价和价格之前，设备的所在范围已被包括在每个项目内，报出的单价和价格应被认为包括完成本项目所有费用、相关税率、利润和明示或隐含的风险、保险、责任和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73" w:type="pct"/>
            <w:vAlign w:val="center"/>
          </w:tcPr>
          <w:p>
            <w:pPr>
              <w:spacing w:line="400" w:lineRule="exact"/>
              <w:jc w:val="center"/>
              <w:rPr>
                <w:rFonts w:ascii="宋体" w:hAnsi="宋体" w:cs="宋体"/>
                <w:szCs w:val="21"/>
              </w:rPr>
            </w:pPr>
            <w:r>
              <w:rPr>
                <w:rFonts w:hint="eastAsia" w:ascii="宋体" w:hAnsi="宋体" w:cs="宋体"/>
                <w:szCs w:val="21"/>
              </w:rPr>
              <w:t>20</w:t>
            </w:r>
          </w:p>
        </w:tc>
        <w:tc>
          <w:tcPr>
            <w:tcW w:w="1050" w:type="pct"/>
          </w:tcPr>
          <w:p>
            <w:pPr>
              <w:spacing w:line="400" w:lineRule="exact"/>
              <w:jc w:val="center"/>
              <w:rPr>
                <w:rFonts w:ascii="宋体" w:hAnsi="宋体" w:cs="宋体"/>
                <w:szCs w:val="21"/>
              </w:rPr>
            </w:pPr>
            <w:r>
              <w:rPr>
                <w:rFonts w:hint="eastAsia" w:ascii="宋体" w:hAnsi="宋体" w:cs="宋体"/>
                <w:szCs w:val="21"/>
              </w:rPr>
              <w:t>中标候选人的人数</w:t>
            </w:r>
          </w:p>
        </w:tc>
        <w:tc>
          <w:tcPr>
            <w:tcW w:w="3576" w:type="pct"/>
            <w:vAlign w:val="center"/>
          </w:tcPr>
          <w:p>
            <w:pPr>
              <w:spacing w:line="400" w:lineRule="exact"/>
              <w:ind w:firstLine="420" w:firstLineChars="200"/>
              <w:rPr>
                <w:rFonts w:ascii="宋体" w:hAnsi="宋体" w:cs="宋体"/>
                <w:color w:val="auto"/>
              </w:rPr>
            </w:pPr>
            <w:r>
              <w:rPr>
                <w:rFonts w:hint="eastAsia" w:ascii="宋体" w:hAnsi="宋体" w:cs="宋体"/>
                <w:color w:val="auto"/>
              </w:rPr>
              <w:t>推荐的中标候选人数：2名。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3" w:type="pct"/>
            <w:vAlign w:val="center"/>
          </w:tcPr>
          <w:p>
            <w:pPr>
              <w:pStyle w:val="149"/>
              <w:spacing w:line="400" w:lineRule="exact"/>
              <w:jc w:val="center"/>
              <w:rPr>
                <w:rFonts w:hAnsi="宋体"/>
                <w:color w:val="auto"/>
                <w:kern w:val="2"/>
                <w:sz w:val="21"/>
                <w:szCs w:val="21"/>
              </w:rPr>
            </w:pPr>
            <w:r>
              <w:rPr>
                <w:rFonts w:hint="eastAsia" w:hAnsi="宋体"/>
                <w:color w:val="auto"/>
                <w:kern w:val="2"/>
                <w:sz w:val="21"/>
                <w:szCs w:val="21"/>
              </w:rPr>
              <w:t>21</w:t>
            </w:r>
          </w:p>
        </w:tc>
        <w:tc>
          <w:tcPr>
            <w:tcW w:w="1050" w:type="pct"/>
            <w:vAlign w:val="center"/>
          </w:tcPr>
          <w:p>
            <w:pPr>
              <w:pStyle w:val="149"/>
              <w:spacing w:line="400" w:lineRule="exact"/>
              <w:jc w:val="center"/>
              <w:rPr>
                <w:rFonts w:hAnsi="宋体"/>
                <w:color w:val="auto"/>
                <w:kern w:val="2"/>
                <w:sz w:val="21"/>
                <w:szCs w:val="21"/>
              </w:rPr>
            </w:pPr>
            <w:r>
              <w:rPr>
                <w:rFonts w:hint="eastAsia" w:hAnsi="宋体"/>
                <w:color w:val="auto"/>
                <w:kern w:val="2"/>
                <w:sz w:val="21"/>
                <w:szCs w:val="21"/>
              </w:rPr>
              <w:t>保证金</w:t>
            </w:r>
          </w:p>
        </w:tc>
        <w:tc>
          <w:tcPr>
            <w:tcW w:w="3576" w:type="pct"/>
            <w:vAlign w:val="center"/>
          </w:tcPr>
          <w:p>
            <w:pPr>
              <w:widowControl/>
              <w:spacing w:line="400" w:lineRule="atLeast"/>
              <w:ind w:firstLine="420"/>
              <w:rPr>
                <w:rFonts w:ascii="宋体" w:hAnsi="宋体" w:cs="宋体"/>
                <w:color w:val="auto"/>
                <w:kern w:val="0"/>
                <w:szCs w:val="21"/>
                <w:lang w:bidi="ar"/>
              </w:rPr>
            </w:pPr>
            <w:r>
              <w:rPr>
                <w:rFonts w:hint="eastAsia" w:ascii="宋体" w:hAnsi="宋体" w:cs="宋体"/>
                <w:color w:val="auto"/>
                <w:kern w:val="0"/>
                <w:szCs w:val="21"/>
                <w:lang w:bidi="ar"/>
              </w:rPr>
              <w:t>一、投标保证金</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1、报价人须缴纳投标保证金</w:t>
            </w:r>
            <w:r>
              <w:rPr>
                <w:rFonts w:hAnsi="宋体"/>
                <w:color w:val="auto"/>
                <w:kern w:val="2"/>
                <w:sz w:val="21"/>
                <w:szCs w:val="21"/>
              </w:rPr>
              <w:t>5</w:t>
            </w:r>
            <w:r>
              <w:rPr>
                <w:rFonts w:hint="eastAsia" w:hAnsi="宋体"/>
                <w:color w:val="auto"/>
                <w:kern w:val="2"/>
                <w:sz w:val="21"/>
                <w:szCs w:val="21"/>
              </w:rPr>
              <w:t>000元，由报价人从公司基本账户将投标保证金汇至以下指定账户：</w:t>
            </w:r>
          </w:p>
          <w:p>
            <w:pPr>
              <w:pStyle w:val="149"/>
              <w:spacing w:line="400" w:lineRule="exact"/>
              <w:ind w:firstLine="420" w:firstLineChars="200"/>
              <w:rPr>
                <w:rFonts w:hAnsi="宋体"/>
                <w:color w:val="auto"/>
                <w:kern w:val="2"/>
                <w:sz w:val="21"/>
                <w:szCs w:val="21"/>
              </w:rPr>
            </w:pPr>
            <w:r>
              <w:rPr>
                <w:rFonts w:hAnsi="宋体"/>
                <w:color w:val="auto"/>
                <w:kern w:val="2"/>
                <w:sz w:val="21"/>
                <w:szCs w:val="21"/>
              </w:rPr>
              <w:t>保证金到账截止时间：2023年</w:t>
            </w:r>
            <w:r>
              <w:rPr>
                <w:rFonts w:hint="eastAsia" w:hAnsi="宋体"/>
                <w:color w:val="auto"/>
                <w:kern w:val="2"/>
                <w:sz w:val="21"/>
                <w:szCs w:val="21"/>
              </w:rPr>
              <w:t>12</w:t>
            </w:r>
            <w:r>
              <w:rPr>
                <w:rFonts w:hAnsi="宋体"/>
                <w:color w:val="auto"/>
                <w:kern w:val="2"/>
                <w:sz w:val="21"/>
                <w:szCs w:val="21"/>
              </w:rPr>
              <w:t>月</w:t>
            </w:r>
            <w:r>
              <w:rPr>
                <w:rFonts w:hint="eastAsia" w:hAnsi="宋体"/>
                <w:color w:val="auto"/>
                <w:kern w:val="2"/>
                <w:sz w:val="21"/>
                <w:szCs w:val="21"/>
                <w:lang w:val="en-US" w:eastAsia="zh-CN"/>
              </w:rPr>
              <w:t>28</w:t>
            </w:r>
            <w:r>
              <w:rPr>
                <w:rFonts w:hAnsi="宋体"/>
                <w:color w:val="auto"/>
                <w:kern w:val="2"/>
                <w:sz w:val="21"/>
                <w:szCs w:val="21"/>
              </w:rPr>
              <w:t>日</w:t>
            </w:r>
            <w:r>
              <w:rPr>
                <w:rFonts w:hint="eastAsia" w:hAnsi="宋体"/>
                <w:color w:val="auto"/>
                <w:kern w:val="2"/>
                <w:sz w:val="21"/>
                <w:szCs w:val="21"/>
                <w:lang w:val="en-US" w:eastAsia="zh-CN"/>
              </w:rPr>
              <w:t>11</w:t>
            </w:r>
            <w:r>
              <w:rPr>
                <w:rFonts w:hAnsi="宋体"/>
                <w:color w:val="auto"/>
                <w:kern w:val="2"/>
                <w:sz w:val="21"/>
                <w:szCs w:val="21"/>
              </w:rPr>
              <w:t>时00分前；</w:t>
            </w:r>
          </w:p>
          <w:p>
            <w:pPr>
              <w:pStyle w:val="149"/>
              <w:spacing w:line="400" w:lineRule="exact"/>
              <w:ind w:firstLine="420" w:firstLineChars="200"/>
              <w:rPr>
                <w:rFonts w:hAnsi="宋体"/>
                <w:color w:val="auto"/>
                <w:kern w:val="2"/>
                <w:sz w:val="21"/>
                <w:szCs w:val="21"/>
              </w:rPr>
            </w:pPr>
            <w:r>
              <w:rPr>
                <w:rFonts w:hAnsi="宋体"/>
                <w:color w:val="auto"/>
                <w:kern w:val="2"/>
                <w:sz w:val="21"/>
                <w:szCs w:val="21"/>
              </w:rPr>
              <w:t>若竞争性比选响应文件内无投标保证金缴纳凭证，采购人有权作废标处理，若投标保证金存在虚假不实情况，采购人有权作废标处理。</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2、</w:t>
            </w:r>
            <w:r>
              <w:rPr>
                <w:rFonts w:hAnsi="宋体"/>
                <w:color w:val="auto"/>
                <w:kern w:val="2"/>
                <w:sz w:val="21"/>
                <w:szCs w:val="21"/>
              </w:rPr>
              <w:t>投标保证金退还方式</w:t>
            </w:r>
          </w:p>
          <w:p>
            <w:pPr>
              <w:pStyle w:val="149"/>
              <w:spacing w:line="400" w:lineRule="exact"/>
              <w:ind w:firstLine="420" w:firstLineChars="200"/>
              <w:rPr>
                <w:rFonts w:hAnsi="宋体"/>
                <w:color w:val="auto"/>
                <w:kern w:val="2"/>
                <w:sz w:val="21"/>
                <w:szCs w:val="21"/>
              </w:rPr>
            </w:pPr>
            <w:r>
              <w:rPr>
                <w:rFonts w:hAnsi="宋体"/>
                <w:color w:val="auto"/>
                <w:kern w:val="2"/>
                <w:sz w:val="21"/>
                <w:szCs w:val="21"/>
              </w:rPr>
              <w:t>为便于及时退还，</w:t>
            </w:r>
            <w:r>
              <w:rPr>
                <w:rFonts w:hint="eastAsia" w:hAnsi="宋体"/>
                <w:color w:val="auto"/>
                <w:kern w:val="2"/>
                <w:sz w:val="21"/>
                <w:szCs w:val="21"/>
              </w:rPr>
              <w:t>报价人</w:t>
            </w:r>
            <w:r>
              <w:rPr>
                <w:rFonts w:hAnsi="宋体"/>
                <w:color w:val="auto"/>
                <w:kern w:val="2"/>
                <w:sz w:val="21"/>
                <w:szCs w:val="21"/>
              </w:rPr>
              <w:t>在递交响应文件的同时，递交本项目保证金银行回单和公司的开户许可证复印件。</w:t>
            </w:r>
          </w:p>
          <w:p>
            <w:pPr>
              <w:pStyle w:val="149"/>
              <w:spacing w:line="400" w:lineRule="exact"/>
              <w:ind w:firstLine="420" w:firstLineChars="200"/>
              <w:rPr>
                <w:rFonts w:hAnsi="宋体"/>
                <w:color w:val="auto"/>
                <w:kern w:val="2"/>
                <w:sz w:val="21"/>
                <w:szCs w:val="21"/>
              </w:rPr>
            </w:pPr>
            <w:r>
              <w:rPr>
                <w:rFonts w:hAnsi="宋体"/>
                <w:color w:val="auto"/>
                <w:kern w:val="2"/>
                <w:sz w:val="21"/>
                <w:szCs w:val="21"/>
              </w:rPr>
              <w:t>未</w:t>
            </w:r>
            <w:r>
              <w:rPr>
                <w:rFonts w:hint="eastAsia" w:hAnsi="宋体"/>
                <w:color w:val="auto"/>
                <w:kern w:val="2"/>
                <w:sz w:val="21"/>
                <w:szCs w:val="21"/>
              </w:rPr>
              <w:t>中标报价人</w:t>
            </w:r>
            <w:r>
              <w:rPr>
                <w:rFonts w:hAnsi="宋体"/>
                <w:color w:val="auto"/>
                <w:kern w:val="2"/>
                <w:sz w:val="21"/>
                <w:szCs w:val="21"/>
              </w:rPr>
              <w:t>的投标保证金，于该项目结果公示期结束后15个工作日内无息退还至</w:t>
            </w:r>
            <w:r>
              <w:rPr>
                <w:rFonts w:hint="eastAsia" w:hAnsi="宋体"/>
                <w:color w:val="auto"/>
                <w:kern w:val="2"/>
                <w:sz w:val="21"/>
                <w:szCs w:val="21"/>
              </w:rPr>
              <w:t>报价人</w:t>
            </w:r>
            <w:r>
              <w:rPr>
                <w:rFonts w:hAnsi="宋体"/>
                <w:color w:val="auto"/>
                <w:kern w:val="2"/>
                <w:sz w:val="21"/>
                <w:szCs w:val="21"/>
              </w:rPr>
              <w:t>基本账户。</w:t>
            </w:r>
          </w:p>
          <w:p>
            <w:pPr>
              <w:pStyle w:val="149"/>
              <w:spacing w:line="400" w:lineRule="exact"/>
              <w:ind w:firstLine="420" w:firstLineChars="200"/>
              <w:rPr>
                <w:rFonts w:hAnsi="宋体"/>
                <w:color w:val="auto"/>
                <w:kern w:val="2"/>
                <w:sz w:val="21"/>
                <w:szCs w:val="21"/>
              </w:rPr>
            </w:pPr>
            <w:r>
              <w:rPr>
                <w:rFonts w:hAnsi="宋体"/>
                <w:color w:val="auto"/>
                <w:kern w:val="2"/>
                <w:sz w:val="21"/>
                <w:szCs w:val="21"/>
              </w:rPr>
              <w:t>中标人的投标保证金，自合同签订后15个工作日内无息退还至中标人基本账户。</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二、履约保证金（或履约保函）</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1、</w:t>
            </w:r>
            <w:r>
              <w:rPr>
                <w:rFonts w:hAnsi="宋体"/>
                <w:color w:val="auto"/>
                <w:kern w:val="2"/>
                <w:sz w:val="21"/>
                <w:szCs w:val="21"/>
              </w:rPr>
              <w:t>履约担保作为本</w:t>
            </w:r>
            <w:r>
              <w:rPr>
                <w:rFonts w:hint="eastAsia" w:hAnsi="宋体"/>
                <w:color w:val="auto"/>
                <w:kern w:val="2"/>
                <w:sz w:val="21"/>
                <w:szCs w:val="21"/>
              </w:rPr>
              <w:t>项目</w:t>
            </w:r>
            <w:r>
              <w:rPr>
                <w:rFonts w:hAnsi="宋体"/>
                <w:color w:val="auto"/>
                <w:kern w:val="2"/>
                <w:sz w:val="21"/>
                <w:szCs w:val="21"/>
              </w:rPr>
              <w:t>合同附件</w:t>
            </w:r>
            <w:r>
              <w:rPr>
                <w:rFonts w:hint="eastAsia" w:hAnsi="宋体"/>
                <w:color w:val="auto"/>
                <w:kern w:val="2"/>
                <w:sz w:val="21"/>
                <w:szCs w:val="21"/>
              </w:rPr>
              <w:t>；</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2、履约保证金（履约保函）的金额：无；</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3、履约保证金（或履约保函）有效期：自双方签订的合同文件生效之日起，至合同约定时间完成为止；</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4、履约保证金的提交及退还：在甲方发出中标通知书后5个工作日内，中标人向采购人提供履约保证金</w:t>
            </w:r>
            <w:r>
              <w:rPr>
                <w:rFonts w:hAnsi="宋体"/>
                <w:color w:val="auto"/>
                <w:kern w:val="2"/>
                <w:sz w:val="21"/>
                <w:szCs w:val="21"/>
              </w:rPr>
              <w:t>缴纳凭证</w:t>
            </w:r>
            <w:r>
              <w:rPr>
                <w:rFonts w:hint="eastAsia" w:hAnsi="宋体"/>
                <w:color w:val="auto"/>
                <w:kern w:val="2"/>
                <w:sz w:val="21"/>
                <w:szCs w:val="21"/>
              </w:rPr>
              <w:t>（或出具国有商业银行开具的履约保函）。履约保证金在完成合同约定的全部工作内容后由中标人提出申请，28天后无息退还。</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三、低价风险担保金</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1、低价风险担保提交标准为最高限价的85%与中标价格差额的3倍（既低价风险担保差额倍数）；</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2、低价风险担保</w:t>
            </w:r>
            <w:r>
              <w:rPr>
                <w:rFonts w:hAnsi="宋体"/>
                <w:color w:val="auto"/>
                <w:kern w:val="2"/>
                <w:sz w:val="21"/>
                <w:szCs w:val="21"/>
              </w:rPr>
              <w:t>作为本</w:t>
            </w:r>
            <w:r>
              <w:rPr>
                <w:rFonts w:hint="eastAsia" w:hAnsi="宋体"/>
                <w:color w:val="auto"/>
                <w:kern w:val="2"/>
                <w:sz w:val="21"/>
                <w:szCs w:val="21"/>
              </w:rPr>
              <w:t>项目</w:t>
            </w:r>
            <w:r>
              <w:rPr>
                <w:rFonts w:hAnsi="宋体"/>
                <w:color w:val="auto"/>
                <w:kern w:val="2"/>
                <w:sz w:val="21"/>
                <w:szCs w:val="21"/>
              </w:rPr>
              <w:t>合同附件</w:t>
            </w:r>
            <w:r>
              <w:rPr>
                <w:rFonts w:hint="eastAsia" w:hAnsi="宋体"/>
                <w:color w:val="auto"/>
                <w:kern w:val="2"/>
                <w:sz w:val="21"/>
                <w:szCs w:val="21"/>
              </w:rPr>
              <w:t>；</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3、低价风险担保金有效期：自双方签订的合同文件生效之日起，至合同约定时间完成为止；</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4、低价风险担保金的提交及退还：在甲方发出中标通知书后5个工作日内，中标人向采购人提供低价风险担保金缴纳凭证。低价风险担保金在完成合同约定的全部工作内容后由中标人提出申请，28天后无息退还。</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四、采购人指定的开户银行及账号如下：</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账户名称：重庆首讯科技股份有限公司</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开户银行：兴业银行重庆分行营业部</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帐    号：3460 1010 0100 4791 14</w:t>
            </w:r>
          </w:p>
          <w:p>
            <w:pPr>
              <w:widowControl/>
              <w:spacing w:line="400" w:lineRule="atLeast"/>
              <w:ind w:firstLine="420"/>
              <w:rPr>
                <w:rFonts w:hAnsi="宋体" w:cs="宋体"/>
                <w:color w:val="auto"/>
              </w:rPr>
            </w:pPr>
            <w:r>
              <w:rPr>
                <w:rFonts w:hint="eastAsia" w:hAnsi="宋体"/>
                <w:b/>
                <w:bCs/>
                <w:color w:val="auto"/>
                <w:szCs w:val="21"/>
              </w:rPr>
              <w:t>注：根据采购人《合格供方库管理办法》，符合免交投标担保及履约担保资格的报价人，可提交经采购人审批通过并加盖采购人单位公章的《免交投标担保及履约担保审批表》代替相关保证金凭证。《免交投标担保及履约担保审批表》须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373" w:type="pct"/>
            <w:vAlign w:val="center"/>
          </w:tcPr>
          <w:p>
            <w:pPr>
              <w:pStyle w:val="149"/>
              <w:spacing w:line="400" w:lineRule="exact"/>
              <w:jc w:val="center"/>
              <w:rPr>
                <w:rFonts w:hAnsi="宋体"/>
                <w:color w:val="auto"/>
                <w:sz w:val="21"/>
                <w:szCs w:val="21"/>
              </w:rPr>
            </w:pPr>
            <w:r>
              <w:rPr>
                <w:rFonts w:hint="eastAsia" w:hAnsi="宋体"/>
                <w:color w:val="auto"/>
                <w:sz w:val="21"/>
                <w:szCs w:val="21"/>
              </w:rPr>
              <w:t>22</w:t>
            </w:r>
          </w:p>
        </w:tc>
        <w:tc>
          <w:tcPr>
            <w:tcW w:w="1050" w:type="pct"/>
            <w:vAlign w:val="center"/>
          </w:tcPr>
          <w:p>
            <w:pPr>
              <w:pStyle w:val="149"/>
              <w:spacing w:line="400" w:lineRule="exact"/>
              <w:jc w:val="center"/>
              <w:rPr>
                <w:rFonts w:hAnsi="宋体"/>
                <w:color w:val="auto"/>
                <w:sz w:val="21"/>
                <w:szCs w:val="21"/>
              </w:rPr>
            </w:pPr>
            <w:r>
              <w:rPr>
                <w:rFonts w:hint="eastAsia" w:hAnsi="宋体"/>
                <w:color w:val="auto"/>
                <w:kern w:val="2"/>
                <w:sz w:val="21"/>
                <w:szCs w:val="21"/>
              </w:rPr>
              <w:t>监督部门</w:t>
            </w:r>
          </w:p>
        </w:tc>
        <w:tc>
          <w:tcPr>
            <w:tcW w:w="3576" w:type="pct"/>
            <w:vAlign w:val="center"/>
          </w:tcPr>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监督部门：重庆首讯科技股份有限公司合规监管部</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地    址：重庆市渝北区新南路52号</w:t>
            </w:r>
          </w:p>
          <w:p>
            <w:pPr>
              <w:pStyle w:val="149"/>
              <w:spacing w:line="400" w:lineRule="exact"/>
              <w:ind w:firstLine="420" w:firstLineChars="200"/>
              <w:rPr>
                <w:rFonts w:hAnsi="宋体"/>
                <w:color w:val="auto"/>
                <w:sz w:val="21"/>
                <w:szCs w:val="21"/>
              </w:rPr>
            </w:pPr>
            <w:r>
              <w:rPr>
                <w:rFonts w:hint="eastAsia" w:hAnsi="宋体"/>
                <w:color w:val="auto"/>
                <w:kern w:val="2"/>
                <w:sz w:val="21"/>
                <w:szCs w:val="21"/>
              </w:rPr>
              <w:t>电    话：023-63132246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373" w:type="pct"/>
            <w:vAlign w:val="center"/>
          </w:tcPr>
          <w:p>
            <w:pPr>
              <w:pStyle w:val="149"/>
              <w:spacing w:line="400" w:lineRule="exact"/>
              <w:jc w:val="center"/>
              <w:rPr>
                <w:rFonts w:hAnsi="宋体"/>
                <w:color w:val="auto"/>
                <w:sz w:val="21"/>
                <w:szCs w:val="21"/>
              </w:rPr>
            </w:pPr>
            <w:r>
              <w:rPr>
                <w:rFonts w:hint="eastAsia" w:hAnsi="宋体"/>
                <w:color w:val="auto"/>
                <w:sz w:val="21"/>
                <w:szCs w:val="21"/>
              </w:rPr>
              <w:t>23</w:t>
            </w:r>
          </w:p>
        </w:tc>
        <w:tc>
          <w:tcPr>
            <w:tcW w:w="1050" w:type="pct"/>
            <w:vAlign w:val="center"/>
          </w:tcPr>
          <w:p>
            <w:pPr>
              <w:pStyle w:val="149"/>
              <w:spacing w:line="400" w:lineRule="exact"/>
              <w:jc w:val="center"/>
              <w:rPr>
                <w:rFonts w:hAnsi="宋体"/>
                <w:color w:val="auto"/>
                <w:kern w:val="2"/>
                <w:sz w:val="21"/>
                <w:szCs w:val="21"/>
              </w:rPr>
            </w:pPr>
            <w:r>
              <w:rPr>
                <w:rFonts w:hint="eastAsia" w:hAnsi="宋体"/>
                <w:color w:val="auto"/>
                <w:kern w:val="2"/>
                <w:sz w:val="21"/>
                <w:szCs w:val="21"/>
              </w:rPr>
              <w:t>竞争性比选响应文件的递交</w:t>
            </w:r>
          </w:p>
        </w:tc>
        <w:tc>
          <w:tcPr>
            <w:tcW w:w="3576" w:type="pct"/>
            <w:vAlign w:val="center"/>
          </w:tcPr>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1.报价截止时间和开标时间：</w:t>
            </w:r>
            <w:r>
              <w:rPr>
                <w:rFonts w:hint="eastAsia" w:hAnsi="宋体"/>
                <w:color w:val="auto"/>
                <w:sz w:val="21"/>
                <w:szCs w:val="18"/>
                <w:u w:val="single"/>
              </w:rPr>
              <w:t xml:space="preserve">2023 </w:t>
            </w:r>
            <w:r>
              <w:rPr>
                <w:rFonts w:hint="eastAsia" w:hAnsi="宋体"/>
                <w:color w:val="auto"/>
                <w:sz w:val="21"/>
                <w:szCs w:val="18"/>
              </w:rPr>
              <w:t>年</w:t>
            </w:r>
            <w:r>
              <w:rPr>
                <w:rFonts w:hint="eastAsia" w:hAnsi="宋体"/>
                <w:color w:val="auto"/>
                <w:sz w:val="21"/>
                <w:szCs w:val="18"/>
                <w:u w:val="single"/>
              </w:rPr>
              <w:t xml:space="preserve"> 12 </w:t>
            </w:r>
            <w:r>
              <w:rPr>
                <w:rFonts w:hint="eastAsia" w:hAnsi="宋体"/>
                <w:color w:val="auto"/>
                <w:sz w:val="21"/>
                <w:szCs w:val="18"/>
              </w:rPr>
              <w:t>月</w:t>
            </w:r>
            <w:r>
              <w:rPr>
                <w:rFonts w:hint="eastAsia" w:hAnsi="宋体"/>
                <w:color w:val="auto"/>
                <w:sz w:val="21"/>
                <w:szCs w:val="18"/>
                <w:u w:val="single"/>
              </w:rPr>
              <w:t xml:space="preserve"> </w:t>
            </w:r>
            <w:r>
              <w:rPr>
                <w:rFonts w:hint="eastAsia" w:hAnsi="宋体"/>
                <w:color w:val="auto"/>
                <w:sz w:val="21"/>
                <w:szCs w:val="18"/>
                <w:u w:val="single"/>
                <w:lang w:val="en-US" w:eastAsia="zh-CN"/>
              </w:rPr>
              <w:t>28</w:t>
            </w:r>
            <w:r>
              <w:rPr>
                <w:rFonts w:hint="eastAsia" w:hAnsi="宋体"/>
                <w:color w:val="auto"/>
                <w:sz w:val="21"/>
                <w:szCs w:val="18"/>
                <w:u w:val="single"/>
              </w:rPr>
              <w:t xml:space="preserve"> </w:t>
            </w:r>
            <w:r>
              <w:rPr>
                <w:rFonts w:hint="eastAsia" w:hAnsi="宋体"/>
                <w:color w:val="auto"/>
                <w:sz w:val="21"/>
                <w:szCs w:val="18"/>
              </w:rPr>
              <w:t>日上</w:t>
            </w:r>
            <w:r>
              <w:rPr>
                <w:rFonts w:hint="eastAsia" w:hAnsi="宋体"/>
                <w:color w:val="auto"/>
                <w:kern w:val="2"/>
                <w:sz w:val="21"/>
                <w:szCs w:val="21"/>
              </w:rPr>
              <w:t>午</w:t>
            </w:r>
            <w:r>
              <w:rPr>
                <w:rFonts w:hint="eastAsia" w:hAnsi="宋体"/>
                <w:color w:val="auto"/>
                <w:kern w:val="2"/>
                <w:sz w:val="21"/>
                <w:szCs w:val="21"/>
                <w:lang w:val="en-US" w:eastAsia="zh-CN"/>
              </w:rPr>
              <w:t>11</w:t>
            </w:r>
            <w:r>
              <w:rPr>
                <w:rFonts w:hint="eastAsia" w:hAnsi="宋体"/>
                <w:color w:val="auto"/>
                <w:kern w:val="2"/>
                <w:sz w:val="21"/>
                <w:szCs w:val="21"/>
              </w:rPr>
              <w:t>时 00分（北京时间）。</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2.报价地点和开标地点：重庆首讯科技股份有限公司（重庆市渝北区新南路52号东界龙湖三楼）。</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3.逾期送达，或未送达指定地点，或未密封的竞争性比选响应文件，采购人不予受理。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373" w:type="pct"/>
            <w:vAlign w:val="center"/>
          </w:tcPr>
          <w:p>
            <w:pPr>
              <w:pStyle w:val="149"/>
              <w:spacing w:line="400" w:lineRule="exact"/>
              <w:jc w:val="center"/>
              <w:rPr>
                <w:rFonts w:hAnsi="宋体"/>
                <w:color w:val="auto"/>
                <w:sz w:val="21"/>
                <w:szCs w:val="21"/>
              </w:rPr>
            </w:pPr>
            <w:r>
              <w:rPr>
                <w:rFonts w:hint="eastAsia" w:hAnsi="宋体"/>
                <w:color w:val="auto"/>
                <w:sz w:val="21"/>
                <w:szCs w:val="21"/>
              </w:rPr>
              <w:t>24</w:t>
            </w:r>
          </w:p>
        </w:tc>
        <w:tc>
          <w:tcPr>
            <w:tcW w:w="1050" w:type="pct"/>
            <w:vAlign w:val="center"/>
          </w:tcPr>
          <w:p>
            <w:pPr>
              <w:pStyle w:val="149"/>
              <w:spacing w:line="400" w:lineRule="exact"/>
              <w:jc w:val="center"/>
              <w:rPr>
                <w:rFonts w:hAnsi="宋体"/>
                <w:color w:val="auto"/>
                <w:kern w:val="2"/>
                <w:sz w:val="21"/>
                <w:szCs w:val="21"/>
              </w:rPr>
            </w:pPr>
            <w:r>
              <w:rPr>
                <w:rFonts w:hint="eastAsia" w:hAnsi="宋体"/>
                <w:color w:val="auto"/>
                <w:kern w:val="2"/>
                <w:sz w:val="21"/>
                <w:szCs w:val="21"/>
              </w:rPr>
              <w:t>本次竞争性比选响应文件的组成</w:t>
            </w:r>
          </w:p>
        </w:tc>
        <w:tc>
          <w:tcPr>
            <w:tcW w:w="3576" w:type="pct"/>
            <w:vAlign w:val="center"/>
          </w:tcPr>
          <w:p>
            <w:pPr>
              <w:pStyle w:val="149"/>
              <w:numPr>
                <w:ilvl w:val="0"/>
                <w:numId w:val="3"/>
              </w:numPr>
              <w:spacing w:line="400" w:lineRule="exact"/>
              <w:ind w:firstLine="422" w:firstLineChars="200"/>
              <w:rPr>
                <w:rFonts w:hAnsi="宋体"/>
                <w:color w:val="auto"/>
                <w:kern w:val="2"/>
                <w:sz w:val="21"/>
                <w:szCs w:val="21"/>
              </w:rPr>
            </w:pPr>
            <w:r>
              <w:rPr>
                <w:rFonts w:hint="eastAsia" w:hAnsi="宋体"/>
                <w:b/>
                <w:bCs/>
                <w:color w:val="auto"/>
                <w:sz w:val="21"/>
                <w:szCs w:val="21"/>
              </w:rPr>
              <w:t>竞争性比选文件需逐页加盖报价人的公章</w:t>
            </w:r>
            <w:r>
              <w:rPr>
                <w:rFonts w:hint="eastAsia" w:hAnsi="宋体"/>
                <w:color w:val="auto"/>
                <w:sz w:val="21"/>
                <w:szCs w:val="21"/>
              </w:rPr>
              <w:t>，竞争性比选响应文件提交正本1份，副本1份，副本可为正本的复印件，竞争性比选响应文件需装订成册，</w:t>
            </w:r>
            <w:r>
              <w:rPr>
                <w:rFonts w:hint="eastAsia" w:hAnsi="宋体"/>
                <w:color w:val="auto"/>
                <w:kern w:val="2"/>
                <w:sz w:val="21"/>
                <w:szCs w:val="21"/>
              </w:rPr>
              <w:t>封面右上角需标注“正本”、“副本”加以区别，所有报价文件需密封到一个封袋中。</w:t>
            </w:r>
          </w:p>
          <w:p>
            <w:pPr>
              <w:pStyle w:val="149"/>
              <w:numPr>
                <w:ilvl w:val="0"/>
                <w:numId w:val="3"/>
              </w:numPr>
              <w:spacing w:line="400" w:lineRule="exact"/>
              <w:ind w:firstLine="420" w:firstLineChars="200"/>
              <w:rPr>
                <w:rFonts w:hAnsi="宋体"/>
                <w:color w:val="auto"/>
                <w:kern w:val="2"/>
                <w:sz w:val="21"/>
                <w:szCs w:val="21"/>
              </w:rPr>
            </w:pPr>
            <w:r>
              <w:rPr>
                <w:rFonts w:hint="eastAsia" w:hAnsi="宋体"/>
                <w:color w:val="auto"/>
                <w:sz w:val="21"/>
                <w:szCs w:val="21"/>
              </w:rPr>
              <w:t>报价人应提供竞争性比选响应文件</w:t>
            </w:r>
            <w:r>
              <w:rPr>
                <w:rFonts w:hint="eastAsia" w:hAnsi="宋体"/>
                <w:b/>
                <w:bCs/>
                <w:color w:val="auto"/>
                <w:sz w:val="21"/>
                <w:szCs w:val="21"/>
              </w:rPr>
              <w:t>电子文件1份</w:t>
            </w:r>
            <w:r>
              <w:rPr>
                <w:rFonts w:hint="eastAsia" w:hAnsi="宋体"/>
                <w:color w:val="auto"/>
                <w:sz w:val="21"/>
                <w:szCs w:val="21"/>
              </w:rPr>
              <w:t>（U盘1份，电子文件为报价人竞争性比选响应文件加盖公章后的扫描件，要求为PDF格式）。当电子文件与纸质版竞争性比选响应文件不一致时，以纸质版竞争性比选响应文件为准，当正本与副本不一致时，以正本为准</w:t>
            </w:r>
            <w:r>
              <w:rPr>
                <w:rFonts w:hint="eastAsia" w:hAnsi="宋体"/>
                <w:color w:val="auto"/>
              </w:rPr>
              <w:t>。</w:t>
            </w:r>
          </w:p>
          <w:p>
            <w:pPr>
              <w:pStyle w:val="149"/>
              <w:numPr>
                <w:ilvl w:val="0"/>
                <w:numId w:val="3"/>
              </w:numPr>
              <w:spacing w:line="400" w:lineRule="exact"/>
              <w:ind w:firstLine="420" w:firstLineChars="200"/>
              <w:rPr>
                <w:rFonts w:hAnsi="宋体"/>
                <w:color w:val="auto"/>
                <w:kern w:val="2"/>
                <w:sz w:val="21"/>
                <w:szCs w:val="21"/>
              </w:rPr>
            </w:pPr>
            <w:r>
              <w:rPr>
                <w:rFonts w:hint="eastAsia" w:hAnsi="宋体"/>
                <w:color w:val="auto"/>
                <w:kern w:val="2"/>
                <w:sz w:val="21"/>
                <w:szCs w:val="21"/>
              </w:rPr>
              <w:t>竞争性比选响应声明书、法定代表人/负责人身份证明和授权代表委托书、资格审查材料、报价人须知附前表规定的材料、报价人资本信息及其他、报价人认为需要提供的其他相关文件等（注：以上所有文件均须逐页加盖报价人的公章）。</w:t>
            </w:r>
          </w:p>
          <w:p>
            <w:pPr>
              <w:pStyle w:val="149"/>
              <w:spacing w:line="400" w:lineRule="exact"/>
              <w:ind w:firstLine="422" w:firstLineChars="200"/>
              <w:rPr>
                <w:rFonts w:hAnsi="宋体"/>
                <w:b/>
                <w:bCs/>
                <w:color w:val="auto"/>
                <w:kern w:val="2"/>
                <w:sz w:val="21"/>
                <w:szCs w:val="21"/>
              </w:rPr>
            </w:pPr>
            <w:r>
              <w:rPr>
                <w:rFonts w:hint="eastAsia" w:hAnsi="宋体"/>
                <w:b/>
                <w:bCs/>
                <w:color w:val="auto"/>
                <w:kern w:val="2"/>
                <w:sz w:val="21"/>
                <w:szCs w:val="21"/>
              </w:rPr>
              <w:t>3.密封要求：</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竞争性比选响应文件密封到一个封袋中，在封套上写明：</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重庆高速数据资源管理平台建设项目竞争性比选响应文件（加盖报价人的公章）</w:t>
            </w:r>
          </w:p>
          <w:p>
            <w:pPr>
              <w:pStyle w:val="149"/>
              <w:spacing w:line="400" w:lineRule="exact"/>
              <w:ind w:left="420" w:leftChars="200"/>
              <w:rPr>
                <w:rFonts w:hAnsi="宋体"/>
                <w:color w:val="auto"/>
                <w:kern w:val="2"/>
                <w:sz w:val="21"/>
                <w:szCs w:val="21"/>
              </w:rPr>
            </w:pPr>
            <w:r>
              <w:rPr>
                <w:rFonts w:hint="eastAsia" w:hAnsi="宋体"/>
                <w:color w:val="auto"/>
                <w:kern w:val="2"/>
                <w:sz w:val="21"/>
                <w:szCs w:val="21"/>
              </w:rPr>
              <w:t>在</w:t>
            </w:r>
            <w:r>
              <w:rPr>
                <w:rFonts w:hint="eastAsia" w:hAnsi="宋体"/>
                <w:color w:val="auto"/>
                <w:kern w:val="2"/>
                <w:sz w:val="21"/>
                <w:szCs w:val="21"/>
                <w:u w:val="single"/>
              </w:rPr>
              <w:t xml:space="preserve"> </w:t>
            </w:r>
            <w:r>
              <w:rPr>
                <w:rFonts w:hint="eastAsia" w:hAnsi="宋体"/>
                <w:color w:val="auto"/>
                <w:sz w:val="21"/>
                <w:szCs w:val="18"/>
                <w:u w:val="single"/>
              </w:rPr>
              <w:t xml:space="preserve">2023 </w:t>
            </w:r>
            <w:r>
              <w:rPr>
                <w:rFonts w:hint="eastAsia" w:hAnsi="宋体"/>
                <w:color w:val="auto"/>
                <w:sz w:val="21"/>
                <w:szCs w:val="18"/>
              </w:rPr>
              <w:t>年</w:t>
            </w:r>
            <w:r>
              <w:rPr>
                <w:rFonts w:hint="eastAsia" w:hAnsi="宋体"/>
                <w:color w:val="auto"/>
                <w:sz w:val="21"/>
                <w:szCs w:val="18"/>
                <w:u w:val="single"/>
              </w:rPr>
              <w:t xml:space="preserve"> 12 </w:t>
            </w:r>
            <w:r>
              <w:rPr>
                <w:rFonts w:hint="eastAsia" w:hAnsi="宋体"/>
                <w:color w:val="auto"/>
                <w:sz w:val="21"/>
                <w:szCs w:val="18"/>
              </w:rPr>
              <w:t>月</w:t>
            </w:r>
            <w:r>
              <w:rPr>
                <w:rFonts w:hint="eastAsia" w:hAnsi="宋体"/>
                <w:color w:val="auto"/>
                <w:sz w:val="21"/>
                <w:szCs w:val="18"/>
                <w:u w:val="single"/>
              </w:rPr>
              <w:t xml:space="preserve"> </w:t>
            </w:r>
            <w:r>
              <w:rPr>
                <w:rFonts w:hint="eastAsia" w:hAnsi="宋体"/>
                <w:color w:val="auto"/>
                <w:sz w:val="21"/>
                <w:szCs w:val="18"/>
                <w:u w:val="single"/>
                <w:lang w:val="en-US" w:eastAsia="zh-CN"/>
              </w:rPr>
              <w:t>28</w:t>
            </w:r>
            <w:r>
              <w:rPr>
                <w:rFonts w:hAnsi="宋体"/>
                <w:color w:val="auto"/>
                <w:sz w:val="21"/>
                <w:szCs w:val="18"/>
                <w:u w:val="single"/>
              </w:rPr>
              <w:t xml:space="preserve"> </w:t>
            </w:r>
            <w:r>
              <w:rPr>
                <w:rFonts w:hint="eastAsia" w:hAnsi="宋体"/>
                <w:color w:val="auto"/>
                <w:sz w:val="21"/>
                <w:szCs w:val="18"/>
              </w:rPr>
              <w:t>日上</w:t>
            </w:r>
            <w:r>
              <w:rPr>
                <w:rFonts w:hint="eastAsia" w:hAnsi="宋体"/>
                <w:color w:val="auto"/>
                <w:kern w:val="2"/>
                <w:sz w:val="21"/>
                <w:szCs w:val="21"/>
              </w:rPr>
              <w:t>午1</w:t>
            </w:r>
            <w:r>
              <w:rPr>
                <w:rFonts w:hint="eastAsia" w:hAnsi="宋体"/>
                <w:color w:val="auto"/>
                <w:kern w:val="2"/>
                <w:sz w:val="21"/>
                <w:szCs w:val="21"/>
                <w:lang w:val="en-US" w:eastAsia="zh-CN"/>
              </w:rPr>
              <w:t>1</w:t>
            </w:r>
            <w:bookmarkStart w:id="284" w:name="_GoBack"/>
            <w:bookmarkEnd w:id="284"/>
            <w:r>
              <w:rPr>
                <w:rFonts w:hint="eastAsia" w:hAnsi="宋体"/>
                <w:color w:val="auto"/>
                <w:kern w:val="2"/>
                <w:sz w:val="21"/>
                <w:szCs w:val="21"/>
              </w:rPr>
              <w:t>：00时前不得开启。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373" w:type="pct"/>
            <w:vAlign w:val="center"/>
          </w:tcPr>
          <w:p>
            <w:pPr>
              <w:pStyle w:val="149"/>
              <w:spacing w:line="400" w:lineRule="exact"/>
              <w:jc w:val="center"/>
              <w:rPr>
                <w:rFonts w:hAnsi="宋体"/>
                <w:color w:val="auto"/>
                <w:sz w:val="21"/>
                <w:szCs w:val="21"/>
              </w:rPr>
            </w:pPr>
            <w:r>
              <w:rPr>
                <w:rFonts w:hint="eastAsia" w:hAnsi="宋体"/>
                <w:color w:val="auto"/>
                <w:sz w:val="21"/>
                <w:szCs w:val="21"/>
              </w:rPr>
              <w:t>25</w:t>
            </w:r>
          </w:p>
        </w:tc>
        <w:tc>
          <w:tcPr>
            <w:tcW w:w="1050" w:type="pct"/>
            <w:vAlign w:val="center"/>
          </w:tcPr>
          <w:p>
            <w:pPr>
              <w:spacing w:line="400" w:lineRule="exact"/>
              <w:jc w:val="center"/>
              <w:rPr>
                <w:rFonts w:hAnsi="宋体"/>
                <w:szCs w:val="21"/>
              </w:rPr>
            </w:pPr>
            <w:r>
              <w:rPr>
                <w:rFonts w:hint="eastAsia"/>
              </w:rPr>
              <w:t>中标候选人公示</w:t>
            </w:r>
          </w:p>
        </w:tc>
        <w:tc>
          <w:tcPr>
            <w:tcW w:w="3576" w:type="pct"/>
            <w:vAlign w:val="center"/>
          </w:tcPr>
          <w:p>
            <w:pPr>
              <w:spacing w:line="400" w:lineRule="exact"/>
              <w:ind w:firstLine="420" w:firstLineChars="200"/>
              <w:rPr>
                <w:rFonts w:hAnsi="宋体"/>
                <w:color w:val="auto"/>
                <w:szCs w:val="21"/>
              </w:rPr>
            </w:pPr>
            <w:r>
              <w:rPr>
                <w:rFonts w:hint="eastAsia"/>
                <w:color w:val="auto"/>
              </w:rPr>
              <w:t>评标结果将在重庆高速集团官网（http://www.cegc.com.cn）上进行公示，公示期为3日。公示内容包括中标候选人名称、排序、投标报价；提出异议、投诉的渠道和方式。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373" w:type="pct"/>
            <w:vAlign w:val="center"/>
          </w:tcPr>
          <w:p>
            <w:pPr>
              <w:pStyle w:val="149"/>
              <w:spacing w:line="400" w:lineRule="exact"/>
              <w:jc w:val="center"/>
              <w:rPr>
                <w:rFonts w:hAnsi="宋体"/>
                <w:color w:val="auto"/>
                <w:kern w:val="2"/>
                <w:sz w:val="21"/>
                <w:szCs w:val="21"/>
              </w:rPr>
            </w:pPr>
            <w:r>
              <w:rPr>
                <w:rFonts w:hint="eastAsia" w:hAnsi="宋体"/>
                <w:color w:val="000000" w:themeColor="text1"/>
                <w:kern w:val="2"/>
                <w:sz w:val="21"/>
                <w:szCs w:val="21"/>
                <w14:textFill>
                  <w14:solidFill>
                    <w14:schemeClr w14:val="tx1"/>
                  </w14:solidFill>
                </w14:textFill>
              </w:rPr>
              <w:t>26</w:t>
            </w:r>
          </w:p>
        </w:tc>
        <w:tc>
          <w:tcPr>
            <w:tcW w:w="4626" w:type="pct"/>
            <w:gridSpan w:val="2"/>
            <w:vAlign w:val="center"/>
          </w:tcPr>
          <w:p>
            <w:pPr>
              <w:pStyle w:val="149"/>
              <w:spacing w:line="400" w:lineRule="exact"/>
              <w:ind w:firstLine="482" w:firstLineChars="200"/>
              <w:jc w:val="center"/>
              <w:rPr>
                <w:rFonts w:hAnsi="宋体"/>
                <w:sz w:val="21"/>
                <w:szCs w:val="21"/>
              </w:rPr>
            </w:pPr>
            <w:r>
              <w:rPr>
                <w:rFonts w:hAnsi="宋体"/>
                <w:b/>
                <w:bCs/>
                <w:color w:val="000000" w:themeColor="text1"/>
                <w:szCs w:val="21"/>
                <w14:textFill>
                  <w14:solidFill>
                    <w14:schemeClr w14:val="tx1"/>
                  </w14:solidFill>
                </w14:textFill>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373" w:type="pct"/>
            <w:vAlign w:val="center"/>
          </w:tcPr>
          <w:p>
            <w:pPr>
              <w:pStyle w:val="149"/>
              <w:spacing w:line="400" w:lineRule="exact"/>
              <w:jc w:val="center"/>
              <w:rPr>
                <w:rFonts w:hAnsi="宋体"/>
                <w:color w:val="000000" w:themeColor="text1"/>
                <w:kern w:val="2"/>
                <w:sz w:val="21"/>
                <w:szCs w:val="21"/>
                <w14:textFill>
                  <w14:solidFill>
                    <w14:schemeClr w14:val="tx1"/>
                  </w14:solidFill>
                </w14:textFill>
              </w:rPr>
            </w:pPr>
            <w:r>
              <w:rPr>
                <w:rFonts w:hint="eastAsia" w:hAnsi="宋体"/>
                <w:color w:val="000000" w:themeColor="text1"/>
                <w:kern w:val="2"/>
                <w:sz w:val="21"/>
                <w:szCs w:val="21"/>
                <w14:textFill>
                  <w14:solidFill>
                    <w14:schemeClr w14:val="tx1"/>
                  </w14:solidFill>
                </w14:textFill>
              </w:rPr>
              <w:t>26.1</w:t>
            </w:r>
          </w:p>
        </w:tc>
        <w:tc>
          <w:tcPr>
            <w:tcW w:w="4626" w:type="pct"/>
            <w:gridSpan w:val="2"/>
            <w:vAlign w:val="center"/>
          </w:tcPr>
          <w:p>
            <w:pPr>
              <w:pStyle w:val="149"/>
              <w:spacing w:line="400" w:lineRule="exact"/>
              <w:ind w:firstLine="420" w:firstLineChars="200"/>
              <w:rPr>
                <w:rFonts w:hAnsi="宋体"/>
                <w:b/>
                <w:bCs/>
                <w:color w:val="000000" w:themeColor="text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截止竞争性比选响应文件递交时间，递交竞争性比选响应文件不足3家的不得开启竞争性比选文件。重新招标后报价人仍少于3个，按法定程序开标和评标，确定中标人。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373" w:type="pct"/>
            <w:vAlign w:val="center"/>
          </w:tcPr>
          <w:p>
            <w:pPr>
              <w:pStyle w:val="149"/>
              <w:spacing w:line="400" w:lineRule="exact"/>
              <w:jc w:val="center"/>
              <w:rPr>
                <w:rFonts w:hint="default" w:hAnsi="宋体" w:eastAsia="宋体"/>
                <w:color w:val="000000" w:themeColor="text1"/>
                <w:kern w:val="2"/>
                <w:sz w:val="21"/>
                <w:szCs w:val="21"/>
                <w:lang w:val="en-US" w:eastAsia="zh-CN"/>
                <w14:textFill>
                  <w14:solidFill>
                    <w14:schemeClr w14:val="tx1"/>
                  </w14:solidFill>
                </w14:textFill>
              </w:rPr>
            </w:pPr>
            <w:bookmarkStart w:id="111" w:name="_Toc30198"/>
            <w:bookmarkStart w:id="112" w:name="_Toc11329222"/>
            <w:bookmarkStart w:id="113" w:name="_Toc11284"/>
            <w:bookmarkStart w:id="114" w:name="_Toc17532"/>
            <w:r>
              <w:rPr>
                <w:rFonts w:hint="eastAsia" w:hAnsi="宋体"/>
                <w:color w:val="000000" w:themeColor="text1"/>
                <w:kern w:val="2"/>
                <w:sz w:val="21"/>
                <w:szCs w:val="21"/>
                <w:lang w:val="en-US" w:eastAsia="zh-CN"/>
                <w14:textFill>
                  <w14:solidFill>
                    <w14:schemeClr w14:val="tx1"/>
                  </w14:solidFill>
                </w14:textFill>
              </w:rPr>
              <w:t>26.2</w:t>
            </w:r>
          </w:p>
        </w:tc>
        <w:tc>
          <w:tcPr>
            <w:tcW w:w="4626" w:type="pct"/>
            <w:gridSpan w:val="2"/>
            <w:vAlign w:val="center"/>
          </w:tcPr>
          <w:p>
            <w:pPr>
              <w:pStyle w:val="149"/>
              <w:spacing w:line="400" w:lineRule="exact"/>
              <w:ind w:firstLine="422" w:firstLineChars="200"/>
              <w:rPr>
                <w:rFonts w:hint="eastAsia" w:hAnsi="宋体"/>
                <w:color w:val="000000" w:themeColor="text1"/>
                <w:sz w:val="21"/>
                <w:szCs w:val="21"/>
                <w14:textFill>
                  <w14:solidFill>
                    <w14:schemeClr w14:val="tx1"/>
                  </w14:solidFill>
                </w14:textFill>
              </w:rPr>
            </w:pPr>
            <w:r>
              <w:rPr>
                <w:rFonts w:hint="eastAsia" w:hAnsi="宋体"/>
                <w:b/>
                <w:bCs/>
                <w:color w:val="000000" w:themeColor="text1"/>
                <w:sz w:val="21"/>
                <w:szCs w:val="21"/>
                <w14:textFill>
                  <w14:solidFill>
                    <w14:schemeClr w14:val="tx1"/>
                  </w14:solidFill>
                </w14:textFill>
              </w:rPr>
              <w:t>若报价人为分公司，提供其总公司的公司资质</w:t>
            </w:r>
            <w:r>
              <w:rPr>
                <w:rFonts w:hint="eastAsia" w:hAnsi="宋体"/>
                <w:b/>
                <w:bCs/>
                <w:color w:val="000000" w:themeColor="text1"/>
                <w:sz w:val="21"/>
                <w:szCs w:val="21"/>
                <w:lang w:eastAsia="zh-CN"/>
                <w14:textFill>
                  <w14:solidFill>
                    <w14:schemeClr w14:val="tx1"/>
                  </w14:solidFill>
                </w14:textFill>
              </w:rPr>
              <w:t>、</w:t>
            </w:r>
            <w:r>
              <w:rPr>
                <w:rFonts w:hint="eastAsia" w:hAnsi="宋体"/>
                <w:b/>
                <w:bCs/>
                <w:color w:val="000000" w:themeColor="text1"/>
                <w:sz w:val="21"/>
                <w:szCs w:val="21"/>
                <w:lang w:val="en-US" w:eastAsia="zh-CN"/>
                <w14:textFill>
                  <w14:solidFill>
                    <w14:schemeClr w14:val="tx1"/>
                  </w14:solidFill>
                </w14:textFill>
              </w:rPr>
              <w:t>人员、业绩等</w:t>
            </w:r>
            <w:r>
              <w:rPr>
                <w:rFonts w:hint="eastAsia" w:hAnsi="宋体"/>
                <w:b/>
                <w:bCs/>
                <w:color w:val="000000" w:themeColor="text1"/>
                <w:sz w:val="21"/>
                <w:szCs w:val="21"/>
                <w14:textFill>
                  <w14:solidFill>
                    <w14:schemeClr w14:val="tx1"/>
                  </w14:solidFill>
                </w14:textFill>
              </w:rPr>
              <w:t>证明材料均视为有效，但需提供其总公司出具的</w:t>
            </w:r>
            <w:r>
              <w:rPr>
                <w:rFonts w:hint="eastAsia" w:hAnsi="宋体"/>
                <w:b/>
                <w:bCs/>
                <w:color w:val="000000" w:themeColor="text1"/>
                <w:sz w:val="21"/>
                <w:szCs w:val="21"/>
                <w:lang w:val="en-US" w:eastAsia="zh-CN"/>
                <w14:textFill>
                  <w14:solidFill>
                    <w14:schemeClr w14:val="tx1"/>
                  </w14:solidFill>
                </w14:textFill>
              </w:rPr>
              <w:t>项目</w:t>
            </w:r>
            <w:r>
              <w:rPr>
                <w:rFonts w:hint="eastAsia" w:hAnsi="宋体"/>
                <w:b/>
                <w:bCs/>
                <w:color w:val="000000" w:themeColor="text1"/>
                <w:sz w:val="21"/>
                <w:szCs w:val="21"/>
                <w14:textFill>
                  <w14:solidFill>
                    <w14:schemeClr w14:val="tx1"/>
                  </w14:solidFill>
                </w14:textFill>
              </w:rPr>
              <w:t>授权书。</w:t>
            </w:r>
          </w:p>
        </w:tc>
      </w:tr>
      <w:bookmarkEnd w:id="108"/>
    </w:tbl>
    <w:p>
      <w:pPr>
        <w:pStyle w:val="4"/>
        <w:jc w:val="center"/>
        <w:rPr>
          <w:rFonts w:hint="eastAsia" w:ascii="宋体" w:hAnsi="宋体" w:eastAsia="宋体" w:cs="宋体"/>
          <w:color w:val="000000" w:themeColor="text1"/>
          <w:sz w:val="28"/>
          <w:szCs w:val="28"/>
          <w14:textFill>
            <w14:solidFill>
              <w14:schemeClr w14:val="tx1"/>
            </w14:solidFill>
          </w14:textFill>
        </w:rPr>
      </w:pPr>
    </w:p>
    <w:p>
      <w:pPr>
        <w:pStyle w:val="4"/>
        <w:jc w:val="center"/>
        <w:rPr>
          <w:b/>
          <w:color w:val="000000" w:themeColor="text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附录1  </w:t>
      </w:r>
      <w:bookmarkEnd w:id="111"/>
      <w:bookmarkEnd w:id="112"/>
      <w:bookmarkEnd w:id="113"/>
      <w:bookmarkEnd w:id="114"/>
      <w:bookmarkStart w:id="115" w:name="_Toc25591"/>
      <w:bookmarkStart w:id="116" w:name="_Toc12773"/>
      <w:bookmarkStart w:id="117" w:name="_Toc27096"/>
      <w:bookmarkStart w:id="118" w:name="_Toc11329226"/>
      <w:r>
        <w:rPr>
          <w:rFonts w:hint="eastAsia" w:ascii="宋体" w:hAnsi="宋体" w:eastAsia="宋体" w:cs="宋体"/>
          <w:bCs w:val="0"/>
          <w:sz w:val="28"/>
          <w:szCs w:val="28"/>
        </w:rPr>
        <w:t>资格审查文件</w:t>
      </w:r>
      <w:bookmarkEnd w:id="115"/>
      <w:bookmarkEnd w:id="116"/>
      <w:bookmarkEnd w:id="117"/>
      <w:bookmarkEnd w:id="118"/>
      <w:r>
        <w:rPr>
          <w:rFonts w:hint="eastAsia" w:ascii="宋体" w:hAnsi="宋体" w:eastAsia="宋体" w:cs="宋体"/>
          <w:bCs w:val="0"/>
          <w:sz w:val="28"/>
          <w:szCs w:val="28"/>
        </w:rPr>
        <w:t>（项目主要管理人员最低要求）</w:t>
      </w:r>
    </w:p>
    <w:tbl>
      <w:tblPr>
        <w:tblStyle w:val="43"/>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413"/>
        <w:gridCol w:w="1005"/>
        <w:gridCol w:w="5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1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Cs w:val="21"/>
              </w:rPr>
            </w:pPr>
            <w:bookmarkStart w:id="119" w:name="_Toc388534043"/>
            <w:bookmarkStart w:id="120" w:name="_Toc387234996"/>
            <w:r>
              <w:rPr>
                <w:rFonts w:hint="eastAsia" w:ascii="宋体" w:hAnsi="宋体" w:cs="宋体"/>
                <w:szCs w:val="21"/>
                <w:lang w:bidi="ar"/>
              </w:rPr>
              <w:t>序号</w:t>
            </w:r>
          </w:p>
        </w:tc>
        <w:tc>
          <w:tcPr>
            <w:tcW w:w="1413"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lang w:bidi="ar"/>
              </w:rPr>
              <w:t>人  员</w:t>
            </w:r>
          </w:p>
        </w:tc>
        <w:tc>
          <w:tcPr>
            <w:tcW w:w="100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lang w:bidi="ar"/>
              </w:rPr>
              <w:t>数量</w:t>
            </w:r>
          </w:p>
        </w:tc>
        <w:tc>
          <w:tcPr>
            <w:tcW w:w="567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lang w:bidi="ar"/>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1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lang w:bidi="ar"/>
              </w:rPr>
              <w:t>1</w:t>
            </w:r>
          </w:p>
        </w:tc>
        <w:tc>
          <w:tcPr>
            <w:tcW w:w="1413"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hAnsi="宋体" w:cs="宋体"/>
                <w:szCs w:val="21"/>
              </w:rPr>
            </w:pPr>
            <w:r>
              <w:rPr>
                <w:rFonts w:hint="eastAsia" w:ascii="宋体" w:hAnsi="宋体" w:cs="宋体"/>
                <w:szCs w:val="21"/>
              </w:rPr>
              <w:t>项目经理</w:t>
            </w:r>
          </w:p>
        </w:tc>
        <w:tc>
          <w:tcPr>
            <w:tcW w:w="100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rPr>
              <w:t>1</w:t>
            </w:r>
          </w:p>
        </w:tc>
        <w:tc>
          <w:tcPr>
            <w:tcW w:w="567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hAnsi="宋体" w:cs="宋体"/>
                <w:szCs w:val="21"/>
              </w:rPr>
            </w:pPr>
            <w:r>
              <w:rPr>
                <w:rFonts w:hint="eastAsia" w:ascii="宋体" w:hAnsi="宋体" w:cs="宋体"/>
                <w:szCs w:val="21"/>
              </w:rPr>
              <w:t>为公司正式员工且具备5年以上相关工作经验</w:t>
            </w:r>
          </w:p>
        </w:tc>
      </w:tr>
    </w:tbl>
    <w:p>
      <w:pPr>
        <w:pStyle w:val="4"/>
        <w:ind w:firstLine="840" w:firstLineChars="400"/>
        <w:jc w:val="both"/>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注：报价人自行承诺，需附承诺书</w:t>
      </w:r>
      <w:r>
        <w:rPr>
          <w:rFonts w:hint="eastAsia" w:ascii="宋体" w:hAnsi="宋体" w:eastAsia="宋体" w:cs="宋体"/>
          <w:b w:val="0"/>
          <w:bCs/>
          <w:color w:val="000000" w:themeColor="text1"/>
          <w:sz w:val="21"/>
          <w:szCs w:val="21"/>
          <w:highlight w:val="none"/>
          <w14:textFill>
            <w14:solidFill>
              <w14:schemeClr w14:val="tx1"/>
            </w14:solidFill>
          </w14:textFill>
        </w:rPr>
        <w:t>并加盖单位鲜公章</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，无需提供相关证明资料。</w:t>
      </w:r>
    </w:p>
    <w:p>
      <w:pPr>
        <w:pStyle w:val="4"/>
        <w:jc w:val="center"/>
        <w:rPr>
          <w:rFonts w:hint="eastAsia" w:ascii="宋体" w:hAnsi="宋体" w:eastAsia="宋体" w:cs="宋体"/>
          <w:bCs w:val="0"/>
          <w:sz w:val="28"/>
          <w:szCs w:val="28"/>
        </w:rPr>
      </w:pPr>
      <w:bookmarkStart w:id="121" w:name="_Toc8293"/>
      <w:bookmarkStart w:id="122" w:name="_Toc11329227"/>
      <w:bookmarkStart w:id="123" w:name="_Toc21487"/>
      <w:bookmarkStart w:id="124" w:name="_Toc27148"/>
      <w:r>
        <w:rPr>
          <w:rFonts w:hint="eastAsia" w:ascii="宋体" w:hAnsi="宋体" w:eastAsia="宋体" w:cs="宋体"/>
          <w:bCs w:val="0"/>
          <w:sz w:val="28"/>
          <w:szCs w:val="28"/>
        </w:rPr>
        <w:t>附录2 资格审查文件（项目其他人员最低要求）</w:t>
      </w:r>
      <w:bookmarkEnd w:id="121"/>
      <w:bookmarkEnd w:id="122"/>
      <w:bookmarkEnd w:id="123"/>
      <w:bookmarkEnd w:id="124"/>
    </w:p>
    <w:tbl>
      <w:tblPr>
        <w:tblStyle w:val="43"/>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413"/>
        <w:gridCol w:w="1005"/>
        <w:gridCol w:w="5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1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lang w:bidi="ar"/>
              </w:rPr>
              <w:t>序号</w:t>
            </w:r>
          </w:p>
        </w:tc>
        <w:tc>
          <w:tcPr>
            <w:tcW w:w="1413"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lang w:bidi="ar"/>
              </w:rPr>
              <w:t>人  员</w:t>
            </w:r>
          </w:p>
        </w:tc>
        <w:tc>
          <w:tcPr>
            <w:tcW w:w="100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lang w:bidi="ar"/>
              </w:rPr>
              <w:t>数量</w:t>
            </w:r>
          </w:p>
        </w:tc>
        <w:tc>
          <w:tcPr>
            <w:tcW w:w="567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lang w:bidi="ar"/>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1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Cs w:val="21"/>
              </w:rPr>
            </w:pPr>
            <w:r>
              <w:rPr>
                <w:rFonts w:hint="eastAsia" w:ascii="宋体" w:hAnsi="宋体" w:cs="宋体"/>
                <w:szCs w:val="21"/>
                <w:lang w:bidi="ar"/>
              </w:rPr>
              <w:t>1</w:t>
            </w:r>
          </w:p>
        </w:tc>
        <w:tc>
          <w:tcPr>
            <w:tcW w:w="1413"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default" w:ascii="宋体" w:hAnsi="宋体" w:eastAsia="宋体" w:cs="宋体"/>
                <w:szCs w:val="21"/>
                <w:lang w:val="en-US" w:eastAsia="zh-CN"/>
              </w:rPr>
            </w:pPr>
            <w:r>
              <w:rPr>
                <w:rFonts w:hint="eastAsia" w:ascii="宋体" w:hAnsi="宋体" w:cs="宋体"/>
                <w:szCs w:val="21"/>
                <w:lang w:val="en-US" w:eastAsia="zh-CN"/>
              </w:rPr>
              <w:t>其他人员</w:t>
            </w:r>
          </w:p>
        </w:tc>
        <w:tc>
          <w:tcPr>
            <w:tcW w:w="1005"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4</w:t>
            </w:r>
          </w:p>
        </w:tc>
        <w:tc>
          <w:tcPr>
            <w:tcW w:w="5671"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宋体" w:hAnsi="宋体" w:cs="宋体"/>
                <w:szCs w:val="21"/>
              </w:rPr>
            </w:pPr>
            <w:r>
              <w:rPr>
                <w:rFonts w:hint="eastAsia" w:ascii="宋体" w:hAnsi="宋体" w:cs="宋体"/>
                <w:szCs w:val="21"/>
              </w:rPr>
              <w:t>为公司正式员工且具备</w:t>
            </w:r>
            <w:r>
              <w:rPr>
                <w:rFonts w:hint="eastAsia" w:ascii="宋体" w:hAnsi="宋体" w:cs="宋体"/>
                <w:szCs w:val="21"/>
                <w:lang w:val="en-US" w:eastAsia="zh-CN"/>
              </w:rPr>
              <w:t>2</w:t>
            </w:r>
            <w:r>
              <w:rPr>
                <w:rFonts w:hint="eastAsia" w:ascii="宋体" w:hAnsi="宋体" w:cs="宋体"/>
                <w:szCs w:val="21"/>
              </w:rPr>
              <w:t>年以上相关工作经验</w:t>
            </w:r>
          </w:p>
        </w:tc>
      </w:tr>
    </w:tbl>
    <w:p>
      <w:pPr>
        <w:rPr>
          <w:rFonts w:hint="eastAsia"/>
        </w:rPr>
      </w:pPr>
    </w:p>
    <w:p>
      <w:pPr>
        <w:jc w:val="center"/>
        <w:rPr>
          <w:rStyle w:val="77"/>
          <w:rFonts w:hint="eastAsia" w:ascii="宋体" w:hAnsi="宋体" w:eastAsia="宋体" w:cs="宋体"/>
          <w:b w:val="0"/>
          <w:bCs w:val="0"/>
          <w:sz w:val="28"/>
          <w:szCs w:val="28"/>
          <w:lang w:eastAsia="zh-CN"/>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注：报价人自行承诺，需附承诺书</w:t>
      </w:r>
      <w:r>
        <w:rPr>
          <w:rFonts w:hint="eastAsia" w:ascii="宋体" w:hAnsi="宋体" w:eastAsia="宋体" w:cs="宋体"/>
          <w:b w:val="0"/>
          <w:bCs/>
          <w:color w:val="000000" w:themeColor="text1"/>
          <w:sz w:val="21"/>
          <w:szCs w:val="21"/>
          <w:highlight w:val="none"/>
          <w14:textFill>
            <w14:solidFill>
              <w14:schemeClr w14:val="tx1"/>
            </w14:solidFill>
          </w14:textFill>
        </w:rPr>
        <w:t>并加盖单位鲜公章</w:t>
      </w: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，无需提供相关证明资料。</w:t>
      </w:r>
    </w:p>
    <w:p>
      <w:pPr>
        <w:pStyle w:val="4"/>
        <w:rPr>
          <w:rFonts w:hAnsi="宋体"/>
          <w:b w:val="0"/>
          <w:sz w:val="28"/>
          <w:szCs w:val="28"/>
        </w:rPr>
      </w:pPr>
      <w:bookmarkStart w:id="125" w:name="_Toc17384"/>
      <w:bookmarkStart w:id="126" w:name="_Toc6096"/>
      <w:bookmarkStart w:id="127" w:name="_Toc4169"/>
      <w:r>
        <w:rPr>
          <w:rFonts w:hint="eastAsia" w:ascii="宋体" w:hAnsi="宋体" w:eastAsia="宋体" w:cs="宋体"/>
          <w:bCs w:val="0"/>
          <w:sz w:val="28"/>
          <w:szCs w:val="28"/>
        </w:rPr>
        <w:t>附录3 资格审查文件（主要机械设备和试验检测设备最低要求）</w:t>
      </w:r>
      <w:bookmarkEnd w:id="125"/>
      <w:bookmarkEnd w:id="126"/>
      <w:bookmarkEnd w:id="127"/>
    </w:p>
    <w:tbl>
      <w:tblPr>
        <w:tblStyle w:val="43"/>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noWrap w:val="0"/>
            <w:vAlign w:val="center"/>
          </w:tcPr>
          <w:p>
            <w:pPr>
              <w:spacing w:line="400" w:lineRule="exact"/>
              <w:jc w:val="center"/>
              <w:rPr>
                <w:rFonts w:hint="eastAsia" w:ascii="宋体" w:hAnsi="宋体" w:cs="宋体"/>
                <w:szCs w:val="21"/>
              </w:rPr>
            </w:pPr>
            <w:r>
              <w:rPr>
                <w:rFonts w:hint="eastAsia" w:ascii="宋体" w:hAnsi="宋体" w:cs="宋体"/>
                <w:szCs w:val="21"/>
              </w:rPr>
              <w:t>主要机械设备和试验检测设备最低要求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9160" w:type="dxa"/>
            <w:noWrap w:val="0"/>
            <w:vAlign w:val="top"/>
          </w:tcPr>
          <w:p>
            <w:pPr>
              <w:ind w:firstLine="420" w:firstLineChars="200"/>
            </w:pPr>
            <w:r>
              <w:rPr>
                <w:rFonts w:hint="eastAsia"/>
              </w:rPr>
              <w:t>无要求。</w:t>
            </w:r>
          </w:p>
        </w:tc>
      </w:tr>
    </w:tbl>
    <w:p>
      <w:pPr>
        <w:pStyle w:val="149"/>
        <w:adjustRightInd/>
        <w:spacing w:line="400" w:lineRule="exact"/>
        <w:ind w:firstLine="422" w:firstLineChars="200"/>
        <w:jc w:val="both"/>
        <w:rPr>
          <w:rFonts w:hint="eastAsia" w:hAnsi="宋体" w:eastAsia="宋体"/>
          <w:szCs w:val="21"/>
          <w:lang w:val="en-US" w:eastAsia="zh-CN"/>
        </w:rPr>
        <w:sectPr>
          <w:footerReference r:id="rId7" w:type="default"/>
          <w:pgSz w:w="11906" w:h="16838"/>
          <w:pgMar w:top="1440" w:right="1800" w:bottom="1440" w:left="1800" w:header="851" w:footer="992" w:gutter="0"/>
          <w:cols w:space="720" w:num="1"/>
          <w:titlePg/>
          <w:docGrid w:type="lines" w:linePitch="312" w:charSpace="0"/>
        </w:sectPr>
      </w:pPr>
      <w:r>
        <w:rPr>
          <w:rFonts w:hint="eastAsia" w:hAnsi="宋体"/>
          <w:b/>
          <w:bCs/>
          <w:color w:val="auto"/>
          <w:sz w:val="21"/>
          <w:szCs w:val="21"/>
        </w:rPr>
        <w:t>以上（附录1-附录3中的资格审查）的要求均为强制性条件，其中任何一条不满足要求，则按否决报</w:t>
      </w:r>
      <w:bookmarkEnd w:id="119"/>
      <w:bookmarkEnd w:id="120"/>
      <w:r>
        <w:rPr>
          <w:rFonts w:hint="eastAsia" w:hAnsi="宋体"/>
          <w:b/>
          <w:bCs/>
          <w:color w:val="auto"/>
          <w:sz w:val="21"/>
          <w:szCs w:val="21"/>
          <w:lang w:val="en-US" w:eastAsia="zh-CN"/>
        </w:rPr>
        <w:t>价。</w:t>
      </w:r>
    </w:p>
    <w:p>
      <w:pPr>
        <w:pStyle w:val="3"/>
        <w:numPr>
          <w:ilvl w:val="0"/>
          <w:numId w:val="4"/>
        </w:numPr>
        <w:spacing w:before="0" w:after="0" w:line="360" w:lineRule="auto"/>
        <w:jc w:val="center"/>
      </w:pPr>
      <w:bookmarkStart w:id="128" w:name="_Toc152045587"/>
      <w:bookmarkStart w:id="129" w:name="_Toc2000406"/>
      <w:bookmarkStart w:id="130" w:name="_Toc246996973"/>
      <w:bookmarkStart w:id="131" w:name="_Toc246996230"/>
      <w:bookmarkStart w:id="132" w:name="_Toc247085745"/>
      <w:bookmarkStart w:id="133" w:name="_Toc152042364"/>
      <w:bookmarkStart w:id="134" w:name="_Toc32070"/>
      <w:bookmarkStart w:id="135" w:name="_Toc179632605"/>
      <w:bookmarkStart w:id="136" w:name="_Toc144974554"/>
      <w:bookmarkStart w:id="137" w:name="_Toc507319957"/>
      <w:r>
        <w:rPr>
          <w:rFonts w:hint="eastAsia" w:ascii="宋体" w:hAnsi="宋体" w:cs="宋体"/>
        </w:rPr>
        <w:t>评标办法（综合评估法）</w:t>
      </w:r>
      <w:bookmarkEnd w:id="128"/>
      <w:bookmarkEnd w:id="129"/>
      <w:bookmarkEnd w:id="130"/>
      <w:bookmarkEnd w:id="131"/>
      <w:bookmarkEnd w:id="132"/>
      <w:bookmarkEnd w:id="133"/>
      <w:bookmarkEnd w:id="134"/>
      <w:bookmarkEnd w:id="135"/>
      <w:bookmarkEnd w:id="136"/>
      <w:bookmarkEnd w:id="137"/>
    </w:p>
    <w:p/>
    <w:p>
      <w:pPr>
        <w:rPr>
          <w:b/>
          <w:bCs/>
        </w:rPr>
      </w:pPr>
      <w:r>
        <w:rPr>
          <w:rFonts w:hint="eastAsia"/>
          <w:b/>
          <w:bCs/>
        </w:rPr>
        <w:t>评标办法前附表</w:t>
      </w:r>
    </w:p>
    <w:tbl>
      <w:tblPr>
        <w:tblStyle w:val="43"/>
        <w:tblW w:w="10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159"/>
        <w:gridCol w:w="2021"/>
        <w:gridCol w:w="5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Align w:val="center"/>
          </w:tcPr>
          <w:p>
            <w:pPr>
              <w:snapToGrid w:val="0"/>
              <w:spacing w:line="320" w:lineRule="exact"/>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条款号</w:t>
            </w:r>
          </w:p>
        </w:tc>
        <w:tc>
          <w:tcPr>
            <w:tcW w:w="1159" w:type="dxa"/>
            <w:vAlign w:val="center"/>
          </w:tcPr>
          <w:p>
            <w:pPr>
              <w:snapToGrid w:val="0"/>
              <w:spacing w:line="320" w:lineRule="exact"/>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条款名称</w:t>
            </w:r>
          </w:p>
        </w:tc>
        <w:tc>
          <w:tcPr>
            <w:tcW w:w="2021" w:type="dxa"/>
            <w:vAlign w:val="center"/>
          </w:tcPr>
          <w:p>
            <w:pPr>
              <w:snapToGrid w:val="0"/>
              <w:spacing w:line="320" w:lineRule="exact"/>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评审因素与评审标准</w:t>
            </w:r>
          </w:p>
        </w:tc>
        <w:tc>
          <w:tcPr>
            <w:tcW w:w="5929" w:type="dxa"/>
            <w:vAlign w:val="center"/>
          </w:tcPr>
          <w:p>
            <w:pPr>
              <w:snapToGrid w:val="0"/>
              <w:spacing w:line="320" w:lineRule="exact"/>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条款号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Align w:val="center"/>
          </w:tcPr>
          <w:p>
            <w:pPr>
              <w:snapToGrid w:val="0"/>
              <w:spacing w:line="320" w:lineRule="exact"/>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Cs/>
                <w:kern w:val="0"/>
                <w:szCs w:val="21"/>
              </w:rPr>
              <w:t>1</w:t>
            </w:r>
          </w:p>
        </w:tc>
        <w:tc>
          <w:tcPr>
            <w:tcW w:w="1159" w:type="dxa"/>
            <w:vAlign w:val="center"/>
          </w:tcPr>
          <w:p>
            <w:pPr>
              <w:snapToGrid w:val="0"/>
              <w:spacing w:line="320" w:lineRule="exact"/>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szCs w:val="21"/>
              </w:rPr>
              <w:t>评标办</w:t>
            </w:r>
            <w:r>
              <w:rPr>
                <w:rFonts w:hint="eastAsia" w:asciiTheme="minorEastAsia" w:hAnsiTheme="minorEastAsia" w:eastAsiaTheme="minorEastAsia" w:cstheme="minorEastAsia"/>
                <w:spacing w:val="-1"/>
                <w:szCs w:val="21"/>
              </w:rPr>
              <w:t>法</w:t>
            </w:r>
          </w:p>
        </w:tc>
        <w:tc>
          <w:tcPr>
            <w:tcW w:w="2021" w:type="dxa"/>
            <w:vAlign w:val="center"/>
          </w:tcPr>
          <w:p>
            <w:pPr>
              <w:snapToGrid w:val="0"/>
              <w:spacing w:line="320" w:lineRule="exact"/>
              <w:rPr>
                <w:rFonts w:asciiTheme="minorEastAsia" w:hAnsiTheme="minorEastAsia" w:eastAsiaTheme="minorEastAsia" w:cstheme="minorEastAsia"/>
                <w:b/>
                <w:kern w:val="0"/>
                <w:szCs w:val="21"/>
              </w:rPr>
            </w:pPr>
            <w:r>
              <w:rPr>
                <w:rFonts w:hint="eastAsia" w:ascii="宋体" w:hAnsi="宋体" w:cs="宋体"/>
                <w:szCs w:val="21"/>
              </w:rPr>
              <w:t>中标候选人排序方法</w:t>
            </w:r>
          </w:p>
        </w:tc>
        <w:tc>
          <w:tcPr>
            <w:tcW w:w="5929" w:type="dxa"/>
            <w:vAlign w:val="center"/>
          </w:tcPr>
          <w:p>
            <w:pPr>
              <w:spacing w:line="400" w:lineRule="exact"/>
              <w:ind w:firstLine="420" w:firstLineChars="200"/>
              <w:rPr>
                <w:rFonts w:ascii="宋体" w:hAnsi="宋体" w:cs="宋体"/>
                <w:szCs w:val="21"/>
              </w:rPr>
            </w:pPr>
            <w:r>
              <w:rPr>
                <w:rFonts w:hint="eastAsia" w:ascii="宋体" w:hAnsi="宋体" w:cs="宋体"/>
                <w:szCs w:val="21"/>
              </w:rPr>
              <w:t>本次评标采用综合评分法，如出现得分(精确到小数点后两位)相等时，按以下原则确定第一中标候选人：</w:t>
            </w:r>
          </w:p>
          <w:p>
            <w:pPr>
              <w:spacing w:line="400" w:lineRule="exact"/>
              <w:ind w:firstLine="420" w:firstLineChars="200"/>
              <w:rPr>
                <w:rFonts w:ascii="宋体" w:hAnsi="宋体" w:cs="宋体"/>
                <w:szCs w:val="21"/>
              </w:rPr>
            </w:pPr>
            <w:r>
              <w:rPr>
                <w:rFonts w:hint="eastAsia" w:ascii="宋体" w:hAnsi="宋体" w:cs="宋体"/>
                <w:szCs w:val="21"/>
              </w:rPr>
              <w:t>（1）以评标价低的报价人优先；</w:t>
            </w:r>
          </w:p>
          <w:p>
            <w:pPr>
              <w:spacing w:line="400" w:lineRule="exact"/>
              <w:ind w:firstLine="420" w:firstLineChars="200"/>
              <w:rPr>
                <w:rFonts w:ascii="宋体" w:hAnsi="宋体" w:cs="宋体"/>
                <w:szCs w:val="21"/>
              </w:rPr>
            </w:pPr>
            <w:r>
              <w:rPr>
                <w:rFonts w:hint="eastAsia" w:ascii="宋体" w:hAnsi="宋体" w:cs="宋体"/>
                <w:szCs w:val="21"/>
              </w:rPr>
              <w:t>（2）如评标价也相同时，以技术得分较高的报价人优先；</w:t>
            </w:r>
          </w:p>
          <w:p>
            <w:pPr>
              <w:spacing w:line="400" w:lineRule="exact"/>
              <w:ind w:firstLine="420" w:firstLineChars="200"/>
              <w:rPr>
                <w:rFonts w:ascii="宋体" w:hAnsi="宋体" w:cs="宋体"/>
                <w:szCs w:val="21"/>
              </w:rPr>
            </w:pPr>
            <w:r>
              <w:rPr>
                <w:rFonts w:hint="eastAsia" w:ascii="宋体" w:hAnsi="宋体" w:cs="宋体"/>
                <w:szCs w:val="21"/>
              </w:rPr>
              <w:t>（3）如技术得分也相同时，以商务得分高的优先；</w:t>
            </w:r>
          </w:p>
          <w:p>
            <w:pPr>
              <w:spacing w:line="400" w:lineRule="exact"/>
              <w:ind w:firstLine="420" w:firstLineChars="200"/>
              <w:rPr>
                <w:rFonts w:asciiTheme="minorEastAsia" w:hAnsiTheme="minorEastAsia" w:eastAsiaTheme="minorEastAsia" w:cstheme="minorEastAsia"/>
                <w:b/>
                <w:kern w:val="0"/>
                <w:szCs w:val="21"/>
              </w:rPr>
            </w:pPr>
            <w:r>
              <w:rPr>
                <w:rFonts w:hint="eastAsia" w:ascii="宋体" w:hAnsi="宋体" w:cs="宋体"/>
                <w:szCs w:val="21"/>
              </w:rPr>
              <w:t>（4）如商务得分也相同时，由评标委员会投票决定。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Align w:val="center"/>
          </w:tcPr>
          <w:p>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kern w:val="0"/>
                <w:szCs w:val="21"/>
              </w:rPr>
              <w:t>条款号</w:t>
            </w:r>
          </w:p>
        </w:tc>
        <w:tc>
          <w:tcPr>
            <w:tcW w:w="1159" w:type="dxa"/>
            <w:vAlign w:val="center"/>
          </w:tcPr>
          <w:p>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kern w:val="0"/>
                <w:szCs w:val="21"/>
              </w:rPr>
              <w:t>评审因素</w:t>
            </w:r>
          </w:p>
        </w:tc>
        <w:tc>
          <w:tcPr>
            <w:tcW w:w="2021" w:type="dxa"/>
            <w:vAlign w:val="center"/>
          </w:tcPr>
          <w:p>
            <w:pPr>
              <w:snapToGrid w:val="0"/>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kern w:val="0"/>
                <w:szCs w:val="21"/>
              </w:rPr>
              <w:t>评审标准</w:t>
            </w:r>
          </w:p>
        </w:tc>
        <w:tc>
          <w:tcPr>
            <w:tcW w:w="5929" w:type="dxa"/>
            <w:vAlign w:val="center"/>
          </w:tcPr>
          <w:p>
            <w:pPr>
              <w:snapToGrid w:val="0"/>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kern w:val="0"/>
                <w:szCs w:val="21"/>
              </w:rPr>
              <w:t>条款号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restart"/>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w:t>
            </w:r>
          </w:p>
        </w:tc>
        <w:tc>
          <w:tcPr>
            <w:tcW w:w="1159" w:type="dxa"/>
            <w:vMerge w:val="restart"/>
            <w:vAlign w:val="center"/>
          </w:tcPr>
          <w:p>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资格评审标准</w:t>
            </w:r>
          </w:p>
        </w:tc>
        <w:tc>
          <w:tcPr>
            <w:tcW w:w="2021"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营业执照</w:t>
            </w:r>
          </w:p>
        </w:tc>
        <w:tc>
          <w:tcPr>
            <w:tcW w:w="5929"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符合第二章“报价人须知”第8项规定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1"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资质要求</w:t>
            </w:r>
          </w:p>
        </w:tc>
        <w:tc>
          <w:tcPr>
            <w:tcW w:w="5929"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符合第二章“报价人须知”第8项规定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1"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业绩要求</w:t>
            </w:r>
          </w:p>
        </w:tc>
        <w:tc>
          <w:tcPr>
            <w:tcW w:w="5929" w:type="dxa"/>
          </w:tcPr>
          <w:p>
            <w:pPr>
              <w:spacing w:line="400" w:lineRule="exact"/>
              <w:ind w:firstLine="420" w:firstLineChars="200"/>
              <w:rPr>
                <w:rFonts w:ascii="宋体" w:hAnsi="宋体" w:cs="宋体"/>
                <w:szCs w:val="21"/>
              </w:rPr>
            </w:pPr>
            <w:r>
              <w:rPr>
                <w:rFonts w:hint="eastAsia" w:ascii="宋体" w:hAnsi="宋体" w:cs="宋体"/>
                <w:szCs w:val="21"/>
              </w:rPr>
              <w:t>符合第二章“报价人须知”第8项规定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1"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信誉要求</w:t>
            </w:r>
          </w:p>
        </w:tc>
        <w:tc>
          <w:tcPr>
            <w:tcW w:w="5929"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符合第二章“报价人须知”第8项规定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restart"/>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w:t>
            </w:r>
          </w:p>
        </w:tc>
        <w:tc>
          <w:tcPr>
            <w:tcW w:w="1159" w:type="dxa"/>
            <w:vMerge w:val="restart"/>
            <w:vAlign w:val="center"/>
          </w:tcPr>
          <w:p>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形式评审标准</w:t>
            </w:r>
          </w:p>
        </w:tc>
        <w:tc>
          <w:tcPr>
            <w:tcW w:w="2021"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报价人名称</w:t>
            </w:r>
          </w:p>
        </w:tc>
        <w:tc>
          <w:tcPr>
            <w:tcW w:w="5929" w:type="dxa"/>
            <w:vAlign w:val="center"/>
          </w:tcPr>
          <w:p>
            <w:pPr>
              <w:spacing w:line="400" w:lineRule="exact"/>
              <w:ind w:firstLine="420" w:firstLineChars="200"/>
              <w:rPr>
                <w:rFonts w:ascii="宋体" w:hAnsi="宋体" w:cs="宋体"/>
                <w:szCs w:val="21"/>
              </w:rPr>
            </w:pPr>
            <w:r>
              <w:rPr>
                <w:rFonts w:hint="eastAsia" w:ascii="宋体" w:hAnsi="宋体" w:cs="宋体"/>
                <w:szCs w:val="21"/>
              </w:rPr>
              <w:t>与营业执照、资质证书、安全生产许可证一致。如果存在不一致的情况则须出具名称变更说明。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1"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报价函签字盖章</w:t>
            </w:r>
          </w:p>
        </w:tc>
        <w:tc>
          <w:tcPr>
            <w:tcW w:w="5929" w:type="dxa"/>
            <w:vAlign w:val="center"/>
          </w:tcPr>
          <w:p>
            <w:pPr>
              <w:spacing w:line="400" w:lineRule="exact"/>
              <w:ind w:firstLine="420" w:firstLineChars="200"/>
              <w:rPr>
                <w:rFonts w:ascii="宋体" w:hAnsi="宋体" w:cs="宋体"/>
                <w:szCs w:val="21"/>
              </w:rPr>
            </w:pPr>
            <w:r>
              <w:rPr>
                <w:rFonts w:hint="eastAsia" w:ascii="宋体" w:hAnsi="宋体" w:cs="宋体"/>
                <w:szCs w:val="21"/>
              </w:rPr>
              <w:t>有法定代表人或负责人或委托代理人签字或加盖报价人公章。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1"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竞争性比选响应文件格式</w:t>
            </w:r>
          </w:p>
        </w:tc>
        <w:tc>
          <w:tcPr>
            <w:tcW w:w="5929"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符合第九章“竞争性比选响应文件格式”的要求，字迹清晰可辨。</w:t>
            </w:r>
          </w:p>
          <w:p>
            <w:pPr>
              <w:spacing w:line="400" w:lineRule="exact"/>
              <w:ind w:firstLine="420" w:firstLineChars="200"/>
              <w:rPr>
                <w:rFonts w:ascii="宋体" w:hAnsi="宋体" w:cs="宋体"/>
                <w:szCs w:val="21"/>
              </w:rPr>
            </w:pPr>
            <w:r>
              <w:rPr>
                <w:rFonts w:hint="eastAsia" w:ascii="宋体" w:hAnsi="宋体" w:cs="宋体"/>
                <w:szCs w:val="21"/>
              </w:rPr>
              <w:t>1.竞争性比选响应声明书的所有数据均符合比选文件的规定；</w:t>
            </w:r>
          </w:p>
          <w:p>
            <w:pPr>
              <w:spacing w:line="400" w:lineRule="exact"/>
              <w:ind w:firstLine="420" w:firstLineChars="200"/>
              <w:rPr>
                <w:rFonts w:ascii="宋体" w:hAnsi="宋体" w:cs="宋体"/>
                <w:szCs w:val="21"/>
              </w:rPr>
            </w:pPr>
            <w:r>
              <w:rPr>
                <w:rFonts w:hint="eastAsia" w:ascii="宋体" w:hAnsi="宋体" w:cs="宋体"/>
                <w:szCs w:val="21"/>
              </w:rPr>
              <w:t>2.竞争性比选响应文件附表齐全完整，内容均按规定填写；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1"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已标价工程量清单</w:t>
            </w:r>
          </w:p>
        </w:tc>
        <w:tc>
          <w:tcPr>
            <w:tcW w:w="5929"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符合第五章“工程量清单”给出的范围及数量。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1"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报价其它要求</w:t>
            </w:r>
          </w:p>
        </w:tc>
        <w:tc>
          <w:tcPr>
            <w:tcW w:w="5929" w:type="dxa"/>
            <w:vAlign w:val="center"/>
          </w:tcPr>
          <w:p>
            <w:pPr>
              <w:spacing w:line="400" w:lineRule="exact"/>
              <w:ind w:firstLine="420" w:firstLineChars="200"/>
              <w:rPr>
                <w:rFonts w:ascii="宋体" w:hAnsi="宋体" w:cs="宋体"/>
                <w:szCs w:val="21"/>
              </w:rPr>
            </w:pPr>
            <w:r>
              <w:rPr>
                <w:rFonts w:hint="eastAsia" w:ascii="宋体" w:hAnsi="宋体" w:cs="宋体"/>
                <w:szCs w:val="21"/>
              </w:rPr>
              <w:t>竞争性比选响应文件报价表中的报价与报价书文字报价应保持一致。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1"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竞争性比选响应文件正本中法定代表人或负责人或其授权代理人签署</w:t>
            </w:r>
          </w:p>
        </w:tc>
        <w:tc>
          <w:tcPr>
            <w:tcW w:w="5929" w:type="dxa"/>
            <w:vAlign w:val="center"/>
          </w:tcPr>
          <w:p>
            <w:pPr>
              <w:spacing w:line="400" w:lineRule="exact"/>
              <w:ind w:firstLine="420" w:firstLineChars="200"/>
              <w:rPr>
                <w:rFonts w:ascii="宋体" w:hAnsi="宋体" w:cs="宋体"/>
                <w:szCs w:val="21"/>
              </w:rPr>
            </w:pPr>
            <w:r>
              <w:rPr>
                <w:rFonts w:hint="eastAsia" w:ascii="宋体" w:hAnsi="宋体" w:cs="宋体"/>
                <w:szCs w:val="21"/>
              </w:rPr>
              <w:t>竞争性比选响应文件正本中法定代表人或负责人或授权代理人签署姓名齐全，符合比选文件规定；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1"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其它材料</w:t>
            </w:r>
          </w:p>
        </w:tc>
        <w:tc>
          <w:tcPr>
            <w:tcW w:w="5929" w:type="dxa"/>
            <w:vAlign w:val="center"/>
          </w:tcPr>
          <w:p>
            <w:pPr>
              <w:spacing w:line="400" w:lineRule="exact"/>
              <w:ind w:firstLine="420" w:firstLineChars="200"/>
              <w:rPr>
                <w:rFonts w:ascii="宋体" w:hAnsi="宋体" w:cs="宋体"/>
                <w:szCs w:val="21"/>
              </w:rPr>
            </w:pPr>
            <w:r>
              <w:rPr>
                <w:rFonts w:hint="eastAsia" w:ascii="宋体" w:hAnsi="宋体" w:cs="宋体"/>
                <w:szCs w:val="21"/>
              </w:rPr>
              <w:t>单位负责人为同一人或者存在控股、管理关系的不同单位，不得同时参加报价，否则相关报价均无效。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restart"/>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w:t>
            </w:r>
          </w:p>
        </w:tc>
        <w:tc>
          <w:tcPr>
            <w:tcW w:w="1159" w:type="dxa"/>
            <w:vMerge w:val="restart"/>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响应性评审标准</w:t>
            </w:r>
          </w:p>
        </w:tc>
        <w:tc>
          <w:tcPr>
            <w:tcW w:w="2021"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投标内容</w:t>
            </w:r>
          </w:p>
        </w:tc>
        <w:tc>
          <w:tcPr>
            <w:tcW w:w="5929"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符合第二章“报价人须知”第4项规定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jc w:val="center"/>
              <w:rPr>
                <w:rFonts w:asciiTheme="minorEastAsia" w:hAnsiTheme="minorEastAsia" w:eastAsiaTheme="minorEastAsia" w:cstheme="minorEastAsia"/>
                <w:szCs w:val="21"/>
              </w:rPr>
            </w:pPr>
          </w:p>
        </w:tc>
        <w:tc>
          <w:tcPr>
            <w:tcW w:w="2021"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w:t>
            </w:r>
          </w:p>
        </w:tc>
        <w:tc>
          <w:tcPr>
            <w:tcW w:w="5929" w:type="dxa"/>
            <w:vAlign w:val="center"/>
          </w:tcPr>
          <w:p>
            <w:pPr>
              <w:spacing w:line="400" w:lineRule="exact"/>
              <w:ind w:firstLine="420" w:firstLineChars="200"/>
              <w:rPr>
                <w:rFonts w:ascii="宋体" w:hAnsi="宋体" w:cs="宋体"/>
                <w:szCs w:val="21"/>
              </w:rPr>
            </w:pPr>
            <w:r>
              <w:rPr>
                <w:rFonts w:hint="eastAsia" w:ascii="宋体" w:hAnsi="宋体" w:cs="宋体"/>
                <w:szCs w:val="21"/>
              </w:rPr>
              <w:t>符合比选文件给出的范围及数量，且报价不得超过采购人公布的最高限价。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jc w:val="center"/>
              <w:rPr>
                <w:rFonts w:asciiTheme="minorEastAsia" w:hAnsiTheme="minorEastAsia" w:eastAsiaTheme="minorEastAsia" w:cstheme="minorEastAsia"/>
                <w:szCs w:val="21"/>
              </w:rPr>
            </w:pPr>
          </w:p>
        </w:tc>
        <w:tc>
          <w:tcPr>
            <w:tcW w:w="2021"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工期</w:t>
            </w:r>
          </w:p>
        </w:tc>
        <w:tc>
          <w:tcPr>
            <w:tcW w:w="5929"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符合第二章“报价人须知”第5项规定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jc w:val="center"/>
              <w:rPr>
                <w:rFonts w:asciiTheme="minorEastAsia" w:hAnsiTheme="minorEastAsia" w:eastAsiaTheme="minorEastAsia" w:cstheme="minorEastAsia"/>
                <w:szCs w:val="21"/>
              </w:rPr>
            </w:pPr>
          </w:p>
        </w:tc>
        <w:tc>
          <w:tcPr>
            <w:tcW w:w="2021"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质量标准</w:t>
            </w:r>
          </w:p>
        </w:tc>
        <w:tc>
          <w:tcPr>
            <w:tcW w:w="5929"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符合第二章“报价人须知”第6项规定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jc w:val="center"/>
              <w:rPr>
                <w:rFonts w:asciiTheme="minorEastAsia" w:hAnsiTheme="minorEastAsia" w:eastAsiaTheme="minorEastAsia" w:cstheme="minorEastAsia"/>
                <w:szCs w:val="21"/>
              </w:rPr>
            </w:pPr>
          </w:p>
        </w:tc>
        <w:tc>
          <w:tcPr>
            <w:tcW w:w="2021"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安全目标</w:t>
            </w:r>
          </w:p>
        </w:tc>
        <w:tc>
          <w:tcPr>
            <w:tcW w:w="5929"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符合第二章“报价人须知”第7项规定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159"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分值构</w:t>
            </w:r>
          </w:p>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（总分 100 分） </w:t>
            </w:r>
          </w:p>
        </w:tc>
        <w:tc>
          <w:tcPr>
            <w:tcW w:w="7950" w:type="dxa"/>
            <w:gridSpan w:val="2"/>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投标报价</w:t>
            </w:r>
            <w:r>
              <w:rPr>
                <w:rFonts w:hint="eastAsia" w:asciiTheme="minorEastAsia" w:hAnsiTheme="minorEastAsia" w:eastAsiaTheme="minorEastAsia" w:cstheme="minorEastAsia"/>
                <w:szCs w:val="21"/>
                <w:lang w:val="en-US" w:eastAsia="zh-CN"/>
              </w:rPr>
              <w:t>6</w:t>
            </w:r>
            <w:r>
              <w:rPr>
                <w:rFonts w:asciiTheme="minorEastAsia" w:hAnsiTheme="minorEastAsia" w:eastAsiaTheme="minorEastAsia" w:cstheme="minorEastAsia"/>
                <w:szCs w:val="21"/>
              </w:rPr>
              <w:t>0</w:t>
            </w:r>
            <w:r>
              <w:rPr>
                <w:rFonts w:hint="eastAsia" w:asciiTheme="minorEastAsia" w:hAnsiTheme="minorEastAsia" w:eastAsiaTheme="minorEastAsia" w:cstheme="minorEastAsia"/>
                <w:szCs w:val="21"/>
              </w:rPr>
              <w:t>分；</w:t>
            </w:r>
          </w:p>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商务部分</w:t>
            </w:r>
            <w:r>
              <w:rPr>
                <w:rFonts w:hint="eastAsia" w:asciiTheme="minorEastAsia" w:hAnsiTheme="minorEastAsia" w:eastAsiaTheme="minorEastAsia" w:cstheme="minorEastAsia"/>
                <w:szCs w:val="21"/>
                <w:lang w:val="en-US" w:eastAsia="zh-CN"/>
              </w:rPr>
              <w:t>2</w:t>
            </w:r>
            <w:r>
              <w:rPr>
                <w:rFonts w:asciiTheme="minorEastAsia" w:hAnsiTheme="minorEastAsia" w:eastAsiaTheme="minorEastAsia" w:cstheme="minorEastAsia"/>
                <w:szCs w:val="21"/>
              </w:rPr>
              <w:t>0</w:t>
            </w:r>
            <w:r>
              <w:rPr>
                <w:rFonts w:hint="eastAsia" w:asciiTheme="minorEastAsia" w:hAnsiTheme="minorEastAsia" w:eastAsiaTheme="minorEastAsia" w:cstheme="minorEastAsia"/>
                <w:szCs w:val="21"/>
              </w:rPr>
              <w:t>分；</w:t>
            </w:r>
          </w:p>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技术部分</w:t>
            </w:r>
            <w:r>
              <w:rPr>
                <w:rFonts w:asciiTheme="minorEastAsia" w:hAnsiTheme="minorEastAsia" w:eastAsiaTheme="minorEastAsia" w:cstheme="minorEastAsia"/>
                <w:szCs w:val="21"/>
              </w:rPr>
              <w:t>2</w:t>
            </w:r>
            <w:r>
              <w:rPr>
                <w:rFonts w:hint="eastAsia" w:asciiTheme="minorEastAsia" w:hAnsiTheme="minorEastAsia" w:eastAsiaTheme="minorEastAsia" w:cstheme="minorEastAsia"/>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restart"/>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w:t>
            </w:r>
          </w:p>
        </w:tc>
        <w:tc>
          <w:tcPr>
            <w:tcW w:w="1159" w:type="dxa"/>
            <w:vMerge w:val="restart"/>
            <w:vAlign w:val="center"/>
          </w:tcPr>
          <w:p>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投标报价（</w:t>
            </w: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0分）</w:t>
            </w:r>
          </w:p>
        </w:tc>
        <w:tc>
          <w:tcPr>
            <w:tcW w:w="2021"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评标基准价计算方法</w:t>
            </w:r>
          </w:p>
        </w:tc>
        <w:tc>
          <w:tcPr>
            <w:tcW w:w="5929" w:type="dxa"/>
            <w:vAlign w:val="top"/>
          </w:tcPr>
          <w:p>
            <w:pPr>
              <w:spacing w:line="400" w:lineRule="exact"/>
              <w:ind w:firstLine="420" w:firstLineChars="200"/>
              <w:rPr>
                <w:rFonts w:ascii="宋体" w:hAnsi="宋体" w:cs="宋体"/>
                <w:szCs w:val="21"/>
              </w:rPr>
            </w:pPr>
            <w:r>
              <w:rPr>
                <w:rFonts w:hint="eastAsia" w:ascii="宋体" w:hAnsi="宋体" w:cs="宋体"/>
                <w:szCs w:val="21"/>
              </w:rPr>
              <w:t>由评标委员会计算评标基准价：</w:t>
            </w:r>
          </w:p>
          <w:p>
            <w:pPr>
              <w:spacing w:line="400" w:lineRule="exact"/>
              <w:ind w:firstLine="420" w:firstLineChars="200"/>
              <w:rPr>
                <w:rFonts w:ascii="宋体" w:hAnsi="宋体" w:cs="宋体"/>
                <w:szCs w:val="21"/>
              </w:rPr>
            </w:pPr>
            <w:r>
              <w:rPr>
                <w:rFonts w:hint="eastAsia" w:ascii="宋体" w:hAnsi="宋体" w:cs="宋体"/>
                <w:szCs w:val="21"/>
              </w:rPr>
              <w:t>（1）评标价的确定：评标价＝投标函文字报价</w:t>
            </w:r>
          </w:p>
          <w:p>
            <w:pPr>
              <w:spacing w:line="400" w:lineRule="exact"/>
              <w:ind w:firstLine="420" w:firstLineChars="200"/>
              <w:rPr>
                <w:rFonts w:ascii="宋体" w:hAnsi="宋体" w:cs="宋体"/>
                <w:szCs w:val="21"/>
              </w:rPr>
            </w:pPr>
            <w:r>
              <w:rPr>
                <w:rFonts w:hint="eastAsia" w:ascii="宋体" w:hAnsi="宋体" w:cs="宋体"/>
                <w:szCs w:val="21"/>
              </w:rPr>
              <w:t>（2）评标基准价的确定：</w:t>
            </w:r>
          </w:p>
          <w:p>
            <w:pPr>
              <w:spacing w:line="400" w:lineRule="exact"/>
              <w:ind w:firstLine="420" w:firstLineChars="200"/>
              <w:rPr>
                <w:rFonts w:ascii="宋体" w:hAnsi="宋体" w:cs="宋体"/>
                <w:szCs w:val="21"/>
              </w:rPr>
            </w:pPr>
            <w:r>
              <w:rPr>
                <w:rFonts w:hint="eastAsia" w:ascii="宋体" w:hAnsi="宋体" w:cs="宋体"/>
                <w:szCs w:val="21"/>
              </w:rPr>
              <w:t>通过初步评审的投标报价为有效报价，将有效报价（若有效报价高于6家（不含），则在所有有效报价中去掉一个最高价和一个最低价，不足6家则不去掉）计算算术平均值A1。作为评标基准价。</w:t>
            </w:r>
          </w:p>
          <w:p>
            <w:pPr>
              <w:spacing w:line="400" w:lineRule="exact"/>
              <w:ind w:firstLine="420" w:firstLineChars="200"/>
              <w:rPr>
                <w:rFonts w:ascii="宋体" w:hAnsi="宋体" w:cs="宋体"/>
                <w:szCs w:val="21"/>
              </w:rPr>
            </w:pPr>
            <w:r>
              <w:rPr>
                <w:rFonts w:hint="eastAsia" w:ascii="宋体" w:hAnsi="宋体" w:cs="宋体"/>
                <w:szCs w:val="21"/>
              </w:rPr>
              <w:t>注：评标基准价以元为单位，保留2位小数，按四舍五入原则进行。确认后的评标基准价在本次整个招投标期间保持不变，不随后续评审的报价人数量发生变化。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1" w:type="dxa"/>
            <w:vAlign w:val="center"/>
          </w:tcPr>
          <w:p>
            <w:pPr>
              <w:spacing w:line="32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偏差率计算</w:t>
            </w:r>
          </w:p>
        </w:tc>
        <w:tc>
          <w:tcPr>
            <w:tcW w:w="5929" w:type="dxa"/>
            <w:vAlign w:val="top"/>
          </w:tcPr>
          <w:p>
            <w:pPr>
              <w:spacing w:line="400" w:lineRule="exact"/>
              <w:ind w:firstLine="420" w:firstLineChars="200"/>
              <w:rPr>
                <w:rFonts w:ascii="宋体" w:hAnsi="宋体" w:cs="宋体"/>
                <w:szCs w:val="21"/>
              </w:rPr>
            </w:pPr>
            <w:r>
              <w:rPr>
                <w:rFonts w:hint="eastAsia" w:ascii="宋体" w:hAnsi="宋体" w:cs="宋体"/>
                <w:szCs w:val="21"/>
              </w:rPr>
              <w:t>偏差率计算公式 偏差率=100％×（投标人报价一评标基准价A1）／评标基准价A1</w:t>
            </w:r>
          </w:p>
          <w:p>
            <w:pPr>
              <w:spacing w:line="400" w:lineRule="exact"/>
              <w:ind w:firstLine="420" w:firstLineChars="200"/>
              <w:rPr>
                <w:rFonts w:hint="eastAsia" w:ascii="宋体" w:hAnsi="宋体" w:cs="宋体"/>
                <w:bCs/>
                <w:szCs w:val="21"/>
              </w:rPr>
            </w:pPr>
            <w:r>
              <w:rPr>
                <w:rFonts w:hint="eastAsia" w:ascii="宋体" w:hAnsi="宋体" w:cs="宋体"/>
                <w:szCs w:val="21"/>
              </w:rPr>
              <w:t xml:space="preserve">  偏差率计算的最终结果取小数点后两位，小数点后第三位“四舍五入”。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1"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投标报价</w:t>
            </w:r>
          </w:p>
        </w:tc>
        <w:tc>
          <w:tcPr>
            <w:tcW w:w="5929" w:type="dxa"/>
            <w:vAlign w:val="top"/>
          </w:tcPr>
          <w:p>
            <w:pPr>
              <w:spacing w:line="400" w:lineRule="exact"/>
              <w:ind w:firstLine="420" w:firstLineChars="200"/>
              <w:rPr>
                <w:rFonts w:ascii="宋体" w:hAnsi="宋体" w:cs="宋体"/>
                <w:szCs w:val="21"/>
              </w:rPr>
            </w:pPr>
            <w:r>
              <w:rPr>
                <w:rFonts w:hint="eastAsia" w:ascii="宋体" w:hAnsi="宋体" w:cs="宋体"/>
                <w:szCs w:val="21"/>
              </w:rPr>
              <w:t>所有有效投标报价分别与评标基准价相比较，等于基准价得60分，每增加1%扣0.5分；每减少1%扣0.2分，最多扣5分。按插入法计算得分。</w:t>
            </w:r>
          </w:p>
          <w:p>
            <w:pPr>
              <w:spacing w:line="400" w:lineRule="exact"/>
              <w:ind w:firstLine="420" w:firstLineChars="200"/>
              <w:rPr>
                <w:rFonts w:ascii="宋体" w:hAnsi="宋体" w:cs="宋体"/>
                <w:bCs/>
                <w:szCs w:val="21"/>
              </w:rPr>
            </w:pPr>
            <w:r>
              <w:rPr>
                <w:rFonts w:hint="eastAsia" w:ascii="宋体" w:hAnsi="宋体" w:cs="宋体"/>
                <w:szCs w:val="21"/>
              </w:rPr>
              <w:t>以上计算取小数点后两位，第三位四舍五入。（线性计分）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898" w:type="dxa"/>
            <w:vMerge w:val="restart"/>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w:t>
            </w:r>
          </w:p>
        </w:tc>
        <w:tc>
          <w:tcPr>
            <w:tcW w:w="1159" w:type="dxa"/>
            <w:vMerge w:val="restart"/>
            <w:vAlign w:val="center"/>
          </w:tcPr>
          <w:p>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商务部分（</w:t>
            </w:r>
            <w:r>
              <w:rPr>
                <w:rFonts w:hint="eastAsia" w:asciiTheme="minorEastAsia" w:hAnsiTheme="minorEastAsia" w:eastAsiaTheme="minorEastAsia" w:cstheme="minorEastAsia"/>
                <w:szCs w:val="21"/>
                <w:lang w:val="en-US" w:eastAsia="zh-CN"/>
              </w:rPr>
              <w:t>2</w:t>
            </w:r>
            <w:r>
              <w:rPr>
                <w:rFonts w:hint="eastAsia" w:asciiTheme="minorEastAsia" w:hAnsiTheme="minorEastAsia" w:eastAsiaTheme="minorEastAsia" w:cstheme="minorEastAsia"/>
                <w:szCs w:val="21"/>
              </w:rPr>
              <w:t>0分）</w:t>
            </w:r>
          </w:p>
        </w:tc>
        <w:tc>
          <w:tcPr>
            <w:tcW w:w="2021" w:type="dxa"/>
            <w:vAlign w:val="center"/>
          </w:tcPr>
          <w:p>
            <w:pPr>
              <w:snapToGrid w:val="0"/>
              <w:spacing w:line="400" w:lineRule="exact"/>
              <w:jc w:val="center"/>
              <w:rPr>
                <w:rFonts w:hint="eastAsia" w:ascii="宋体" w:hAnsi="宋体" w:eastAsia="宋体"/>
                <w:lang w:val="en-US" w:eastAsia="zh-CN"/>
              </w:rPr>
            </w:pPr>
            <w:r>
              <w:rPr>
                <w:rFonts w:hint="eastAsia" w:ascii="宋体" w:hAnsi="宋体"/>
              </w:rPr>
              <w:t>报价人</w:t>
            </w:r>
            <w:r>
              <w:rPr>
                <w:rFonts w:hint="eastAsia" w:ascii="宋体" w:hAnsi="宋体"/>
                <w:lang w:val="en-US" w:eastAsia="zh-CN"/>
              </w:rPr>
              <w:t>资质</w:t>
            </w:r>
          </w:p>
          <w:p>
            <w:pPr>
              <w:snapToGrid w:val="0"/>
              <w:spacing w:line="400" w:lineRule="exact"/>
              <w:jc w:val="center"/>
              <w:rPr>
                <w:rFonts w:ascii="宋体" w:hAnsi="宋体" w:cs="宋体"/>
                <w:szCs w:val="21"/>
              </w:rPr>
            </w:pPr>
            <w:r>
              <w:rPr>
                <w:rFonts w:hint="eastAsia" w:ascii="宋体" w:hAnsi="宋体"/>
              </w:rPr>
              <w:t>（</w:t>
            </w:r>
            <w:r>
              <w:rPr>
                <w:rFonts w:hint="eastAsia" w:ascii="宋体" w:hAnsi="宋体"/>
                <w:lang w:val="en-US" w:eastAsia="zh-CN"/>
              </w:rPr>
              <w:t>8</w:t>
            </w:r>
            <w:r>
              <w:rPr>
                <w:rFonts w:hint="eastAsia"/>
              </w:rPr>
              <w:t>分</w:t>
            </w:r>
            <w:r>
              <w:rPr>
                <w:rFonts w:hint="eastAsia" w:ascii="宋体" w:hAnsi="宋体"/>
              </w:rPr>
              <w:t>）</w:t>
            </w:r>
          </w:p>
        </w:tc>
        <w:tc>
          <w:tcPr>
            <w:tcW w:w="5929" w:type="dxa"/>
            <w:vAlign w:val="center"/>
          </w:tcPr>
          <w:p>
            <w:pPr>
              <w:spacing w:line="400" w:lineRule="exact"/>
              <w:ind w:firstLine="420" w:firstLineChars="200"/>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具有有效的ITSS证书（业务领域：信息技术服务运行维护）二级及以上的得</w:t>
            </w:r>
            <w:r>
              <w:rPr>
                <w:rFonts w:hint="eastAsia" w:ascii="宋体" w:hAnsi="宋体" w:cs="宋体"/>
                <w:szCs w:val="21"/>
                <w:lang w:val="en-US" w:eastAsia="zh-CN"/>
              </w:rPr>
              <w:t>3</w:t>
            </w:r>
            <w:r>
              <w:rPr>
                <w:rFonts w:hint="eastAsia" w:ascii="宋体" w:hAnsi="宋体" w:cs="宋体"/>
                <w:szCs w:val="21"/>
              </w:rPr>
              <w:t>分，不符合要求或不提供得0分；</w:t>
            </w:r>
          </w:p>
          <w:p>
            <w:pPr>
              <w:spacing w:line="400" w:lineRule="exact"/>
              <w:ind w:firstLine="420" w:firstLineChars="200"/>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rPr>
              <w:t>具有ISO9001质量管理体系认证得</w:t>
            </w:r>
            <w:r>
              <w:rPr>
                <w:rFonts w:hint="eastAsia" w:ascii="宋体" w:hAnsi="宋体" w:cs="宋体"/>
                <w:szCs w:val="21"/>
                <w:lang w:val="en-US" w:eastAsia="zh-CN"/>
              </w:rPr>
              <w:t>3</w:t>
            </w:r>
            <w:r>
              <w:rPr>
                <w:rFonts w:hint="eastAsia" w:ascii="宋体" w:hAnsi="宋体" w:cs="宋体"/>
                <w:szCs w:val="21"/>
              </w:rPr>
              <w:t>分，不符合要求或不提供得0分；</w:t>
            </w:r>
          </w:p>
          <w:p>
            <w:pPr>
              <w:ind w:firstLine="420" w:firstLineChars="200"/>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报价人具有ISO27001信息安全管理体系认证得</w:t>
            </w:r>
            <w:r>
              <w:rPr>
                <w:rFonts w:hint="eastAsia" w:ascii="宋体" w:hAnsi="宋体" w:cs="宋体"/>
                <w:szCs w:val="21"/>
                <w:lang w:val="en-US" w:eastAsia="zh-CN"/>
              </w:rPr>
              <w:t>2</w:t>
            </w:r>
            <w:r>
              <w:rPr>
                <w:rFonts w:hint="eastAsia" w:ascii="宋体" w:hAnsi="宋体" w:cs="宋体"/>
                <w:szCs w:val="21"/>
              </w:rPr>
              <w:t>分，不符合要求或不提供得</w:t>
            </w:r>
            <w:r>
              <w:rPr>
                <w:rFonts w:hint="eastAsia" w:ascii="宋体" w:hAnsi="宋体" w:cs="宋体"/>
                <w:szCs w:val="21"/>
                <w:lang w:val="en-US" w:eastAsia="zh-CN"/>
              </w:rPr>
              <w:t>0</w:t>
            </w:r>
            <w:r>
              <w:rPr>
                <w:rFonts w:hint="eastAsia" w:ascii="宋体" w:hAnsi="宋体" w:cs="宋体"/>
                <w:szCs w:val="21"/>
              </w:rPr>
              <w:t>分；</w:t>
            </w:r>
          </w:p>
          <w:p>
            <w:pPr>
              <w:ind w:firstLine="422" w:firstLineChars="200"/>
              <w:rPr>
                <w:rFonts w:ascii="宋体" w:hAnsi="宋体" w:cs="宋体"/>
                <w:kern w:val="0"/>
                <w:szCs w:val="21"/>
              </w:rPr>
            </w:pPr>
            <w:r>
              <w:rPr>
                <w:rFonts w:hint="eastAsia"/>
                <w:b/>
                <w:bCs/>
              </w:rPr>
              <w:t>注：提供相应证书复印件或扫描件并加盖报价人公章。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1" w:type="dxa"/>
            <w:vAlign w:val="center"/>
          </w:tcPr>
          <w:p>
            <w:pPr>
              <w:snapToGrid w:val="0"/>
              <w:jc w:val="center"/>
              <w:rPr>
                <w:rFonts w:ascii="宋体" w:hAnsi="宋体" w:cs="宋体"/>
                <w:kern w:val="0"/>
                <w:szCs w:val="21"/>
              </w:rPr>
            </w:pPr>
            <w:r>
              <w:rPr>
                <w:rFonts w:hint="eastAsia" w:ascii="宋体" w:hAnsi="宋体" w:cs="宋体"/>
                <w:kern w:val="0"/>
                <w:szCs w:val="21"/>
              </w:rPr>
              <w:t>项目团队</w:t>
            </w:r>
          </w:p>
          <w:p>
            <w:pPr>
              <w:snapToGrid w:val="0"/>
              <w:spacing w:line="400" w:lineRule="exact"/>
              <w:jc w:val="center"/>
              <w:rPr>
                <w:rFonts w:ascii="宋体" w:hAnsi="宋体" w:cs="宋体"/>
                <w:szCs w:val="21"/>
              </w:rPr>
            </w:pPr>
            <w:r>
              <w:rPr>
                <w:rFonts w:hint="eastAsia" w:ascii="宋体" w:hAnsi="宋体" w:cs="宋体"/>
                <w:kern w:val="0"/>
                <w:szCs w:val="21"/>
              </w:rPr>
              <w:t>（</w:t>
            </w:r>
            <w:r>
              <w:rPr>
                <w:rFonts w:hint="eastAsia" w:ascii="宋体" w:hAnsi="宋体" w:cs="宋体"/>
                <w:kern w:val="0"/>
                <w:szCs w:val="21"/>
                <w:lang w:val="en-US" w:eastAsia="zh-CN"/>
              </w:rPr>
              <w:t>8</w:t>
            </w:r>
            <w:r>
              <w:rPr>
                <w:rFonts w:hint="eastAsia"/>
              </w:rPr>
              <w:t>分</w:t>
            </w:r>
            <w:r>
              <w:rPr>
                <w:rFonts w:hint="eastAsia" w:ascii="宋体" w:hAnsi="宋体" w:cs="宋体"/>
                <w:kern w:val="0"/>
                <w:szCs w:val="21"/>
              </w:rPr>
              <w:t>）</w:t>
            </w:r>
          </w:p>
        </w:tc>
        <w:tc>
          <w:tcPr>
            <w:tcW w:w="5929" w:type="dxa"/>
            <w:vAlign w:val="center"/>
          </w:tcPr>
          <w:p>
            <w:pPr>
              <w:spacing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1、拟派本项目的项目经理具有信息系统项目管理师（高级）认证得2分；具有系统架构设计师（高级）认证证书的得2分，满分4分。</w:t>
            </w:r>
          </w:p>
          <w:p>
            <w:pPr>
              <w:spacing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2、拟派项目组成员中具有下列证书之一的得2分，最高得4分。（同一人员具备多个证书只计算一次得分，且同类证书不重复计分。）</w:t>
            </w:r>
          </w:p>
          <w:p>
            <w:pPr>
              <w:spacing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拟投入本项目组成员具有注册信息安全工程师CISP证书、数据分析师、高级软件工程师认证证书、软件工程师证书、数据库系统工程师证书、软件评测师证书、系统集成项目管理工程师、网络工程师。</w:t>
            </w:r>
          </w:p>
          <w:p>
            <w:pPr>
              <w:ind w:firstLine="422" w:firstLineChars="200"/>
            </w:pPr>
            <w:r>
              <w:rPr>
                <w:rFonts w:hint="eastAsia"/>
                <w:b/>
                <w:bCs/>
              </w:rPr>
              <w:t>注：提供相应证书复印件或扫描件</w:t>
            </w:r>
            <w:r>
              <w:rPr>
                <w:rFonts w:hint="eastAsia"/>
                <w:b/>
                <w:bCs/>
                <w:lang w:eastAsia="zh-CN"/>
              </w:rPr>
              <w:t>、</w:t>
            </w:r>
            <w:r>
              <w:rPr>
                <w:rFonts w:hint="eastAsia"/>
                <w:b/>
                <w:bCs/>
              </w:rPr>
              <w:t>2023年</w:t>
            </w:r>
            <w:r>
              <w:rPr>
                <w:rFonts w:hint="eastAsia"/>
                <w:b/>
                <w:bCs/>
                <w:lang w:val="en-US" w:eastAsia="zh-CN"/>
              </w:rPr>
              <w:t>9月-11月份连续3个月</w:t>
            </w:r>
            <w:r>
              <w:rPr>
                <w:rFonts w:hint="eastAsia"/>
                <w:b/>
                <w:bCs/>
              </w:rPr>
              <w:t>社保证明材料并加盖报价人公章。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4" w:hRule="atLeas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021" w:type="dxa"/>
            <w:vAlign w:val="center"/>
          </w:tcPr>
          <w:p>
            <w:pPr>
              <w:snapToGrid w:val="0"/>
              <w:spacing w:line="400" w:lineRule="exact"/>
              <w:jc w:val="center"/>
              <w:rPr>
                <w:rFonts w:ascii="宋体" w:hAnsi="宋体" w:cs="宋体"/>
                <w:szCs w:val="21"/>
              </w:rPr>
            </w:pPr>
            <w:r>
              <w:rPr>
                <w:rFonts w:hint="eastAsia" w:ascii="宋体" w:hAnsi="宋体" w:cs="宋体"/>
                <w:lang w:val="en-US" w:eastAsia="zh-CN"/>
              </w:rPr>
              <w:t>相关业绩</w:t>
            </w:r>
            <w:r>
              <w:rPr>
                <w:rFonts w:hint="eastAsia" w:ascii="宋体" w:hAnsi="宋体" w:cs="宋体"/>
              </w:rPr>
              <w:t>（</w:t>
            </w:r>
            <w:r>
              <w:rPr>
                <w:rFonts w:ascii="宋体" w:hAnsi="宋体" w:cs="宋体"/>
              </w:rPr>
              <w:t>4</w:t>
            </w:r>
            <w:r>
              <w:rPr>
                <w:rFonts w:hint="eastAsia"/>
              </w:rPr>
              <w:t>分</w:t>
            </w:r>
            <w:r>
              <w:rPr>
                <w:rFonts w:hint="eastAsia" w:ascii="宋体" w:hAnsi="宋体" w:cs="宋体"/>
              </w:rPr>
              <w:t>）</w:t>
            </w:r>
          </w:p>
        </w:tc>
        <w:tc>
          <w:tcPr>
            <w:tcW w:w="5929" w:type="dxa"/>
            <w:vAlign w:val="center"/>
          </w:tcPr>
          <w:p>
            <w:pPr>
              <w:spacing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1、在2020年1月1日至投标截止时间止(以合同签订时间为准)每承担一项合同金额不低于50万元的的软件开发业绩得2分，最多得4分。</w:t>
            </w:r>
          </w:p>
          <w:p>
            <w:pPr>
              <w:ind w:firstLine="422" w:firstLineChars="200"/>
            </w:pPr>
            <w:r>
              <w:rPr>
                <w:rFonts w:hint="eastAsia"/>
                <w:b/>
                <w:bCs/>
                <w:lang w:val="en-US" w:eastAsia="zh-CN"/>
              </w:rPr>
              <w:t>注、</w:t>
            </w:r>
            <w:r>
              <w:rPr>
                <w:rFonts w:hint="eastAsia"/>
                <w:b/>
                <w:bCs/>
              </w:rPr>
              <w:t>提供合同（合同需清晰反映上述业绩要求的主要内容，包括但不限于合同签订时间、合同金额及工作内容）复印件或扫描件。若合同中无法体现上述内容的，则还需提供业主出具的业绩证明材料（加盖业主单位鲜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1" w:hRule="atLeast"/>
          <w:jc w:val="center"/>
        </w:trPr>
        <w:tc>
          <w:tcPr>
            <w:tcW w:w="898" w:type="dxa"/>
            <w:vMerge w:val="restart"/>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3.3</w:t>
            </w:r>
          </w:p>
        </w:tc>
        <w:tc>
          <w:tcPr>
            <w:tcW w:w="1159" w:type="dxa"/>
            <w:vMerge w:val="restart"/>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技术部分（</w:t>
            </w:r>
            <w:r>
              <w:rPr>
                <w:rFonts w:asciiTheme="minorEastAsia" w:hAnsiTheme="minorEastAsia" w:eastAsiaTheme="minorEastAsia" w:cstheme="minorEastAsia"/>
                <w:szCs w:val="21"/>
              </w:rPr>
              <w:t>2</w:t>
            </w:r>
            <w:r>
              <w:rPr>
                <w:rFonts w:hint="eastAsia" w:asciiTheme="minorEastAsia" w:hAnsiTheme="minorEastAsia" w:eastAsiaTheme="minorEastAsia" w:cstheme="minorEastAsia"/>
                <w:szCs w:val="21"/>
              </w:rPr>
              <w:t>0分）</w:t>
            </w:r>
          </w:p>
        </w:tc>
        <w:tc>
          <w:tcPr>
            <w:tcW w:w="2021" w:type="dxa"/>
            <w:vAlign w:val="center"/>
          </w:tcPr>
          <w:p>
            <w:pPr>
              <w:widowControl/>
              <w:spacing w:before="156" w:line="400" w:lineRule="exact"/>
              <w:jc w:val="center"/>
              <w:rPr>
                <w:rFonts w:ascii="宋体" w:hAnsi="宋体" w:cs="宋体"/>
                <w:szCs w:val="21"/>
              </w:rPr>
            </w:pPr>
            <w:r>
              <w:rPr>
                <w:rFonts w:hint="eastAsia" w:ascii="宋体" w:hAnsi="宋体"/>
              </w:rPr>
              <w:t>总体技术方案（</w:t>
            </w:r>
            <w:r>
              <w:rPr>
                <w:rFonts w:hint="eastAsia" w:ascii="宋体" w:hAnsi="宋体"/>
                <w:lang w:val="en-US" w:eastAsia="zh-CN"/>
              </w:rPr>
              <w:t>10</w:t>
            </w:r>
            <w:r>
              <w:rPr>
                <w:rFonts w:hint="eastAsia" w:ascii="宋体" w:hAnsi="宋体"/>
              </w:rPr>
              <w:t>分）</w:t>
            </w:r>
          </w:p>
        </w:tc>
        <w:tc>
          <w:tcPr>
            <w:tcW w:w="5929" w:type="dxa"/>
            <w:vAlign w:val="center"/>
          </w:tcPr>
          <w:p>
            <w:pPr>
              <w:spacing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1、现状与目标分析（5分）</w:t>
            </w:r>
          </w:p>
          <w:p>
            <w:pPr>
              <w:spacing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要求对项目建设背景、项目现状分析、建设目标等方面的内容进行深度分析；评审委员会根据报价人提交的方案进行评分：</w:t>
            </w:r>
          </w:p>
          <w:p>
            <w:pPr>
              <w:spacing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（1）4分＜得分≤5分；分析全面透彻、思路清晰，符合项目实际情况，符合项目实际目标需要；</w:t>
            </w:r>
          </w:p>
          <w:p>
            <w:pPr>
              <w:spacing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（2）3分＜得分≤4分；分析不全面透彻、思路较为清晰，基本符合项目实际情况，基本符合项目实际需要；</w:t>
            </w:r>
          </w:p>
          <w:p>
            <w:pPr>
              <w:spacing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（3）0分＜得分≤3分；分析不透彻、思路模糊，不符合项目实际情况，不符合项目实际需要；</w:t>
            </w:r>
          </w:p>
          <w:p>
            <w:pPr>
              <w:spacing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2、项目建设方案（5分）</w:t>
            </w:r>
          </w:p>
          <w:p>
            <w:pPr>
              <w:spacing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要求包括总体建设架构、功能模块设计等内容。建设方案符合项目实际需求，具有可操作性，满足招标文件对应要求，功能模块设计符合业务需求。评审委员会根据报价人提交的项目建设方案进行评分：</w:t>
            </w:r>
          </w:p>
          <w:p>
            <w:pPr>
              <w:spacing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（1）4分＜得分≤5分：整体方案设计科学，总体建设架构考虑得当，符合项目建设实际需求，具有可操作性；功能模块设计合理、满足招标文件对应要求；</w:t>
            </w:r>
          </w:p>
          <w:p>
            <w:pPr>
              <w:spacing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（2）3分＜得分≤4分：整体方案设计基本科学，总体建设架构考虑较为得当，较为符合项目建设实际需求；功能模块设计较为合理、较为满足招标文件对应要求；</w:t>
            </w:r>
          </w:p>
          <w:p>
            <w:pPr>
              <w:spacing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（3）0分＜得分≤3分：整体方案设计不科学，总体建设架构考虑不得当，不符合项目建设实际需求，不具有可操作性；功能模块设计不合理、不满足招标文件对应要求。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2" w:hRule="atLeas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jc w:val="center"/>
              <w:rPr>
                <w:rFonts w:asciiTheme="minorEastAsia" w:hAnsiTheme="minorEastAsia" w:eastAsiaTheme="minorEastAsia" w:cstheme="minorEastAsia"/>
                <w:szCs w:val="21"/>
              </w:rPr>
            </w:pPr>
          </w:p>
        </w:tc>
        <w:tc>
          <w:tcPr>
            <w:tcW w:w="2021" w:type="dxa"/>
            <w:vAlign w:val="center"/>
          </w:tcPr>
          <w:p>
            <w:pPr>
              <w:widowControl/>
              <w:spacing w:before="156" w:line="400" w:lineRule="exact"/>
              <w:jc w:val="center"/>
              <w:rPr>
                <w:rFonts w:ascii="宋体" w:hAnsi="宋体" w:cs="宋体"/>
                <w:szCs w:val="21"/>
              </w:rPr>
            </w:pPr>
            <w:r>
              <w:rPr>
                <w:rFonts w:hint="eastAsia" w:ascii="宋体" w:hAnsi="宋体"/>
              </w:rPr>
              <w:t>实施方案（</w:t>
            </w:r>
            <w:r>
              <w:rPr>
                <w:rFonts w:hint="eastAsia" w:ascii="宋体" w:hAnsi="宋体"/>
                <w:lang w:val="en-US" w:eastAsia="zh-CN"/>
              </w:rPr>
              <w:t>5</w:t>
            </w:r>
            <w:r>
              <w:rPr>
                <w:rFonts w:hint="eastAsia" w:ascii="宋体" w:hAnsi="宋体"/>
              </w:rPr>
              <w:t>分）</w:t>
            </w:r>
          </w:p>
        </w:tc>
        <w:tc>
          <w:tcPr>
            <w:tcW w:w="5929" w:type="dxa"/>
            <w:vAlign w:val="center"/>
          </w:tcPr>
          <w:p>
            <w:pPr>
              <w:spacing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根据报价人提供的实施具体事项、项目实施计划、项目人员安排等的完整性、合理性、可行性，符合项目建设实际需求等方面进行评审：</w:t>
            </w:r>
          </w:p>
          <w:p>
            <w:pPr>
              <w:spacing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（1）4分＜得分≤5分：实施方案设计完整、合理、可行，符合项目建设实际需求；</w:t>
            </w:r>
          </w:p>
          <w:p>
            <w:pPr>
              <w:spacing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（2）3分＜得分≤4分：实施方案设计基本为完整、合理、可行，较为符合项目建设实际需求；</w:t>
            </w:r>
          </w:p>
          <w:p>
            <w:pPr>
              <w:spacing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（3）0分＜得分≤3分：实施方案设计不完整、合理、可行，不符合项目建设实际需求。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8" w:hRule="atLeas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jc w:val="center"/>
              <w:rPr>
                <w:rFonts w:asciiTheme="minorEastAsia" w:hAnsiTheme="minorEastAsia" w:eastAsiaTheme="minorEastAsia" w:cstheme="minorEastAsia"/>
                <w:szCs w:val="21"/>
              </w:rPr>
            </w:pPr>
          </w:p>
        </w:tc>
        <w:tc>
          <w:tcPr>
            <w:tcW w:w="2021" w:type="dxa"/>
            <w:vAlign w:val="center"/>
          </w:tcPr>
          <w:p>
            <w:pPr>
              <w:widowControl/>
              <w:spacing w:before="156" w:line="400" w:lineRule="exact"/>
              <w:jc w:val="center"/>
              <w:rPr>
                <w:rFonts w:hint="eastAsia" w:ascii="宋体" w:hAnsi="宋体"/>
              </w:rPr>
            </w:pPr>
            <w:r>
              <w:rPr>
                <w:rFonts w:hint="eastAsia" w:ascii="宋体" w:hAnsi="宋体"/>
              </w:rPr>
              <w:t>售后服务方案</w:t>
            </w:r>
          </w:p>
          <w:p>
            <w:pPr>
              <w:widowControl/>
              <w:spacing w:before="156" w:line="400" w:lineRule="exact"/>
              <w:jc w:val="center"/>
              <w:rPr>
                <w:rFonts w:ascii="宋体" w:hAnsi="宋体" w:cs="宋体"/>
                <w:szCs w:val="21"/>
              </w:rPr>
            </w:pPr>
            <w:r>
              <w:rPr>
                <w:rFonts w:hint="eastAsia" w:ascii="宋体" w:hAnsi="宋体"/>
              </w:rPr>
              <w:t>（</w:t>
            </w:r>
            <w:r>
              <w:rPr>
                <w:rFonts w:hint="eastAsia" w:ascii="宋体" w:hAnsi="宋体"/>
                <w:lang w:val="en-US" w:eastAsia="zh-CN"/>
              </w:rPr>
              <w:t>5</w:t>
            </w:r>
            <w:r>
              <w:rPr>
                <w:rFonts w:hint="eastAsia" w:ascii="宋体" w:hAnsi="宋体"/>
              </w:rPr>
              <w:t>分）</w:t>
            </w:r>
          </w:p>
        </w:tc>
        <w:tc>
          <w:tcPr>
            <w:tcW w:w="5929" w:type="dxa"/>
            <w:vAlign w:val="center"/>
          </w:tcPr>
          <w:p>
            <w:pPr>
              <w:spacing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根据报价人提供的售后服务体系、售后团队配置、培训计划、系统运维方案等的完整性、合理性、可行性，符合项目建设实际需求等方面进行评审：</w:t>
            </w:r>
          </w:p>
          <w:p>
            <w:pPr>
              <w:spacing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（1）4分＜得分≤5分：售后服务方案设计完整、合理、可行，符合项目建设实际需求；</w:t>
            </w:r>
          </w:p>
          <w:p>
            <w:pPr>
              <w:spacing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（3）3分＜得分≤4分：售后服务方案设计基本完整、合理、可行，较为符合项目建设实际需求；</w:t>
            </w:r>
          </w:p>
          <w:p>
            <w:pPr>
              <w:spacing w:line="4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（4）0分＜得分≤3分：售后服务方案设计不完整、合理、可行，不符合项目建设实际需求。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jc w:val="center"/>
        </w:trPr>
        <w:tc>
          <w:tcPr>
            <w:tcW w:w="898"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kern w:val="0"/>
                <w:szCs w:val="21"/>
              </w:rPr>
              <w:t>条款号</w:t>
            </w:r>
          </w:p>
        </w:tc>
        <w:tc>
          <w:tcPr>
            <w:tcW w:w="3180" w:type="dxa"/>
            <w:gridSpan w:val="2"/>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kern w:val="0"/>
                <w:szCs w:val="21"/>
              </w:rPr>
              <w:t>条款名称</w:t>
            </w:r>
          </w:p>
        </w:tc>
        <w:tc>
          <w:tcPr>
            <w:tcW w:w="5929" w:type="dxa"/>
            <w:vAlign w:val="center"/>
          </w:tcPr>
          <w:p>
            <w:pPr>
              <w:spacing w:line="400" w:lineRule="exact"/>
              <w:ind w:firstLine="420" w:firstLineChars="200"/>
              <w:rPr>
                <w:rFonts w:ascii="宋体" w:hAnsi="宋体" w:cs="宋体"/>
                <w:szCs w:val="21"/>
              </w:rPr>
            </w:pPr>
            <w:r>
              <w:rPr>
                <w:rFonts w:hint="eastAsia" w:ascii="宋体" w:hAnsi="宋体" w:cs="宋体"/>
                <w:szCs w:val="21"/>
              </w:rPr>
              <w:t xml:space="preserve">编列内容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898"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3180" w:type="dxa"/>
            <w:gridSpan w:val="2"/>
            <w:vAlign w:val="center"/>
          </w:tcPr>
          <w:p>
            <w:pPr>
              <w:spacing w:line="320" w:lineRule="exact"/>
              <w:jc w:val="center"/>
              <w:rPr>
                <w:rFonts w:asciiTheme="minorEastAsia" w:hAnsiTheme="minorEastAsia" w:eastAsiaTheme="minorEastAsia" w:cstheme="minorEastAsia"/>
                <w:szCs w:val="21"/>
              </w:rPr>
            </w:pPr>
            <w:r>
              <w:rPr>
                <w:rFonts w:hint="eastAsia"/>
                <w:spacing w:val="-5"/>
                <w:kern w:val="0"/>
                <w:sz w:val="20"/>
              </w:rPr>
              <w:t>评标程序</w:t>
            </w:r>
          </w:p>
        </w:tc>
        <w:tc>
          <w:tcPr>
            <w:tcW w:w="5929" w:type="dxa"/>
            <w:vAlign w:val="center"/>
          </w:tcPr>
          <w:p>
            <w:pPr>
              <w:pStyle w:val="168"/>
              <w:spacing w:before="70" w:line="320" w:lineRule="exact"/>
              <w:ind w:left="119" w:right="83" w:firstLine="420"/>
              <w:rPr>
                <w:rFonts w:ascii="宋体" w:hAnsi="宋体" w:cs="宋体"/>
                <w:szCs w:val="21"/>
              </w:rPr>
            </w:pPr>
            <w:r>
              <w:rPr>
                <w:rFonts w:hint="eastAsia" w:ascii="宋体" w:hAnsi="宋体" w:cs="宋体"/>
                <w:szCs w:val="21"/>
              </w:rPr>
              <w:t xml:space="preserve">1.按本章评标办法第3.1.1款、3.1.2款及3.1.3款进行初步评审，未通过初步评审或评标委员会认定为无效的投标文件的不再进行后续评审。 </w:t>
            </w:r>
          </w:p>
          <w:p>
            <w:pPr>
              <w:pStyle w:val="168"/>
              <w:spacing w:before="42" w:line="320" w:lineRule="exact"/>
              <w:ind w:left="119" w:right="72" w:firstLine="420"/>
              <w:rPr>
                <w:rFonts w:ascii="宋体" w:hAnsi="宋体" w:cs="宋体"/>
                <w:szCs w:val="21"/>
              </w:rPr>
            </w:pPr>
            <w:r>
              <w:rPr>
                <w:rFonts w:hint="eastAsia" w:ascii="宋体" w:hAnsi="宋体" w:cs="宋体"/>
                <w:szCs w:val="21"/>
              </w:rPr>
              <w:t>2.按本章评标办法前附表第3.1款的规定进行报价投标报价部分评审；</w:t>
            </w:r>
          </w:p>
          <w:p>
            <w:pPr>
              <w:pStyle w:val="168"/>
              <w:spacing w:before="15" w:line="320" w:lineRule="exact"/>
              <w:ind w:left="119" w:right="72" w:firstLine="420"/>
              <w:rPr>
                <w:rFonts w:ascii="宋体" w:hAnsi="宋体" w:cs="宋体"/>
                <w:szCs w:val="21"/>
              </w:rPr>
            </w:pPr>
            <w:r>
              <w:rPr>
                <w:rFonts w:hint="eastAsia" w:ascii="宋体" w:hAnsi="宋体" w:cs="宋体"/>
                <w:szCs w:val="21"/>
              </w:rPr>
              <w:t>3.按本章评标办法前附表第3.2款的规定进行商务部分的评审；</w:t>
            </w:r>
          </w:p>
          <w:p>
            <w:pPr>
              <w:pStyle w:val="168"/>
              <w:spacing w:before="15" w:line="320" w:lineRule="exact"/>
              <w:ind w:left="119" w:right="72" w:firstLine="420"/>
              <w:rPr>
                <w:rFonts w:ascii="宋体" w:hAnsi="宋体" w:cs="宋体"/>
                <w:szCs w:val="21"/>
              </w:rPr>
            </w:pPr>
            <w:r>
              <w:rPr>
                <w:rFonts w:hint="eastAsia" w:ascii="宋体" w:hAnsi="宋体" w:cs="宋体"/>
                <w:szCs w:val="21"/>
              </w:rPr>
              <w:t>4.按本章评标办法前附表第 3.3款的规定进行技术部分的评审；</w:t>
            </w:r>
          </w:p>
          <w:p>
            <w:pPr>
              <w:pStyle w:val="168"/>
              <w:spacing w:before="42" w:line="320" w:lineRule="exact"/>
              <w:ind w:left="119" w:right="-23" w:firstLine="420"/>
              <w:rPr>
                <w:rFonts w:ascii="宋体" w:hAnsi="宋体" w:cs="宋体"/>
                <w:szCs w:val="21"/>
              </w:rPr>
            </w:pPr>
            <w:r>
              <w:rPr>
                <w:rFonts w:hint="eastAsia" w:ascii="宋体" w:hAnsi="宋体" w:cs="宋体"/>
                <w:szCs w:val="21"/>
              </w:rPr>
              <w:t xml:space="preserve">5.因评标委员会作否决投标处理导致有效报价人不足三个的，评标委员会应当否决所有投标。但是有效报价人的经济、技术等指标仍然具有市场竞争力，能够满足采购文件要求的，评标委员会可以继续评标并确定中标候选人。 </w:t>
            </w:r>
          </w:p>
          <w:p>
            <w:pPr>
              <w:pStyle w:val="168"/>
              <w:spacing w:before="47" w:line="320" w:lineRule="exact"/>
              <w:ind w:left="119" w:firstLine="420"/>
              <w:rPr>
                <w:rFonts w:ascii="宋体" w:hAnsi="宋体" w:cs="宋体"/>
                <w:szCs w:val="21"/>
              </w:rPr>
            </w:pPr>
            <w:r>
              <w:rPr>
                <w:rFonts w:hint="eastAsia" w:ascii="宋体" w:hAnsi="宋体" w:cs="宋体"/>
                <w:szCs w:val="21"/>
              </w:rPr>
              <w:t xml:space="preserve">6.对投标总报价、商务部分、技术部分得分进行汇总，确定得分由高至低前2名报价人为中标候选人。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jc w:val="center"/>
        </w:trPr>
        <w:tc>
          <w:tcPr>
            <w:tcW w:w="898"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3180" w:type="dxa"/>
            <w:gridSpan w:val="2"/>
            <w:vAlign w:val="center"/>
          </w:tcPr>
          <w:p>
            <w:pPr>
              <w:spacing w:line="320" w:lineRule="exact"/>
              <w:jc w:val="center"/>
              <w:rPr>
                <w:rFonts w:asciiTheme="minorEastAsia" w:hAnsiTheme="minorEastAsia" w:eastAsiaTheme="minorEastAsia" w:cstheme="minorEastAsia"/>
                <w:szCs w:val="21"/>
              </w:rPr>
            </w:pPr>
            <w:r>
              <w:rPr>
                <w:rFonts w:hint="eastAsia"/>
                <w:spacing w:val="-5"/>
                <w:kern w:val="0"/>
                <w:sz w:val="20"/>
              </w:rPr>
              <w:t>报价人得分</w:t>
            </w:r>
          </w:p>
        </w:tc>
        <w:tc>
          <w:tcPr>
            <w:tcW w:w="5929" w:type="dxa"/>
            <w:vAlign w:val="center"/>
          </w:tcPr>
          <w:p>
            <w:pPr>
              <w:spacing w:line="400" w:lineRule="exact"/>
              <w:ind w:firstLine="420" w:firstLineChars="200"/>
              <w:rPr>
                <w:rFonts w:ascii="宋体" w:hAnsi="宋体" w:cs="宋体"/>
                <w:szCs w:val="21"/>
              </w:rPr>
            </w:pPr>
            <w:r>
              <w:rPr>
                <w:rFonts w:hint="eastAsia" w:ascii="宋体" w:hAnsi="宋体" w:cs="宋体"/>
                <w:szCs w:val="21"/>
              </w:rPr>
              <w:t>报价人得分=投标报价得分+商务部分得分+技术部分得分</w:t>
            </w:r>
          </w:p>
        </w:tc>
      </w:tr>
    </w:tbl>
    <w:p>
      <w:pPr>
        <w:pStyle w:val="5"/>
        <w:tabs>
          <w:tab w:val="left" w:pos="1440"/>
        </w:tabs>
        <w:spacing w:line="418" w:lineRule="exact"/>
        <w:rPr>
          <w:rFonts w:ascii="宋体" w:hAnsi="宋体" w:cs="宋体"/>
          <w:kern w:val="2"/>
          <w:sz w:val="21"/>
          <w:szCs w:val="21"/>
        </w:rPr>
      </w:pPr>
      <w:r>
        <w:rPr>
          <w:rFonts w:hint="eastAsia" w:ascii="宋体" w:hAnsi="宋体" w:cs="宋体"/>
          <w:kern w:val="2"/>
          <w:sz w:val="21"/>
          <w:szCs w:val="21"/>
        </w:rPr>
        <w:t xml:space="preserve">1. 评标方法 </w:t>
      </w:r>
    </w:p>
    <w:p>
      <w:pPr>
        <w:pStyle w:val="2"/>
        <w:spacing w:before="119" w:line="352" w:lineRule="auto"/>
        <w:ind w:firstLine="420" w:firstLineChars="200"/>
        <w:rPr>
          <w:rFonts w:ascii="宋体" w:hAnsi="宋体" w:cs="宋体"/>
          <w:kern w:val="2"/>
          <w:sz w:val="21"/>
          <w:szCs w:val="21"/>
        </w:rPr>
      </w:pPr>
      <w:r>
        <w:rPr>
          <w:rFonts w:hint="eastAsia" w:ascii="宋体" w:hAnsi="宋体" w:cs="宋体"/>
          <w:kern w:val="2"/>
          <w:sz w:val="21"/>
          <w:szCs w:val="21"/>
        </w:rPr>
        <w:t xml:space="preserve">本次评标采用综合评分法。评标委员会按照本章评标办法前附表规定的评分标准进行打分，按得分由高到 低顺序推荐中标候选人，若出现报价人投标报价相同的，以评标办法前附表约定的原则确定排序。 </w:t>
      </w:r>
    </w:p>
    <w:p>
      <w:pPr>
        <w:pStyle w:val="5"/>
        <w:tabs>
          <w:tab w:val="left" w:pos="1440"/>
        </w:tabs>
        <w:spacing w:before="56"/>
        <w:rPr>
          <w:rFonts w:ascii="宋体" w:hAnsi="宋体" w:cs="宋体"/>
          <w:kern w:val="2"/>
          <w:sz w:val="21"/>
          <w:szCs w:val="21"/>
        </w:rPr>
      </w:pPr>
      <w:bookmarkStart w:id="138" w:name="2._评审标准"/>
      <w:bookmarkEnd w:id="138"/>
      <w:r>
        <w:rPr>
          <w:rFonts w:hint="eastAsia" w:ascii="宋体" w:hAnsi="宋体" w:cs="宋体"/>
          <w:kern w:val="2"/>
          <w:sz w:val="21"/>
          <w:szCs w:val="21"/>
        </w:rPr>
        <w:t xml:space="preserve">2. 评审标准 </w:t>
      </w:r>
    </w:p>
    <w:p>
      <w:pPr>
        <w:spacing w:before="156"/>
        <w:ind w:left="106"/>
        <w:rPr>
          <w:rFonts w:ascii="宋体" w:hAnsi="宋体" w:cs="宋体"/>
          <w:szCs w:val="21"/>
        </w:rPr>
      </w:pPr>
      <w:bookmarkStart w:id="139" w:name="2.1_初步评审标准"/>
      <w:bookmarkEnd w:id="139"/>
      <w:r>
        <w:rPr>
          <w:rFonts w:hint="eastAsia" w:ascii="宋体" w:hAnsi="宋体" w:cs="宋体"/>
          <w:szCs w:val="21"/>
        </w:rPr>
        <w:t xml:space="preserve">2.1 初步评审标准 </w:t>
      </w:r>
    </w:p>
    <w:p>
      <w:pPr>
        <w:pStyle w:val="2"/>
        <w:spacing w:before="61"/>
        <w:ind w:left="647"/>
        <w:rPr>
          <w:rFonts w:ascii="宋体" w:hAnsi="宋体" w:cs="宋体"/>
          <w:caps/>
          <w:kern w:val="2"/>
          <w:sz w:val="21"/>
          <w:szCs w:val="21"/>
        </w:rPr>
      </w:pPr>
      <w:r>
        <w:rPr>
          <w:rFonts w:hint="eastAsia" w:ascii="宋体" w:hAnsi="宋体" w:cs="宋体"/>
          <w:caps/>
          <w:kern w:val="2"/>
          <w:sz w:val="21"/>
          <w:szCs w:val="21"/>
        </w:rPr>
        <w:t xml:space="preserve">2.1.1 资格评审标准：见评标办法前附表。 </w:t>
      </w:r>
    </w:p>
    <w:p>
      <w:pPr>
        <w:pStyle w:val="2"/>
        <w:spacing w:before="130"/>
        <w:ind w:left="647"/>
        <w:rPr>
          <w:rFonts w:ascii="宋体" w:hAnsi="宋体" w:cs="宋体"/>
          <w:caps/>
          <w:kern w:val="2"/>
          <w:sz w:val="21"/>
          <w:szCs w:val="21"/>
        </w:rPr>
      </w:pPr>
      <w:r>
        <w:rPr>
          <w:rFonts w:hint="eastAsia" w:ascii="宋体" w:hAnsi="宋体" w:cs="宋体"/>
          <w:caps/>
          <w:kern w:val="2"/>
          <w:sz w:val="21"/>
          <w:szCs w:val="21"/>
        </w:rPr>
        <w:t xml:space="preserve">2.1.2 形式评审标准：见评标办法前附表。 </w:t>
      </w:r>
    </w:p>
    <w:p>
      <w:pPr>
        <w:pStyle w:val="2"/>
        <w:spacing w:before="130"/>
        <w:ind w:left="647"/>
        <w:rPr>
          <w:rFonts w:ascii="宋体" w:hAnsi="宋体" w:cs="宋体"/>
          <w:caps/>
          <w:kern w:val="2"/>
          <w:sz w:val="21"/>
          <w:szCs w:val="21"/>
        </w:rPr>
      </w:pPr>
      <w:r>
        <w:rPr>
          <w:rFonts w:hint="eastAsia" w:ascii="宋体" w:hAnsi="宋体" w:cs="宋体"/>
          <w:caps/>
          <w:kern w:val="2"/>
          <w:sz w:val="21"/>
          <w:szCs w:val="21"/>
        </w:rPr>
        <w:t xml:space="preserve">2.1.3 响应性评审标准：见评标办法前附表。 </w:t>
      </w:r>
    </w:p>
    <w:p>
      <w:pPr>
        <w:rPr>
          <w:rFonts w:ascii="宋体" w:hAnsi="宋体" w:cs="宋体"/>
          <w:caps/>
          <w:szCs w:val="21"/>
        </w:rPr>
      </w:pPr>
    </w:p>
    <w:p>
      <w:pPr>
        <w:ind w:left="106"/>
        <w:rPr>
          <w:rFonts w:ascii="宋体" w:hAnsi="宋体" w:cs="宋体"/>
          <w:caps/>
          <w:szCs w:val="21"/>
        </w:rPr>
      </w:pPr>
      <w:bookmarkStart w:id="140" w:name="2.2_分值构成与评分标准"/>
      <w:bookmarkEnd w:id="140"/>
      <w:r>
        <w:rPr>
          <w:rFonts w:hint="eastAsia" w:ascii="宋体" w:hAnsi="宋体" w:cs="宋体"/>
          <w:caps/>
          <w:szCs w:val="21"/>
        </w:rPr>
        <w:t xml:space="preserve">2.2 分值构成与评分标准 </w:t>
      </w:r>
    </w:p>
    <w:p>
      <w:pPr>
        <w:pStyle w:val="2"/>
        <w:spacing w:before="62"/>
        <w:ind w:left="632"/>
        <w:rPr>
          <w:rFonts w:ascii="宋体" w:hAnsi="宋体" w:cs="宋体"/>
          <w:caps/>
          <w:kern w:val="2"/>
          <w:sz w:val="21"/>
          <w:szCs w:val="21"/>
        </w:rPr>
      </w:pPr>
      <w:r>
        <w:rPr>
          <w:rFonts w:hint="eastAsia" w:ascii="宋体" w:hAnsi="宋体" w:cs="宋体"/>
          <w:caps/>
          <w:kern w:val="2"/>
          <w:sz w:val="21"/>
          <w:szCs w:val="21"/>
        </w:rPr>
        <w:t xml:space="preserve">2.2.1 分值构成 </w:t>
      </w:r>
    </w:p>
    <w:p>
      <w:pPr>
        <w:pStyle w:val="2"/>
        <w:spacing w:before="130"/>
        <w:ind w:left="526"/>
        <w:rPr>
          <w:rFonts w:ascii="宋体" w:hAnsi="宋体" w:cs="宋体"/>
          <w:caps/>
          <w:kern w:val="2"/>
          <w:sz w:val="21"/>
          <w:szCs w:val="21"/>
        </w:rPr>
      </w:pPr>
      <w:r>
        <w:rPr>
          <w:rFonts w:hint="eastAsia" w:ascii="宋体" w:hAnsi="宋体" w:cs="宋体"/>
          <w:caps/>
          <w:kern w:val="2"/>
          <w:sz w:val="21"/>
          <w:szCs w:val="21"/>
        </w:rPr>
        <w:t xml:space="preserve">（1）技术部分：见评标办法前附表； </w:t>
      </w:r>
    </w:p>
    <w:p>
      <w:pPr>
        <w:pStyle w:val="2"/>
        <w:spacing w:before="145"/>
        <w:ind w:left="526"/>
        <w:rPr>
          <w:rFonts w:ascii="宋体" w:hAnsi="宋体" w:cs="宋体"/>
          <w:caps/>
          <w:kern w:val="2"/>
          <w:sz w:val="21"/>
          <w:szCs w:val="21"/>
        </w:rPr>
      </w:pPr>
      <w:r>
        <w:rPr>
          <w:rFonts w:hint="eastAsia" w:ascii="宋体" w:hAnsi="宋体" w:cs="宋体"/>
          <w:caps/>
          <w:kern w:val="2"/>
          <w:sz w:val="21"/>
          <w:szCs w:val="21"/>
        </w:rPr>
        <w:t xml:space="preserve">（2）商务部分：见评标办法前附表； </w:t>
      </w:r>
    </w:p>
    <w:p>
      <w:pPr>
        <w:pStyle w:val="2"/>
        <w:spacing w:before="29" w:line="367" w:lineRule="auto"/>
        <w:ind w:firstLine="526"/>
        <w:rPr>
          <w:rFonts w:ascii="宋体" w:hAnsi="宋体" w:cs="宋体"/>
          <w:caps/>
          <w:kern w:val="2"/>
          <w:sz w:val="21"/>
          <w:szCs w:val="21"/>
        </w:rPr>
      </w:pPr>
      <w:r>
        <w:rPr>
          <w:rFonts w:hint="eastAsia" w:ascii="宋体" w:hAnsi="宋体" w:cs="宋体"/>
          <w:caps/>
          <w:kern w:val="2"/>
          <w:sz w:val="21"/>
          <w:szCs w:val="21"/>
        </w:rPr>
        <w:t>（3）投标总报价：见评标办法前附表。</w:t>
      </w:r>
    </w:p>
    <w:p>
      <w:pPr>
        <w:pStyle w:val="2"/>
        <w:spacing w:before="145" w:line="355" w:lineRule="auto"/>
        <w:ind w:left="632" w:right="5004" w:hanging="106"/>
        <w:rPr>
          <w:rFonts w:ascii="宋体" w:hAnsi="宋体" w:cs="宋体"/>
          <w:caps/>
          <w:kern w:val="2"/>
          <w:sz w:val="21"/>
          <w:szCs w:val="21"/>
        </w:rPr>
      </w:pPr>
      <w:r>
        <w:rPr>
          <w:rFonts w:hint="eastAsia" w:ascii="宋体" w:hAnsi="宋体" w:cs="宋体"/>
          <w:caps/>
          <w:kern w:val="2"/>
          <w:sz w:val="21"/>
          <w:szCs w:val="21"/>
        </w:rPr>
        <w:t xml:space="preserve"> 2.2.2 评审标准 </w:t>
      </w:r>
    </w:p>
    <w:p>
      <w:pPr>
        <w:pStyle w:val="2"/>
        <w:spacing w:before="29" w:line="367" w:lineRule="auto"/>
        <w:ind w:firstLine="526"/>
        <w:rPr>
          <w:rFonts w:ascii="宋体" w:hAnsi="宋体" w:cs="宋体"/>
          <w:caps/>
          <w:kern w:val="2"/>
          <w:sz w:val="21"/>
          <w:szCs w:val="21"/>
        </w:rPr>
      </w:pPr>
      <w:r>
        <w:rPr>
          <w:rFonts w:hint="eastAsia" w:ascii="宋体" w:hAnsi="宋体" w:cs="宋体"/>
          <w:caps/>
          <w:kern w:val="2"/>
          <w:sz w:val="21"/>
          <w:szCs w:val="21"/>
        </w:rPr>
        <w:t xml:space="preserve">（1）技术部分评分标准：见评标办法前附表； </w:t>
      </w:r>
    </w:p>
    <w:p>
      <w:pPr>
        <w:pStyle w:val="2"/>
        <w:spacing w:before="19"/>
        <w:ind w:left="647"/>
        <w:rPr>
          <w:rFonts w:ascii="宋体" w:hAnsi="宋体" w:cs="宋体"/>
          <w:caps/>
          <w:kern w:val="2"/>
          <w:sz w:val="21"/>
          <w:szCs w:val="21"/>
        </w:rPr>
      </w:pPr>
      <w:r>
        <w:rPr>
          <w:rFonts w:hint="eastAsia" w:ascii="宋体" w:hAnsi="宋体" w:cs="宋体"/>
          <w:caps/>
          <w:kern w:val="2"/>
          <w:sz w:val="21"/>
          <w:szCs w:val="21"/>
        </w:rPr>
        <w:t xml:space="preserve">（2） 商务部分评分标准：见评标办法前附表； </w:t>
      </w:r>
    </w:p>
    <w:p>
      <w:pPr>
        <w:pStyle w:val="2"/>
        <w:spacing w:before="130" w:line="360" w:lineRule="auto"/>
        <w:ind w:left="647" w:right="2891"/>
        <w:rPr>
          <w:rFonts w:ascii="宋体" w:hAnsi="宋体" w:cs="宋体"/>
          <w:caps/>
          <w:kern w:val="2"/>
          <w:sz w:val="21"/>
          <w:szCs w:val="21"/>
        </w:rPr>
      </w:pPr>
      <w:r>
        <w:rPr>
          <w:rFonts w:hint="eastAsia" w:ascii="宋体" w:hAnsi="宋体" w:cs="宋体"/>
          <w:caps/>
          <w:kern w:val="2"/>
          <w:sz w:val="21"/>
          <w:szCs w:val="21"/>
        </w:rPr>
        <w:t xml:space="preserve">（3） 报价评审标准：见评标办法前附表； </w:t>
      </w:r>
    </w:p>
    <w:p>
      <w:pPr>
        <w:pStyle w:val="2"/>
        <w:spacing w:before="119" w:line="352" w:lineRule="auto"/>
        <w:ind w:firstLine="420"/>
        <w:rPr>
          <w:rFonts w:ascii="宋体" w:hAnsi="宋体" w:cs="宋体"/>
          <w:caps/>
          <w:kern w:val="2"/>
          <w:sz w:val="21"/>
          <w:szCs w:val="21"/>
        </w:rPr>
      </w:pPr>
      <w:r>
        <w:rPr>
          <w:rFonts w:hint="eastAsia" w:ascii="宋体" w:hAnsi="宋体" w:cs="宋体"/>
          <w:caps/>
          <w:kern w:val="2"/>
          <w:sz w:val="21"/>
          <w:szCs w:val="21"/>
        </w:rPr>
        <w:t xml:space="preserve">2.2.3 评标基准价计算 评标基准价的计算方法：见评标办法前附表。 </w:t>
      </w:r>
    </w:p>
    <w:p>
      <w:pPr>
        <w:pStyle w:val="2"/>
        <w:spacing w:before="119" w:line="352" w:lineRule="auto"/>
        <w:ind w:firstLine="420"/>
        <w:rPr>
          <w:rFonts w:ascii="宋体" w:hAnsi="宋体" w:cs="宋体"/>
          <w:caps/>
          <w:kern w:val="2"/>
          <w:sz w:val="21"/>
          <w:szCs w:val="21"/>
        </w:rPr>
      </w:pPr>
      <w:r>
        <w:rPr>
          <w:rFonts w:hint="eastAsia" w:ascii="宋体" w:hAnsi="宋体" w:cs="宋体"/>
          <w:caps/>
          <w:kern w:val="2"/>
          <w:sz w:val="21"/>
          <w:szCs w:val="21"/>
        </w:rPr>
        <w:t xml:space="preserve">2.2.4 投标报价的偏差率计算 投标报价的偏差率计算公式：见评标办法前附表。 </w:t>
      </w:r>
    </w:p>
    <w:p>
      <w:pPr>
        <w:pStyle w:val="5"/>
        <w:tabs>
          <w:tab w:val="left" w:pos="1440"/>
        </w:tabs>
        <w:spacing w:before="54"/>
        <w:rPr>
          <w:rFonts w:ascii="宋体" w:hAnsi="宋体" w:cs="宋体"/>
          <w:caps/>
          <w:kern w:val="2"/>
          <w:sz w:val="21"/>
          <w:szCs w:val="21"/>
        </w:rPr>
      </w:pPr>
      <w:bookmarkStart w:id="141" w:name="3._评标程序"/>
      <w:bookmarkEnd w:id="141"/>
      <w:r>
        <w:rPr>
          <w:rFonts w:hint="eastAsia" w:ascii="宋体" w:hAnsi="宋体" w:cs="宋体"/>
          <w:caps/>
          <w:kern w:val="2"/>
          <w:sz w:val="21"/>
          <w:szCs w:val="21"/>
        </w:rPr>
        <w:t xml:space="preserve">3. 评标程序 </w:t>
      </w:r>
    </w:p>
    <w:p>
      <w:pPr>
        <w:spacing w:before="157"/>
        <w:ind w:left="106"/>
        <w:rPr>
          <w:rFonts w:ascii="宋体" w:hAnsi="宋体" w:cs="宋体"/>
          <w:caps/>
          <w:szCs w:val="21"/>
        </w:rPr>
      </w:pPr>
      <w:bookmarkStart w:id="142" w:name="3.1_初步评审"/>
      <w:bookmarkEnd w:id="142"/>
      <w:r>
        <w:rPr>
          <w:rFonts w:hint="eastAsia" w:ascii="宋体" w:hAnsi="宋体" w:cs="宋体"/>
          <w:caps/>
          <w:szCs w:val="21"/>
        </w:rPr>
        <w:t xml:space="preserve">3.1 初步评审 </w:t>
      </w:r>
    </w:p>
    <w:p>
      <w:pPr>
        <w:pStyle w:val="2"/>
        <w:spacing w:before="61" w:line="355" w:lineRule="auto"/>
        <w:ind w:firstLine="420"/>
        <w:rPr>
          <w:rFonts w:ascii="宋体" w:hAnsi="宋体" w:cs="宋体"/>
          <w:caps/>
          <w:kern w:val="2"/>
          <w:sz w:val="21"/>
          <w:szCs w:val="21"/>
        </w:rPr>
      </w:pPr>
      <w:r>
        <w:rPr>
          <w:rFonts w:hint="eastAsia" w:ascii="宋体" w:hAnsi="宋体" w:cs="宋体"/>
          <w:caps/>
          <w:kern w:val="2"/>
          <w:sz w:val="21"/>
          <w:szCs w:val="21"/>
        </w:rPr>
        <w:t>3.1.1 评标委员会依据本章第2.1.1款、2.1.2款及2.1.3款规定的标准对投标文件进行初步评审。有一项不符合评审标准的，作否决投标处理。</w:t>
      </w:r>
    </w:p>
    <w:p>
      <w:pPr>
        <w:pStyle w:val="2"/>
        <w:spacing w:before="32"/>
        <w:ind w:left="526"/>
        <w:rPr>
          <w:rFonts w:ascii="宋体" w:hAnsi="宋体" w:cs="宋体"/>
          <w:caps/>
          <w:kern w:val="2"/>
          <w:sz w:val="21"/>
          <w:szCs w:val="21"/>
        </w:rPr>
      </w:pPr>
      <w:r>
        <w:rPr>
          <w:rFonts w:hint="eastAsia" w:ascii="宋体" w:hAnsi="宋体" w:cs="宋体"/>
          <w:caps/>
          <w:kern w:val="2"/>
          <w:sz w:val="21"/>
          <w:szCs w:val="21"/>
        </w:rPr>
        <w:t xml:space="preserve">3.1.2 报价人有以下情形之一的，其投标作否决投标处理： </w:t>
      </w:r>
    </w:p>
    <w:p>
      <w:pPr>
        <w:pStyle w:val="2"/>
        <w:spacing w:before="130"/>
        <w:ind w:left="526"/>
        <w:rPr>
          <w:rFonts w:ascii="宋体" w:hAnsi="宋体" w:cs="宋体"/>
          <w:caps/>
          <w:kern w:val="2"/>
          <w:sz w:val="21"/>
          <w:szCs w:val="21"/>
        </w:rPr>
      </w:pPr>
      <w:r>
        <w:rPr>
          <w:rFonts w:hint="eastAsia" w:ascii="宋体" w:hAnsi="宋体" w:cs="宋体"/>
          <w:caps/>
          <w:kern w:val="2"/>
          <w:sz w:val="21"/>
          <w:szCs w:val="21"/>
        </w:rPr>
        <w:t>（</w:t>
      </w:r>
      <w:r>
        <w:rPr>
          <w:rFonts w:ascii="宋体" w:hAnsi="宋体" w:cs="宋体"/>
          <w:caps/>
          <w:kern w:val="2"/>
          <w:sz w:val="21"/>
          <w:szCs w:val="21"/>
        </w:rPr>
        <w:t>1</w:t>
      </w:r>
      <w:r>
        <w:rPr>
          <w:rFonts w:hint="eastAsia" w:ascii="宋体" w:hAnsi="宋体" w:cs="宋体"/>
          <w:caps/>
          <w:kern w:val="2"/>
          <w:sz w:val="21"/>
          <w:szCs w:val="21"/>
        </w:rPr>
        <w:t xml:space="preserve">）本次投标有串通投标、弄虚作假等其他违反招投标相关法律、法规行为的； </w:t>
      </w:r>
    </w:p>
    <w:p>
      <w:pPr>
        <w:pStyle w:val="2"/>
        <w:spacing w:before="130"/>
        <w:ind w:left="526"/>
        <w:rPr>
          <w:rFonts w:ascii="宋体" w:hAnsi="宋体" w:cs="宋体"/>
          <w:caps/>
          <w:kern w:val="2"/>
          <w:sz w:val="21"/>
          <w:szCs w:val="21"/>
        </w:rPr>
      </w:pPr>
      <w:r>
        <w:rPr>
          <w:rFonts w:hint="eastAsia" w:ascii="宋体" w:hAnsi="宋体" w:cs="宋体"/>
          <w:caps/>
          <w:kern w:val="2"/>
          <w:sz w:val="21"/>
          <w:szCs w:val="21"/>
        </w:rPr>
        <w:t>（</w:t>
      </w:r>
      <w:r>
        <w:rPr>
          <w:rFonts w:ascii="宋体" w:hAnsi="宋体" w:cs="宋体"/>
          <w:caps/>
          <w:kern w:val="2"/>
          <w:sz w:val="21"/>
          <w:szCs w:val="21"/>
        </w:rPr>
        <w:t>2</w:t>
      </w:r>
      <w:r>
        <w:rPr>
          <w:rFonts w:hint="eastAsia" w:ascii="宋体" w:hAnsi="宋体" w:cs="宋体"/>
          <w:caps/>
          <w:kern w:val="2"/>
          <w:sz w:val="21"/>
          <w:szCs w:val="21"/>
        </w:rPr>
        <w:t xml:space="preserve">）拒绝按评标委员会要求澄清、说明或补正的。 </w:t>
      </w:r>
    </w:p>
    <w:p>
      <w:pPr>
        <w:pStyle w:val="2"/>
        <w:spacing w:before="6" w:line="352" w:lineRule="auto"/>
        <w:ind w:firstLine="630" w:firstLineChars="300"/>
        <w:rPr>
          <w:rFonts w:ascii="宋体" w:hAnsi="宋体" w:cs="宋体"/>
          <w:caps/>
          <w:kern w:val="2"/>
          <w:sz w:val="21"/>
          <w:szCs w:val="21"/>
        </w:rPr>
      </w:pPr>
      <w:r>
        <w:rPr>
          <w:rFonts w:hint="eastAsia" w:ascii="宋体" w:hAnsi="宋体" w:cs="宋体"/>
          <w:caps/>
          <w:kern w:val="2"/>
          <w:sz w:val="21"/>
          <w:szCs w:val="21"/>
        </w:rPr>
        <w:t xml:space="preserve">3.1.3 投标报价有算术错误的，评标委员会按以下原则对投标报价进行修正，修正的价格经报价人 书面确认后具有约束力，修正原则如下： </w:t>
      </w:r>
    </w:p>
    <w:p>
      <w:pPr>
        <w:pStyle w:val="2"/>
        <w:spacing w:before="32"/>
        <w:ind w:firstLine="420" w:firstLineChars="200"/>
        <w:rPr>
          <w:rFonts w:ascii="宋体" w:hAnsi="宋体" w:cs="宋体"/>
          <w:caps/>
          <w:kern w:val="2"/>
          <w:sz w:val="21"/>
          <w:szCs w:val="21"/>
        </w:rPr>
      </w:pPr>
      <w:r>
        <w:rPr>
          <w:rFonts w:hint="eastAsia" w:ascii="宋体" w:hAnsi="宋体" w:cs="宋体"/>
          <w:caps/>
          <w:kern w:val="2"/>
          <w:sz w:val="21"/>
          <w:szCs w:val="21"/>
        </w:rPr>
        <w:t xml:space="preserve">（1）投标文件中的大写金额与小写金额不一致的，以大写金额为准； </w:t>
      </w:r>
    </w:p>
    <w:p>
      <w:pPr>
        <w:pStyle w:val="2"/>
        <w:spacing w:before="145"/>
        <w:ind w:firstLine="420"/>
        <w:rPr>
          <w:rFonts w:ascii="宋体" w:hAnsi="宋体" w:cs="宋体"/>
          <w:caps/>
          <w:kern w:val="2"/>
          <w:sz w:val="21"/>
          <w:szCs w:val="21"/>
        </w:rPr>
      </w:pPr>
      <w:r>
        <w:rPr>
          <w:rFonts w:hint="eastAsia" w:ascii="宋体" w:hAnsi="宋体" w:cs="宋体"/>
          <w:caps/>
          <w:kern w:val="2"/>
          <w:sz w:val="21"/>
          <w:szCs w:val="21"/>
        </w:rPr>
        <w:t xml:space="preserve">（2）竞争性比选响应声明书的总报价与已标价工程量清单汇总报价不一致的，由评标委员会作否决投标处理。 </w:t>
      </w:r>
    </w:p>
    <w:p>
      <w:pPr>
        <w:spacing w:before="169"/>
        <w:ind w:left="106"/>
        <w:rPr>
          <w:rFonts w:ascii="宋体" w:hAnsi="宋体" w:cs="宋体"/>
          <w:caps/>
          <w:szCs w:val="21"/>
        </w:rPr>
      </w:pPr>
      <w:bookmarkStart w:id="143" w:name="3.2_详细评审"/>
      <w:bookmarkEnd w:id="143"/>
      <w:r>
        <w:rPr>
          <w:rFonts w:hint="eastAsia" w:ascii="宋体" w:hAnsi="宋体" w:cs="宋体"/>
          <w:caps/>
          <w:szCs w:val="21"/>
        </w:rPr>
        <w:t xml:space="preserve">3.2 详细评审 </w:t>
      </w:r>
    </w:p>
    <w:p>
      <w:pPr>
        <w:pStyle w:val="2"/>
        <w:spacing w:before="61"/>
        <w:ind w:left="526"/>
        <w:rPr>
          <w:rFonts w:ascii="宋体" w:hAnsi="宋体" w:cs="宋体"/>
          <w:caps/>
          <w:kern w:val="2"/>
          <w:sz w:val="21"/>
          <w:szCs w:val="21"/>
        </w:rPr>
      </w:pPr>
      <w:r>
        <w:rPr>
          <w:rFonts w:hint="eastAsia" w:ascii="宋体" w:hAnsi="宋体" w:cs="宋体"/>
          <w:caps/>
          <w:kern w:val="2"/>
          <w:sz w:val="21"/>
          <w:szCs w:val="21"/>
        </w:rPr>
        <w:t>3.2.1 评标委员会按本章评标办法前附表第3.1款、3.2款及3.3款规定的量化因素和分值进行打分，并计算出综合评估得分。</w:t>
      </w:r>
    </w:p>
    <w:p>
      <w:pPr>
        <w:pStyle w:val="2"/>
        <w:spacing w:before="130"/>
        <w:ind w:left="526"/>
        <w:rPr>
          <w:rFonts w:ascii="宋体" w:hAnsi="宋体" w:cs="宋体"/>
          <w:caps/>
          <w:kern w:val="2"/>
          <w:sz w:val="21"/>
          <w:szCs w:val="21"/>
        </w:rPr>
      </w:pPr>
      <w:r>
        <w:rPr>
          <w:rFonts w:hint="eastAsia" w:ascii="宋体" w:hAnsi="宋体" w:cs="宋体"/>
          <w:caps/>
          <w:kern w:val="2"/>
          <w:sz w:val="21"/>
          <w:szCs w:val="21"/>
        </w:rPr>
        <w:t>（1）按本章评标办法前附表第3.1目规定的评审因素和分值对投标总报价计算出得分A。</w:t>
      </w:r>
    </w:p>
    <w:p>
      <w:pPr>
        <w:pStyle w:val="2"/>
        <w:spacing w:before="19"/>
        <w:ind w:left="526"/>
        <w:rPr>
          <w:rFonts w:ascii="宋体" w:hAnsi="宋体" w:cs="宋体"/>
          <w:caps/>
          <w:kern w:val="2"/>
          <w:sz w:val="21"/>
          <w:szCs w:val="21"/>
        </w:rPr>
      </w:pPr>
      <w:r>
        <w:rPr>
          <w:rFonts w:hint="eastAsia" w:ascii="宋体" w:hAnsi="宋体" w:cs="宋体"/>
          <w:caps/>
          <w:kern w:val="2"/>
          <w:sz w:val="21"/>
          <w:szCs w:val="21"/>
        </w:rPr>
        <w:t xml:space="preserve">（2）按本章评标办法前附表第3.2目规定的评审因素和分值对商务部分计算出得分B。 </w:t>
      </w:r>
    </w:p>
    <w:p>
      <w:pPr>
        <w:pStyle w:val="2"/>
        <w:spacing w:before="130" w:line="367" w:lineRule="auto"/>
        <w:ind w:firstLine="420"/>
      </w:pPr>
      <w:r>
        <w:rPr>
          <w:rFonts w:hint="eastAsia" w:ascii="宋体" w:hAnsi="宋体" w:cs="宋体"/>
          <w:caps/>
          <w:kern w:val="2"/>
          <w:sz w:val="21"/>
          <w:szCs w:val="21"/>
        </w:rPr>
        <w:t xml:space="preserve">（3）按本章评标办法前附表第3.3目规定的评审因素和分值对技术部分计算出得分C（评委打分取算术平均值为该报价人技术部分得分。） </w:t>
      </w:r>
    </w:p>
    <w:p>
      <w:pPr>
        <w:pStyle w:val="2"/>
        <w:spacing w:before="130"/>
        <w:ind w:left="526"/>
        <w:rPr>
          <w:rFonts w:ascii="宋体" w:hAnsi="宋体" w:cs="宋体"/>
          <w:caps/>
          <w:kern w:val="2"/>
          <w:sz w:val="21"/>
          <w:szCs w:val="21"/>
        </w:rPr>
      </w:pPr>
      <w:r>
        <w:rPr>
          <w:rFonts w:hint="eastAsia" w:ascii="宋体" w:hAnsi="宋体" w:cs="宋体"/>
          <w:caps/>
          <w:kern w:val="2"/>
          <w:sz w:val="21"/>
          <w:szCs w:val="21"/>
        </w:rPr>
        <w:t xml:space="preserve">3.2.2 各类评分分值的最终计算结果保留小数点后两位，小数点后第三位“四舍五入”。 </w:t>
      </w:r>
    </w:p>
    <w:p>
      <w:pPr>
        <w:pStyle w:val="2"/>
        <w:spacing w:before="130"/>
        <w:ind w:left="526"/>
        <w:rPr>
          <w:rFonts w:ascii="宋体" w:hAnsi="宋体" w:cs="宋体"/>
          <w:caps/>
          <w:kern w:val="2"/>
          <w:sz w:val="21"/>
          <w:szCs w:val="21"/>
        </w:rPr>
      </w:pPr>
      <w:r>
        <w:rPr>
          <w:rFonts w:hint="eastAsia" w:ascii="宋体" w:hAnsi="宋体" w:cs="宋体"/>
          <w:caps/>
          <w:kern w:val="2"/>
          <w:sz w:val="21"/>
          <w:szCs w:val="21"/>
        </w:rPr>
        <w:t xml:space="preserve">3.2.3  报价人得分=A+B+C。 </w:t>
      </w:r>
    </w:p>
    <w:p>
      <w:pPr>
        <w:spacing w:before="1"/>
        <w:rPr>
          <w:rFonts w:ascii="宋体" w:hAnsi="宋体" w:cs="宋体"/>
          <w:caps/>
          <w:szCs w:val="21"/>
        </w:rPr>
      </w:pPr>
    </w:p>
    <w:p>
      <w:pPr>
        <w:ind w:left="106"/>
        <w:rPr>
          <w:rFonts w:ascii="宋体" w:hAnsi="宋体" w:cs="宋体"/>
          <w:caps/>
          <w:szCs w:val="21"/>
        </w:rPr>
      </w:pPr>
      <w:bookmarkStart w:id="144" w:name="3.3_投标文件的澄清和补正"/>
      <w:bookmarkEnd w:id="144"/>
      <w:r>
        <w:rPr>
          <w:rFonts w:hint="eastAsia" w:ascii="宋体" w:hAnsi="宋体" w:cs="宋体"/>
          <w:caps/>
          <w:szCs w:val="21"/>
        </w:rPr>
        <w:t xml:space="preserve">3.3 投标文件的澄清和补正 </w:t>
      </w:r>
    </w:p>
    <w:p>
      <w:pPr>
        <w:pStyle w:val="2"/>
        <w:spacing w:before="61" w:line="355" w:lineRule="auto"/>
        <w:ind w:firstLine="420"/>
        <w:rPr>
          <w:rFonts w:ascii="宋体" w:hAnsi="宋体" w:cs="宋体"/>
          <w:caps/>
          <w:kern w:val="2"/>
          <w:sz w:val="21"/>
          <w:szCs w:val="21"/>
        </w:rPr>
      </w:pPr>
      <w:r>
        <w:rPr>
          <w:rFonts w:hint="eastAsia" w:ascii="宋体" w:hAnsi="宋体" w:cs="宋体"/>
          <w:caps/>
          <w:kern w:val="2"/>
          <w:sz w:val="21"/>
          <w:szCs w:val="21"/>
        </w:rPr>
        <w:t xml:space="preserve">3.3.1 在评标过程中，评标委员会可以书面形式要求报价人对所提交投标文件中不明确的内容进行 书面澄清或说明，或者对细微偏差进行补正。评标委员会不接受报价人主动提出的澄清、说明或补正。 </w:t>
      </w:r>
    </w:p>
    <w:p>
      <w:pPr>
        <w:pStyle w:val="2"/>
        <w:spacing w:before="29" w:line="367" w:lineRule="auto"/>
        <w:ind w:firstLine="420"/>
        <w:rPr>
          <w:rFonts w:ascii="宋体" w:hAnsi="宋体" w:cs="宋体"/>
          <w:caps/>
          <w:kern w:val="2"/>
          <w:sz w:val="21"/>
          <w:szCs w:val="21"/>
        </w:rPr>
      </w:pPr>
      <w:r>
        <w:rPr>
          <w:rFonts w:hint="eastAsia" w:ascii="宋体" w:hAnsi="宋体" w:cs="宋体"/>
          <w:caps/>
          <w:kern w:val="2"/>
          <w:sz w:val="21"/>
          <w:szCs w:val="21"/>
        </w:rPr>
        <w:t xml:space="preserve">3.3.2 澄清、说明和补正不得改变投标文件的实质性内容（算术性错误修正的除外）。报价人的书 面澄清、说明和补正属于投标文件的组成部分。 </w:t>
      </w:r>
    </w:p>
    <w:p>
      <w:pPr>
        <w:pStyle w:val="2"/>
        <w:spacing w:before="19" w:line="355" w:lineRule="auto"/>
        <w:ind w:firstLine="420"/>
        <w:rPr>
          <w:rFonts w:ascii="宋体" w:hAnsi="宋体" w:cs="宋体"/>
          <w:caps/>
          <w:kern w:val="2"/>
          <w:sz w:val="21"/>
          <w:szCs w:val="21"/>
        </w:rPr>
      </w:pPr>
      <w:r>
        <w:rPr>
          <w:rFonts w:hint="eastAsia" w:ascii="宋体" w:hAnsi="宋体" w:cs="宋体"/>
          <w:caps/>
          <w:kern w:val="2"/>
          <w:sz w:val="21"/>
          <w:szCs w:val="21"/>
        </w:rPr>
        <w:t xml:space="preserve">3.3.3 评标委员会对报价人提交的澄清、说明或补正有疑问的，可以要求报价人进一步澄清、说明或补正，直至满足评标委员会的要求。 </w:t>
      </w:r>
    </w:p>
    <w:p>
      <w:pPr>
        <w:spacing w:before="68"/>
        <w:ind w:left="106"/>
        <w:rPr>
          <w:rFonts w:ascii="宋体" w:hAnsi="宋体" w:cs="宋体"/>
          <w:caps/>
          <w:szCs w:val="21"/>
        </w:rPr>
      </w:pPr>
      <w:bookmarkStart w:id="145" w:name="3.4_评标结果"/>
      <w:bookmarkEnd w:id="145"/>
      <w:r>
        <w:rPr>
          <w:rFonts w:hint="eastAsia" w:ascii="宋体" w:hAnsi="宋体" w:cs="宋体"/>
          <w:caps/>
          <w:szCs w:val="21"/>
        </w:rPr>
        <w:t xml:space="preserve">3.4 评标结果 </w:t>
      </w:r>
    </w:p>
    <w:p>
      <w:pPr>
        <w:pStyle w:val="2"/>
        <w:spacing w:before="76" w:line="355" w:lineRule="auto"/>
        <w:ind w:firstLine="420"/>
        <w:rPr>
          <w:rFonts w:ascii="宋体" w:hAnsi="宋体" w:cs="宋体"/>
          <w:caps/>
          <w:kern w:val="2"/>
          <w:sz w:val="21"/>
          <w:szCs w:val="21"/>
        </w:rPr>
      </w:pPr>
      <w:r>
        <w:rPr>
          <w:rFonts w:hint="eastAsia" w:ascii="宋体" w:hAnsi="宋体" w:cs="宋体"/>
          <w:caps/>
          <w:kern w:val="2"/>
          <w:sz w:val="21"/>
          <w:szCs w:val="21"/>
        </w:rPr>
        <w:t xml:space="preserve">3.4.1 除第二章“报价人须知”前附表授权直接确定中标人外，评标委员会按照得分由高到低的顺 序推荐中标候选人。 </w:t>
      </w:r>
    </w:p>
    <w:p>
      <w:pPr>
        <w:pStyle w:val="2"/>
        <w:spacing w:before="76" w:line="355" w:lineRule="auto"/>
        <w:ind w:firstLine="420"/>
        <w:rPr>
          <w:rFonts w:ascii="宋体" w:hAnsi="宋体" w:cs="宋体"/>
          <w:b/>
          <w:bCs/>
          <w:kern w:val="44"/>
          <w:sz w:val="44"/>
          <w:szCs w:val="44"/>
        </w:rPr>
      </w:pPr>
      <w:r>
        <w:rPr>
          <w:rFonts w:hint="eastAsia" w:ascii="宋体" w:hAnsi="宋体" w:cs="宋体"/>
          <w:sz w:val="21"/>
          <w:szCs w:val="21"/>
        </w:rPr>
        <w:t xml:space="preserve">3.4.2 评标委员会完成评标后，应当向招标人提交书面评标报告。 </w:t>
      </w:r>
      <w:r>
        <w:rPr>
          <w:rFonts w:hint="eastAsia"/>
        </w:rPr>
        <w:br w:type="page"/>
      </w:r>
    </w:p>
    <w:p>
      <w:pPr>
        <w:pStyle w:val="3"/>
        <w:spacing w:before="0" w:after="0" w:line="360" w:lineRule="auto"/>
        <w:jc w:val="center"/>
        <w:rPr>
          <w:rFonts w:ascii="宋体" w:hAnsi="宋体" w:cs="宋体"/>
        </w:rPr>
      </w:pPr>
      <w:r>
        <w:rPr>
          <w:rFonts w:hint="eastAsia" w:ascii="宋体" w:hAnsi="宋体" w:cs="宋体"/>
        </w:rPr>
        <w:t xml:space="preserve">第四章  </w:t>
      </w:r>
      <w:r>
        <w:rPr>
          <w:rFonts w:hint="eastAsia" w:ascii="宋体" w:hAnsi="宋体" w:cs="宋体"/>
          <w:b w:val="0"/>
          <w:bCs w:val="0"/>
        </w:rPr>
        <w:t>报价说明</w:t>
      </w:r>
    </w:p>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1、工程量清单应与本工程竞争性比选文件、技术标准和要求等文件结合起来查阅与理解。</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2、本竞争性比选报价采用综合单价报价。综合单价是指完成本项目所包含的全部服务内容和询价文件明确提出的所有责任、义务和风险等各项费用，如驻地办公、生活、交通（含差旅）、通讯、劳动力、评测与管理、优化建议、保险、利润、税金（含增值税）、培训、技术服务、售后服务、正式交付前所需的人工费、材料费、机械费、措施费（含安全文明施工费）、企业管理费、利润、规费、税金（含增值税）、政策性文件规定、市场价格变化、员工人身意外险、现场条件、工期赶工费、保修等所有的直接费、间接费和风险费。</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3、报价人应结合实际和现在的市场情况、自身技术及管理水平、经营状况、设备及制定的方案的要求自行报价，该报价不低于报价人完成该项目的成本。</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4、工程量清单中所列工程量的变动，丝毫不会降低或影响合同条款的效力，也不免除报价人按规定的标准进行施工和修复缺陷的责任。</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5、报价中的单价和合价全部以人民币（元）表示。</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6、合同为总价合同，合同期间不予调价。</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7、报价人应严格按照工程量清单进行报价，不得随意修改采购人发布的工程量清单数量、公式及相关内容。</w:t>
      </w:r>
    </w:p>
    <w:p>
      <w:pPr>
        <w:rPr>
          <w:rFonts w:ascii="宋体" w:hAnsi="宋体" w:cs="宋体"/>
          <w:szCs w:val="21"/>
        </w:rPr>
      </w:pPr>
    </w:p>
    <w:p>
      <w:pPr>
        <w:pStyle w:val="28"/>
      </w:pPr>
    </w:p>
    <w:p>
      <w:pPr>
        <w:rPr>
          <w:rFonts w:ascii="宋体" w:hAnsi="宋体" w:cs="宋体"/>
          <w:szCs w:val="21"/>
        </w:rPr>
      </w:pPr>
    </w:p>
    <w:p>
      <w:pPr>
        <w:pStyle w:val="28"/>
        <w:rPr>
          <w:rFonts w:ascii="宋体" w:hAnsi="宋体" w:cs="宋体"/>
          <w:b w:val="0"/>
          <w:bCs w:val="0"/>
          <w:sz w:val="21"/>
          <w:szCs w:val="21"/>
        </w:rPr>
      </w:pPr>
    </w:p>
    <w:p>
      <w:pPr>
        <w:rPr>
          <w:rFonts w:ascii="宋体" w:hAnsi="宋体" w:cs="宋体"/>
          <w:szCs w:val="21"/>
        </w:rPr>
      </w:pPr>
    </w:p>
    <w:p>
      <w:pPr>
        <w:pStyle w:val="28"/>
        <w:rPr>
          <w:rFonts w:ascii="宋体" w:hAnsi="宋体" w:cs="宋体"/>
          <w:b w:val="0"/>
          <w:bCs w:val="0"/>
          <w:sz w:val="21"/>
          <w:szCs w:val="21"/>
        </w:rPr>
      </w:pPr>
    </w:p>
    <w:p>
      <w:pPr>
        <w:rPr>
          <w:rFonts w:ascii="宋体" w:hAnsi="宋体" w:cs="宋体"/>
          <w:szCs w:val="21"/>
        </w:rPr>
      </w:pPr>
    </w:p>
    <w:p>
      <w:pPr>
        <w:pStyle w:val="28"/>
        <w:rPr>
          <w:rFonts w:ascii="宋体" w:hAnsi="宋体" w:cs="宋体"/>
          <w:b w:val="0"/>
          <w:bCs w:val="0"/>
          <w:sz w:val="21"/>
          <w:szCs w:val="21"/>
        </w:rPr>
      </w:pPr>
    </w:p>
    <w:p>
      <w:pPr>
        <w:rPr>
          <w:rFonts w:ascii="宋体" w:hAnsi="宋体" w:cs="宋体"/>
          <w:szCs w:val="21"/>
        </w:rPr>
      </w:pPr>
    </w:p>
    <w:p>
      <w:pPr>
        <w:pStyle w:val="28"/>
        <w:rPr>
          <w:rFonts w:ascii="宋体" w:hAnsi="宋体" w:cs="宋体"/>
          <w:b w:val="0"/>
          <w:bCs w:val="0"/>
          <w:sz w:val="21"/>
          <w:szCs w:val="21"/>
        </w:rPr>
      </w:pPr>
    </w:p>
    <w:p>
      <w:pPr>
        <w:rPr>
          <w:rFonts w:ascii="宋体" w:hAnsi="宋体" w:cs="宋体"/>
          <w:szCs w:val="21"/>
        </w:rPr>
      </w:pPr>
    </w:p>
    <w:p>
      <w:pPr>
        <w:pStyle w:val="28"/>
      </w:pPr>
    </w:p>
    <w:p>
      <w:pPr>
        <w:pStyle w:val="3"/>
        <w:spacing w:before="0" w:after="0" w:line="360" w:lineRule="auto"/>
        <w:jc w:val="center"/>
        <w:rPr>
          <w:rFonts w:ascii="宋体" w:hAnsi="宋体" w:cs="宋体"/>
        </w:rPr>
      </w:pPr>
      <w:bookmarkStart w:id="146" w:name="_Toc152042554"/>
      <w:bookmarkStart w:id="147" w:name="_Toc144974834"/>
      <w:bookmarkStart w:id="148" w:name="_Toc247085855"/>
      <w:bookmarkStart w:id="149" w:name="_Toc2000409"/>
      <w:bookmarkStart w:id="150" w:name="_Toc152045772"/>
      <w:bookmarkStart w:id="151" w:name="_Toc179632789"/>
      <w:bookmarkStart w:id="152" w:name="_Toc514858705"/>
      <w:bookmarkStart w:id="153" w:name="_Toc10838"/>
      <w:bookmarkStart w:id="154" w:name="_Toc246997083"/>
      <w:bookmarkStart w:id="155" w:name="_Toc246996340"/>
      <w:bookmarkStart w:id="156" w:name="_Toc246996354"/>
      <w:bookmarkStart w:id="157" w:name="_Toc246997097"/>
      <w:bookmarkStart w:id="158" w:name="_Toc152042575"/>
      <w:bookmarkStart w:id="159" w:name="_Toc179632806"/>
      <w:bookmarkStart w:id="160" w:name="_Toc144974855"/>
      <w:bookmarkStart w:id="161" w:name="_Toc247085872"/>
      <w:bookmarkStart w:id="162" w:name="_Toc152045786"/>
      <w:r>
        <w:rPr>
          <w:rFonts w:hint="eastAsia" w:ascii="宋体" w:hAnsi="宋体" w:cs="宋体"/>
        </w:rPr>
        <w:t>第五章  工程量清单</w:t>
      </w:r>
      <w:bookmarkEnd w:id="146"/>
      <w:bookmarkEnd w:id="147"/>
      <w:bookmarkEnd w:id="148"/>
      <w:bookmarkEnd w:id="149"/>
      <w:bookmarkEnd w:id="150"/>
      <w:bookmarkEnd w:id="151"/>
      <w:bookmarkEnd w:id="152"/>
      <w:bookmarkEnd w:id="153"/>
      <w:bookmarkEnd w:id="154"/>
      <w:bookmarkEnd w:id="155"/>
    </w:p>
    <w:tbl>
      <w:tblPr>
        <w:tblStyle w:val="43"/>
        <w:tblW w:w="8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4"/>
        <w:gridCol w:w="2693"/>
        <w:gridCol w:w="1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3834" w:type="dxa"/>
            <w:vAlign w:val="center"/>
          </w:tcPr>
          <w:p>
            <w:pPr>
              <w:widowControl/>
              <w:jc w:val="center"/>
              <w:textAlignment w:val="top"/>
              <w:rPr>
                <w:rFonts w:ascii="宋体" w:hAnsi="宋体" w:cs="宋体"/>
                <w:b/>
                <w:bCs/>
                <w:szCs w:val="22"/>
              </w:rPr>
            </w:pPr>
            <w:bookmarkStart w:id="163" w:name="_Toc246996350"/>
            <w:bookmarkStart w:id="164" w:name="_Toc503951042"/>
            <w:bookmarkStart w:id="165" w:name="_Toc514858706"/>
            <w:bookmarkStart w:id="166" w:name="_Toc2000410"/>
            <w:bookmarkStart w:id="167" w:name="_Toc179632800"/>
            <w:bookmarkStart w:id="168" w:name="_Toc247085866"/>
            <w:bookmarkStart w:id="169" w:name="_Toc513633963"/>
            <w:bookmarkStart w:id="170" w:name="_Toc246997093"/>
            <w:bookmarkStart w:id="171" w:name="_Toc447827048"/>
            <w:bookmarkStart w:id="172" w:name="_Toc152045782"/>
            <w:bookmarkStart w:id="173" w:name="_Toc152042571"/>
            <w:bookmarkStart w:id="174" w:name="_Toc247096438"/>
            <w:bookmarkStart w:id="175" w:name="_Toc144974851"/>
            <w:r>
              <w:rPr>
                <w:rFonts w:hint="eastAsia" w:ascii="宋体" w:hAnsi="宋体" w:cs="宋体"/>
                <w:b/>
                <w:bCs/>
                <w:color w:val="000000"/>
                <w:kern w:val="0"/>
                <w:szCs w:val="21"/>
                <w:lang w:bidi="ar"/>
              </w:rPr>
              <w:t>项目名称</w:t>
            </w:r>
          </w:p>
        </w:tc>
        <w:tc>
          <w:tcPr>
            <w:tcW w:w="2693" w:type="dxa"/>
            <w:vAlign w:val="center"/>
          </w:tcPr>
          <w:p>
            <w:pPr>
              <w:widowControl/>
              <w:jc w:val="center"/>
              <w:textAlignment w:val="top"/>
              <w:rPr>
                <w:rFonts w:ascii="宋体" w:hAnsi="宋体" w:cs="宋体"/>
                <w:b/>
                <w:bCs/>
                <w:szCs w:val="22"/>
              </w:rPr>
            </w:pPr>
            <w:r>
              <w:rPr>
                <w:rFonts w:hint="eastAsia" w:ascii="宋体" w:hAnsi="宋体" w:cs="宋体"/>
                <w:b/>
                <w:bCs/>
                <w:color w:val="000000"/>
                <w:kern w:val="0"/>
                <w:szCs w:val="21"/>
                <w:lang w:bidi="ar"/>
              </w:rPr>
              <w:t>报价（元）</w:t>
            </w:r>
          </w:p>
        </w:tc>
        <w:tc>
          <w:tcPr>
            <w:tcW w:w="1972" w:type="dxa"/>
            <w:vAlign w:val="center"/>
          </w:tcPr>
          <w:p>
            <w:pPr>
              <w:widowControl/>
              <w:jc w:val="center"/>
              <w:textAlignment w:val="top"/>
              <w:rPr>
                <w:rFonts w:ascii="宋体" w:hAnsi="宋体" w:cs="宋体"/>
                <w:b/>
                <w:bCs/>
                <w:szCs w:val="22"/>
              </w:rPr>
            </w:pPr>
            <w:r>
              <w:rPr>
                <w:rFonts w:hint="eastAsia" w:ascii="宋体" w:hAnsi="宋体" w:cs="宋体"/>
                <w:b/>
                <w:bCs/>
                <w:color w:val="000000"/>
                <w:kern w:val="0"/>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exact"/>
          <w:jc w:val="center"/>
        </w:trPr>
        <w:tc>
          <w:tcPr>
            <w:tcW w:w="3834" w:type="dxa"/>
            <w:vAlign w:val="center"/>
          </w:tcPr>
          <w:p>
            <w:pPr>
              <w:widowControl/>
              <w:jc w:val="center"/>
              <w:textAlignment w:val="center"/>
              <w:rPr>
                <w:rFonts w:cs="宋体" w:asciiTheme="minorEastAsia" w:hAnsiTheme="minorEastAsia" w:eastAsiaTheme="minorEastAsia"/>
                <w:color w:val="000000"/>
                <w:kern w:val="0"/>
                <w:szCs w:val="21"/>
                <w:lang w:bidi="ar"/>
              </w:rPr>
            </w:pPr>
            <w:r>
              <w:rPr>
                <w:rFonts w:hint="eastAsia" w:asciiTheme="minorEastAsia" w:hAnsiTheme="minorEastAsia" w:eastAsiaTheme="minorEastAsia"/>
                <w:szCs w:val="21"/>
              </w:rPr>
              <w:t>数据采集治理管理</w:t>
            </w:r>
          </w:p>
        </w:tc>
        <w:tc>
          <w:tcPr>
            <w:tcW w:w="2693" w:type="dxa"/>
            <w:vAlign w:val="center"/>
          </w:tcPr>
          <w:p>
            <w:pPr>
              <w:jc w:val="center"/>
              <w:rPr>
                <w:rFonts w:ascii="宋体" w:hAnsi="宋体" w:cs="宋体"/>
                <w:szCs w:val="22"/>
              </w:rPr>
            </w:pPr>
          </w:p>
        </w:tc>
        <w:tc>
          <w:tcPr>
            <w:tcW w:w="1972" w:type="dxa"/>
            <w:vAlign w:val="center"/>
          </w:tcPr>
          <w:p>
            <w:pPr>
              <w:jc w:val="center"/>
              <w:rPr>
                <w:rFonts w:ascii="宋体" w:hAnsi="宋体" w:cs="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exact"/>
          <w:jc w:val="center"/>
        </w:trPr>
        <w:tc>
          <w:tcPr>
            <w:tcW w:w="3834" w:type="dxa"/>
            <w:vAlign w:val="center"/>
          </w:tcPr>
          <w:p>
            <w:pPr>
              <w:pStyle w:val="2"/>
              <w:jc w:val="center"/>
              <w:rPr>
                <w:rFonts w:cs="宋体" w:asciiTheme="minorEastAsia" w:hAnsiTheme="minorEastAsia" w:eastAsiaTheme="minorEastAsia"/>
                <w:color w:val="000000"/>
                <w:sz w:val="21"/>
                <w:szCs w:val="21"/>
                <w:lang w:bidi="ar"/>
              </w:rPr>
            </w:pPr>
            <w:bookmarkStart w:id="176" w:name="_Toc29704"/>
            <w:r>
              <w:rPr>
                <w:rFonts w:hint="eastAsia" w:asciiTheme="minorEastAsia" w:hAnsiTheme="minorEastAsia" w:eastAsiaTheme="minorEastAsia"/>
                <w:sz w:val="21"/>
                <w:szCs w:val="21"/>
              </w:rPr>
              <w:t>数据指标体系管理</w:t>
            </w:r>
          </w:p>
        </w:tc>
        <w:tc>
          <w:tcPr>
            <w:tcW w:w="2693" w:type="dxa"/>
            <w:vAlign w:val="center"/>
          </w:tcPr>
          <w:p>
            <w:pPr>
              <w:jc w:val="center"/>
              <w:rPr>
                <w:rFonts w:ascii="宋体" w:hAnsi="宋体" w:cs="宋体"/>
                <w:szCs w:val="22"/>
              </w:rPr>
            </w:pPr>
          </w:p>
        </w:tc>
        <w:tc>
          <w:tcPr>
            <w:tcW w:w="1972" w:type="dxa"/>
            <w:vAlign w:val="center"/>
          </w:tcPr>
          <w:p>
            <w:pPr>
              <w:jc w:val="center"/>
              <w:rPr>
                <w:rFonts w:ascii="宋体" w:hAnsi="宋体" w:cs="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exact"/>
          <w:jc w:val="center"/>
        </w:trPr>
        <w:tc>
          <w:tcPr>
            <w:tcW w:w="3834" w:type="dxa"/>
            <w:vAlign w:val="center"/>
          </w:tcPr>
          <w:p>
            <w:pPr>
              <w:pStyle w:val="2"/>
              <w:jc w:val="center"/>
              <w:rPr>
                <w:rFonts w:cs="宋体" w:asciiTheme="minorEastAsia" w:hAnsiTheme="minorEastAsia" w:eastAsiaTheme="minorEastAsia"/>
                <w:color w:val="000000"/>
                <w:sz w:val="21"/>
                <w:szCs w:val="21"/>
                <w:lang w:bidi="ar"/>
              </w:rPr>
            </w:pPr>
            <w:r>
              <w:rPr>
                <w:rFonts w:hint="eastAsia" w:asciiTheme="minorEastAsia" w:hAnsiTheme="minorEastAsia" w:eastAsiaTheme="minorEastAsia"/>
                <w:sz w:val="21"/>
                <w:szCs w:val="21"/>
              </w:rPr>
              <w:t>数字工作台</w:t>
            </w:r>
          </w:p>
        </w:tc>
        <w:tc>
          <w:tcPr>
            <w:tcW w:w="2693" w:type="dxa"/>
            <w:vAlign w:val="center"/>
          </w:tcPr>
          <w:p>
            <w:pPr>
              <w:jc w:val="center"/>
              <w:rPr>
                <w:rFonts w:ascii="宋体" w:hAnsi="宋体" w:cs="宋体"/>
                <w:szCs w:val="22"/>
              </w:rPr>
            </w:pPr>
          </w:p>
        </w:tc>
        <w:tc>
          <w:tcPr>
            <w:tcW w:w="1972" w:type="dxa"/>
            <w:vAlign w:val="center"/>
          </w:tcPr>
          <w:p>
            <w:pPr>
              <w:jc w:val="center"/>
              <w:rPr>
                <w:rFonts w:ascii="宋体" w:hAnsi="宋体" w:cs="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exact"/>
          <w:jc w:val="center"/>
        </w:trPr>
        <w:tc>
          <w:tcPr>
            <w:tcW w:w="3834" w:type="dxa"/>
            <w:vAlign w:val="center"/>
          </w:tcPr>
          <w:p>
            <w:pPr>
              <w:pStyle w:val="2"/>
              <w:jc w:val="center"/>
              <w:rPr>
                <w:rFonts w:cs="宋体" w:asciiTheme="minorEastAsia" w:hAnsiTheme="minorEastAsia" w:eastAsiaTheme="minorEastAsia"/>
                <w:color w:val="000000"/>
                <w:sz w:val="21"/>
                <w:szCs w:val="21"/>
                <w:lang w:bidi="ar"/>
              </w:rPr>
            </w:pPr>
            <w:r>
              <w:rPr>
                <w:rFonts w:hint="eastAsia" w:asciiTheme="minorEastAsia" w:hAnsiTheme="minorEastAsia" w:eastAsiaTheme="minorEastAsia"/>
                <w:sz w:val="21"/>
                <w:szCs w:val="21"/>
              </w:rPr>
              <w:t>AI中台</w:t>
            </w:r>
          </w:p>
        </w:tc>
        <w:tc>
          <w:tcPr>
            <w:tcW w:w="2693" w:type="dxa"/>
            <w:vAlign w:val="center"/>
          </w:tcPr>
          <w:p>
            <w:pPr>
              <w:jc w:val="center"/>
              <w:rPr>
                <w:rFonts w:ascii="宋体" w:hAnsi="宋体" w:cs="宋体"/>
                <w:szCs w:val="22"/>
              </w:rPr>
            </w:pPr>
          </w:p>
        </w:tc>
        <w:tc>
          <w:tcPr>
            <w:tcW w:w="1972" w:type="dxa"/>
            <w:vAlign w:val="center"/>
          </w:tcPr>
          <w:p>
            <w:pPr>
              <w:jc w:val="center"/>
              <w:rPr>
                <w:rFonts w:ascii="宋体" w:hAnsi="宋体" w:cs="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exact"/>
          <w:jc w:val="center"/>
        </w:trPr>
        <w:tc>
          <w:tcPr>
            <w:tcW w:w="3834" w:type="dxa"/>
            <w:vAlign w:val="center"/>
          </w:tcPr>
          <w:p>
            <w:pPr>
              <w:pStyle w:val="2"/>
              <w:jc w:val="center"/>
              <w:rPr>
                <w:rFonts w:cs="宋体" w:asciiTheme="minorEastAsia" w:hAnsiTheme="minorEastAsia" w:eastAsiaTheme="minorEastAsia"/>
                <w:color w:val="000000"/>
                <w:sz w:val="21"/>
                <w:szCs w:val="21"/>
                <w:lang w:bidi="ar"/>
              </w:rPr>
            </w:pPr>
            <w:r>
              <w:rPr>
                <w:rFonts w:hint="eastAsia" w:asciiTheme="minorEastAsia" w:hAnsiTheme="minorEastAsia" w:eastAsiaTheme="minorEastAsia"/>
                <w:sz w:val="21"/>
                <w:szCs w:val="21"/>
              </w:rPr>
              <w:t>数据服务中心</w:t>
            </w:r>
          </w:p>
        </w:tc>
        <w:tc>
          <w:tcPr>
            <w:tcW w:w="2693" w:type="dxa"/>
            <w:vAlign w:val="center"/>
          </w:tcPr>
          <w:p>
            <w:pPr>
              <w:jc w:val="center"/>
              <w:rPr>
                <w:rFonts w:ascii="宋体" w:hAnsi="宋体" w:cs="宋体"/>
                <w:szCs w:val="22"/>
              </w:rPr>
            </w:pPr>
          </w:p>
        </w:tc>
        <w:tc>
          <w:tcPr>
            <w:tcW w:w="1972" w:type="dxa"/>
            <w:vAlign w:val="center"/>
          </w:tcPr>
          <w:p>
            <w:pPr>
              <w:jc w:val="center"/>
              <w:rPr>
                <w:rFonts w:ascii="宋体" w:hAnsi="宋体" w:cs="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exact"/>
          <w:jc w:val="center"/>
        </w:trPr>
        <w:tc>
          <w:tcPr>
            <w:tcW w:w="3834" w:type="dxa"/>
            <w:vAlign w:val="center"/>
          </w:tcPr>
          <w:p>
            <w:pPr>
              <w:pStyle w:val="2"/>
              <w:jc w:val="center"/>
              <w:rPr>
                <w:rFonts w:cs="宋体" w:asciiTheme="minorEastAsia" w:hAnsiTheme="minorEastAsia" w:eastAsiaTheme="minorEastAsia"/>
                <w:color w:val="000000"/>
                <w:sz w:val="21"/>
                <w:szCs w:val="21"/>
                <w:lang w:bidi="ar"/>
              </w:rPr>
            </w:pPr>
            <w:r>
              <w:rPr>
                <w:rFonts w:hint="eastAsia" w:asciiTheme="minorEastAsia" w:hAnsiTheme="minorEastAsia" w:eastAsiaTheme="minorEastAsia"/>
                <w:sz w:val="21"/>
                <w:szCs w:val="21"/>
              </w:rPr>
              <w:t>数据运行监测</w:t>
            </w:r>
          </w:p>
        </w:tc>
        <w:tc>
          <w:tcPr>
            <w:tcW w:w="2693" w:type="dxa"/>
            <w:vAlign w:val="center"/>
          </w:tcPr>
          <w:p>
            <w:pPr>
              <w:jc w:val="center"/>
              <w:rPr>
                <w:rFonts w:ascii="宋体" w:hAnsi="宋体" w:cs="宋体"/>
                <w:szCs w:val="22"/>
              </w:rPr>
            </w:pPr>
          </w:p>
        </w:tc>
        <w:tc>
          <w:tcPr>
            <w:tcW w:w="1972" w:type="dxa"/>
            <w:vAlign w:val="center"/>
          </w:tcPr>
          <w:p>
            <w:pPr>
              <w:jc w:val="center"/>
              <w:rPr>
                <w:rFonts w:ascii="宋体" w:hAnsi="宋体" w:cs="宋体"/>
                <w:szCs w:val="22"/>
              </w:rPr>
            </w:pPr>
          </w:p>
        </w:tc>
      </w:tr>
      <w:bookmarkEnd w:id="17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3834" w:type="dxa"/>
            <w:vAlign w:val="center"/>
          </w:tcPr>
          <w:p>
            <w:pPr>
              <w:widowControl/>
              <w:jc w:val="center"/>
              <w:textAlignment w:val="top"/>
              <w:rPr>
                <w:rFonts w:ascii="宋体" w:hAnsi="宋体" w:cs="宋体"/>
                <w:b/>
                <w:bCs/>
                <w:szCs w:val="22"/>
              </w:rPr>
            </w:pPr>
            <w:r>
              <w:rPr>
                <w:rFonts w:hint="eastAsia" w:ascii="宋体" w:hAnsi="宋体" w:cs="宋体"/>
                <w:b/>
                <w:bCs/>
                <w:color w:val="000000"/>
                <w:kern w:val="0"/>
                <w:szCs w:val="21"/>
                <w:lang w:bidi="ar"/>
              </w:rPr>
              <w:t>报价合计</w:t>
            </w:r>
          </w:p>
        </w:tc>
        <w:tc>
          <w:tcPr>
            <w:tcW w:w="2693" w:type="dxa"/>
            <w:vAlign w:val="center"/>
          </w:tcPr>
          <w:p>
            <w:pPr>
              <w:jc w:val="center"/>
              <w:rPr>
                <w:rFonts w:ascii="宋体" w:hAnsi="宋体" w:cs="宋体"/>
                <w:b/>
                <w:bCs/>
                <w:szCs w:val="22"/>
              </w:rPr>
            </w:pPr>
          </w:p>
        </w:tc>
        <w:tc>
          <w:tcPr>
            <w:tcW w:w="1972" w:type="dxa"/>
            <w:vAlign w:val="center"/>
          </w:tcPr>
          <w:p>
            <w:pPr>
              <w:jc w:val="center"/>
              <w:rPr>
                <w:rFonts w:ascii="宋体" w:hAnsi="宋体" w:cs="宋体"/>
                <w:b/>
                <w:bCs/>
                <w:szCs w:val="22"/>
              </w:rPr>
            </w:pPr>
          </w:p>
        </w:tc>
      </w:tr>
    </w:tbl>
    <w:p>
      <w:pPr>
        <w:pStyle w:val="2"/>
        <w:rPr>
          <w:rFonts w:ascii="宋体" w:hAnsi="宋体" w:cs="宋体"/>
          <w:b/>
          <w:color w:val="000000" w:themeColor="text1"/>
          <w:sz w:val="24"/>
          <w14:textFill>
            <w14:solidFill>
              <w14:schemeClr w14:val="tx1"/>
            </w14:solidFill>
          </w14:textFill>
        </w:rPr>
      </w:pPr>
    </w:p>
    <w:p>
      <w:pPr>
        <w:rPr>
          <w:rFonts w:ascii="宋体" w:hAnsi="宋体" w:cs="宋体"/>
          <w:b/>
          <w:color w:val="000000" w:themeColor="text1"/>
          <w:kern w:val="0"/>
          <w:sz w:val="24"/>
          <w14:textFill>
            <w14:solidFill>
              <w14:schemeClr w14:val="tx1"/>
            </w14:solidFill>
          </w14:textFill>
        </w:rPr>
      </w:pPr>
    </w:p>
    <w:p>
      <w:pPr>
        <w:pStyle w:val="2"/>
        <w:rPr>
          <w:rFonts w:ascii="宋体" w:hAnsi="宋体" w:cs="宋体"/>
          <w:b/>
          <w:color w:val="000000" w:themeColor="text1"/>
          <w:sz w:val="24"/>
          <w14:textFill>
            <w14:solidFill>
              <w14:schemeClr w14:val="tx1"/>
            </w14:solidFill>
          </w14:textFill>
        </w:rPr>
      </w:pPr>
    </w:p>
    <w:p>
      <w:pPr>
        <w:rPr>
          <w:rFonts w:ascii="宋体" w:hAnsi="宋体" w:cs="宋体"/>
          <w:b/>
          <w:color w:val="000000" w:themeColor="text1"/>
          <w:kern w:val="0"/>
          <w:sz w:val="24"/>
          <w14:textFill>
            <w14:solidFill>
              <w14:schemeClr w14:val="tx1"/>
            </w14:solidFill>
          </w14:textFill>
        </w:rPr>
      </w:pPr>
    </w:p>
    <w:p>
      <w:pPr>
        <w:pStyle w:val="2"/>
        <w:rPr>
          <w:rFonts w:ascii="宋体" w:hAnsi="宋体" w:cs="宋体"/>
          <w:b/>
          <w:color w:val="000000" w:themeColor="text1"/>
          <w:sz w:val="24"/>
          <w14:textFill>
            <w14:solidFill>
              <w14:schemeClr w14:val="tx1"/>
            </w14:solidFill>
          </w14:textFill>
        </w:rPr>
      </w:pPr>
    </w:p>
    <w:p>
      <w:pPr>
        <w:pStyle w:val="3"/>
        <w:spacing w:before="0" w:after="0" w:line="360" w:lineRule="auto"/>
        <w:jc w:val="center"/>
        <w:rPr>
          <w:rFonts w:ascii="宋体" w:hAnsi="宋体" w:cs="宋体"/>
        </w:rPr>
      </w:pPr>
      <w:bookmarkStart w:id="177" w:name="_Toc2064"/>
      <w:r>
        <w:rPr>
          <w:rFonts w:hint="eastAsia" w:ascii="宋体" w:hAnsi="宋体" w:cs="宋体"/>
        </w:rPr>
        <w:t>第六章  图  纸</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7"/>
    </w:p>
    <w:p>
      <w:pPr>
        <w:pStyle w:val="2"/>
        <w:jc w:val="center"/>
        <w:rPr>
          <w:rFonts w:ascii="宋体" w:hAnsi="宋体" w:cs="宋体"/>
          <w:b/>
          <w:sz w:val="24"/>
        </w:rPr>
      </w:pPr>
      <w:bookmarkStart w:id="178" w:name="_Toc246997096"/>
      <w:bookmarkStart w:id="179" w:name="_Toc503951043"/>
      <w:bookmarkStart w:id="180" w:name="_Toc152045785"/>
      <w:bookmarkStart w:id="181" w:name="_Toc179632804"/>
      <w:bookmarkStart w:id="182" w:name="_Toc514858707"/>
      <w:bookmarkStart w:id="183" w:name="_Toc246996353"/>
      <w:bookmarkStart w:id="184" w:name="_Toc513633964"/>
      <w:bookmarkStart w:id="185" w:name="_Toc447827049"/>
      <w:bookmarkStart w:id="186" w:name="_Toc152042574"/>
      <w:bookmarkStart w:id="187" w:name="_Toc15316"/>
      <w:bookmarkStart w:id="188" w:name="_Toc247085870"/>
      <w:bookmarkStart w:id="189" w:name="_Toc2000411"/>
      <w:bookmarkStart w:id="190" w:name="_Toc144974854"/>
      <w:r>
        <w:rPr>
          <w:rFonts w:hint="eastAsia" w:ascii="宋体" w:hAnsi="宋体" w:cs="宋体"/>
          <w:b/>
          <w:sz w:val="24"/>
        </w:rPr>
        <w:t>无</w:t>
      </w:r>
    </w:p>
    <w:p>
      <w:pPr>
        <w:spacing w:line="360" w:lineRule="auto"/>
        <w:jc w:val="center"/>
        <w:rPr>
          <w:rFonts w:ascii="宋体" w:hAnsi="宋体" w:cs="宋体"/>
        </w:rPr>
      </w:pPr>
    </w:p>
    <w:p>
      <w:pPr>
        <w:spacing w:line="360" w:lineRule="auto"/>
        <w:jc w:val="center"/>
        <w:rPr>
          <w:rFonts w:ascii="宋体" w:hAnsi="宋体" w:cs="宋体"/>
        </w:rPr>
      </w:pPr>
    </w:p>
    <w:p>
      <w:pPr>
        <w:spacing w:line="360" w:lineRule="auto"/>
        <w:jc w:val="center"/>
        <w:rPr>
          <w:rFonts w:ascii="宋体" w:hAnsi="宋体" w:cs="宋体"/>
        </w:rPr>
      </w:pPr>
    </w:p>
    <w:p>
      <w:pPr>
        <w:spacing w:line="360" w:lineRule="auto"/>
        <w:jc w:val="center"/>
        <w:rPr>
          <w:rFonts w:ascii="宋体" w:hAnsi="宋体" w:cs="宋体"/>
        </w:rPr>
      </w:pPr>
    </w:p>
    <w:p>
      <w:pPr>
        <w:spacing w:line="360" w:lineRule="auto"/>
        <w:jc w:val="center"/>
        <w:rPr>
          <w:rFonts w:ascii="宋体" w:hAnsi="宋体" w:cs="宋体"/>
        </w:rPr>
      </w:pPr>
    </w:p>
    <w:p>
      <w:pPr>
        <w:spacing w:line="360" w:lineRule="auto"/>
        <w:jc w:val="center"/>
        <w:rPr>
          <w:rFonts w:ascii="宋体" w:hAnsi="宋体" w:cs="宋体"/>
        </w:rPr>
      </w:pPr>
    </w:p>
    <w:p>
      <w:pPr>
        <w:spacing w:line="360" w:lineRule="auto"/>
        <w:jc w:val="center"/>
        <w:rPr>
          <w:rFonts w:ascii="宋体" w:hAnsi="宋体" w:cs="宋体"/>
        </w:rPr>
      </w:pPr>
    </w:p>
    <w:p>
      <w:pPr>
        <w:spacing w:line="360" w:lineRule="auto"/>
        <w:jc w:val="center"/>
        <w:rPr>
          <w:rFonts w:ascii="宋体" w:hAnsi="宋体" w:cs="宋体"/>
        </w:rPr>
      </w:pPr>
    </w:p>
    <w:p>
      <w:pPr>
        <w:spacing w:line="360" w:lineRule="auto"/>
        <w:jc w:val="center"/>
        <w:rPr>
          <w:rFonts w:ascii="宋体" w:hAnsi="宋体" w:cs="宋体"/>
        </w:rPr>
      </w:pPr>
    </w:p>
    <w:p>
      <w:pPr>
        <w:spacing w:line="360" w:lineRule="auto"/>
        <w:jc w:val="center"/>
        <w:rPr>
          <w:rFonts w:ascii="宋体" w:hAnsi="宋体" w:cs="宋体"/>
        </w:rPr>
      </w:pPr>
    </w:p>
    <w:p>
      <w:pPr>
        <w:spacing w:line="360" w:lineRule="auto"/>
        <w:jc w:val="center"/>
        <w:rPr>
          <w:rFonts w:ascii="宋体" w:hAnsi="宋体" w:cs="宋体"/>
        </w:rPr>
      </w:pPr>
    </w:p>
    <w:p>
      <w:pPr>
        <w:rPr>
          <w:rFonts w:ascii="宋体" w:hAnsi="宋体" w:cs="宋体"/>
        </w:rPr>
      </w:pPr>
    </w:p>
    <w:p>
      <w:pPr>
        <w:pStyle w:val="42"/>
        <w:rPr>
          <w:rFonts w:ascii="宋体" w:hAnsi="宋体" w:cs="宋体"/>
        </w:rPr>
      </w:pPr>
    </w:p>
    <w:p>
      <w:pPr>
        <w:pStyle w:val="42"/>
        <w:rPr>
          <w:rFonts w:ascii="宋体" w:hAnsi="宋体" w:cs="宋体"/>
        </w:rPr>
      </w:pPr>
    </w:p>
    <w:p>
      <w:pPr>
        <w:pStyle w:val="42"/>
        <w:rPr>
          <w:rFonts w:ascii="宋体" w:hAnsi="宋体" w:cs="宋体"/>
        </w:rPr>
      </w:pPr>
    </w:p>
    <w:p>
      <w:pPr>
        <w:pStyle w:val="42"/>
        <w:rPr>
          <w:rFonts w:ascii="宋体" w:hAnsi="宋体" w:cs="宋体"/>
        </w:rPr>
      </w:pPr>
    </w:p>
    <w:p>
      <w:pPr>
        <w:pStyle w:val="42"/>
        <w:rPr>
          <w:rFonts w:ascii="宋体" w:hAnsi="宋体" w:cs="宋体"/>
        </w:rPr>
      </w:pPr>
    </w:p>
    <w:p>
      <w:pPr>
        <w:pStyle w:val="42"/>
        <w:rPr>
          <w:rFonts w:ascii="宋体" w:hAnsi="宋体" w:cs="宋体"/>
        </w:rPr>
      </w:pPr>
    </w:p>
    <w:p>
      <w:pPr>
        <w:pStyle w:val="42"/>
        <w:rPr>
          <w:rFonts w:ascii="宋体" w:hAnsi="宋体" w:cs="宋体"/>
        </w:rPr>
      </w:pPr>
    </w:p>
    <w:p>
      <w:pPr>
        <w:rPr>
          <w:rFonts w:ascii="宋体" w:hAnsi="宋体" w:cs="宋体"/>
        </w:rPr>
      </w:pPr>
      <w:r>
        <w:rPr>
          <w:rFonts w:ascii="宋体" w:hAnsi="宋体" w:cs="宋体"/>
        </w:rPr>
        <w:br w:type="page"/>
      </w:r>
    </w:p>
    <w:p>
      <w:pPr>
        <w:pStyle w:val="3"/>
        <w:spacing w:before="0" w:after="0" w:line="360" w:lineRule="auto"/>
        <w:jc w:val="center"/>
        <w:rPr>
          <w:rFonts w:ascii="宋体" w:hAnsi="宋体" w:cs="宋体"/>
        </w:rPr>
      </w:pPr>
      <w:r>
        <w:rPr>
          <w:rFonts w:hint="eastAsia" w:ascii="宋体" w:hAnsi="宋体" w:cs="宋体"/>
        </w:rPr>
        <w:t>第七章  技术标准和工作要求</w:t>
      </w:r>
      <w:bookmarkEnd w:id="178"/>
      <w:bookmarkEnd w:id="179"/>
      <w:bookmarkEnd w:id="180"/>
      <w:bookmarkEnd w:id="181"/>
      <w:bookmarkEnd w:id="182"/>
      <w:bookmarkEnd w:id="183"/>
      <w:bookmarkEnd w:id="184"/>
      <w:bookmarkEnd w:id="185"/>
      <w:bookmarkEnd w:id="186"/>
      <w:bookmarkEnd w:id="187"/>
      <w:bookmarkEnd w:id="188"/>
      <w:bookmarkEnd w:id="189"/>
      <w:bookmarkEnd w:id="190"/>
    </w:p>
    <w:bookmarkEnd w:id="156"/>
    <w:bookmarkEnd w:id="157"/>
    <w:bookmarkEnd w:id="158"/>
    <w:bookmarkEnd w:id="159"/>
    <w:bookmarkEnd w:id="160"/>
    <w:bookmarkEnd w:id="161"/>
    <w:bookmarkEnd w:id="162"/>
    <w:p>
      <w:pPr>
        <w:spacing w:line="360" w:lineRule="auto"/>
        <w:ind w:firstLine="640" w:firstLineChars="200"/>
        <w:jc w:val="left"/>
        <w:rPr>
          <w:rFonts w:ascii="方正仿宋_GBK" w:hAnsi="方正仿宋_GBK" w:eastAsia="方正仿宋_GBK" w:cs="方正仿宋_GBK"/>
          <w:sz w:val="32"/>
          <w:szCs w:val="32"/>
        </w:rPr>
      </w:pPr>
      <w:bookmarkStart w:id="191" w:name="_Toc513633965"/>
      <w:bookmarkStart w:id="192" w:name="_Toc179632807"/>
      <w:bookmarkStart w:id="193" w:name="_Toc152042576"/>
      <w:bookmarkStart w:id="194" w:name="_Toc152045787"/>
      <w:bookmarkStart w:id="195" w:name="_Toc246996355"/>
      <w:bookmarkStart w:id="196" w:name="_Toc144974856"/>
      <w:bookmarkStart w:id="197" w:name="_Toc247085873"/>
      <w:bookmarkStart w:id="198" w:name="_Toc246997098"/>
      <w:bookmarkStart w:id="199" w:name="_Toc507320039"/>
    </w:p>
    <w:p>
      <w:pPr>
        <w:pStyle w:val="2"/>
        <w:jc w:val="left"/>
        <w:rPr>
          <w:rFonts w:ascii="宋体" w:hAnsi="宋体" w:cs="宋体"/>
          <w:color w:val="000000"/>
          <w:sz w:val="21"/>
          <w:szCs w:val="21"/>
          <w:lang w:bidi="ar"/>
        </w:rPr>
      </w:pPr>
      <w:r>
        <w:rPr>
          <w:rFonts w:hint="eastAsia" w:ascii="宋体" w:hAnsi="宋体" w:cs="宋体"/>
          <w:color w:val="000000"/>
          <w:sz w:val="21"/>
          <w:szCs w:val="21"/>
          <w:lang w:bidi="ar"/>
        </w:rPr>
        <w:t>一、项目概况</w:t>
      </w:r>
    </w:p>
    <w:p>
      <w:pPr>
        <w:pStyle w:val="2"/>
        <w:ind w:firstLine="420" w:firstLineChars="200"/>
        <w:jc w:val="left"/>
        <w:rPr>
          <w:rFonts w:ascii="宋体" w:hAnsi="宋体" w:cs="宋体"/>
          <w:color w:val="000000"/>
          <w:sz w:val="21"/>
          <w:szCs w:val="21"/>
          <w:lang w:bidi="ar"/>
        </w:rPr>
      </w:pPr>
      <w:r>
        <w:rPr>
          <w:rFonts w:hint="eastAsia" w:ascii="宋体" w:hAnsi="宋体" w:cs="宋体"/>
          <w:color w:val="000000"/>
          <w:sz w:val="21"/>
          <w:szCs w:val="21"/>
          <w:lang w:bidi="ar"/>
        </w:rPr>
        <w:t>重庆高速公路集团有限公司（以下简称集团）为市属公益类重点投融资企业，集团正紧紧围绕“十四五”发展规划，推进“135”高质量转型发展战略，“1”即致力于实现“交通建设运营综合服务商”的企业愿景；“3”即重点布局“公路、水上、建筑施工”三大板块；“5”即稳步实施“品质提升、智慧高速、转型发展、合资合作、走出去”五大战略，努力打造集投融资、建设施工、运营、服务保障、公水联运为一体的综合交通企业。</w:t>
      </w:r>
    </w:p>
    <w:p>
      <w:pPr>
        <w:pStyle w:val="2"/>
        <w:ind w:firstLine="420" w:firstLineChars="200"/>
        <w:jc w:val="left"/>
        <w:rPr>
          <w:rFonts w:ascii="宋体" w:hAnsi="宋体" w:cs="宋体"/>
          <w:color w:val="000000"/>
          <w:sz w:val="21"/>
          <w:szCs w:val="21"/>
          <w:lang w:bidi="ar"/>
        </w:rPr>
      </w:pPr>
      <w:r>
        <w:rPr>
          <w:rFonts w:hint="eastAsia" w:ascii="宋体" w:hAnsi="宋体" w:cs="宋体"/>
          <w:color w:val="000000"/>
          <w:sz w:val="21"/>
          <w:szCs w:val="21"/>
          <w:lang w:bidi="ar"/>
        </w:rPr>
        <w:t>集团经过多年持续的信息化投入和系统建设，支撑了业务发展和经营管理，同时在运行过程之中沉淀了大量的数据，集团计划更充分的对数据进行资产化管理，深挖数据价值，赋能各业务领域。本项目是从集团生产经营管理需要出发，从各信息系统采集数据，统一存储加工，经过数据治理，形成数据资产，利用数据为管理赋能。</w:t>
      </w:r>
    </w:p>
    <w:p/>
    <w:p>
      <w:pPr>
        <w:pStyle w:val="2"/>
        <w:jc w:val="left"/>
        <w:rPr>
          <w:rFonts w:ascii="宋体" w:hAnsi="宋体" w:cs="宋体"/>
          <w:color w:val="000000"/>
          <w:sz w:val="21"/>
          <w:szCs w:val="21"/>
          <w:lang w:bidi="ar"/>
        </w:rPr>
      </w:pPr>
      <w:r>
        <w:rPr>
          <w:rFonts w:hint="eastAsia" w:ascii="宋体" w:hAnsi="宋体" w:cs="宋体"/>
          <w:color w:val="000000"/>
          <w:sz w:val="21"/>
          <w:szCs w:val="21"/>
          <w:lang w:bidi="ar"/>
        </w:rPr>
        <w:t>二、工作范围与内容</w:t>
      </w:r>
    </w:p>
    <w:p>
      <w:pPr>
        <w:pStyle w:val="2"/>
        <w:ind w:firstLine="420" w:firstLineChars="200"/>
        <w:jc w:val="left"/>
        <w:rPr>
          <w:rFonts w:ascii="宋体" w:hAnsi="宋体" w:cs="宋体"/>
          <w:color w:val="000000"/>
          <w:sz w:val="21"/>
          <w:szCs w:val="21"/>
          <w:lang w:bidi="ar"/>
        </w:rPr>
      </w:pPr>
      <w:r>
        <w:rPr>
          <w:rFonts w:hint="eastAsia" w:ascii="宋体" w:hAnsi="宋体" w:cs="宋体"/>
          <w:color w:val="000000"/>
          <w:sz w:val="21"/>
          <w:szCs w:val="21"/>
          <w:lang w:bidi="ar"/>
        </w:rPr>
        <w:t>1、工作范围</w:t>
      </w:r>
    </w:p>
    <w:p>
      <w:pPr>
        <w:pStyle w:val="2"/>
        <w:ind w:firstLine="420" w:firstLineChars="200"/>
        <w:jc w:val="left"/>
        <w:rPr>
          <w:rFonts w:ascii="宋体" w:hAnsi="宋体" w:cs="宋体"/>
          <w:color w:val="000000"/>
          <w:sz w:val="21"/>
          <w:szCs w:val="21"/>
          <w:lang w:bidi="ar"/>
        </w:rPr>
      </w:pPr>
      <w:r>
        <w:rPr>
          <w:rFonts w:hint="eastAsia" w:ascii="宋体" w:hAnsi="宋体" w:cs="宋体"/>
          <w:color w:val="000000"/>
          <w:sz w:val="21"/>
          <w:szCs w:val="21"/>
          <w:lang w:bidi="ar"/>
        </w:rPr>
        <w:t></w:t>
      </w:r>
      <w:r>
        <w:rPr>
          <w:rFonts w:hint="eastAsia" w:ascii="宋体" w:hAnsi="宋体" w:cs="宋体"/>
          <w:color w:val="000000"/>
          <w:sz w:val="21"/>
          <w:szCs w:val="21"/>
          <w:lang w:bidi="ar"/>
        </w:rPr>
        <w:tab/>
      </w:r>
      <w:r>
        <w:rPr>
          <w:rFonts w:hint="eastAsia" w:ascii="宋体" w:hAnsi="宋体" w:cs="宋体"/>
          <w:color w:val="000000"/>
          <w:sz w:val="21"/>
          <w:szCs w:val="21"/>
          <w:lang w:bidi="ar"/>
        </w:rPr>
        <w:t>工作范围：重庆市高速公路集团数据资源管理平台</w:t>
      </w:r>
    </w:p>
    <w:p>
      <w:pPr>
        <w:pStyle w:val="2"/>
        <w:ind w:firstLine="420" w:firstLineChars="200"/>
        <w:jc w:val="left"/>
        <w:rPr>
          <w:rFonts w:ascii="宋体" w:hAnsi="宋体" w:cs="宋体"/>
          <w:color w:val="000000"/>
          <w:sz w:val="21"/>
          <w:szCs w:val="21"/>
          <w:lang w:bidi="ar"/>
        </w:rPr>
      </w:pPr>
      <w:r>
        <w:rPr>
          <w:rFonts w:hint="eastAsia" w:ascii="宋体" w:hAnsi="宋体" w:cs="宋体"/>
          <w:color w:val="000000"/>
          <w:sz w:val="21"/>
          <w:szCs w:val="21"/>
          <w:lang w:bidi="ar"/>
        </w:rPr>
        <w:t>2、工作内容</w:t>
      </w:r>
    </w:p>
    <w:p>
      <w:pPr>
        <w:pStyle w:val="2"/>
        <w:ind w:firstLine="420" w:firstLineChars="200"/>
        <w:jc w:val="left"/>
        <w:rPr>
          <w:rFonts w:ascii="宋体" w:hAnsi="宋体" w:cs="宋体"/>
          <w:color w:val="000000"/>
          <w:sz w:val="21"/>
          <w:szCs w:val="21"/>
          <w:lang w:bidi="ar"/>
        </w:rPr>
      </w:pPr>
      <w:r>
        <w:rPr>
          <w:rFonts w:hint="eastAsia" w:ascii="宋体" w:hAnsi="宋体" w:cs="宋体"/>
          <w:color w:val="000000"/>
          <w:sz w:val="21"/>
          <w:szCs w:val="21"/>
          <w:lang w:bidi="ar"/>
        </w:rPr>
        <w:t>提供数据采集治理管理模块、数据指标体系管理模块、数字工作台、AI中台、数据服务中心、数据运行监测模块的开发服务。</w:t>
      </w:r>
    </w:p>
    <w:p>
      <w:pPr>
        <w:pStyle w:val="2"/>
        <w:jc w:val="left"/>
        <w:rPr>
          <w:rFonts w:ascii="宋体" w:hAnsi="宋体" w:cs="宋体"/>
          <w:color w:val="000000"/>
          <w:sz w:val="21"/>
          <w:szCs w:val="21"/>
          <w:lang w:bidi="ar"/>
        </w:rPr>
      </w:pPr>
    </w:p>
    <w:p>
      <w:pPr>
        <w:pStyle w:val="2"/>
        <w:jc w:val="left"/>
        <w:rPr>
          <w:rFonts w:ascii="宋体" w:hAnsi="宋体" w:cs="宋体"/>
          <w:color w:val="000000"/>
          <w:sz w:val="21"/>
          <w:szCs w:val="21"/>
          <w:lang w:bidi="ar"/>
        </w:rPr>
      </w:pPr>
      <w:r>
        <w:rPr>
          <w:rFonts w:hint="eastAsia" w:ascii="宋体" w:hAnsi="宋体" w:cs="宋体"/>
          <w:color w:val="000000"/>
          <w:sz w:val="21"/>
          <w:szCs w:val="21"/>
          <w:lang w:bidi="ar"/>
        </w:rPr>
        <w:t>三、数据资源管理平台研发工作要求</w:t>
      </w:r>
    </w:p>
    <w:p>
      <w:pPr>
        <w:numPr>
          <w:ilvl w:val="0"/>
          <w:numId w:val="5"/>
        </w:numPr>
        <w:spacing w:line="360" w:lineRule="auto"/>
        <w:ind w:left="0" w:firstLine="200"/>
        <w:jc w:val="left"/>
        <w:rPr>
          <w:rFonts w:ascii="宋体" w:hAnsi="宋体" w:cs="宋体"/>
        </w:rPr>
      </w:pPr>
      <w:r>
        <w:rPr>
          <w:rFonts w:hint="eastAsia" w:ascii="宋体" w:hAnsi="宋体" w:cs="宋体"/>
        </w:rPr>
        <w:t>数据采集治理管理</w:t>
      </w:r>
    </w:p>
    <w:p>
      <w:pPr>
        <w:numPr>
          <w:ilvl w:val="1"/>
          <w:numId w:val="6"/>
        </w:numPr>
        <w:spacing w:line="360" w:lineRule="auto"/>
        <w:ind w:left="0" w:firstLine="200"/>
        <w:jc w:val="left"/>
        <w:rPr>
          <w:rFonts w:ascii="宋体" w:hAnsi="宋体" w:cs="宋体"/>
        </w:rPr>
      </w:pPr>
      <w:r>
        <w:rPr>
          <w:rFonts w:hint="eastAsia" w:ascii="宋体" w:hAnsi="宋体" w:cs="宋体"/>
        </w:rPr>
        <w:t>数据标准管理</w:t>
      </w:r>
    </w:p>
    <w:p>
      <w:pPr>
        <w:numPr>
          <w:ilvl w:val="0"/>
          <w:numId w:val="7"/>
        </w:numPr>
        <w:spacing w:line="360" w:lineRule="auto"/>
        <w:ind w:left="0" w:firstLine="200"/>
        <w:jc w:val="left"/>
        <w:rPr>
          <w:rFonts w:ascii="宋体" w:hAnsi="宋体" w:cs="宋体"/>
        </w:rPr>
      </w:pPr>
      <w:r>
        <w:rPr>
          <w:rFonts w:hint="eastAsia" w:ascii="宋体" w:hAnsi="宋体" w:cs="宋体"/>
        </w:rPr>
        <w:t>命名标准：命名标准包括对标准的查询、新建、批量导入、批量发布、批量废止等操作，为标准化提供依据。</w:t>
      </w:r>
    </w:p>
    <w:p>
      <w:pPr>
        <w:numPr>
          <w:ilvl w:val="0"/>
          <w:numId w:val="7"/>
        </w:numPr>
        <w:spacing w:line="360" w:lineRule="auto"/>
        <w:ind w:left="0" w:firstLine="200"/>
        <w:jc w:val="left"/>
        <w:rPr>
          <w:rFonts w:ascii="宋体" w:hAnsi="宋体" w:cs="宋体"/>
        </w:rPr>
      </w:pPr>
      <w:r>
        <w:rPr>
          <w:rFonts w:hint="eastAsia" w:ascii="宋体" w:hAnsi="宋体" w:cs="宋体"/>
        </w:rPr>
        <w:t>字段标准：字段标准页面可进行字段标准新建、查询、批量预处理、查看日志等功能。</w:t>
      </w:r>
    </w:p>
    <w:p>
      <w:pPr>
        <w:numPr>
          <w:ilvl w:val="0"/>
          <w:numId w:val="7"/>
        </w:numPr>
        <w:spacing w:line="360" w:lineRule="auto"/>
        <w:ind w:left="0" w:firstLine="200"/>
        <w:jc w:val="left"/>
        <w:rPr>
          <w:rFonts w:ascii="宋体" w:hAnsi="宋体" w:cs="宋体"/>
        </w:rPr>
      </w:pPr>
      <w:r>
        <w:rPr>
          <w:rFonts w:hint="eastAsia" w:ascii="宋体" w:hAnsi="宋体" w:cs="宋体"/>
        </w:rPr>
        <w:t>字段标准分析：字段标准分析是对已存在的字段标准进行多维度的分析，旨在让使用者全面了解字段标准的整体状态，是否符合标准，为业务发展提供决策依据。</w:t>
      </w:r>
    </w:p>
    <w:p>
      <w:pPr>
        <w:numPr>
          <w:ilvl w:val="0"/>
          <w:numId w:val="7"/>
        </w:numPr>
        <w:spacing w:line="360" w:lineRule="auto"/>
        <w:ind w:left="0" w:firstLine="200"/>
        <w:jc w:val="left"/>
        <w:rPr>
          <w:rFonts w:ascii="宋体" w:hAnsi="宋体" w:cs="宋体"/>
        </w:rPr>
      </w:pPr>
      <w:r>
        <w:rPr>
          <w:rFonts w:hint="eastAsia" w:ascii="宋体" w:hAnsi="宋体" w:cs="宋体"/>
        </w:rPr>
        <w:t>标准评估：标准评估中包括数据标准概览、平台标准质量情况、字段标准检查结果等信息，通过饼状图、表格等可视化图标进行展示。</w:t>
      </w:r>
    </w:p>
    <w:p>
      <w:pPr>
        <w:numPr>
          <w:ilvl w:val="1"/>
          <w:numId w:val="6"/>
        </w:numPr>
        <w:spacing w:line="360" w:lineRule="auto"/>
        <w:ind w:left="0" w:firstLine="200"/>
        <w:jc w:val="left"/>
        <w:rPr>
          <w:rFonts w:ascii="宋体" w:hAnsi="宋体" w:cs="宋体"/>
        </w:rPr>
      </w:pPr>
      <w:r>
        <w:rPr>
          <w:rFonts w:hint="eastAsia" w:ascii="宋体" w:hAnsi="宋体" w:cs="宋体"/>
        </w:rPr>
        <w:t>数据质量管理</w:t>
      </w:r>
    </w:p>
    <w:p>
      <w:pPr>
        <w:numPr>
          <w:ilvl w:val="0"/>
          <w:numId w:val="8"/>
        </w:numPr>
        <w:spacing w:line="360" w:lineRule="auto"/>
        <w:ind w:left="0" w:firstLine="200"/>
        <w:jc w:val="left"/>
        <w:rPr>
          <w:rFonts w:ascii="宋体" w:hAnsi="宋体" w:cs="宋体"/>
        </w:rPr>
      </w:pPr>
      <w:r>
        <w:rPr>
          <w:rFonts w:hint="eastAsia" w:ascii="宋体" w:hAnsi="宋体" w:cs="宋体"/>
        </w:rPr>
        <w:t>质量分类：质量分类包括编码的编辑、新增变量、删除变量、新建规则、删除规则等功能。</w:t>
      </w:r>
    </w:p>
    <w:p>
      <w:pPr>
        <w:numPr>
          <w:ilvl w:val="0"/>
          <w:numId w:val="8"/>
        </w:numPr>
        <w:spacing w:line="360" w:lineRule="auto"/>
        <w:ind w:left="0" w:firstLine="200"/>
        <w:jc w:val="left"/>
        <w:rPr>
          <w:rFonts w:ascii="宋体" w:hAnsi="宋体" w:cs="宋体"/>
        </w:rPr>
      </w:pPr>
      <w:r>
        <w:rPr>
          <w:rFonts w:hint="eastAsia" w:ascii="宋体" w:hAnsi="宋体" w:cs="宋体"/>
        </w:rPr>
        <w:t>质量概览：质量概述展示规则总数、稽核数、稽核异常数，通过柱状图和表格展示质量总体情况。</w:t>
      </w:r>
    </w:p>
    <w:p>
      <w:pPr>
        <w:numPr>
          <w:ilvl w:val="0"/>
          <w:numId w:val="8"/>
        </w:numPr>
        <w:spacing w:line="360" w:lineRule="auto"/>
        <w:ind w:left="0" w:firstLine="200"/>
        <w:jc w:val="left"/>
        <w:rPr>
          <w:rFonts w:ascii="宋体" w:hAnsi="宋体" w:cs="宋体"/>
        </w:rPr>
      </w:pPr>
      <w:r>
        <w:rPr>
          <w:rFonts w:hint="eastAsia" w:ascii="宋体" w:hAnsi="宋体" w:cs="宋体"/>
        </w:rPr>
        <w:t>质量监控：质量监控可以展示模型状态、检查规则数、通过数、不通过数、异常数以及明细结果。</w:t>
      </w:r>
    </w:p>
    <w:p>
      <w:pPr>
        <w:numPr>
          <w:ilvl w:val="0"/>
          <w:numId w:val="8"/>
        </w:numPr>
        <w:spacing w:line="360" w:lineRule="auto"/>
        <w:ind w:left="0" w:firstLine="200"/>
        <w:jc w:val="left"/>
        <w:rPr>
          <w:rFonts w:ascii="宋体" w:hAnsi="宋体" w:cs="宋体"/>
        </w:rPr>
      </w:pPr>
      <w:r>
        <w:rPr>
          <w:rFonts w:hint="eastAsia" w:ascii="宋体" w:hAnsi="宋体" w:cs="宋体"/>
        </w:rPr>
        <w:t>质量对象：质量对象可对程序、表，配置对应的质量检查对象，并通过查询功能查到对应的程序或表。</w:t>
      </w:r>
    </w:p>
    <w:p>
      <w:pPr>
        <w:numPr>
          <w:ilvl w:val="0"/>
          <w:numId w:val="8"/>
        </w:numPr>
        <w:spacing w:line="360" w:lineRule="auto"/>
        <w:ind w:left="0" w:firstLine="200"/>
        <w:jc w:val="left"/>
        <w:rPr>
          <w:rFonts w:ascii="宋体" w:hAnsi="宋体" w:cs="宋体"/>
        </w:rPr>
      </w:pPr>
      <w:r>
        <w:rPr>
          <w:rFonts w:hint="eastAsia" w:ascii="宋体" w:hAnsi="宋体" w:cs="宋体"/>
        </w:rPr>
        <w:t>质量规则：质量规则中可以配置变量定义、规则定义，并且可以对配置的规则进行测试。</w:t>
      </w:r>
    </w:p>
    <w:p>
      <w:pPr>
        <w:numPr>
          <w:ilvl w:val="1"/>
          <w:numId w:val="6"/>
        </w:numPr>
        <w:spacing w:line="360" w:lineRule="auto"/>
        <w:ind w:left="0" w:firstLine="200"/>
        <w:jc w:val="left"/>
        <w:rPr>
          <w:rFonts w:ascii="宋体" w:hAnsi="宋体" w:cs="宋体"/>
        </w:rPr>
      </w:pPr>
      <w:r>
        <w:rPr>
          <w:rFonts w:hint="eastAsia" w:ascii="宋体" w:hAnsi="宋体" w:cs="宋体"/>
        </w:rPr>
        <w:t>存储周期管理</w:t>
      </w:r>
    </w:p>
    <w:p>
      <w:pPr>
        <w:numPr>
          <w:ilvl w:val="0"/>
          <w:numId w:val="9"/>
        </w:numPr>
        <w:spacing w:line="360" w:lineRule="auto"/>
        <w:ind w:left="0" w:firstLine="200"/>
        <w:jc w:val="left"/>
        <w:rPr>
          <w:rFonts w:ascii="宋体" w:hAnsi="宋体" w:cs="宋体"/>
        </w:rPr>
      </w:pPr>
      <w:r>
        <w:rPr>
          <w:rFonts w:hint="eastAsia" w:ascii="宋体" w:hAnsi="宋体" w:cs="宋体"/>
        </w:rPr>
        <w:t>存储周期设置：存储情况总览包括数据源、模型数、已受控、未受控情况的总览，通过饼状图和表格方式直观展现存储情况。</w:t>
      </w:r>
    </w:p>
    <w:p>
      <w:pPr>
        <w:numPr>
          <w:ilvl w:val="0"/>
          <w:numId w:val="9"/>
        </w:numPr>
        <w:spacing w:line="360" w:lineRule="auto"/>
        <w:ind w:left="0" w:firstLine="200"/>
        <w:jc w:val="left"/>
        <w:rPr>
          <w:rFonts w:ascii="宋体" w:hAnsi="宋体" w:cs="宋体"/>
        </w:rPr>
      </w:pPr>
      <w:r>
        <w:rPr>
          <w:rFonts w:hint="eastAsia" w:ascii="宋体" w:hAnsi="宋体" w:cs="宋体"/>
        </w:rPr>
        <w:t>存储情况总览：存储周期设置，可查看所有模型的存储周期，也可根据数据库、主题、层次等条件查询指定的模型，点击导出按钮可以将结果进行导出功能。</w:t>
      </w:r>
    </w:p>
    <w:p>
      <w:pPr>
        <w:numPr>
          <w:ilvl w:val="0"/>
          <w:numId w:val="9"/>
        </w:numPr>
        <w:spacing w:line="360" w:lineRule="auto"/>
        <w:ind w:left="0" w:firstLine="200"/>
        <w:jc w:val="left"/>
        <w:rPr>
          <w:rFonts w:ascii="宋体" w:hAnsi="宋体" w:cs="宋体"/>
        </w:rPr>
      </w:pPr>
      <w:r>
        <w:rPr>
          <w:rFonts w:hint="eastAsia" w:ascii="宋体" w:hAnsi="宋体" w:cs="宋体"/>
        </w:rPr>
        <w:t>存储情况监控：存储情况监控可显示模型总数、有实例对象数、无实例对象数、存储属性异常数、生命周期策略异常数等监控结果。</w:t>
      </w:r>
    </w:p>
    <w:p>
      <w:pPr>
        <w:numPr>
          <w:ilvl w:val="1"/>
          <w:numId w:val="6"/>
        </w:numPr>
        <w:spacing w:line="360" w:lineRule="auto"/>
        <w:ind w:left="0" w:firstLine="200"/>
        <w:jc w:val="left"/>
        <w:rPr>
          <w:rFonts w:ascii="宋体" w:hAnsi="宋体" w:cs="宋体"/>
        </w:rPr>
      </w:pPr>
      <w:r>
        <w:rPr>
          <w:rFonts w:hint="eastAsia" w:ascii="宋体" w:hAnsi="宋体" w:cs="宋体"/>
        </w:rPr>
        <w:t>开发质量管理</w:t>
      </w:r>
    </w:p>
    <w:p>
      <w:pPr>
        <w:numPr>
          <w:ilvl w:val="0"/>
          <w:numId w:val="10"/>
        </w:numPr>
        <w:spacing w:line="360" w:lineRule="auto"/>
        <w:ind w:left="0" w:firstLine="200"/>
        <w:jc w:val="left"/>
        <w:rPr>
          <w:rFonts w:ascii="宋体" w:hAnsi="宋体" w:cs="宋体"/>
        </w:rPr>
      </w:pPr>
      <w:r>
        <w:rPr>
          <w:rFonts w:hint="eastAsia" w:ascii="宋体" w:hAnsi="宋体" w:cs="宋体"/>
        </w:rPr>
        <w:t>检查模板配置：配置开发质量规则模板，降低检查配置的工作量，减少检查配置的失误。</w:t>
      </w:r>
    </w:p>
    <w:p>
      <w:pPr>
        <w:numPr>
          <w:ilvl w:val="0"/>
          <w:numId w:val="10"/>
        </w:numPr>
        <w:spacing w:line="360" w:lineRule="auto"/>
        <w:ind w:left="0" w:firstLine="200"/>
        <w:jc w:val="left"/>
        <w:rPr>
          <w:rFonts w:ascii="宋体" w:hAnsi="宋体" w:cs="宋体"/>
        </w:rPr>
      </w:pPr>
      <w:r>
        <w:rPr>
          <w:rFonts w:hint="eastAsia" w:ascii="宋体" w:hAnsi="宋体" w:cs="宋体"/>
        </w:rPr>
        <w:t>检查配置：对开发质量规则进行配置，共有三项分别是：程序规范、模型规范、单元规范。</w:t>
      </w:r>
    </w:p>
    <w:p>
      <w:pPr>
        <w:numPr>
          <w:ilvl w:val="0"/>
          <w:numId w:val="10"/>
        </w:numPr>
        <w:spacing w:line="360" w:lineRule="auto"/>
        <w:ind w:left="0" w:firstLine="200"/>
        <w:jc w:val="left"/>
        <w:rPr>
          <w:rFonts w:ascii="宋体" w:hAnsi="宋体" w:cs="宋体"/>
        </w:rPr>
      </w:pPr>
      <w:r>
        <w:rPr>
          <w:rFonts w:hint="eastAsia" w:ascii="宋体" w:hAnsi="宋体" w:cs="宋体"/>
        </w:rPr>
        <w:t>检查结果：展示表稽核状态、在用规则数、通过数量、不通过数量、异常数量等信息。</w:t>
      </w:r>
    </w:p>
    <w:p>
      <w:pPr>
        <w:numPr>
          <w:ilvl w:val="0"/>
          <w:numId w:val="10"/>
        </w:numPr>
        <w:spacing w:line="360" w:lineRule="auto"/>
        <w:ind w:left="0" w:firstLine="200"/>
        <w:jc w:val="left"/>
        <w:rPr>
          <w:rFonts w:ascii="宋体" w:hAnsi="宋体" w:cs="宋体"/>
        </w:rPr>
      </w:pPr>
      <w:r>
        <w:rPr>
          <w:rFonts w:hint="eastAsia" w:ascii="宋体" w:hAnsi="宋体" w:cs="宋体"/>
        </w:rPr>
        <w:t>开发质量总览：展示程序开发质量、模型开发质量以及概览等信息。</w:t>
      </w:r>
    </w:p>
    <w:p>
      <w:pPr>
        <w:numPr>
          <w:ilvl w:val="0"/>
          <w:numId w:val="5"/>
        </w:numPr>
        <w:spacing w:line="360" w:lineRule="auto"/>
        <w:ind w:left="0" w:firstLine="200"/>
        <w:jc w:val="left"/>
        <w:rPr>
          <w:rFonts w:ascii="宋体" w:hAnsi="宋体" w:cs="宋体"/>
        </w:rPr>
      </w:pPr>
      <w:r>
        <w:rPr>
          <w:rFonts w:hint="eastAsia" w:ascii="宋体" w:hAnsi="宋体" w:cs="宋体"/>
        </w:rPr>
        <w:t>数据指标体系管理</w:t>
      </w:r>
    </w:p>
    <w:p>
      <w:pPr>
        <w:numPr>
          <w:ilvl w:val="1"/>
          <w:numId w:val="11"/>
        </w:numPr>
        <w:spacing w:line="360" w:lineRule="auto"/>
        <w:ind w:left="0" w:firstLine="200"/>
        <w:jc w:val="left"/>
        <w:rPr>
          <w:rFonts w:ascii="宋体" w:hAnsi="宋体" w:cs="宋体"/>
        </w:rPr>
      </w:pPr>
      <w:r>
        <w:rPr>
          <w:rFonts w:hint="eastAsia" w:ascii="宋体" w:hAnsi="宋体" w:cs="宋体"/>
        </w:rPr>
        <w:t>指标标准</w:t>
      </w:r>
    </w:p>
    <w:p>
      <w:pPr>
        <w:numPr>
          <w:ilvl w:val="0"/>
          <w:numId w:val="12"/>
        </w:numPr>
        <w:spacing w:line="360" w:lineRule="auto"/>
        <w:ind w:left="0" w:firstLine="200"/>
        <w:jc w:val="left"/>
        <w:rPr>
          <w:rFonts w:ascii="宋体" w:hAnsi="宋体" w:cs="宋体"/>
        </w:rPr>
      </w:pPr>
      <w:r>
        <w:rPr>
          <w:rFonts w:hint="eastAsia" w:ascii="宋体" w:hAnsi="宋体" w:cs="宋体"/>
        </w:rPr>
        <w:t>指标分类：用于对指标进行分类管理，可以根据业务需求将指标进行分组，方便用户查找和管理指标。</w:t>
      </w:r>
    </w:p>
    <w:p>
      <w:pPr>
        <w:numPr>
          <w:ilvl w:val="0"/>
          <w:numId w:val="12"/>
        </w:numPr>
        <w:spacing w:line="360" w:lineRule="auto"/>
        <w:ind w:left="0" w:firstLine="200"/>
        <w:jc w:val="left"/>
        <w:rPr>
          <w:rFonts w:ascii="宋体" w:hAnsi="宋体" w:cs="宋体"/>
        </w:rPr>
      </w:pPr>
      <w:r>
        <w:rPr>
          <w:rFonts w:hint="eastAsia" w:ascii="宋体" w:hAnsi="宋体" w:cs="宋体"/>
        </w:rPr>
        <w:t>指标规范：用于定义和规范指标的名称、度量单位、业务口径、分类等基础信息。</w:t>
      </w:r>
    </w:p>
    <w:p>
      <w:pPr>
        <w:numPr>
          <w:ilvl w:val="0"/>
          <w:numId w:val="12"/>
        </w:numPr>
        <w:spacing w:line="360" w:lineRule="auto"/>
        <w:ind w:left="0" w:firstLine="200"/>
        <w:jc w:val="left"/>
        <w:rPr>
          <w:rFonts w:ascii="宋体" w:hAnsi="宋体" w:cs="宋体"/>
        </w:rPr>
      </w:pPr>
      <w:r>
        <w:rPr>
          <w:rFonts w:hint="eastAsia" w:ascii="宋体" w:hAnsi="宋体" w:cs="宋体"/>
        </w:rPr>
        <w:t>原子维度：用于定义指标的原子维度，即指标的基本单一维度，如时间、地区、产品等。定义维度的名称和编码，并配置原子维度取数脚本。</w:t>
      </w:r>
    </w:p>
    <w:p>
      <w:pPr>
        <w:numPr>
          <w:ilvl w:val="0"/>
          <w:numId w:val="12"/>
        </w:numPr>
        <w:spacing w:line="360" w:lineRule="auto"/>
        <w:ind w:left="0" w:firstLine="200"/>
        <w:jc w:val="left"/>
        <w:rPr>
          <w:rFonts w:ascii="宋体" w:hAnsi="宋体" w:cs="宋体"/>
        </w:rPr>
      </w:pPr>
      <w:r>
        <w:rPr>
          <w:rFonts w:hint="eastAsia" w:ascii="宋体" w:hAnsi="宋体" w:cs="宋体"/>
        </w:rPr>
        <w:t>组合维度：用于定义指标的组合维度，即由多个原子维度组合而成的维度，可以根据需要进行组合维度的定义和管理，方便用户进行多维度的分析和统计。</w:t>
      </w:r>
    </w:p>
    <w:p>
      <w:pPr>
        <w:numPr>
          <w:ilvl w:val="1"/>
          <w:numId w:val="11"/>
        </w:numPr>
        <w:spacing w:line="360" w:lineRule="auto"/>
        <w:ind w:left="0" w:firstLine="200"/>
        <w:jc w:val="left"/>
        <w:rPr>
          <w:rFonts w:ascii="宋体" w:hAnsi="宋体" w:cs="宋体"/>
        </w:rPr>
      </w:pPr>
      <w:r>
        <w:rPr>
          <w:rFonts w:hint="eastAsia" w:ascii="宋体" w:hAnsi="宋体" w:cs="宋体"/>
        </w:rPr>
        <w:t>指标开发</w:t>
      </w:r>
    </w:p>
    <w:p>
      <w:pPr>
        <w:numPr>
          <w:ilvl w:val="0"/>
          <w:numId w:val="13"/>
        </w:numPr>
        <w:spacing w:line="360" w:lineRule="auto"/>
        <w:ind w:left="0" w:firstLine="200"/>
        <w:jc w:val="left"/>
        <w:rPr>
          <w:rFonts w:ascii="宋体" w:hAnsi="宋体" w:cs="宋体"/>
        </w:rPr>
      </w:pPr>
      <w:r>
        <w:rPr>
          <w:rFonts w:hint="eastAsia" w:ascii="宋体" w:hAnsi="宋体" w:cs="宋体"/>
        </w:rPr>
        <w:t>指标组：将相同事实表的相关指标和维度定义指标组（定义原子指标），对指标组名称、组合维度、数据源、取数脚本进行配置，方便用户进行相关指标的统计和分析。</w:t>
      </w:r>
    </w:p>
    <w:p>
      <w:pPr>
        <w:numPr>
          <w:ilvl w:val="0"/>
          <w:numId w:val="13"/>
        </w:numPr>
        <w:spacing w:line="360" w:lineRule="auto"/>
        <w:ind w:left="0" w:firstLine="200"/>
        <w:jc w:val="left"/>
        <w:rPr>
          <w:rFonts w:ascii="宋体" w:hAnsi="宋体" w:cs="宋体"/>
        </w:rPr>
      </w:pPr>
      <w:r>
        <w:rPr>
          <w:rFonts w:hint="eastAsia" w:ascii="宋体" w:hAnsi="宋体" w:cs="宋体"/>
        </w:rPr>
        <w:t>指标配置：用于配置衍生指标和复合指标的指标名称、指标周期、分析维度、业务口径、度量单位、计算逻辑、实现脚本等信息，确保指标的准确性和可靠性。</w:t>
      </w:r>
    </w:p>
    <w:p>
      <w:pPr>
        <w:numPr>
          <w:ilvl w:val="0"/>
          <w:numId w:val="13"/>
        </w:numPr>
        <w:spacing w:line="360" w:lineRule="auto"/>
        <w:ind w:left="0" w:firstLine="200"/>
        <w:jc w:val="left"/>
        <w:rPr>
          <w:rFonts w:ascii="宋体" w:hAnsi="宋体" w:cs="宋体"/>
        </w:rPr>
      </w:pPr>
      <w:r>
        <w:rPr>
          <w:rFonts w:hint="eastAsia" w:ascii="宋体" w:hAnsi="宋体" w:cs="宋体"/>
        </w:rPr>
        <w:t>指标目录：用于管理和查找指标，可以根据指标分类进行查找和管理，方便用户快速找到需要的指标。</w:t>
      </w:r>
    </w:p>
    <w:p>
      <w:pPr>
        <w:numPr>
          <w:ilvl w:val="0"/>
          <w:numId w:val="5"/>
        </w:numPr>
        <w:spacing w:line="360" w:lineRule="auto"/>
        <w:ind w:left="0" w:firstLine="200"/>
        <w:jc w:val="left"/>
        <w:rPr>
          <w:rFonts w:ascii="宋体" w:hAnsi="宋体" w:cs="宋体"/>
        </w:rPr>
      </w:pPr>
      <w:r>
        <w:rPr>
          <w:rFonts w:hint="eastAsia" w:ascii="宋体" w:hAnsi="宋体" w:cs="宋体"/>
        </w:rPr>
        <w:t>数字工作台</w:t>
      </w:r>
    </w:p>
    <w:p>
      <w:pPr>
        <w:numPr>
          <w:ilvl w:val="1"/>
          <w:numId w:val="14"/>
        </w:numPr>
        <w:spacing w:line="360" w:lineRule="auto"/>
        <w:ind w:left="0" w:firstLine="200"/>
        <w:jc w:val="left"/>
        <w:rPr>
          <w:rFonts w:ascii="宋体" w:hAnsi="宋体" w:cs="宋体"/>
        </w:rPr>
      </w:pPr>
      <w:r>
        <w:rPr>
          <w:rFonts w:hint="eastAsia" w:ascii="宋体" w:hAnsi="宋体" w:cs="宋体"/>
        </w:rPr>
        <w:t>数据集管理</w:t>
      </w:r>
    </w:p>
    <w:p>
      <w:pPr>
        <w:numPr>
          <w:ilvl w:val="0"/>
          <w:numId w:val="15"/>
        </w:numPr>
        <w:spacing w:line="360" w:lineRule="auto"/>
        <w:ind w:left="0" w:firstLine="200"/>
        <w:jc w:val="left"/>
        <w:rPr>
          <w:rFonts w:ascii="宋体" w:hAnsi="宋体" w:cs="宋体"/>
        </w:rPr>
      </w:pPr>
      <w:r>
        <w:rPr>
          <w:rFonts w:hint="eastAsia" w:ascii="宋体" w:hAnsi="宋体" w:cs="宋体"/>
        </w:rPr>
        <w:t>数据模型管理：数据模型查看、修改、删除。</w:t>
      </w:r>
    </w:p>
    <w:p>
      <w:pPr>
        <w:numPr>
          <w:ilvl w:val="0"/>
          <w:numId w:val="15"/>
        </w:numPr>
        <w:spacing w:line="360" w:lineRule="auto"/>
        <w:ind w:left="0" w:firstLine="200"/>
        <w:jc w:val="left"/>
        <w:rPr>
          <w:rFonts w:ascii="宋体" w:hAnsi="宋体" w:cs="宋体"/>
        </w:rPr>
      </w:pPr>
      <w:r>
        <w:rPr>
          <w:rFonts w:hint="eastAsia" w:ascii="宋体" w:hAnsi="宋体" w:cs="宋体"/>
        </w:rPr>
        <w:t>数据模型配置：基于直连数据库工作表配置数据模型。基于SQL配置数据模型。基于API配置数据模型。基于离线文件配置数据模型。</w:t>
      </w:r>
    </w:p>
    <w:p>
      <w:pPr>
        <w:numPr>
          <w:ilvl w:val="1"/>
          <w:numId w:val="14"/>
        </w:numPr>
        <w:spacing w:line="360" w:lineRule="auto"/>
        <w:ind w:left="0" w:firstLine="200"/>
        <w:jc w:val="left"/>
        <w:rPr>
          <w:rFonts w:ascii="宋体" w:hAnsi="宋体" w:cs="宋体"/>
        </w:rPr>
      </w:pPr>
      <w:r>
        <w:rPr>
          <w:rFonts w:hint="eastAsia" w:ascii="宋体" w:hAnsi="宋体" w:cs="宋体"/>
        </w:rPr>
        <w:t>仪表板制作</w:t>
      </w:r>
    </w:p>
    <w:p>
      <w:pPr>
        <w:numPr>
          <w:ilvl w:val="0"/>
          <w:numId w:val="16"/>
        </w:numPr>
        <w:spacing w:line="360" w:lineRule="auto"/>
        <w:ind w:left="0" w:firstLine="200"/>
        <w:jc w:val="left"/>
        <w:rPr>
          <w:rFonts w:ascii="宋体" w:hAnsi="宋体" w:cs="宋体"/>
        </w:rPr>
      </w:pPr>
      <w:r>
        <w:rPr>
          <w:rFonts w:hint="eastAsia" w:ascii="宋体" w:hAnsi="宋体" w:cs="宋体"/>
        </w:rPr>
        <w:t>布局管理：支持多种终端布局适配。</w:t>
      </w:r>
    </w:p>
    <w:p>
      <w:pPr>
        <w:numPr>
          <w:ilvl w:val="0"/>
          <w:numId w:val="16"/>
        </w:numPr>
        <w:spacing w:line="360" w:lineRule="auto"/>
        <w:ind w:left="0" w:firstLine="200"/>
        <w:jc w:val="left"/>
        <w:rPr>
          <w:rFonts w:ascii="宋体" w:hAnsi="宋体" w:cs="宋体"/>
        </w:rPr>
      </w:pPr>
      <w:r>
        <w:rPr>
          <w:rFonts w:hint="eastAsia" w:ascii="宋体" w:hAnsi="宋体" w:cs="宋体"/>
        </w:rPr>
        <w:t>选择数据源：选择合适的数据源制作仪表板。</w:t>
      </w:r>
    </w:p>
    <w:p>
      <w:pPr>
        <w:numPr>
          <w:ilvl w:val="0"/>
          <w:numId w:val="16"/>
        </w:numPr>
        <w:spacing w:line="360" w:lineRule="auto"/>
        <w:ind w:left="0" w:firstLine="200"/>
        <w:jc w:val="left"/>
        <w:rPr>
          <w:rFonts w:ascii="宋体" w:hAnsi="宋体" w:cs="宋体"/>
        </w:rPr>
      </w:pPr>
      <w:r>
        <w:rPr>
          <w:rFonts w:hint="eastAsia" w:ascii="宋体" w:hAnsi="宋体" w:cs="宋体"/>
        </w:rPr>
        <w:t>可视化配置：选取需要展示的字段以及要展示的组件类型。</w:t>
      </w:r>
    </w:p>
    <w:p>
      <w:pPr>
        <w:numPr>
          <w:ilvl w:val="0"/>
          <w:numId w:val="16"/>
        </w:numPr>
        <w:spacing w:line="360" w:lineRule="auto"/>
        <w:ind w:left="0" w:firstLine="200"/>
        <w:jc w:val="left"/>
        <w:rPr>
          <w:rFonts w:ascii="宋体" w:hAnsi="宋体" w:cs="宋体"/>
        </w:rPr>
      </w:pPr>
      <w:r>
        <w:rPr>
          <w:rFonts w:hint="eastAsia" w:ascii="宋体" w:hAnsi="宋体" w:cs="宋体"/>
        </w:rPr>
        <w:t>仪表板保存：保存用户设置的仪表板配置信息。</w:t>
      </w:r>
    </w:p>
    <w:p>
      <w:pPr>
        <w:numPr>
          <w:ilvl w:val="1"/>
          <w:numId w:val="14"/>
        </w:numPr>
        <w:spacing w:line="360" w:lineRule="auto"/>
        <w:ind w:left="0" w:firstLine="200"/>
        <w:jc w:val="left"/>
        <w:rPr>
          <w:rFonts w:ascii="宋体" w:hAnsi="宋体" w:cs="宋体"/>
        </w:rPr>
      </w:pPr>
      <w:r>
        <w:rPr>
          <w:rFonts w:hint="eastAsia" w:ascii="宋体" w:hAnsi="宋体" w:cs="宋体"/>
        </w:rPr>
        <w:t>模板市场</w:t>
      </w:r>
    </w:p>
    <w:p>
      <w:pPr>
        <w:numPr>
          <w:ilvl w:val="0"/>
          <w:numId w:val="17"/>
        </w:numPr>
        <w:spacing w:line="360" w:lineRule="auto"/>
        <w:ind w:left="0" w:firstLine="200"/>
        <w:jc w:val="left"/>
        <w:rPr>
          <w:rFonts w:ascii="宋体" w:hAnsi="宋体" w:cs="宋体"/>
        </w:rPr>
      </w:pPr>
      <w:r>
        <w:rPr>
          <w:rFonts w:hint="eastAsia" w:ascii="宋体" w:hAnsi="宋体" w:cs="宋体"/>
        </w:rPr>
        <w:t>分析模板搜索：支持按模板名称等条件搜索分析模板。</w:t>
      </w:r>
    </w:p>
    <w:p>
      <w:pPr>
        <w:numPr>
          <w:ilvl w:val="0"/>
          <w:numId w:val="17"/>
        </w:numPr>
        <w:spacing w:line="360" w:lineRule="auto"/>
        <w:ind w:left="0" w:firstLine="200"/>
        <w:jc w:val="left"/>
        <w:rPr>
          <w:rFonts w:ascii="宋体" w:hAnsi="宋体" w:cs="宋体"/>
        </w:rPr>
      </w:pPr>
      <w:r>
        <w:rPr>
          <w:rFonts w:hint="eastAsia" w:ascii="宋体" w:hAnsi="宋体" w:cs="宋体"/>
        </w:rPr>
        <w:t>分析模板引用：支持直接引用分析模板制作仪表板。</w:t>
      </w:r>
    </w:p>
    <w:p>
      <w:pPr>
        <w:numPr>
          <w:ilvl w:val="0"/>
          <w:numId w:val="17"/>
        </w:numPr>
        <w:spacing w:line="360" w:lineRule="auto"/>
        <w:ind w:left="0" w:firstLine="200"/>
        <w:jc w:val="left"/>
        <w:rPr>
          <w:rFonts w:ascii="宋体" w:hAnsi="宋体" w:cs="宋体"/>
        </w:rPr>
      </w:pPr>
      <w:r>
        <w:rPr>
          <w:rFonts w:hint="eastAsia" w:ascii="宋体" w:hAnsi="宋体" w:cs="宋体"/>
        </w:rPr>
        <w:t>模板删除：支持删除未使用的分析模板。</w:t>
      </w:r>
    </w:p>
    <w:p>
      <w:pPr>
        <w:numPr>
          <w:ilvl w:val="0"/>
          <w:numId w:val="5"/>
        </w:numPr>
        <w:spacing w:line="360" w:lineRule="auto"/>
        <w:ind w:left="0" w:firstLine="200"/>
        <w:jc w:val="left"/>
        <w:rPr>
          <w:rFonts w:ascii="宋体" w:hAnsi="宋体" w:cs="宋体"/>
        </w:rPr>
      </w:pPr>
      <w:r>
        <w:rPr>
          <w:rFonts w:hint="eastAsia" w:ascii="宋体" w:hAnsi="宋体" w:cs="宋体"/>
        </w:rPr>
        <w:t>AI中台</w:t>
      </w:r>
    </w:p>
    <w:p>
      <w:pPr>
        <w:numPr>
          <w:ilvl w:val="1"/>
          <w:numId w:val="18"/>
        </w:numPr>
        <w:spacing w:line="360" w:lineRule="auto"/>
        <w:ind w:left="0" w:firstLine="200"/>
        <w:jc w:val="left"/>
        <w:rPr>
          <w:rFonts w:ascii="宋体" w:hAnsi="宋体" w:cs="宋体"/>
        </w:rPr>
      </w:pPr>
      <w:r>
        <w:rPr>
          <w:rFonts w:hint="eastAsia" w:ascii="宋体" w:hAnsi="宋体" w:cs="宋体"/>
        </w:rPr>
        <w:t>研发架构规划</w:t>
      </w:r>
    </w:p>
    <w:p>
      <w:pPr>
        <w:numPr>
          <w:ilvl w:val="0"/>
          <w:numId w:val="19"/>
        </w:numPr>
        <w:spacing w:line="360" w:lineRule="auto"/>
        <w:ind w:left="0" w:firstLine="200"/>
        <w:jc w:val="left"/>
        <w:rPr>
          <w:rFonts w:ascii="宋体" w:hAnsi="宋体" w:cs="宋体"/>
        </w:rPr>
      </w:pPr>
      <w:r>
        <w:rPr>
          <w:rFonts w:hint="eastAsia" w:ascii="宋体" w:hAnsi="宋体" w:cs="宋体"/>
        </w:rPr>
        <w:t>数据架构</w:t>
      </w:r>
    </w:p>
    <w:p>
      <w:pPr>
        <w:numPr>
          <w:ilvl w:val="1"/>
          <w:numId w:val="19"/>
        </w:numPr>
        <w:spacing w:line="360" w:lineRule="auto"/>
        <w:ind w:left="0" w:firstLine="200"/>
        <w:jc w:val="left"/>
        <w:rPr>
          <w:rFonts w:ascii="宋体" w:hAnsi="宋体" w:cs="宋体"/>
        </w:rPr>
      </w:pPr>
      <w:r>
        <w:rPr>
          <w:rFonts w:hint="eastAsia" w:ascii="宋体" w:hAnsi="宋体" w:cs="宋体"/>
        </w:rPr>
        <w:t>数据架构定义：数据架构定义模块主要是实现数据架构主题、层次、系统、数据库的基本定义，可常规配置数据架构选项、设置常用架构模板。</w:t>
      </w:r>
    </w:p>
    <w:p>
      <w:pPr>
        <w:numPr>
          <w:ilvl w:val="1"/>
          <w:numId w:val="19"/>
        </w:numPr>
        <w:spacing w:line="360" w:lineRule="auto"/>
        <w:ind w:left="0" w:firstLine="200"/>
        <w:jc w:val="left"/>
        <w:rPr>
          <w:rFonts w:ascii="宋体" w:hAnsi="宋体" w:cs="宋体"/>
        </w:rPr>
      </w:pPr>
      <w:r>
        <w:rPr>
          <w:rFonts w:hint="eastAsia" w:ascii="宋体" w:hAnsi="宋体" w:cs="宋体"/>
        </w:rPr>
        <w:t>数据架构设计：可通过数据架构定义的模板，对数据架构进行个性化的新增、配置、组合。</w:t>
      </w:r>
    </w:p>
    <w:p>
      <w:pPr>
        <w:numPr>
          <w:ilvl w:val="1"/>
          <w:numId w:val="19"/>
        </w:numPr>
        <w:spacing w:line="360" w:lineRule="auto"/>
        <w:ind w:left="0" w:firstLine="200"/>
        <w:jc w:val="left"/>
        <w:rPr>
          <w:rFonts w:ascii="宋体" w:hAnsi="宋体" w:cs="宋体"/>
        </w:rPr>
      </w:pPr>
      <w:r>
        <w:rPr>
          <w:rFonts w:hint="eastAsia" w:ascii="宋体" w:hAnsi="宋体" w:cs="宋体"/>
        </w:rPr>
        <w:t>支持个性化的主题、层次、数据库清单架构展示。后期在团队中可以直接分配使用。表命名规范设计：主要是实现表级别的定义，可实现对表设计规范化。</w:t>
      </w:r>
    </w:p>
    <w:p>
      <w:pPr>
        <w:numPr>
          <w:ilvl w:val="0"/>
          <w:numId w:val="19"/>
        </w:numPr>
        <w:spacing w:line="360" w:lineRule="auto"/>
        <w:ind w:left="0" w:firstLine="200"/>
        <w:jc w:val="left"/>
        <w:rPr>
          <w:rFonts w:ascii="宋体" w:hAnsi="宋体" w:cs="宋体"/>
        </w:rPr>
      </w:pPr>
      <w:r>
        <w:rPr>
          <w:rFonts w:hint="eastAsia" w:ascii="宋体" w:hAnsi="宋体" w:cs="宋体"/>
        </w:rPr>
        <w:t>流程规划</w:t>
      </w:r>
    </w:p>
    <w:p>
      <w:pPr>
        <w:numPr>
          <w:ilvl w:val="1"/>
          <w:numId w:val="19"/>
        </w:numPr>
        <w:spacing w:line="360" w:lineRule="auto"/>
        <w:ind w:left="0" w:firstLine="200"/>
        <w:jc w:val="left"/>
        <w:rPr>
          <w:rFonts w:ascii="宋体" w:hAnsi="宋体" w:cs="宋体"/>
        </w:rPr>
      </w:pPr>
      <w:r>
        <w:rPr>
          <w:rFonts w:hint="eastAsia" w:ascii="宋体" w:hAnsi="宋体" w:cs="宋体"/>
        </w:rPr>
        <w:t>流程节点定义：是对数据流程中的每个节点进行定义，包括数据采集、数据处理、数据分析、数据可视化等。</w:t>
      </w:r>
    </w:p>
    <w:p>
      <w:pPr>
        <w:numPr>
          <w:ilvl w:val="1"/>
          <w:numId w:val="19"/>
        </w:numPr>
        <w:spacing w:line="360" w:lineRule="auto"/>
        <w:ind w:left="0" w:firstLine="200"/>
        <w:jc w:val="left"/>
        <w:rPr>
          <w:rFonts w:ascii="宋体" w:hAnsi="宋体" w:cs="宋体"/>
        </w:rPr>
      </w:pPr>
      <w:r>
        <w:rPr>
          <w:rFonts w:hint="eastAsia" w:ascii="宋体" w:hAnsi="宋体" w:cs="宋体"/>
        </w:rPr>
        <w:t>业务流程设计：是根据业务需求和数据处理需求，设计合理的数据处理和分析流程，确保数据的流转和处理能够高效地满足业务需求。</w:t>
      </w:r>
    </w:p>
    <w:p>
      <w:pPr>
        <w:numPr>
          <w:ilvl w:val="0"/>
          <w:numId w:val="19"/>
        </w:numPr>
        <w:spacing w:line="360" w:lineRule="auto"/>
        <w:ind w:left="0" w:firstLine="200"/>
        <w:jc w:val="left"/>
        <w:rPr>
          <w:rFonts w:ascii="宋体" w:hAnsi="宋体" w:cs="宋体"/>
        </w:rPr>
      </w:pPr>
      <w:r>
        <w:rPr>
          <w:rFonts w:hint="eastAsia" w:ascii="宋体" w:hAnsi="宋体" w:cs="宋体"/>
        </w:rPr>
        <w:t>数据源管理：是指对所有数据来源进行管理和维护，确保数据的准确性和完整性。</w:t>
      </w:r>
    </w:p>
    <w:p>
      <w:pPr>
        <w:numPr>
          <w:ilvl w:val="0"/>
          <w:numId w:val="19"/>
        </w:numPr>
        <w:spacing w:line="360" w:lineRule="auto"/>
        <w:ind w:left="0" w:firstLine="200"/>
        <w:jc w:val="left"/>
        <w:rPr>
          <w:rFonts w:ascii="宋体" w:hAnsi="宋体" w:cs="宋体"/>
        </w:rPr>
      </w:pPr>
      <w:r>
        <w:rPr>
          <w:rFonts w:hint="eastAsia" w:ascii="宋体" w:hAnsi="宋体" w:cs="宋体"/>
        </w:rPr>
        <w:t>物理租户管理：指针对不同用户或团队的数据需求，进行物理租户的划分和管理，确保数据的隔离性和安全性。</w:t>
      </w:r>
    </w:p>
    <w:p>
      <w:pPr>
        <w:numPr>
          <w:ilvl w:val="0"/>
          <w:numId w:val="19"/>
        </w:numPr>
        <w:spacing w:line="360" w:lineRule="auto"/>
        <w:ind w:left="0" w:firstLine="200"/>
        <w:jc w:val="left"/>
        <w:rPr>
          <w:rFonts w:ascii="宋体" w:hAnsi="宋体" w:cs="宋体"/>
        </w:rPr>
      </w:pPr>
      <w:r>
        <w:rPr>
          <w:rFonts w:hint="eastAsia" w:ascii="宋体" w:hAnsi="宋体" w:cs="宋体"/>
        </w:rPr>
        <w:t>团队管理：规划团队中的团队信息、工具管理、资源管理、调度管理、流程管理、开发管理、架构管理、编排管理、功能管理，区分不同团队间的作用和能力。</w:t>
      </w:r>
    </w:p>
    <w:p>
      <w:pPr>
        <w:numPr>
          <w:ilvl w:val="0"/>
          <w:numId w:val="19"/>
        </w:numPr>
        <w:spacing w:line="360" w:lineRule="auto"/>
        <w:ind w:left="0" w:firstLine="200"/>
        <w:jc w:val="left"/>
        <w:rPr>
          <w:rFonts w:ascii="宋体" w:hAnsi="宋体" w:cs="宋体"/>
        </w:rPr>
      </w:pPr>
      <w:r>
        <w:rPr>
          <w:rFonts w:hint="eastAsia" w:ascii="宋体" w:hAnsi="宋体" w:cs="宋体"/>
        </w:rPr>
        <w:t>团队角色管理：通过建立不同角色，对团队内的权限进行划分。</w:t>
      </w:r>
    </w:p>
    <w:p>
      <w:pPr>
        <w:numPr>
          <w:ilvl w:val="1"/>
          <w:numId w:val="18"/>
        </w:numPr>
        <w:spacing w:line="360" w:lineRule="auto"/>
        <w:ind w:left="0" w:firstLine="200"/>
        <w:jc w:val="left"/>
        <w:rPr>
          <w:rFonts w:ascii="宋体" w:hAnsi="宋体" w:cs="宋体"/>
        </w:rPr>
      </w:pPr>
      <w:r>
        <w:rPr>
          <w:rFonts w:hint="eastAsia" w:ascii="宋体" w:hAnsi="宋体" w:cs="宋体"/>
        </w:rPr>
        <w:t>数据开发</w:t>
      </w:r>
    </w:p>
    <w:p>
      <w:pPr>
        <w:numPr>
          <w:ilvl w:val="0"/>
          <w:numId w:val="20"/>
        </w:numPr>
        <w:spacing w:line="360" w:lineRule="auto"/>
        <w:ind w:left="0" w:firstLine="200"/>
        <w:jc w:val="left"/>
        <w:rPr>
          <w:rFonts w:ascii="宋体" w:hAnsi="宋体" w:cs="宋体"/>
        </w:rPr>
      </w:pPr>
      <w:r>
        <w:rPr>
          <w:rFonts w:hint="eastAsia" w:ascii="宋体" w:hAnsi="宋体" w:cs="宋体"/>
        </w:rPr>
        <w:t>模型开发：提供了可视化的界面帮助用户直观地设计和管理数据模型，定义表名和字段信息，以及字段的数据类型、长度、精度等元数据属性。也可定义数据模型中的约束条件和规则，例如主键、非空约束等。</w:t>
      </w:r>
    </w:p>
    <w:p>
      <w:pPr>
        <w:numPr>
          <w:ilvl w:val="0"/>
          <w:numId w:val="20"/>
        </w:numPr>
        <w:spacing w:line="360" w:lineRule="auto"/>
        <w:ind w:left="0" w:firstLine="200"/>
        <w:jc w:val="left"/>
        <w:rPr>
          <w:rFonts w:ascii="宋体" w:hAnsi="宋体" w:cs="宋体"/>
        </w:rPr>
      </w:pPr>
      <w:r>
        <w:rPr>
          <w:rFonts w:hint="eastAsia" w:ascii="宋体" w:hAnsi="宋体" w:cs="宋体"/>
        </w:rPr>
        <w:t>离线开发：离线开发是一种在非实时环境下进行的数据开发方式，通常用于对大规模、复杂数据集进行处理和分析。在离线开发中，可以使用各种数据处理工具和数据分析软件，对数据进行分布式处理和大规模计算，以实现数据的预处理、分析等目标。离线开发提供脚本开发、可视化开发和低代码开发三种开发模式。</w:t>
      </w:r>
    </w:p>
    <w:p>
      <w:pPr>
        <w:numPr>
          <w:ilvl w:val="0"/>
          <w:numId w:val="20"/>
        </w:numPr>
        <w:spacing w:line="360" w:lineRule="auto"/>
        <w:ind w:left="0" w:firstLine="200"/>
        <w:jc w:val="left"/>
        <w:rPr>
          <w:rFonts w:ascii="宋体" w:hAnsi="宋体" w:cs="宋体"/>
        </w:rPr>
      </w:pPr>
      <w:r>
        <w:rPr>
          <w:rFonts w:hint="eastAsia" w:ascii="宋体" w:hAnsi="宋体" w:cs="宋体"/>
        </w:rPr>
        <w:t>实时开发：实时开发是一种实时数据处理和流处理的方式，旨在实现数据的实时分析和监控。在实时开发中，通常会使用各种流处理技术和实时数据分析工具，如flink，以实现数据的实时处理、监控和预警等目标。</w:t>
      </w:r>
    </w:p>
    <w:p>
      <w:pPr>
        <w:numPr>
          <w:ilvl w:val="0"/>
          <w:numId w:val="20"/>
        </w:numPr>
        <w:spacing w:line="360" w:lineRule="auto"/>
        <w:ind w:left="0" w:firstLine="200"/>
        <w:jc w:val="left"/>
        <w:rPr>
          <w:rFonts w:ascii="宋体" w:hAnsi="宋体" w:cs="宋体"/>
        </w:rPr>
      </w:pPr>
      <w:r>
        <w:rPr>
          <w:rFonts w:hint="eastAsia" w:ascii="宋体" w:hAnsi="宋体" w:cs="宋体"/>
        </w:rPr>
        <w:t>数据查询：数据查询功能支持链接数据库、在页面执行 SQL 语句、查看历史执行记录。</w:t>
      </w:r>
    </w:p>
    <w:p>
      <w:pPr>
        <w:numPr>
          <w:ilvl w:val="0"/>
          <w:numId w:val="5"/>
        </w:numPr>
        <w:spacing w:line="360" w:lineRule="auto"/>
        <w:ind w:left="0" w:firstLine="200"/>
        <w:jc w:val="left"/>
        <w:rPr>
          <w:rFonts w:ascii="宋体" w:hAnsi="宋体" w:cs="宋体"/>
        </w:rPr>
      </w:pPr>
      <w:r>
        <w:rPr>
          <w:rFonts w:hint="eastAsia" w:ascii="宋体" w:hAnsi="宋体" w:cs="宋体"/>
        </w:rPr>
        <w:t>数据服务中心</w:t>
      </w:r>
    </w:p>
    <w:p>
      <w:pPr>
        <w:numPr>
          <w:ilvl w:val="1"/>
          <w:numId w:val="21"/>
        </w:numPr>
        <w:spacing w:line="360" w:lineRule="auto"/>
        <w:ind w:left="0" w:firstLine="200"/>
        <w:jc w:val="left"/>
        <w:rPr>
          <w:rFonts w:ascii="宋体" w:hAnsi="宋体" w:cs="宋体"/>
        </w:rPr>
      </w:pPr>
      <w:r>
        <w:rPr>
          <w:rFonts w:hint="eastAsia" w:ascii="宋体" w:hAnsi="宋体" w:cs="宋体"/>
        </w:rPr>
        <w:t>API管理</w:t>
      </w:r>
    </w:p>
    <w:p>
      <w:pPr>
        <w:numPr>
          <w:ilvl w:val="0"/>
          <w:numId w:val="22"/>
        </w:numPr>
        <w:spacing w:line="360" w:lineRule="auto"/>
        <w:ind w:left="0" w:firstLine="200"/>
        <w:jc w:val="left"/>
        <w:rPr>
          <w:rFonts w:ascii="宋体" w:hAnsi="宋体" w:cs="宋体"/>
        </w:rPr>
      </w:pPr>
      <w:r>
        <w:rPr>
          <w:rFonts w:hint="eastAsia" w:ascii="宋体" w:hAnsi="宋体" w:cs="宋体"/>
        </w:rPr>
        <w:t>API创建：API 创建是指开发人员根据系统的需求和规范，创建符合要求的 API 接口。</w:t>
      </w:r>
    </w:p>
    <w:p>
      <w:pPr>
        <w:numPr>
          <w:ilvl w:val="0"/>
          <w:numId w:val="22"/>
        </w:numPr>
        <w:spacing w:line="360" w:lineRule="auto"/>
        <w:ind w:left="0" w:firstLine="200"/>
        <w:jc w:val="left"/>
        <w:rPr>
          <w:rFonts w:ascii="宋体" w:hAnsi="宋体" w:cs="宋体"/>
        </w:rPr>
      </w:pPr>
      <w:r>
        <w:rPr>
          <w:rFonts w:hint="eastAsia" w:ascii="宋体" w:hAnsi="宋体" w:cs="宋体"/>
        </w:rPr>
        <w:t>API审批：API 审批功能，指对已完成发布的 API 需要经过审核执行进行发布。</w:t>
      </w:r>
    </w:p>
    <w:p>
      <w:pPr>
        <w:numPr>
          <w:ilvl w:val="0"/>
          <w:numId w:val="22"/>
        </w:numPr>
        <w:spacing w:line="360" w:lineRule="auto"/>
        <w:ind w:left="0" w:firstLine="200"/>
        <w:jc w:val="left"/>
        <w:rPr>
          <w:rFonts w:ascii="宋体" w:hAnsi="宋体" w:cs="宋体"/>
        </w:rPr>
      </w:pPr>
      <w:r>
        <w:rPr>
          <w:rFonts w:hint="eastAsia" w:ascii="宋体" w:hAnsi="宋体" w:cs="宋体"/>
        </w:rPr>
        <w:t>缓存管理：API 的缓存管理，是为了保障 API 的高可用、稳定性及安全性的重要保障组件，面向运维层面的操作按钮，在审批完成后，需要点击刷新缓存按钮来完成 API 的真正发布。</w:t>
      </w:r>
    </w:p>
    <w:p>
      <w:pPr>
        <w:numPr>
          <w:ilvl w:val="1"/>
          <w:numId w:val="21"/>
        </w:numPr>
        <w:spacing w:line="360" w:lineRule="auto"/>
        <w:ind w:left="0" w:firstLine="200"/>
        <w:jc w:val="left"/>
        <w:rPr>
          <w:rFonts w:ascii="宋体" w:hAnsi="宋体" w:cs="宋体"/>
        </w:rPr>
      </w:pPr>
      <w:r>
        <w:rPr>
          <w:rFonts w:hint="eastAsia" w:ascii="宋体" w:hAnsi="宋体" w:cs="宋体"/>
        </w:rPr>
        <w:t>应用管理</w:t>
      </w:r>
    </w:p>
    <w:p>
      <w:pPr>
        <w:spacing w:line="360" w:lineRule="auto"/>
        <w:ind w:firstLine="630" w:firstLineChars="300"/>
        <w:jc w:val="left"/>
        <w:rPr>
          <w:rFonts w:ascii="宋体" w:hAnsi="宋体" w:cs="宋体"/>
        </w:rPr>
      </w:pPr>
      <w:r>
        <w:rPr>
          <w:rFonts w:hint="eastAsia" w:ascii="宋体" w:hAnsi="宋体" w:cs="宋体"/>
        </w:rPr>
        <w:t>API 的应用管理，面向已申请权限的租户，在此页面可以查看 appKey、注册时间、状态等信息。</w:t>
      </w:r>
    </w:p>
    <w:p>
      <w:pPr>
        <w:numPr>
          <w:ilvl w:val="1"/>
          <w:numId w:val="21"/>
        </w:numPr>
        <w:spacing w:line="360" w:lineRule="auto"/>
        <w:ind w:left="0" w:firstLine="200"/>
        <w:jc w:val="left"/>
        <w:rPr>
          <w:rFonts w:ascii="宋体" w:hAnsi="宋体" w:cs="宋体"/>
        </w:rPr>
      </w:pPr>
      <w:r>
        <w:rPr>
          <w:rFonts w:hint="eastAsia" w:ascii="宋体" w:hAnsi="宋体" w:cs="宋体"/>
        </w:rPr>
        <w:t>API授权管理</w:t>
      </w:r>
    </w:p>
    <w:p>
      <w:pPr>
        <w:spacing w:line="360" w:lineRule="auto"/>
        <w:ind w:firstLine="420" w:firstLineChars="200"/>
        <w:jc w:val="left"/>
        <w:rPr>
          <w:rFonts w:ascii="宋体" w:hAnsi="宋体" w:cs="宋体"/>
        </w:rPr>
      </w:pPr>
      <w:r>
        <w:rPr>
          <w:rFonts w:hint="eastAsia" w:ascii="宋体" w:hAnsi="宋体" w:cs="宋体"/>
        </w:rPr>
        <w:t>API 授权管理是指对API的访问进行控制和管理的过程，以确保 API 的安全性和可靠性。</w:t>
      </w:r>
    </w:p>
    <w:p>
      <w:pPr>
        <w:numPr>
          <w:ilvl w:val="1"/>
          <w:numId w:val="21"/>
        </w:numPr>
        <w:spacing w:line="360" w:lineRule="auto"/>
        <w:ind w:left="0" w:firstLine="200"/>
        <w:jc w:val="left"/>
        <w:rPr>
          <w:rFonts w:ascii="宋体" w:hAnsi="宋体" w:cs="宋体"/>
        </w:rPr>
      </w:pPr>
      <w:r>
        <w:rPr>
          <w:rFonts w:hint="eastAsia" w:ascii="宋体" w:hAnsi="宋体" w:cs="宋体"/>
        </w:rPr>
        <w:t>API目录</w:t>
      </w:r>
    </w:p>
    <w:p>
      <w:pPr>
        <w:spacing w:line="360" w:lineRule="auto"/>
        <w:ind w:firstLine="420" w:firstLineChars="200"/>
        <w:jc w:val="left"/>
        <w:rPr>
          <w:rFonts w:ascii="宋体" w:hAnsi="宋体" w:cs="宋体"/>
        </w:rPr>
      </w:pPr>
      <w:r>
        <w:rPr>
          <w:rFonts w:hint="eastAsia" w:ascii="宋体" w:hAnsi="宋体" w:cs="宋体"/>
        </w:rPr>
        <w:t>API 目录包含 API 目录管理，根据不同的类型分类管理 API。</w:t>
      </w:r>
    </w:p>
    <w:p>
      <w:pPr>
        <w:numPr>
          <w:ilvl w:val="1"/>
          <w:numId w:val="21"/>
        </w:numPr>
        <w:spacing w:line="360" w:lineRule="auto"/>
        <w:ind w:left="0" w:firstLine="200"/>
        <w:jc w:val="left"/>
        <w:rPr>
          <w:rFonts w:ascii="宋体" w:hAnsi="宋体" w:cs="宋体"/>
        </w:rPr>
      </w:pPr>
      <w:r>
        <w:rPr>
          <w:rFonts w:hint="eastAsia" w:ascii="宋体" w:hAnsi="宋体" w:cs="宋体"/>
        </w:rPr>
        <w:t>开放运营管理</w:t>
      </w:r>
    </w:p>
    <w:p>
      <w:pPr>
        <w:numPr>
          <w:ilvl w:val="0"/>
          <w:numId w:val="23"/>
        </w:numPr>
        <w:spacing w:line="360" w:lineRule="auto"/>
        <w:ind w:left="0" w:firstLine="200"/>
        <w:jc w:val="left"/>
        <w:rPr>
          <w:rFonts w:ascii="宋体" w:hAnsi="宋体" w:cs="宋体"/>
        </w:rPr>
      </w:pPr>
      <w:r>
        <w:rPr>
          <w:rFonts w:hint="eastAsia" w:ascii="宋体" w:hAnsi="宋体" w:cs="宋体"/>
        </w:rPr>
        <w:t>API访问总览：API 访问总览是 API 开放运营管理的一个重要功能，它可以帮助管理员快速了解 API的总体使用情况。</w:t>
      </w:r>
    </w:p>
    <w:p>
      <w:pPr>
        <w:numPr>
          <w:ilvl w:val="0"/>
          <w:numId w:val="23"/>
        </w:numPr>
        <w:spacing w:line="360" w:lineRule="auto"/>
        <w:ind w:left="0" w:firstLine="200"/>
        <w:jc w:val="left"/>
        <w:rPr>
          <w:rFonts w:ascii="宋体" w:hAnsi="宋体" w:cs="宋体"/>
        </w:rPr>
      </w:pPr>
      <w:r>
        <w:rPr>
          <w:rFonts w:hint="eastAsia" w:ascii="宋体" w:hAnsi="宋体" w:cs="宋体"/>
        </w:rPr>
        <w:t>访问日志明细：API 访问明细日志，是指通过调用 API 的相关信息，明细日志顾名思义就是每一次调用 API 的使用情况，包含相应时间，成功率等相关关键信息，来帮助开发和运营人员进行稳定性保障，助力相关调优流程的优化。</w:t>
      </w:r>
    </w:p>
    <w:p>
      <w:pPr>
        <w:numPr>
          <w:ilvl w:val="0"/>
          <w:numId w:val="23"/>
        </w:numPr>
        <w:spacing w:line="360" w:lineRule="auto"/>
        <w:ind w:left="0" w:firstLine="200"/>
        <w:jc w:val="left"/>
        <w:rPr>
          <w:rFonts w:ascii="宋体" w:hAnsi="宋体" w:cs="宋体"/>
        </w:rPr>
      </w:pPr>
      <w:r>
        <w:rPr>
          <w:rFonts w:hint="eastAsia" w:ascii="宋体" w:hAnsi="宋体" w:cs="宋体"/>
        </w:rPr>
        <w:t>API服务监控：API 服务监控是 API 开放运营管理的一个重要功能，它可以帮助管理员实时监测 API的运行情况，并确保 API 服务的可用性和稳定性。</w:t>
      </w:r>
    </w:p>
    <w:p>
      <w:pPr>
        <w:numPr>
          <w:ilvl w:val="0"/>
          <w:numId w:val="5"/>
        </w:numPr>
        <w:spacing w:line="360" w:lineRule="auto"/>
        <w:ind w:left="0" w:firstLine="200"/>
        <w:jc w:val="left"/>
        <w:rPr>
          <w:rFonts w:ascii="宋体" w:hAnsi="宋体" w:cs="宋体"/>
        </w:rPr>
      </w:pPr>
      <w:r>
        <w:rPr>
          <w:rFonts w:hint="eastAsia" w:ascii="宋体" w:hAnsi="宋体" w:cs="宋体"/>
        </w:rPr>
        <w:t>数据运行监测</w:t>
      </w:r>
    </w:p>
    <w:p>
      <w:pPr>
        <w:spacing w:line="360" w:lineRule="auto"/>
        <w:ind w:firstLine="420" w:firstLineChars="200"/>
        <w:jc w:val="left"/>
        <w:rPr>
          <w:rFonts w:ascii="宋体" w:hAnsi="宋体" w:cs="宋体"/>
        </w:rPr>
      </w:pPr>
      <w:r>
        <w:rPr>
          <w:rFonts w:hint="eastAsia" w:ascii="宋体" w:hAnsi="宋体" w:cs="宋体"/>
        </w:rPr>
        <w:t>数据中台为数据运行监测大屏提供监测持久化数据，涵盖数据交换（采集）、数据开发、指标开发、数据治理、数据开放环节的数据运行监测数据。</w:t>
      </w:r>
    </w:p>
    <w:p>
      <w:pPr>
        <w:spacing w:line="360" w:lineRule="auto"/>
        <w:ind w:firstLine="200"/>
        <w:jc w:val="left"/>
        <w:rPr>
          <w:rFonts w:ascii="宋体" w:hAnsi="宋体" w:cs="宋体"/>
          <w:color w:val="000000"/>
          <w:szCs w:val="21"/>
          <w:lang w:bidi="ar"/>
        </w:rPr>
      </w:pPr>
    </w:p>
    <w:p>
      <w:pPr>
        <w:pStyle w:val="2"/>
        <w:jc w:val="left"/>
        <w:rPr>
          <w:rFonts w:ascii="宋体" w:hAnsi="宋体" w:cs="宋体"/>
          <w:color w:val="000000"/>
          <w:sz w:val="21"/>
          <w:szCs w:val="21"/>
          <w:lang w:bidi="ar"/>
        </w:rPr>
      </w:pPr>
      <w:r>
        <w:rPr>
          <w:rFonts w:hint="eastAsia" w:ascii="宋体" w:hAnsi="宋体" w:cs="宋体"/>
          <w:color w:val="000000"/>
          <w:sz w:val="21"/>
          <w:szCs w:val="21"/>
          <w:lang w:bidi="ar"/>
        </w:rPr>
        <w:t>四、项目成果</w:t>
      </w:r>
    </w:p>
    <w:p>
      <w:pPr>
        <w:spacing w:line="360" w:lineRule="auto"/>
        <w:ind w:firstLine="200"/>
        <w:jc w:val="left"/>
        <w:rPr>
          <w:lang w:bidi="ar"/>
        </w:rPr>
      </w:pPr>
      <w:r>
        <w:rPr>
          <w:rFonts w:hint="eastAsia" w:ascii="宋体" w:hAnsi="宋体" w:cs="宋体"/>
          <w:color w:val="000000"/>
          <w:szCs w:val="21"/>
          <w:lang w:bidi="ar"/>
        </w:rPr>
        <w:t>完成数据采集治理管理模块、数据指标体系管理模块、数字工作台、AI中台、数据服务中心、数据运行监测模块的开发。</w:t>
      </w:r>
    </w:p>
    <w:p>
      <w:pPr>
        <w:pStyle w:val="2"/>
        <w:rPr>
          <w:lang w:bidi="ar"/>
        </w:rPr>
      </w:pPr>
    </w:p>
    <w:p>
      <w:pPr>
        <w:rPr>
          <w:lang w:bidi="ar"/>
        </w:rPr>
      </w:pPr>
    </w:p>
    <w:p>
      <w:pPr>
        <w:pStyle w:val="2"/>
        <w:rPr>
          <w:lang w:bidi="ar"/>
        </w:rPr>
      </w:pPr>
    </w:p>
    <w:p>
      <w:pPr>
        <w:rPr>
          <w:lang w:bidi="ar"/>
        </w:rPr>
      </w:pPr>
    </w:p>
    <w:p>
      <w:pPr>
        <w:pStyle w:val="2"/>
        <w:rPr>
          <w:lang w:bidi="ar"/>
        </w:rPr>
      </w:pPr>
    </w:p>
    <w:p>
      <w:pPr>
        <w:rPr>
          <w:lang w:bidi="ar"/>
        </w:rPr>
      </w:pPr>
    </w:p>
    <w:p>
      <w:pPr>
        <w:pStyle w:val="2"/>
        <w:rPr>
          <w:rFonts w:ascii="方正仿宋_GBK" w:hAnsi="方正仿宋_GBK" w:eastAsia="方正仿宋_GBK" w:cs="方正仿宋_GBK"/>
          <w:sz w:val="32"/>
          <w:szCs w:val="32"/>
        </w:rPr>
      </w:pPr>
    </w:p>
    <w:p>
      <w:pPr>
        <w:rPr>
          <w:rFonts w:ascii="方正仿宋_GBK" w:hAnsi="方正仿宋_GBK" w:eastAsia="方正仿宋_GBK" w:cs="方正仿宋_GBK"/>
          <w:sz w:val="32"/>
          <w:szCs w:val="32"/>
        </w:rPr>
      </w:pPr>
    </w:p>
    <w:p>
      <w:pPr>
        <w:pStyle w:val="2"/>
        <w:rPr>
          <w:rFonts w:ascii="方正仿宋_GBK" w:hAnsi="方正仿宋_GBK" w:eastAsia="方正仿宋_GBK" w:cs="方正仿宋_GBK"/>
          <w:sz w:val="32"/>
          <w:szCs w:val="32"/>
        </w:rPr>
      </w:pPr>
    </w:p>
    <w:p>
      <w:pPr>
        <w:rPr>
          <w:rFonts w:ascii="方正仿宋_GBK" w:hAnsi="方正仿宋_GBK" w:eastAsia="方正仿宋_GBK" w:cs="方正仿宋_GBK"/>
          <w:sz w:val="32"/>
          <w:szCs w:val="32"/>
        </w:rPr>
      </w:pPr>
    </w:p>
    <w:p>
      <w:pPr>
        <w:pStyle w:val="2"/>
        <w:rPr>
          <w:rFonts w:ascii="方正仿宋_GBK" w:hAnsi="方正仿宋_GBK" w:eastAsia="方正仿宋_GBK" w:cs="方正仿宋_GBK"/>
          <w:sz w:val="32"/>
          <w:szCs w:val="32"/>
        </w:rPr>
      </w:pPr>
    </w:p>
    <w:p/>
    <w:p>
      <w:pPr>
        <w:widowControl/>
        <w:jc w:val="left"/>
        <w:rPr>
          <w:kern w:val="0"/>
          <w:sz w:val="20"/>
        </w:rPr>
      </w:pPr>
      <w:r>
        <w:br w:type="page"/>
      </w:r>
    </w:p>
    <w:p>
      <w:pPr>
        <w:pStyle w:val="3"/>
        <w:spacing w:before="0" w:after="0" w:line="360" w:lineRule="auto"/>
        <w:jc w:val="center"/>
        <w:rPr>
          <w:rFonts w:ascii="宋体" w:hAnsi="宋体" w:cs="宋体"/>
          <w:color w:val="000000" w:themeColor="text1"/>
          <w14:textFill>
            <w14:solidFill>
              <w14:schemeClr w14:val="tx1"/>
            </w14:solidFill>
          </w14:textFill>
        </w:rPr>
      </w:pPr>
      <w:bookmarkStart w:id="200" w:name="_Toc15140"/>
      <w:r>
        <w:rPr>
          <w:rFonts w:hint="eastAsia" w:ascii="宋体" w:hAnsi="宋体" w:cs="宋体"/>
          <w:color w:val="000000" w:themeColor="text1"/>
          <w14:textFill>
            <w14:solidFill>
              <w14:schemeClr w14:val="tx1"/>
            </w14:solidFill>
          </w14:textFill>
        </w:rPr>
        <w:t>第八章  合同范本</w:t>
      </w:r>
      <w:bookmarkEnd w:id="200"/>
    </w:p>
    <w:p>
      <w:pPr>
        <w:jc w:val="center"/>
        <w:rPr>
          <w:rFonts w:ascii="宋体" w:hAnsi="宋体" w:cs="宋体"/>
          <w:b/>
          <w:kern w:val="0"/>
          <w:sz w:val="24"/>
        </w:rPr>
      </w:pPr>
      <w:r>
        <w:rPr>
          <w:rFonts w:hint="eastAsia" w:ascii="宋体" w:hAnsi="宋体" w:cs="宋体"/>
          <w:b/>
          <w:kern w:val="0"/>
          <w:sz w:val="24"/>
        </w:rPr>
        <w:t>详见竞争性比选文件附件。</w:t>
      </w:r>
    </w:p>
    <w:p>
      <w:pPr>
        <w:pStyle w:val="2"/>
      </w:pPr>
    </w:p>
    <w:p>
      <w:pPr>
        <w:spacing w:line="400" w:lineRule="exact"/>
        <w:ind w:firstLine="420" w:firstLineChars="200"/>
        <w:rPr>
          <w:rFonts w:ascii="宋体" w:hAnsi="宋体" w:cs="宋体"/>
        </w:rPr>
      </w:pPr>
    </w:p>
    <w:p>
      <w:pPr>
        <w:pStyle w:val="12"/>
        <w:rPr>
          <w:rFonts w:ascii="宋体" w:hAnsi="宋体" w:cs="宋体"/>
        </w:rPr>
      </w:pPr>
    </w:p>
    <w:p>
      <w:pPr>
        <w:rPr>
          <w:rFonts w:ascii="宋体" w:hAnsi="宋体" w:cs="宋体"/>
        </w:rPr>
      </w:pPr>
    </w:p>
    <w:p>
      <w:pPr>
        <w:pStyle w:val="12"/>
        <w:rPr>
          <w:rFonts w:ascii="宋体" w:hAnsi="宋体" w:cs="宋体"/>
        </w:rPr>
      </w:pPr>
    </w:p>
    <w:p>
      <w:pPr>
        <w:pStyle w:val="12"/>
        <w:ind w:left="0" w:leftChars="0"/>
        <w:rPr>
          <w:rFonts w:ascii="宋体" w:hAnsi="宋体" w:cs="宋体"/>
        </w:rPr>
      </w:pPr>
    </w:p>
    <w:p>
      <w:pPr>
        <w:rPr>
          <w:rFonts w:ascii="宋体" w:hAnsi="宋体" w:cs="宋体"/>
        </w:rPr>
      </w:pPr>
    </w:p>
    <w:p>
      <w:pPr>
        <w:pStyle w:val="28"/>
      </w:pPr>
    </w:p>
    <w:p/>
    <w:p>
      <w:pPr>
        <w:pStyle w:val="2"/>
      </w:pPr>
    </w:p>
    <w:p/>
    <w:p>
      <w:pPr>
        <w:pStyle w:val="42"/>
      </w:pPr>
    </w:p>
    <w:p>
      <w:pPr>
        <w:pStyle w:val="42"/>
      </w:pPr>
    </w:p>
    <w:p>
      <w:pPr>
        <w:pStyle w:val="42"/>
      </w:pPr>
    </w:p>
    <w:p>
      <w:pPr>
        <w:pStyle w:val="42"/>
      </w:pPr>
    </w:p>
    <w:p>
      <w:pPr>
        <w:pStyle w:val="42"/>
      </w:pPr>
    </w:p>
    <w:p>
      <w:pPr>
        <w:pStyle w:val="42"/>
      </w:pPr>
    </w:p>
    <w:p>
      <w:pPr>
        <w:pStyle w:val="42"/>
      </w:pPr>
    </w:p>
    <w:p>
      <w:pPr>
        <w:pStyle w:val="42"/>
      </w:pPr>
    </w:p>
    <w:p>
      <w:pPr>
        <w:pStyle w:val="42"/>
      </w:pPr>
    </w:p>
    <w:p>
      <w:pPr>
        <w:pStyle w:val="42"/>
      </w:pPr>
    </w:p>
    <w:p>
      <w:pPr>
        <w:pStyle w:val="42"/>
      </w:pPr>
    </w:p>
    <w:p>
      <w:pPr>
        <w:pStyle w:val="42"/>
      </w:pPr>
    </w:p>
    <w:p>
      <w:pPr>
        <w:pStyle w:val="42"/>
      </w:pPr>
    </w:p>
    <w:p>
      <w:pPr>
        <w:pStyle w:val="42"/>
      </w:pPr>
    </w:p>
    <w:p>
      <w:pPr>
        <w:pStyle w:val="42"/>
      </w:pPr>
    </w:p>
    <w:p>
      <w:pPr>
        <w:pStyle w:val="42"/>
      </w:pPr>
    </w:p>
    <w:p>
      <w:pPr>
        <w:pStyle w:val="42"/>
      </w:pPr>
    </w:p>
    <w:p>
      <w:pPr>
        <w:pStyle w:val="42"/>
      </w:pPr>
    </w:p>
    <w:p>
      <w:pPr>
        <w:pStyle w:val="42"/>
      </w:pPr>
    </w:p>
    <w:p>
      <w:pPr>
        <w:pStyle w:val="42"/>
      </w:pPr>
    </w:p>
    <w:p>
      <w:pPr>
        <w:pStyle w:val="3"/>
        <w:spacing w:before="0" w:after="0" w:line="360" w:lineRule="auto"/>
        <w:jc w:val="center"/>
        <w:rPr>
          <w:rFonts w:ascii="宋体" w:hAnsi="宋体" w:cs="宋体"/>
        </w:rPr>
      </w:pPr>
      <w:bookmarkStart w:id="201" w:name="_Toc10514"/>
      <w:bookmarkStart w:id="202" w:name="_Toc2000413"/>
      <w:bookmarkStart w:id="203" w:name="_Toc514858709"/>
      <w:r>
        <w:rPr>
          <w:rFonts w:hint="eastAsia" w:ascii="宋体" w:hAnsi="宋体" w:cs="宋体"/>
        </w:rPr>
        <w:t>第九章  竞争性比选响应文件格式</w:t>
      </w:r>
      <w:bookmarkEnd w:id="191"/>
      <w:bookmarkEnd w:id="201"/>
      <w:bookmarkEnd w:id="202"/>
      <w:bookmarkEnd w:id="203"/>
    </w:p>
    <w:p>
      <w:pPr>
        <w:rPr>
          <w:rFonts w:ascii="宋体" w:hAnsi="宋体" w:cs="宋体"/>
        </w:rPr>
        <w:sectPr>
          <w:footerReference r:id="rId8" w:type="default"/>
          <w:pgSz w:w="11906" w:h="16838"/>
          <w:pgMar w:top="1440" w:right="1803" w:bottom="1440" w:left="1803" w:header="851" w:footer="992" w:gutter="0"/>
          <w:cols w:space="720" w:num="1"/>
          <w:titlePg/>
          <w:docGrid w:type="lines" w:linePitch="319" w:charSpace="0"/>
        </w:sectPr>
      </w:pPr>
    </w:p>
    <w:p>
      <w:pPr>
        <w:jc w:val="center"/>
        <w:rPr>
          <w:rFonts w:ascii="宋体" w:hAnsi="宋体" w:cs="宋体"/>
          <w:sz w:val="52"/>
          <w:szCs w:val="52"/>
          <w:u w:val="single"/>
        </w:rPr>
      </w:pPr>
      <w:bookmarkStart w:id="204" w:name="_Toc503951046"/>
      <w:bookmarkStart w:id="205" w:name="_Toc514858710"/>
      <w:bookmarkStart w:id="206" w:name="_Toc513646738"/>
      <w:bookmarkStart w:id="207" w:name="_Toc503971829"/>
      <w:bookmarkStart w:id="208" w:name="_Toc513633967"/>
      <w:r>
        <w:rPr>
          <w:rFonts w:hint="eastAsia" w:ascii="宋体" w:hAnsi="宋体" w:cs="宋体"/>
          <w:u w:val="single"/>
        </w:rPr>
        <w:t xml:space="preserve">                           </w:t>
      </w:r>
      <w:r>
        <w:rPr>
          <w:rFonts w:hint="eastAsia" w:ascii="宋体" w:hAnsi="宋体" w:cs="宋体"/>
          <w:sz w:val="52"/>
          <w:szCs w:val="52"/>
          <w:u w:val="single"/>
        </w:rPr>
        <w:t>（项目名称）</w:t>
      </w:r>
      <w:bookmarkEnd w:id="204"/>
      <w:bookmarkEnd w:id="205"/>
      <w:bookmarkEnd w:id="206"/>
      <w:bookmarkEnd w:id="207"/>
      <w:bookmarkEnd w:id="208"/>
      <w:r>
        <w:rPr>
          <w:rFonts w:hint="eastAsia" w:ascii="宋体" w:hAnsi="宋体" w:cs="宋体"/>
          <w:sz w:val="52"/>
          <w:szCs w:val="52"/>
          <w:u w:val="single"/>
        </w:rPr>
        <w:t xml:space="preserve"> </w:t>
      </w:r>
    </w:p>
    <w:p>
      <w:pPr>
        <w:rPr>
          <w:rFonts w:ascii="宋体" w:hAnsi="宋体" w:cs="宋体"/>
          <w:sz w:val="20"/>
          <w:szCs w:val="20"/>
        </w:rPr>
      </w:pPr>
    </w:p>
    <w:p>
      <w:pPr>
        <w:jc w:val="center"/>
        <w:rPr>
          <w:rFonts w:ascii="宋体" w:hAnsi="宋体" w:cs="宋体"/>
          <w:sz w:val="44"/>
          <w:szCs w:val="44"/>
        </w:rPr>
      </w:pPr>
      <w:r>
        <w:rPr>
          <w:rFonts w:hint="eastAsia" w:ascii="宋体" w:hAnsi="宋体" w:cs="宋体"/>
          <w:sz w:val="44"/>
          <w:szCs w:val="44"/>
        </w:rPr>
        <w:t xml:space="preserve"> </w:t>
      </w: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jc w:val="center"/>
        <w:rPr>
          <w:rFonts w:ascii="宋体" w:hAnsi="宋体" w:cs="宋体"/>
          <w:b/>
          <w:sz w:val="72"/>
          <w:szCs w:val="44"/>
        </w:rPr>
      </w:pPr>
      <w:r>
        <w:rPr>
          <w:rFonts w:hint="eastAsia" w:ascii="宋体" w:hAnsi="宋体" w:cs="宋体"/>
          <w:b/>
          <w:sz w:val="72"/>
          <w:szCs w:val="44"/>
        </w:rPr>
        <w:t>竞争性比选响应文件</w:t>
      </w:r>
    </w:p>
    <w:p>
      <w:pPr>
        <w:jc w:val="center"/>
        <w:rPr>
          <w:rFonts w:ascii="宋体" w:hAnsi="宋体" w:cs="宋体"/>
          <w:b/>
          <w:sz w:val="32"/>
          <w:szCs w:val="32"/>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pStyle w:val="28"/>
      </w:pPr>
    </w:p>
    <w:p/>
    <w:p>
      <w:pPr>
        <w:pStyle w:val="28"/>
      </w:pPr>
    </w:p>
    <w:p/>
    <w:p>
      <w:pPr>
        <w:pStyle w:val="28"/>
      </w:pPr>
    </w:p>
    <w:p>
      <w:pPr>
        <w:jc w:val="center"/>
        <w:rPr>
          <w:rFonts w:ascii="宋体" w:hAnsi="宋体" w:cs="宋体"/>
          <w:sz w:val="28"/>
          <w:szCs w:val="28"/>
          <w:u w:val="single"/>
        </w:rPr>
      </w:pPr>
      <w:r>
        <w:rPr>
          <w:rFonts w:hint="eastAsia" w:ascii="宋体" w:hAnsi="宋体" w:cs="宋体"/>
          <w:sz w:val="28"/>
          <w:szCs w:val="28"/>
        </w:rPr>
        <w:t>报价人：</w:t>
      </w:r>
      <w:r>
        <w:rPr>
          <w:rFonts w:hint="eastAsia" w:ascii="宋体" w:hAnsi="宋体" w:cs="宋体"/>
          <w:sz w:val="28"/>
          <w:szCs w:val="28"/>
          <w:u w:val="single"/>
        </w:rPr>
        <w:t xml:space="preserve">                              </w:t>
      </w:r>
      <w:r>
        <w:rPr>
          <w:rFonts w:hint="eastAsia" w:ascii="宋体" w:hAnsi="宋体" w:cs="宋体"/>
          <w:sz w:val="28"/>
          <w:szCs w:val="28"/>
        </w:rPr>
        <w:t>（盖报价人公章）</w:t>
      </w:r>
    </w:p>
    <w:p>
      <w:pPr>
        <w:jc w:val="center"/>
        <w:rPr>
          <w:rFonts w:ascii="宋体" w:hAnsi="宋体" w:cs="宋体"/>
          <w:sz w:val="28"/>
          <w:szCs w:val="28"/>
        </w:rPr>
      </w:pPr>
      <w:r>
        <w:rPr>
          <w:rFonts w:hint="eastAsia" w:ascii="宋体" w:hAnsi="宋体" w:cs="宋体"/>
          <w:sz w:val="28"/>
          <w:szCs w:val="28"/>
        </w:rPr>
        <w:t>法定代表人或负责人其委托代理人：</w:t>
      </w:r>
      <w:r>
        <w:rPr>
          <w:rFonts w:hint="eastAsia" w:ascii="宋体" w:hAnsi="宋体" w:cs="宋体"/>
          <w:sz w:val="28"/>
          <w:szCs w:val="28"/>
          <w:u w:val="single"/>
        </w:rPr>
        <w:t xml:space="preserve">                </w:t>
      </w:r>
      <w:r>
        <w:rPr>
          <w:rFonts w:hint="eastAsia" w:ascii="宋体" w:hAnsi="宋体" w:cs="宋体"/>
          <w:sz w:val="28"/>
          <w:szCs w:val="28"/>
        </w:rPr>
        <w:t>（签字）</w:t>
      </w:r>
    </w:p>
    <w:p>
      <w:pPr>
        <w:jc w:val="center"/>
        <w:rPr>
          <w:rFonts w:ascii="宋体" w:hAnsi="宋体" w:cs="宋体"/>
          <w:sz w:val="20"/>
          <w:szCs w:val="20"/>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pStyle w:val="4"/>
        <w:jc w:val="center"/>
        <w:rPr>
          <w:rFonts w:ascii="宋体" w:hAnsi="宋体" w:eastAsia="宋体" w:cs="宋体"/>
        </w:rPr>
      </w:pPr>
      <w:bookmarkStart w:id="209" w:name="_Toc28780"/>
      <w:bookmarkStart w:id="210" w:name="_Toc10395"/>
      <w:bookmarkStart w:id="211" w:name="_Toc1368"/>
      <w:bookmarkStart w:id="212" w:name="_Toc11329273"/>
      <w:bookmarkStart w:id="213" w:name="_Toc5459"/>
      <w:r>
        <w:rPr>
          <w:rFonts w:hint="eastAsia" w:ascii="宋体" w:hAnsi="宋体" w:eastAsia="宋体" w:cs="宋体"/>
        </w:rPr>
        <w:t>目    录</w:t>
      </w:r>
      <w:bookmarkEnd w:id="192"/>
      <w:bookmarkEnd w:id="193"/>
      <w:bookmarkEnd w:id="194"/>
      <w:bookmarkEnd w:id="195"/>
      <w:bookmarkEnd w:id="196"/>
      <w:bookmarkEnd w:id="197"/>
      <w:bookmarkEnd w:id="198"/>
      <w:bookmarkEnd w:id="199"/>
      <w:bookmarkEnd w:id="209"/>
      <w:bookmarkEnd w:id="210"/>
      <w:bookmarkEnd w:id="211"/>
      <w:bookmarkEnd w:id="212"/>
      <w:bookmarkEnd w:id="213"/>
    </w:p>
    <w:p>
      <w:pPr>
        <w:numPr>
          <w:ilvl w:val="0"/>
          <w:numId w:val="24"/>
        </w:numPr>
        <w:spacing w:line="400" w:lineRule="exact"/>
        <w:rPr>
          <w:rFonts w:ascii="宋体" w:hAnsi="宋体" w:cs="宋体"/>
        </w:rPr>
      </w:pPr>
      <w:r>
        <w:rPr>
          <w:rFonts w:hint="eastAsia" w:ascii="宋体" w:hAnsi="宋体" w:cs="宋体"/>
        </w:rPr>
        <w:t>竞争性响应声明书</w:t>
      </w:r>
    </w:p>
    <w:p>
      <w:pPr>
        <w:numPr>
          <w:ilvl w:val="0"/>
          <w:numId w:val="24"/>
        </w:numPr>
        <w:spacing w:line="400" w:lineRule="exact"/>
        <w:rPr>
          <w:rFonts w:ascii="宋体" w:hAnsi="宋体" w:cs="宋体"/>
        </w:rPr>
      </w:pPr>
      <w:r>
        <w:rPr>
          <w:rFonts w:ascii="宋体" w:hAnsi="宋体" w:cs="宋体"/>
        </w:rPr>
        <w:t>法定代表人</w:t>
      </w:r>
      <w:r>
        <w:rPr>
          <w:rFonts w:hint="eastAsia" w:ascii="宋体" w:hAnsi="宋体" w:cs="宋体"/>
        </w:rPr>
        <w:t>或负责人</w:t>
      </w:r>
      <w:r>
        <w:rPr>
          <w:rFonts w:ascii="宋体" w:hAnsi="宋体" w:cs="宋体"/>
        </w:rPr>
        <w:t>身份证明或授权委托书</w:t>
      </w:r>
    </w:p>
    <w:p>
      <w:pPr>
        <w:spacing w:line="400" w:lineRule="exact"/>
        <w:rPr>
          <w:rFonts w:ascii="宋体" w:hAnsi="宋体" w:cs="宋体"/>
        </w:rPr>
      </w:pPr>
      <w:r>
        <w:rPr>
          <w:rFonts w:hint="eastAsia" w:ascii="宋体" w:hAnsi="宋体" w:cs="宋体"/>
        </w:rPr>
        <w:t>三、报价一览表</w:t>
      </w:r>
    </w:p>
    <w:p>
      <w:pPr>
        <w:spacing w:line="400" w:lineRule="exact"/>
        <w:rPr>
          <w:rFonts w:ascii="宋体" w:hAnsi="宋体" w:cs="宋体"/>
        </w:rPr>
      </w:pPr>
      <w:r>
        <w:rPr>
          <w:rFonts w:hint="eastAsia" w:ascii="宋体" w:hAnsi="宋体" w:cs="宋体"/>
        </w:rPr>
        <w:t>四、资格审查资料</w:t>
      </w:r>
    </w:p>
    <w:p>
      <w:pPr>
        <w:spacing w:line="400" w:lineRule="exact"/>
        <w:rPr>
          <w:rFonts w:ascii="宋体" w:hAnsi="宋体" w:cs="宋体"/>
          <w:szCs w:val="21"/>
        </w:rPr>
      </w:pPr>
      <w:r>
        <w:rPr>
          <w:rFonts w:hint="eastAsia" w:ascii="宋体" w:hAnsi="宋体" w:cs="宋体"/>
        </w:rPr>
        <w:t>五、</w:t>
      </w:r>
      <w:r>
        <w:rPr>
          <w:rFonts w:hint="eastAsia" w:ascii="宋体" w:hAnsi="宋体" w:cs="宋体"/>
          <w:szCs w:val="21"/>
        </w:rPr>
        <w:t>报价人须知前附表规定要求的资料</w:t>
      </w:r>
    </w:p>
    <w:p>
      <w:pPr>
        <w:spacing w:line="400" w:lineRule="exact"/>
        <w:rPr>
          <w:rFonts w:ascii="宋体" w:hAnsi="宋体" w:cs="宋体"/>
        </w:rPr>
      </w:pPr>
      <w:r>
        <w:rPr>
          <w:rFonts w:hint="eastAsia" w:ascii="宋体" w:hAnsi="宋体" w:cs="宋体"/>
          <w:szCs w:val="21"/>
        </w:rPr>
        <w:t>六、报价人基本信息及其他材料</w:t>
      </w:r>
      <w:r>
        <w:rPr>
          <w:rFonts w:hint="eastAsia" w:ascii="宋体" w:hAnsi="宋体" w:cs="宋体"/>
        </w:rPr>
        <w:t xml:space="preserve"> </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r>
        <w:rPr>
          <w:rFonts w:ascii="宋体" w:hAnsi="宋体" w:cs="宋体"/>
        </w:rPr>
        <w:br w:type="page"/>
      </w:r>
    </w:p>
    <w:p>
      <w:pPr>
        <w:pStyle w:val="4"/>
        <w:spacing w:before="0" w:after="0" w:line="360" w:lineRule="auto"/>
        <w:jc w:val="center"/>
        <w:rPr>
          <w:rFonts w:ascii="宋体" w:hAnsi="宋体" w:eastAsia="宋体" w:cs="宋体"/>
          <w:sz w:val="28"/>
        </w:rPr>
      </w:pPr>
      <w:bookmarkStart w:id="214" w:name="_Toc11329274"/>
      <w:bookmarkStart w:id="215" w:name="_Toc8870"/>
      <w:bookmarkStart w:id="216" w:name="_Toc29547"/>
      <w:bookmarkStart w:id="217" w:name="_Toc26417"/>
      <w:bookmarkStart w:id="218" w:name="_Toc15863"/>
      <w:bookmarkStart w:id="219" w:name="_Toc25874"/>
      <w:bookmarkStart w:id="220" w:name="_Toc447827053"/>
      <w:bookmarkStart w:id="221" w:name="_Toc513633969"/>
      <w:bookmarkStart w:id="222" w:name="_Toc503951048"/>
      <w:r>
        <w:rPr>
          <w:rFonts w:hint="eastAsia" w:ascii="宋体" w:hAnsi="宋体" w:eastAsia="宋体" w:cs="宋体"/>
          <w:sz w:val="28"/>
        </w:rPr>
        <w:t>一、</w:t>
      </w:r>
      <w:bookmarkEnd w:id="214"/>
      <w:bookmarkEnd w:id="215"/>
      <w:r>
        <w:rPr>
          <w:rFonts w:hint="eastAsia" w:ascii="宋体" w:hAnsi="宋体" w:eastAsia="宋体" w:cs="宋体"/>
          <w:sz w:val="28"/>
        </w:rPr>
        <w:t>竞争比选响应声明书</w:t>
      </w:r>
      <w:bookmarkEnd w:id="216"/>
      <w:bookmarkEnd w:id="217"/>
      <w:bookmarkEnd w:id="218"/>
      <w:bookmarkEnd w:id="219"/>
    </w:p>
    <w:p>
      <w:pPr>
        <w:tabs>
          <w:tab w:val="left" w:pos="900"/>
        </w:tabs>
        <w:spacing w:line="300" w:lineRule="auto"/>
        <w:rPr>
          <w:rFonts w:ascii="Arial" w:hAnsi="Arial" w:cs="Arial"/>
          <w:color w:val="000000"/>
          <w:sz w:val="24"/>
        </w:rPr>
      </w:pPr>
      <w:r>
        <w:rPr>
          <w:rFonts w:ascii="Arial" w:hAnsi="Arial" w:cs="Arial"/>
          <w:color w:val="000000"/>
          <w:sz w:val="24"/>
        </w:rPr>
        <w:t xml:space="preserve"> </w:t>
      </w:r>
      <w:r>
        <w:rPr>
          <w:rFonts w:hint="eastAsia" w:ascii="Arial" w:hAnsi="Arial" w:cs="Arial"/>
          <w:b/>
          <w:color w:val="000000"/>
          <w:sz w:val="24"/>
        </w:rPr>
        <w:t>致：</w:t>
      </w:r>
      <w:r>
        <w:rPr>
          <w:rFonts w:hint="eastAsia" w:ascii="Arial" w:hAnsi="Arial" w:cs="Arial"/>
          <w:b/>
          <w:bCs/>
          <w:color w:val="000000"/>
          <w:sz w:val="24"/>
          <w:u w:val="single"/>
        </w:rPr>
        <w:t>重庆首讯科技股份有限公司</w:t>
      </w:r>
    </w:p>
    <w:p>
      <w:pPr>
        <w:spacing w:line="700" w:lineRule="atLeast"/>
        <w:ind w:firstLine="420" w:firstLineChars="200"/>
        <w:rPr>
          <w:rFonts w:ascii="宋体" w:hAnsi="宋体" w:cs="宋体"/>
          <w:color w:val="000000"/>
          <w:szCs w:val="21"/>
        </w:rPr>
      </w:pPr>
      <w:r>
        <w:rPr>
          <w:rFonts w:hint="eastAsia" w:ascii="宋体" w:hAnsi="宋体" w:cs="宋体"/>
          <w:color w:val="000000"/>
          <w:szCs w:val="21"/>
        </w:rPr>
        <w:t>根据贵</w:t>
      </w:r>
      <w:r>
        <w:rPr>
          <w:rFonts w:hint="eastAsia" w:ascii="宋体" w:hAnsi="宋体" w:cs="宋体"/>
          <w:szCs w:val="21"/>
        </w:rPr>
        <w:t>方为</w:t>
      </w:r>
      <w:r>
        <w:rPr>
          <w:rFonts w:hint="eastAsia" w:ascii="宋体" w:hAnsi="宋体" w:cs="宋体"/>
          <w:szCs w:val="21"/>
          <w:u w:val="single"/>
        </w:rPr>
        <w:t>重庆高速数据资源管理平台建设项目</w:t>
      </w:r>
      <w:r>
        <w:rPr>
          <w:rFonts w:hint="eastAsia" w:ascii="宋体" w:hAnsi="宋体" w:cs="宋体"/>
          <w:szCs w:val="21"/>
        </w:rPr>
        <w:t>竞争比选项目及服</w:t>
      </w:r>
      <w:r>
        <w:rPr>
          <w:rFonts w:hint="eastAsia" w:ascii="宋体" w:hAnsi="宋体" w:cs="宋体"/>
          <w:color w:val="000000"/>
          <w:szCs w:val="21"/>
        </w:rPr>
        <w:t>务的竞争比选邀请，签字代表</w:t>
      </w:r>
      <w:r>
        <w:rPr>
          <w:rFonts w:hint="eastAsia" w:ascii="宋体" w:hAnsi="宋体" w:cs="宋体"/>
          <w:color w:val="000000"/>
          <w:szCs w:val="21"/>
          <w:u w:val="single"/>
        </w:rPr>
        <w:t xml:space="preserve">          （全名、职务）</w:t>
      </w:r>
      <w:r>
        <w:rPr>
          <w:rFonts w:hint="eastAsia" w:ascii="宋体" w:hAnsi="宋体" w:cs="宋体"/>
          <w:color w:val="000000"/>
          <w:szCs w:val="21"/>
        </w:rPr>
        <w:t>经正式授权并代表竞争比选响应单位</w:t>
      </w:r>
      <w:r>
        <w:rPr>
          <w:rFonts w:hint="eastAsia" w:ascii="宋体" w:hAnsi="宋体" w:cs="宋体"/>
          <w:color w:val="000000"/>
          <w:szCs w:val="21"/>
          <w:u w:val="single"/>
        </w:rPr>
        <w:t xml:space="preserve">（竞争比选响应单位名称） </w:t>
      </w:r>
      <w:r>
        <w:rPr>
          <w:rFonts w:hint="eastAsia" w:ascii="宋体" w:hAnsi="宋体" w:cs="宋体"/>
          <w:color w:val="000000"/>
          <w:szCs w:val="21"/>
        </w:rPr>
        <w:t>提交报价文件。</w:t>
      </w:r>
    </w:p>
    <w:p>
      <w:pPr>
        <w:spacing w:line="700" w:lineRule="atLeast"/>
        <w:ind w:firstLine="420" w:firstLineChars="200"/>
        <w:rPr>
          <w:rFonts w:ascii="宋体" w:hAnsi="宋体" w:cs="宋体"/>
          <w:color w:val="000000"/>
          <w:szCs w:val="21"/>
          <w:u w:val="single"/>
        </w:rPr>
      </w:pPr>
      <w:r>
        <w:rPr>
          <w:rFonts w:hint="eastAsia" w:ascii="宋体" w:hAnsi="宋体" w:cs="宋体"/>
          <w:color w:val="000000"/>
          <w:szCs w:val="21"/>
          <w:u w:val="single"/>
        </w:rPr>
        <w:t>我方愿以人民币：              元（大写              元）的报价总价按照竞争比选文件的要求，承担本次竞争比选文件要求的项目。</w:t>
      </w:r>
    </w:p>
    <w:p>
      <w:pPr>
        <w:tabs>
          <w:tab w:val="left" w:pos="540"/>
          <w:tab w:val="left" w:pos="900"/>
        </w:tabs>
        <w:spacing w:line="300" w:lineRule="auto"/>
        <w:rPr>
          <w:rFonts w:ascii="宋体" w:hAnsi="宋体" w:cs="宋体"/>
          <w:color w:val="000000"/>
          <w:szCs w:val="21"/>
        </w:rPr>
      </w:pPr>
      <w:r>
        <w:rPr>
          <w:rFonts w:hint="eastAsia" w:ascii="宋体" w:hAnsi="宋体" w:cs="宋体"/>
          <w:color w:val="000000"/>
          <w:szCs w:val="21"/>
        </w:rPr>
        <w:t xml:space="preserve">    </w:t>
      </w:r>
    </w:p>
    <w:p>
      <w:pPr>
        <w:tabs>
          <w:tab w:val="left" w:pos="540"/>
          <w:tab w:val="left" w:pos="900"/>
        </w:tabs>
        <w:spacing w:line="300" w:lineRule="auto"/>
        <w:rPr>
          <w:rFonts w:ascii="宋体" w:hAnsi="宋体" w:cs="宋体"/>
          <w:color w:val="000000"/>
          <w:szCs w:val="21"/>
        </w:rPr>
      </w:pPr>
      <w:r>
        <w:rPr>
          <w:rFonts w:hint="eastAsia" w:ascii="宋体" w:hAnsi="宋体" w:cs="宋体"/>
          <w:color w:val="000000"/>
          <w:szCs w:val="21"/>
        </w:rPr>
        <w:t>据此函，签字代表宣布同意如下：</w:t>
      </w:r>
    </w:p>
    <w:p>
      <w:pPr>
        <w:tabs>
          <w:tab w:val="left" w:pos="540"/>
          <w:tab w:val="left" w:pos="900"/>
        </w:tabs>
        <w:spacing w:line="300" w:lineRule="auto"/>
        <w:rPr>
          <w:rFonts w:ascii="宋体" w:hAnsi="宋体" w:cs="宋体"/>
          <w:color w:val="000000"/>
          <w:szCs w:val="21"/>
        </w:rPr>
      </w:pPr>
      <w:r>
        <w:rPr>
          <w:rFonts w:hint="eastAsia" w:ascii="宋体" w:hAnsi="宋体" w:cs="宋体"/>
          <w:color w:val="000000"/>
          <w:szCs w:val="21"/>
        </w:rPr>
        <w:t>1、竞争比选响应单位将按竞争比选文件规定履行合同责任和义务。</w:t>
      </w:r>
    </w:p>
    <w:p>
      <w:pPr>
        <w:tabs>
          <w:tab w:val="left" w:pos="900"/>
        </w:tabs>
        <w:spacing w:line="300" w:lineRule="auto"/>
        <w:rPr>
          <w:rFonts w:ascii="宋体" w:hAnsi="宋体" w:cs="宋体"/>
          <w:b/>
          <w:color w:val="000000"/>
          <w:szCs w:val="21"/>
        </w:rPr>
      </w:pPr>
      <w:r>
        <w:rPr>
          <w:rFonts w:hint="eastAsia" w:ascii="宋体" w:hAnsi="宋体" w:cs="宋体"/>
          <w:color w:val="000000"/>
          <w:szCs w:val="21"/>
        </w:rPr>
        <w:t>2、竞争比选响应单位已详细审查全部竞争比选文件，包括修改文件（如有的话）以及全部参考资料和相关附件。我们完全理解并同意放弃对这方面有不明及误解的权利。</w:t>
      </w:r>
    </w:p>
    <w:p>
      <w:pPr>
        <w:tabs>
          <w:tab w:val="left" w:pos="900"/>
        </w:tabs>
        <w:spacing w:line="300" w:lineRule="auto"/>
        <w:rPr>
          <w:rFonts w:ascii="宋体" w:hAnsi="宋体" w:cs="宋体"/>
          <w:b/>
          <w:color w:val="000000"/>
          <w:szCs w:val="21"/>
        </w:rPr>
      </w:pPr>
      <w:r>
        <w:rPr>
          <w:rFonts w:hint="eastAsia" w:ascii="宋体" w:hAnsi="宋体" w:cs="宋体"/>
          <w:color w:val="000000"/>
          <w:szCs w:val="21"/>
        </w:rPr>
        <w:t>3、竞争比选响应单位同意提供采购人可能要求的与其竞争比选响应文件有关的一切数据或资料，完全理解采购人不一定要接受最低报价的竞争比选响应或收到的任何报价。</w:t>
      </w:r>
    </w:p>
    <w:p>
      <w:pPr>
        <w:tabs>
          <w:tab w:val="left" w:pos="900"/>
        </w:tabs>
        <w:spacing w:line="300" w:lineRule="auto"/>
        <w:rPr>
          <w:rFonts w:ascii="宋体" w:hAnsi="宋体" w:cs="宋体"/>
          <w:b/>
          <w:color w:val="000000"/>
          <w:szCs w:val="21"/>
        </w:rPr>
      </w:pPr>
      <w:r>
        <w:rPr>
          <w:rFonts w:hint="eastAsia" w:ascii="宋体" w:hAnsi="宋体" w:cs="宋体"/>
          <w:color w:val="000000"/>
          <w:szCs w:val="21"/>
        </w:rPr>
        <w:t>4、与本竞争比选响应有关的一切正式往来通讯请寄：</w:t>
      </w:r>
    </w:p>
    <w:p>
      <w:pPr>
        <w:tabs>
          <w:tab w:val="left" w:pos="900"/>
        </w:tabs>
        <w:spacing w:line="300" w:lineRule="auto"/>
        <w:rPr>
          <w:rFonts w:ascii="宋体" w:hAnsi="宋体" w:cs="宋体"/>
          <w:b/>
          <w:color w:val="000000"/>
          <w:szCs w:val="21"/>
        </w:rPr>
      </w:pPr>
      <w:r>
        <w:rPr>
          <w:rFonts w:hint="eastAsia" w:ascii="宋体" w:hAnsi="宋体" w:cs="宋体"/>
          <w:color w:val="000000"/>
          <w:szCs w:val="21"/>
        </w:rPr>
        <w:t>地址：</w:t>
      </w:r>
      <w:r>
        <w:rPr>
          <w:rFonts w:hint="eastAsia" w:ascii="宋体" w:hAnsi="宋体" w:cs="宋体"/>
          <w:color w:val="000000"/>
          <w:szCs w:val="21"/>
          <w:u w:val="single"/>
        </w:rPr>
        <w:t xml:space="preserve">                         </w:t>
      </w:r>
      <w:r>
        <w:rPr>
          <w:rFonts w:hint="eastAsia" w:ascii="宋体" w:hAnsi="宋体" w:cs="宋体"/>
          <w:color w:val="000000"/>
          <w:szCs w:val="21"/>
        </w:rPr>
        <w:t xml:space="preserve">   邮编：</w:t>
      </w:r>
      <w:r>
        <w:rPr>
          <w:rFonts w:hint="eastAsia" w:ascii="宋体" w:hAnsi="宋体" w:cs="宋体"/>
          <w:color w:val="000000"/>
          <w:szCs w:val="21"/>
          <w:u w:val="single"/>
        </w:rPr>
        <w:t xml:space="preserve">            </w:t>
      </w:r>
      <w:r>
        <w:rPr>
          <w:rFonts w:hint="eastAsia" w:ascii="宋体" w:hAnsi="宋体" w:cs="宋体"/>
          <w:b/>
          <w:color w:val="000000"/>
          <w:szCs w:val="21"/>
        </w:rPr>
        <w:t xml:space="preserve">  </w:t>
      </w:r>
    </w:p>
    <w:p>
      <w:pPr>
        <w:tabs>
          <w:tab w:val="left" w:pos="900"/>
        </w:tabs>
        <w:spacing w:line="300" w:lineRule="auto"/>
        <w:rPr>
          <w:rFonts w:ascii="宋体" w:hAnsi="宋体" w:cs="宋体"/>
          <w:color w:val="000000"/>
          <w:szCs w:val="21"/>
          <w:u w:val="single"/>
        </w:rPr>
      </w:pPr>
      <w:r>
        <w:rPr>
          <w:rFonts w:hint="eastAsia" w:ascii="宋体" w:hAnsi="宋体" w:cs="宋体"/>
          <w:color w:val="000000"/>
          <w:szCs w:val="21"/>
        </w:rPr>
        <w:t>电话：</w:t>
      </w:r>
      <w:r>
        <w:rPr>
          <w:rFonts w:hint="eastAsia" w:ascii="宋体" w:hAnsi="宋体" w:cs="宋体"/>
          <w:color w:val="000000"/>
          <w:szCs w:val="21"/>
          <w:u w:val="single"/>
        </w:rPr>
        <w:t xml:space="preserve">                   </w:t>
      </w:r>
      <w:r>
        <w:rPr>
          <w:rFonts w:hint="eastAsia" w:ascii="宋体" w:hAnsi="宋体" w:cs="宋体"/>
          <w:color w:val="000000"/>
          <w:szCs w:val="21"/>
        </w:rPr>
        <w:t xml:space="preserve">         传真：</w:t>
      </w:r>
      <w:r>
        <w:rPr>
          <w:rFonts w:hint="eastAsia" w:ascii="宋体" w:hAnsi="宋体" w:cs="宋体"/>
          <w:color w:val="000000"/>
          <w:szCs w:val="21"/>
          <w:u w:val="single"/>
        </w:rPr>
        <w:t xml:space="preserve">            </w:t>
      </w:r>
    </w:p>
    <w:p>
      <w:pPr>
        <w:tabs>
          <w:tab w:val="left" w:pos="900"/>
        </w:tabs>
        <w:spacing w:line="300" w:lineRule="auto"/>
        <w:rPr>
          <w:rFonts w:ascii="宋体" w:hAnsi="宋体" w:cs="宋体"/>
          <w:szCs w:val="21"/>
        </w:rPr>
      </w:pPr>
      <w:r>
        <w:rPr>
          <w:rFonts w:hint="eastAsia" w:ascii="宋体" w:hAnsi="宋体" w:cs="宋体"/>
          <w:szCs w:val="21"/>
        </w:rPr>
        <w:t>竞争比选响应单位法定代表人或负责人或授权代表人（签字）：</w:t>
      </w:r>
      <w:r>
        <w:rPr>
          <w:rFonts w:hint="eastAsia" w:ascii="宋体" w:hAnsi="宋体" w:cs="宋体"/>
          <w:szCs w:val="21"/>
          <w:u w:val="single"/>
        </w:rPr>
        <w:t xml:space="preserve">             </w:t>
      </w:r>
      <w:r>
        <w:rPr>
          <w:rFonts w:hint="eastAsia" w:ascii="宋体" w:hAnsi="宋体" w:cs="宋体"/>
          <w:szCs w:val="21"/>
        </w:rPr>
        <w:t xml:space="preserve">  </w:t>
      </w:r>
    </w:p>
    <w:p>
      <w:pPr>
        <w:tabs>
          <w:tab w:val="left" w:pos="900"/>
        </w:tabs>
        <w:spacing w:line="300" w:lineRule="auto"/>
        <w:rPr>
          <w:rFonts w:ascii="宋体" w:hAnsi="宋体" w:cs="宋体"/>
          <w:szCs w:val="21"/>
        </w:rPr>
      </w:pPr>
      <w:r>
        <w:rPr>
          <w:rFonts w:hint="eastAsia" w:ascii="宋体" w:hAnsi="宋体" w:cs="宋体"/>
          <w:szCs w:val="21"/>
        </w:rPr>
        <w:t>竞争比选响应单位法定代表人或负责人或授权代表人职务：</w:t>
      </w:r>
      <w:r>
        <w:rPr>
          <w:rFonts w:hint="eastAsia" w:ascii="宋体" w:hAnsi="宋体" w:cs="宋体"/>
          <w:szCs w:val="21"/>
          <w:u w:val="single"/>
        </w:rPr>
        <w:t xml:space="preserve">             </w:t>
      </w:r>
      <w:r>
        <w:rPr>
          <w:rFonts w:hint="eastAsia" w:ascii="宋体" w:hAnsi="宋体" w:cs="宋体"/>
          <w:szCs w:val="21"/>
        </w:rPr>
        <w:t xml:space="preserve">               </w:t>
      </w:r>
    </w:p>
    <w:p>
      <w:pPr>
        <w:tabs>
          <w:tab w:val="left" w:pos="900"/>
        </w:tabs>
        <w:spacing w:line="300" w:lineRule="auto"/>
        <w:rPr>
          <w:rFonts w:ascii="宋体" w:hAnsi="宋体" w:cs="宋体"/>
          <w:color w:val="000000"/>
          <w:szCs w:val="21"/>
        </w:rPr>
      </w:pPr>
      <w:r>
        <w:rPr>
          <w:rFonts w:hint="eastAsia" w:ascii="宋体" w:hAnsi="宋体" w:cs="宋体"/>
          <w:szCs w:val="21"/>
        </w:rPr>
        <w:t>竞争比选响应单位名称（加盖报价人公章）：</w:t>
      </w:r>
      <w:r>
        <w:rPr>
          <w:rFonts w:hint="eastAsia" w:ascii="宋体" w:hAnsi="宋体" w:cs="宋体"/>
          <w:szCs w:val="21"/>
          <w:u w:val="single"/>
        </w:rPr>
        <w:t xml:space="preserve">               </w:t>
      </w:r>
      <w:r>
        <w:rPr>
          <w:rFonts w:hint="eastAsia" w:ascii="宋体" w:hAnsi="宋体" w:cs="宋体"/>
          <w:color w:val="000000"/>
          <w:szCs w:val="21"/>
          <w:u w:val="single"/>
        </w:rPr>
        <w:t xml:space="preserve">                  </w:t>
      </w:r>
    </w:p>
    <w:p>
      <w:pPr>
        <w:tabs>
          <w:tab w:val="left" w:pos="900"/>
        </w:tabs>
        <w:spacing w:line="300" w:lineRule="auto"/>
        <w:rPr>
          <w:rFonts w:ascii="宋体" w:hAnsi="宋体" w:cs="宋体"/>
          <w:color w:val="000000"/>
          <w:szCs w:val="21"/>
        </w:rPr>
      </w:pPr>
      <w:r>
        <w:rPr>
          <w:rFonts w:hint="eastAsia" w:ascii="宋体" w:hAnsi="宋体" w:cs="宋体"/>
          <w:color w:val="000000"/>
          <w:szCs w:val="21"/>
        </w:rPr>
        <w:t>日期：</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 xml:space="preserve">日 </w:t>
      </w:r>
    </w:p>
    <w:p>
      <w:pPr>
        <w:rPr>
          <w:b/>
          <w:sz w:val="24"/>
        </w:rPr>
      </w:pPr>
    </w:p>
    <w:p>
      <w:pPr>
        <w:rPr>
          <w:b/>
          <w:sz w:val="24"/>
        </w:rPr>
      </w:pPr>
    </w:p>
    <w:p>
      <w:pPr>
        <w:pStyle w:val="28"/>
      </w:pPr>
    </w:p>
    <w:p>
      <w:pPr>
        <w:rPr>
          <w:b/>
          <w:sz w:val="24"/>
        </w:rPr>
      </w:pPr>
    </w:p>
    <w:p>
      <w:pPr>
        <w:pStyle w:val="4"/>
        <w:jc w:val="left"/>
        <w:rPr>
          <w:rFonts w:ascii="宋体" w:hAnsi="宋体" w:eastAsia="宋体" w:cs="宋体"/>
          <w:sz w:val="28"/>
          <w:szCs w:val="28"/>
        </w:rPr>
      </w:pPr>
      <w:bookmarkStart w:id="223" w:name="_Toc27815"/>
      <w:bookmarkStart w:id="224" w:name="_Toc26697"/>
      <w:bookmarkStart w:id="225" w:name="_Toc491883232"/>
      <w:r>
        <w:rPr>
          <w:rFonts w:hint="eastAsia" w:ascii="宋体" w:hAnsi="宋体" w:eastAsia="宋体" w:cs="宋体"/>
          <w:sz w:val="28"/>
          <w:szCs w:val="28"/>
        </w:rPr>
        <w:t>二、法定代表人</w:t>
      </w:r>
      <w:r>
        <w:rPr>
          <w:rFonts w:ascii="宋体" w:hAnsi="宋体" w:eastAsia="宋体" w:cs="宋体"/>
          <w:sz w:val="28"/>
          <w:szCs w:val="28"/>
        </w:rPr>
        <w:t>/</w:t>
      </w:r>
      <w:r>
        <w:rPr>
          <w:rFonts w:hint="eastAsia" w:ascii="宋体" w:hAnsi="宋体" w:eastAsia="宋体" w:cs="宋体"/>
          <w:sz w:val="28"/>
          <w:szCs w:val="28"/>
        </w:rPr>
        <w:t>负责人身份证明和授权代表委托书</w:t>
      </w:r>
      <w:bookmarkEnd w:id="223"/>
      <w:bookmarkEnd w:id="224"/>
    </w:p>
    <w:p>
      <w:pPr>
        <w:pStyle w:val="4"/>
        <w:jc w:val="center"/>
        <w:rPr>
          <w:rFonts w:ascii="宋体" w:hAnsi="宋体" w:eastAsia="宋体" w:cs="宋体"/>
          <w:sz w:val="24"/>
          <w:szCs w:val="24"/>
        </w:rPr>
      </w:pPr>
      <w:bookmarkStart w:id="226" w:name="_Toc14141"/>
      <w:bookmarkStart w:id="227" w:name="_Toc4391"/>
      <w:r>
        <w:rPr>
          <w:rFonts w:hint="eastAsia" w:ascii="宋体" w:hAnsi="宋体" w:eastAsia="宋体" w:cs="宋体"/>
          <w:sz w:val="24"/>
          <w:szCs w:val="24"/>
        </w:rPr>
        <w:t>（一）法定代表人或负责人身份证明</w:t>
      </w:r>
      <w:bookmarkEnd w:id="225"/>
      <w:bookmarkEnd w:id="226"/>
      <w:bookmarkEnd w:id="227"/>
    </w:p>
    <w:p>
      <w:pPr>
        <w:spacing w:line="440" w:lineRule="exact"/>
        <w:rPr>
          <w:rFonts w:ascii="宋体" w:hAnsi="宋体"/>
          <w:szCs w:val="21"/>
        </w:rPr>
      </w:pPr>
      <w:r>
        <w:rPr>
          <w:rFonts w:hint="eastAsia" w:ascii="宋体" w:hAnsi="宋体"/>
          <w:szCs w:val="21"/>
        </w:rPr>
        <w:t>报价人</w:t>
      </w:r>
      <w:r>
        <w:rPr>
          <w:rFonts w:ascii="宋体" w:hAnsi="宋体"/>
          <w:szCs w:val="21"/>
        </w:rPr>
        <w:t>名称：</w:t>
      </w:r>
      <w:r>
        <w:rPr>
          <w:rFonts w:ascii="宋体" w:hAnsi="宋体"/>
          <w:szCs w:val="21"/>
          <w:u w:val="single"/>
        </w:rPr>
        <w:t xml:space="preserve">                        </w:t>
      </w:r>
    </w:p>
    <w:p>
      <w:pPr>
        <w:spacing w:line="440" w:lineRule="exact"/>
        <w:rPr>
          <w:rFonts w:ascii="宋体" w:hAnsi="宋体"/>
          <w:szCs w:val="21"/>
        </w:rPr>
      </w:pPr>
      <w:r>
        <w:rPr>
          <w:rFonts w:ascii="宋体" w:hAnsi="宋体"/>
          <w:szCs w:val="21"/>
        </w:rPr>
        <w:t>姓名：</w:t>
      </w:r>
      <w:r>
        <w:rPr>
          <w:rFonts w:ascii="宋体" w:hAnsi="宋体"/>
          <w:szCs w:val="21"/>
          <w:u w:val="single"/>
        </w:rPr>
        <w:t xml:space="preserve">                </w:t>
      </w:r>
      <w:r>
        <w:rPr>
          <w:rFonts w:ascii="宋体" w:hAnsi="宋体"/>
          <w:szCs w:val="21"/>
        </w:rPr>
        <w:t>性别：</w:t>
      </w:r>
      <w:bookmarkStart w:id="228" w:name="_Toc369531698"/>
      <w:bookmarkStart w:id="229" w:name="_Toc27897"/>
      <w:bookmarkStart w:id="230" w:name="_Toc352691662"/>
      <w:r>
        <w:rPr>
          <w:rFonts w:ascii="宋体" w:hAnsi="宋体"/>
          <w:szCs w:val="21"/>
          <w:u w:val="single"/>
        </w:rPr>
        <w:t xml:space="preserve">        </w:t>
      </w:r>
      <w:r>
        <w:rPr>
          <w:rFonts w:ascii="宋体" w:hAnsi="宋体"/>
          <w:szCs w:val="21"/>
        </w:rPr>
        <w:t>年</w:t>
      </w:r>
      <w:bookmarkEnd w:id="228"/>
      <w:bookmarkEnd w:id="229"/>
      <w:bookmarkEnd w:id="230"/>
      <w:r>
        <w:rPr>
          <w:rFonts w:ascii="宋体" w:hAnsi="宋体"/>
          <w:szCs w:val="21"/>
        </w:rPr>
        <w:t>龄</w:t>
      </w:r>
      <w:bookmarkStart w:id="231" w:name="_Toc369531699"/>
      <w:bookmarkStart w:id="232" w:name="_Toc361508754"/>
      <w:bookmarkStart w:id="233" w:name="_Toc247527829"/>
      <w:bookmarkStart w:id="234" w:name="_Toc352691663"/>
      <w:bookmarkStart w:id="235" w:name="_Toc144974858"/>
      <w:bookmarkStart w:id="236" w:name="_Toc152042578"/>
      <w:bookmarkStart w:id="237" w:name="_Toc300835211"/>
      <w:bookmarkStart w:id="238" w:name="_Toc152045789"/>
      <w:bookmarkStart w:id="239" w:name="_Toc384308377"/>
      <w:bookmarkStart w:id="240" w:name="_Toc247514248"/>
      <w:bookmarkStart w:id="241" w:name="_Toc15573"/>
      <w:r>
        <w:rPr>
          <w:rFonts w:ascii="宋体" w:hAnsi="宋体"/>
          <w:szCs w:val="21"/>
        </w:rPr>
        <w:t>：</w:t>
      </w:r>
      <w:bookmarkEnd w:id="231"/>
      <w:bookmarkEnd w:id="232"/>
      <w:bookmarkEnd w:id="233"/>
      <w:bookmarkEnd w:id="234"/>
      <w:bookmarkEnd w:id="235"/>
      <w:bookmarkEnd w:id="236"/>
      <w:bookmarkEnd w:id="237"/>
      <w:bookmarkEnd w:id="238"/>
      <w:bookmarkEnd w:id="239"/>
      <w:bookmarkEnd w:id="240"/>
      <w:bookmarkEnd w:id="241"/>
      <w:r>
        <w:rPr>
          <w:rFonts w:ascii="宋体" w:hAnsi="宋体"/>
          <w:szCs w:val="21"/>
          <w:u w:val="single"/>
        </w:rPr>
        <w:t xml:space="preserve">        </w:t>
      </w:r>
      <w:r>
        <w:rPr>
          <w:rFonts w:ascii="宋体" w:hAnsi="宋体"/>
          <w:szCs w:val="21"/>
        </w:rPr>
        <w:t>职务：</w:t>
      </w:r>
      <w:r>
        <w:rPr>
          <w:rFonts w:ascii="宋体" w:hAnsi="宋体"/>
          <w:szCs w:val="21"/>
          <w:u w:val="single"/>
        </w:rPr>
        <w:t xml:space="preserve">        </w:t>
      </w:r>
    </w:p>
    <w:p>
      <w:pPr>
        <w:spacing w:line="440" w:lineRule="exact"/>
        <w:rPr>
          <w:rFonts w:ascii="宋体" w:hAnsi="宋体"/>
          <w:szCs w:val="21"/>
        </w:rPr>
      </w:pPr>
      <w:r>
        <w:rPr>
          <w:rFonts w:ascii="宋体" w:hAnsi="宋体"/>
          <w:szCs w:val="21"/>
        </w:rPr>
        <w:t>系</w:t>
      </w:r>
      <w:r>
        <w:rPr>
          <w:rFonts w:ascii="宋体" w:hAnsi="宋体"/>
          <w:szCs w:val="21"/>
          <w:u w:val="single"/>
        </w:rPr>
        <w:t xml:space="preserve">                        </w:t>
      </w:r>
      <w:r>
        <w:rPr>
          <w:rFonts w:ascii="宋体" w:hAnsi="宋体"/>
          <w:szCs w:val="21"/>
        </w:rPr>
        <w:t>（</w:t>
      </w:r>
      <w:r>
        <w:rPr>
          <w:rFonts w:hint="eastAsia" w:ascii="宋体" w:hAnsi="宋体"/>
          <w:szCs w:val="21"/>
        </w:rPr>
        <w:t>报价人</w:t>
      </w:r>
      <w:r>
        <w:rPr>
          <w:rFonts w:ascii="宋体" w:hAnsi="宋体"/>
          <w:szCs w:val="21"/>
        </w:rPr>
        <w:t>名称）的</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(法定代表人</w:t>
      </w:r>
      <w:r>
        <w:rPr>
          <w:rFonts w:hint="eastAsia" w:ascii="宋体" w:hAnsi="宋体"/>
          <w:szCs w:val="21"/>
        </w:rPr>
        <w:t>/负责人)</w:t>
      </w:r>
      <w:r>
        <w:rPr>
          <w:rFonts w:ascii="宋体" w:hAnsi="宋体"/>
          <w:szCs w:val="21"/>
        </w:rPr>
        <w:t>。</w:t>
      </w:r>
    </w:p>
    <w:p>
      <w:pPr>
        <w:spacing w:line="440" w:lineRule="exact"/>
        <w:ind w:firstLine="420" w:firstLineChars="200"/>
        <w:rPr>
          <w:rFonts w:ascii="宋体" w:hAnsi="宋体"/>
          <w:szCs w:val="21"/>
        </w:rPr>
      </w:pPr>
      <w:r>
        <w:rPr>
          <w:rFonts w:ascii="宋体" w:hAnsi="宋体"/>
          <w:szCs w:val="21"/>
        </w:rPr>
        <w:t>特此证明。</w:t>
      </w:r>
    </w:p>
    <w:p>
      <w:pPr>
        <w:spacing w:line="440" w:lineRule="exact"/>
        <w:rPr>
          <w:rFonts w:ascii="宋体" w:hAnsi="宋体"/>
          <w:szCs w:val="21"/>
        </w:rPr>
      </w:pPr>
    </w:p>
    <w:p>
      <w:pPr>
        <w:spacing w:line="440" w:lineRule="exact"/>
        <w:rPr>
          <w:rFonts w:ascii="宋体" w:hAnsi="宋体"/>
          <w:szCs w:val="21"/>
        </w:rPr>
      </w:pPr>
      <w:r>
        <w:rPr>
          <w:rFonts w:ascii="宋体" w:hAnsi="宋体"/>
          <w:szCs w:val="21"/>
        </w:rPr>
        <w:t>附：法定代表人</w:t>
      </w:r>
      <w:r>
        <w:rPr>
          <w:rFonts w:hint="eastAsia" w:ascii="宋体" w:hAnsi="宋体"/>
          <w:szCs w:val="21"/>
        </w:rPr>
        <w:t>/负责人</w:t>
      </w:r>
      <w:r>
        <w:rPr>
          <w:rFonts w:ascii="宋体" w:hAnsi="宋体"/>
          <w:szCs w:val="21"/>
        </w:rPr>
        <w:t>身份证复印件</w:t>
      </w:r>
      <w:r>
        <w:rPr>
          <w:rFonts w:hint="eastAsia" w:ascii="宋体" w:hAnsi="宋体"/>
          <w:szCs w:val="21"/>
        </w:rPr>
        <w:t>（正、反面）</w:t>
      </w:r>
      <w:r>
        <w:rPr>
          <w:rFonts w:ascii="宋体" w:hAnsi="宋体"/>
          <w:szCs w:val="21"/>
        </w:rPr>
        <w:t>。</w:t>
      </w: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jc w:val="center"/>
        <w:rPr>
          <w:rFonts w:ascii="宋体" w:hAnsi="宋体"/>
          <w:szCs w:val="21"/>
        </w:rPr>
      </w:pPr>
      <w:r>
        <w:rPr>
          <w:rFonts w:ascii="宋体" w:hAnsi="宋体"/>
          <w:szCs w:val="21"/>
        </w:rPr>
        <w:t xml:space="preserve">                              </w:t>
      </w:r>
      <w:r>
        <w:rPr>
          <w:rFonts w:hint="eastAsia" w:ascii="宋体" w:hAnsi="宋体"/>
          <w:szCs w:val="21"/>
        </w:rPr>
        <w:t>报价人</w:t>
      </w:r>
      <w:r>
        <w:rPr>
          <w:rFonts w:ascii="宋体" w:hAnsi="宋体"/>
          <w:szCs w:val="21"/>
        </w:rPr>
        <w:t>：</w:t>
      </w:r>
      <w:r>
        <w:rPr>
          <w:rFonts w:ascii="宋体" w:hAnsi="宋体"/>
          <w:szCs w:val="21"/>
          <w:u w:val="single"/>
        </w:rPr>
        <w:t xml:space="preserve">          </w:t>
      </w:r>
      <w:r>
        <w:rPr>
          <w:rFonts w:ascii="宋体" w:hAnsi="宋体"/>
          <w:szCs w:val="21"/>
          <w:u w:val="single"/>
        </w:rPr>
        <w:tab/>
      </w:r>
      <w:r>
        <w:rPr>
          <w:rFonts w:ascii="宋体" w:hAnsi="宋体"/>
          <w:szCs w:val="21"/>
        </w:rPr>
        <w:t>（</w:t>
      </w:r>
      <w:r>
        <w:rPr>
          <w:rFonts w:hint="eastAsia" w:ascii="宋体" w:hAnsi="宋体"/>
          <w:szCs w:val="21"/>
        </w:rPr>
        <w:t>盖报价人公章</w:t>
      </w:r>
      <w:r>
        <w:rPr>
          <w:rFonts w:ascii="宋体" w:hAnsi="宋体"/>
          <w:szCs w:val="21"/>
        </w:rPr>
        <w:t>）</w:t>
      </w:r>
    </w:p>
    <w:p>
      <w:pPr>
        <w:spacing w:line="440" w:lineRule="exact"/>
        <w:rPr>
          <w:rFonts w:ascii="宋体" w:hAnsi="宋体"/>
          <w:szCs w:val="21"/>
        </w:rPr>
      </w:pPr>
    </w:p>
    <w:p>
      <w:pPr>
        <w:spacing w:line="440" w:lineRule="exact"/>
        <w:ind w:firstLine="4620" w:firstLineChars="2200"/>
        <w:rPr>
          <w:rFonts w:ascii="宋体" w:hAnsi="宋体"/>
          <w:szCs w:val="21"/>
        </w:rPr>
      </w:pP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pPr>
        <w:rPr>
          <w:rFonts w:ascii="宋体" w:hAnsi="宋体"/>
          <w:szCs w:val="21"/>
        </w:rPr>
      </w:pPr>
    </w:p>
    <w:p>
      <w:pPr>
        <w:rPr>
          <w:rFonts w:ascii="宋体" w:hAnsi="宋体"/>
          <w:szCs w:val="21"/>
        </w:rPr>
      </w:pPr>
    </w:p>
    <w:p>
      <w:pPr>
        <w:spacing w:line="440" w:lineRule="exact"/>
        <w:rPr>
          <w:rFonts w:ascii="宋体" w:hAnsi="宋体"/>
          <w:szCs w:val="21"/>
        </w:rPr>
      </w:pPr>
      <w:r>
        <w:rPr>
          <w:rFonts w:ascii="宋体" w:hAnsi="宋体"/>
          <w:szCs w:val="21"/>
        </w:rPr>
        <w:t>注：本身份证明需由</w:t>
      </w:r>
      <w:r>
        <w:rPr>
          <w:rFonts w:hint="eastAsia" w:ascii="宋体" w:hAnsi="宋体"/>
          <w:szCs w:val="21"/>
        </w:rPr>
        <w:t>报价人</w:t>
      </w:r>
      <w:r>
        <w:rPr>
          <w:rFonts w:ascii="宋体" w:hAnsi="宋体"/>
          <w:szCs w:val="21"/>
        </w:rPr>
        <w:t>加盖</w:t>
      </w:r>
      <w:r>
        <w:rPr>
          <w:rFonts w:hint="eastAsia" w:ascii="宋体" w:hAnsi="宋体"/>
          <w:szCs w:val="21"/>
        </w:rPr>
        <w:t>报价人公章</w:t>
      </w:r>
      <w:r>
        <w:rPr>
          <w:rFonts w:ascii="宋体" w:hAnsi="宋体"/>
          <w:szCs w:val="21"/>
        </w:rPr>
        <w:t>。</w:t>
      </w:r>
    </w:p>
    <w:p>
      <w:pPr>
        <w:spacing w:line="440" w:lineRule="exact"/>
        <w:rPr>
          <w:rFonts w:ascii="宋体" w:hAnsi="宋体"/>
          <w:szCs w:val="21"/>
        </w:rPr>
      </w:pPr>
    </w:p>
    <w:p>
      <w:pPr>
        <w:spacing w:line="20" w:lineRule="exact"/>
        <w:jc w:val="center"/>
        <w:rPr>
          <w:rFonts w:ascii="宋体" w:hAnsi="宋体"/>
          <w:sz w:val="20"/>
        </w:rPr>
      </w:pPr>
      <w:r>
        <w:rPr>
          <w:rFonts w:ascii="宋体" w:hAnsi="宋体"/>
          <w:sz w:val="20"/>
        </w:rPr>
        <w:br w:type="page"/>
      </w:r>
    </w:p>
    <w:p>
      <w:pPr>
        <w:pStyle w:val="4"/>
        <w:jc w:val="left"/>
        <w:rPr>
          <w:rFonts w:ascii="宋体" w:hAnsi="宋体"/>
          <w:sz w:val="28"/>
          <w:szCs w:val="28"/>
        </w:rPr>
      </w:pPr>
      <w:bookmarkStart w:id="242" w:name="_Toc491883233"/>
      <w:bookmarkStart w:id="243" w:name="_Toc10767"/>
      <w:bookmarkStart w:id="244" w:name="_Toc58"/>
      <w:r>
        <w:rPr>
          <w:rFonts w:hint="eastAsia" w:ascii="宋体" w:hAnsi="宋体" w:eastAsia="宋体" w:cs="宋体"/>
          <w:sz w:val="24"/>
          <w:szCs w:val="24"/>
        </w:rPr>
        <w:t>（二）</w:t>
      </w:r>
      <w:bookmarkEnd w:id="242"/>
      <w:r>
        <w:rPr>
          <w:rFonts w:hint="eastAsia" w:ascii="宋体" w:hAnsi="宋体" w:eastAsia="宋体" w:cs="宋体"/>
          <w:sz w:val="24"/>
          <w:szCs w:val="24"/>
        </w:rPr>
        <w:t>授权代表委托书</w:t>
      </w:r>
      <w:bookmarkEnd w:id="243"/>
      <w:bookmarkEnd w:id="244"/>
    </w:p>
    <w:p>
      <w:pPr>
        <w:topLinePunct/>
        <w:spacing w:line="440" w:lineRule="exact"/>
        <w:ind w:firstLine="420" w:firstLineChars="200"/>
        <w:rPr>
          <w:rFonts w:ascii="宋体" w:hAnsi="宋体"/>
          <w:szCs w:val="21"/>
        </w:rPr>
      </w:pPr>
      <w:r>
        <w:rPr>
          <w:rFonts w:ascii="宋体" w:hAnsi="宋体"/>
          <w:szCs w:val="21"/>
        </w:rPr>
        <w:t>本人</w:t>
      </w:r>
      <w:r>
        <w:rPr>
          <w:rFonts w:ascii="宋体" w:hAnsi="宋体"/>
          <w:szCs w:val="21"/>
          <w:u w:val="single"/>
        </w:rPr>
        <w:t xml:space="preserve">              </w:t>
      </w:r>
      <w:r>
        <w:rPr>
          <w:rFonts w:ascii="宋体" w:hAnsi="宋体"/>
          <w:szCs w:val="21"/>
        </w:rPr>
        <w:t>（姓名）系</w:t>
      </w:r>
      <w:r>
        <w:rPr>
          <w:rFonts w:ascii="宋体" w:hAnsi="宋体"/>
          <w:szCs w:val="21"/>
          <w:u w:val="single"/>
        </w:rPr>
        <w:t xml:space="preserve">                    </w:t>
      </w:r>
      <w:r>
        <w:rPr>
          <w:rFonts w:ascii="宋体" w:hAnsi="宋体"/>
          <w:szCs w:val="21"/>
        </w:rPr>
        <w:t>（</w:t>
      </w:r>
      <w:r>
        <w:rPr>
          <w:rFonts w:hint="eastAsia" w:ascii="宋体" w:hAnsi="宋体"/>
          <w:szCs w:val="21"/>
        </w:rPr>
        <w:t>报价人</w:t>
      </w:r>
      <w:r>
        <w:rPr>
          <w:rFonts w:ascii="宋体" w:hAnsi="宋体"/>
          <w:szCs w:val="21"/>
        </w:rPr>
        <w:t>名称）的法定代表人</w:t>
      </w:r>
      <w:r>
        <w:rPr>
          <w:rFonts w:hint="eastAsia" w:ascii="宋体" w:hAnsi="宋体"/>
          <w:szCs w:val="21"/>
        </w:rPr>
        <w:t>/负责人</w:t>
      </w:r>
      <w:r>
        <w:rPr>
          <w:rFonts w:ascii="宋体" w:hAnsi="宋体"/>
          <w:szCs w:val="21"/>
        </w:rPr>
        <w:t>，现委托</w:t>
      </w:r>
      <w:r>
        <w:rPr>
          <w:rFonts w:ascii="宋体" w:hAnsi="宋体"/>
          <w:szCs w:val="21"/>
          <w:u w:val="single"/>
        </w:rPr>
        <w:t xml:space="preserve">            </w:t>
      </w:r>
      <w:r>
        <w:rPr>
          <w:rFonts w:ascii="宋体" w:hAnsi="宋体"/>
          <w:szCs w:val="21"/>
        </w:rPr>
        <w:t>（姓名）为我方代理人。代理人根据授权，以我方名义签署、澄清确认、递交、撤回、修改招标项目</w:t>
      </w:r>
      <w:r>
        <w:rPr>
          <w:rFonts w:hint="eastAsia" w:ascii="宋体" w:hAnsi="宋体"/>
          <w:szCs w:val="21"/>
        </w:rPr>
        <w:t>比选</w:t>
      </w:r>
      <w:r>
        <w:rPr>
          <w:rFonts w:ascii="宋体" w:hAnsi="宋体"/>
          <w:szCs w:val="21"/>
        </w:rPr>
        <w:t>文件、签订合同和处理有关事宜，其法律后果由我方承担。</w:t>
      </w:r>
    </w:p>
    <w:p>
      <w:pPr>
        <w:spacing w:line="440" w:lineRule="exact"/>
        <w:rPr>
          <w:rFonts w:ascii="宋体" w:hAnsi="宋体"/>
          <w:szCs w:val="21"/>
        </w:rPr>
      </w:pPr>
      <w:r>
        <w:rPr>
          <w:rFonts w:ascii="宋体" w:hAnsi="宋体"/>
          <w:szCs w:val="21"/>
        </w:rPr>
        <w:t>委托期限：</w:t>
      </w:r>
      <w:r>
        <w:rPr>
          <w:rFonts w:ascii="宋体" w:hAnsi="宋体"/>
          <w:szCs w:val="21"/>
          <w:u w:val="single"/>
        </w:rPr>
        <w:t xml:space="preserve">                       </w:t>
      </w:r>
      <w:r>
        <w:rPr>
          <w:rFonts w:ascii="宋体" w:hAnsi="宋体"/>
          <w:szCs w:val="21"/>
        </w:rPr>
        <w:t>。</w:t>
      </w:r>
    </w:p>
    <w:p>
      <w:pPr>
        <w:spacing w:line="440" w:lineRule="exact"/>
        <w:ind w:firstLine="420" w:firstLineChars="200"/>
        <w:rPr>
          <w:rFonts w:ascii="宋体" w:hAnsi="宋体"/>
          <w:szCs w:val="21"/>
        </w:rPr>
      </w:pPr>
      <w:r>
        <w:rPr>
          <w:rFonts w:ascii="宋体" w:hAnsi="宋体"/>
          <w:szCs w:val="21"/>
        </w:rPr>
        <w:t>代理人无转委托权。</w:t>
      </w:r>
    </w:p>
    <w:p>
      <w:pPr>
        <w:spacing w:line="440" w:lineRule="exact"/>
        <w:ind w:firstLine="420" w:firstLineChars="200"/>
        <w:rPr>
          <w:rFonts w:ascii="宋体" w:hAnsi="宋体"/>
          <w:szCs w:val="21"/>
        </w:rPr>
      </w:pPr>
    </w:p>
    <w:p>
      <w:pPr>
        <w:spacing w:line="440" w:lineRule="exact"/>
        <w:rPr>
          <w:rFonts w:ascii="宋体" w:hAnsi="宋体"/>
          <w:szCs w:val="21"/>
        </w:rPr>
      </w:pPr>
      <w:r>
        <w:rPr>
          <w:rFonts w:ascii="宋体" w:hAnsi="宋体"/>
          <w:szCs w:val="21"/>
        </w:rPr>
        <w:t>附：法定代表人</w:t>
      </w:r>
      <w:r>
        <w:rPr>
          <w:rFonts w:hint="eastAsia" w:ascii="宋体" w:hAnsi="宋体"/>
          <w:szCs w:val="21"/>
        </w:rPr>
        <w:t>/负责人</w:t>
      </w:r>
      <w:r>
        <w:rPr>
          <w:rFonts w:ascii="宋体" w:hAnsi="宋体"/>
          <w:szCs w:val="21"/>
        </w:rPr>
        <w:t>身份证复印件及委托代理人身份证复印件</w:t>
      </w:r>
      <w:r>
        <w:rPr>
          <w:rFonts w:hint="eastAsia" w:ascii="宋体" w:hAnsi="宋体"/>
          <w:szCs w:val="21"/>
        </w:rPr>
        <w:t>（正、反面）</w:t>
      </w: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ind w:firstLine="2692" w:firstLineChars="1282"/>
        <w:rPr>
          <w:rFonts w:ascii="宋体" w:hAnsi="宋体"/>
          <w:szCs w:val="21"/>
        </w:rPr>
      </w:pPr>
      <w:r>
        <w:rPr>
          <w:rFonts w:hint="eastAsia" w:ascii="宋体" w:hAnsi="宋体"/>
          <w:szCs w:val="21"/>
        </w:rPr>
        <w:t>报  价  人</w:t>
      </w:r>
      <w:r>
        <w:rPr>
          <w:rFonts w:ascii="宋体" w:hAnsi="宋体"/>
          <w:szCs w:val="21"/>
        </w:rPr>
        <w:t>：</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r>
        <w:rPr>
          <w:rFonts w:ascii="宋体" w:hAnsi="宋体"/>
          <w:szCs w:val="21"/>
        </w:rPr>
        <w:t>（</w:t>
      </w:r>
      <w:r>
        <w:rPr>
          <w:rFonts w:hint="eastAsia" w:ascii="宋体" w:hAnsi="宋体"/>
          <w:szCs w:val="21"/>
        </w:rPr>
        <w:t>盖报价人公章</w:t>
      </w:r>
      <w:r>
        <w:rPr>
          <w:rFonts w:ascii="宋体" w:hAnsi="宋体"/>
          <w:szCs w:val="21"/>
        </w:rPr>
        <w:t>）</w:t>
      </w:r>
    </w:p>
    <w:p>
      <w:pPr>
        <w:spacing w:line="440" w:lineRule="exact"/>
        <w:ind w:firstLine="1890" w:firstLineChars="900"/>
        <w:jc w:val="left"/>
        <w:rPr>
          <w:rFonts w:ascii="宋体" w:hAnsi="宋体"/>
          <w:szCs w:val="21"/>
        </w:rPr>
      </w:pPr>
      <w:r>
        <w:rPr>
          <w:rFonts w:ascii="宋体" w:hAnsi="宋体"/>
          <w:szCs w:val="21"/>
        </w:rPr>
        <w:t>法定代表人</w:t>
      </w:r>
      <w:r>
        <w:rPr>
          <w:rFonts w:hint="eastAsia" w:ascii="宋体" w:hAnsi="宋体"/>
          <w:szCs w:val="21"/>
        </w:rPr>
        <w:t>/负责人</w:t>
      </w:r>
      <w:r>
        <w:rPr>
          <w:rFonts w:ascii="宋体" w:hAnsi="宋体"/>
          <w:szCs w:val="21"/>
        </w:rPr>
        <w:t>：</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ab/>
      </w:r>
      <w:r>
        <w:rPr>
          <w:rFonts w:ascii="宋体" w:hAnsi="宋体"/>
          <w:szCs w:val="21"/>
        </w:rPr>
        <w:t>（签字</w:t>
      </w:r>
      <w:r>
        <w:rPr>
          <w:rFonts w:hint="eastAsia" w:ascii="宋体" w:hAnsi="宋体"/>
          <w:szCs w:val="21"/>
        </w:rPr>
        <w:t xml:space="preserve"> </w:t>
      </w:r>
      <w:r>
        <w:rPr>
          <w:rFonts w:ascii="宋体" w:hAnsi="宋体"/>
          <w:szCs w:val="21"/>
        </w:rPr>
        <w:t>）</w:t>
      </w:r>
    </w:p>
    <w:p>
      <w:pPr>
        <w:spacing w:line="440" w:lineRule="exact"/>
        <w:ind w:firstLine="2692" w:firstLineChars="1282"/>
        <w:rPr>
          <w:rFonts w:ascii="宋体" w:hAnsi="宋体"/>
          <w:szCs w:val="21"/>
        </w:rPr>
      </w:pPr>
      <w:r>
        <w:rPr>
          <w:rFonts w:ascii="宋体" w:hAnsi="宋体"/>
          <w:szCs w:val="21"/>
        </w:rPr>
        <w:t>身份证号码：</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p>
    <w:p>
      <w:pPr>
        <w:spacing w:line="440" w:lineRule="exact"/>
        <w:ind w:firstLine="2692" w:firstLineChars="1282"/>
        <w:rPr>
          <w:rFonts w:ascii="宋体" w:hAnsi="宋体"/>
          <w:szCs w:val="21"/>
        </w:rPr>
      </w:pPr>
      <w:r>
        <w:rPr>
          <w:rFonts w:ascii="宋体" w:hAnsi="宋体"/>
          <w:szCs w:val="21"/>
        </w:rPr>
        <w:t>委托代理人：</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r>
        <w:rPr>
          <w:rFonts w:ascii="宋体" w:hAnsi="宋体"/>
          <w:szCs w:val="21"/>
        </w:rPr>
        <w:t>（签字）</w:t>
      </w:r>
    </w:p>
    <w:p>
      <w:pPr>
        <w:spacing w:line="440" w:lineRule="exact"/>
        <w:ind w:firstLine="2692" w:firstLineChars="1282"/>
        <w:rPr>
          <w:rFonts w:ascii="宋体" w:hAnsi="宋体"/>
          <w:szCs w:val="21"/>
        </w:rPr>
      </w:pPr>
      <w:r>
        <w:rPr>
          <w:rFonts w:ascii="宋体" w:hAnsi="宋体"/>
          <w:szCs w:val="21"/>
        </w:rPr>
        <w:t>身份证号码：</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p>
    <w:p>
      <w:pPr>
        <w:spacing w:line="440" w:lineRule="exact"/>
        <w:ind w:firstLine="2692" w:firstLineChars="1282"/>
        <w:rPr>
          <w:rFonts w:ascii="宋体" w:hAnsi="宋体"/>
          <w:szCs w:val="21"/>
        </w:rPr>
      </w:pPr>
    </w:p>
    <w:p>
      <w:pPr>
        <w:spacing w:line="440" w:lineRule="exact"/>
        <w:ind w:firstLine="4057" w:firstLineChars="1932"/>
        <w:jc w:val="right"/>
        <w:rPr>
          <w:rFonts w:ascii="宋体" w:hAnsi="宋体"/>
          <w:szCs w:val="21"/>
        </w:rPr>
      </w:pP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pPr>
        <w:rPr>
          <w:rFonts w:ascii="宋体" w:hAnsi="宋体"/>
          <w:szCs w:val="21"/>
        </w:rPr>
      </w:pPr>
    </w:p>
    <w:p>
      <w:pPr>
        <w:rPr>
          <w:rFonts w:ascii="宋体" w:hAnsi="宋体"/>
          <w:szCs w:val="21"/>
        </w:rPr>
      </w:pPr>
    </w:p>
    <w:p>
      <w:pPr>
        <w:spacing w:line="440" w:lineRule="exact"/>
        <w:rPr>
          <w:rFonts w:ascii="宋体" w:hAnsi="宋体"/>
          <w:szCs w:val="21"/>
        </w:rPr>
      </w:pPr>
      <w:r>
        <w:rPr>
          <w:rFonts w:ascii="宋体" w:hAnsi="宋体"/>
          <w:szCs w:val="21"/>
        </w:rPr>
        <w:t>注：本授权委托书需由</w:t>
      </w:r>
      <w:r>
        <w:rPr>
          <w:rFonts w:hint="eastAsia" w:ascii="宋体" w:hAnsi="宋体"/>
          <w:szCs w:val="21"/>
        </w:rPr>
        <w:t>报价人</w:t>
      </w:r>
      <w:r>
        <w:rPr>
          <w:rFonts w:ascii="宋体" w:hAnsi="宋体"/>
          <w:szCs w:val="21"/>
        </w:rPr>
        <w:t>加盖</w:t>
      </w:r>
      <w:r>
        <w:rPr>
          <w:rFonts w:hint="eastAsia" w:ascii="宋体" w:hAnsi="宋体"/>
          <w:szCs w:val="21"/>
        </w:rPr>
        <w:t>报价人公章</w:t>
      </w:r>
      <w:r>
        <w:rPr>
          <w:rFonts w:ascii="宋体" w:hAnsi="宋体"/>
          <w:szCs w:val="21"/>
        </w:rPr>
        <w:t>并由其法定代表人</w:t>
      </w:r>
      <w:r>
        <w:rPr>
          <w:rFonts w:hint="eastAsia" w:ascii="宋体" w:hAnsi="宋体"/>
          <w:szCs w:val="21"/>
        </w:rPr>
        <w:t>/负责人</w:t>
      </w:r>
      <w:r>
        <w:rPr>
          <w:rFonts w:ascii="宋体" w:hAnsi="宋体"/>
          <w:szCs w:val="21"/>
        </w:rPr>
        <w:t>和委托代理人签字。</w:t>
      </w:r>
    </w:p>
    <w:p>
      <w:pPr>
        <w:pStyle w:val="28"/>
        <w:rPr>
          <w:sz w:val="21"/>
          <w:szCs w:val="21"/>
        </w:rPr>
        <w:sectPr>
          <w:pgSz w:w="11906" w:h="16838"/>
          <w:pgMar w:top="1440" w:right="1803" w:bottom="1440" w:left="1803" w:header="851" w:footer="992" w:gutter="0"/>
          <w:cols w:space="720" w:num="1"/>
          <w:titlePg/>
          <w:docGrid w:type="lines" w:linePitch="319" w:charSpace="0"/>
        </w:sectPr>
      </w:pPr>
    </w:p>
    <w:p>
      <w:pPr>
        <w:jc w:val="center"/>
        <w:outlineLvl w:val="1"/>
        <w:rPr>
          <w:rFonts w:ascii="宋体" w:hAnsi="宋体" w:cs="宋体"/>
          <w:b/>
          <w:bCs/>
          <w:kern w:val="0"/>
          <w:sz w:val="28"/>
          <w:szCs w:val="32"/>
        </w:rPr>
      </w:pPr>
      <w:bookmarkStart w:id="245" w:name="_Toc11329275"/>
      <w:r>
        <w:rPr>
          <w:rFonts w:hint="eastAsia" w:ascii="宋体" w:hAnsi="宋体" w:cs="宋体"/>
          <w:b/>
          <w:bCs/>
          <w:kern w:val="0"/>
          <w:sz w:val="28"/>
          <w:szCs w:val="32"/>
        </w:rPr>
        <w:t>三、</w:t>
      </w:r>
      <w:bookmarkEnd w:id="220"/>
      <w:bookmarkEnd w:id="221"/>
      <w:bookmarkEnd w:id="222"/>
      <w:bookmarkEnd w:id="245"/>
      <w:r>
        <w:rPr>
          <w:rFonts w:hint="eastAsia" w:ascii="宋体" w:hAnsi="宋体" w:cs="宋体"/>
          <w:b/>
          <w:bCs/>
          <w:kern w:val="0"/>
          <w:sz w:val="28"/>
          <w:szCs w:val="32"/>
        </w:rPr>
        <w:t>报价一览表</w:t>
      </w:r>
    </w:p>
    <w:p>
      <w:pPr>
        <w:ind w:left="765"/>
        <w:jc w:val="center"/>
        <w:rPr>
          <w:rFonts w:ascii="宋体" w:hAnsi="宋体" w:cs="宋体"/>
          <w:szCs w:val="21"/>
        </w:rPr>
      </w:pPr>
    </w:p>
    <w:p>
      <w:pPr>
        <w:pStyle w:val="38"/>
        <w:jc w:val="both"/>
        <w:rPr>
          <w:rFonts w:hAnsi="宋体"/>
        </w:rPr>
      </w:pPr>
      <w:r>
        <w:rPr>
          <w:rFonts w:hint="eastAsia" w:hAnsi="宋体"/>
        </w:rPr>
        <w:t>重庆首讯科技股份有限公司：</w:t>
      </w:r>
    </w:p>
    <w:p>
      <w:pPr>
        <w:spacing w:line="360" w:lineRule="auto"/>
        <w:ind w:firstLine="420" w:firstLineChars="200"/>
        <w:jc w:val="left"/>
        <w:rPr>
          <w:rFonts w:ascii="宋体" w:hAnsi="宋体"/>
          <w:b/>
          <w:color w:val="000000"/>
          <w:sz w:val="24"/>
        </w:rPr>
      </w:pPr>
      <w:r>
        <w:rPr>
          <w:rFonts w:hint="eastAsia" w:ascii="宋体" w:hAnsi="宋体"/>
        </w:rPr>
        <w:t>在研究了竞争比选文件中所有文件后，我司对</w:t>
      </w:r>
      <w:r>
        <w:rPr>
          <w:rFonts w:hint="eastAsia" w:ascii="宋体" w:hAnsi="宋体"/>
          <w:u w:val="single"/>
        </w:rPr>
        <w:t>重庆高速数据资源管理平台建设项目</w:t>
      </w:r>
      <w:r>
        <w:rPr>
          <w:rFonts w:hint="eastAsia" w:ascii="宋体" w:hAnsi="宋体"/>
        </w:rPr>
        <w:t>竞争比选响应报价如下：</w:t>
      </w:r>
      <w:r>
        <w:rPr>
          <w:rFonts w:hint="eastAsia" w:ascii="宋体" w:hAnsi="宋体"/>
          <w:b/>
          <w:color w:val="000000"/>
          <w:sz w:val="24"/>
        </w:rPr>
        <w:t xml:space="preserve"> </w:t>
      </w:r>
    </w:p>
    <w:p>
      <w:pPr>
        <w:tabs>
          <w:tab w:val="left" w:pos="1680"/>
          <w:tab w:val="left" w:pos="4215"/>
          <w:tab w:val="left" w:pos="4305"/>
          <w:tab w:val="left" w:pos="8000"/>
        </w:tabs>
        <w:autoSpaceDE w:val="0"/>
        <w:autoSpaceDN w:val="0"/>
        <w:adjustRightInd w:val="0"/>
        <w:snapToGrid w:val="0"/>
        <w:spacing w:line="360" w:lineRule="auto"/>
        <w:ind w:firstLine="562" w:firstLineChars="200"/>
        <w:rPr>
          <w:rFonts w:ascii="宋体" w:hAnsi="宋体" w:cs="宋体"/>
          <w:kern w:val="0"/>
          <w:szCs w:val="21"/>
        </w:rPr>
      </w:pPr>
      <w:r>
        <w:rPr>
          <w:rFonts w:hint="eastAsia" w:ascii="宋体" w:hAnsi="宋体" w:cs="宋体"/>
          <w:b/>
          <w:kern w:val="0"/>
          <w:sz w:val="28"/>
          <w:szCs w:val="28"/>
        </w:rPr>
        <w:t xml:space="preserve"> </w:t>
      </w:r>
    </w:p>
    <w:tbl>
      <w:tblPr>
        <w:tblStyle w:val="43"/>
        <w:tblW w:w="8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4"/>
        <w:gridCol w:w="2085"/>
        <w:gridCol w:w="1380"/>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834" w:type="dxa"/>
            <w:vAlign w:val="center"/>
          </w:tcPr>
          <w:p>
            <w:pPr>
              <w:widowControl/>
              <w:jc w:val="center"/>
              <w:textAlignment w:val="top"/>
              <w:rPr>
                <w:rFonts w:ascii="宋体" w:hAnsi="宋体" w:cs="宋体"/>
                <w:b/>
                <w:bCs/>
                <w:szCs w:val="22"/>
              </w:rPr>
            </w:pPr>
            <w:bookmarkStart w:id="246" w:name="_Toc513633971"/>
            <w:bookmarkStart w:id="247" w:name="_Toc503951050"/>
            <w:bookmarkStart w:id="248" w:name="_Toc11329278"/>
            <w:bookmarkStart w:id="249" w:name="_Toc152045803"/>
            <w:bookmarkStart w:id="250" w:name="_Toc144974871"/>
            <w:bookmarkStart w:id="251" w:name="_Toc152042592"/>
            <w:bookmarkStart w:id="252" w:name="_Toc179632823"/>
            <w:bookmarkStart w:id="253" w:name="_Toc447827058"/>
            <w:bookmarkStart w:id="254" w:name="_Toc246996369"/>
            <w:bookmarkStart w:id="255" w:name="_Toc247085887"/>
            <w:bookmarkStart w:id="256" w:name="_Toc246997112"/>
            <w:r>
              <w:rPr>
                <w:rFonts w:hint="eastAsia" w:ascii="宋体" w:hAnsi="宋体" w:cs="宋体"/>
                <w:b/>
                <w:bCs/>
                <w:color w:val="000000"/>
                <w:kern w:val="0"/>
                <w:szCs w:val="21"/>
                <w:lang w:bidi="ar"/>
              </w:rPr>
              <w:t>项目名称</w:t>
            </w:r>
          </w:p>
        </w:tc>
        <w:tc>
          <w:tcPr>
            <w:tcW w:w="2085" w:type="dxa"/>
            <w:vAlign w:val="center"/>
          </w:tcPr>
          <w:p>
            <w:pPr>
              <w:widowControl/>
              <w:jc w:val="center"/>
              <w:textAlignment w:val="top"/>
              <w:rPr>
                <w:rFonts w:ascii="宋体" w:hAnsi="宋体" w:cs="宋体"/>
                <w:b/>
                <w:bCs/>
                <w:szCs w:val="22"/>
              </w:rPr>
            </w:pPr>
            <w:r>
              <w:rPr>
                <w:rFonts w:hint="eastAsia" w:ascii="宋体" w:hAnsi="宋体" w:cs="宋体"/>
                <w:b/>
                <w:bCs/>
                <w:color w:val="000000"/>
                <w:kern w:val="0"/>
                <w:szCs w:val="21"/>
                <w:lang w:bidi="ar"/>
              </w:rPr>
              <w:t>含税报价（元）</w:t>
            </w:r>
          </w:p>
        </w:tc>
        <w:tc>
          <w:tcPr>
            <w:tcW w:w="1380" w:type="dxa"/>
            <w:vAlign w:val="center"/>
          </w:tcPr>
          <w:p>
            <w:pPr>
              <w:widowControl/>
              <w:jc w:val="center"/>
              <w:textAlignment w:val="top"/>
              <w:rPr>
                <w:rFonts w:ascii="宋体" w:hAnsi="宋体" w:cs="宋体"/>
                <w:b/>
                <w:bCs/>
                <w:szCs w:val="22"/>
              </w:rPr>
            </w:pPr>
            <w:r>
              <w:rPr>
                <w:rFonts w:hint="eastAsia" w:ascii="宋体" w:hAnsi="宋体" w:cs="宋体"/>
                <w:b/>
                <w:bCs/>
                <w:szCs w:val="22"/>
              </w:rPr>
              <w:t>税率</w:t>
            </w:r>
          </w:p>
        </w:tc>
        <w:tc>
          <w:tcPr>
            <w:tcW w:w="1455" w:type="dxa"/>
            <w:vAlign w:val="center"/>
          </w:tcPr>
          <w:p>
            <w:pPr>
              <w:widowControl/>
              <w:jc w:val="center"/>
              <w:textAlignment w:val="top"/>
              <w:rPr>
                <w:rFonts w:ascii="宋体" w:hAnsi="宋体" w:cs="宋体"/>
                <w:b/>
                <w:bCs/>
                <w:color w:val="000000"/>
                <w:kern w:val="0"/>
                <w:szCs w:val="21"/>
                <w:lang w:bidi="ar"/>
              </w:rPr>
            </w:pPr>
            <w:r>
              <w:rPr>
                <w:rFonts w:hint="eastAsia" w:ascii="宋体" w:hAnsi="宋体" w:cs="宋体"/>
                <w:b/>
                <w:bCs/>
                <w:color w:val="000000"/>
                <w:kern w:val="0"/>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exact"/>
          <w:jc w:val="center"/>
        </w:trPr>
        <w:tc>
          <w:tcPr>
            <w:tcW w:w="3834" w:type="dxa"/>
            <w:vAlign w:val="center"/>
          </w:tcPr>
          <w:p>
            <w:pPr>
              <w:widowControl/>
              <w:jc w:val="center"/>
              <w:textAlignment w:val="center"/>
              <w:rPr>
                <w:rFonts w:ascii="宋体" w:hAnsi="宋体" w:cs="宋体"/>
                <w:szCs w:val="22"/>
              </w:rPr>
            </w:pPr>
            <w:r>
              <w:rPr>
                <w:rFonts w:hint="eastAsia" w:asciiTheme="minorEastAsia" w:hAnsiTheme="minorEastAsia" w:eastAsiaTheme="minorEastAsia"/>
                <w:szCs w:val="21"/>
              </w:rPr>
              <w:t>数据采集治理管理</w:t>
            </w:r>
          </w:p>
        </w:tc>
        <w:tc>
          <w:tcPr>
            <w:tcW w:w="2085" w:type="dxa"/>
            <w:vAlign w:val="center"/>
          </w:tcPr>
          <w:p>
            <w:pPr>
              <w:widowControl/>
              <w:jc w:val="center"/>
              <w:textAlignment w:val="center"/>
              <w:rPr>
                <w:rFonts w:ascii="宋体" w:hAnsi="宋体" w:cs="宋体"/>
                <w:szCs w:val="22"/>
              </w:rPr>
            </w:pPr>
          </w:p>
        </w:tc>
        <w:tc>
          <w:tcPr>
            <w:tcW w:w="1380" w:type="dxa"/>
            <w:vAlign w:val="center"/>
          </w:tcPr>
          <w:p>
            <w:pPr>
              <w:widowControl/>
              <w:jc w:val="center"/>
              <w:textAlignment w:val="center"/>
              <w:rPr>
                <w:rFonts w:ascii="宋体" w:hAnsi="宋体" w:cs="宋体"/>
                <w:szCs w:val="22"/>
              </w:rPr>
            </w:pPr>
            <w:r>
              <w:rPr>
                <w:rFonts w:hint="eastAsia" w:ascii="宋体" w:hAnsi="宋体" w:cs="宋体"/>
                <w:szCs w:val="22"/>
              </w:rPr>
              <w:t>6%</w:t>
            </w:r>
          </w:p>
        </w:tc>
        <w:tc>
          <w:tcPr>
            <w:tcW w:w="1455" w:type="dxa"/>
            <w:vAlign w:val="center"/>
          </w:tcPr>
          <w:p>
            <w:pPr>
              <w:jc w:val="center"/>
              <w:rPr>
                <w:rFonts w:ascii="宋体" w:hAnsi="宋体" w:cs="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exact"/>
          <w:jc w:val="center"/>
        </w:trPr>
        <w:tc>
          <w:tcPr>
            <w:tcW w:w="3834" w:type="dxa"/>
            <w:vAlign w:val="center"/>
          </w:tcPr>
          <w:p>
            <w:pPr>
              <w:pStyle w:val="2"/>
              <w:jc w:val="center"/>
              <w:rPr>
                <w:rFonts w:ascii="宋体" w:hAnsi="宋体" w:cs="宋体"/>
                <w:szCs w:val="22"/>
              </w:rPr>
            </w:pPr>
            <w:r>
              <w:rPr>
                <w:rFonts w:hint="eastAsia" w:asciiTheme="minorEastAsia" w:hAnsiTheme="minorEastAsia" w:eastAsiaTheme="minorEastAsia"/>
                <w:sz w:val="21"/>
                <w:szCs w:val="21"/>
              </w:rPr>
              <w:t>数据指标体系管理</w:t>
            </w:r>
          </w:p>
        </w:tc>
        <w:tc>
          <w:tcPr>
            <w:tcW w:w="2085" w:type="dxa"/>
            <w:vAlign w:val="center"/>
          </w:tcPr>
          <w:p>
            <w:pPr>
              <w:widowControl/>
              <w:jc w:val="center"/>
              <w:textAlignment w:val="center"/>
              <w:rPr>
                <w:rFonts w:ascii="宋体" w:hAnsi="宋体" w:cs="宋体"/>
                <w:szCs w:val="22"/>
              </w:rPr>
            </w:pPr>
          </w:p>
        </w:tc>
        <w:tc>
          <w:tcPr>
            <w:tcW w:w="1380" w:type="dxa"/>
            <w:vAlign w:val="center"/>
          </w:tcPr>
          <w:p>
            <w:pPr>
              <w:widowControl/>
              <w:jc w:val="center"/>
              <w:textAlignment w:val="center"/>
              <w:rPr>
                <w:rFonts w:ascii="宋体" w:hAnsi="宋体" w:cs="宋体"/>
                <w:szCs w:val="22"/>
              </w:rPr>
            </w:pPr>
            <w:r>
              <w:rPr>
                <w:rFonts w:hint="eastAsia" w:ascii="宋体" w:hAnsi="宋体" w:cs="宋体"/>
                <w:szCs w:val="22"/>
              </w:rPr>
              <w:t>6%</w:t>
            </w:r>
          </w:p>
        </w:tc>
        <w:tc>
          <w:tcPr>
            <w:tcW w:w="1455" w:type="dxa"/>
            <w:vAlign w:val="center"/>
          </w:tcPr>
          <w:p>
            <w:pPr>
              <w:jc w:val="center"/>
              <w:rPr>
                <w:rFonts w:ascii="宋体" w:hAnsi="宋体" w:cs="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exact"/>
          <w:jc w:val="center"/>
        </w:trPr>
        <w:tc>
          <w:tcPr>
            <w:tcW w:w="3834" w:type="dxa"/>
            <w:vAlign w:val="center"/>
          </w:tcPr>
          <w:p>
            <w:pPr>
              <w:pStyle w:val="2"/>
              <w:jc w:val="center"/>
              <w:rPr>
                <w:rFonts w:ascii="宋体" w:hAnsi="宋体" w:cs="宋体"/>
                <w:szCs w:val="22"/>
              </w:rPr>
            </w:pPr>
            <w:r>
              <w:rPr>
                <w:rFonts w:hint="eastAsia" w:asciiTheme="minorEastAsia" w:hAnsiTheme="minorEastAsia" w:eastAsiaTheme="minorEastAsia"/>
                <w:sz w:val="21"/>
                <w:szCs w:val="21"/>
              </w:rPr>
              <w:t>数字工作台</w:t>
            </w:r>
          </w:p>
        </w:tc>
        <w:tc>
          <w:tcPr>
            <w:tcW w:w="2085" w:type="dxa"/>
            <w:vAlign w:val="center"/>
          </w:tcPr>
          <w:p>
            <w:pPr>
              <w:widowControl/>
              <w:jc w:val="center"/>
              <w:textAlignment w:val="center"/>
              <w:rPr>
                <w:rFonts w:ascii="宋体" w:hAnsi="宋体" w:cs="宋体"/>
                <w:szCs w:val="22"/>
              </w:rPr>
            </w:pPr>
          </w:p>
        </w:tc>
        <w:tc>
          <w:tcPr>
            <w:tcW w:w="1380" w:type="dxa"/>
            <w:vAlign w:val="center"/>
          </w:tcPr>
          <w:p>
            <w:pPr>
              <w:widowControl/>
              <w:jc w:val="center"/>
              <w:textAlignment w:val="center"/>
              <w:rPr>
                <w:rFonts w:ascii="宋体" w:hAnsi="宋体" w:cs="宋体"/>
                <w:szCs w:val="22"/>
              </w:rPr>
            </w:pPr>
            <w:r>
              <w:rPr>
                <w:rFonts w:hint="eastAsia" w:ascii="宋体" w:hAnsi="宋体" w:cs="宋体"/>
                <w:szCs w:val="22"/>
              </w:rPr>
              <w:t>6%</w:t>
            </w:r>
          </w:p>
        </w:tc>
        <w:tc>
          <w:tcPr>
            <w:tcW w:w="1455" w:type="dxa"/>
            <w:vAlign w:val="center"/>
          </w:tcPr>
          <w:p>
            <w:pPr>
              <w:jc w:val="center"/>
              <w:rPr>
                <w:rFonts w:ascii="宋体" w:hAnsi="宋体" w:cs="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exact"/>
          <w:jc w:val="center"/>
        </w:trPr>
        <w:tc>
          <w:tcPr>
            <w:tcW w:w="3834" w:type="dxa"/>
            <w:vAlign w:val="center"/>
          </w:tcPr>
          <w:p>
            <w:pPr>
              <w:pStyle w:val="2"/>
              <w:jc w:val="center"/>
              <w:rPr>
                <w:rFonts w:ascii="宋体" w:hAnsi="宋体" w:cs="宋体"/>
                <w:szCs w:val="22"/>
              </w:rPr>
            </w:pPr>
            <w:r>
              <w:rPr>
                <w:rFonts w:hint="eastAsia" w:asciiTheme="minorEastAsia" w:hAnsiTheme="minorEastAsia" w:eastAsiaTheme="minorEastAsia"/>
                <w:sz w:val="21"/>
                <w:szCs w:val="21"/>
              </w:rPr>
              <w:t>AI中台</w:t>
            </w:r>
          </w:p>
        </w:tc>
        <w:tc>
          <w:tcPr>
            <w:tcW w:w="2085" w:type="dxa"/>
            <w:vAlign w:val="center"/>
          </w:tcPr>
          <w:p>
            <w:pPr>
              <w:widowControl/>
              <w:jc w:val="center"/>
              <w:textAlignment w:val="center"/>
              <w:rPr>
                <w:rFonts w:ascii="宋体" w:hAnsi="宋体" w:cs="宋体"/>
                <w:szCs w:val="22"/>
              </w:rPr>
            </w:pPr>
          </w:p>
        </w:tc>
        <w:tc>
          <w:tcPr>
            <w:tcW w:w="1380" w:type="dxa"/>
            <w:vAlign w:val="center"/>
          </w:tcPr>
          <w:p>
            <w:pPr>
              <w:widowControl/>
              <w:jc w:val="center"/>
              <w:textAlignment w:val="center"/>
              <w:rPr>
                <w:rFonts w:ascii="宋体" w:hAnsi="宋体" w:cs="宋体"/>
                <w:szCs w:val="22"/>
              </w:rPr>
            </w:pPr>
            <w:r>
              <w:rPr>
                <w:rFonts w:hint="eastAsia" w:ascii="宋体" w:hAnsi="宋体" w:cs="宋体"/>
                <w:szCs w:val="22"/>
              </w:rPr>
              <w:t>6%</w:t>
            </w:r>
          </w:p>
        </w:tc>
        <w:tc>
          <w:tcPr>
            <w:tcW w:w="1455" w:type="dxa"/>
            <w:vAlign w:val="center"/>
          </w:tcPr>
          <w:p>
            <w:pPr>
              <w:jc w:val="center"/>
              <w:rPr>
                <w:rFonts w:ascii="宋体" w:hAnsi="宋体" w:cs="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exact"/>
          <w:jc w:val="center"/>
        </w:trPr>
        <w:tc>
          <w:tcPr>
            <w:tcW w:w="3834" w:type="dxa"/>
            <w:vAlign w:val="center"/>
          </w:tcPr>
          <w:p>
            <w:pPr>
              <w:pStyle w:val="2"/>
              <w:jc w:val="center"/>
              <w:rPr>
                <w:rFonts w:ascii="宋体" w:hAnsi="宋体" w:cs="宋体"/>
                <w:szCs w:val="22"/>
              </w:rPr>
            </w:pPr>
            <w:r>
              <w:rPr>
                <w:rFonts w:hint="eastAsia" w:asciiTheme="minorEastAsia" w:hAnsiTheme="minorEastAsia" w:eastAsiaTheme="minorEastAsia"/>
                <w:sz w:val="21"/>
                <w:szCs w:val="21"/>
              </w:rPr>
              <w:t>数据服务中心</w:t>
            </w:r>
          </w:p>
        </w:tc>
        <w:tc>
          <w:tcPr>
            <w:tcW w:w="2085" w:type="dxa"/>
            <w:vAlign w:val="center"/>
          </w:tcPr>
          <w:p>
            <w:pPr>
              <w:widowControl/>
              <w:jc w:val="center"/>
              <w:textAlignment w:val="center"/>
              <w:rPr>
                <w:rFonts w:ascii="宋体" w:hAnsi="宋体" w:cs="宋体"/>
                <w:szCs w:val="22"/>
              </w:rPr>
            </w:pPr>
          </w:p>
        </w:tc>
        <w:tc>
          <w:tcPr>
            <w:tcW w:w="1380" w:type="dxa"/>
            <w:vAlign w:val="center"/>
          </w:tcPr>
          <w:p>
            <w:pPr>
              <w:widowControl/>
              <w:jc w:val="center"/>
              <w:textAlignment w:val="center"/>
              <w:rPr>
                <w:rFonts w:ascii="宋体" w:hAnsi="宋体" w:cs="宋体"/>
                <w:szCs w:val="22"/>
              </w:rPr>
            </w:pPr>
            <w:r>
              <w:rPr>
                <w:rFonts w:hint="eastAsia" w:ascii="宋体" w:hAnsi="宋体" w:cs="宋体"/>
                <w:szCs w:val="22"/>
              </w:rPr>
              <w:t>6%</w:t>
            </w:r>
          </w:p>
        </w:tc>
        <w:tc>
          <w:tcPr>
            <w:tcW w:w="1455" w:type="dxa"/>
            <w:vAlign w:val="center"/>
          </w:tcPr>
          <w:p>
            <w:pPr>
              <w:jc w:val="center"/>
              <w:rPr>
                <w:rFonts w:ascii="宋体" w:hAnsi="宋体" w:cs="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exact"/>
          <w:jc w:val="center"/>
        </w:trPr>
        <w:tc>
          <w:tcPr>
            <w:tcW w:w="3834" w:type="dxa"/>
            <w:vAlign w:val="center"/>
          </w:tcPr>
          <w:p>
            <w:pPr>
              <w:pStyle w:val="2"/>
              <w:jc w:val="center"/>
              <w:rPr>
                <w:rFonts w:ascii="宋体" w:hAnsi="宋体" w:cs="宋体"/>
                <w:szCs w:val="22"/>
              </w:rPr>
            </w:pPr>
            <w:r>
              <w:rPr>
                <w:rFonts w:hint="eastAsia" w:asciiTheme="minorEastAsia" w:hAnsiTheme="minorEastAsia" w:eastAsiaTheme="minorEastAsia"/>
                <w:sz w:val="21"/>
                <w:szCs w:val="21"/>
              </w:rPr>
              <w:t>数据运行监测</w:t>
            </w:r>
          </w:p>
        </w:tc>
        <w:tc>
          <w:tcPr>
            <w:tcW w:w="2085" w:type="dxa"/>
            <w:vAlign w:val="center"/>
          </w:tcPr>
          <w:p>
            <w:pPr>
              <w:widowControl/>
              <w:jc w:val="center"/>
              <w:textAlignment w:val="center"/>
              <w:rPr>
                <w:rFonts w:ascii="宋体" w:hAnsi="宋体" w:cs="宋体"/>
                <w:szCs w:val="22"/>
              </w:rPr>
            </w:pPr>
          </w:p>
        </w:tc>
        <w:tc>
          <w:tcPr>
            <w:tcW w:w="1380" w:type="dxa"/>
            <w:vAlign w:val="center"/>
          </w:tcPr>
          <w:p>
            <w:pPr>
              <w:widowControl/>
              <w:jc w:val="center"/>
              <w:textAlignment w:val="center"/>
              <w:rPr>
                <w:rFonts w:ascii="宋体" w:hAnsi="宋体" w:cs="宋体"/>
                <w:szCs w:val="22"/>
              </w:rPr>
            </w:pPr>
            <w:r>
              <w:rPr>
                <w:rFonts w:hint="eastAsia" w:ascii="宋体" w:hAnsi="宋体" w:cs="宋体"/>
                <w:szCs w:val="22"/>
              </w:rPr>
              <w:t>6%</w:t>
            </w:r>
          </w:p>
        </w:tc>
        <w:tc>
          <w:tcPr>
            <w:tcW w:w="1455" w:type="dxa"/>
            <w:vAlign w:val="center"/>
          </w:tcPr>
          <w:p>
            <w:pPr>
              <w:jc w:val="center"/>
              <w:rPr>
                <w:rFonts w:ascii="宋体" w:hAnsi="宋体" w:cs="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3834" w:type="dxa"/>
            <w:vAlign w:val="center"/>
          </w:tcPr>
          <w:p>
            <w:pPr>
              <w:widowControl/>
              <w:jc w:val="center"/>
              <w:textAlignment w:val="top"/>
              <w:rPr>
                <w:rFonts w:ascii="宋体" w:hAnsi="宋体" w:cs="宋体"/>
                <w:b/>
                <w:bCs/>
                <w:szCs w:val="22"/>
              </w:rPr>
            </w:pPr>
            <w:r>
              <w:rPr>
                <w:rFonts w:hint="eastAsia" w:ascii="宋体" w:hAnsi="宋体" w:cs="宋体"/>
                <w:b/>
                <w:bCs/>
                <w:color w:val="000000"/>
                <w:kern w:val="0"/>
                <w:szCs w:val="21"/>
                <w:lang w:bidi="ar"/>
              </w:rPr>
              <w:t>报价合计</w:t>
            </w:r>
          </w:p>
        </w:tc>
        <w:tc>
          <w:tcPr>
            <w:tcW w:w="2085" w:type="dxa"/>
            <w:vAlign w:val="center"/>
          </w:tcPr>
          <w:p>
            <w:pPr>
              <w:jc w:val="center"/>
              <w:rPr>
                <w:rFonts w:ascii="宋体" w:hAnsi="宋体" w:cs="宋体"/>
                <w:b/>
                <w:bCs/>
                <w:szCs w:val="22"/>
              </w:rPr>
            </w:pPr>
          </w:p>
        </w:tc>
        <w:tc>
          <w:tcPr>
            <w:tcW w:w="1380" w:type="dxa"/>
            <w:vAlign w:val="center"/>
          </w:tcPr>
          <w:p>
            <w:pPr>
              <w:jc w:val="center"/>
              <w:rPr>
                <w:rFonts w:ascii="宋体" w:hAnsi="宋体" w:cs="宋体"/>
                <w:b/>
                <w:bCs/>
                <w:szCs w:val="22"/>
              </w:rPr>
            </w:pPr>
            <w:r>
              <w:rPr>
                <w:rFonts w:hint="eastAsia" w:ascii="宋体" w:hAnsi="宋体" w:cs="宋体"/>
                <w:szCs w:val="22"/>
              </w:rPr>
              <w:t>6%</w:t>
            </w:r>
          </w:p>
        </w:tc>
        <w:tc>
          <w:tcPr>
            <w:tcW w:w="1455" w:type="dxa"/>
            <w:vAlign w:val="center"/>
          </w:tcPr>
          <w:p>
            <w:pPr>
              <w:jc w:val="center"/>
              <w:rPr>
                <w:rFonts w:ascii="宋体" w:hAnsi="宋体" w:cs="宋体"/>
                <w:b/>
                <w:bCs/>
                <w:szCs w:val="22"/>
              </w:rPr>
            </w:pPr>
          </w:p>
        </w:tc>
      </w:tr>
    </w:tbl>
    <w:p>
      <w:pPr>
        <w:pStyle w:val="4"/>
        <w:spacing w:before="0" w:after="0" w:line="360" w:lineRule="auto"/>
        <w:jc w:val="center"/>
        <w:rPr>
          <w:rFonts w:ascii="宋体" w:hAnsi="宋体" w:eastAsia="宋体" w:cs="宋体"/>
          <w:sz w:val="28"/>
        </w:rPr>
      </w:pPr>
      <w:r>
        <w:rPr>
          <w:rFonts w:hint="eastAsia" w:ascii="宋体" w:hAnsi="宋体" w:eastAsia="宋体" w:cs="宋体"/>
          <w:sz w:val="28"/>
        </w:rPr>
        <w:br w:type="page"/>
      </w:r>
      <w:bookmarkStart w:id="257" w:name="_Toc18757"/>
      <w:bookmarkStart w:id="258" w:name="_Toc7430"/>
      <w:bookmarkStart w:id="259" w:name="_Toc11961"/>
      <w:bookmarkStart w:id="260" w:name="_Toc12910"/>
      <w:r>
        <w:rPr>
          <w:rFonts w:hint="eastAsia" w:ascii="宋体" w:hAnsi="宋体" w:eastAsia="宋体" w:cs="宋体"/>
          <w:sz w:val="28"/>
        </w:rPr>
        <w:t>四、资格审查资料</w:t>
      </w:r>
      <w:bookmarkEnd w:id="246"/>
      <w:bookmarkEnd w:id="247"/>
      <w:bookmarkEnd w:id="248"/>
      <w:bookmarkEnd w:id="257"/>
      <w:bookmarkEnd w:id="258"/>
      <w:bookmarkEnd w:id="259"/>
      <w:bookmarkEnd w:id="260"/>
    </w:p>
    <w:p>
      <w:pPr>
        <w:rPr>
          <w:szCs w:val="21"/>
        </w:rPr>
      </w:pPr>
      <w:r>
        <w:rPr>
          <w:rFonts w:hint="eastAsia" w:ascii="宋体" w:hAnsi="宋体" w:cs="宋体"/>
        </w:rPr>
        <w:t>注：根据比选文件“第一章 比选公告”中的“3.报价人资格要求”提供相关证明材料。</w:t>
      </w:r>
    </w:p>
    <w:p>
      <w:pPr>
        <w:pStyle w:val="2"/>
        <w:rPr>
          <w:sz w:val="21"/>
          <w:szCs w:val="21"/>
        </w:rPr>
      </w:pPr>
    </w:p>
    <w:p>
      <w:pPr>
        <w:rPr>
          <w:szCs w:val="21"/>
        </w:rPr>
      </w:pPr>
    </w:p>
    <w:bookmarkEnd w:id="249"/>
    <w:bookmarkEnd w:id="250"/>
    <w:bookmarkEnd w:id="251"/>
    <w:bookmarkEnd w:id="252"/>
    <w:bookmarkEnd w:id="253"/>
    <w:bookmarkEnd w:id="254"/>
    <w:bookmarkEnd w:id="255"/>
    <w:bookmarkEnd w:id="256"/>
    <w:p>
      <w:pPr>
        <w:rPr>
          <w:szCs w:val="21"/>
        </w:rPr>
      </w:pPr>
      <w:bookmarkStart w:id="261" w:name="_Toc513633973"/>
      <w:bookmarkStart w:id="262" w:name="_Toc503951055"/>
      <w:bookmarkStart w:id="263" w:name="_Toc447827068"/>
      <w:bookmarkStart w:id="264" w:name="_Toc11672"/>
      <w:bookmarkStart w:id="265" w:name="_Toc11329281"/>
    </w:p>
    <w:p>
      <w:pPr>
        <w:pStyle w:val="2"/>
        <w:rPr>
          <w:sz w:val="21"/>
          <w:szCs w:val="21"/>
        </w:rPr>
      </w:pPr>
    </w:p>
    <w:p>
      <w:pPr>
        <w:rPr>
          <w:szCs w:val="21"/>
        </w:rPr>
      </w:pPr>
    </w:p>
    <w:p>
      <w:pPr>
        <w:pStyle w:val="149"/>
        <w:adjustRightInd/>
        <w:spacing w:line="360" w:lineRule="auto"/>
        <w:rPr>
          <w:rFonts w:hAnsi="宋体"/>
          <w:color w:val="auto"/>
          <w:sz w:val="21"/>
          <w:szCs w:val="21"/>
        </w:rPr>
      </w:pPr>
    </w:p>
    <w:p>
      <w:pPr>
        <w:pStyle w:val="149"/>
        <w:adjustRightInd/>
        <w:spacing w:line="360" w:lineRule="auto"/>
        <w:rPr>
          <w:rFonts w:hAnsi="宋体"/>
          <w:color w:val="auto"/>
          <w:sz w:val="21"/>
          <w:szCs w:val="21"/>
        </w:rPr>
      </w:pPr>
    </w:p>
    <w:p>
      <w:pPr>
        <w:pStyle w:val="149"/>
        <w:adjustRightInd/>
        <w:spacing w:line="360" w:lineRule="auto"/>
        <w:rPr>
          <w:rFonts w:hAnsi="宋体"/>
          <w:color w:val="auto"/>
          <w:sz w:val="21"/>
          <w:szCs w:val="21"/>
        </w:rPr>
      </w:pPr>
    </w:p>
    <w:p>
      <w:pPr>
        <w:pStyle w:val="149"/>
        <w:adjustRightInd/>
        <w:spacing w:line="360" w:lineRule="auto"/>
        <w:rPr>
          <w:rFonts w:hAnsi="宋体"/>
          <w:color w:val="auto"/>
          <w:sz w:val="21"/>
          <w:szCs w:val="21"/>
        </w:rPr>
      </w:pPr>
    </w:p>
    <w:p>
      <w:pPr>
        <w:pStyle w:val="149"/>
        <w:adjustRightInd/>
        <w:spacing w:line="360" w:lineRule="auto"/>
        <w:rPr>
          <w:rFonts w:hAnsi="宋体"/>
          <w:color w:val="auto"/>
          <w:sz w:val="21"/>
          <w:szCs w:val="21"/>
        </w:rPr>
      </w:pPr>
    </w:p>
    <w:p>
      <w:pPr>
        <w:pStyle w:val="149"/>
        <w:adjustRightInd/>
        <w:spacing w:line="360" w:lineRule="auto"/>
        <w:rPr>
          <w:rFonts w:hAnsi="宋体"/>
          <w:color w:val="auto"/>
          <w:sz w:val="21"/>
          <w:szCs w:val="21"/>
        </w:rPr>
      </w:pPr>
    </w:p>
    <w:p>
      <w:pPr>
        <w:pStyle w:val="149"/>
        <w:adjustRightInd/>
        <w:spacing w:line="360" w:lineRule="auto"/>
        <w:rPr>
          <w:rFonts w:hAnsi="宋体"/>
          <w:color w:val="auto"/>
          <w:sz w:val="21"/>
          <w:szCs w:val="21"/>
        </w:rPr>
      </w:pPr>
    </w:p>
    <w:p>
      <w:pPr>
        <w:pStyle w:val="149"/>
        <w:adjustRightInd/>
        <w:spacing w:line="360" w:lineRule="auto"/>
        <w:rPr>
          <w:rFonts w:hAnsi="宋体"/>
          <w:color w:val="auto"/>
          <w:sz w:val="21"/>
          <w:szCs w:val="21"/>
        </w:rPr>
      </w:pPr>
    </w:p>
    <w:p>
      <w:pPr>
        <w:pStyle w:val="149"/>
        <w:adjustRightInd/>
        <w:spacing w:line="360" w:lineRule="auto"/>
        <w:rPr>
          <w:rFonts w:hAnsi="宋体"/>
          <w:color w:val="auto"/>
          <w:sz w:val="21"/>
          <w:szCs w:val="21"/>
        </w:rPr>
      </w:pPr>
    </w:p>
    <w:p>
      <w:pPr>
        <w:pStyle w:val="149"/>
        <w:adjustRightInd/>
        <w:spacing w:line="360" w:lineRule="auto"/>
        <w:rPr>
          <w:rFonts w:hAnsi="宋体"/>
          <w:color w:val="auto"/>
          <w:sz w:val="21"/>
          <w:szCs w:val="21"/>
        </w:rPr>
      </w:pPr>
    </w:p>
    <w:p>
      <w:pPr>
        <w:rPr>
          <w:rFonts w:hAnsi="宋体"/>
          <w:szCs w:val="21"/>
        </w:rPr>
      </w:pPr>
      <w:r>
        <w:rPr>
          <w:rFonts w:hAnsi="宋体"/>
          <w:szCs w:val="21"/>
        </w:rPr>
        <w:br w:type="page"/>
      </w:r>
    </w:p>
    <w:bookmarkEnd w:id="261"/>
    <w:bookmarkEnd w:id="262"/>
    <w:bookmarkEnd w:id="263"/>
    <w:p>
      <w:pPr>
        <w:pStyle w:val="4"/>
        <w:numPr>
          <w:ilvl w:val="0"/>
          <w:numId w:val="25"/>
        </w:numPr>
        <w:spacing w:before="0" w:after="0" w:line="360" w:lineRule="auto"/>
        <w:jc w:val="center"/>
        <w:rPr>
          <w:rFonts w:ascii="宋体" w:hAnsi="宋体" w:eastAsia="宋体" w:cs="宋体"/>
          <w:sz w:val="28"/>
        </w:rPr>
      </w:pPr>
      <w:bookmarkStart w:id="266" w:name="_Toc11243"/>
      <w:bookmarkStart w:id="267" w:name="_Toc29559"/>
      <w:bookmarkStart w:id="268" w:name="_Toc28818"/>
      <w:r>
        <w:rPr>
          <w:rFonts w:hint="eastAsia" w:ascii="宋体" w:hAnsi="宋体" w:eastAsia="宋体" w:cs="宋体"/>
          <w:sz w:val="28"/>
        </w:rPr>
        <w:t>报价人须知前附表规定的材料</w:t>
      </w:r>
      <w:bookmarkEnd w:id="264"/>
      <w:bookmarkEnd w:id="265"/>
      <w:bookmarkEnd w:id="266"/>
      <w:bookmarkEnd w:id="267"/>
      <w:bookmarkEnd w:id="268"/>
    </w:p>
    <w:p>
      <w:pPr>
        <w:spacing w:line="360" w:lineRule="auto"/>
        <w:rPr>
          <w:rFonts w:ascii="宋体" w:hAnsi="宋体" w:cs="宋体"/>
          <w:b/>
          <w:bCs/>
          <w:kern w:val="0"/>
          <w:sz w:val="28"/>
          <w:szCs w:val="32"/>
        </w:rPr>
      </w:pPr>
      <w:bookmarkStart w:id="269" w:name="_Toc8299"/>
      <w:bookmarkStart w:id="270" w:name="bookmark81"/>
      <w:bookmarkStart w:id="271" w:name="_Toc513633974"/>
      <w:bookmarkStart w:id="272" w:name="_Toc503951058"/>
    </w:p>
    <w:p>
      <w:pPr>
        <w:spacing w:line="360" w:lineRule="auto"/>
        <w:jc w:val="center"/>
        <w:outlineLvl w:val="1"/>
        <w:rPr>
          <w:rFonts w:ascii="宋体" w:hAnsi="宋体" w:cs="宋体"/>
          <w:b/>
          <w:bCs/>
          <w:color w:val="000000" w:themeColor="text1"/>
          <w:sz w:val="24"/>
          <w:szCs w:val="28"/>
          <w14:textFill>
            <w14:solidFill>
              <w14:schemeClr w14:val="tx1"/>
            </w14:solidFill>
          </w14:textFill>
        </w:rPr>
      </w:pPr>
      <w:bookmarkStart w:id="273" w:name="_Toc15805"/>
      <w:r>
        <w:rPr>
          <w:rFonts w:hint="eastAsia" w:ascii="宋体" w:hAnsi="宋体" w:cs="宋体"/>
          <w:b/>
          <w:bCs/>
          <w:kern w:val="0"/>
          <w:sz w:val="28"/>
          <w:szCs w:val="32"/>
        </w:rPr>
        <w:t>（一）商务评分资料</w:t>
      </w:r>
      <w:bookmarkEnd w:id="269"/>
      <w:bookmarkEnd w:id="273"/>
    </w:p>
    <w:p>
      <w:pPr>
        <w:pStyle w:val="172"/>
        <w:ind w:firstLine="420"/>
        <w:jc w:val="center"/>
        <w:rPr>
          <w:rFonts w:ascii="宋体" w:hAnsi="宋体" w:eastAsia="宋体" w:cs="Times New Roman"/>
          <w:sz w:val="21"/>
          <w:szCs w:val="24"/>
        </w:rPr>
      </w:pPr>
      <w:bookmarkStart w:id="274" w:name="OLE_LINK34"/>
      <w:r>
        <w:rPr>
          <w:rFonts w:hint="eastAsia" w:ascii="宋体" w:hAnsi="宋体" w:eastAsia="宋体" w:cs="Times New Roman"/>
          <w:sz w:val="21"/>
          <w:szCs w:val="24"/>
        </w:rPr>
        <w:t>商务部分</w:t>
      </w:r>
      <w:bookmarkEnd w:id="274"/>
      <w:r>
        <w:rPr>
          <w:rFonts w:hint="eastAsia" w:ascii="宋体" w:hAnsi="宋体" w:eastAsia="宋体" w:cs="Times New Roman"/>
          <w:sz w:val="21"/>
          <w:szCs w:val="24"/>
        </w:rPr>
        <w:t>资料目录</w:t>
      </w:r>
    </w:p>
    <w:tbl>
      <w:tblPr>
        <w:tblStyle w:val="43"/>
        <w:tblW w:w="9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029"/>
        <w:gridCol w:w="2492"/>
        <w:gridCol w:w="1736"/>
        <w:gridCol w:w="1395"/>
        <w:gridCol w:w="1052"/>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25" w:type="dxa"/>
            <w:vAlign w:val="center"/>
          </w:tcPr>
          <w:p>
            <w:pPr>
              <w:pStyle w:val="173"/>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序号</w:t>
            </w:r>
          </w:p>
        </w:tc>
        <w:tc>
          <w:tcPr>
            <w:tcW w:w="1029" w:type="dxa"/>
            <w:vAlign w:val="center"/>
          </w:tcPr>
          <w:p>
            <w:pPr>
              <w:pStyle w:val="173"/>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bCs/>
                <w:sz w:val="18"/>
                <w:szCs w:val="18"/>
              </w:rPr>
              <w:t>对应评分标准</w:t>
            </w:r>
          </w:p>
        </w:tc>
        <w:tc>
          <w:tcPr>
            <w:tcW w:w="2492" w:type="dxa"/>
            <w:vAlign w:val="center"/>
          </w:tcPr>
          <w:p>
            <w:pPr>
              <w:pStyle w:val="173"/>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对应评分细则</w:t>
            </w:r>
          </w:p>
        </w:tc>
        <w:tc>
          <w:tcPr>
            <w:tcW w:w="1736" w:type="dxa"/>
            <w:vAlign w:val="center"/>
          </w:tcPr>
          <w:p>
            <w:pPr>
              <w:pStyle w:val="173"/>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证明材料名称</w:t>
            </w:r>
          </w:p>
        </w:tc>
        <w:tc>
          <w:tcPr>
            <w:tcW w:w="1395" w:type="dxa"/>
            <w:vAlign w:val="center"/>
          </w:tcPr>
          <w:p>
            <w:pPr>
              <w:pStyle w:val="173"/>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应加分数</w:t>
            </w:r>
          </w:p>
        </w:tc>
        <w:tc>
          <w:tcPr>
            <w:tcW w:w="1052" w:type="dxa"/>
            <w:vAlign w:val="center"/>
          </w:tcPr>
          <w:p>
            <w:pPr>
              <w:pStyle w:val="173"/>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证明材料对应编号</w:t>
            </w:r>
          </w:p>
        </w:tc>
        <w:tc>
          <w:tcPr>
            <w:tcW w:w="998" w:type="dxa"/>
            <w:vAlign w:val="center"/>
          </w:tcPr>
          <w:p>
            <w:pPr>
              <w:pStyle w:val="173"/>
              <w:spacing w:line="360" w:lineRule="auto"/>
              <w:jc w:val="center"/>
              <w:rPr>
                <w:rFonts w:asciiTheme="minorEastAsia" w:hAnsiTheme="minorEastAsia" w:eastAsiaTheme="minorEastAsia" w:cstheme="minorEastAsia"/>
                <w:b w:val="0"/>
                <w:kern w:val="0"/>
                <w:sz w:val="18"/>
                <w:szCs w:val="18"/>
              </w:rPr>
            </w:pPr>
            <w:r>
              <w:rPr>
                <w:rFonts w:hint="eastAsia" w:asciiTheme="minorEastAsia" w:hAnsiTheme="minorEastAsia" w:eastAsiaTheme="minorEastAsia" w:cstheme="minorEastAsia"/>
                <w:b w:val="0"/>
                <w:kern w:val="0"/>
                <w:sz w:val="18"/>
                <w:szCs w:val="18"/>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5"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例：</w:t>
            </w:r>
          </w:p>
        </w:tc>
        <w:tc>
          <w:tcPr>
            <w:tcW w:w="1029" w:type="dxa"/>
            <w:vAlign w:val="center"/>
          </w:tcPr>
          <w:p>
            <w:pPr>
              <w:spacing w:line="360" w:lineRule="auto"/>
              <w:jc w:val="center"/>
              <w:rPr>
                <w:rFonts w:asciiTheme="minorEastAsia" w:hAnsiTheme="minorEastAsia" w:eastAsiaTheme="minorEastAsia" w:cstheme="minorEastAsia"/>
                <w:b/>
                <w:sz w:val="18"/>
                <w:szCs w:val="18"/>
              </w:rPr>
            </w:pPr>
          </w:p>
        </w:tc>
        <w:tc>
          <w:tcPr>
            <w:tcW w:w="2492" w:type="dxa"/>
            <w:vAlign w:val="center"/>
          </w:tcPr>
          <w:p>
            <w:pPr>
              <w:spacing w:line="360" w:lineRule="auto"/>
              <w:jc w:val="center"/>
              <w:rPr>
                <w:rFonts w:asciiTheme="minorEastAsia" w:hAnsiTheme="minorEastAsia" w:eastAsiaTheme="minorEastAsia" w:cstheme="minorEastAsia"/>
                <w:b/>
                <w:sz w:val="18"/>
                <w:szCs w:val="18"/>
              </w:rPr>
            </w:pPr>
          </w:p>
        </w:tc>
        <w:tc>
          <w:tcPr>
            <w:tcW w:w="1736" w:type="dxa"/>
            <w:vAlign w:val="center"/>
          </w:tcPr>
          <w:p>
            <w:pPr>
              <w:spacing w:line="360" w:lineRule="auto"/>
              <w:jc w:val="center"/>
              <w:rPr>
                <w:rFonts w:asciiTheme="minorEastAsia" w:hAnsiTheme="minorEastAsia" w:eastAsiaTheme="minorEastAsia" w:cstheme="minorEastAsia"/>
                <w:b/>
                <w:sz w:val="18"/>
                <w:szCs w:val="18"/>
              </w:rPr>
            </w:pPr>
          </w:p>
        </w:tc>
        <w:tc>
          <w:tcPr>
            <w:tcW w:w="1395" w:type="dxa"/>
            <w:vAlign w:val="center"/>
          </w:tcPr>
          <w:p>
            <w:pPr>
              <w:spacing w:line="360" w:lineRule="auto"/>
              <w:jc w:val="center"/>
              <w:rPr>
                <w:rFonts w:asciiTheme="minorEastAsia" w:hAnsiTheme="minorEastAsia" w:eastAsiaTheme="minorEastAsia" w:cstheme="minorEastAsia"/>
                <w:b/>
                <w:sz w:val="18"/>
                <w:szCs w:val="18"/>
              </w:rPr>
            </w:pPr>
          </w:p>
        </w:tc>
        <w:tc>
          <w:tcPr>
            <w:tcW w:w="1052" w:type="dxa"/>
            <w:vAlign w:val="center"/>
          </w:tcPr>
          <w:p>
            <w:pPr>
              <w:spacing w:line="360" w:lineRule="auto"/>
              <w:jc w:val="center"/>
              <w:rPr>
                <w:rFonts w:asciiTheme="minorEastAsia" w:hAnsiTheme="minorEastAsia" w:eastAsiaTheme="minorEastAsia" w:cstheme="minorEastAsia"/>
                <w:b/>
                <w:sz w:val="18"/>
                <w:szCs w:val="18"/>
              </w:rPr>
            </w:pPr>
          </w:p>
        </w:tc>
        <w:tc>
          <w:tcPr>
            <w:tcW w:w="998" w:type="dxa"/>
            <w:vAlign w:val="center"/>
          </w:tcPr>
          <w:p>
            <w:pPr>
              <w:spacing w:line="360" w:lineRule="auto"/>
              <w:jc w:val="center"/>
              <w:rPr>
                <w:rFonts w:asciiTheme="minorEastAsia" w:hAnsiTheme="minorEastAsia" w:eastAsiaTheme="minorEastAsia" w:cstheme="minor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5" w:type="dxa"/>
            <w:vAlign w:val="center"/>
          </w:tcPr>
          <w:p>
            <w:pPr>
              <w:snapToGrid w:val="0"/>
              <w:spacing w:line="400" w:lineRule="exact"/>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1</w:t>
            </w:r>
          </w:p>
        </w:tc>
        <w:tc>
          <w:tcPr>
            <w:tcW w:w="1029" w:type="dxa"/>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报价人资质</w:t>
            </w:r>
          </w:p>
        </w:tc>
        <w:tc>
          <w:tcPr>
            <w:tcW w:w="2492" w:type="dxa"/>
            <w:vAlign w:val="center"/>
          </w:tcPr>
          <w:p>
            <w:pPr>
              <w:snapToGrid w:val="0"/>
              <w:spacing w:line="40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具有信息系统建设和服务能力等级证书优秀级（CS4)及以上资质得</w:t>
            </w:r>
            <w:r>
              <w:rPr>
                <w:rFonts w:asciiTheme="minorEastAsia" w:hAnsiTheme="minorEastAsia" w:eastAsiaTheme="minorEastAsia" w:cstheme="minorEastAsia"/>
                <w:sz w:val="18"/>
                <w:szCs w:val="18"/>
              </w:rPr>
              <w:t>4</w:t>
            </w:r>
            <w:r>
              <w:rPr>
                <w:rFonts w:hint="eastAsia" w:asciiTheme="minorEastAsia" w:hAnsiTheme="minorEastAsia" w:eastAsiaTheme="minorEastAsia" w:cstheme="minorEastAsia"/>
                <w:sz w:val="18"/>
                <w:szCs w:val="18"/>
              </w:rPr>
              <w:t>分</w:t>
            </w:r>
          </w:p>
        </w:tc>
        <w:tc>
          <w:tcPr>
            <w:tcW w:w="1736"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XXX</w:t>
            </w:r>
          </w:p>
        </w:tc>
        <w:tc>
          <w:tcPr>
            <w:tcW w:w="1395" w:type="dxa"/>
            <w:vAlign w:val="center"/>
          </w:tcPr>
          <w:p>
            <w:pPr>
              <w:snapToGrid w:val="0"/>
              <w:spacing w:line="400" w:lineRule="exact"/>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4</w:t>
            </w:r>
            <w:r>
              <w:rPr>
                <w:rFonts w:hint="eastAsia" w:asciiTheme="minorEastAsia" w:hAnsiTheme="minorEastAsia" w:eastAsiaTheme="minorEastAsia" w:cstheme="minorEastAsia"/>
                <w:sz w:val="18"/>
                <w:szCs w:val="18"/>
              </w:rPr>
              <w:t>分</w:t>
            </w:r>
          </w:p>
        </w:tc>
        <w:tc>
          <w:tcPr>
            <w:tcW w:w="1052"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证明材料</w:t>
            </w:r>
            <w:r>
              <w:rPr>
                <w:rFonts w:asciiTheme="minorEastAsia" w:hAnsiTheme="minorEastAsia" w:eastAsiaTheme="minorEastAsia" w:cstheme="minorEastAsia"/>
                <w:sz w:val="18"/>
                <w:szCs w:val="18"/>
              </w:rPr>
              <w:t>1</w:t>
            </w:r>
          </w:p>
        </w:tc>
        <w:tc>
          <w:tcPr>
            <w:tcW w:w="998" w:type="dxa"/>
            <w:vAlign w:val="center"/>
          </w:tcPr>
          <w:p>
            <w:pPr>
              <w:snapToGrid w:val="0"/>
              <w:spacing w:line="400" w:lineRule="exact"/>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5" w:type="dxa"/>
            <w:vAlign w:val="center"/>
          </w:tcPr>
          <w:p>
            <w:pPr>
              <w:snapToGrid w:val="0"/>
              <w:spacing w:line="400" w:lineRule="exact"/>
              <w:jc w:val="center"/>
              <w:rPr>
                <w:rFonts w:asciiTheme="minorEastAsia" w:hAnsiTheme="minorEastAsia" w:eastAsiaTheme="minorEastAsia" w:cstheme="minorEastAsia"/>
                <w:sz w:val="18"/>
                <w:szCs w:val="18"/>
              </w:rPr>
            </w:pPr>
          </w:p>
        </w:tc>
        <w:tc>
          <w:tcPr>
            <w:tcW w:w="1029"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b/>
                <w:sz w:val="28"/>
                <w:szCs w:val="28"/>
              </w:rPr>
              <w:t>....</w:t>
            </w:r>
          </w:p>
        </w:tc>
        <w:tc>
          <w:tcPr>
            <w:tcW w:w="2492" w:type="dxa"/>
            <w:vAlign w:val="center"/>
          </w:tcPr>
          <w:p>
            <w:pPr>
              <w:snapToGrid w:val="0"/>
              <w:spacing w:line="400" w:lineRule="exact"/>
              <w:rPr>
                <w:rFonts w:asciiTheme="minorEastAsia" w:hAnsiTheme="minorEastAsia" w:eastAsiaTheme="minorEastAsia" w:cstheme="minorEastAsia"/>
                <w:sz w:val="18"/>
                <w:szCs w:val="18"/>
              </w:rPr>
            </w:pPr>
            <w:r>
              <w:rPr>
                <w:rFonts w:hint="eastAsia"/>
                <w:b/>
                <w:sz w:val="28"/>
                <w:szCs w:val="28"/>
              </w:rPr>
              <w:t>....</w:t>
            </w:r>
          </w:p>
        </w:tc>
        <w:tc>
          <w:tcPr>
            <w:tcW w:w="1736" w:type="dxa"/>
            <w:vAlign w:val="center"/>
          </w:tcPr>
          <w:p>
            <w:pPr>
              <w:snapToGrid w:val="0"/>
              <w:spacing w:line="400" w:lineRule="exact"/>
              <w:jc w:val="center"/>
              <w:rPr>
                <w:rFonts w:asciiTheme="minorEastAsia" w:hAnsiTheme="minorEastAsia" w:eastAsiaTheme="minorEastAsia" w:cstheme="minorEastAsia"/>
                <w:sz w:val="18"/>
                <w:szCs w:val="18"/>
              </w:rPr>
            </w:pPr>
          </w:p>
        </w:tc>
        <w:tc>
          <w:tcPr>
            <w:tcW w:w="1395" w:type="dxa"/>
            <w:vAlign w:val="center"/>
          </w:tcPr>
          <w:p>
            <w:pPr>
              <w:snapToGrid w:val="0"/>
              <w:spacing w:line="400" w:lineRule="exact"/>
              <w:jc w:val="center"/>
              <w:rPr>
                <w:rFonts w:asciiTheme="minorEastAsia" w:hAnsiTheme="minorEastAsia" w:eastAsiaTheme="minorEastAsia" w:cstheme="minorEastAsia"/>
                <w:sz w:val="18"/>
                <w:szCs w:val="18"/>
              </w:rPr>
            </w:pPr>
          </w:p>
        </w:tc>
        <w:tc>
          <w:tcPr>
            <w:tcW w:w="1052" w:type="dxa"/>
            <w:vAlign w:val="center"/>
          </w:tcPr>
          <w:p>
            <w:pPr>
              <w:snapToGrid w:val="0"/>
              <w:spacing w:line="400" w:lineRule="exact"/>
              <w:rPr>
                <w:rFonts w:asciiTheme="minorEastAsia" w:hAnsiTheme="minorEastAsia" w:eastAsiaTheme="minorEastAsia" w:cstheme="minorEastAsia"/>
                <w:sz w:val="18"/>
                <w:szCs w:val="18"/>
              </w:rPr>
            </w:pPr>
          </w:p>
        </w:tc>
        <w:tc>
          <w:tcPr>
            <w:tcW w:w="998" w:type="dxa"/>
            <w:vAlign w:val="center"/>
          </w:tcPr>
          <w:p>
            <w:pPr>
              <w:snapToGrid w:val="0"/>
              <w:spacing w:line="400" w:lineRule="exact"/>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25" w:type="dxa"/>
            <w:vAlign w:val="center"/>
          </w:tcPr>
          <w:p>
            <w:pPr>
              <w:snapToGrid w:val="0"/>
              <w:spacing w:line="400" w:lineRule="exact"/>
              <w:jc w:val="center"/>
              <w:rPr>
                <w:rFonts w:asciiTheme="minorEastAsia" w:hAnsiTheme="minorEastAsia" w:eastAsiaTheme="minorEastAsia" w:cstheme="minorEastAsia"/>
                <w:sz w:val="18"/>
                <w:szCs w:val="18"/>
              </w:rPr>
            </w:pPr>
          </w:p>
        </w:tc>
        <w:tc>
          <w:tcPr>
            <w:tcW w:w="1029"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业绩材料</w:t>
            </w:r>
          </w:p>
        </w:tc>
        <w:tc>
          <w:tcPr>
            <w:tcW w:w="2492" w:type="dxa"/>
            <w:vAlign w:val="center"/>
          </w:tcPr>
          <w:p>
            <w:pPr>
              <w:snapToGrid w:val="0"/>
              <w:spacing w:line="40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在</w:t>
            </w:r>
            <w:r>
              <w:rPr>
                <w:rFonts w:hint="eastAsia" w:asciiTheme="minorEastAsia" w:hAnsiTheme="minorEastAsia" w:eastAsiaTheme="minorEastAsia" w:cstheme="minorEastAsia"/>
                <w:sz w:val="18"/>
                <w:szCs w:val="18"/>
              </w:rPr>
              <w:t>20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sz w:val="18"/>
                <w:szCs w:val="18"/>
              </w:rPr>
              <w:t>年1月1日至投标截止时间止(以合同签订时间为准)</w:t>
            </w:r>
            <w:r>
              <w:rPr>
                <w:rFonts w:hint="eastAsia" w:asciiTheme="minorEastAsia" w:hAnsiTheme="minorEastAsia" w:eastAsiaTheme="minorEastAsia" w:cstheme="minorEastAsia"/>
                <w:sz w:val="18"/>
                <w:szCs w:val="18"/>
                <w:lang w:val="en-US" w:eastAsia="zh-CN"/>
              </w:rPr>
              <w:t>每承担一项</w:t>
            </w:r>
            <w:r>
              <w:rPr>
                <w:rFonts w:hint="eastAsia" w:asciiTheme="minorEastAsia" w:hAnsiTheme="minorEastAsia" w:eastAsiaTheme="minorEastAsia" w:cstheme="minorEastAsia"/>
                <w:sz w:val="18"/>
                <w:szCs w:val="18"/>
              </w:rPr>
              <w:t>合同金额</w:t>
            </w:r>
            <w:r>
              <w:rPr>
                <w:rFonts w:hint="eastAsia" w:asciiTheme="minorEastAsia" w:hAnsiTheme="minorEastAsia" w:eastAsiaTheme="minorEastAsia" w:cstheme="minorEastAsia"/>
                <w:sz w:val="18"/>
                <w:szCs w:val="18"/>
                <w:lang w:val="en-US" w:eastAsia="zh-CN"/>
              </w:rPr>
              <w:t>不低于</w:t>
            </w:r>
            <w:r>
              <w:rPr>
                <w:rFonts w:hint="eastAsia" w:asciiTheme="minorEastAsia" w:hAnsiTheme="minorEastAsia" w:eastAsiaTheme="minorEastAsia" w:cstheme="minorEastAsia"/>
                <w:sz w:val="18"/>
                <w:szCs w:val="18"/>
              </w:rPr>
              <w:t>50万元</w:t>
            </w:r>
            <w:r>
              <w:rPr>
                <w:rFonts w:hint="eastAsia" w:asciiTheme="minorEastAsia" w:hAnsiTheme="minorEastAsia" w:eastAsiaTheme="minorEastAsia" w:cstheme="minorEastAsia"/>
                <w:sz w:val="18"/>
                <w:szCs w:val="18"/>
                <w:lang w:val="en-US" w:eastAsia="zh-CN"/>
              </w:rPr>
              <w:t>的</w:t>
            </w:r>
            <w:r>
              <w:rPr>
                <w:rFonts w:hint="eastAsia" w:asciiTheme="minorEastAsia" w:hAnsiTheme="minorEastAsia" w:eastAsiaTheme="minorEastAsia" w:cstheme="minorEastAsia"/>
                <w:sz w:val="18"/>
                <w:szCs w:val="18"/>
              </w:rPr>
              <w:t>的软件开发</w:t>
            </w:r>
            <w:r>
              <w:rPr>
                <w:rFonts w:hint="eastAsia" w:asciiTheme="minorEastAsia" w:hAnsiTheme="minorEastAsia" w:eastAsiaTheme="minorEastAsia" w:cstheme="minorEastAsia"/>
                <w:sz w:val="18"/>
                <w:szCs w:val="18"/>
                <w:lang w:val="en-US" w:eastAsia="zh-CN"/>
              </w:rPr>
              <w:t>业绩得</w:t>
            </w:r>
            <w:r>
              <w:rPr>
                <w:rFonts w:hint="eastAsia" w:asciiTheme="minorEastAsia" w:hAnsiTheme="minorEastAsia" w:eastAsiaTheme="minorEastAsia" w:cstheme="minorEastAsia"/>
                <w:sz w:val="18"/>
                <w:szCs w:val="18"/>
              </w:rPr>
              <w:t>2分，最多得</w:t>
            </w:r>
            <w:r>
              <w:rPr>
                <w:rFonts w:asciiTheme="minorEastAsia" w:hAnsiTheme="minorEastAsia" w:eastAsiaTheme="minorEastAsia" w:cstheme="minorEastAsia"/>
                <w:sz w:val="18"/>
                <w:szCs w:val="18"/>
              </w:rPr>
              <w:t>4</w:t>
            </w:r>
            <w:r>
              <w:rPr>
                <w:rFonts w:hint="eastAsia" w:asciiTheme="minorEastAsia" w:hAnsiTheme="minorEastAsia" w:eastAsiaTheme="minorEastAsia" w:cstheme="minorEastAsia"/>
                <w:sz w:val="18"/>
                <w:szCs w:val="18"/>
              </w:rPr>
              <w:t>分</w:t>
            </w:r>
          </w:p>
        </w:tc>
        <w:tc>
          <w:tcPr>
            <w:tcW w:w="1736"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XXX</w:t>
            </w:r>
          </w:p>
        </w:tc>
        <w:tc>
          <w:tcPr>
            <w:tcW w:w="1395" w:type="dxa"/>
            <w:vAlign w:val="center"/>
          </w:tcPr>
          <w:p>
            <w:pPr>
              <w:snapToGrid w:val="0"/>
              <w:spacing w:line="400" w:lineRule="exact"/>
              <w:jc w:val="center"/>
              <w:rPr>
                <w:rFonts w:asciiTheme="minorEastAsia" w:hAnsiTheme="minorEastAsia" w:eastAsiaTheme="minorEastAsia" w:cstheme="minorEastAsia"/>
                <w:sz w:val="18"/>
                <w:szCs w:val="18"/>
              </w:rPr>
            </w:pPr>
            <w:r>
              <w:rPr>
                <w:rFonts w:asciiTheme="minorEastAsia" w:hAnsiTheme="minorEastAsia" w:eastAsiaTheme="minorEastAsia" w:cstheme="minorEastAsia"/>
                <w:sz w:val="18"/>
                <w:szCs w:val="18"/>
              </w:rPr>
              <w:t>2</w:t>
            </w:r>
            <w:r>
              <w:rPr>
                <w:rFonts w:hint="eastAsia" w:asciiTheme="minorEastAsia" w:hAnsiTheme="minorEastAsia" w:eastAsiaTheme="minorEastAsia" w:cstheme="minorEastAsia"/>
                <w:sz w:val="18"/>
                <w:szCs w:val="18"/>
              </w:rPr>
              <w:t>分</w:t>
            </w:r>
          </w:p>
        </w:tc>
        <w:tc>
          <w:tcPr>
            <w:tcW w:w="1052" w:type="dxa"/>
            <w:vAlign w:val="center"/>
          </w:tcPr>
          <w:p>
            <w:pPr>
              <w:snapToGrid w:val="0"/>
              <w:spacing w:line="400" w:lineRule="exact"/>
              <w:jc w:val="center"/>
              <w:rPr>
                <w:rFonts w:asciiTheme="minorEastAsia" w:hAnsiTheme="minorEastAsia" w:eastAsiaTheme="minorEastAsia" w:cstheme="minorEastAsia"/>
                <w:sz w:val="18"/>
                <w:szCs w:val="18"/>
              </w:rPr>
            </w:pPr>
          </w:p>
        </w:tc>
        <w:tc>
          <w:tcPr>
            <w:tcW w:w="998"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XX页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25" w:type="dxa"/>
            <w:vAlign w:val="center"/>
          </w:tcPr>
          <w:p>
            <w:pPr>
              <w:snapToGrid w:val="0"/>
              <w:spacing w:line="400" w:lineRule="exact"/>
              <w:jc w:val="center"/>
              <w:rPr>
                <w:rFonts w:asciiTheme="minorEastAsia" w:hAnsiTheme="minorEastAsia" w:eastAsiaTheme="minorEastAsia" w:cstheme="minorEastAsia"/>
                <w:sz w:val="18"/>
                <w:szCs w:val="18"/>
              </w:rPr>
            </w:pPr>
          </w:p>
        </w:tc>
        <w:tc>
          <w:tcPr>
            <w:tcW w:w="1029"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业绩材料</w:t>
            </w:r>
          </w:p>
        </w:tc>
        <w:tc>
          <w:tcPr>
            <w:tcW w:w="2492" w:type="dxa"/>
            <w:vAlign w:val="center"/>
          </w:tcPr>
          <w:p>
            <w:pPr>
              <w:snapToGrid w:val="0"/>
              <w:spacing w:line="40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在</w:t>
            </w:r>
            <w:r>
              <w:rPr>
                <w:rFonts w:hint="eastAsia" w:asciiTheme="minorEastAsia" w:hAnsiTheme="minorEastAsia" w:eastAsiaTheme="minorEastAsia" w:cstheme="minorEastAsia"/>
                <w:sz w:val="18"/>
                <w:szCs w:val="18"/>
              </w:rPr>
              <w:t>20</w:t>
            </w:r>
            <w:r>
              <w:rPr>
                <w:rFonts w:hint="eastAsia" w:asciiTheme="minorEastAsia" w:hAnsiTheme="minorEastAsia" w:eastAsiaTheme="minorEastAsia" w:cstheme="minorEastAsia"/>
                <w:sz w:val="18"/>
                <w:szCs w:val="18"/>
                <w:lang w:val="en-US" w:eastAsia="zh-CN"/>
              </w:rPr>
              <w:t>20</w:t>
            </w:r>
            <w:r>
              <w:rPr>
                <w:rFonts w:hint="eastAsia" w:asciiTheme="minorEastAsia" w:hAnsiTheme="minorEastAsia" w:eastAsiaTheme="minorEastAsia" w:cstheme="minorEastAsia"/>
                <w:sz w:val="18"/>
                <w:szCs w:val="18"/>
              </w:rPr>
              <w:t>年1月1日至投标截止时间止(以合同签订时间为准)</w:t>
            </w:r>
            <w:r>
              <w:rPr>
                <w:rFonts w:hint="eastAsia" w:asciiTheme="minorEastAsia" w:hAnsiTheme="minorEastAsia" w:eastAsiaTheme="minorEastAsia" w:cstheme="minorEastAsia"/>
                <w:sz w:val="18"/>
                <w:szCs w:val="18"/>
                <w:lang w:val="en-US" w:eastAsia="zh-CN"/>
              </w:rPr>
              <w:t>每承担一项</w:t>
            </w:r>
            <w:r>
              <w:rPr>
                <w:rFonts w:hint="eastAsia" w:asciiTheme="minorEastAsia" w:hAnsiTheme="minorEastAsia" w:eastAsiaTheme="minorEastAsia" w:cstheme="minorEastAsia"/>
                <w:sz w:val="18"/>
                <w:szCs w:val="18"/>
              </w:rPr>
              <w:t>合同金额</w:t>
            </w:r>
            <w:r>
              <w:rPr>
                <w:rFonts w:hint="eastAsia" w:asciiTheme="minorEastAsia" w:hAnsiTheme="minorEastAsia" w:eastAsiaTheme="minorEastAsia" w:cstheme="minorEastAsia"/>
                <w:sz w:val="18"/>
                <w:szCs w:val="18"/>
                <w:lang w:val="en-US" w:eastAsia="zh-CN"/>
              </w:rPr>
              <w:t>不低于</w:t>
            </w:r>
            <w:r>
              <w:rPr>
                <w:rFonts w:hint="eastAsia" w:asciiTheme="minorEastAsia" w:hAnsiTheme="minorEastAsia" w:eastAsiaTheme="minorEastAsia" w:cstheme="minorEastAsia"/>
                <w:sz w:val="18"/>
                <w:szCs w:val="18"/>
              </w:rPr>
              <w:t>50万元</w:t>
            </w:r>
            <w:r>
              <w:rPr>
                <w:rFonts w:hint="eastAsia" w:asciiTheme="minorEastAsia" w:hAnsiTheme="minorEastAsia" w:eastAsiaTheme="minorEastAsia" w:cstheme="minorEastAsia"/>
                <w:sz w:val="18"/>
                <w:szCs w:val="18"/>
                <w:lang w:val="en-US" w:eastAsia="zh-CN"/>
              </w:rPr>
              <w:t>的</w:t>
            </w:r>
            <w:r>
              <w:rPr>
                <w:rFonts w:hint="eastAsia" w:asciiTheme="minorEastAsia" w:hAnsiTheme="minorEastAsia" w:eastAsiaTheme="minorEastAsia" w:cstheme="minorEastAsia"/>
                <w:sz w:val="18"/>
                <w:szCs w:val="18"/>
              </w:rPr>
              <w:t>的软件开发</w:t>
            </w:r>
            <w:r>
              <w:rPr>
                <w:rFonts w:hint="eastAsia" w:asciiTheme="minorEastAsia" w:hAnsiTheme="minorEastAsia" w:eastAsiaTheme="minorEastAsia" w:cstheme="minorEastAsia"/>
                <w:sz w:val="18"/>
                <w:szCs w:val="18"/>
                <w:lang w:val="en-US" w:eastAsia="zh-CN"/>
              </w:rPr>
              <w:t>业绩得</w:t>
            </w:r>
            <w:r>
              <w:rPr>
                <w:rFonts w:hint="eastAsia" w:asciiTheme="minorEastAsia" w:hAnsiTheme="minorEastAsia" w:eastAsiaTheme="minorEastAsia" w:cstheme="minorEastAsia"/>
                <w:sz w:val="18"/>
                <w:szCs w:val="18"/>
              </w:rPr>
              <w:t>2分，最多得</w:t>
            </w:r>
            <w:r>
              <w:rPr>
                <w:rFonts w:asciiTheme="minorEastAsia" w:hAnsiTheme="minorEastAsia" w:eastAsiaTheme="minorEastAsia" w:cstheme="minorEastAsia"/>
                <w:sz w:val="18"/>
                <w:szCs w:val="18"/>
              </w:rPr>
              <w:t>4</w:t>
            </w:r>
            <w:r>
              <w:rPr>
                <w:rFonts w:hint="eastAsia" w:asciiTheme="minorEastAsia" w:hAnsiTheme="minorEastAsia" w:eastAsiaTheme="minorEastAsia" w:cstheme="minorEastAsia"/>
                <w:sz w:val="18"/>
                <w:szCs w:val="18"/>
              </w:rPr>
              <w:t>分</w:t>
            </w:r>
          </w:p>
        </w:tc>
        <w:tc>
          <w:tcPr>
            <w:tcW w:w="1736"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XXX</w:t>
            </w:r>
          </w:p>
        </w:tc>
        <w:tc>
          <w:tcPr>
            <w:tcW w:w="1395" w:type="dxa"/>
            <w:vAlign w:val="center"/>
          </w:tcPr>
          <w:p>
            <w:pPr>
              <w:snapToGrid w:val="0"/>
              <w:spacing w:line="400" w:lineRule="exact"/>
              <w:jc w:val="center"/>
              <w:rPr>
                <w:rFonts w:asciiTheme="minorEastAsia" w:hAnsiTheme="minorEastAsia" w:eastAsiaTheme="minorEastAsia" w:cstheme="minorEastAsia"/>
                <w:sz w:val="18"/>
                <w:szCs w:val="18"/>
                <w:highlight w:val="yellow"/>
              </w:rPr>
            </w:pPr>
            <w:r>
              <w:rPr>
                <w:rFonts w:asciiTheme="minorEastAsia" w:hAnsiTheme="minorEastAsia" w:eastAsiaTheme="minorEastAsia" w:cstheme="minorEastAsia"/>
                <w:sz w:val="18"/>
                <w:szCs w:val="18"/>
              </w:rPr>
              <w:t>2</w:t>
            </w:r>
            <w:r>
              <w:rPr>
                <w:rFonts w:hint="eastAsia" w:asciiTheme="minorEastAsia" w:hAnsiTheme="minorEastAsia" w:eastAsiaTheme="minorEastAsia" w:cstheme="minorEastAsia"/>
                <w:sz w:val="18"/>
                <w:szCs w:val="18"/>
              </w:rPr>
              <w:t>分</w:t>
            </w:r>
          </w:p>
        </w:tc>
        <w:tc>
          <w:tcPr>
            <w:tcW w:w="1052" w:type="dxa"/>
            <w:vAlign w:val="center"/>
          </w:tcPr>
          <w:p>
            <w:pPr>
              <w:snapToGrid w:val="0"/>
              <w:spacing w:line="400" w:lineRule="exact"/>
              <w:jc w:val="center"/>
              <w:rPr>
                <w:rFonts w:asciiTheme="minorEastAsia" w:hAnsiTheme="minorEastAsia" w:eastAsiaTheme="minorEastAsia" w:cstheme="minorEastAsia"/>
                <w:sz w:val="18"/>
                <w:szCs w:val="18"/>
              </w:rPr>
            </w:pPr>
          </w:p>
        </w:tc>
        <w:tc>
          <w:tcPr>
            <w:tcW w:w="998"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XX页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25" w:type="dxa"/>
            <w:vAlign w:val="center"/>
          </w:tcPr>
          <w:p>
            <w:pPr>
              <w:snapToGrid w:val="0"/>
              <w:spacing w:line="400" w:lineRule="exact"/>
              <w:jc w:val="center"/>
              <w:rPr>
                <w:rFonts w:asciiTheme="minorEastAsia" w:hAnsiTheme="minorEastAsia" w:eastAsiaTheme="minorEastAsia" w:cstheme="minorEastAsia"/>
                <w:sz w:val="18"/>
                <w:szCs w:val="18"/>
              </w:rPr>
            </w:pPr>
          </w:p>
        </w:tc>
        <w:tc>
          <w:tcPr>
            <w:tcW w:w="1029"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b/>
                <w:sz w:val="28"/>
                <w:szCs w:val="28"/>
              </w:rPr>
              <w:t>....</w:t>
            </w:r>
          </w:p>
        </w:tc>
        <w:tc>
          <w:tcPr>
            <w:tcW w:w="2492" w:type="dxa"/>
            <w:vAlign w:val="center"/>
          </w:tcPr>
          <w:p>
            <w:pPr>
              <w:snapToGrid w:val="0"/>
              <w:spacing w:line="400" w:lineRule="exact"/>
              <w:rPr>
                <w:rFonts w:asciiTheme="minorEastAsia" w:hAnsiTheme="minorEastAsia" w:eastAsiaTheme="minorEastAsia" w:cstheme="minorEastAsia"/>
                <w:sz w:val="18"/>
                <w:szCs w:val="18"/>
              </w:rPr>
            </w:pPr>
            <w:r>
              <w:rPr>
                <w:rFonts w:hint="eastAsia"/>
                <w:b/>
                <w:sz w:val="28"/>
                <w:szCs w:val="28"/>
              </w:rPr>
              <w:t>....</w:t>
            </w:r>
          </w:p>
        </w:tc>
        <w:tc>
          <w:tcPr>
            <w:tcW w:w="1736" w:type="dxa"/>
            <w:vAlign w:val="center"/>
          </w:tcPr>
          <w:p>
            <w:pPr>
              <w:snapToGrid w:val="0"/>
              <w:spacing w:line="400" w:lineRule="exact"/>
              <w:jc w:val="center"/>
              <w:rPr>
                <w:rFonts w:asciiTheme="minorEastAsia" w:hAnsiTheme="minorEastAsia" w:eastAsiaTheme="minorEastAsia" w:cstheme="minorEastAsia"/>
                <w:sz w:val="18"/>
                <w:szCs w:val="18"/>
              </w:rPr>
            </w:pPr>
          </w:p>
        </w:tc>
        <w:tc>
          <w:tcPr>
            <w:tcW w:w="1395" w:type="dxa"/>
            <w:vAlign w:val="center"/>
          </w:tcPr>
          <w:p>
            <w:pPr>
              <w:snapToGrid w:val="0"/>
              <w:spacing w:line="400" w:lineRule="exact"/>
              <w:jc w:val="center"/>
              <w:rPr>
                <w:rFonts w:asciiTheme="minorEastAsia" w:hAnsiTheme="minorEastAsia" w:eastAsiaTheme="minorEastAsia" w:cstheme="minorEastAsia"/>
                <w:sz w:val="18"/>
                <w:szCs w:val="18"/>
              </w:rPr>
            </w:pPr>
          </w:p>
        </w:tc>
        <w:tc>
          <w:tcPr>
            <w:tcW w:w="1052" w:type="dxa"/>
            <w:vAlign w:val="center"/>
          </w:tcPr>
          <w:p>
            <w:pPr>
              <w:snapToGrid w:val="0"/>
              <w:spacing w:line="400" w:lineRule="exact"/>
              <w:jc w:val="center"/>
              <w:rPr>
                <w:rFonts w:asciiTheme="minorEastAsia" w:hAnsiTheme="minorEastAsia" w:eastAsiaTheme="minorEastAsia" w:cstheme="minorEastAsia"/>
                <w:sz w:val="18"/>
                <w:szCs w:val="18"/>
              </w:rPr>
            </w:pPr>
          </w:p>
        </w:tc>
        <w:tc>
          <w:tcPr>
            <w:tcW w:w="998" w:type="dxa"/>
            <w:vAlign w:val="center"/>
          </w:tcPr>
          <w:p>
            <w:pPr>
              <w:snapToGrid w:val="0"/>
              <w:spacing w:line="40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725" w:type="dxa"/>
          </w:tcPr>
          <w:p>
            <w:pPr>
              <w:snapToGrid w:val="0"/>
              <w:spacing w:line="400" w:lineRule="exact"/>
              <w:jc w:val="center"/>
              <w:rPr>
                <w:rFonts w:asciiTheme="minorEastAsia" w:hAnsiTheme="minorEastAsia" w:eastAsiaTheme="minorEastAsia" w:cstheme="minorEastAsia"/>
                <w:sz w:val="18"/>
                <w:szCs w:val="18"/>
              </w:rPr>
            </w:pPr>
          </w:p>
        </w:tc>
        <w:tc>
          <w:tcPr>
            <w:tcW w:w="1029"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项目团队</w:t>
            </w:r>
          </w:p>
        </w:tc>
        <w:tc>
          <w:tcPr>
            <w:tcW w:w="2492" w:type="dxa"/>
            <w:vAlign w:val="center"/>
          </w:tcPr>
          <w:p>
            <w:pPr>
              <w:snapToGrid w:val="0"/>
              <w:spacing w:line="400" w:lineRule="exact"/>
              <w:rPr>
                <w:rFonts w:asciiTheme="minorEastAsia" w:hAnsiTheme="minorEastAsia" w:eastAsiaTheme="minorEastAsia" w:cstheme="minorEastAsia"/>
                <w:sz w:val="18"/>
                <w:szCs w:val="18"/>
              </w:rPr>
            </w:pPr>
          </w:p>
        </w:tc>
        <w:tc>
          <w:tcPr>
            <w:tcW w:w="1736"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XX证书</w:t>
            </w:r>
          </w:p>
        </w:tc>
        <w:tc>
          <w:tcPr>
            <w:tcW w:w="1395" w:type="dxa"/>
            <w:vAlign w:val="center"/>
          </w:tcPr>
          <w:p>
            <w:pPr>
              <w:snapToGrid w:val="0"/>
              <w:spacing w:line="400" w:lineRule="exact"/>
              <w:jc w:val="center"/>
              <w:rPr>
                <w:rFonts w:asciiTheme="minorEastAsia" w:hAnsiTheme="minorEastAsia" w:eastAsiaTheme="minorEastAsia" w:cstheme="minorEastAsia"/>
                <w:sz w:val="18"/>
                <w:szCs w:val="18"/>
                <w:highlight w:val="yellow"/>
              </w:rPr>
            </w:pPr>
            <w:r>
              <w:rPr>
                <w:rFonts w:asciiTheme="minorEastAsia" w:hAnsiTheme="minorEastAsia" w:eastAsiaTheme="minorEastAsia" w:cstheme="minorEastAsia"/>
                <w:sz w:val="18"/>
                <w:szCs w:val="18"/>
              </w:rPr>
              <w:t>1</w:t>
            </w:r>
            <w:r>
              <w:rPr>
                <w:rFonts w:hint="eastAsia" w:asciiTheme="minorEastAsia" w:hAnsiTheme="minorEastAsia" w:eastAsiaTheme="minorEastAsia" w:cstheme="minorEastAsia"/>
                <w:sz w:val="18"/>
                <w:szCs w:val="18"/>
              </w:rPr>
              <w:t>分</w:t>
            </w:r>
          </w:p>
        </w:tc>
        <w:tc>
          <w:tcPr>
            <w:tcW w:w="1052" w:type="dxa"/>
            <w:vAlign w:val="center"/>
          </w:tcPr>
          <w:p>
            <w:pPr>
              <w:spacing w:line="360" w:lineRule="auto"/>
              <w:jc w:val="center"/>
              <w:rPr>
                <w:rFonts w:asciiTheme="minorEastAsia" w:hAnsiTheme="minorEastAsia" w:eastAsiaTheme="minorEastAsia" w:cstheme="minorEastAsia"/>
                <w:sz w:val="18"/>
                <w:szCs w:val="18"/>
              </w:rPr>
            </w:pPr>
          </w:p>
        </w:tc>
        <w:tc>
          <w:tcPr>
            <w:tcW w:w="998"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XX页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25" w:type="dxa"/>
            <w:vAlign w:val="center"/>
          </w:tcPr>
          <w:p>
            <w:pPr>
              <w:spacing w:line="360" w:lineRule="auto"/>
              <w:jc w:val="center"/>
              <w:rPr>
                <w:b/>
                <w:sz w:val="28"/>
                <w:szCs w:val="28"/>
              </w:rPr>
            </w:pPr>
          </w:p>
        </w:tc>
        <w:tc>
          <w:tcPr>
            <w:tcW w:w="1029" w:type="dxa"/>
            <w:vAlign w:val="center"/>
          </w:tcPr>
          <w:p>
            <w:pPr>
              <w:spacing w:line="360" w:lineRule="auto"/>
              <w:jc w:val="center"/>
              <w:rPr>
                <w:b/>
                <w:sz w:val="28"/>
                <w:szCs w:val="28"/>
              </w:rPr>
            </w:pPr>
            <w:r>
              <w:rPr>
                <w:rFonts w:hint="eastAsia" w:asciiTheme="minorEastAsia" w:hAnsiTheme="minorEastAsia" w:eastAsiaTheme="minorEastAsia" w:cstheme="minorEastAsia"/>
                <w:sz w:val="18"/>
                <w:szCs w:val="18"/>
              </w:rPr>
              <w:t>项目团队</w:t>
            </w:r>
          </w:p>
        </w:tc>
        <w:tc>
          <w:tcPr>
            <w:tcW w:w="2492" w:type="dxa"/>
            <w:vAlign w:val="center"/>
          </w:tcPr>
          <w:p>
            <w:pPr>
              <w:snapToGrid w:val="0"/>
              <w:spacing w:line="400" w:lineRule="exact"/>
              <w:rPr>
                <w:rFonts w:asciiTheme="minorEastAsia" w:hAnsiTheme="minorEastAsia" w:eastAsiaTheme="minorEastAsia" w:cstheme="minorEastAsia"/>
                <w:sz w:val="18"/>
                <w:szCs w:val="18"/>
              </w:rPr>
            </w:pPr>
          </w:p>
        </w:tc>
        <w:tc>
          <w:tcPr>
            <w:tcW w:w="1736" w:type="dxa"/>
            <w:vAlign w:val="center"/>
          </w:tcPr>
          <w:p>
            <w:pPr>
              <w:spacing w:line="360" w:lineRule="auto"/>
              <w:jc w:val="center"/>
              <w:rPr>
                <w:b/>
                <w:sz w:val="28"/>
                <w:szCs w:val="28"/>
              </w:rPr>
            </w:pPr>
            <w:r>
              <w:rPr>
                <w:rFonts w:hint="eastAsia" w:asciiTheme="minorEastAsia" w:hAnsiTheme="minorEastAsia" w:eastAsiaTheme="minorEastAsia" w:cstheme="minorEastAsia"/>
                <w:sz w:val="18"/>
                <w:szCs w:val="18"/>
              </w:rPr>
              <w:t>XX证书</w:t>
            </w:r>
          </w:p>
        </w:tc>
        <w:tc>
          <w:tcPr>
            <w:tcW w:w="1395" w:type="dxa"/>
            <w:vAlign w:val="center"/>
          </w:tcPr>
          <w:p>
            <w:pPr>
              <w:snapToGrid w:val="0"/>
              <w:spacing w:line="400" w:lineRule="exact"/>
              <w:jc w:val="center"/>
              <w:rPr>
                <w:b/>
                <w:sz w:val="28"/>
                <w:szCs w:val="28"/>
                <w:highlight w:val="yellow"/>
              </w:rPr>
            </w:pPr>
            <w:r>
              <w:rPr>
                <w:rFonts w:asciiTheme="minorEastAsia" w:hAnsiTheme="minorEastAsia" w:eastAsiaTheme="minorEastAsia" w:cstheme="minorEastAsia"/>
                <w:sz w:val="18"/>
                <w:szCs w:val="18"/>
              </w:rPr>
              <w:t>3</w:t>
            </w:r>
            <w:r>
              <w:rPr>
                <w:rFonts w:hint="eastAsia" w:asciiTheme="minorEastAsia" w:hAnsiTheme="minorEastAsia" w:eastAsiaTheme="minorEastAsia" w:cstheme="minorEastAsia"/>
                <w:sz w:val="18"/>
                <w:szCs w:val="18"/>
              </w:rPr>
              <w:t>分</w:t>
            </w:r>
          </w:p>
        </w:tc>
        <w:tc>
          <w:tcPr>
            <w:tcW w:w="1052" w:type="dxa"/>
            <w:vAlign w:val="center"/>
          </w:tcPr>
          <w:p>
            <w:pPr>
              <w:spacing w:line="360" w:lineRule="auto"/>
              <w:jc w:val="center"/>
              <w:rPr>
                <w:rFonts w:asciiTheme="minorEastAsia" w:hAnsiTheme="minorEastAsia" w:eastAsiaTheme="minorEastAsia" w:cstheme="minorEastAsia"/>
                <w:sz w:val="18"/>
                <w:szCs w:val="18"/>
              </w:rPr>
            </w:pPr>
          </w:p>
        </w:tc>
        <w:tc>
          <w:tcPr>
            <w:tcW w:w="998" w:type="dxa"/>
            <w:vAlign w:val="center"/>
          </w:tcPr>
          <w:p>
            <w:pPr>
              <w:spacing w:line="360" w:lineRule="auto"/>
              <w:jc w:val="center"/>
              <w:rPr>
                <w:b/>
                <w:sz w:val="28"/>
                <w:szCs w:val="28"/>
              </w:rPr>
            </w:pPr>
            <w:r>
              <w:rPr>
                <w:rFonts w:hint="eastAsia" w:asciiTheme="minorEastAsia" w:hAnsiTheme="minorEastAsia" w:eastAsiaTheme="minorEastAsia" w:cstheme="minorEastAsia"/>
                <w:sz w:val="18"/>
                <w:szCs w:val="18"/>
              </w:rPr>
              <w:t>XX页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25" w:type="dxa"/>
            <w:vAlign w:val="center"/>
          </w:tcPr>
          <w:p>
            <w:pPr>
              <w:spacing w:line="360" w:lineRule="auto"/>
              <w:jc w:val="center"/>
              <w:rPr>
                <w:b/>
                <w:sz w:val="28"/>
                <w:szCs w:val="28"/>
              </w:rPr>
            </w:pPr>
            <w:bookmarkStart w:id="275" w:name="_Toc30564"/>
            <w:bookmarkStart w:id="276" w:name="_Toc30447"/>
          </w:p>
        </w:tc>
        <w:tc>
          <w:tcPr>
            <w:tcW w:w="1029" w:type="dxa"/>
            <w:vAlign w:val="center"/>
          </w:tcPr>
          <w:p>
            <w:pPr>
              <w:spacing w:line="360" w:lineRule="auto"/>
              <w:jc w:val="center"/>
              <w:rPr>
                <w:b/>
                <w:sz w:val="28"/>
                <w:szCs w:val="28"/>
              </w:rPr>
            </w:pPr>
            <w:r>
              <w:rPr>
                <w:rFonts w:hint="eastAsia"/>
                <w:b/>
                <w:sz w:val="28"/>
                <w:szCs w:val="28"/>
              </w:rPr>
              <w:t>....</w:t>
            </w:r>
          </w:p>
        </w:tc>
        <w:tc>
          <w:tcPr>
            <w:tcW w:w="2492" w:type="dxa"/>
            <w:vAlign w:val="center"/>
          </w:tcPr>
          <w:p>
            <w:pPr>
              <w:snapToGrid w:val="0"/>
              <w:spacing w:line="400" w:lineRule="exact"/>
              <w:jc w:val="center"/>
              <w:rPr>
                <w:rFonts w:asciiTheme="minorEastAsia" w:hAnsiTheme="minorEastAsia" w:eastAsiaTheme="minorEastAsia" w:cstheme="minorEastAsia"/>
                <w:sz w:val="18"/>
                <w:szCs w:val="18"/>
              </w:rPr>
            </w:pPr>
            <w:r>
              <w:rPr>
                <w:rFonts w:hint="eastAsia"/>
                <w:b/>
                <w:sz w:val="28"/>
                <w:szCs w:val="28"/>
              </w:rPr>
              <w:t>....</w:t>
            </w:r>
          </w:p>
        </w:tc>
        <w:tc>
          <w:tcPr>
            <w:tcW w:w="1736" w:type="dxa"/>
            <w:vAlign w:val="center"/>
          </w:tcPr>
          <w:p>
            <w:pPr>
              <w:spacing w:line="360" w:lineRule="auto"/>
              <w:jc w:val="center"/>
              <w:rPr>
                <w:rFonts w:asciiTheme="minorEastAsia" w:hAnsiTheme="minorEastAsia" w:eastAsiaTheme="minorEastAsia" w:cstheme="minorEastAsia"/>
                <w:sz w:val="18"/>
                <w:szCs w:val="18"/>
              </w:rPr>
            </w:pPr>
          </w:p>
        </w:tc>
        <w:tc>
          <w:tcPr>
            <w:tcW w:w="1395" w:type="dxa"/>
            <w:vAlign w:val="center"/>
          </w:tcPr>
          <w:p>
            <w:pPr>
              <w:spacing w:line="360" w:lineRule="auto"/>
              <w:jc w:val="center"/>
              <w:rPr>
                <w:b/>
                <w:sz w:val="28"/>
                <w:szCs w:val="28"/>
              </w:rPr>
            </w:pPr>
          </w:p>
        </w:tc>
        <w:tc>
          <w:tcPr>
            <w:tcW w:w="1052" w:type="dxa"/>
            <w:vAlign w:val="center"/>
          </w:tcPr>
          <w:p>
            <w:pPr>
              <w:spacing w:line="360" w:lineRule="auto"/>
              <w:jc w:val="center"/>
              <w:rPr>
                <w:b/>
                <w:sz w:val="28"/>
                <w:szCs w:val="28"/>
              </w:rPr>
            </w:pPr>
          </w:p>
        </w:tc>
        <w:tc>
          <w:tcPr>
            <w:tcW w:w="998" w:type="dxa"/>
            <w:vAlign w:val="center"/>
          </w:tcPr>
          <w:p>
            <w:pPr>
              <w:spacing w:line="360" w:lineRule="auto"/>
              <w:jc w:val="center"/>
              <w:rPr>
                <w:b/>
                <w:sz w:val="28"/>
                <w:szCs w:val="28"/>
              </w:rPr>
            </w:pPr>
          </w:p>
        </w:tc>
      </w:tr>
    </w:tbl>
    <w:p>
      <w:pPr>
        <w:pStyle w:val="42"/>
        <w:ind w:left="0" w:leftChars="0" w:firstLine="0"/>
      </w:pPr>
    </w:p>
    <w:p>
      <w:pPr>
        <w:spacing w:line="360" w:lineRule="auto"/>
        <w:jc w:val="center"/>
        <w:rPr>
          <w:rFonts w:ascii="宋体" w:hAnsi="宋体" w:cs="宋体"/>
          <w:b/>
          <w:bCs/>
          <w:kern w:val="0"/>
          <w:sz w:val="28"/>
          <w:szCs w:val="32"/>
        </w:rPr>
      </w:pPr>
    </w:p>
    <w:p>
      <w:pPr>
        <w:pStyle w:val="2"/>
        <w:rPr>
          <w:rFonts w:ascii="宋体" w:hAnsi="宋体" w:cs="宋体"/>
          <w:b/>
          <w:bCs/>
          <w:sz w:val="28"/>
          <w:szCs w:val="32"/>
        </w:rPr>
      </w:pPr>
      <w:r>
        <w:rPr>
          <w:rFonts w:hint="eastAsia" w:ascii="宋体" w:hAnsi="宋体" w:cs="宋体"/>
          <w:b/>
          <w:bCs/>
          <w:sz w:val="28"/>
          <w:szCs w:val="32"/>
        </w:rPr>
        <w:t>注意：本表为参考填写示例，请报价人根据自身具备的商务部分材料参照本表示例进行填写，本表可扩展。</w:t>
      </w:r>
    </w:p>
    <w:p>
      <w:pPr>
        <w:rPr>
          <w:rFonts w:ascii="宋体" w:hAnsi="宋体" w:cs="宋体"/>
          <w:b/>
          <w:bCs/>
          <w:kern w:val="0"/>
          <w:sz w:val="28"/>
          <w:szCs w:val="32"/>
        </w:rPr>
      </w:pPr>
    </w:p>
    <w:p>
      <w:pPr>
        <w:rPr>
          <w:rFonts w:ascii="宋体" w:hAnsi="宋体" w:cs="宋体"/>
          <w:b/>
          <w:bCs/>
          <w:sz w:val="28"/>
          <w:szCs w:val="32"/>
        </w:rPr>
      </w:pPr>
      <w:r>
        <w:rPr>
          <w:rFonts w:ascii="宋体" w:hAnsi="宋体" w:cs="宋体"/>
          <w:b/>
          <w:bCs/>
          <w:sz w:val="28"/>
          <w:szCs w:val="32"/>
        </w:rPr>
        <w:br w:type="page"/>
      </w:r>
    </w:p>
    <w:p>
      <w:pPr>
        <w:spacing w:line="360" w:lineRule="auto"/>
        <w:jc w:val="center"/>
        <w:outlineLvl w:val="1"/>
        <w:rPr>
          <w:rFonts w:ascii="宋体" w:hAnsi="宋体" w:cs="宋体"/>
          <w:b/>
          <w:bCs/>
          <w:kern w:val="0"/>
          <w:sz w:val="28"/>
          <w:szCs w:val="32"/>
        </w:rPr>
      </w:pPr>
      <w:r>
        <w:rPr>
          <w:rFonts w:hint="eastAsia" w:ascii="宋体" w:hAnsi="宋体" w:cs="宋体"/>
          <w:b/>
          <w:bCs/>
          <w:kern w:val="0"/>
          <w:sz w:val="28"/>
          <w:szCs w:val="32"/>
        </w:rPr>
        <w:t>（二）技术方案</w:t>
      </w:r>
      <w:bookmarkEnd w:id="275"/>
    </w:p>
    <w:bookmarkEnd w:id="276"/>
    <w:p>
      <w:pPr>
        <w:pStyle w:val="37"/>
        <w:spacing w:beforeAutospacing="0" w:afterAutospacing="0" w:line="360" w:lineRule="auto"/>
        <w:ind w:firstLine="482"/>
        <w:rPr>
          <w:rFonts w:cs="Times New Roman"/>
          <w:kern w:val="2"/>
          <w:sz w:val="21"/>
        </w:rPr>
      </w:pPr>
      <w:r>
        <w:rPr>
          <w:rFonts w:hint="eastAsia" w:cs="Times New Roman"/>
          <w:kern w:val="2"/>
          <w:sz w:val="21"/>
        </w:rPr>
        <w:t>格式自拟。</w:t>
      </w:r>
    </w:p>
    <w:p>
      <w:pPr>
        <w:pStyle w:val="37"/>
        <w:spacing w:beforeAutospacing="0" w:afterAutospacing="0" w:line="360" w:lineRule="auto"/>
        <w:ind w:firstLine="482"/>
        <w:rPr>
          <w:rFonts w:cs="Times New Roman"/>
          <w:kern w:val="2"/>
          <w:sz w:val="21"/>
        </w:rPr>
      </w:pPr>
    </w:p>
    <w:p>
      <w:pPr>
        <w:pStyle w:val="37"/>
        <w:spacing w:beforeAutospacing="0" w:afterAutospacing="0" w:line="360" w:lineRule="auto"/>
        <w:ind w:firstLine="482"/>
        <w:rPr>
          <w:rFonts w:cs="Times New Roman"/>
          <w:kern w:val="2"/>
          <w:sz w:val="21"/>
        </w:rPr>
      </w:pPr>
    </w:p>
    <w:p>
      <w:pPr>
        <w:pStyle w:val="37"/>
        <w:spacing w:beforeAutospacing="0" w:afterAutospacing="0" w:line="360" w:lineRule="auto"/>
        <w:ind w:firstLine="482"/>
        <w:rPr>
          <w:rFonts w:cs="Times New Roman"/>
          <w:kern w:val="2"/>
          <w:sz w:val="21"/>
        </w:rPr>
      </w:pPr>
    </w:p>
    <w:p>
      <w:pPr>
        <w:pStyle w:val="37"/>
        <w:spacing w:beforeAutospacing="0" w:afterAutospacing="0" w:line="360" w:lineRule="auto"/>
        <w:ind w:firstLine="482"/>
        <w:rPr>
          <w:rFonts w:cs="Times New Roman"/>
          <w:kern w:val="2"/>
          <w:sz w:val="21"/>
        </w:rPr>
      </w:pPr>
    </w:p>
    <w:p>
      <w:pPr>
        <w:pStyle w:val="37"/>
        <w:spacing w:beforeAutospacing="0" w:afterAutospacing="0" w:line="360" w:lineRule="auto"/>
        <w:ind w:firstLine="482"/>
        <w:rPr>
          <w:rFonts w:cs="Times New Roman"/>
          <w:kern w:val="2"/>
          <w:sz w:val="21"/>
        </w:rPr>
      </w:pPr>
    </w:p>
    <w:p>
      <w:pPr>
        <w:pStyle w:val="37"/>
        <w:spacing w:beforeAutospacing="0" w:afterAutospacing="0" w:line="360" w:lineRule="auto"/>
        <w:ind w:firstLine="482"/>
        <w:rPr>
          <w:rFonts w:cs="Times New Roman"/>
          <w:kern w:val="2"/>
          <w:sz w:val="21"/>
        </w:rPr>
      </w:pPr>
    </w:p>
    <w:p>
      <w:pPr>
        <w:pStyle w:val="37"/>
        <w:spacing w:beforeAutospacing="0" w:afterAutospacing="0" w:line="360" w:lineRule="auto"/>
        <w:ind w:firstLine="482"/>
        <w:rPr>
          <w:rFonts w:cs="Times New Roman"/>
          <w:kern w:val="2"/>
          <w:sz w:val="21"/>
        </w:rPr>
      </w:pPr>
    </w:p>
    <w:p>
      <w:pPr>
        <w:pStyle w:val="37"/>
        <w:spacing w:beforeAutospacing="0" w:afterAutospacing="0" w:line="360" w:lineRule="auto"/>
        <w:ind w:firstLine="482"/>
        <w:rPr>
          <w:rFonts w:cs="Times New Roman"/>
          <w:kern w:val="2"/>
          <w:sz w:val="21"/>
        </w:rPr>
      </w:pPr>
    </w:p>
    <w:p>
      <w:pPr>
        <w:pStyle w:val="37"/>
        <w:spacing w:beforeAutospacing="0" w:afterAutospacing="0" w:line="360" w:lineRule="auto"/>
        <w:ind w:firstLine="482"/>
        <w:rPr>
          <w:rFonts w:cs="Times New Roman"/>
          <w:kern w:val="2"/>
          <w:sz w:val="21"/>
        </w:rPr>
      </w:pPr>
    </w:p>
    <w:p>
      <w:pPr>
        <w:pStyle w:val="37"/>
        <w:spacing w:beforeAutospacing="0" w:afterAutospacing="0" w:line="360" w:lineRule="auto"/>
        <w:ind w:firstLine="482"/>
        <w:rPr>
          <w:rFonts w:cs="Times New Roman"/>
          <w:kern w:val="2"/>
          <w:sz w:val="21"/>
        </w:rPr>
      </w:pPr>
    </w:p>
    <w:p>
      <w:pPr>
        <w:pStyle w:val="37"/>
        <w:spacing w:beforeAutospacing="0" w:afterAutospacing="0" w:line="360" w:lineRule="auto"/>
        <w:ind w:firstLine="482"/>
        <w:rPr>
          <w:rFonts w:cs="Times New Roman"/>
          <w:kern w:val="2"/>
          <w:sz w:val="21"/>
        </w:rPr>
      </w:pPr>
    </w:p>
    <w:p>
      <w:pPr>
        <w:pStyle w:val="37"/>
        <w:spacing w:beforeAutospacing="0" w:afterAutospacing="0" w:line="360" w:lineRule="auto"/>
        <w:ind w:firstLine="482"/>
        <w:rPr>
          <w:rFonts w:cs="Times New Roman"/>
          <w:kern w:val="2"/>
          <w:sz w:val="21"/>
        </w:rPr>
      </w:pPr>
    </w:p>
    <w:p>
      <w:pPr>
        <w:pStyle w:val="37"/>
        <w:spacing w:beforeAutospacing="0" w:afterAutospacing="0" w:line="360" w:lineRule="auto"/>
        <w:ind w:firstLine="482"/>
        <w:rPr>
          <w:rFonts w:cs="Times New Roman"/>
          <w:kern w:val="2"/>
          <w:sz w:val="21"/>
        </w:rPr>
      </w:pPr>
    </w:p>
    <w:p>
      <w:pPr>
        <w:pStyle w:val="37"/>
        <w:spacing w:beforeAutospacing="0" w:afterAutospacing="0" w:line="360" w:lineRule="auto"/>
        <w:ind w:firstLine="482"/>
        <w:rPr>
          <w:rFonts w:cs="Times New Roman"/>
          <w:kern w:val="2"/>
          <w:sz w:val="21"/>
        </w:rPr>
      </w:pPr>
    </w:p>
    <w:p>
      <w:pPr>
        <w:pStyle w:val="37"/>
        <w:spacing w:beforeAutospacing="0" w:afterAutospacing="0" w:line="360" w:lineRule="auto"/>
        <w:ind w:firstLine="482"/>
        <w:rPr>
          <w:rFonts w:cs="Times New Roman"/>
          <w:kern w:val="2"/>
          <w:sz w:val="21"/>
        </w:rPr>
      </w:pPr>
    </w:p>
    <w:p>
      <w:pPr>
        <w:pStyle w:val="37"/>
        <w:spacing w:beforeAutospacing="0" w:afterAutospacing="0" w:line="360" w:lineRule="auto"/>
        <w:ind w:firstLine="482"/>
        <w:rPr>
          <w:rFonts w:cs="Times New Roman"/>
          <w:kern w:val="2"/>
          <w:sz w:val="21"/>
        </w:rPr>
      </w:pPr>
    </w:p>
    <w:p>
      <w:pPr>
        <w:pStyle w:val="37"/>
        <w:spacing w:beforeAutospacing="0" w:afterAutospacing="0" w:line="360" w:lineRule="auto"/>
        <w:ind w:firstLine="482"/>
        <w:rPr>
          <w:rFonts w:cs="Times New Roman"/>
          <w:kern w:val="2"/>
          <w:sz w:val="21"/>
        </w:rPr>
      </w:pPr>
    </w:p>
    <w:p>
      <w:pPr>
        <w:pStyle w:val="37"/>
        <w:spacing w:beforeAutospacing="0" w:afterAutospacing="0" w:line="360" w:lineRule="auto"/>
        <w:ind w:firstLine="482"/>
        <w:rPr>
          <w:rFonts w:cs="Times New Roman"/>
          <w:kern w:val="2"/>
          <w:sz w:val="21"/>
        </w:rPr>
      </w:pPr>
    </w:p>
    <w:p>
      <w:pPr>
        <w:pStyle w:val="37"/>
        <w:spacing w:beforeAutospacing="0" w:afterAutospacing="0" w:line="360" w:lineRule="auto"/>
        <w:ind w:firstLine="482"/>
        <w:rPr>
          <w:rFonts w:cs="Times New Roman"/>
          <w:kern w:val="2"/>
          <w:sz w:val="21"/>
        </w:rPr>
      </w:pPr>
    </w:p>
    <w:p>
      <w:pPr>
        <w:pStyle w:val="37"/>
        <w:spacing w:beforeAutospacing="0" w:afterAutospacing="0" w:line="360" w:lineRule="auto"/>
        <w:ind w:firstLine="482"/>
        <w:rPr>
          <w:rFonts w:cs="Times New Roman"/>
          <w:kern w:val="2"/>
          <w:sz w:val="21"/>
        </w:rPr>
      </w:pPr>
    </w:p>
    <w:p>
      <w:pPr>
        <w:pStyle w:val="37"/>
        <w:spacing w:beforeAutospacing="0" w:afterAutospacing="0" w:line="360" w:lineRule="auto"/>
        <w:ind w:firstLine="482"/>
        <w:rPr>
          <w:rFonts w:cs="Times New Roman"/>
          <w:kern w:val="2"/>
          <w:sz w:val="21"/>
        </w:rPr>
      </w:pPr>
    </w:p>
    <w:p>
      <w:pPr>
        <w:pStyle w:val="37"/>
        <w:spacing w:beforeAutospacing="0" w:afterAutospacing="0" w:line="360" w:lineRule="auto"/>
        <w:ind w:firstLine="482"/>
        <w:rPr>
          <w:rFonts w:cs="Times New Roman"/>
          <w:kern w:val="2"/>
          <w:sz w:val="21"/>
        </w:rPr>
      </w:pPr>
    </w:p>
    <w:p>
      <w:pPr>
        <w:spacing w:line="360" w:lineRule="auto"/>
        <w:jc w:val="center"/>
        <w:outlineLvl w:val="1"/>
        <w:rPr>
          <w:rFonts w:ascii="宋体" w:hAnsi="宋体" w:cs="宋体"/>
          <w:b/>
          <w:bCs/>
          <w:kern w:val="0"/>
          <w:sz w:val="28"/>
          <w:szCs w:val="32"/>
        </w:rPr>
      </w:pPr>
      <w:r>
        <w:rPr>
          <w:rFonts w:hint="eastAsia" w:ascii="宋体" w:hAnsi="宋体" w:cs="宋体"/>
          <w:b/>
          <w:bCs/>
          <w:kern w:val="0"/>
          <w:sz w:val="28"/>
          <w:szCs w:val="32"/>
        </w:rPr>
        <w:t>（三）</w:t>
      </w:r>
      <w:bookmarkEnd w:id="270"/>
      <w:bookmarkStart w:id="277" w:name="_Toc504639215"/>
      <w:bookmarkStart w:id="278" w:name="_Toc507681488"/>
      <w:bookmarkStart w:id="279" w:name="_Toc507681700"/>
      <w:r>
        <w:rPr>
          <w:rFonts w:hint="eastAsia" w:ascii="宋体" w:hAnsi="宋体" w:cs="宋体"/>
          <w:b/>
          <w:bCs/>
          <w:kern w:val="0"/>
          <w:sz w:val="28"/>
          <w:szCs w:val="32"/>
        </w:rPr>
        <w:t>报价人自行承诺部分</w:t>
      </w:r>
      <w:bookmarkEnd w:id="277"/>
      <w:bookmarkEnd w:id="278"/>
      <w:bookmarkEnd w:id="279"/>
    </w:p>
    <w:p>
      <w:pPr>
        <w:spacing w:line="360" w:lineRule="auto"/>
        <w:rPr>
          <w:rFonts w:ascii="宋体" w:hAnsi="宋体" w:cs="宋体"/>
          <w:szCs w:val="21"/>
        </w:rPr>
      </w:pPr>
      <w:r>
        <w:rPr>
          <w:rFonts w:hint="eastAsia" w:ascii="宋体" w:hAnsi="宋体" w:cs="宋体"/>
          <w:szCs w:val="21"/>
        </w:rPr>
        <w:t>致：重庆首讯科技股份有限公司</w:t>
      </w:r>
    </w:p>
    <w:p>
      <w:pPr>
        <w:spacing w:line="360" w:lineRule="auto"/>
        <w:ind w:firstLine="420" w:firstLineChars="200"/>
        <w:rPr>
          <w:rFonts w:ascii="宋体" w:hAnsi="宋体" w:cs="宋体"/>
          <w:szCs w:val="21"/>
        </w:rPr>
      </w:pPr>
      <w:r>
        <w:rPr>
          <w:rFonts w:hint="eastAsia" w:ascii="宋体" w:hAnsi="宋体" w:cs="宋体"/>
          <w:szCs w:val="21"/>
        </w:rPr>
        <w:t>我公司对</w:t>
      </w:r>
      <w:r>
        <w:rPr>
          <w:rFonts w:hint="eastAsia" w:ascii="宋体" w:hAnsi="宋体" w:cs="宋体"/>
          <w:szCs w:val="21"/>
          <w:u w:val="single"/>
        </w:rPr>
        <w:t xml:space="preserve">                                 （项目名称）</w:t>
      </w:r>
      <w:r>
        <w:rPr>
          <w:rFonts w:hint="eastAsia" w:ascii="宋体" w:hAnsi="宋体" w:cs="宋体"/>
          <w:szCs w:val="21"/>
        </w:rPr>
        <w:t>竞争性比选文件中要求内容完全响应做出以下承诺：</w:t>
      </w:r>
    </w:p>
    <w:p>
      <w:pPr>
        <w:spacing w:line="360" w:lineRule="auto"/>
        <w:ind w:firstLine="420" w:firstLineChars="200"/>
        <w:rPr>
          <w:rFonts w:ascii="宋体" w:hAnsi="宋体" w:cs="宋体"/>
          <w:szCs w:val="21"/>
        </w:rPr>
      </w:pPr>
      <w:r>
        <w:rPr>
          <w:rFonts w:hint="eastAsia" w:ascii="宋体" w:hAnsi="宋体" w:cs="宋体"/>
          <w:szCs w:val="21"/>
        </w:rPr>
        <w:t>1、我方比选响应文件中所有资料都是真实、准确、完整的；</w:t>
      </w:r>
    </w:p>
    <w:p>
      <w:pPr>
        <w:spacing w:line="360" w:lineRule="auto"/>
        <w:ind w:firstLine="420" w:firstLineChars="200"/>
        <w:rPr>
          <w:rFonts w:ascii="宋体" w:hAnsi="宋体" w:cs="宋体"/>
          <w:szCs w:val="21"/>
        </w:rPr>
      </w:pPr>
      <w:r>
        <w:rPr>
          <w:rFonts w:hint="eastAsia" w:ascii="宋体" w:hAnsi="宋体" w:cs="宋体"/>
          <w:szCs w:val="21"/>
        </w:rPr>
        <w:t>2、我方不存在资质挂靠或参与串标、围标情形。所报项目相关人员未在其他项目任职。</w:t>
      </w:r>
    </w:p>
    <w:p>
      <w:pPr>
        <w:spacing w:line="360" w:lineRule="auto"/>
        <w:ind w:firstLine="420" w:firstLineChars="200"/>
        <w:rPr>
          <w:rFonts w:ascii="宋体" w:hAnsi="宋体" w:cs="宋体"/>
          <w:szCs w:val="21"/>
        </w:rPr>
      </w:pPr>
      <w:r>
        <w:rPr>
          <w:rFonts w:hint="eastAsia" w:ascii="宋体" w:hAnsi="宋体" w:cs="宋体"/>
          <w:szCs w:val="21"/>
        </w:rPr>
        <w:t>3、完全响应竞争性比选文件中的人员要求、投标内容要求、报价要求、工期要求、质量标准等要求；</w:t>
      </w:r>
    </w:p>
    <w:p>
      <w:pPr>
        <w:spacing w:line="360" w:lineRule="auto"/>
        <w:rPr>
          <w:rFonts w:ascii="宋体" w:hAnsi="宋体" w:cs="宋体"/>
          <w:szCs w:val="21"/>
        </w:rPr>
      </w:pPr>
      <w:r>
        <w:rPr>
          <w:rFonts w:hint="eastAsia" w:ascii="宋体" w:hAnsi="宋体" w:cs="宋体"/>
          <w:szCs w:val="21"/>
        </w:rPr>
        <w:t>如我方违反上述承诺，隐瞒、提供虚假资料或不按竞争性比选文件要求组织实施，被贵方发现或被他人举报查实，无条件接受贵司的处罚，对造成的损失，任何法律和经济责任完全由我方承担。</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 xml:space="preserve">                    报价人（单位名称）：</w:t>
      </w:r>
    </w:p>
    <w:p>
      <w:pPr>
        <w:spacing w:line="360" w:lineRule="auto"/>
        <w:rPr>
          <w:rFonts w:ascii="宋体" w:hAnsi="宋体" w:cs="宋体"/>
          <w:szCs w:val="21"/>
        </w:rPr>
      </w:pPr>
      <w:r>
        <w:rPr>
          <w:rFonts w:hint="eastAsia" w:ascii="宋体" w:hAnsi="宋体" w:cs="宋体"/>
          <w:szCs w:val="21"/>
        </w:rPr>
        <w:t xml:space="preserve">        法定代表人（或负责人或委托代理人）签字：</w:t>
      </w: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kern w:val="0"/>
          <w:szCs w:val="21"/>
        </w:rPr>
      </w:pPr>
      <w:r>
        <w:rPr>
          <w:rFonts w:hint="eastAsia" w:ascii="宋体" w:hAnsi="宋体" w:cs="宋体"/>
          <w:szCs w:val="21"/>
        </w:rPr>
        <w:t xml:space="preserve">     日期：</w:t>
      </w:r>
    </w:p>
    <w:p>
      <w:pPr>
        <w:rPr>
          <w:rFonts w:ascii="宋体" w:hAnsi="宋体" w:cs="宋体"/>
          <w:sz w:val="28"/>
        </w:rPr>
      </w:pPr>
      <w:r>
        <w:rPr>
          <w:rFonts w:ascii="宋体" w:hAnsi="宋体" w:cs="宋体"/>
          <w:sz w:val="28"/>
        </w:rPr>
        <w:br w:type="page"/>
      </w:r>
    </w:p>
    <w:p>
      <w:pPr>
        <w:pStyle w:val="4"/>
        <w:spacing w:before="0" w:after="0" w:line="360" w:lineRule="auto"/>
        <w:jc w:val="center"/>
        <w:rPr>
          <w:rFonts w:ascii="宋体" w:hAnsi="宋体" w:eastAsia="宋体" w:cs="宋体"/>
          <w:sz w:val="28"/>
        </w:rPr>
      </w:pPr>
      <w:bookmarkStart w:id="280" w:name="_Toc4456"/>
      <w:r>
        <w:rPr>
          <w:rFonts w:hint="eastAsia" w:ascii="宋体" w:hAnsi="宋体" w:eastAsia="宋体" w:cs="宋体"/>
          <w:sz w:val="28"/>
        </w:rPr>
        <w:t>六、报价人基本信息及其他材料</w:t>
      </w:r>
      <w:bookmarkEnd w:id="280"/>
    </w:p>
    <w:p>
      <w:pPr>
        <w:pStyle w:val="5"/>
        <w:spacing w:before="0" w:after="0" w:line="360" w:lineRule="auto"/>
        <w:jc w:val="center"/>
        <w:rPr>
          <w:sz w:val="28"/>
          <w:szCs w:val="28"/>
        </w:rPr>
      </w:pPr>
      <w:bookmarkStart w:id="281" w:name="_Toc452107137"/>
      <w:bookmarkStart w:id="282" w:name="_Toc4375"/>
      <w:bookmarkStart w:id="283" w:name="_Toc508110857"/>
      <w:r>
        <w:rPr>
          <w:rFonts w:hint="eastAsia"/>
          <w:sz w:val="28"/>
          <w:szCs w:val="28"/>
        </w:rPr>
        <w:t>（一）报价人基本信息表</w:t>
      </w:r>
      <w:bookmarkEnd w:id="281"/>
      <w:bookmarkEnd w:id="282"/>
      <w:bookmarkEnd w:id="283"/>
    </w:p>
    <w:p>
      <w:pPr>
        <w:pStyle w:val="26"/>
      </w:pPr>
    </w:p>
    <w:tbl>
      <w:tblPr>
        <w:tblStyle w:val="43"/>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报价人</w:t>
            </w:r>
          </w:p>
          <w:p>
            <w:pPr>
              <w:topLinePunct/>
              <w:spacing w:line="440" w:lineRule="exact"/>
              <w:jc w:val="center"/>
              <w:rPr>
                <w:rFonts w:ascii="宋体" w:hAnsi="宋体" w:cs="宋体"/>
                <w:color w:val="000000"/>
                <w:szCs w:val="21"/>
              </w:rPr>
            </w:pPr>
            <w:r>
              <w:rPr>
                <w:rFonts w:hint="eastAsia" w:ascii="宋体" w:hAnsi="宋体" w:cs="宋体"/>
                <w:color w:val="000000"/>
                <w:szCs w:val="21"/>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法定代表人/负责人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技术负责人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年 月 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s="宋体"/>
                <w:color w:val="000000"/>
                <w:szCs w:val="21"/>
              </w:rPr>
            </w:pPr>
            <w:r>
              <w:rPr>
                <w:rFonts w:hint="eastAsia" w:ascii="宋体" w:hAnsi="宋体" w:cs="宋体"/>
                <w:color w:val="000000"/>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rPr>
            </w:pPr>
            <w:r>
              <w:rPr>
                <w:rFonts w:hint="eastAsia" w:ascii="宋体" w:hAnsi="宋体" w:cs="宋体"/>
                <w:color w:val="000000"/>
                <w:szCs w:val="21"/>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topLinePunct/>
              <w:spacing w:line="440" w:lineRule="exact"/>
              <w:ind w:firstLine="210" w:firstLineChars="100"/>
              <w:jc w:val="center"/>
              <w:rPr>
                <w:rFonts w:ascii="宋体" w:hAnsi="宋体" w:cs="宋体"/>
                <w:color w:val="000000"/>
                <w:szCs w:val="21"/>
              </w:rPr>
            </w:pPr>
            <w:r>
              <w:rPr>
                <w:rFonts w:hint="eastAsia" w:ascii="宋体" w:hAnsi="宋体" w:cs="宋体"/>
                <w:color w:val="000000"/>
                <w:szCs w:val="21"/>
              </w:rPr>
              <w:t>经营范围</w:t>
            </w:r>
          </w:p>
        </w:tc>
        <w:tc>
          <w:tcPr>
            <w:tcW w:w="6839" w:type="dxa"/>
            <w:gridSpan w:val="10"/>
            <w:tcBorders>
              <w:top w:val="single" w:color="auto" w:sz="4" w:space="0"/>
              <w:left w:val="single" w:color="auto" w:sz="4" w:space="0"/>
              <w:bottom w:val="nil"/>
              <w:right w:val="single" w:color="auto" w:sz="4" w:space="0"/>
            </w:tcBorders>
            <w:vAlign w:val="center"/>
          </w:tcPr>
          <w:p>
            <w:pPr>
              <w:topLinePunct/>
              <w:spacing w:line="440" w:lineRule="exact"/>
              <w:rPr>
                <w:rFonts w:ascii="宋体" w:hAnsi="宋体" w:cs="宋体"/>
                <w:color w:val="000000"/>
                <w:szCs w:val="21"/>
              </w:rPr>
            </w:pPr>
            <w:r>
              <w:rPr>
                <w:rFonts w:hint="eastAsia" w:ascii="宋体" w:hAnsi="宋体" w:cs="宋体"/>
                <w:color w:val="000000"/>
                <w:szCs w:val="21"/>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bl>
    <w:p/>
    <w:p>
      <w:pPr>
        <w:pStyle w:val="5"/>
        <w:jc w:val="center"/>
        <w:rPr>
          <w:rFonts w:ascii="宋体" w:hAnsi="宋体" w:cs="宋体"/>
          <w:sz w:val="28"/>
        </w:rPr>
      </w:pPr>
      <w:r>
        <w:rPr>
          <w:rFonts w:hint="eastAsia" w:ascii="宋体" w:hAnsi="宋体" w:cs="宋体"/>
          <w:sz w:val="28"/>
        </w:rPr>
        <w:t>（二）其他材料</w:t>
      </w:r>
    </w:p>
    <w:p>
      <w:pPr>
        <w:rPr>
          <w:rFonts w:hint="default" w:ascii="宋体" w:hAnsi="宋体" w:eastAsia="宋体" w:cs="宋体"/>
          <w:szCs w:val="21"/>
          <w:lang w:val="en-US" w:eastAsia="zh-CN"/>
        </w:rPr>
      </w:pPr>
      <w:r>
        <w:rPr>
          <w:rFonts w:hint="eastAsia" w:ascii="宋体" w:hAnsi="宋体" w:cs="宋体"/>
          <w:szCs w:val="21"/>
          <w:lang w:val="en-US" w:eastAsia="zh-CN"/>
        </w:rPr>
        <w:t>投标保证金截图等信息。</w:t>
      </w:r>
    </w:p>
    <w:p>
      <w:r>
        <w:rPr>
          <w:rFonts w:hint="eastAsia" w:ascii="宋体" w:hAnsi="宋体" w:cs="宋体"/>
          <w:kern w:val="0"/>
          <w:szCs w:val="21"/>
        </w:rPr>
        <w:t>.....</w:t>
      </w:r>
    </w:p>
    <w:p>
      <w:pPr>
        <w:pStyle w:val="2"/>
      </w:pPr>
    </w:p>
    <w:p/>
    <w:p>
      <w:pPr>
        <w:pStyle w:val="2"/>
      </w:pPr>
    </w:p>
    <w:p/>
    <w:p>
      <w:pPr>
        <w:pStyle w:val="2"/>
      </w:pPr>
    </w:p>
    <w:p/>
    <w:p>
      <w:pPr>
        <w:pStyle w:val="2"/>
      </w:pPr>
    </w:p>
    <w:p/>
    <w:p>
      <w:pPr>
        <w:pStyle w:val="2"/>
      </w:pPr>
    </w:p>
    <w:p/>
    <w:p>
      <w:pPr>
        <w:pStyle w:val="2"/>
      </w:pPr>
    </w:p>
    <w:p/>
    <w:p>
      <w:pPr>
        <w:pStyle w:val="2"/>
      </w:pPr>
    </w:p>
    <w:p/>
    <w:p>
      <w:pPr>
        <w:pStyle w:val="2"/>
      </w:pPr>
    </w:p>
    <w:bookmarkEnd w:id="271"/>
    <w:bookmarkEnd w:id="272"/>
    <w:p>
      <w:pPr>
        <w:pStyle w:val="28"/>
      </w:pPr>
    </w:p>
    <w:sectPr>
      <w:footerReference r:id="rId10" w:type="first"/>
      <w:footerReference r:id="rId9"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46806A3-32F0-4D7C-A2E8-AE37C864EBBA}"/>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10" w:usb3="00000000" w:csb0="0004009F" w:csb1="0000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方正仿宋_GBK">
    <w:panose1 w:val="03000509000000000000"/>
    <w:charset w:val="86"/>
    <w:family w:val="auto"/>
    <w:pitch w:val="default"/>
    <w:sig w:usb0="00000001" w:usb1="080E0000" w:usb2="00000000" w:usb3="00000000" w:csb0="00040000" w:csb1="00000000"/>
    <w:embedRegular r:id="rId2" w:fontKey="{95131B25-226A-436F-A879-9CADC628A069}"/>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7"/>
      </w:rPr>
    </w:pPr>
    <w:r>
      <w:fldChar w:fldCharType="begin"/>
    </w:r>
    <w:r>
      <w:rPr>
        <w:rStyle w:val="47"/>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7</w:t>
    </w:r>
    <w:r>
      <w:fldChar w:fldCharType="end"/>
    </w:r>
  </w:p>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7"/>
      </w:rPr>
    </w:pPr>
    <w:r>
      <w:fldChar w:fldCharType="begin"/>
    </w:r>
    <w:r>
      <w:rPr>
        <w:rStyle w:val="47"/>
      </w:rPr>
      <w:instrText xml:space="preserve">PAGE  </w:instrText>
    </w:r>
    <w:r>
      <w:fldChar w:fldCharType="separate"/>
    </w:r>
    <w:r>
      <w:rPr>
        <w:rStyle w:val="47"/>
      </w:rPr>
      <w:t>73</w:t>
    </w:r>
    <w:r>
      <w:fldChar w:fldCharType="end"/>
    </w:r>
  </w:p>
  <w:p>
    <w:pPr>
      <w:pStyle w:val="26"/>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7"/>
      </w:rPr>
    </w:pPr>
    <w:r>
      <w:fldChar w:fldCharType="begin"/>
    </w:r>
    <w:r>
      <w:rPr>
        <w:rStyle w:val="47"/>
      </w:rPr>
      <w:instrText xml:space="preserve">PAGE  </w:instrText>
    </w:r>
    <w:r>
      <w:fldChar w:fldCharType="separate"/>
    </w:r>
    <w:r>
      <w:rPr>
        <w:rStyle w:val="47"/>
      </w:rPr>
      <w:t>19</w:t>
    </w:r>
    <w:r>
      <w:fldChar w:fldCharType="end"/>
    </w:r>
  </w:p>
  <w:p>
    <w:pPr>
      <w:pStyle w:val="26"/>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Style w:val="47"/>
                            </w:rPr>
                          </w:pPr>
                          <w:r>
                            <w:fldChar w:fldCharType="begin"/>
                          </w:r>
                          <w:r>
                            <w:rPr>
                              <w:rStyle w:val="47"/>
                            </w:rPr>
                            <w:instrText xml:space="preserve">PAGE  </w:instrText>
                          </w:r>
                          <w:r>
                            <w:fldChar w:fldCharType="separate"/>
                          </w:r>
                          <w:r>
                            <w:rPr>
                              <w:rStyle w:val="47"/>
                            </w:rPr>
                            <w:t>33</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6"/>
                      <w:rPr>
                        <w:rStyle w:val="47"/>
                      </w:rPr>
                    </w:pPr>
                    <w:r>
                      <w:fldChar w:fldCharType="begin"/>
                    </w:r>
                    <w:r>
                      <w:rPr>
                        <w:rStyle w:val="47"/>
                      </w:rPr>
                      <w:instrText xml:space="preserve">PAGE  </w:instrText>
                    </w:r>
                    <w:r>
                      <w:fldChar w:fldCharType="separate"/>
                    </w:r>
                    <w:r>
                      <w:rPr>
                        <w:rStyle w:val="47"/>
                      </w:rPr>
                      <w:t>33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94FDD"/>
    <w:multiLevelType w:val="singleLevel"/>
    <w:tmpl w:val="83094FDD"/>
    <w:lvl w:ilvl="0" w:tentative="0">
      <w:start w:val="1"/>
      <w:numFmt w:val="decimal"/>
      <w:suff w:val="nothing"/>
      <w:lvlText w:val="（%1）"/>
      <w:lvlJc w:val="left"/>
    </w:lvl>
  </w:abstractNum>
  <w:abstractNum w:abstractNumId="1">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0D26238E"/>
    <w:multiLevelType w:val="multilevel"/>
    <w:tmpl w:val="0D26238E"/>
    <w:lvl w:ilvl="0" w:tentative="0">
      <w:start w:val="5"/>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
    <w:nsid w:val="1ADD5657"/>
    <w:multiLevelType w:val="multilevel"/>
    <w:tmpl w:val="1ADD5657"/>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1CF80F3B"/>
    <w:multiLevelType w:val="multilevel"/>
    <w:tmpl w:val="1CF80F3B"/>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272D18DB"/>
    <w:multiLevelType w:val="multilevel"/>
    <w:tmpl w:val="272D18DB"/>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2B6320A0"/>
    <w:multiLevelType w:val="multilevel"/>
    <w:tmpl w:val="2B6320A0"/>
    <w:lvl w:ilvl="0" w:tentative="0">
      <w:start w:val="1"/>
      <w:numFmt w:val="decimal"/>
      <w:lvlText w:val="%1"/>
      <w:lvlJc w:val="left"/>
      <w:pPr>
        <w:ind w:left="380" w:hanging="380"/>
      </w:pPr>
      <w:rPr>
        <w:rFonts w:hint="default"/>
      </w:rPr>
    </w:lvl>
    <w:lvl w:ilvl="1" w:tentative="0">
      <w:start w:val="1"/>
      <w:numFmt w:val="decimal"/>
      <w:lvlText w:val="%1.%2"/>
      <w:lvlJc w:val="left"/>
      <w:pPr>
        <w:ind w:left="380" w:hanging="3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7">
    <w:nsid w:val="3871CE1D"/>
    <w:multiLevelType w:val="singleLevel"/>
    <w:tmpl w:val="3871CE1D"/>
    <w:lvl w:ilvl="0" w:tentative="0">
      <w:start w:val="1"/>
      <w:numFmt w:val="chineseCounting"/>
      <w:suff w:val="nothing"/>
      <w:lvlText w:val="%1、"/>
      <w:lvlJc w:val="left"/>
      <w:rPr>
        <w:rFonts w:hint="eastAsia"/>
      </w:rPr>
    </w:lvl>
  </w:abstractNum>
  <w:abstractNum w:abstractNumId="8">
    <w:nsid w:val="3E7CE8BC"/>
    <w:multiLevelType w:val="singleLevel"/>
    <w:tmpl w:val="3E7CE8BC"/>
    <w:lvl w:ilvl="0" w:tentative="0">
      <w:start w:val="5"/>
      <w:numFmt w:val="chineseCounting"/>
      <w:suff w:val="nothing"/>
      <w:lvlText w:val="%1、"/>
      <w:lvlJc w:val="left"/>
      <w:rPr>
        <w:rFonts w:hint="eastAsia"/>
      </w:rPr>
    </w:lvl>
  </w:abstractNum>
  <w:abstractNum w:abstractNumId="9">
    <w:nsid w:val="3F3D3701"/>
    <w:multiLevelType w:val="multilevel"/>
    <w:tmpl w:val="3F3D3701"/>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401D56BF"/>
    <w:multiLevelType w:val="multilevel"/>
    <w:tmpl w:val="401D56BF"/>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
    <w:nsid w:val="429E59C6"/>
    <w:multiLevelType w:val="multilevel"/>
    <w:tmpl w:val="429E59C6"/>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2">
    <w:nsid w:val="43931D78"/>
    <w:multiLevelType w:val="multilevel"/>
    <w:tmpl w:val="43931D78"/>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3">
    <w:nsid w:val="44AF3538"/>
    <w:multiLevelType w:val="multilevel"/>
    <w:tmpl w:val="44AF3538"/>
    <w:lvl w:ilvl="0" w:tentative="0">
      <w:start w:val="4"/>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4">
    <w:nsid w:val="477E6B12"/>
    <w:multiLevelType w:val="multilevel"/>
    <w:tmpl w:val="477E6B12"/>
    <w:lvl w:ilvl="0" w:tentative="0">
      <w:start w:val="2"/>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5">
    <w:nsid w:val="4B245D0C"/>
    <w:multiLevelType w:val="multilevel"/>
    <w:tmpl w:val="4B245D0C"/>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6">
    <w:nsid w:val="55E7E3B4"/>
    <w:multiLevelType w:val="singleLevel"/>
    <w:tmpl w:val="55E7E3B4"/>
    <w:lvl w:ilvl="0" w:tentative="0">
      <w:start w:val="3"/>
      <w:numFmt w:val="chineseCounting"/>
      <w:suff w:val="space"/>
      <w:lvlText w:val="第%1章"/>
      <w:lvlJc w:val="left"/>
      <w:rPr>
        <w:rFonts w:hint="eastAsia"/>
      </w:rPr>
    </w:lvl>
  </w:abstractNum>
  <w:abstractNum w:abstractNumId="17">
    <w:nsid w:val="603D41FD"/>
    <w:multiLevelType w:val="multilevel"/>
    <w:tmpl w:val="603D41FD"/>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8">
    <w:nsid w:val="70640571"/>
    <w:multiLevelType w:val="multilevel"/>
    <w:tmpl w:val="70640571"/>
    <w:lvl w:ilvl="0" w:tentative="0">
      <w:start w:val="1"/>
      <w:numFmt w:val="decimal"/>
      <w:lvlText w:val="（%1）"/>
      <w:lvlJc w:val="left"/>
      <w:pPr>
        <w:ind w:left="720" w:hanging="720"/>
      </w:pPr>
      <w:rPr>
        <w:rFonts w:ascii="等线" w:hAnsi="等线" w:eastAsia="等线" w:cs="Times New Roman"/>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9">
    <w:nsid w:val="7353109F"/>
    <w:multiLevelType w:val="multilevel"/>
    <w:tmpl w:val="7353109F"/>
    <w:lvl w:ilvl="0" w:tentative="0">
      <w:start w:val="3"/>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0">
    <w:nsid w:val="75E5315F"/>
    <w:multiLevelType w:val="multilevel"/>
    <w:tmpl w:val="75E5315F"/>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1">
    <w:nsid w:val="78175CF4"/>
    <w:multiLevelType w:val="multilevel"/>
    <w:tmpl w:val="78175CF4"/>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2">
    <w:nsid w:val="78BA0F68"/>
    <w:multiLevelType w:val="singleLevel"/>
    <w:tmpl w:val="78BA0F68"/>
    <w:lvl w:ilvl="0" w:tentative="0">
      <w:start w:val="1"/>
      <w:numFmt w:val="decimal"/>
      <w:lvlText w:val="%1."/>
      <w:lvlJc w:val="left"/>
      <w:pPr>
        <w:tabs>
          <w:tab w:val="left" w:pos="312"/>
        </w:tabs>
      </w:pPr>
    </w:lvl>
  </w:abstractNum>
  <w:abstractNum w:abstractNumId="23">
    <w:nsid w:val="7B6F167E"/>
    <w:multiLevelType w:val="multilevel"/>
    <w:tmpl w:val="7B6F167E"/>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4">
    <w:nsid w:val="7F0E0053"/>
    <w:multiLevelType w:val="multilevel"/>
    <w:tmpl w:val="7F0E0053"/>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 w:numId="3">
    <w:abstractNumId w:val="22"/>
  </w:num>
  <w:num w:numId="4">
    <w:abstractNumId w:val="16"/>
  </w:num>
  <w:num w:numId="5">
    <w:abstractNumId w:val="5"/>
  </w:num>
  <w:num w:numId="6">
    <w:abstractNumId w:val="6"/>
  </w:num>
  <w:num w:numId="7">
    <w:abstractNumId w:val="3"/>
  </w:num>
  <w:num w:numId="8">
    <w:abstractNumId w:val="24"/>
  </w:num>
  <w:num w:numId="9">
    <w:abstractNumId w:val="10"/>
  </w:num>
  <w:num w:numId="10">
    <w:abstractNumId w:val="18"/>
  </w:num>
  <w:num w:numId="11">
    <w:abstractNumId w:val="14"/>
  </w:num>
  <w:num w:numId="12">
    <w:abstractNumId w:val="9"/>
  </w:num>
  <w:num w:numId="13">
    <w:abstractNumId w:val="21"/>
  </w:num>
  <w:num w:numId="14">
    <w:abstractNumId w:val="19"/>
  </w:num>
  <w:num w:numId="15">
    <w:abstractNumId w:val="20"/>
  </w:num>
  <w:num w:numId="16">
    <w:abstractNumId w:val="15"/>
  </w:num>
  <w:num w:numId="17">
    <w:abstractNumId w:val="11"/>
  </w:num>
  <w:num w:numId="18">
    <w:abstractNumId w:val="13"/>
  </w:num>
  <w:num w:numId="19">
    <w:abstractNumId w:val="17"/>
  </w:num>
  <w:num w:numId="20">
    <w:abstractNumId w:val="4"/>
  </w:num>
  <w:num w:numId="21">
    <w:abstractNumId w:val="2"/>
  </w:num>
  <w:num w:numId="22">
    <w:abstractNumId w:val="12"/>
  </w:num>
  <w:num w:numId="23">
    <w:abstractNumId w:val="23"/>
  </w:num>
  <w:num w:numId="24">
    <w:abstractNumId w:val="7"/>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TrueTypeFonts/>
  <w:saveSubset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yY2Y5Y2UxZjkwY2NiYzg1MTM4ZmQzOTFhYWJhY2IifQ=="/>
  </w:docVars>
  <w:rsids>
    <w:rsidRoot w:val="00F1787C"/>
    <w:rsid w:val="000014DF"/>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295A"/>
    <w:rsid w:val="000439F3"/>
    <w:rsid w:val="00046EC8"/>
    <w:rsid w:val="00047300"/>
    <w:rsid w:val="0005109B"/>
    <w:rsid w:val="00051746"/>
    <w:rsid w:val="00055B95"/>
    <w:rsid w:val="00055BFA"/>
    <w:rsid w:val="000563B8"/>
    <w:rsid w:val="000572DF"/>
    <w:rsid w:val="00057B74"/>
    <w:rsid w:val="00061F37"/>
    <w:rsid w:val="0006209E"/>
    <w:rsid w:val="000620D8"/>
    <w:rsid w:val="00066BA0"/>
    <w:rsid w:val="00067251"/>
    <w:rsid w:val="000757B2"/>
    <w:rsid w:val="0007698A"/>
    <w:rsid w:val="00076FDF"/>
    <w:rsid w:val="0008303D"/>
    <w:rsid w:val="0008378C"/>
    <w:rsid w:val="000849FA"/>
    <w:rsid w:val="00085499"/>
    <w:rsid w:val="00086CAB"/>
    <w:rsid w:val="00086DB0"/>
    <w:rsid w:val="000875BF"/>
    <w:rsid w:val="00087626"/>
    <w:rsid w:val="0009000C"/>
    <w:rsid w:val="0009140C"/>
    <w:rsid w:val="00093516"/>
    <w:rsid w:val="000939F8"/>
    <w:rsid w:val="00093CD5"/>
    <w:rsid w:val="000940B1"/>
    <w:rsid w:val="000945AC"/>
    <w:rsid w:val="00094A56"/>
    <w:rsid w:val="00095B35"/>
    <w:rsid w:val="00095EDA"/>
    <w:rsid w:val="000975F2"/>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1523"/>
    <w:rsid w:val="000D6003"/>
    <w:rsid w:val="000E2A4B"/>
    <w:rsid w:val="000E2D6A"/>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152"/>
    <w:rsid w:val="00160A9D"/>
    <w:rsid w:val="00161FBA"/>
    <w:rsid w:val="0016324C"/>
    <w:rsid w:val="001637E6"/>
    <w:rsid w:val="001646C7"/>
    <w:rsid w:val="001661DF"/>
    <w:rsid w:val="00166289"/>
    <w:rsid w:val="00166982"/>
    <w:rsid w:val="00167BC0"/>
    <w:rsid w:val="00170C4F"/>
    <w:rsid w:val="001743B9"/>
    <w:rsid w:val="00180C54"/>
    <w:rsid w:val="00180EFE"/>
    <w:rsid w:val="00183BEA"/>
    <w:rsid w:val="00184A5E"/>
    <w:rsid w:val="0018579A"/>
    <w:rsid w:val="0019148A"/>
    <w:rsid w:val="00197DAD"/>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08F"/>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1E93"/>
    <w:rsid w:val="002826F6"/>
    <w:rsid w:val="00282C69"/>
    <w:rsid w:val="00286337"/>
    <w:rsid w:val="00287A1A"/>
    <w:rsid w:val="0029648C"/>
    <w:rsid w:val="002966A3"/>
    <w:rsid w:val="00296F6F"/>
    <w:rsid w:val="00297D35"/>
    <w:rsid w:val="002A0370"/>
    <w:rsid w:val="002A055F"/>
    <w:rsid w:val="002A2803"/>
    <w:rsid w:val="002A4245"/>
    <w:rsid w:val="002B01AE"/>
    <w:rsid w:val="002B19F4"/>
    <w:rsid w:val="002B4E72"/>
    <w:rsid w:val="002B52E8"/>
    <w:rsid w:val="002B6790"/>
    <w:rsid w:val="002B6B13"/>
    <w:rsid w:val="002B6E57"/>
    <w:rsid w:val="002B72CF"/>
    <w:rsid w:val="002C21D8"/>
    <w:rsid w:val="002C2E51"/>
    <w:rsid w:val="002C471B"/>
    <w:rsid w:val="002C4D35"/>
    <w:rsid w:val="002C51B8"/>
    <w:rsid w:val="002C5A0E"/>
    <w:rsid w:val="002C783B"/>
    <w:rsid w:val="002C7AB6"/>
    <w:rsid w:val="002D54DB"/>
    <w:rsid w:val="002E1D11"/>
    <w:rsid w:val="002E3553"/>
    <w:rsid w:val="002E548C"/>
    <w:rsid w:val="002E695F"/>
    <w:rsid w:val="002F308B"/>
    <w:rsid w:val="002F59DF"/>
    <w:rsid w:val="002F5F05"/>
    <w:rsid w:val="002F6545"/>
    <w:rsid w:val="002F68D9"/>
    <w:rsid w:val="002F737A"/>
    <w:rsid w:val="002F73BF"/>
    <w:rsid w:val="002F7968"/>
    <w:rsid w:val="00300BA8"/>
    <w:rsid w:val="0030183E"/>
    <w:rsid w:val="00305027"/>
    <w:rsid w:val="003111A2"/>
    <w:rsid w:val="0031451A"/>
    <w:rsid w:val="0031530B"/>
    <w:rsid w:val="00320790"/>
    <w:rsid w:val="00321B30"/>
    <w:rsid w:val="00322C4B"/>
    <w:rsid w:val="00323A00"/>
    <w:rsid w:val="0032479B"/>
    <w:rsid w:val="00325CDF"/>
    <w:rsid w:val="00326D75"/>
    <w:rsid w:val="00332771"/>
    <w:rsid w:val="003331DE"/>
    <w:rsid w:val="003332D7"/>
    <w:rsid w:val="003349A6"/>
    <w:rsid w:val="00336D14"/>
    <w:rsid w:val="0034025E"/>
    <w:rsid w:val="00340515"/>
    <w:rsid w:val="003413B4"/>
    <w:rsid w:val="0034521F"/>
    <w:rsid w:val="003458EB"/>
    <w:rsid w:val="00345A28"/>
    <w:rsid w:val="003467A2"/>
    <w:rsid w:val="003515E2"/>
    <w:rsid w:val="00351749"/>
    <w:rsid w:val="0035184A"/>
    <w:rsid w:val="00355399"/>
    <w:rsid w:val="003600B5"/>
    <w:rsid w:val="00361ABE"/>
    <w:rsid w:val="00362AD2"/>
    <w:rsid w:val="00362DAB"/>
    <w:rsid w:val="003638FE"/>
    <w:rsid w:val="003668C2"/>
    <w:rsid w:val="00367182"/>
    <w:rsid w:val="00370004"/>
    <w:rsid w:val="0037709D"/>
    <w:rsid w:val="00380543"/>
    <w:rsid w:val="00383AFE"/>
    <w:rsid w:val="00384108"/>
    <w:rsid w:val="00384E9A"/>
    <w:rsid w:val="003856B3"/>
    <w:rsid w:val="003858BE"/>
    <w:rsid w:val="003859B8"/>
    <w:rsid w:val="0039099F"/>
    <w:rsid w:val="00393CA8"/>
    <w:rsid w:val="00397134"/>
    <w:rsid w:val="003A063A"/>
    <w:rsid w:val="003A67CF"/>
    <w:rsid w:val="003A7836"/>
    <w:rsid w:val="003B4B4D"/>
    <w:rsid w:val="003B5115"/>
    <w:rsid w:val="003B5AAE"/>
    <w:rsid w:val="003B696A"/>
    <w:rsid w:val="003C18C8"/>
    <w:rsid w:val="003C28DD"/>
    <w:rsid w:val="003C49CE"/>
    <w:rsid w:val="003C4C34"/>
    <w:rsid w:val="003C7632"/>
    <w:rsid w:val="003C7809"/>
    <w:rsid w:val="003D0BF2"/>
    <w:rsid w:val="003D4436"/>
    <w:rsid w:val="003D5153"/>
    <w:rsid w:val="003D5F84"/>
    <w:rsid w:val="003D6B6C"/>
    <w:rsid w:val="003E0D5A"/>
    <w:rsid w:val="003E3829"/>
    <w:rsid w:val="003E38BD"/>
    <w:rsid w:val="003E4823"/>
    <w:rsid w:val="003E68AB"/>
    <w:rsid w:val="003F098D"/>
    <w:rsid w:val="003F1C45"/>
    <w:rsid w:val="003F1F45"/>
    <w:rsid w:val="003F34F8"/>
    <w:rsid w:val="003F6AEE"/>
    <w:rsid w:val="003F7927"/>
    <w:rsid w:val="003F7A0C"/>
    <w:rsid w:val="00402729"/>
    <w:rsid w:val="00402F66"/>
    <w:rsid w:val="00403314"/>
    <w:rsid w:val="00404848"/>
    <w:rsid w:val="00404866"/>
    <w:rsid w:val="00411545"/>
    <w:rsid w:val="00412072"/>
    <w:rsid w:val="00415B93"/>
    <w:rsid w:val="00420586"/>
    <w:rsid w:val="00420FC3"/>
    <w:rsid w:val="00421DFA"/>
    <w:rsid w:val="00423CEA"/>
    <w:rsid w:val="004260A3"/>
    <w:rsid w:val="00426621"/>
    <w:rsid w:val="0043226B"/>
    <w:rsid w:val="0043326B"/>
    <w:rsid w:val="00434144"/>
    <w:rsid w:val="00435BC6"/>
    <w:rsid w:val="004409EE"/>
    <w:rsid w:val="00441624"/>
    <w:rsid w:val="0044320E"/>
    <w:rsid w:val="00443CBF"/>
    <w:rsid w:val="00443D8E"/>
    <w:rsid w:val="00444730"/>
    <w:rsid w:val="00446013"/>
    <w:rsid w:val="00452F25"/>
    <w:rsid w:val="00453BE6"/>
    <w:rsid w:val="00454E6B"/>
    <w:rsid w:val="0045502B"/>
    <w:rsid w:val="004566D2"/>
    <w:rsid w:val="0045695D"/>
    <w:rsid w:val="004573ED"/>
    <w:rsid w:val="00461AD0"/>
    <w:rsid w:val="004634AB"/>
    <w:rsid w:val="00466348"/>
    <w:rsid w:val="004706E6"/>
    <w:rsid w:val="00475153"/>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A4583"/>
    <w:rsid w:val="004B13EB"/>
    <w:rsid w:val="004B143B"/>
    <w:rsid w:val="004B24DB"/>
    <w:rsid w:val="004B36BA"/>
    <w:rsid w:val="004B48CF"/>
    <w:rsid w:val="004C00BE"/>
    <w:rsid w:val="004C023B"/>
    <w:rsid w:val="004C0E82"/>
    <w:rsid w:val="004C1326"/>
    <w:rsid w:val="004C1C0B"/>
    <w:rsid w:val="004C42BC"/>
    <w:rsid w:val="004C4B65"/>
    <w:rsid w:val="004C5682"/>
    <w:rsid w:val="004C6795"/>
    <w:rsid w:val="004C71DC"/>
    <w:rsid w:val="004D144E"/>
    <w:rsid w:val="004D1ADF"/>
    <w:rsid w:val="004D4A97"/>
    <w:rsid w:val="004D5467"/>
    <w:rsid w:val="004D6EA5"/>
    <w:rsid w:val="004D7ECE"/>
    <w:rsid w:val="004E01F2"/>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3989"/>
    <w:rsid w:val="0053576A"/>
    <w:rsid w:val="0053749E"/>
    <w:rsid w:val="0053783C"/>
    <w:rsid w:val="00540A63"/>
    <w:rsid w:val="00541EAD"/>
    <w:rsid w:val="00543B84"/>
    <w:rsid w:val="00551444"/>
    <w:rsid w:val="005516BA"/>
    <w:rsid w:val="00554CE3"/>
    <w:rsid w:val="00555139"/>
    <w:rsid w:val="0056577C"/>
    <w:rsid w:val="00565E3C"/>
    <w:rsid w:val="0056641F"/>
    <w:rsid w:val="005668C7"/>
    <w:rsid w:val="00571660"/>
    <w:rsid w:val="0057233D"/>
    <w:rsid w:val="00573321"/>
    <w:rsid w:val="005758E3"/>
    <w:rsid w:val="00580F85"/>
    <w:rsid w:val="00587D8F"/>
    <w:rsid w:val="00590279"/>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0F2A"/>
    <w:rsid w:val="005C1367"/>
    <w:rsid w:val="005C137A"/>
    <w:rsid w:val="005C3C93"/>
    <w:rsid w:val="005C7304"/>
    <w:rsid w:val="005D1938"/>
    <w:rsid w:val="005D1C59"/>
    <w:rsid w:val="005D3202"/>
    <w:rsid w:val="005D48DB"/>
    <w:rsid w:val="005E25FB"/>
    <w:rsid w:val="005E2F99"/>
    <w:rsid w:val="005E3EBE"/>
    <w:rsid w:val="005E3F38"/>
    <w:rsid w:val="005E782A"/>
    <w:rsid w:val="005F18AC"/>
    <w:rsid w:val="005F2C77"/>
    <w:rsid w:val="005F758E"/>
    <w:rsid w:val="00605878"/>
    <w:rsid w:val="0060679A"/>
    <w:rsid w:val="00606A11"/>
    <w:rsid w:val="00610C35"/>
    <w:rsid w:val="00611462"/>
    <w:rsid w:val="00612C1F"/>
    <w:rsid w:val="006133CC"/>
    <w:rsid w:val="00614387"/>
    <w:rsid w:val="00614689"/>
    <w:rsid w:val="00616253"/>
    <w:rsid w:val="0061673D"/>
    <w:rsid w:val="00617262"/>
    <w:rsid w:val="006201A2"/>
    <w:rsid w:val="0062039B"/>
    <w:rsid w:val="006226F3"/>
    <w:rsid w:val="006227F1"/>
    <w:rsid w:val="00622C1A"/>
    <w:rsid w:val="00623718"/>
    <w:rsid w:val="00625AF6"/>
    <w:rsid w:val="00626C3A"/>
    <w:rsid w:val="006279CD"/>
    <w:rsid w:val="00633525"/>
    <w:rsid w:val="00634491"/>
    <w:rsid w:val="00640A2B"/>
    <w:rsid w:val="006410AE"/>
    <w:rsid w:val="00641DDB"/>
    <w:rsid w:val="00645AA4"/>
    <w:rsid w:val="0064614C"/>
    <w:rsid w:val="006501D9"/>
    <w:rsid w:val="0065343F"/>
    <w:rsid w:val="00662461"/>
    <w:rsid w:val="00663C2A"/>
    <w:rsid w:val="00664ABD"/>
    <w:rsid w:val="00666F7C"/>
    <w:rsid w:val="00672863"/>
    <w:rsid w:val="0067333E"/>
    <w:rsid w:val="00674008"/>
    <w:rsid w:val="006747F2"/>
    <w:rsid w:val="0067739E"/>
    <w:rsid w:val="00677827"/>
    <w:rsid w:val="00680AC1"/>
    <w:rsid w:val="00681547"/>
    <w:rsid w:val="00681630"/>
    <w:rsid w:val="00682C95"/>
    <w:rsid w:val="00685729"/>
    <w:rsid w:val="00685B7E"/>
    <w:rsid w:val="00685D10"/>
    <w:rsid w:val="00694FA7"/>
    <w:rsid w:val="006A29F5"/>
    <w:rsid w:val="006A2D0D"/>
    <w:rsid w:val="006A4D20"/>
    <w:rsid w:val="006A79F4"/>
    <w:rsid w:val="006B0A2D"/>
    <w:rsid w:val="006B1A0A"/>
    <w:rsid w:val="006B49C1"/>
    <w:rsid w:val="006B4A12"/>
    <w:rsid w:val="006B60A9"/>
    <w:rsid w:val="006B6793"/>
    <w:rsid w:val="006C41F0"/>
    <w:rsid w:val="006C497C"/>
    <w:rsid w:val="006C75C9"/>
    <w:rsid w:val="006C7F0A"/>
    <w:rsid w:val="006D1032"/>
    <w:rsid w:val="006D262C"/>
    <w:rsid w:val="006D48FF"/>
    <w:rsid w:val="006D4950"/>
    <w:rsid w:val="006E2BEB"/>
    <w:rsid w:val="006E2F3D"/>
    <w:rsid w:val="006E3F3F"/>
    <w:rsid w:val="006E44D5"/>
    <w:rsid w:val="006E4EA8"/>
    <w:rsid w:val="006F08B7"/>
    <w:rsid w:val="006F0F52"/>
    <w:rsid w:val="00701EE6"/>
    <w:rsid w:val="00702554"/>
    <w:rsid w:val="0070267A"/>
    <w:rsid w:val="00704AF7"/>
    <w:rsid w:val="00704E87"/>
    <w:rsid w:val="0070542B"/>
    <w:rsid w:val="00705864"/>
    <w:rsid w:val="00707F58"/>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4991"/>
    <w:rsid w:val="00766052"/>
    <w:rsid w:val="00767E72"/>
    <w:rsid w:val="00770B52"/>
    <w:rsid w:val="00771915"/>
    <w:rsid w:val="00775C9B"/>
    <w:rsid w:val="00776703"/>
    <w:rsid w:val="007857ED"/>
    <w:rsid w:val="0079289A"/>
    <w:rsid w:val="00793EA1"/>
    <w:rsid w:val="00795C0E"/>
    <w:rsid w:val="007961C7"/>
    <w:rsid w:val="0079740B"/>
    <w:rsid w:val="00797B24"/>
    <w:rsid w:val="007A0CD6"/>
    <w:rsid w:val="007A0FAF"/>
    <w:rsid w:val="007A113F"/>
    <w:rsid w:val="007A1179"/>
    <w:rsid w:val="007A1D32"/>
    <w:rsid w:val="007A3176"/>
    <w:rsid w:val="007A5B10"/>
    <w:rsid w:val="007A6154"/>
    <w:rsid w:val="007A683C"/>
    <w:rsid w:val="007A6D78"/>
    <w:rsid w:val="007B04A9"/>
    <w:rsid w:val="007B119C"/>
    <w:rsid w:val="007B187B"/>
    <w:rsid w:val="007B1FF2"/>
    <w:rsid w:val="007B4196"/>
    <w:rsid w:val="007B536D"/>
    <w:rsid w:val="007B53BD"/>
    <w:rsid w:val="007C074F"/>
    <w:rsid w:val="007C2233"/>
    <w:rsid w:val="007C22E5"/>
    <w:rsid w:val="007C27E7"/>
    <w:rsid w:val="007C38AE"/>
    <w:rsid w:val="007C4438"/>
    <w:rsid w:val="007C4BDE"/>
    <w:rsid w:val="007C6B07"/>
    <w:rsid w:val="007D0A4F"/>
    <w:rsid w:val="007D0ED0"/>
    <w:rsid w:val="007D39FA"/>
    <w:rsid w:val="007D3CE4"/>
    <w:rsid w:val="007D5787"/>
    <w:rsid w:val="007D6454"/>
    <w:rsid w:val="007D6D40"/>
    <w:rsid w:val="007D719A"/>
    <w:rsid w:val="007E07E5"/>
    <w:rsid w:val="007E090D"/>
    <w:rsid w:val="007E4D6B"/>
    <w:rsid w:val="007E586D"/>
    <w:rsid w:val="007E5AE7"/>
    <w:rsid w:val="007F1DF1"/>
    <w:rsid w:val="007F2820"/>
    <w:rsid w:val="007F2C0E"/>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4285"/>
    <w:rsid w:val="008450AB"/>
    <w:rsid w:val="00846D68"/>
    <w:rsid w:val="008539A0"/>
    <w:rsid w:val="00855C88"/>
    <w:rsid w:val="00855D34"/>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5BEE"/>
    <w:rsid w:val="00886F6A"/>
    <w:rsid w:val="00887D97"/>
    <w:rsid w:val="00890EBC"/>
    <w:rsid w:val="00891734"/>
    <w:rsid w:val="008917C4"/>
    <w:rsid w:val="00895E46"/>
    <w:rsid w:val="008967CB"/>
    <w:rsid w:val="008977A4"/>
    <w:rsid w:val="008A04DD"/>
    <w:rsid w:val="008A0F5C"/>
    <w:rsid w:val="008A3AA0"/>
    <w:rsid w:val="008A55D4"/>
    <w:rsid w:val="008B1019"/>
    <w:rsid w:val="008B20BC"/>
    <w:rsid w:val="008B3FC7"/>
    <w:rsid w:val="008B5DEA"/>
    <w:rsid w:val="008B6331"/>
    <w:rsid w:val="008B67BA"/>
    <w:rsid w:val="008B7405"/>
    <w:rsid w:val="008C301B"/>
    <w:rsid w:val="008C59A1"/>
    <w:rsid w:val="008C5B46"/>
    <w:rsid w:val="008C659A"/>
    <w:rsid w:val="008C725C"/>
    <w:rsid w:val="008C7941"/>
    <w:rsid w:val="008D0074"/>
    <w:rsid w:val="008D00FA"/>
    <w:rsid w:val="008D63E7"/>
    <w:rsid w:val="008D73C7"/>
    <w:rsid w:val="008E0572"/>
    <w:rsid w:val="008E1519"/>
    <w:rsid w:val="008E287D"/>
    <w:rsid w:val="008E45A7"/>
    <w:rsid w:val="008E4BE3"/>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43A"/>
    <w:rsid w:val="00974712"/>
    <w:rsid w:val="009748D8"/>
    <w:rsid w:val="00974ED2"/>
    <w:rsid w:val="009756CC"/>
    <w:rsid w:val="00981396"/>
    <w:rsid w:val="00984865"/>
    <w:rsid w:val="009873A0"/>
    <w:rsid w:val="00993114"/>
    <w:rsid w:val="009933AA"/>
    <w:rsid w:val="009939B5"/>
    <w:rsid w:val="009967E9"/>
    <w:rsid w:val="00997538"/>
    <w:rsid w:val="009A2809"/>
    <w:rsid w:val="009A2EF8"/>
    <w:rsid w:val="009A4256"/>
    <w:rsid w:val="009B1B1F"/>
    <w:rsid w:val="009B2BC0"/>
    <w:rsid w:val="009C1CE2"/>
    <w:rsid w:val="009C33B6"/>
    <w:rsid w:val="009C5D1A"/>
    <w:rsid w:val="009C64B8"/>
    <w:rsid w:val="009C672B"/>
    <w:rsid w:val="009C6EA7"/>
    <w:rsid w:val="009D1627"/>
    <w:rsid w:val="009D412F"/>
    <w:rsid w:val="009D5F4D"/>
    <w:rsid w:val="009D797B"/>
    <w:rsid w:val="009D7B9F"/>
    <w:rsid w:val="009E0777"/>
    <w:rsid w:val="009E1498"/>
    <w:rsid w:val="009E1C34"/>
    <w:rsid w:val="009E2FCF"/>
    <w:rsid w:val="009E3D1F"/>
    <w:rsid w:val="009E7FE7"/>
    <w:rsid w:val="009F2D22"/>
    <w:rsid w:val="009F5199"/>
    <w:rsid w:val="009F6408"/>
    <w:rsid w:val="00A00C8C"/>
    <w:rsid w:val="00A00E02"/>
    <w:rsid w:val="00A047ED"/>
    <w:rsid w:val="00A05452"/>
    <w:rsid w:val="00A077AC"/>
    <w:rsid w:val="00A07D0B"/>
    <w:rsid w:val="00A123BA"/>
    <w:rsid w:val="00A14408"/>
    <w:rsid w:val="00A21CCE"/>
    <w:rsid w:val="00A2254A"/>
    <w:rsid w:val="00A23A4F"/>
    <w:rsid w:val="00A23CC4"/>
    <w:rsid w:val="00A2528A"/>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1961"/>
    <w:rsid w:val="00A637BA"/>
    <w:rsid w:val="00A637D3"/>
    <w:rsid w:val="00A63F81"/>
    <w:rsid w:val="00A66FA8"/>
    <w:rsid w:val="00A70CA2"/>
    <w:rsid w:val="00A71A44"/>
    <w:rsid w:val="00A7363E"/>
    <w:rsid w:val="00A741C5"/>
    <w:rsid w:val="00A75F17"/>
    <w:rsid w:val="00A805C4"/>
    <w:rsid w:val="00A81C0E"/>
    <w:rsid w:val="00A826A4"/>
    <w:rsid w:val="00A828D4"/>
    <w:rsid w:val="00A83919"/>
    <w:rsid w:val="00A84585"/>
    <w:rsid w:val="00A84832"/>
    <w:rsid w:val="00A8542F"/>
    <w:rsid w:val="00A85859"/>
    <w:rsid w:val="00A92E22"/>
    <w:rsid w:val="00A95A1F"/>
    <w:rsid w:val="00A95AFB"/>
    <w:rsid w:val="00A9636F"/>
    <w:rsid w:val="00AA1ED7"/>
    <w:rsid w:val="00AA2125"/>
    <w:rsid w:val="00AA2AA8"/>
    <w:rsid w:val="00AA61BA"/>
    <w:rsid w:val="00AA7B39"/>
    <w:rsid w:val="00AB291E"/>
    <w:rsid w:val="00AB3079"/>
    <w:rsid w:val="00AB3659"/>
    <w:rsid w:val="00AB454C"/>
    <w:rsid w:val="00AB7314"/>
    <w:rsid w:val="00AC0B60"/>
    <w:rsid w:val="00AC35C8"/>
    <w:rsid w:val="00AC5579"/>
    <w:rsid w:val="00AC77D9"/>
    <w:rsid w:val="00AD254C"/>
    <w:rsid w:val="00AD35A8"/>
    <w:rsid w:val="00AD3F91"/>
    <w:rsid w:val="00AD5063"/>
    <w:rsid w:val="00AE0656"/>
    <w:rsid w:val="00AE0F5B"/>
    <w:rsid w:val="00AE17FA"/>
    <w:rsid w:val="00AE1929"/>
    <w:rsid w:val="00AE3AEB"/>
    <w:rsid w:val="00AE7FF3"/>
    <w:rsid w:val="00AF1302"/>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4268"/>
    <w:rsid w:val="00B35641"/>
    <w:rsid w:val="00B36173"/>
    <w:rsid w:val="00B36D13"/>
    <w:rsid w:val="00B3758A"/>
    <w:rsid w:val="00B41020"/>
    <w:rsid w:val="00B42F9A"/>
    <w:rsid w:val="00B43741"/>
    <w:rsid w:val="00B43CD0"/>
    <w:rsid w:val="00B459DA"/>
    <w:rsid w:val="00B4647E"/>
    <w:rsid w:val="00B4774B"/>
    <w:rsid w:val="00B52622"/>
    <w:rsid w:val="00B529B8"/>
    <w:rsid w:val="00B53EAE"/>
    <w:rsid w:val="00B63108"/>
    <w:rsid w:val="00B64A4E"/>
    <w:rsid w:val="00B64BC6"/>
    <w:rsid w:val="00B657A0"/>
    <w:rsid w:val="00B66875"/>
    <w:rsid w:val="00B67B5D"/>
    <w:rsid w:val="00B71C05"/>
    <w:rsid w:val="00B73167"/>
    <w:rsid w:val="00B756D1"/>
    <w:rsid w:val="00B7661F"/>
    <w:rsid w:val="00B77958"/>
    <w:rsid w:val="00B7798B"/>
    <w:rsid w:val="00B82491"/>
    <w:rsid w:val="00B851D0"/>
    <w:rsid w:val="00B87B5B"/>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127"/>
    <w:rsid w:val="00BC050E"/>
    <w:rsid w:val="00BC12EE"/>
    <w:rsid w:val="00BC1489"/>
    <w:rsid w:val="00BC203B"/>
    <w:rsid w:val="00BC33A9"/>
    <w:rsid w:val="00BD6DC6"/>
    <w:rsid w:val="00BE1BEC"/>
    <w:rsid w:val="00BE4A86"/>
    <w:rsid w:val="00BE4A91"/>
    <w:rsid w:val="00BE60A7"/>
    <w:rsid w:val="00BF28B3"/>
    <w:rsid w:val="00BF31DE"/>
    <w:rsid w:val="00BF6FA8"/>
    <w:rsid w:val="00BF76B0"/>
    <w:rsid w:val="00C02712"/>
    <w:rsid w:val="00C07890"/>
    <w:rsid w:val="00C078A2"/>
    <w:rsid w:val="00C07B2A"/>
    <w:rsid w:val="00C11F6E"/>
    <w:rsid w:val="00C13588"/>
    <w:rsid w:val="00C13F63"/>
    <w:rsid w:val="00C15831"/>
    <w:rsid w:val="00C168B7"/>
    <w:rsid w:val="00C21595"/>
    <w:rsid w:val="00C22F13"/>
    <w:rsid w:val="00C22FCC"/>
    <w:rsid w:val="00C24264"/>
    <w:rsid w:val="00C2444F"/>
    <w:rsid w:val="00C25CF1"/>
    <w:rsid w:val="00C30D22"/>
    <w:rsid w:val="00C312B5"/>
    <w:rsid w:val="00C31744"/>
    <w:rsid w:val="00C33666"/>
    <w:rsid w:val="00C364DD"/>
    <w:rsid w:val="00C37792"/>
    <w:rsid w:val="00C415BC"/>
    <w:rsid w:val="00C44E2D"/>
    <w:rsid w:val="00C46B60"/>
    <w:rsid w:val="00C474B2"/>
    <w:rsid w:val="00C53498"/>
    <w:rsid w:val="00C5549E"/>
    <w:rsid w:val="00C563B6"/>
    <w:rsid w:val="00C6013C"/>
    <w:rsid w:val="00C624A2"/>
    <w:rsid w:val="00C65656"/>
    <w:rsid w:val="00C6612D"/>
    <w:rsid w:val="00C66A53"/>
    <w:rsid w:val="00C66FB7"/>
    <w:rsid w:val="00C76490"/>
    <w:rsid w:val="00C76A5C"/>
    <w:rsid w:val="00C8220D"/>
    <w:rsid w:val="00C848C9"/>
    <w:rsid w:val="00C8655B"/>
    <w:rsid w:val="00C91CDE"/>
    <w:rsid w:val="00C91F22"/>
    <w:rsid w:val="00C92C81"/>
    <w:rsid w:val="00C943E9"/>
    <w:rsid w:val="00CA01B6"/>
    <w:rsid w:val="00CA2781"/>
    <w:rsid w:val="00CA398D"/>
    <w:rsid w:val="00CA45CB"/>
    <w:rsid w:val="00CA6808"/>
    <w:rsid w:val="00CA7567"/>
    <w:rsid w:val="00CB4015"/>
    <w:rsid w:val="00CB452C"/>
    <w:rsid w:val="00CB4A3D"/>
    <w:rsid w:val="00CB5C0F"/>
    <w:rsid w:val="00CB7FDA"/>
    <w:rsid w:val="00CC0EAF"/>
    <w:rsid w:val="00CC505F"/>
    <w:rsid w:val="00CC5715"/>
    <w:rsid w:val="00CD1726"/>
    <w:rsid w:val="00CD225D"/>
    <w:rsid w:val="00CD4175"/>
    <w:rsid w:val="00CD6C71"/>
    <w:rsid w:val="00CD78E5"/>
    <w:rsid w:val="00CE076F"/>
    <w:rsid w:val="00CE0936"/>
    <w:rsid w:val="00CE0E41"/>
    <w:rsid w:val="00CE2D7F"/>
    <w:rsid w:val="00CE32CD"/>
    <w:rsid w:val="00CE44DD"/>
    <w:rsid w:val="00CF2931"/>
    <w:rsid w:val="00CF3754"/>
    <w:rsid w:val="00CF3D31"/>
    <w:rsid w:val="00CF3FE8"/>
    <w:rsid w:val="00CF74AA"/>
    <w:rsid w:val="00D022D4"/>
    <w:rsid w:val="00D0363A"/>
    <w:rsid w:val="00D065C5"/>
    <w:rsid w:val="00D0782A"/>
    <w:rsid w:val="00D1077A"/>
    <w:rsid w:val="00D1446B"/>
    <w:rsid w:val="00D230C6"/>
    <w:rsid w:val="00D2649C"/>
    <w:rsid w:val="00D273BE"/>
    <w:rsid w:val="00D3252E"/>
    <w:rsid w:val="00D32643"/>
    <w:rsid w:val="00D3367B"/>
    <w:rsid w:val="00D37D3B"/>
    <w:rsid w:val="00D40481"/>
    <w:rsid w:val="00D6021C"/>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407A"/>
    <w:rsid w:val="00D97A95"/>
    <w:rsid w:val="00DA0216"/>
    <w:rsid w:val="00DA24A3"/>
    <w:rsid w:val="00DB0400"/>
    <w:rsid w:val="00DB0B93"/>
    <w:rsid w:val="00DB0CCC"/>
    <w:rsid w:val="00DB166D"/>
    <w:rsid w:val="00DB227F"/>
    <w:rsid w:val="00DB2BAB"/>
    <w:rsid w:val="00DB49D5"/>
    <w:rsid w:val="00DB759D"/>
    <w:rsid w:val="00DC0B72"/>
    <w:rsid w:val="00DC578C"/>
    <w:rsid w:val="00DC6A1F"/>
    <w:rsid w:val="00DC6F92"/>
    <w:rsid w:val="00DD1747"/>
    <w:rsid w:val="00DD1EA3"/>
    <w:rsid w:val="00DD2133"/>
    <w:rsid w:val="00DD38F6"/>
    <w:rsid w:val="00DD4988"/>
    <w:rsid w:val="00DD4A11"/>
    <w:rsid w:val="00DD4FB9"/>
    <w:rsid w:val="00DD737B"/>
    <w:rsid w:val="00DE1033"/>
    <w:rsid w:val="00DE251C"/>
    <w:rsid w:val="00DE288F"/>
    <w:rsid w:val="00DE2BFF"/>
    <w:rsid w:val="00DE3226"/>
    <w:rsid w:val="00DE58F9"/>
    <w:rsid w:val="00DE680C"/>
    <w:rsid w:val="00DE6A15"/>
    <w:rsid w:val="00DE7971"/>
    <w:rsid w:val="00DF1985"/>
    <w:rsid w:val="00DF5B31"/>
    <w:rsid w:val="00E02114"/>
    <w:rsid w:val="00E03783"/>
    <w:rsid w:val="00E03A6B"/>
    <w:rsid w:val="00E053F1"/>
    <w:rsid w:val="00E06502"/>
    <w:rsid w:val="00E0716D"/>
    <w:rsid w:val="00E10E7C"/>
    <w:rsid w:val="00E12529"/>
    <w:rsid w:val="00E15007"/>
    <w:rsid w:val="00E17769"/>
    <w:rsid w:val="00E20ABC"/>
    <w:rsid w:val="00E21ED6"/>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703AC"/>
    <w:rsid w:val="00E84AD3"/>
    <w:rsid w:val="00E8555A"/>
    <w:rsid w:val="00E907D3"/>
    <w:rsid w:val="00E9117E"/>
    <w:rsid w:val="00E91C2B"/>
    <w:rsid w:val="00E9267B"/>
    <w:rsid w:val="00E9477F"/>
    <w:rsid w:val="00EA168E"/>
    <w:rsid w:val="00EA2585"/>
    <w:rsid w:val="00EA2AD1"/>
    <w:rsid w:val="00EA416E"/>
    <w:rsid w:val="00EA6533"/>
    <w:rsid w:val="00EA7196"/>
    <w:rsid w:val="00EA7D46"/>
    <w:rsid w:val="00EB209E"/>
    <w:rsid w:val="00EB6899"/>
    <w:rsid w:val="00EC0FB9"/>
    <w:rsid w:val="00EC1329"/>
    <w:rsid w:val="00EC1698"/>
    <w:rsid w:val="00EC21B3"/>
    <w:rsid w:val="00EC26B2"/>
    <w:rsid w:val="00EC4BAC"/>
    <w:rsid w:val="00EC58D0"/>
    <w:rsid w:val="00EC6200"/>
    <w:rsid w:val="00EC64CE"/>
    <w:rsid w:val="00ED29DF"/>
    <w:rsid w:val="00EE220D"/>
    <w:rsid w:val="00EE440D"/>
    <w:rsid w:val="00EE4955"/>
    <w:rsid w:val="00EE5143"/>
    <w:rsid w:val="00EE60AC"/>
    <w:rsid w:val="00EE75C1"/>
    <w:rsid w:val="00EF4112"/>
    <w:rsid w:val="00EF4B67"/>
    <w:rsid w:val="00EF7399"/>
    <w:rsid w:val="00F02127"/>
    <w:rsid w:val="00F03096"/>
    <w:rsid w:val="00F04171"/>
    <w:rsid w:val="00F04CFE"/>
    <w:rsid w:val="00F04E3D"/>
    <w:rsid w:val="00F10690"/>
    <w:rsid w:val="00F14AAD"/>
    <w:rsid w:val="00F15A03"/>
    <w:rsid w:val="00F1614E"/>
    <w:rsid w:val="00F1787C"/>
    <w:rsid w:val="00F203CA"/>
    <w:rsid w:val="00F23B12"/>
    <w:rsid w:val="00F24D69"/>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035E"/>
    <w:rsid w:val="00F72A20"/>
    <w:rsid w:val="00F72AAD"/>
    <w:rsid w:val="00F72FBB"/>
    <w:rsid w:val="00F73BC2"/>
    <w:rsid w:val="00F73F3B"/>
    <w:rsid w:val="00F74775"/>
    <w:rsid w:val="00F75143"/>
    <w:rsid w:val="00F807D7"/>
    <w:rsid w:val="00F8218B"/>
    <w:rsid w:val="00F8241E"/>
    <w:rsid w:val="00F83C2D"/>
    <w:rsid w:val="00F848FF"/>
    <w:rsid w:val="00F8662C"/>
    <w:rsid w:val="00F9068B"/>
    <w:rsid w:val="00F90AD7"/>
    <w:rsid w:val="00F92857"/>
    <w:rsid w:val="00F941F8"/>
    <w:rsid w:val="00F97360"/>
    <w:rsid w:val="00F97718"/>
    <w:rsid w:val="00F97C4A"/>
    <w:rsid w:val="00FA1207"/>
    <w:rsid w:val="00FA6D96"/>
    <w:rsid w:val="00FA7E59"/>
    <w:rsid w:val="00FB438B"/>
    <w:rsid w:val="00FB5E2B"/>
    <w:rsid w:val="00FB5E98"/>
    <w:rsid w:val="00FB671E"/>
    <w:rsid w:val="00FC070A"/>
    <w:rsid w:val="00FC3792"/>
    <w:rsid w:val="00FC6389"/>
    <w:rsid w:val="00FD2B70"/>
    <w:rsid w:val="00FD480A"/>
    <w:rsid w:val="00FD4E1C"/>
    <w:rsid w:val="00FD5A4F"/>
    <w:rsid w:val="00FE041C"/>
    <w:rsid w:val="00FE3166"/>
    <w:rsid w:val="00FE3EEF"/>
    <w:rsid w:val="00FE42B6"/>
    <w:rsid w:val="00FE5EBF"/>
    <w:rsid w:val="00FE7AEA"/>
    <w:rsid w:val="00FF2BAC"/>
    <w:rsid w:val="00FF3180"/>
    <w:rsid w:val="00FF4C28"/>
    <w:rsid w:val="00FF569F"/>
    <w:rsid w:val="00FF7182"/>
    <w:rsid w:val="01110D91"/>
    <w:rsid w:val="01232ED2"/>
    <w:rsid w:val="015D18DC"/>
    <w:rsid w:val="0184380B"/>
    <w:rsid w:val="01852BD3"/>
    <w:rsid w:val="018A6C3C"/>
    <w:rsid w:val="01912179"/>
    <w:rsid w:val="01A8609A"/>
    <w:rsid w:val="01A93FA3"/>
    <w:rsid w:val="01CA6EA2"/>
    <w:rsid w:val="01E05E16"/>
    <w:rsid w:val="01E05F01"/>
    <w:rsid w:val="020C0D2B"/>
    <w:rsid w:val="02195A53"/>
    <w:rsid w:val="022831DB"/>
    <w:rsid w:val="02375428"/>
    <w:rsid w:val="02427F54"/>
    <w:rsid w:val="024F494D"/>
    <w:rsid w:val="026D36BB"/>
    <w:rsid w:val="029D41FE"/>
    <w:rsid w:val="02A800C5"/>
    <w:rsid w:val="02B53517"/>
    <w:rsid w:val="02C6499B"/>
    <w:rsid w:val="02C91CAA"/>
    <w:rsid w:val="02D0709E"/>
    <w:rsid w:val="02FA438B"/>
    <w:rsid w:val="037D0CD2"/>
    <w:rsid w:val="038B3366"/>
    <w:rsid w:val="03981B5E"/>
    <w:rsid w:val="03996EAD"/>
    <w:rsid w:val="039F3A25"/>
    <w:rsid w:val="03F60BFA"/>
    <w:rsid w:val="04023CC8"/>
    <w:rsid w:val="04144049"/>
    <w:rsid w:val="042674F4"/>
    <w:rsid w:val="042A6EF2"/>
    <w:rsid w:val="042D3C13"/>
    <w:rsid w:val="04566DE4"/>
    <w:rsid w:val="04722D72"/>
    <w:rsid w:val="047A0BBC"/>
    <w:rsid w:val="04933E65"/>
    <w:rsid w:val="04BF52ED"/>
    <w:rsid w:val="04C12ED8"/>
    <w:rsid w:val="04DC5749"/>
    <w:rsid w:val="04E26FED"/>
    <w:rsid w:val="04E41F94"/>
    <w:rsid w:val="04FD6633"/>
    <w:rsid w:val="050F1997"/>
    <w:rsid w:val="0515595C"/>
    <w:rsid w:val="052E2B3B"/>
    <w:rsid w:val="054416D2"/>
    <w:rsid w:val="05507F0F"/>
    <w:rsid w:val="055A4D20"/>
    <w:rsid w:val="056F275C"/>
    <w:rsid w:val="05753C79"/>
    <w:rsid w:val="058324D6"/>
    <w:rsid w:val="05871A0A"/>
    <w:rsid w:val="05A42E7B"/>
    <w:rsid w:val="05A70EA9"/>
    <w:rsid w:val="05D55D36"/>
    <w:rsid w:val="060C2525"/>
    <w:rsid w:val="062756FD"/>
    <w:rsid w:val="06465A4B"/>
    <w:rsid w:val="065F7A31"/>
    <w:rsid w:val="0675274C"/>
    <w:rsid w:val="067C53E7"/>
    <w:rsid w:val="06820F5E"/>
    <w:rsid w:val="06A7180A"/>
    <w:rsid w:val="06AE2ABA"/>
    <w:rsid w:val="06BA1001"/>
    <w:rsid w:val="06C75DF5"/>
    <w:rsid w:val="06DD02BB"/>
    <w:rsid w:val="06E71F51"/>
    <w:rsid w:val="06F3282F"/>
    <w:rsid w:val="06F965AD"/>
    <w:rsid w:val="07035F04"/>
    <w:rsid w:val="07050666"/>
    <w:rsid w:val="07166CB2"/>
    <w:rsid w:val="071A6392"/>
    <w:rsid w:val="071C4DB7"/>
    <w:rsid w:val="07362674"/>
    <w:rsid w:val="073B54B2"/>
    <w:rsid w:val="07410810"/>
    <w:rsid w:val="07537EF9"/>
    <w:rsid w:val="0760673E"/>
    <w:rsid w:val="076646E5"/>
    <w:rsid w:val="077E1A2E"/>
    <w:rsid w:val="07815EE7"/>
    <w:rsid w:val="0784155A"/>
    <w:rsid w:val="079A613C"/>
    <w:rsid w:val="07E6454D"/>
    <w:rsid w:val="081748AE"/>
    <w:rsid w:val="08635851"/>
    <w:rsid w:val="08891E69"/>
    <w:rsid w:val="08A30341"/>
    <w:rsid w:val="08AD5E33"/>
    <w:rsid w:val="08B128CB"/>
    <w:rsid w:val="08C2359B"/>
    <w:rsid w:val="08ED052C"/>
    <w:rsid w:val="09041814"/>
    <w:rsid w:val="092D7BDC"/>
    <w:rsid w:val="09332D2B"/>
    <w:rsid w:val="093E2D64"/>
    <w:rsid w:val="09455F12"/>
    <w:rsid w:val="09472203"/>
    <w:rsid w:val="098B1DA7"/>
    <w:rsid w:val="098F7872"/>
    <w:rsid w:val="09907951"/>
    <w:rsid w:val="099F43E4"/>
    <w:rsid w:val="09A31A61"/>
    <w:rsid w:val="09BA7A85"/>
    <w:rsid w:val="09DE1094"/>
    <w:rsid w:val="09E2475B"/>
    <w:rsid w:val="0A183EA3"/>
    <w:rsid w:val="0A207013"/>
    <w:rsid w:val="0A3F34B7"/>
    <w:rsid w:val="0A441A30"/>
    <w:rsid w:val="0A4B11BE"/>
    <w:rsid w:val="0A7B4003"/>
    <w:rsid w:val="0A7D7D7B"/>
    <w:rsid w:val="0A8E5B8D"/>
    <w:rsid w:val="0AA240FA"/>
    <w:rsid w:val="0AA73E0E"/>
    <w:rsid w:val="0AAC0CBB"/>
    <w:rsid w:val="0ACC0D02"/>
    <w:rsid w:val="0AD84BD3"/>
    <w:rsid w:val="0AE941D3"/>
    <w:rsid w:val="0AFA761E"/>
    <w:rsid w:val="0B1061C6"/>
    <w:rsid w:val="0B246449"/>
    <w:rsid w:val="0B2B08D5"/>
    <w:rsid w:val="0B3A2110"/>
    <w:rsid w:val="0B896BF3"/>
    <w:rsid w:val="0B9874FD"/>
    <w:rsid w:val="0BA35012"/>
    <w:rsid w:val="0BB825ED"/>
    <w:rsid w:val="0BC0647C"/>
    <w:rsid w:val="0BD7624B"/>
    <w:rsid w:val="0BF26817"/>
    <w:rsid w:val="0C22464A"/>
    <w:rsid w:val="0C2B72AE"/>
    <w:rsid w:val="0C3A50BE"/>
    <w:rsid w:val="0C486A95"/>
    <w:rsid w:val="0C517E31"/>
    <w:rsid w:val="0C6222A3"/>
    <w:rsid w:val="0C623EAC"/>
    <w:rsid w:val="0C946488"/>
    <w:rsid w:val="0CAB3827"/>
    <w:rsid w:val="0CAD24AF"/>
    <w:rsid w:val="0CB27F34"/>
    <w:rsid w:val="0CE2660D"/>
    <w:rsid w:val="0D0D3F93"/>
    <w:rsid w:val="0D12389F"/>
    <w:rsid w:val="0D2820B7"/>
    <w:rsid w:val="0D2B5BA2"/>
    <w:rsid w:val="0D2F6875"/>
    <w:rsid w:val="0D33523D"/>
    <w:rsid w:val="0D4E3104"/>
    <w:rsid w:val="0D5B6D69"/>
    <w:rsid w:val="0D662EE5"/>
    <w:rsid w:val="0D6A3AE7"/>
    <w:rsid w:val="0D860EC5"/>
    <w:rsid w:val="0D9339BE"/>
    <w:rsid w:val="0D991370"/>
    <w:rsid w:val="0D9E6A67"/>
    <w:rsid w:val="0D9F0DC4"/>
    <w:rsid w:val="0DA07FC9"/>
    <w:rsid w:val="0DAE46EF"/>
    <w:rsid w:val="0DC02AA1"/>
    <w:rsid w:val="0DDE695A"/>
    <w:rsid w:val="0DF73A5B"/>
    <w:rsid w:val="0E164CA8"/>
    <w:rsid w:val="0E231949"/>
    <w:rsid w:val="0E2D072E"/>
    <w:rsid w:val="0E3B295D"/>
    <w:rsid w:val="0E47249B"/>
    <w:rsid w:val="0E551882"/>
    <w:rsid w:val="0E5C239D"/>
    <w:rsid w:val="0E7306EC"/>
    <w:rsid w:val="0E963048"/>
    <w:rsid w:val="0EAD7E50"/>
    <w:rsid w:val="0EB254B2"/>
    <w:rsid w:val="0EB567A2"/>
    <w:rsid w:val="0ED91C40"/>
    <w:rsid w:val="0EE44C60"/>
    <w:rsid w:val="0EFB3F5D"/>
    <w:rsid w:val="0F041CC7"/>
    <w:rsid w:val="0F042317"/>
    <w:rsid w:val="0F072534"/>
    <w:rsid w:val="0F1209F8"/>
    <w:rsid w:val="0F4C19DA"/>
    <w:rsid w:val="0F4C7D05"/>
    <w:rsid w:val="0F4F31AF"/>
    <w:rsid w:val="0F5F17BD"/>
    <w:rsid w:val="0F6617B3"/>
    <w:rsid w:val="0F6B0BDE"/>
    <w:rsid w:val="0F7E014D"/>
    <w:rsid w:val="0F891F7D"/>
    <w:rsid w:val="0F904B36"/>
    <w:rsid w:val="0F90531D"/>
    <w:rsid w:val="0FAD64B5"/>
    <w:rsid w:val="0FB21FD4"/>
    <w:rsid w:val="0FE57427"/>
    <w:rsid w:val="0FFE176A"/>
    <w:rsid w:val="0FFF5930"/>
    <w:rsid w:val="1018536D"/>
    <w:rsid w:val="101D4748"/>
    <w:rsid w:val="105454A3"/>
    <w:rsid w:val="108E33C3"/>
    <w:rsid w:val="10956788"/>
    <w:rsid w:val="10981F7A"/>
    <w:rsid w:val="10A265EF"/>
    <w:rsid w:val="10DC5B73"/>
    <w:rsid w:val="10E305D2"/>
    <w:rsid w:val="10EC4A0F"/>
    <w:rsid w:val="10FB7C4C"/>
    <w:rsid w:val="11156FC6"/>
    <w:rsid w:val="11485B0D"/>
    <w:rsid w:val="114C7209"/>
    <w:rsid w:val="114D3805"/>
    <w:rsid w:val="1154158B"/>
    <w:rsid w:val="11677BA5"/>
    <w:rsid w:val="117076B2"/>
    <w:rsid w:val="119E6579"/>
    <w:rsid w:val="11D435DD"/>
    <w:rsid w:val="11DA3C43"/>
    <w:rsid w:val="11E15B8A"/>
    <w:rsid w:val="11EC57E6"/>
    <w:rsid w:val="11F35990"/>
    <w:rsid w:val="1220326C"/>
    <w:rsid w:val="122C043B"/>
    <w:rsid w:val="123A67B6"/>
    <w:rsid w:val="125515DD"/>
    <w:rsid w:val="125670E6"/>
    <w:rsid w:val="125E1A9C"/>
    <w:rsid w:val="1276289F"/>
    <w:rsid w:val="1288522D"/>
    <w:rsid w:val="129D6A95"/>
    <w:rsid w:val="12AF4046"/>
    <w:rsid w:val="12B74046"/>
    <w:rsid w:val="12CE506D"/>
    <w:rsid w:val="12D036D1"/>
    <w:rsid w:val="12EC4D41"/>
    <w:rsid w:val="12F65490"/>
    <w:rsid w:val="12F73D2A"/>
    <w:rsid w:val="12F9698E"/>
    <w:rsid w:val="13112273"/>
    <w:rsid w:val="131C7C5D"/>
    <w:rsid w:val="134E5054"/>
    <w:rsid w:val="13511DF6"/>
    <w:rsid w:val="1359610F"/>
    <w:rsid w:val="138B4634"/>
    <w:rsid w:val="138F1214"/>
    <w:rsid w:val="13BF412F"/>
    <w:rsid w:val="13C00A21"/>
    <w:rsid w:val="13D101C7"/>
    <w:rsid w:val="1400440E"/>
    <w:rsid w:val="14005579"/>
    <w:rsid w:val="142669A3"/>
    <w:rsid w:val="142B5D9F"/>
    <w:rsid w:val="14301CC2"/>
    <w:rsid w:val="143805F9"/>
    <w:rsid w:val="144729D8"/>
    <w:rsid w:val="147A44EB"/>
    <w:rsid w:val="148530C5"/>
    <w:rsid w:val="148E78CB"/>
    <w:rsid w:val="149F4D92"/>
    <w:rsid w:val="14A13E6D"/>
    <w:rsid w:val="14AB614D"/>
    <w:rsid w:val="14B96C2B"/>
    <w:rsid w:val="15067DFC"/>
    <w:rsid w:val="15181495"/>
    <w:rsid w:val="153870BF"/>
    <w:rsid w:val="15436E45"/>
    <w:rsid w:val="154871D8"/>
    <w:rsid w:val="15507C7E"/>
    <w:rsid w:val="1557566D"/>
    <w:rsid w:val="15664AEF"/>
    <w:rsid w:val="158E23E1"/>
    <w:rsid w:val="159D7EA6"/>
    <w:rsid w:val="159F1BF9"/>
    <w:rsid w:val="15A00DC2"/>
    <w:rsid w:val="15B71B1D"/>
    <w:rsid w:val="15E63361"/>
    <w:rsid w:val="160B0227"/>
    <w:rsid w:val="16864176"/>
    <w:rsid w:val="16B34B25"/>
    <w:rsid w:val="16E04880"/>
    <w:rsid w:val="16F86032"/>
    <w:rsid w:val="16FE2244"/>
    <w:rsid w:val="17081A7A"/>
    <w:rsid w:val="17092996"/>
    <w:rsid w:val="17292C0C"/>
    <w:rsid w:val="176F50FE"/>
    <w:rsid w:val="17D10049"/>
    <w:rsid w:val="17D75109"/>
    <w:rsid w:val="17DD0B49"/>
    <w:rsid w:val="17EA6CFE"/>
    <w:rsid w:val="17EE4479"/>
    <w:rsid w:val="17F1563C"/>
    <w:rsid w:val="17F23C73"/>
    <w:rsid w:val="180F3B80"/>
    <w:rsid w:val="181B1411"/>
    <w:rsid w:val="181C1400"/>
    <w:rsid w:val="18223BBF"/>
    <w:rsid w:val="18406E44"/>
    <w:rsid w:val="185C1918"/>
    <w:rsid w:val="1880349D"/>
    <w:rsid w:val="18A24E51"/>
    <w:rsid w:val="18BD142C"/>
    <w:rsid w:val="18BD60C6"/>
    <w:rsid w:val="18D435BC"/>
    <w:rsid w:val="18E261BC"/>
    <w:rsid w:val="18E6320F"/>
    <w:rsid w:val="190050D9"/>
    <w:rsid w:val="19193365"/>
    <w:rsid w:val="19261639"/>
    <w:rsid w:val="195D5C0E"/>
    <w:rsid w:val="19795DC5"/>
    <w:rsid w:val="19B116AD"/>
    <w:rsid w:val="19B17485"/>
    <w:rsid w:val="19B64CC2"/>
    <w:rsid w:val="19BA69A5"/>
    <w:rsid w:val="19CC487B"/>
    <w:rsid w:val="19DF6D3F"/>
    <w:rsid w:val="19E24459"/>
    <w:rsid w:val="19E75211"/>
    <w:rsid w:val="19EF2451"/>
    <w:rsid w:val="1A176F08"/>
    <w:rsid w:val="1A194A1B"/>
    <w:rsid w:val="1A305FF4"/>
    <w:rsid w:val="1A3D7EBE"/>
    <w:rsid w:val="1A4353A0"/>
    <w:rsid w:val="1A557489"/>
    <w:rsid w:val="1A89451A"/>
    <w:rsid w:val="1AD511ED"/>
    <w:rsid w:val="1AE61F72"/>
    <w:rsid w:val="1AF45443"/>
    <w:rsid w:val="1B075A0C"/>
    <w:rsid w:val="1B1A7868"/>
    <w:rsid w:val="1B1C7DC9"/>
    <w:rsid w:val="1B67066F"/>
    <w:rsid w:val="1B7229E4"/>
    <w:rsid w:val="1B7A5EC7"/>
    <w:rsid w:val="1B8D5F8D"/>
    <w:rsid w:val="1B8E5EC0"/>
    <w:rsid w:val="1BBE47DE"/>
    <w:rsid w:val="1BC10D01"/>
    <w:rsid w:val="1C2613A8"/>
    <w:rsid w:val="1C477E44"/>
    <w:rsid w:val="1C9B22E2"/>
    <w:rsid w:val="1CA53B30"/>
    <w:rsid w:val="1CB33990"/>
    <w:rsid w:val="1CBE72D2"/>
    <w:rsid w:val="1CF6260F"/>
    <w:rsid w:val="1CF83AEA"/>
    <w:rsid w:val="1CF911FC"/>
    <w:rsid w:val="1CFC0FD3"/>
    <w:rsid w:val="1CFF7A9C"/>
    <w:rsid w:val="1D34223E"/>
    <w:rsid w:val="1D5A77A6"/>
    <w:rsid w:val="1D681B82"/>
    <w:rsid w:val="1D6914D5"/>
    <w:rsid w:val="1D7C7A22"/>
    <w:rsid w:val="1D7E09CF"/>
    <w:rsid w:val="1D9F1A69"/>
    <w:rsid w:val="1DB50BD0"/>
    <w:rsid w:val="1DD7388B"/>
    <w:rsid w:val="1DE41480"/>
    <w:rsid w:val="1DEB1932"/>
    <w:rsid w:val="1E2139B7"/>
    <w:rsid w:val="1E7A14A8"/>
    <w:rsid w:val="1E7F32B0"/>
    <w:rsid w:val="1E9C7B40"/>
    <w:rsid w:val="1EA77665"/>
    <w:rsid w:val="1EBA058B"/>
    <w:rsid w:val="1EBB622E"/>
    <w:rsid w:val="1ED17F52"/>
    <w:rsid w:val="1EDD751C"/>
    <w:rsid w:val="1EE170B7"/>
    <w:rsid w:val="1EEA13A6"/>
    <w:rsid w:val="1EEB392A"/>
    <w:rsid w:val="1EFE64E9"/>
    <w:rsid w:val="1F6207D0"/>
    <w:rsid w:val="1FA53BA4"/>
    <w:rsid w:val="1FCA360B"/>
    <w:rsid w:val="1FE1627D"/>
    <w:rsid w:val="1FEA603B"/>
    <w:rsid w:val="20084133"/>
    <w:rsid w:val="20133D98"/>
    <w:rsid w:val="20226856"/>
    <w:rsid w:val="20293E2F"/>
    <w:rsid w:val="20686E43"/>
    <w:rsid w:val="206E3E8E"/>
    <w:rsid w:val="207224C8"/>
    <w:rsid w:val="2076639A"/>
    <w:rsid w:val="2093114F"/>
    <w:rsid w:val="209B57AA"/>
    <w:rsid w:val="20A121FD"/>
    <w:rsid w:val="20C20004"/>
    <w:rsid w:val="20C66F34"/>
    <w:rsid w:val="20D83D6E"/>
    <w:rsid w:val="20DE5531"/>
    <w:rsid w:val="20E1180E"/>
    <w:rsid w:val="20EA6084"/>
    <w:rsid w:val="20F01139"/>
    <w:rsid w:val="20F1461D"/>
    <w:rsid w:val="211641D5"/>
    <w:rsid w:val="212B522B"/>
    <w:rsid w:val="213F6312"/>
    <w:rsid w:val="21736537"/>
    <w:rsid w:val="217E2000"/>
    <w:rsid w:val="21977807"/>
    <w:rsid w:val="219A6D4B"/>
    <w:rsid w:val="21B30D9B"/>
    <w:rsid w:val="21B32189"/>
    <w:rsid w:val="21C2735E"/>
    <w:rsid w:val="21E57FA3"/>
    <w:rsid w:val="21FB5A74"/>
    <w:rsid w:val="226650A3"/>
    <w:rsid w:val="22677BAA"/>
    <w:rsid w:val="226827C0"/>
    <w:rsid w:val="227C6EFF"/>
    <w:rsid w:val="22942795"/>
    <w:rsid w:val="22A10D06"/>
    <w:rsid w:val="22B665A5"/>
    <w:rsid w:val="22B66C9F"/>
    <w:rsid w:val="22C925E0"/>
    <w:rsid w:val="22D84291"/>
    <w:rsid w:val="22E46F4A"/>
    <w:rsid w:val="22E82DE7"/>
    <w:rsid w:val="22F20159"/>
    <w:rsid w:val="22FC6B3F"/>
    <w:rsid w:val="23005537"/>
    <w:rsid w:val="231A3C9A"/>
    <w:rsid w:val="232C54A8"/>
    <w:rsid w:val="233C2C53"/>
    <w:rsid w:val="23486890"/>
    <w:rsid w:val="236F1F61"/>
    <w:rsid w:val="23AB4CDF"/>
    <w:rsid w:val="23C37A75"/>
    <w:rsid w:val="240404D0"/>
    <w:rsid w:val="240D5DDB"/>
    <w:rsid w:val="241B6DE6"/>
    <w:rsid w:val="24220F3E"/>
    <w:rsid w:val="2423604B"/>
    <w:rsid w:val="243A3F7E"/>
    <w:rsid w:val="24436391"/>
    <w:rsid w:val="2450121E"/>
    <w:rsid w:val="247A4C56"/>
    <w:rsid w:val="2487622C"/>
    <w:rsid w:val="24973094"/>
    <w:rsid w:val="24AD6D9A"/>
    <w:rsid w:val="24E52AD8"/>
    <w:rsid w:val="24E85B0E"/>
    <w:rsid w:val="250A6267"/>
    <w:rsid w:val="251418FC"/>
    <w:rsid w:val="254925FD"/>
    <w:rsid w:val="255249D2"/>
    <w:rsid w:val="256C0CC0"/>
    <w:rsid w:val="25712B23"/>
    <w:rsid w:val="25951FC5"/>
    <w:rsid w:val="25A845B3"/>
    <w:rsid w:val="25B34D67"/>
    <w:rsid w:val="25EB71B7"/>
    <w:rsid w:val="26154215"/>
    <w:rsid w:val="261A0BE6"/>
    <w:rsid w:val="26215F4F"/>
    <w:rsid w:val="26385E8A"/>
    <w:rsid w:val="263C7691"/>
    <w:rsid w:val="265E2776"/>
    <w:rsid w:val="26666FDC"/>
    <w:rsid w:val="26706683"/>
    <w:rsid w:val="26963D4E"/>
    <w:rsid w:val="26AB763C"/>
    <w:rsid w:val="26B267E7"/>
    <w:rsid w:val="26D794B7"/>
    <w:rsid w:val="26F131DC"/>
    <w:rsid w:val="26F65310"/>
    <w:rsid w:val="27052D05"/>
    <w:rsid w:val="27082804"/>
    <w:rsid w:val="270832AE"/>
    <w:rsid w:val="27343A60"/>
    <w:rsid w:val="27357F9F"/>
    <w:rsid w:val="275E35BF"/>
    <w:rsid w:val="27A4553F"/>
    <w:rsid w:val="27CA7E10"/>
    <w:rsid w:val="27D35135"/>
    <w:rsid w:val="27DD1D93"/>
    <w:rsid w:val="27EF1935"/>
    <w:rsid w:val="280A1B75"/>
    <w:rsid w:val="28257458"/>
    <w:rsid w:val="283962F8"/>
    <w:rsid w:val="28422AB2"/>
    <w:rsid w:val="284E28FF"/>
    <w:rsid w:val="285D6583"/>
    <w:rsid w:val="287A36F4"/>
    <w:rsid w:val="288458E7"/>
    <w:rsid w:val="28A33A20"/>
    <w:rsid w:val="28A47F17"/>
    <w:rsid w:val="28A95D87"/>
    <w:rsid w:val="28C444F4"/>
    <w:rsid w:val="28FE6071"/>
    <w:rsid w:val="290212C1"/>
    <w:rsid w:val="290D5ED8"/>
    <w:rsid w:val="29656DCE"/>
    <w:rsid w:val="29722140"/>
    <w:rsid w:val="298B4B23"/>
    <w:rsid w:val="29AD63FD"/>
    <w:rsid w:val="29B71FDB"/>
    <w:rsid w:val="29CF18DD"/>
    <w:rsid w:val="29D65D23"/>
    <w:rsid w:val="29D875FE"/>
    <w:rsid w:val="29DF010E"/>
    <w:rsid w:val="29FE44DD"/>
    <w:rsid w:val="2A1169E3"/>
    <w:rsid w:val="2A194E5D"/>
    <w:rsid w:val="2A21554B"/>
    <w:rsid w:val="2A2A17CD"/>
    <w:rsid w:val="2A594BC2"/>
    <w:rsid w:val="2A5A558B"/>
    <w:rsid w:val="2A9F7561"/>
    <w:rsid w:val="2AA90FA0"/>
    <w:rsid w:val="2AB103DC"/>
    <w:rsid w:val="2AB31CE2"/>
    <w:rsid w:val="2AB55266"/>
    <w:rsid w:val="2AF000D8"/>
    <w:rsid w:val="2B3C2B7F"/>
    <w:rsid w:val="2B487382"/>
    <w:rsid w:val="2B552F60"/>
    <w:rsid w:val="2B5D3585"/>
    <w:rsid w:val="2B7841A6"/>
    <w:rsid w:val="2BB367B9"/>
    <w:rsid w:val="2BB62D59"/>
    <w:rsid w:val="2BEC2B5B"/>
    <w:rsid w:val="2C13380B"/>
    <w:rsid w:val="2C184D47"/>
    <w:rsid w:val="2C796A89"/>
    <w:rsid w:val="2C7C10B6"/>
    <w:rsid w:val="2CB204A3"/>
    <w:rsid w:val="2CBD3A96"/>
    <w:rsid w:val="2CC74339"/>
    <w:rsid w:val="2CCC23F7"/>
    <w:rsid w:val="2CCE1414"/>
    <w:rsid w:val="2CF93ABF"/>
    <w:rsid w:val="2D1E27A3"/>
    <w:rsid w:val="2D1E560F"/>
    <w:rsid w:val="2D394FF5"/>
    <w:rsid w:val="2D766528"/>
    <w:rsid w:val="2D797435"/>
    <w:rsid w:val="2DF26007"/>
    <w:rsid w:val="2DF50B51"/>
    <w:rsid w:val="2E566881"/>
    <w:rsid w:val="2E6111A5"/>
    <w:rsid w:val="2E671D49"/>
    <w:rsid w:val="2E6A704D"/>
    <w:rsid w:val="2E6C0B54"/>
    <w:rsid w:val="2E7A444E"/>
    <w:rsid w:val="2E8A6255"/>
    <w:rsid w:val="2E8B21B7"/>
    <w:rsid w:val="2EA51EA6"/>
    <w:rsid w:val="2EB8596B"/>
    <w:rsid w:val="2EC8145A"/>
    <w:rsid w:val="2F0B1048"/>
    <w:rsid w:val="2F132DA3"/>
    <w:rsid w:val="2F141AAA"/>
    <w:rsid w:val="2F57653D"/>
    <w:rsid w:val="2FCA4353"/>
    <w:rsid w:val="2FE55D75"/>
    <w:rsid w:val="2FF23F99"/>
    <w:rsid w:val="2FF43D8C"/>
    <w:rsid w:val="2FFD0E93"/>
    <w:rsid w:val="2FFF3277"/>
    <w:rsid w:val="30236367"/>
    <w:rsid w:val="30331BC6"/>
    <w:rsid w:val="303E7E03"/>
    <w:rsid w:val="30405AEB"/>
    <w:rsid w:val="304A182B"/>
    <w:rsid w:val="30700C52"/>
    <w:rsid w:val="30757C00"/>
    <w:rsid w:val="30782C0F"/>
    <w:rsid w:val="307D5D65"/>
    <w:rsid w:val="30B34CE3"/>
    <w:rsid w:val="30CB1C83"/>
    <w:rsid w:val="30E112B6"/>
    <w:rsid w:val="30ED2830"/>
    <w:rsid w:val="310743D8"/>
    <w:rsid w:val="3112096E"/>
    <w:rsid w:val="316B2857"/>
    <w:rsid w:val="31832D29"/>
    <w:rsid w:val="31997196"/>
    <w:rsid w:val="319D5339"/>
    <w:rsid w:val="319F2F47"/>
    <w:rsid w:val="31B2277E"/>
    <w:rsid w:val="31D20CDE"/>
    <w:rsid w:val="31F37E23"/>
    <w:rsid w:val="31FE689A"/>
    <w:rsid w:val="32223DC6"/>
    <w:rsid w:val="325A02A1"/>
    <w:rsid w:val="329032EF"/>
    <w:rsid w:val="329970EF"/>
    <w:rsid w:val="32AE0B6A"/>
    <w:rsid w:val="32B35AAA"/>
    <w:rsid w:val="32F81DE5"/>
    <w:rsid w:val="32FD11AA"/>
    <w:rsid w:val="330F3777"/>
    <w:rsid w:val="33135210"/>
    <w:rsid w:val="3326373F"/>
    <w:rsid w:val="333626EB"/>
    <w:rsid w:val="334459AC"/>
    <w:rsid w:val="33705A64"/>
    <w:rsid w:val="338E32D5"/>
    <w:rsid w:val="33A055AF"/>
    <w:rsid w:val="33A51E80"/>
    <w:rsid w:val="33B04066"/>
    <w:rsid w:val="33E16D1D"/>
    <w:rsid w:val="33EE589E"/>
    <w:rsid w:val="340329A9"/>
    <w:rsid w:val="340D7B12"/>
    <w:rsid w:val="341E2B5D"/>
    <w:rsid w:val="342645AD"/>
    <w:rsid w:val="342B057B"/>
    <w:rsid w:val="34335C8F"/>
    <w:rsid w:val="345968B4"/>
    <w:rsid w:val="34617CD8"/>
    <w:rsid w:val="346317C9"/>
    <w:rsid w:val="346A286F"/>
    <w:rsid w:val="346C1C91"/>
    <w:rsid w:val="34753860"/>
    <w:rsid w:val="348C6C4A"/>
    <w:rsid w:val="34A61339"/>
    <w:rsid w:val="34AF4725"/>
    <w:rsid w:val="34CC3006"/>
    <w:rsid w:val="34F3793E"/>
    <w:rsid w:val="34FA09EA"/>
    <w:rsid w:val="354B5D9D"/>
    <w:rsid w:val="35506C87"/>
    <w:rsid w:val="35574E9C"/>
    <w:rsid w:val="35580207"/>
    <w:rsid w:val="35681367"/>
    <w:rsid w:val="35712E34"/>
    <w:rsid w:val="35832558"/>
    <w:rsid w:val="359305B1"/>
    <w:rsid w:val="35966E67"/>
    <w:rsid w:val="35A973C7"/>
    <w:rsid w:val="35ED793B"/>
    <w:rsid w:val="35F06F52"/>
    <w:rsid w:val="35F84740"/>
    <w:rsid w:val="36383125"/>
    <w:rsid w:val="365E28A7"/>
    <w:rsid w:val="366C082D"/>
    <w:rsid w:val="368816D2"/>
    <w:rsid w:val="368C388A"/>
    <w:rsid w:val="36C00E6C"/>
    <w:rsid w:val="36C90DD1"/>
    <w:rsid w:val="36EF2646"/>
    <w:rsid w:val="36F275DD"/>
    <w:rsid w:val="36F55D23"/>
    <w:rsid w:val="37031C33"/>
    <w:rsid w:val="37084089"/>
    <w:rsid w:val="372A4537"/>
    <w:rsid w:val="374634AB"/>
    <w:rsid w:val="37543CF6"/>
    <w:rsid w:val="37704489"/>
    <w:rsid w:val="37710026"/>
    <w:rsid w:val="37731B16"/>
    <w:rsid w:val="37925427"/>
    <w:rsid w:val="37A01319"/>
    <w:rsid w:val="37A55DCC"/>
    <w:rsid w:val="37C075FB"/>
    <w:rsid w:val="37CA04FF"/>
    <w:rsid w:val="37D30771"/>
    <w:rsid w:val="37D7005F"/>
    <w:rsid w:val="37E3512E"/>
    <w:rsid w:val="37EC0BB8"/>
    <w:rsid w:val="382F75E3"/>
    <w:rsid w:val="38371ACC"/>
    <w:rsid w:val="38665479"/>
    <w:rsid w:val="389205E6"/>
    <w:rsid w:val="38A748FD"/>
    <w:rsid w:val="38D53666"/>
    <w:rsid w:val="38E70932"/>
    <w:rsid w:val="38FF39F5"/>
    <w:rsid w:val="394C68A5"/>
    <w:rsid w:val="3952462B"/>
    <w:rsid w:val="395E479A"/>
    <w:rsid w:val="39675804"/>
    <w:rsid w:val="3988749C"/>
    <w:rsid w:val="398A60A0"/>
    <w:rsid w:val="399E1915"/>
    <w:rsid w:val="39A36C2D"/>
    <w:rsid w:val="39AA29B9"/>
    <w:rsid w:val="39AE63D1"/>
    <w:rsid w:val="39D7D99B"/>
    <w:rsid w:val="39E71AEC"/>
    <w:rsid w:val="39F60058"/>
    <w:rsid w:val="3A104089"/>
    <w:rsid w:val="3A190FBF"/>
    <w:rsid w:val="3A1A692D"/>
    <w:rsid w:val="3A2B31D2"/>
    <w:rsid w:val="3A8217DE"/>
    <w:rsid w:val="3A822B01"/>
    <w:rsid w:val="3A8D375B"/>
    <w:rsid w:val="3AB8426E"/>
    <w:rsid w:val="3ACF765C"/>
    <w:rsid w:val="3AD278CD"/>
    <w:rsid w:val="3AFA4BE5"/>
    <w:rsid w:val="3B046CCA"/>
    <w:rsid w:val="3B196D9D"/>
    <w:rsid w:val="3B2A44B8"/>
    <w:rsid w:val="3B2B6476"/>
    <w:rsid w:val="3B6256FB"/>
    <w:rsid w:val="3BA0301A"/>
    <w:rsid w:val="3BAF3CA2"/>
    <w:rsid w:val="3BBC038E"/>
    <w:rsid w:val="3BF72351"/>
    <w:rsid w:val="3BFE3F02"/>
    <w:rsid w:val="3C2972FD"/>
    <w:rsid w:val="3C3261E8"/>
    <w:rsid w:val="3C524EFE"/>
    <w:rsid w:val="3C53008C"/>
    <w:rsid w:val="3C5B4444"/>
    <w:rsid w:val="3C852047"/>
    <w:rsid w:val="3C896BEF"/>
    <w:rsid w:val="3C97F720"/>
    <w:rsid w:val="3CA13116"/>
    <w:rsid w:val="3CA925AE"/>
    <w:rsid w:val="3CC13485"/>
    <w:rsid w:val="3CCF4FA4"/>
    <w:rsid w:val="3CF877AB"/>
    <w:rsid w:val="3D306CB2"/>
    <w:rsid w:val="3D32729D"/>
    <w:rsid w:val="3D485E54"/>
    <w:rsid w:val="3D62504C"/>
    <w:rsid w:val="3D667959"/>
    <w:rsid w:val="3D8230F2"/>
    <w:rsid w:val="3D886E2C"/>
    <w:rsid w:val="3D9A6B04"/>
    <w:rsid w:val="3DAA5519"/>
    <w:rsid w:val="3DC413E8"/>
    <w:rsid w:val="3DCA34BB"/>
    <w:rsid w:val="3DD83D60"/>
    <w:rsid w:val="3DEE7764"/>
    <w:rsid w:val="3E044CAE"/>
    <w:rsid w:val="3E12201C"/>
    <w:rsid w:val="3E427218"/>
    <w:rsid w:val="3E460E59"/>
    <w:rsid w:val="3E8F30B5"/>
    <w:rsid w:val="3E962C89"/>
    <w:rsid w:val="3E976AC4"/>
    <w:rsid w:val="3E9D9EE9"/>
    <w:rsid w:val="3EA27573"/>
    <w:rsid w:val="3EA72ABE"/>
    <w:rsid w:val="3EAD4174"/>
    <w:rsid w:val="3EAD7F9C"/>
    <w:rsid w:val="3EB32892"/>
    <w:rsid w:val="3EBC3336"/>
    <w:rsid w:val="3EDE79C6"/>
    <w:rsid w:val="3EF60080"/>
    <w:rsid w:val="3EF65530"/>
    <w:rsid w:val="3EFEC654"/>
    <w:rsid w:val="3F064AE9"/>
    <w:rsid w:val="3F3B0C43"/>
    <w:rsid w:val="3F4C62B0"/>
    <w:rsid w:val="3F585F31"/>
    <w:rsid w:val="3F6A4BE4"/>
    <w:rsid w:val="3F7279F0"/>
    <w:rsid w:val="3F7C65CA"/>
    <w:rsid w:val="3F7F0FB6"/>
    <w:rsid w:val="3F9717D1"/>
    <w:rsid w:val="3F9B13A5"/>
    <w:rsid w:val="3FB2485B"/>
    <w:rsid w:val="3FBD3AE8"/>
    <w:rsid w:val="3FEE166B"/>
    <w:rsid w:val="3FFEE24B"/>
    <w:rsid w:val="402A34B8"/>
    <w:rsid w:val="402C4889"/>
    <w:rsid w:val="40360CD1"/>
    <w:rsid w:val="40361D66"/>
    <w:rsid w:val="404C1EBB"/>
    <w:rsid w:val="405214DD"/>
    <w:rsid w:val="406060C3"/>
    <w:rsid w:val="40613E30"/>
    <w:rsid w:val="40736573"/>
    <w:rsid w:val="407D7357"/>
    <w:rsid w:val="40860A30"/>
    <w:rsid w:val="408D0A8F"/>
    <w:rsid w:val="409B4A07"/>
    <w:rsid w:val="40BF6E39"/>
    <w:rsid w:val="40C25B7F"/>
    <w:rsid w:val="40C73A02"/>
    <w:rsid w:val="40E02BC9"/>
    <w:rsid w:val="40F66678"/>
    <w:rsid w:val="40FA12EB"/>
    <w:rsid w:val="410A16AB"/>
    <w:rsid w:val="410E1C56"/>
    <w:rsid w:val="4120577A"/>
    <w:rsid w:val="41603084"/>
    <w:rsid w:val="41686388"/>
    <w:rsid w:val="416C142E"/>
    <w:rsid w:val="41E677EA"/>
    <w:rsid w:val="41FD121E"/>
    <w:rsid w:val="42117A10"/>
    <w:rsid w:val="421A7627"/>
    <w:rsid w:val="4233112B"/>
    <w:rsid w:val="42401E98"/>
    <w:rsid w:val="42474F8A"/>
    <w:rsid w:val="42872311"/>
    <w:rsid w:val="428B5762"/>
    <w:rsid w:val="429F3B64"/>
    <w:rsid w:val="42B64F1C"/>
    <w:rsid w:val="42C92887"/>
    <w:rsid w:val="42D47C2B"/>
    <w:rsid w:val="42DA32B5"/>
    <w:rsid w:val="42FB45E4"/>
    <w:rsid w:val="4307713D"/>
    <w:rsid w:val="433543AC"/>
    <w:rsid w:val="43420FE8"/>
    <w:rsid w:val="434513F0"/>
    <w:rsid w:val="43606D1A"/>
    <w:rsid w:val="43702851"/>
    <w:rsid w:val="437269BA"/>
    <w:rsid w:val="437F3C65"/>
    <w:rsid w:val="43B34232"/>
    <w:rsid w:val="43CA4F48"/>
    <w:rsid w:val="43FE78B1"/>
    <w:rsid w:val="440A7CA0"/>
    <w:rsid w:val="441F3AB4"/>
    <w:rsid w:val="4424604A"/>
    <w:rsid w:val="442967DE"/>
    <w:rsid w:val="445014AB"/>
    <w:rsid w:val="44674A51"/>
    <w:rsid w:val="44CE660D"/>
    <w:rsid w:val="44F103C7"/>
    <w:rsid w:val="452D47A4"/>
    <w:rsid w:val="4545710C"/>
    <w:rsid w:val="454C3E11"/>
    <w:rsid w:val="454F0B76"/>
    <w:rsid w:val="45795008"/>
    <w:rsid w:val="4579514B"/>
    <w:rsid w:val="457E2BBE"/>
    <w:rsid w:val="457F72E8"/>
    <w:rsid w:val="459F05CE"/>
    <w:rsid w:val="45D72674"/>
    <w:rsid w:val="45DE083B"/>
    <w:rsid w:val="45E076C0"/>
    <w:rsid w:val="45F36067"/>
    <w:rsid w:val="460C0745"/>
    <w:rsid w:val="463122D8"/>
    <w:rsid w:val="463144E5"/>
    <w:rsid w:val="4632053D"/>
    <w:rsid w:val="46577675"/>
    <w:rsid w:val="4662415A"/>
    <w:rsid w:val="4662498C"/>
    <w:rsid w:val="46641814"/>
    <w:rsid w:val="466E26B2"/>
    <w:rsid w:val="468425B0"/>
    <w:rsid w:val="46A022D9"/>
    <w:rsid w:val="46A9554B"/>
    <w:rsid w:val="46AF05B5"/>
    <w:rsid w:val="46B04A59"/>
    <w:rsid w:val="46B21457"/>
    <w:rsid w:val="46B411EC"/>
    <w:rsid w:val="46BE1A6C"/>
    <w:rsid w:val="46BE6647"/>
    <w:rsid w:val="46D0431B"/>
    <w:rsid w:val="46D35FF3"/>
    <w:rsid w:val="46EE3897"/>
    <w:rsid w:val="47140585"/>
    <w:rsid w:val="471B3499"/>
    <w:rsid w:val="4730142A"/>
    <w:rsid w:val="476870E2"/>
    <w:rsid w:val="478A0CA0"/>
    <w:rsid w:val="478E4BD2"/>
    <w:rsid w:val="47C848F5"/>
    <w:rsid w:val="47D84DCE"/>
    <w:rsid w:val="47DD756D"/>
    <w:rsid w:val="48037A8A"/>
    <w:rsid w:val="48057880"/>
    <w:rsid w:val="48150BC3"/>
    <w:rsid w:val="48377D23"/>
    <w:rsid w:val="48587199"/>
    <w:rsid w:val="486634EE"/>
    <w:rsid w:val="48807890"/>
    <w:rsid w:val="48A64B98"/>
    <w:rsid w:val="48A71804"/>
    <w:rsid w:val="48B30830"/>
    <w:rsid w:val="48BC156D"/>
    <w:rsid w:val="48DF62C3"/>
    <w:rsid w:val="48EA3B26"/>
    <w:rsid w:val="48F765BE"/>
    <w:rsid w:val="490445F2"/>
    <w:rsid w:val="49137521"/>
    <w:rsid w:val="49320F23"/>
    <w:rsid w:val="493A087A"/>
    <w:rsid w:val="49831FB1"/>
    <w:rsid w:val="49A10911"/>
    <w:rsid w:val="49CA61CE"/>
    <w:rsid w:val="49DD73AE"/>
    <w:rsid w:val="49F95BD6"/>
    <w:rsid w:val="4A0C7375"/>
    <w:rsid w:val="4A194AA5"/>
    <w:rsid w:val="4A2710F3"/>
    <w:rsid w:val="4A2B3C78"/>
    <w:rsid w:val="4A4915FD"/>
    <w:rsid w:val="4A4934DE"/>
    <w:rsid w:val="4A4D25BF"/>
    <w:rsid w:val="4A5E47CC"/>
    <w:rsid w:val="4A6E0EB3"/>
    <w:rsid w:val="4A6E7636"/>
    <w:rsid w:val="4A9106FD"/>
    <w:rsid w:val="4AA73240"/>
    <w:rsid w:val="4AB72272"/>
    <w:rsid w:val="4AC63E7C"/>
    <w:rsid w:val="4AC94650"/>
    <w:rsid w:val="4AD703A4"/>
    <w:rsid w:val="4B305E1B"/>
    <w:rsid w:val="4B4B6AFE"/>
    <w:rsid w:val="4B5D2E40"/>
    <w:rsid w:val="4B602D44"/>
    <w:rsid w:val="4B842010"/>
    <w:rsid w:val="4BB92D8E"/>
    <w:rsid w:val="4BBB7216"/>
    <w:rsid w:val="4BD07B58"/>
    <w:rsid w:val="4BE87BA5"/>
    <w:rsid w:val="4C155F10"/>
    <w:rsid w:val="4C2F7851"/>
    <w:rsid w:val="4C3176AB"/>
    <w:rsid w:val="4C324162"/>
    <w:rsid w:val="4C350E7E"/>
    <w:rsid w:val="4C3C12ED"/>
    <w:rsid w:val="4C415DC1"/>
    <w:rsid w:val="4C5310F0"/>
    <w:rsid w:val="4C571AC7"/>
    <w:rsid w:val="4C6E278E"/>
    <w:rsid w:val="4CA95F3B"/>
    <w:rsid w:val="4CE45067"/>
    <w:rsid w:val="4CFF538B"/>
    <w:rsid w:val="4D2A4B22"/>
    <w:rsid w:val="4D471EEE"/>
    <w:rsid w:val="4D4D7800"/>
    <w:rsid w:val="4D7251FF"/>
    <w:rsid w:val="4DDB4948"/>
    <w:rsid w:val="4DE50C0B"/>
    <w:rsid w:val="4DF831B6"/>
    <w:rsid w:val="4E11105D"/>
    <w:rsid w:val="4E16225A"/>
    <w:rsid w:val="4E253AB8"/>
    <w:rsid w:val="4E472C92"/>
    <w:rsid w:val="4E824D97"/>
    <w:rsid w:val="4E9D5C2D"/>
    <w:rsid w:val="4EBA57C1"/>
    <w:rsid w:val="4EC8768D"/>
    <w:rsid w:val="4EEB58EF"/>
    <w:rsid w:val="4EFC68C1"/>
    <w:rsid w:val="4EFE6975"/>
    <w:rsid w:val="4F047E0A"/>
    <w:rsid w:val="4F3A59E7"/>
    <w:rsid w:val="4F477F24"/>
    <w:rsid w:val="4F87600D"/>
    <w:rsid w:val="4FA91AAC"/>
    <w:rsid w:val="4FBD0FF5"/>
    <w:rsid w:val="4FC854D7"/>
    <w:rsid w:val="50142DE1"/>
    <w:rsid w:val="5015687B"/>
    <w:rsid w:val="501926CA"/>
    <w:rsid w:val="503109FF"/>
    <w:rsid w:val="503E7F87"/>
    <w:rsid w:val="504544C8"/>
    <w:rsid w:val="505E3D68"/>
    <w:rsid w:val="505F4DFA"/>
    <w:rsid w:val="505F5918"/>
    <w:rsid w:val="506F5953"/>
    <w:rsid w:val="507A0E74"/>
    <w:rsid w:val="50A218B6"/>
    <w:rsid w:val="50C2531E"/>
    <w:rsid w:val="50D13748"/>
    <w:rsid w:val="50D43A3A"/>
    <w:rsid w:val="510A120A"/>
    <w:rsid w:val="512E16EC"/>
    <w:rsid w:val="51426BF5"/>
    <w:rsid w:val="516A440A"/>
    <w:rsid w:val="51B053DC"/>
    <w:rsid w:val="51BA5A6F"/>
    <w:rsid w:val="51C42E16"/>
    <w:rsid w:val="51E5538B"/>
    <w:rsid w:val="52000D12"/>
    <w:rsid w:val="520D6221"/>
    <w:rsid w:val="5244074B"/>
    <w:rsid w:val="525351F4"/>
    <w:rsid w:val="525A6FBC"/>
    <w:rsid w:val="526C0997"/>
    <w:rsid w:val="5277467D"/>
    <w:rsid w:val="52855A65"/>
    <w:rsid w:val="52E11882"/>
    <w:rsid w:val="52E44E05"/>
    <w:rsid w:val="52F862D1"/>
    <w:rsid w:val="530B071F"/>
    <w:rsid w:val="53311AB3"/>
    <w:rsid w:val="53317F44"/>
    <w:rsid w:val="533D33D1"/>
    <w:rsid w:val="53511F1B"/>
    <w:rsid w:val="5353295D"/>
    <w:rsid w:val="53670B33"/>
    <w:rsid w:val="537735FB"/>
    <w:rsid w:val="53775B6A"/>
    <w:rsid w:val="538F5737"/>
    <w:rsid w:val="53CA0B91"/>
    <w:rsid w:val="53D43855"/>
    <w:rsid w:val="53D6214F"/>
    <w:rsid w:val="53EE1101"/>
    <w:rsid w:val="53FC4E8E"/>
    <w:rsid w:val="54111ADD"/>
    <w:rsid w:val="541717DC"/>
    <w:rsid w:val="54271D5C"/>
    <w:rsid w:val="5427740E"/>
    <w:rsid w:val="542B571F"/>
    <w:rsid w:val="54976AA9"/>
    <w:rsid w:val="549A3F89"/>
    <w:rsid w:val="54A022DD"/>
    <w:rsid w:val="54AA7049"/>
    <w:rsid w:val="54CF639A"/>
    <w:rsid w:val="54DE0134"/>
    <w:rsid w:val="54FC0026"/>
    <w:rsid w:val="553C46BA"/>
    <w:rsid w:val="55485688"/>
    <w:rsid w:val="55494082"/>
    <w:rsid w:val="555B3FA7"/>
    <w:rsid w:val="555F54CC"/>
    <w:rsid w:val="557D5B60"/>
    <w:rsid w:val="55834A19"/>
    <w:rsid w:val="559D43FA"/>
    <w:rsid w:val="55CF743F"/>
    <w:rsid w:val="55F27046"/>
    <w:rsid w:val="55F526C6"/>
    <w:rsid w:val="56066DC9"/>
    <w:rsid w:val="560B2337"/>
    <w:rsid w:val="561A7CC7"/>
    <w:rsid w:val="564E1228"/>
    <w:rsid w:val="566535A8"/>
    <w:rsid w:val="56A6131D"/>
    <w:rsid w:val="56A82B00"/>
    <w:rsid w:val="56BC5AD0"/>
    <w:rsid w:val="56D00C68"/>
    <w:rsid w:val="56EB60FD"/>
    <w:rsid w:val="57022BD1"/>
    <w:rsid w:val="57212B27"/>
    <w:rsid w:val="572809C2"/>
    <w:rsid w:val="57480C4D"/>
    <w:rsid w:val="574C27F3"/>
    <w:rsid w:val="57895A45"/>
    <w:rsid w:val="579D6934"/>
    <w:rsid w:val="57A16858"/>
    <w:rsid w:val="57B30CDA"/>
    <w:rsid w:val="57C5313B"/>
    <w:rsid w:val="57D807D4"/>
    <w:rsid w:val="57EA7969"/>
    <w:rsid w:val="57F740F4"/>
    <w:rsid w:val="57FA3D86"/>
    <w:rsid w:val="57FDBEDD"/>
    <w:rsid w:val="58466FCB"/>
    <w:rsid w:val="58750691"/>
    <w:rsid w:val="58AB575D"/>
    <w:rsid w:val="58AD0DF8"/>
    <w:rsid w:val="58BC728D"/>
    <w:rsid w:val="58BD4DB3"/>
    <w:rsid w:val="58D22E69"/>
    <w:rsid w:val="58DD0763"/>
    <w:rsid w:val="58EA22FF"/>
    <w:rsid w:val="58EB59C1"/>
    <w:rsid w:val="59445F91"/>
    <w:rsid w:val="596A4F3B"/>
    <w:rsid w:val="59815208"/>
    <w:rsid w:val="5993057B"/>
    <w:rsid w:val="59A43D8B"/>
    <w:rsid w:val="59A64B68"/>
    <w:rsid w:val="59E84D0D"/>
    <w:rsid w:val="59F001A4"/>
    <w:rsid w:val="5A1E2DE7"/>
    <w:rsid w:val="5A20427A"/>
    <w:rsid w:val="5A331DE9"/>
    <w:rsid w:val="5A395FB6"/>
    <w:rsid w:val="5A436A2D"/>
    <w:rsid w:val="5A9833A8"/>
    <w:rsid w:val="5AAC047B"/>
    <w:rsid w:val="5AC95404"/>
    <w:rsid w:val="5AD370A1"/>
    <w:rsid w:val="5B0A066E"/>
    <w:rsid w:val="5B123FA7"/>
    <w:rsid w:val="5B1D0885"/>
    <w:rsid w:val="5B5E18A4"/>
    <w:rsid w:val="5B613C0E"/>
    <w:rsid w:val="5B8B4AEE"/>
    <w:rsid w:val="5B955E96"/>
    <w:rsid w:val="5B9B3675"/>
    <w:rsid w:val="5BA26571"/>
    <w:rsid w:val="5BAD110F"/>
    <w:rsid w:val="5BCA6564"/>
    <w:rsid w:val="5BD66D67"/>
    <w:rsid w:val="5BFE7E52"/>
    <w:rsid w:val="5C107D40"/>
    <w:rsid w:val="5C107FF0"/>
    <w:rsid w:val="5C1D1988"/>
    <w:rsid w:val="5C1E3775"/>
    <w:rsid w:val="5C381264"/>
    <w:rsid w:val="5C3D27FC"/>
    <w:rsid w:val="5C5E6BE8"/>
    <w:rsid w:val="5C672644"/>
    <w:rsid w:val="5C8132C7"/>
    <w:rsid w:val="5CA23A25"/>
    <w:rsid w:val="5CC26330"/>
    <w:rsid w:val="5CD67F41"/>
    <w:rsid w:val="5CDF760E"/>
    <w:rsid w:val="5CE07ABA"/>
    <w:rsid w:val="5CF00F5E"/>
    <w:rsid w:val="5D017C51"/>
    <w:rsid w:val="5D141BA6"/>
    <w:rsid w:val="5D4165A3"/>
    <w:rsid w:val="5D463591"/>
    <w:rsid w:val="5D4F2A78"/>
    <w:rsid w:val="5D570A59"/>
    <w:rsid w:val="5D792AE4"/>
    <w:rsid w:val="5DC25C67"/>
    <w:rsid w:val="5DCA711D"/>
    <w:rsid w:val="5DD97571"/>
    <w:rsid w:val="5DDA1D04"/>
    <w:rsid w:val="5DE22BD1"/>
    <w:rsid w:val="5E101ABB"/>
    <w:rsid w:val="5E2F58D3"/>
    <w:rsid w:val="5E5A06FD"/>
    <w:rsid w:val="5E6C6385"/>
    <w:rsid w:val="5E8A56FD"/>
    <w:rsid w:val="5E9342EC"/>
    <w:rsid w:val="5EA27CF7"/>
    <w:rsid w:val="5EBC3C1E"/>
    <w:rsid w:val="5EEE45E3"/>
    <w:rsid w:val="5EF17565"/>
    <w:rsid w:val="5F3815EE"/>
    <w:rsid w:val="5F5C32D6"/>
    <w:rsid w:val="5FB10E83"/>
    <w:rsid w:val="5FDC6467"/>
    <w:rsid w:val="5FFD96AC"/>
    <w:rsid w:val="600E788A"/>
    <w:rsid w:val="60173C67"/>
    <w:rsid w:val="60206354"/>
    <w:rsid w:val="603911C4"/>
    <w:rsid w:val="604130CF"/>
    <w:rsid w:val="60572C99"/>
    <w:rsid w:val="60663C94"/>
    <w:rsid w:val="60794FD4"/>
    <w:rsid w:val="60814FEF"/>
    <w:rsid w:val="60946411"/>
    <w:rsid w:val="60AE4E89"/>
    <w:rsid w:val="60CD4AC4"/>
    <w:rsid w:val="60D32F5A"/>
    <w:rsid w:val="61001CE1"/>
    <w:rsid w:val="610E2B4C"/>
    <w:rsid w:val="61276800"/>
    <w:rsid w:val="613E3956"/>
    <w:rsid w:val="6151253D"/>
    <w:rsid w:val="617F0AF7"/>
    <w:rsid w:val="619945D7"/>
    <w:rsid w:val="61C210E3"/>
    <w:rsid w:val="61C24BFD"/>
    <w:rsid w:val="61DE43D4"/>
    <w:rsid w:val="61E06967"/>
    <w:rsid w:val="61ED083B"/>
    <w:rsid w:val="61ED26C8"/>
    <w:rsid w:val="61FB2295"/>
    <w:rsid w:val="62184EFE"/>
    <w:rsid w:val="622F0AD0"/>
    <w:rsid w:val="623438B9"/>
    <w:rsid w:val="624216A0"/>
    <w:rsid w:val="626343A0"/>
    <w:rsid w:val="626736F9"/>
    <w:rsid w:val="626B4082"/>
    <w:rsid w:val="626B6B00"/>
    <w:rsid w:val="626C251B"/>
    <w:rsid w:val="628E1BE9"/>
    <w:rsid w:val="62A3326C"/>
    <w:rsid w:val="62C126EC"/>
    <w:rsid w:val="62CF1703"/>
    <w:rsid w:val="62D06FF9"/>
    <w:rsid w:val="62D358FF"/>
    <w:rsid w:val="62D765EB"/>
    <w:rsid w:val="62E16861"/>
    <w:rsid w:val="630A329F"/>
    <w:rsid w:val="636B22CC"/>
    <w:rsid w:val="636C198B"/>
    <w:rsid w:val="63B65AC7"/>
    <w:rsid w:val="63D7428B"/>
    <w:rsid w:val="64002DAD"/>
    <w:rsid w:val="640C4C0D"/>
    <w:rsid w:val="642D56F7"/>
    <w:rsid w:val="643B5584"/>
    <w:rsid w:val="64550596"/>
    <w:rsid w:val="645830D7"/>
    <w:rsid w:val="64645BC9"/>
    <w:rsid w:val="64675414"/>
    <w:rsid w:val="646D58E0"/>
    <w:rsid w:val="647258C3"/>
    <w:rsid w:val="64763CBE"/>
    <w:rsid w:val="647F41B9"/>
    <w:rsid w:val="648F5856"/>
    <w:rsid w:val="649C452B"/>
    <w:rsid w:val="64AA2E73"/>
    <w:rsid w:val="64B8434A"/>
    <w:rsid w:val="64BD6867"/>
    <w:rsid w:val="64C5008F"/>
    <w:rsid w:val="64CF4D38"/>
    <w:rsid w:val="64E8446E"/>
    <w:rsid w:val="64E959FD"/>
    <w:rsid w:val="64F9CCE6"/>
    <w:rsid w:val="651B5828"/>
    <w:rsid w:val="6530087B"/>
    <w:rsid w:val="65376B47"/>
    <w:rsid w:val="654042F5"/>
    <w:rsid w:val="65AB2B63"/>
    <w:rsid w:val="65E44DFA"/>
    <w:rsid w:val="65E63B9C"/>
    <w:rsid w:val="65ED2DCA"/>
    <w:rsid w:val="65F37088"/>
    <w:rsid w:val="65F66C79"/>
    <w:rsid w:val="660447CA"/>
    <w:rsid w:val="662B5A52"/>
    <w:rsid w:val="665622BC"/>
    <w:rsid w:val="66644AC0"/>
    <w:rsid w:val="66653739"/>
    <w:rsid w:val="666C4EE6"/>
    <w:rsid w:val="66792487"/>
    <w:rsid w:val="66D470E6"/>
    <w:rsid w:val="66ED2CA0"/>
    <w:rsid w:val="66F722EC"/>
    <w:rsid w:val="66FB0FDC"/>
    <w:rsid w:val="66FC5AFF"/>
    <w:rsid w:val="6709462E"/>
    <w:rsid w:val="676C49AE"/>
    <w:rsid w:val="6777196F"/>
    <w:rsid w:val="67825F62"/>
    <w:rsid w:val="678A1ED0"/>
    <w:rsid w:val="67AB61F8"/>
    <w:rsid w:val="67BA7741"/>
    <w:rsid w:val="67CEDCD6"/>
    <w:rsid w:val="67E6170C"/>
    <w:rsid w:val="67ED1BBE"/>
    <w:rsid w:val="67ED7463"/>
    <w:rsid w:val="67FD51CC"/>
    <w:rsid w:val="680D0CA5"/>
    <w:rsid w:val="684D7F02"/>
    <w:rsid w:val="686C7F9F"/>
    <w:rsid w:val="68A45648"/>
    <w:rsid w:val="68A5668C"/>
    <w:rsid w:val="68BD44C2"/>
    <w:rsid w:val="68D27297"/>
    <w:rsid w:val="68F42855"/>
    <w:rsid w:val="6911241F"/>
    <w:rsid w:val="6922138F"/>
    <w:rsid w:val="69232A11"/>
    <w:rsid w:val="69586B5E"/>
    <w:rsid w:val="69B55D5F"/>
    <w:rsid w:val="69B67115"/>
    <w:rsid w:val="69B82DF4"/>
    <w:rsid w:val="69EF53B4"/>
    <w:rsid w:val="69FB8724"/>
    <w:rsid w:val="6A126DD2"/>
    <w:rsid w:val="6A2B4273"/>
    <w:rsid w:val="6A3D3FA6"/>
    <w:rsid w:val="6A420E56"/>
    <w:rsid w:val="6A924E32"/>
    <w:rsid w:val="6A94008C"/>
    <w:rsid w:val="6AC635A8"/>
    <w:rsid w:val="6AC83B0F"/>
    <w:rsid w:val="6AE60947"/>
    <w:rsid w:val="6AEB2722"/>
    <w:rsid w:val="6AEF6EB8"/>
    <w:rsid w:val="6AFB7996"/>
    <w:rsid w:val="6AFD0629"/>
    <w:rsid w:val="6B0B374F"/>
    <w:rsid w:val="6B0E6D92"/>
    <w:rsid w:val="6B17074E"/>
    <w:rsid w:val="6B1F0CCB"/>
    <w:rsid w:val="6B285847"/>
    <w:rsid w:val="6B541A99"/>
    <w:rsid w:val="6B5F1CFB"/>
    <w:rsid w:val="6B6234E5"/>
    <w:rsid w:val="6B711708"/>
    <w:rsid w:val="6B980A95"/>
    <w:rsid w:val="6BA67A32"/>
    <w:rsid w:val="6BBD11F5"/>
    <w:rsid w:val="6BCE1834"/>
    <w:rsid w:val="6BD12800"/>
    <w:rsid w:val="6BF44877"/>
    <w:rsid w:val="6C022DB1"/>
    <w:rsid w:val="6C172034"/>
    <w:rsid w:val="6C1B1096"/>
    <w:rsid w:val="6C5E02FC"/>
    <w:rsid w:val="6C611966"/>
    <w:rsid w:val="6C721812"/>
    <w:rsid w:val="6C8B0F52"/>
    <w:rsid w:val="6CA63155"/>
    <w:rsid w:val="6CC73E80"/>
    <w:rsid w:val="6CDD0DD0"/>
    <w:rsid w:val="6CFA7DB1"/>
    <w:rsid w:val="6D0127E4"/>
    <w:rsid w:val="6D135E16"/>
    <w:rsid w:val="6D1C168A"/>
    <w:rsid w:val="6D2154B9"/>
    <w:rsid w:val="6D347A31"/>
    <w:rsid w:val="6D3668DD"/>
    <w:rsid w:val="6D471CAB"/>
    <w:rsid w:val="6D70425D"/>
    <w:rsid w:val="6D986796"/>
    <w:rsid w:val="6DAC0977"/>
    <w:rsid w:val="6DB941BD"/>
    <w:rsid w:val="6DC60F63"/>
    <w:rsid w:val="6DED6545"/>
    <w:rsid w:val="6DF11063"/>
    <w:rsid w:val="6E3B32BE"/>
    <w:rsid w:val="6E4C770B"/>
    <w:rsid w:val="6E5F1098"/>
    <w:rsid w:val="6E6F2793"/>
    <w:rsid w:val="6E703D8E"/>
    <w:rsid w:val="6E7F1EDE"/>
    <w:rsid w:val="6E84323D"/>
    <w:rsid w:val="6E942A76"/>
    <w:rsid w:val="6EA41FA2"/>
    <w:rsid w:val="6EB44AD4"/>
    <w:rsid w:val="6EBA69C8"/>
    <w:rsid w:val="6F2463D6"/>
    <w:rsid w:val="6F265009"/>
    <w:rsid w:val="6F313FE8"/>
    <w:rsid w:val="6F381CAC"/>
    <w:rsid w:val="6F6128C1"/>
    <w:rsid w:val="6F723264"/>
    <w:rsid w:val="6F9C6902"/>
    <w:rsid w:val="6F9E6156"/>
    <w:rsid w:val="6FA06B69"/>
    <w:rsid w:val="6FA0729C"/>
    <w:rsid w:val="6FBF6C0D"/>
    <w:rsid w:val="6FFB3E16"/>
    <w:rsid w:val="70100CA2"/>
    <w:rsid w:val="70393572"/>
    <w:rsid w:val="706E27A1"/>
    <w:rsid w:val="706F0977"/>
    <w:rsid w:val="707263F3"/>
    <w:rsid w:val="70880108"/>
    <w:rsid w:val="70A13280"/>
    <w:rsid w:val="70A24D48"/>
    <w:rsid w:val="70B07280"/>
    <w:rsid w:val="70BA64EF"/>
    <w:rsid w:val="70C42D2B"/>
    <w:rsid w:val="70C900DF"/>
    <w:rsid w:val="70EFD498"/>
    <w:rsid w:val="70F80524"/>
    <w:rsid w:val="710A2419"/>
    <w:rsid w:val="710E65A0"/>
    <w:rsid w:val="71326D32"/>
    <w:rsid w:val="71347EB1"/>
    <w:rsid w:val="71451751"/>
    <w:rsid w:val="71453598"/>
    <w:rsid w:val="714C2CD0"/>
    <w:rsid w:val="715A596A"/>
    <w:rsid w:val="717C247D"/>
    <w:rsid w:val="717F26E4"/>
    <w:rsid w:val="71816B8E"/>
    <w:rsid w:val="71832D29"/>
    <w:rsid w:val="71907818"/>
    <w:rsid w:val="719B609A"/>
    <w:rsid w:val="71B252F9"/>
    <w:rsid w:val="71DE7E1D"/>
    <w:rsid w:val="71E95916"/>
    <w:rsid w:val="71EB1F0E"/>
    <w:rsid w:val="7203413E"/>
    <w:rsid w:val="72191ED0"/>
    <w:rsid w:val="721C3014"/>
    <w:rsid w:val="721D0BFB"/>
    <w:rsid w:val="7250588C"/>
    <w:rsid w:val="726F5278"/>
    <w:rsid w:val="727E786A"/>
    <w:rsid w:val="72887FD4"/>
    <w:rsid w:val="72BD0544"/>
    <w:rsid w:val="72C0472D"/>
    <w:rsid w:val="72CB03A1"/>
    <w:rsid w:val="72D11D5C"/>
    <w:rsid w:val="72DC3720"/>
    <w:rsid w:val="72DC4121"/>
    <w:rsid w:val="72E4193A"/>
    <w:rsid w:val="72E85DAD"/>
    <w:rsid w:val="73133AF6"/>
    <w:rsid w:val="732303D9"/>
    <w:rsid w:val="7344428A"/>
    <w:rsid w:val="734979C3"/>
    <w:rsid w:val="73532CC9"/>
    <w:rsid w:val="735C549D"/>
    <w:rsid w:val="736F7373"/>
    <w:rsid w:val="738F6C61"/>
    <w:rsid w:val="7392343A"/>
    <w:rsid w:val="73B060B2"/>
    <w:rsid w:val="73D223F2"/>
    <w:rsid w:val="73D73D11"/>
    <w:rsid w:val="73E95EE8"/>
    <w:rsid w:val="744975DD"/>
    <w:rsid w:val="74610332"/>
    <w:rsid w:val="746920A5"/>
    <w:rsid w:val="749C24F1"/>
    <w:rsid w:val="74AD6F4A"/>
    <w:rsid w:val="74AE06FF"/>
    <w:rsid w:val="74CB1EDB"/>
    <w:rsid w:val="74DE73F5"/>
    <w:rsid w:val="750E239F"/>
    <w:rsid w:val="7517095A"/>
    <w:rsid w:val="751E77AF"/>
    <w:rsid w:val="75474541"/>
    <w:rsid w:val="75702156"/>
    <w:rsid w:val="757A6A57"/>
    <w:rsid w:val="75D07F8B"/>
    <w:rsid w:val="75EE5669"/>
    <w:rsid w:val="763711C0"/>
    <w:rsid w:val="76957051"/>
    <w:rsid w:val="76BD4232"/>
    <w:rsid w:val="76C10199"/>
    <w:rsid w:val="76C57BCB"/>
    <w:rsid w:val="76D474B3"/>
    <w:rsid w:val="76DF91DD"/>
    <w:rsid w:val="76E708BB"/>
    <w:rsid w:val="76EF6DD7"/>
    <w:rsid w:val="76F927CD"/>
    <w:rsid w:val="772F78A5"/>
    <w:rsid w:val="773B2934"/>
    <w:rsid w:val="773E064E"/>
    <w:rsid w:val="774E1211"/>
    <w:rsid w:val="7767181A"/>
    <w:rsid w:val="777B71D8"/>
    <w:rsid w:val="77842F01"/>
    <w:rsid w:val="77A54D53"/>
    <w:rsid w:val="77AB25AD"/>
    <w:rsid w:val="77D75F2B"/>
    <w:rsid w:val="77FC6767"/>
    <w:rsid w:val="781A0BEC"/>
    <w:rsid w:val="78202415"/>
    <w:rsid w:val="78213FC9"/>
    <w:rsid w:val="78572B59"/>
    <w:rsid w:val="786FD340"/>
    <w:rsid w:val="78701D9C"/>
    <w:rsid w:val="78741C81"/>
    <w:rsid w:val="788952CC"/>
    <w:rsid w:val="7899537E"/>
    <w:rsid w:val="78F9F6D3"/>
    <w:rsid w:val="78FA0671"/>
    <w:rsid w:val="79393B8B"/>
    <w:rsid w:val="793A634F"/>
    <w:rsid w:val="795A4F33"/>
    <w:rsid w:val="79785617"/>
    <w:rsid w:val="797A5A56"/>
    <w:rsid w:val="797BA803"/>
    <w:rsid w:val="798635EB"/>
    <w:rsid w:val="79A5750A"/>
    <w:rsid w:val="79CF368F"/>
    <w:rsid w:val="79D476A9"/>
    <w:rsid w:val="79EB2FD6"/>
    <w:rsid w:val="79ECAB6F"/>
    <w:rsid w:val="79ED0DA8"/>
    <w:rsid w:val="7A0C1011"/>
    <w:rsid w:val="7A0E7A81"/>
    <w:rsid w:val="7A17211E"/>
    <w:rsid w:val="7A321CDB"/>
    <w:rsid w:val="7A4B626B"/>
    <w:rsid w:val="7A567B6E"/>
    <w:rsid w:val="7A6E32C8"/>
    <w:rsid w:val="7AA5772A"/>
    <w:rsid w:val="7AB0113D"/>
    <w:rsid w:val="7AC900CF"/>
    <w:rsid w:val="7B052FBD"/>
    <w:rsid w:val="7B2F54B5"/>
    <w:rsid w:val="7B48416D"/>
    <w:rsid w:val="7B5A5A6C"/>
    <w:rsid w:val="7B5C250E"/>
    <w:rsid w:val="7B5C3BBA"/>
    <w:rsid w:val="7B63305F"/>
    <w:rsid w:val="7B6D0F87"/>
    <w:rsid w:val="7B72691F"/>
    <w:rsid w:val="7B783FD8"/>
    <w:rsid w:val="7B9A3DB8"/>
    <w:rsid w:val="7BA113AB"/>
    <w:rsid w:val="7BA67BFD"/>
    <w:rsid w:val="7BAC4AE8"/>
    <w:rsid w:val="7BD52290"/>
    <w:rsid w:val="7BD568A0"/>
    <w:rsid w:val="7BD99402"/>
    <w:rsid w:val="7BE22960"/>
    <w:rsid w:val="7BF20E1E"/>
    <w:rsid w:val="7BFC01F8"/>
    <w:rsid w:val="7BFF6BBF"/>
    <w:rsid w:val="7BFF70BE"/>
    <w:rsid w:val="7C120F4C"/>
    <w:rsid w:val="7C1B29E5"/>
    <w:rsid w:val="7C5728ED"/>
    <w:rsid w:val="7C574A54"/>
    <w:rsid w:val="7C686BCF"/>
    <w:rsid w:val="7C9408F4"/>
    <w:rsid w:val="7CA76EC6"/>
    <w:rsid w:val="7CB83597"/>
    <w:rsid w:val="7CB90CC2"/>
    <w:rsid w:val="7CC752E0"/>
    <w:rsid w:val="7CFB2CE9"/>
    <w:rsid w:val="7CFBCE9D"/>
    <w:rsid w:val="7D0C34C4"/>
    <w:rsid w:val="7D1E71EA"/>
    <w:rsid w:val="7D212CA5"/>
    <w:rsid w:val="7D255EE2"/>
    <w:rsid w:val="7D26D855"/>
    <w:rsid w:val="7D293184"/>
    <w:rsid w:val="7D2B742D"/>
    <w:rsid w:val="7D4B3EE6"/>
    <w:rsid w:val="7D4B572C"/>
    <w:rsid w:val="7D6112EF"/>
    <w:rsid w:val="7D68620F"/>
    <w:rsid w:val="7D69777E"/>
    <w:rsid w:val="7D6FB106"/>
    <w:rsid w:val="7D752C5B"/>
    <w:rsid w:val="7D927DC0"/>
    <w:rsid w:val="7D9F12B2"/>
    <w:rsid w:val="7DB34706"/>
    <w:rsid w:val="7DFE1ABC"/>
    <w:rsid w:val="7E1A0A9F"/>
    <w:rsid w:val="7E2327E1"/>
    <w:rsid w:val="7E3C401A"/>
    <w:rsid w:val="7E641213"/>
    <w:rsid w:val="7E7BB322"/>
    <w:rsid w:val="7EA7EB6C"/>
    <w:rsid w:val="7EAD3628"/>
    <w:rsid w:val="7EB859C9"/>
    <w:rsid w:val="7ECB4935"/>
    <w:rsid w:val="7EE33139"/>
    <w:rsid w:val="7EEBD690"/>
    <w:rsid w:val="7EF34773"/>
    <w:rsid w:val="7EF931C4"/>
    <w:rsid w:val="7F0D08DC"/>
    <w:rsid w:val="7F173D26"/>
    <w:rsid w:val="7F3DC597"/>
    <w:rsid w:val="7F3F51D9"/>
    <w:rsid w:val="7F457705"/>
    <w:rsid w:val="7F567E20"/>
    <w:rsid w:val="7F666017"/>
    <w:rsid w:val="7F6FBE70"/>
    <w:rsid w:val="7F714EE5"/>
    <w:rsid w:val="7F765549"/>
    <w:rsid w:val="7F7F2734"/>
    <w:rsid w:val="7F9B10FB"/>
    <w:rsid w:val="7FA63F96"/>
    <w:rsid w:val="7FB7DF21"/>
    <w:rsid w:val="7FB9287C"/>
    <w:rsid w:val="7FC32F20"/>
    <w:rsid w:val="7FCB2760"/>
    <w:rsid w:val="7FCC47FD"/>
    <w:rsid w:val="7FD31973"/>
    <w:rsid w:val="7FE15B01"/>
    <w:rsid w:val="7FFB1B6E"/>
    <w:rsid w:val="8573C5B4"/>
    <w:rsid w:val="A9F77D42"/>
    <w:rsid w:val="AEFF7266"/>
    <w:rsid w:val="BAF7CE3F"/>
    <w:rsid w:val="C6F5E4F8"/>
    <w:rsid w:val="CDFFBC69"/>
    <w:rsid w:val="DCE705B6"/>
    <w:rsid w:val="DE35E862"/>
    <w:rsid w:val="DF77D5E2"/>
    <w:rsid w:val="DFE64E7C"/>
    <w:rsid w:val="F1FE2398"/>
    <w:rsid w:val="F76F081C"/>
    <w:rsid w:val="F7760AF3"/>
    <w:rsid w:val="F7B3F097"/>
    <w:rsid w:val="F7BF1B7E"/>
    <w:rsid w:val="F7E80245"/>
    <w:rsid w:val="F927801E"/>
    <w:rsid w:val="FA5F277E"/>
    <w:rsid w:val="FB6B5221"/>
    <w:rsid w:val="FBB6A2A8"/>
    <w:rsid w:val="FDDE9CAC"/>
    <w:rsid w:val="FDDF84D4"/>
    <w:rsid w:val="FF4B3213"/>
    <w:rsid w:val="FFCB6B60"/>
    <w:rsid w:val="FFFB35D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2"/>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7"/>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6"/>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91"/>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8"/>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8"/>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80"/>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2"/>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4"/>
    <w:qFormat/>
    <w:uiPriority w:val="99"/>
    <w:pPr>
      <w:spacing w:after="120"/>
    </w:pPr>
    <w:rPr>
      <w:kern w:val="0"/>
      <w:sz w:val="20"/>
    </w:rPr>
  </w:style>
  <w:style w:type="paragraph" w:styleId="11">
    <w:name w:val="toc 7"/>
    <w:basedOn w:val="1"/>
    <w:next w:val="1"/>
    <w:qFormat/>
    <w:uiPriority w:val="39"/>
    <w:pPr>
      <w:ind w:left="1260"/>
      <w:jc w:val="left"/>
    </w:pPr>
    <w:rPr>
      <w:rFonts w:ascii="Calibri" w:hAnsi="Calibri"/>
      <w:sz w:val="18"/>
      <w:szCs w:val="18"/>
    </w:rPr>
  </w:style>
  <w:style w:type="paragraph" w:styleId="12">
    <w:name w:val="table of authorities"/>
    <w:basedOn w:val="1"/>
    <w:next w:val="1"/>
    <w:qFormat/>
    <w:uiPriority w:val="99"/>
    <w:pPr>
      <w:ind w:left="420" w:leftChars="200"/>
    </w:pPr>
  </w:style>
  <w:style w:type="paragraph" w:styleId="13">
    <w:name w:val="Normal Indent"/>
    <w:basedOn w:val="1"/>
    <w:link w:val="68"/>
    <w:qFormat/>
    <w:uiPriority w:val="0"/>
    <w:pPr>
      <w:ind w:firstLine="420" w:firstLineChars="200"/>
    </w:pPr>
  </w:style>
  <w:style w:type="paragraph" w:styleId="14">
    <w:name w:val="Document Map"/>
    <w:basedOn w:val="1"/>
    <w:link w:val="75"/>
    <w:qFormat/>
    <w:uiPriority w:val="0"/>
    <w:pPr>
      <w:shd w:val="clear" w:color="auto" w:fill="000080"/>
    </w:pPr>
    <w:rPr>
      <w:kern w:val="0"/>
      <w:sz w:val="20"/>
    </w:rPr>
  </w:style>
  <w:style w:type="paragraph" w:styleId="15">
    <w:name w:val="annotation text"/>
    <w:basedOn w:val="1"/>
    <w:link w:val="57"/>
    <w:unhideWhenUsed/>
    <w:qFormat/>
    <w:uiPriority w:val="99"/>
    <w:pPr>
      <w:jc w:val="left"/>
    </w:pPr>
    <w:rPr>
      <w:kern w:val="0"/>
      <w:sz w:val="20"/>
    </w:rPr>
  </w:style>
  <w:style w:type="paragraph" w:styleId="16">
    <w:name w:val="Body Text 3"/>
    <w:basedOn w:val="1"/>
    <w:link w:val="61"/>
    <w:qFormat/>
    <w:uiPriority w:val="0"/>
    <w:rPr>
      <w:rFonts w:ascii="宋体"/>
      <w:kern w:val="0"/>
      <w:sz w:val="24"/>
      <w:szCs w:val="20"/>
    </w:rPr>
  </w:style>
  <w:style w:type="paragraph" w:styleId="17">
    <w:name w:val="Body Text Indent"/>
    <w:basedOn w:val="1"/>
    <w:next w:val="1"/>
    <w:link w:val="74"/>
    <w:qFormat/>
    <w:uiPriority w:val="0"/>
    <w:pPr>
      <w:spacing w:after="120"/>
      <w:ind w:left="420" w:leftChars="200"/>
    </w:pPr>
    <w:rPr>
      <w:kern w:val="0"/>
      <w:sz w:val="20"/>
    </w:rPr>
  </w:style>
  <w:style w:type="paragraph" w:styleId="18">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9">
    <w:name w:val="toc 5"/>
    <w:basedOn w:val="1"/>
    <w:next w:val="1"/>
    <w:qFormat/>
    <w:uiPriority w:val="39"/>
    <w:pPr>
      <w:ind w:left="840"/>
      <w:jc w:val="left"/>
    </w:pPr>
    <w:rPr>
      <w:rFonts w:ascii="Calibri" w:hAnsi="Calibri"/>
      <w:sz w:val="18"/>
      <w:szCs w:val="18"/>
    </w:rPr>
  </w:style>
  <w:style w:type="paragraph" w:styleId="20">
    <w:name w:val="toc 3"/>
    <w:basedOn w:val="1"/>
    <w:next w:val="1"/>
    <w:qFormat/>
    <w:uiPriority w:val="39"/>
    <w:pPr>
      <w:ind w:left="420"/>
      <w:jc w:val="left"/>
    </w:pPr>
    <w:rPr>
      <w:rFonts w:ascii="Calibri" w:hAnsi="Calibri"/>
      <w:i/>
      <w:iCs/>
      <w:sz w:val="20"/>
      <w:szCs w:val="20"/>
    </w:rPr>
  </w:style>
  <w:style w:type="paragraph" w:styleId="21">
    <w:name w:val="Plain Text"/>
    <w:basedOn w:val="1"/>
    <w:link w:val="97"/>
    <w:qFormat/>
    <w:uiPriority w:val="99"/>
    <w:rPr>
      <w:rFonts w:ascii="Courier New" w:hAnsi="Courier New"/>
      <w:kern w:val="0"/>
      <w:sz w:val="20"/>
      <w:szCs w:val="20"/>
    </w:rPr>
  </w:style>
  <w:style w:type="paragraph" w:styleId="22">
    <w:name w:val="toc 8"/>
    <w:basedOn w:val="1"/>
    <w:next w:val="1"/>
    <w:qFormat/>
    <w:uiPriority w:val="39"/>
    <w:pPr>
      <w:ind w:left="1470"/>
      <w:jc w:val="left"/>
    </w:pPr>
    <w:rPr>
      <w:rFonts w:ascii="Calibri" w:hAnsi="Calibri"/>
      <w:sz w:val="18"/>
      <w:szCs w:val="18"/>
    </w:rPr>
  </w:style>
  <w:style w:type="paragraph" w:styleId="23">
    <w:name w:val="Date"/>
    <w:basedOn w:val="1"/>
    <w:next w:val="1"/>
    <w:link w:val="81"/>
    <w:qFormat/>
    <w:uiPriority w:val="0"/>
    <w:rPr>
      <w:kern w:val="0"/>
      <w:sz w:val="24"/>
      <w:szCs w:val="20"/>
    </w:rPr>
  </w:style>
  <w:style w:type="paragraph" w:styleId="24">
    <w:name w:val="Body Text Indent 2"/>
    <w:basedOn w:val="1"/>
    <w:qFormat/>
    <w:uiPriority w:val="0"/>
    <w:pPr>
      <w:spacing w:after="120" w:line="480" w:lineRule="auto"/>
      <w:ind w:left="420" w:leftChars="200"/>
    </w:pPr>
  </w:style>
  <w:style w:type="paragraph" w:styleId="25">
    <w:name w:val="Balloon Text"/>
    <w:basedOn w:val="1"/>
    <w:link w:val="79"/>
    <w:qFormat/>
    <w:uiPriority w:val="0"/>
    <w:rPr>
      <w:kern w:val="0"/>
      <w:sz w:val="18"/>
      <w:szCs w:val="18"/>
    </w:rPr>
  </w:style>
  <w:style w:type="paragraph" w:styleId="26">
    <w:name w:val="footer"/>
    <w:basedOn w:val="1"/>
    <w:link w:val="93"/>
    <w:qFormat/>
    <w:uiPriority w:val="99"/>
    <w:pPr>
      <w:tabs>
        <w:tab w:val="center" w:pos="4153"/>
        <w:tab w:val="right" w:pos="8306"/>
      </w:tabs>
      <w:snapToGrid w:val="0"/>
      <w:jc w:val="left"/>
    </w:pPr>
    <w:rPr>
      <w:kern w:val="0"/>
      <w:sz w:val="18"/>
      <w:szCs w:val="18"/>
    </w:rPr>
  </w:style>
  <w:style w:type="paragraph" w:styleId="27">
    <w:name w:val="header"/>
    <w:basedOn w:val="1"/>
    <w:link w:val="71"/>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qFormat/>
    <w:uiPriority w:val="39"/>
    <w:pPr>
      <w:spacing w:before="120" w:after="120"/>
      <w:jc w:val="left"/>
    </w:pPr>
    <w:rPr>
      <w:rFonts w:ascii="Calibri" w:hAnsi="Calibri"/>
      <w:b/>
      <w:bCs/>
      <w:caps/>
      <w:sz w:val="20"/>
      <w:szCs w:val="20"/>
    </w:rPr>
  </w:style>
  <w:style w:type="paragraph" w:styleId="29">
    <w:name w:val="toc 4"/>
    <w:basedOn w:val="1"/>
    <w:next w:val="1"/>
    <w:qFormat/>
    <w:uiPriority w:val="39"/>
    <w:pPr>
      <w:ind w:left="630"/>
      <w:jc w:val="left"/>
    </w:pPr>
    <w:rPr>
      <w:rFonts w:ascii="Calibri" w:hAnsi="Calibri"/>
      <w:sz w:val="18"/>
      <w:szCs w:val="18"/>
    </w:rPr>
  </w:style>
  <w:style w:type="paragraph" w:styleId="30">
    <w:name w:val="footnote text"/>
    <w:basedOn w:val="1"/>
    <w:link w:val="65"/>
    <w:qFormat/>
    <w:uiPriority w:val="0"/>
    <w:rPr>
      <w:kern w:val="0"/>
      <w:sz w:val="20"/>
      <w:szCs w:val="20"/>
    </w:rPr>
  </w:style>
  <w:style w:type="paragraph" w:styleId="31">
    <w:name w:val="toc 6"/>
    <w:basedOn w:val="1"/>
    <w:next w:val="1"/>
    <w:qFormat/>
    <w:uiPriority w:val="39"/>
    <w:pPr>
      <w:ind w:left="1050"/>
      <w:jc w:val="left"/>
    </w:pPr>
    <w:rPr>
      <w:rFonts w:ascii="Calibri" w:hAnsi="Calibri"/>
      <w:sz w:val="18"/>
      <w:szCs w:val="18"/>
    </w:rPr>
  </w:style>
  <w:style w:type="paragraph" w:styleId="32">
    <w:name w:val="Body Text Indent 3"/>
    <w:basedOn w:val="1"/>
    <w:link w:val="85"/>
    <w:qFormat/>
    <w:uiPriority w:val="0"/>
    <w:pPr>
      <w:spacing w:after="120"/>
      <w:ind w:left="420" w:leftChars="200"/>
    </w:pPr>
    <w:rPr>
      <w:kern w:val="0"/>
      <w:sz w:val="16"/>
      <w:szCs w:val="16"/>
    </w:rPr>
  </w:style>
  <w:style w:type="paragraph" w:styleId="33">
    <w:name w:val="table of figures"/>
    <w:basedOn w:val="1"/>
    <w:next w:val="1"/>
    <w:qFormat/>
    <w:uiPriority w:val="0"/>
    <w:pPr>
      <w:ind w:left="200" w:leftChars="200" w:hanging="200" w:hangingChars="200"/>
    </w:p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HTML Preformatted"/>
    <w:basedOn w:val="1"/>
    <w:link w:val="9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8"/>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5"/>
    <w:next w:val="15"/>
    <w:link w:val="67"/>
    <w:qFormat/>
    <w:uiPriority w:val="0"/>
    <w:rPr>
      <w:b/>
      <w:bCs/>
    </w:rPr>
  </w:style>
  <w:style w:type="paragraph" w:styleId="41">
    <w:name w:val="Body Text First Indent"/>
    <w:basedOn w:val="2"/>
    <w:qFormat/>
    <w:uiPriority w:val="0"/>
    <w:pPr>
      <w:adjustRightInd w:val="0"/>
      <w:spacing w:line="275" w:lineRule="atLeast"/>
      <w:ind w:firstLine="420"/>
      <w:textAlignment w:val="baseline"/>
    </w:pPr>
    <w:rPr>
      <w:rFonts w:ascii="宋体" w:eastAsia="楷体_GB2312"/>
      <w:sz w:val="24"/>
      <w:szCs w:val="20"/>
    </w:rPr>
  </w:style>
  <w:style w:type="paragraph" w:styleId="42">
    <w:name w:val="Body Text First Indent 2"/>
    <w:basedOn w:val="17"/>
    <w:unhideWhenUsed/>
    <w:qFormat/>
    <w:uiPriority w:val="0"/>
    <w:pPr>
      <w:ind w:firstLine="420"/>
    </w:pPr>
  </w:style>
  <w:style w:type="table" w:styleId="44">
    <w:name w:val="Table Grid"/>
    <w:basedOn w:val="43"/>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qFormat/>
    <w:uiPriority w:val="0"/>
  </w:style>
  <w:style w:type="character" w:styleId="48">
    <w:name w:val="FollowedHyperlink"/>
    <w:basedOn w:val="45"/>
    <w:qFormat/>
    <w:uiPriority w:val="0"/>
    <w:rPr>
      <w:rFonts w:hint="default" w:ascii="Arial" w:hAnsi="Arial" w:eastAsia="Arial" w:cs="Arial"/>
      <w:color w:val="333333"/>
      <w:sz w:val="21"/>
      <w:szCs w:val="21"/>
      <w:u w:val="none"/>
    </w:rPr>
  </w:style>
  <w:style w:type="character" w:styleId="49">
    <w:name w:val="Hyperlink"/>
    <w:basedOn w:val="45"/>
    <w:qFormat/>
    <w:uiPriority w:val="99"/>
    <w:rPr>
      <w:rFonts w:ascii="Arial" w:hAnsi="Arial" w:eastAsia="Arial" w:cs="Arial"/>
      <w:color w:val="333333"/>
      <w:sz w:val="21"/>
      <w:szCs w:val="21"/>
      <w:u w:val="none"/>
    </w:rPr>
  </w:style>
  <w:style w:type="character" w:styleId="50">
    <w:name w:val="annotation reference"/>
    <w:qFormat/>
    <w:uiPriority w:val="0"/>
    <w:rPr>
      <w:sz w:val="21"/>
      <w:szCs w:val="21"/>
    </w:rPr>
  </w:style>
  <w:style w:type="character" w:styleId="51">
    <w:name w:val="footnote reference"/>
    <w:qFormat/>
    <w:uiPriority w:val="0"/>
    <w:rPr>
      <w:vertAlign w:val="superscript"/>
    </w:rPr>
  </w:style>
  <w:style w:type="character" w:customStyle="1" w:styleId="52">
    <w:name w:val="apple-style-span"/>
    <w:qFormat/>
    <w:uiPriority w:val="0"/>
    <w:rPr>
      <w:rFonts w:ascii="Verdana" w:hAnsi="Verdana" w:eastAsia="宋体"/>
      <w:sz w:val="21"/>
      <w:lang w:val="en-US" w:eastAsia="en-US" w:bidi="ar-SA"/>
    </w:rPr>
  </w:style>
  <w:style w:type="character" w:customStyle="1" w:styleId="53">
    <w:name w:val="正文文本 3 Char1"/>
    <w:semiHidden/>
    <w:qFormat/>
    <w:uiPriority w:val="99"/>
    <w:rPr>
      <w:rFonts w:ascii="Times New Roman" w:hAnsi="Times New Roman" w:eastAsia="宋体" w:cs="Times New Roman"/>
      <w:sz w:val="16"/>
      <w:szCs w:val="16"/>
    </w:rPr>
  </w:style>
  <w:style w:type="character" w:customStyle="1" w:styleId="54">
    <w:name w:val="样式 宋体"/>
    <w:qFormat/>
    <w:uiPriority w:val="0"/>
    <w:rPr>
      <w:rFonts w:ascii="Times New Roman" w:hAnsi="Times New Roman" w:eastAsia="宋体"/>
      <w:sz w:val="21"/>
    </w:rPr>
  </w:style>
  <w:style w:type="character" w:customStyle="1" w:styleId="55">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6">
    <w:name w:val="标题 3 字符"/>
    <w:link w:val="5"/>
    <w:qFormat/>
    <w:uiPriority w:val="0"/>
    <w:rPr>
      <w:rFonts w:ascii="Times New Roman" w:hAnsi="Times New Roman" w:eastAsia="宋体" w:cs="Times New Roman"/>
      <w:b/>
      <w:bCs/>
      <w:sz w:val="32"/>
      <w:szCs w:val="32"/>
    </w:rPr>
  </w:style>
  <w:style w:type="character" w:customStyle="1" w:styleId="57">
    <w:name w:val="批注文字 字符"/>
    <w:link w:val="15"/>
    <w:qFormat/>
    <w:uiPriority w:val="99"/>
    <w:rPr>
      <w:rFonts w:ascii="Times New Roman" w:hAnsi="Times New Roman" w:eastAsia="宋体" w:cs="Times New Roman"/>
      <w:szCs w:val="24"/>
    </w:rPr>
  </w:style>
  <w:style w:type="character" w:customStyle="1" w:styleId="58">
    <w:name w:val="标题 6 字符"/>
    <w:link w:val="7"/>
    <w:qFormat/>
    <w:uiPriority w:val="0"/>
    <w:rPr>
      <w:rFonts w:ascii="Arial" w:hAnsi="Arial" w:eastAsia="黑体" w:cs="Times New Roman"/>
      <w:b/>
      <w:bCs/>
      <w:kern w:val="0"/>
      <w:sz w:val="24"/>
      <w:szCs w:val="24"/>
    </w:rPr>
  </w:style>
  <w:style w:type="character" w:customStyle="1" w:styleId="59">
    <w:name w:val="Char Char8"/>
    <w:qFormat/>
    <w:uiPriority w:val="0"/>
    <w:rPr>
      <w:rFonts w:ascii="Arial" w:hAnsi="Arial" w:eastAsia="黑体"/>
      <w:b/>
      <w:bCs/>
      <w:kern w:val="2"/>
      <w:sz w:val="32"/>
      <w:szCs w:val="32"/>
      <w:lang w:val="en-US" w:eastAsia="zh-CN" w:bidi="ar-SA"/>
    </w:rPr>
  </w:style>
  <w:style w:type="character" w:customStyle="1" w:styleId="60">
    <w:name w:val="脚注文本 Char1"/>
    <w:semiHidden/>
    <w:qFormat/>
    <w:uiPriority w:val="99"/>
    <w:rPr>
      <w:rFonts w:ascii="Times New Roman" w:hAnsi="Times New Roman" w:eastAsia="宋体" w:cs="Times New Roman"/>
      <w:sz w:val="18"/>
      <w:szCs w:val="18"/>
    </w:rPr>
  </w:style>
  <w:style w:type="character" w:customStyle="1" w:styleId="61">
    <w:name w:val="正文文本 3 字符"/>
    <w:link w:val="16"/>
    <w:qFormat/>
    <w:uiPriority w:val="0"/>
    <w:rPr>
      <w:rFonts w:ascii="宋体"/>
      <w:sz w:val="24"/>
    </w:rPr>
  </w:style>
  <w:style w:type="character" w:customStyle="1" w:styleId="62">
    <w:name w:val="页脚 Char1"/>
    <w:semiHidden/>
    <w:qFormat/>
    <w:uiPriority w:val="99"/>
    <w:rPr>
      <w:rFonts w:ascii="Times New Roman" w:hAnsi="Times New Roman" w:eastAsia="宋体" w:cs="Times New Roman"/>
      <w:sz w:val="18"/>
      <w:szCs w:val="18"/>
    </w:rPr>
  </w:style>
  <w:style w:type="character" w:customStyle="1" w:styleId="63">
    <w:name w:val="标题 Char1"/>
    <w:qFormat/>
    <w:uiPriority w:val="10"/>
    <w:rPr>
      <w:rFonts w:ascii="Calibri Light" w:hAnsi="Calibri Light" w:eastAsia="宋体" w:cs="Times New Roman"/>
      <w:b/>
      <w:bCs/>
      <w:sz w:val="32"/>
      <w:szCs w:val="32"/>
    </w:rPr>
  </w:style>
  <w:style w:type="character" w:customStyle="1" w:styleId="64">
    <w:name w:val="正文文本 字符"/>
    <w:link w:val="2"/>
    <w:qFormat/>
    <w:uiPriority w:val="99"/>
    <w:rPr>
      <w:rFonts w:eastAsia="宋体"/>
      <w:szCs w:val="24"/>
    </w:rPr>
  </w:style>
  <w:style w:type="character" w:customStyle="1" w:styleId="65">
    <w:name w:val="脚注文本 字符"/>
    <w:link w:val="30"/>
    <w:qFormat/>
    <w:uiPriority w:val="0"/>
    <w:rPr>
      <w:rFonts w:eastAsia="宋体"/>
    </w:rPr>
  </w:style>
  <w:style w:type="character" w:customStyle="1" w:styleId="66">
    <w:name w:val="纯文本 Char1"/>
    <w:semiHidden/>
    <w:qFormat/>
    <w:uiPriority w:val="99"/>
    <w:rPr>
      <w:rFonts w:ascii="宋体" w:hAnsi="Courier New" w:eastAsia="宋体" w:cs="Courier New"/>
      <w:szCs w:val="21"/>
    </w:rPr>
  </w:style>
  <w:style w:type="character" w:customStyle="1" w:styleId="67">
    <w:name w:val="批注主题 字符"/>
    <w:link w:val="40"/>
    <w:qFormat/>
    <w:uiPriority w:val="0"/>
    <w:rPr>
      <w:rFonts w:ascii="Times New Roman" w:hAnsi="Times New Roman" w:eastAsia="宋体" w:cs="Times New Roman"/>
      <w:b/>
      <w:bCs/>
      <w:szCs w:val="24"/>
    </w:rPr>
  </w:style>
  <w:style w:type="character" w:customStyle="1" w:styleId="68">
    <w:name w:val="正文缩进 字符"/>
    <w:link w:val="13"/>
    <w:qFormat/>
    <w:locked/>
    <w:uiPriority w:val="0"/>
    <w:rPr>
      <w:kern w:val="2"/>
      <w:sz w:val="21"/>
      <w:szCs w:val="24"/>
    </w:rPr>
  </w:style>
  <w:style w:type="character" w:customStyle="1" w:styleId="69">
    <w:name w:val="font11"/>
    <w:qFormat/>
    <w:uiPriority w:val="0"/>
    <w:rPr>
      <w:rFonts w:hint="default" w:ascii="Times New Roman" w:hAnsi="Times New Roman" w:cs="Times New Roman"/>
      <w:color w:val="000000"/>
      <w:sz w:val="22"/>
      <w:szCs w:val="22"/>
      <w:u w:val="none"/>
    </w:rPr>
  </w:style>
  <w:style w:type="character" w:customStyle="1" w:styleId="70">
    <w:name w:val="font01"/>
    <w:qFormat/>
    <w:uiPriority w:val="0"/>
    <w:rPr>
      <w:rFonts w:hint="eastAsia" w:ascii="宋体" w:hAnsi="宋体" w:eastAsia="宋体" w:cs="宋体"/>
      <w:color w:val="000000"/>
      <w:sz w:val="22"/>
      <w:szCs w:val="22"/>
      <w:u w:val="none"/>
    </w:rPr>
  </w:style>
  <w:style w:type="character" w:customStyle="1" w:styleId="71">
    <w:name w:val="页眉 字符"/>
    <w:link w:val="27"/>
    <w:qFormat/>
    <w:uiPriority w:val="0"/>
    <w:rPr>
      <w:rFonts w:ascii="Times New Roman" w:hAnsi="Times New Roman" w:eastAsia="宋体" w:cs="Times New Roman"/>
      <w:sz w:val="18"/>
      <w:szCs w:val="18"/>
    </w:rPr>
  </w:style>
  <w:style w:type="character" w:customStyle="1" w:styleId="72">
    <w:name w:val="标题 9 字符"/>
    <w:link w:val="10"/>
    <w:qFormat/>
    <w:uiPriority w:val="0"/>
    <w:rPr>
      <w:rFonts w:ascii="Arial" w:hAnsi="Arial" w:eastAsia="黑体" w:cs="Times New Roman"/>
      <w:kern w:val="0"/>
      <w:szCs w:val="21"/>
    </w:rPr>
  </w:style>
  <w:style w:type="character" w:customStyle="1" w:styleId="73">
    <w:name w:val="标题 2 Char1"/>
    <w:qFormat/>
    <w:uiPriority w:val="0"/>
    <w:rPr>
      <w:rFonts w:ascii="Arial" w:hAnsi="Arial" w:eastAsia="黑体" w:cs="Times New Roman"/>
      <w:b/>
      <w:bCs/>
      <w:sz w:val="32"/>
      <w:szCs w:val="32"/>
      <w:lang w:val="en-US" w:eastAsia="en-US" w:bidi="ar-SA"/>
    </w:rPr>
  </w:style>
  <w:style w:type="character" w:customStyle="1" w:styleId="74">
    <w:name w:val="正文文本缩进 字符"/>
    <w:link w:val="17"/>
    <w:qFormat/>
    <w:uiPriority w:val="0"/>
    <w:rPr>
      <w:szCs w:val="24"/>
    </w:rPr>
  </w:style>
  <w:style w:type="character" w:customStyle="1" w:styleId="75">
    <w:name w:val="文档结构图 字符"/>
    <w:link w:val="14"/>
    <w:qFormat/>
    <w:uiPriority w:val="0"/>
    <w:rPr>
      <w:rFonts w:ascii="Times New Roman" w:hAnsi="Times New Roman" w:eastAsia="宋体" w:cs="Times New Roman"/>
      <w:szCs w:val="24"/>
      <w:shd w:val="clear" w:color="auto" w:fill="000080"/>
    </w:rPr>
  </w:style>
  <w:style w:type="character" w:customStyle="1" w:styleId="76">
    <w:name w:val="font161"/>
    <w:qFormat/>
    <w:uiPriority w:val="0"/>
    <w:rPr>
      <w:b/>
      <w:bCs/>
      <w:sz w:val="32"/>
      <w:szCs w:val="32"/>
    </w:rPr>
  </w:style>
  <w:style w:type="character" w:customStyle="1" w:styleId="77">
    <w:name w:val="标题 2 字符"/>
    <w:link w:val="4"/>
    <w:qFormat/>
    <w:uiPriority w:val="0"/>
    <w:rPr>
      <w:rFonts w:ascii="Arial" w:hAnsi="Arial" w:eastAsia="黑体" w:cs="Times New Roman"/>
      <w:b/>
      <w:bCs/>
      <w:sz w:val="32"/>
      <w:szCs w:val="32"/>
    </w:rPr>
  </w:style>
  <w:style w:type="character" w:customStyle="1" w:styleId="78">
    <w:name w:val="标题 字符"/>
    <w:link w:val="39"/>
    <w:qFormat/>
    <w:uiPriority w:val="0"/>
    <w:rPr>
      <w:rFonts w:ascii="Arial" w:hAnsi="Arial"/>
      <w:b/>
      <w:sz w:val="32"/>
    </w:rPr>
  </w:style>
  <w:style w:type="character" w:customStyle="1" w:styleId="79">
    <w:name w:val="批注框文本 字符"/>
    <w:link w:val="25"/>
    <w:qFormat/>
    <w:uiPriority w:val="0"/>
    <w:rPr>
      <w:rFonts w:ascii="Times New Roman" w:hAnsi="Times New Roman" w:eastAsia="宋体" w:cs="Times New Roman"/>
      <w:sz w:val="18"/>
      <w:szCs w:val="18"/>
    </w:rPr>
  </w:style>
  <w:style w:type="character" w:customStyle="1" w:styleId="80">
    <w:name w:val="标题 8 字符"/>
    <w:link w:val="9"/>
    <w:qFormat/>
    <w:uiPriority w:val="0"/>
    <w:rPr>
      <w:rFonts w:ascii="Arial" w:hAnsi="Arial" w:eastAsia="黑体" w:cs="Times New Roman"/>
      <w:kern w:val="0"/>
      <w:sz w:val="24"/>
      <w:szCs w:val="24"/>
    </w:rPr>
  </w:style>
  <w:style w:type="character" w:customStyle="1" w:styleId="81">
    <w:name w:val="日期 字符"/>
    <w:link w:val="23"/>
    <w:qFormat/>
    <w:uiPriority w:val="0"/>
    <w:rPr>
      <w:rFonts w:ascii="Times New Roman" w:hAnsi="Times New Roman" w:eastAsia="宋体" w:cs="Times New Roman"/>
      <w:sz w:val="24"/>
      <w:szCs w:val="20"/>
    </w:rPr>
  </w:style>
  <w:style w:type="character" w:customStyle="1" w:styleId="82">
    <w:name w:val="标题 1 字符"/>
    <w:link w:val="3"/>
    <w:qFormat/>
    <w:uiPriority w:val="0"/>
    <w:rPr>
      <w:rFonts w:ascii="Times New Roman" w:hAnsi="Times New Roman" w:eastAsia="宋体" w:cs="Times New Roman"/>
      <w:b/>
      <w:bCs/>
      <w:kern w:val="44"/>
      <w:sz w:val="44"/>
      <w:szCs w:val="44"/>
    </w:rPr>
  </w:style>
  <w:style w:type="character" w:customStyle="1" w:styleId="83">
    <w:name w:val="招标节 Char"/>
    <w:link w:val="84"/>
    <w:qFormat/>
    <w:locked/>
    <w:uiPriority w:val="0"/>
    <w:rPr>
      <w:b/>
      <w:sz w:val="24"/>
      <w:szCs w:val="24"/>
    </w:rPr>
  </w:style>
  <w:style w:type="paragraph" w:customStyle="1" w:styleId="84">
    <w:name w:val="招标节"/>
    <w:basedOn w:val="1"/>
    <w:next w:val="1"/>
    <w:link w:val="83"/>
    <w:qFormat/>
    <w:uiPriority w:val="0"/>
    <w:pPr>
      <w:spacing w:beforeLines="50" w:afterLines="50"/>
      <w:outlineLvl w:val="1"/>
    </w:pPr>
    <w:rPr>
      <w:b/>
      <w:kern w:val="0"/>
      <w:sz w:val="24"/>
    </w:rPr>
  </w:style>
  <w:style w:type="character" w:customStyle="1" w:styleId="85">
    <w:name w:val="正文文本缩进 3 字符"/>
    <w:link w:val="32"/>
    <w:qFormat/>
    <w:uiPriority w:val="0"/>
    <w:rPr>
      <w:rFonts w:ascii="Times New Roman" w:hAnsi="Times New Roman" w:eastAsia="宋体" w:cs="Times New Roman"/>
      <w:sz w:val="16"/>
      <w:szCs w:val="16"/>
    </w:rPr>
  </w:style>
  <w:style w:type="character" w:customStyle="1" w:styleId="86">
    <w:name w:val="tpc_content1"/>
    <w:qFormat/>
    <w:uiPriority w:val="0"/>
    <w:rPr>
      <w:sz w:val="20"/>
      <w:szCs w:val="20"/>
    </w:rPr>
  </w:style>
  <w:style w:type="character" w:customStyle="1" w:styleId="87">
    <w:name w:val="Char Char"/>
    <w:qFormat/>
    <w:uiPriority w:val="0"/>
    <w:rPr>
      <w:rFonts w:ascii="Arial" w:hAnsi="Arial" w:eastAsia="黑体"/>
      <w:b/>
      <w:bCs/>
      <w:kern w:val="2"/>
      <w:sz w:val="32"/>
      <w:szCs w:val="32"/>
      <w:lang w:val="en-US" w:eastAsia="zh-CN" w:bidi="ar-SA"/>
    </w:rPr>
  </w:style>
  <w:style w:type="character" w:customStyle="1" w:styleId="88">
    <w:name w:val="正文文本 Char1"/>
    <w:semiHidden/>
    <w:qFormat/>
    <w:uiPriority w:val="99"/>
    <w:rPr>
      <w:rFonts w:ascii="Times New Roman" w:hAnsi="Times New Roman" w:eastAsia="宋体" w:cs="Times New Roman"/>
      <w:szCs w:val="24"/>
    </w:rPr>
  </w:style>
  <w:style w:type="character" w:customStyle="1" w:styleId="89">
    <w:name w:val="Char Char2"/>
    <w:qFormat/>
    <w:uiPriority w:val="0"/>
    <w:rPr>
      <w:rFonts w:eastAsia="宋体"/>
      <w:kern w:val="2"/>
      <w:sz w:val="21"/>
      <w:szCs w:val="24"/>
      <w:lang w:val="en-US" w:eastAsia="zh-CN" w:bidi="ar-SA"/>
    </w:rPr>
  </w:style>
  <w:style w:type="character" w:customStyle="1" w:styleId="90">
    <w:name w:val="apple-converted-space"/>
    <w:qFormat/>
    <w:uiPriority w:val="0"/>
  </w:style>
  <w:style w:type="character" w:customStyle="1" w:styleId="91">
    <w:name w:val="标题 4 字符"/>
    <w:link w:val="6"/>
    <w:qFormat/>
    <w:uiPriority w:val="0"/>
    <w:rPr>
      <w:rFonts w:ascii="Arial" w:hAnsi="Arial" w:eastAsia="黑体" w:cs="Times New Roman"/>
      <w:b/>
      <w:bCs/>
      <w:sz w:val="28"/>
      <w:szCs w:val="28"/>
    </w:rPr>
  </w:style>
  <w:style w:type="character" w:customStyle="1" w:styleId="92">
    <w:name w:val="正文文本缩进 Char1"/>
    <w:semiHidden/>
    <w:qFormat/>
    <w:uiPriority w:val="99"/>
    <w:rPr>
      <w:rFonts w:ascii="Times New Roman" w:hAnsi="Times New Roman" w:eastAsia="宋体" w:cs="Times New Roman"/>
      <w:szCs w:val="24"/>
    </w:rPr>
  </w:style>
  <w:style w:type="character" w:customStyle="1" w:styleId="93">
    <w:name w:val="页脚 字符"/>
    <w:link w:val="26"/>
    <w:qFormat/>
    <w:uiPriority w:val="99"/>
    <w:rPr>
      <w:sz w:val="18"/>
      <w:szCs w:val="18"/>
    </w:rPr>
  </w:style>
  <w:style w:type="character" w:customStyle="1" w:styleId="94">
    <w:name w:val="Char Char7"/>
    <w:qFormat/>
    <w:uiPriority w:val="0"/>
    <w:rPr>
      <w:rFonts w:ascii="Arial" w:hAnsi="Arial" w:eastAsia="黑体"/>
      <w:b/>
      <w:bCs/>
      <w:kern w:val="2"/>
      <w:sz w:val="32"/>
      <w:szCs w:val="32"/>
      <w:lang w:val="en-US" w:eastAsia="zh-CN" w:bidi="ar-SA"/>
    </w:rPr>
  </w:style>
  <w:style w:type="character" w:customStyle="1" w:styleId="95">
    <w:name w:val="HTML 预设格式 字符"/>
    <w:link w:val="36"/>
    <w:qFormat/>
    <w:uiPriority w:val="0"/>
    <w:rPr>
      <w:rFonts w:ascii="微软雅黑" w:hAnsi="微软雅黑" w:eastAsia="微软雅黑" w:cs="Times New Roman"/>
      <w:kern w:val="0"/>
      <w:sz w:val="24"/>
      <w:szCs w:val="24"/>
    </w:rPr>
  </w:style>
  <w:style w:type="character" w:customStyle="1" w:styleId="96">
    <w:name w:val="批注文字 Char"/>
    <w:qFormat/>
    <w:uiPriority w:val="0"/>
    <w:rPr>
      <w:rFonts w:eastAsia="宋体"/>
      <w:kern w:val="2"/>
      <w:sz w:val="21"/>
      <w:szCs w:val="24"/>
      <w:lang w:val="en-US" w:eastAsia="zh-CN" w:bidi="ar-SA"/>
    </w:rPr>
  </w:style>
  <w:style w:type="character" w:customStyle="1" w:styleId="97">
    <w:name w:val="纯文本 字符"/>
    <w:link w:val="21"/>
    <w:qFormat/>
    <w:uiPriority w:val="99"/>
    <w:rPr>
      <w:rFonts w:ascii="Courier New" w:hAnsi="Courier New"/>
    </w:rPr>
  </w:style>
  <w:style w:type="character" w:customStyle="1" w:styleId="98">
    <w:name w:val="标题 7 字符"/>
    <w:link w:val="8"/>
    <w:qFormat/>
    <w:uiPriority w:val="0"/>
    <w:rPr>
      <w:rFonts w:ascii="Times New Roman" w:hAnsi="Times New Roman" w:eastAsia="宋体" w:cs="Times New Roman"/>
      <w:b/>
      <w:bCs/>
      <w:kern w:val="0"/>
      <w:sz w:val="24"/>
      <w:szCs w:val="24"/>
    </w:rPr>
  </w:style>
  <w:style w:type="paragraph" w:customStyle="1" w:styleId="99">
    <w:name w:val="样式4"/>
    <w:basedOn w:val="5"/>
    <w:qFormat/>
    <w:uiPriority w:val="0"/>
    <w:rPr>
      <w:rFonts w:eastAsia="Arial"/>
    </w:rPr>
  </w:style>
  <w:style w:type="paragraph" w:customStyle="1" w:styleId="100">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font10"/>
    <w:basedOn w:val="1"/>
    <w:qFormat/>
    <w:uiPriority w:val="0"/>
    <w:pPr>
      <w:widowControl/>
      <w:spacing w:before="100" w:beforeAutospacing="1" w:after="100" w:afterAutospacing="1"/>
      <w:jc w:val="left"/>
    </w:pPr>
    <w:rPr>
      <w:kern w:val="0"/>
      <w:sz w:val="28"/>
      <w:szCs w:val="28"/>
    </w:rPr>
  </w:style>
  <w:style w:type="paragraph" w:customStyle="1" w:styleId="103">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样式1"/>
    <w:basedOn w:val="5"/>
    <w:qFormat/>
    <w:uiPriority w:val="0"/>
    <w:rPr>
      <w:rFonts w:eastAsia="Arial"/>
    </w:rPr>
  </w:style>
  <w:style w:type="paragraph" w:customStyle="1" w:styleId="106">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Char"/>
    <w:basedOn w:val="1"/>
    <w:qFormat/>
    <w:uiPriority w:val="0"/>
    <w:pPr>
      <w:tabs>
        <w:tab w:val="left" w:pos="360"/>
      </w:tabs>
    </w:pPr>
    <w:rPr>
      <w:sz w:val="24"/>
    </w:rPr>
  </w:style>
  <w:style w:type="paragraph" w:customStyle="1" w:styleId="109">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表格"/>
    <w:basedOn w:val="1"/>
    <w:qFormat/>
    <w:uiPriority w:val="0"/>
    <w:pPr>
      <w:jc w:val="center"/>
      <w:textAlignment w:val="center"/>
    </w:pPr>
    <w:rPr>
      <w:rFonts w:ascii="华文细黑" w:hAnsi="华文细黑"/>
      <w:kern w:val="0"/>
      <w:szCs w:val="20"/>
    </w:rPr>
  </w:style>
  <w:style w:type="paragraph" w:customStyle="1" w:styleId="111">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5">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列表段落1"/>
    <w:basedOn w:val="1"/>
    <w:qFormat/>
    <w:uiPriority w:val="34"/>
    <w:pPr>
      <w:ind w:firstLine="420" w:firstLineChars="200"/>
    </w:pPr>
    <w:rPr>
      <w:rFonts w:ascii="Calibri" w:hAnsi="Calibri"/>
      <w:szCs w:val="22"/>
    </w:rPr>
  </w:style>
  <w:style w:type="paragraph" w:customStyle="1" w:styleId="12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2">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4">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5">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6">
    <w:name w:val="1"/>
    <w:basedOn w:val="1"/>
    <w:next w:val="1"/>
    <w:qFormat/>
    <w:uiPriority w:val="0"/>
  </w:style>
  <w:style w:type="paragraph" w:customStyle="1" w:styleId="127">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9">
    <w:name w:val="规范文本"/>
    <w:basedOn w:val="21"/>
    <w:qFormat/>
    <w:uiPriority w:val="0"/>
    <w:pPr>
      <w:adjustRightInd w:val="0"/>
      <w:snapToGrid w:val="0"/>
      <w:spacing w:line="360" w:lineRule="exact"/>
      <w:ind w:firstLine="420"/>
    </w:pPr>
    <w:rPr>
      <w:rFonts w:ascii="宋体"/>
      <w:snapToGrid w:val="0"/>
      <w:szCs w:val="21"/>
    </w:rPr>
  </w:style>
  <w:style w:type="paragraph" w:customStyle="1" w:styleId="130">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1">
    <w:name w:val="节"/>
    <w:basedOn w:val="21"/>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2">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样式3"/>
    <w:basedOn w:val="5"/>
    <w:qFormat/>
    <w:uiPriority w:val="0"/>
    <w:rPr>
      <w:rFonts w:eastAsia="Arial"/>
    </w:rPr>
  </w:style>
  <w:style w:type="paragraph" w:customStyle="1" w:styleId="134">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7">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9">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2">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3">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4">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5">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7">
    <w:name w:val="第二"/>
    <w:basedOn w:val="1"/>
    <w:qFormat/>
    <w:uiPriority w:val="0"/>
    <w:pPr>
      <w:adjustRightInd w:val="0"/>
      <w:snapToGrid w:val="0"/>
      <w:spacing w:line="360" w:lineRule="auto"/>
      <w:ind w:right="-108" w:rightChars="-45" w:firstLine="482"/>
    </w:pPr>
    <w:rPr>
      <w:b/>
    </w:rPr>
  </w:style>
  <w:style w:type="paragraph" w:customStyle="1" w:styleId="148">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0">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1">
    <w:name w:val="内容"/>
    <w:basedOn w:val="1"/>
    <w:qFormat/>
    <w:uiPriority w:val="0"/>
    <w:pPr>
      <w:spacing w:line="480" w:lineRule="exact"/>
      <w:ind w:firstLine="200" w:firstLineChars="200"/>
    </w:pPr>
  </w:style>
  <w:style w:type="paragraph" w:customStyle="1" w:styleId="152">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3">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列出段落1"/>
    <w:basedOn w:val="1"/>
    <w:qFormat/>
    <w:uiPriority w:val="99"/>
    <w:pPr>
      <w:ind w:firstLine="420" w:firstLineChars="200"/>
    </w:pPr>
  </w:style>
  <w:style w:type="paragraph" w:customStyle="1" w:styleId="155">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6">
    <w:name w:val="表格文字"/>
    <w:basedOn w:val="1"/>
    <w:qFormat/>
    <w:uiPriority w:val="0"/>
    <w:pPr>
      <w:adjustRightInd w:val="0"/>
      <w:spacing w:line="420" w:lineRule="atLeast"/>
      <w:jc w:val="left"/>
      <w:textAlignment w:val="baseline"/>
    </w:pPr>
    <w:rPr>
      <w:kern w:val="0"/>
      <w:szCs w:val="20"/>
    </w:rPr>
  </w:style>
  <w:style w:type="paragraph" w:customStyle="1" w:styleId="157">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8">
    <w:name w:val="样式2"/>
    <w:basedOn w:val="5"/>
    <w:qFormat/>
    <w:uiPriority w:val="0"/>
  </w:style>
  <w:style w:type="character" w:customStyle="1" w:styleId="159">
    <w:name w:val="after"/>
    <w:basedOn w:val="45"/>
    <w:qFormat/>
    <w:uiPriority w:val="0"/>
    <w:rPr>
      <w:bdr w:val="dashed" w:color="auto" w:sz="48" w:space="0"/>
    </w:rPr>
  </w:style>
  <w:style w:type="character" w:customStyle="1" w:styleId="160">
    <w:name w:val="before"/>
    <w:basedOn w:val="45"/>
    <w:qFormat/>
    <w:uiPriority w:val="0"/>
    <w:rPr>
      <w:bdr w:val="single" w:color="auto" w:sz="48" w:space="0"/>
    </w:rPr>
  </w:style>
  <w:style w:type="character" w:customStyle="1" w:styleId="161">
    <w:name w:val="hover48"/>
    <w:basedOn w:val="45"/>
    <w:qFormat/>
    <w:uiPriority w:val="0"/>
    <w:rPr>
      <w:shd w:val="clear" w:color="auto" w:fill="346AC3"/>
    </w:rPr>
  </w:style>
  <w:style w:type="character" w:customStyle="1" w:styleId="162">
    <w:name w:val="hover49"/>
    <w:basedOn w:val="45"/>
    <w:qFormat/>
    <w:uiPriority w:val="0"/>
  </w:style>
  <w:style w:type="character" w:customStyle="1" w:styleId="163">
    <w:name w:val="hover50"/>
    <w:basedOn w:val="45"/>
    <w:qFormat/>
    <w:uiPriority w:val="0"/>
    <w:rPr>
      <w:color w:val="4285F4"/>
      <w:u w:val="none"/>
    </w:rPr>
  </w:style>
  <w:style w:type="character" w:customStyle="1" w:styleId="164">
    <w:name w:val="hover51"/>
    <w:basedOn w:val="45"/>
    <w:qFormat/>
    <w:uiPriority w:val="0"/>
    <w:rPr>
      <w:color w:val="4285F4"/>
    </w:rPr>
  </w:style>
  <w:style w:type="character" w:customStyle="1" w:styleId="165">
    <w:name w:val="hover52"/>
    <w:basedOn w:val="45"/>
    <w:qFormat/>
    <w:uiPriority w:val="0"/>
    <w:rPr>
      <w:color w:val="1A85D7"/>
    </w:rPr>
  </w:style>
  <w:style w:type="character" w:customStyle="1" w:styleId="166">
    <w:name w:val="credit"/>
    <w:basedOn w:val="45"/>
    <w:qFormat/>
    <w:uiPriority w:val="0"/>
    <w:rPr>
      <w:sz w:val="18"/>
      <w:szCs w:val="18"/>
    </w:rPr>
  </w:style>
  <w:style w:type="character" w:customStyle="1" w:styleId="167">
    <w:name w:val="first-child"/>
    <w:basedOn w:val="45"/>
    <w:qFormat/>
    <w:uiPriority w:val="0"/>
  </w:style>
  <w:style w:type="paragraph" w:customStyle="1" w:styleId="168">
    <w:name w:val="Table Paragraph"/>
    <w:basedOn w:val="1"/>
    <w:qFormat/>
    <w:uiPriority w:val="1"/>
  </w:style>
  <w:style w:type="table" w:customStyle="1" w:styleId="169">
    <w:name w:val="Table Normal"/>
    <w:semiHidden/>
    <w:unhideWhenUsed/>
    <w:qFormat/>
    <w:uiPriority w:val="2"/>
    <w:tblPr>
      <w:tblCellMar>
        <w:top w:w="0" w:type="dxa"/>
        <w:left w:w="0" w:type="dxa"/>
        <w:bottom w:w="0" w:type="dxa"/>
        <w:right w:w="0" w:type="dxa"/>
      </w:tblCellMar>
    </w:tblPr>
  </w:style>
  <w:style w:type="paragraph" w:customStyle="1" w:styleId="170">
    <w:name w:val="符号列表"/>
    <w:basedOn w:val="1"/>
    <w:next w:val="171"/>
    <w:qFormat/>
    <w:uiPriority w:val="34"/>
    <w:pPr>
      <w:spacing w:beforeLines="50"/>
      <w:ind w:firstLine="420" w:firstLineChars="200"/>
    </w:pPr>
    <w:rPr>
      <w:rFonts w:ascii="Calibri" w:hAnsi="Calibri"/>
      <w:sz w:val="24"/>
      <w:szCs w:val="22"/>
      <w:lang w:val="zh-CN"/>
    </w:rPr>
  </w:style>
  <w:style w:type="paragraph" w:customStyle="1" w:styleId="171">
    <w:name w:val="列出段落11"/>
    <w:basedOn w:val="1"/>
    <w:qFormat/>
    <w:uiPriority w:val="99"/>
    <w:pPr>
      <w:ind w:firstLine="420" w:firstLineChars="200"/>
    </w:pPr>
  </w:style>
  <w:style w:type="paragraph" w:customStyle="1" w:styleId="172">
    <w:name w:val="*正文"/>
    <w:basedOn w:val="1"/>
    <w:qFormat/>
    <w:uiPriority w:val="0"/>
    <w:pPr>
      <w:widowControl/>
      <w:ind w:firstLine="200" w:firstLineChars="200"/>
    </w:pPr>
    <w:rPr>
      <w:rFonts w:ascii="仿宋_GB2312" w:eastAsia="仿宋_GB2312" w:cstheme="minorBidi"/>
      <w:sz w:val="24"/>
      <w:szCs w:val="28"/>
    </w:rPr>
  </w:style>
  <w:style w:type="paragraph" w:customStyle="1" w:styleId="173">
    <w:name w:val="表体"/>
    <w:basedOn w:val="1"/>
    <w:next w:val="1"/>
    <w:qFormat/>
    <w:uiPriority w:val="0"/>
    <w:pPr>
      <w:snapToGrid w:val="0"/>
      <w:spacing w:line="0" w:lineRule="atLeast"/>
    </w:pPr>
    <w:rPr>
      <w:b/>
      <w:szCs w:val="20"/>
    </w:rPr>
  </w:style>
  <w:style w:type="paragraph" w:customStyle="1" w:styleId="174">
    <w:name w:val="列表段落2"/>
    <w:basedOn w:val="1"/>
    <w:qFormat/>
    <w:uiPriority w:val="34"/>
    <w:pPr>
      <w:ind w:firstLine="420" w:firstLineChars="200"/>
    </w:pPr>
  </w:style>
  <w:style w:type="character" w:customStyle="1" w:styleId="175">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39</Pages>
  <Words>2735</Words>
  <Characters>15593</Characters>
  <Lines>129</Lines>
  <Paragraphs>36</Paragraphs>
  <TotalTime>1</TotalTime>
  <ScaleCrop>false</ScaleCrop>
  <LinksUpToDate>false</LinksUpToDate>
  <CharactersWithSpaces>18292</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2023-12-21T03:00:00Z</dcterms:created>
  <dc:creator>陈桂兰</dc:creator>
  <cp:lastModifiedBy>百小小</cp:lastModifiedBy>
  <cp:lastPrinted>2023-12-11T06:27:00Z</cp:lastPrinted>
  <dcterms:modified xsi:type="dcterms:W3CDTF">2023-12-25T05:38:04Z</dcterms:modified>
  <dc:title>项目名称：2019年重庆市取消高速公路省界收费站项目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9C903D781986434A87E4601F5BDA5FE6_13</vt:lpwstr>
  </property>
  <property fmtid="{D5CDD505-2E9C-101B-9397-08002B2CF9AE}" pid="4" name="commondata">
    <vt:lpwstr>eyJoZGlkIjoiNmI0YzI4NGJiMjg2ZWZlN2MzZDcyYzg5ZDEwYzBhZDAifQ==</vt:lpwstr>
  </property>
</Properties>
</file>