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pacing w:val="20"/>
          <w:sz w:val="72"/>
          <w:szCs w:val="72"/>
          <w:highlight w:val="none"/>
        </w:rPr>
      </w:pPr>
      <w:bookmarkStart w:id="0" w:name="OLE_LINK8"/>
      <w:bookmarkStart w:id="1" w:name="OLE_LINK6"/>
      <w:r>
        <w:rPr>
          <w:rFonts w:hint="eastAsia" w:asciiTheme="majorEastAsia" w:hAnsiTheme="majorEastAsia" w:eastAsiaTheme="majorEastAsia" w:cstheme="majorEastAsia"/>
          <w:b/>
          <w:color w:val="auto"/>
          <w:sz w:val="48"/>
          <w:szCs w:val="48"/>
          <w:highlight w:val="none"/>
        </w:rPr>
        <w:t>重庆</w:t>
      </w:r>
      <w:r>
        <w:rPr>
          <w:rFonts w:hint="eastAsia" w:asciiTheme="majorEastAsia" w:hAnsiTheme="majorEastAsia" w:eastAsiaTheme="majorEastAsia" w:cstheme="majorEastAsia"/>
          <w:b/>
          <w:color w:val="auto"/>
          <w:sz w:val="48"/>
          <w:szCs w:val="48"/>
          <w:highlight w:val="none"/>
          <w:lang w:val="en-US" w:eastAsia="zh-CN"/>
        </w:rPr>
        <w:t>高速文化传媒股份有限公司</w:t>
      </w:r>
      <w:bookmarkStart w:id="2" w:name="OLE_LINK1"/>
      <w:r>
        <w:rPr>
          <w:rFonts w:hint="eastAsia" w:asciiTheme="majorEastAsia" w:hAnsiTheme="majorEastAsia" w:eastAsiaTheme="majorEastAsia" w:cstheme="majorEastAsia"/>
          <w:b/>
          <w:color w:val="auto"/>
          <w:sz w:val="48"/>
          <w:szCs w:val="48"/>
          <w:highlight w:val="none"/>
          <w:lang w:val="en-US" w:eastAsia="zh-CN"/>
        </w:rPr>
        <w:t>广告对牌安全隐患整改项目</w:t>
      </w:r>
      <w:bookmarkEnd w:id="2"/>
    </w:p>
    <w:p>
      <w:pPr>
        <w:pStyle w:val="2"/>
        <w:rPr>
          <w:color w:val="auto"/>
          <w:highlight w:val="none"/>
        </w:rPr>
      </w:pPr>
    </w:p>
    <w:p>
      <w:pPr>
        <w:jc w:val="center"/>
        <w:rPr>
          <w:rFonts w:ascii="宋体" w:hAnsi="宋体" w:cs="宋体"/>
          <w:b/>
          <w:color w:val="auto"/>
          <w:spacing w:val="20"/>
          <w:sz w:val="72"/>
          <w:szCs w:val="72"/>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color w:val="auto"/>
          <w:highlight w:val="none"/>
        </w:rPr>
      </w:pPr>
    </w:p>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6</w:t>
      </w:r>
      <w:r>
        <w:rPr>
          <w:rFonts w:hint="eastAsia" w:ascii="宋体" w:hAnsi="宋体" w:cs="宋体"/>
          <w:b/>
          <w:color w:val="auto"/>
          <w:sz w:val="32"/>
          <w:szCs w:val="32"/>
          <w:highlight w:val="none"/>
        </w:rPr>
        <w:t>月</w:t>
      </w:r>
    </w:p>
    <w:p>
      <w:pPr>
        <w:rPr>
          <w:color w:val="auto"/>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w:t>
      </w:r>
      <w:r>
        <w:rPr>
          <w:rFonts w:hint="eastAsia" w:ascii="宋体" w:hAnsi="宋体" w:cs="宋体"/>
          <w:b/>
          <w:color w:val="auto"/>
          <w:sz w:val="30"/>
          <w:szCs w:val="30"/>
          <w:highlight w:val="none"/>
          <w:lang w:val="en-US" w:eastAsia="zh-CN"/>
        </w:rPr>
        <w:t>高速文化传媒股份有限公司广告对牌安全隐患整改项目</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ascii="宋体" w:hAnsi="宋体" w:cs="宋体"/>
          <w:color w:val="auto"/>
          <w:sz w:val="24"/>
          <w:szCs w:val="24"/>
          <w:highlight w:val="none"/>
          <w:u w:val="single"/>
        </w:rPr>
      </w:pPr>
      <w:bookmarkStart w:id="3" w:name="_Toc179632536"/>
      <w:bookmarkStart w:id="4" w:name="_Toc246996166"/>
      <w:bookmarkStart w:id="5" w:name="_Toc247085680"/>
      <w:bookmarkStart w:id="6" w:name="_Toc152042295"/>
      <w:bookmarkStart w:id="7" w:name="_Toc246996909"/>
      <w:bookmarkStart w:id="8" w:name="_Toc152045519"/>
      <w:bookmarkStart w:id="9" w:name="_Toc144974487"/>
      <w:bookmarkStart w:id="10" w:name="_Toc296602410"/>
    </w:p>
    <w:bookmarkEnd w:id="3"/>
    <w:bookmarkEnd w:id="4"/>
    <w:bookmarkEnd w:id="5"/>
    <w:bookmarkEnd w:id="6"/>
    <w:bookmarkEnd w:id="7"/>
    <w:bookmarkEnd w:id="8"/>
    <w:bookmarkEnd w:id="9"/>
    <w:bookmarkEnd w:id="10"/>
    <w:p>
      <w:pPr>
        <w:ind w:firstLine="420" w:firstLineChars="200"/>
        <w:jc w:val="both"/>
        <w:rPr>
          <w:color w:val="auto"/>
          <w:szCs w:val="21"/>
          <w:highlight w:val="none"/>
        </w:rPr>
      </w:pPr>
      <w:bookmarkStart w:id="11" w:name="_Toc247085682"/>
      <w:bookmarkStart w:id="12" w:name="_Toc179632538"/>
      <w:bookmarkStart w:id="13" w:name="_Toc144974489"/>
      <w:bookmarkStart w:id="14" w:name="_Toc152042297"/>
      <w:bookmarkStart w:id="15" w:name="_Toc246996168"/>
      <w:bookmarkStart w:id="16" w:name="_Toc152045521"/>
      <w:bookmarkStart w:id="17" w:name="_Toc246996911"/>
      <w:bookmarkStart w:id="18" w:name="_Toc296602412"/>
      <w:r>
        <w:rPr>
          <w:color w:val="auto"/>
          <w:szCs w:val="21"/>
          <w:highlight w:val="none"/>
        </w:rPr>
        <w:t>本项目</w:t>
      </w:r>
      <w:r>
        <w:rPr>
          <w:rFonts w:hint="eastAsia"/>
          <w:color w:val="auto"/>
          <w:szCs w:val="21"/>
          <w:highlight w:val="none"/>
          <w:lang w:val="en-US" w:eastAsia="zh-CN"/>
        </w:rPr>
        <w:t>为</w:t>
      </w:r>
      <w:r>
        <w:rPr>
          <w:rFonts w:hint="eastAsia"/>
          <w:color w:val="auto"/>
          <w:szCs w:val="21"/>
          <w:highlight w:val="none"/>
        </w:rPr>
        <w:t>重庆</w:t>
      </w:r>
      <w:r>
        <w:rPr>
          <w:rFonts w:hint="eastAsia"/>
          <w:color w:val="auto"/>
          <w:szCs w:val="21"/>
          <w:highlight w:val="none"/>
          <w:lang w:val="en-US" w:eastAsia="zh-CN"/>
        </w:rPr>
        <w:t>高速文化传媒股份有限公司广告对牌安全隐患整改项目</w:t>
      </w:r>
      <w:r>
        <w:rPr>
          <w:color w:val="auto"/>
          <w:szCs w:val="21"/>
          <w:highlight w:val="none"/>
        </w:rPr>
        <w:t>，重庆高速文化传媒股份有限公司计划以</w:t>
      </w:r>
      <w:r>
        <w:rPr>
          <w:rFonts w:hint="eastAsia"/>
          <w:color w:val="auto"/>
          <w:szCs w:val="21"/>
          <w:highlight w:val="none"/>
          <w:lang w:val="en-US" w:eastAsia="zh-CN"/>
        </w:rPr>
        <w:t>竞争性比选</w:t>
      </w:r>
      <w:r>
        <w:rPr>
          <w:color w:val="auto"/>
          <w:szCs w:val="21"/>
          <w:highlight w:val="none"/>
        </w:rPr>
        <w:t>方式确定</w:t>
      </w:r>
      <w:r>
        <w:rPr>
          <w:rFonts w:hint="eastAsia"/>
          <w:color w:val="auto"/>
          <w:szCs w:val="21"/>
          <w:highlight w:val="none"/>
          <w:lang w:val="en-US" w:eastAsia="zh-CN"/>
        </w:rPr>
        <w:t>实施</w:t>
      </w:r>
      <w:r>
        <w:rPr>
          <w:color w:val="auto"/>
          <w:szCs w:val="21"/>
          <w:highlight w:val="none"/>
        </w:rPr>
        <w:t>单位，具体情况如下：</w:t>
      </w:r>
    </w:p>
    <w:p>
      <w:pPr>
        <w:pStyle w:val="2"/>
        <w:rPr>
          <w:color w:val="auto"/>
          <w:highlight w:val="none"/>
        </w:rPr>
      </w:pPr>
    </w:p>
    <w:p>
      <w:pPr>
        <w:spacing w:line="400" w:lineRule="exact"/>
        <w:rPr>
          <w:b/>
          <w:color w:val="auto"/>
          <w:szCs w:val="21"/>
          <w:highlight w:val="none"/>
        </w:rPr>
      </w:pPr>
      <w:bookmarkStart w:id="19" w:name="_Toc179632537"/>
      <w:bookmarkStart w:id="20" w:name="_Toc246996910"/>
      <w:bookmarkStart w:id="21" w:name="_Toc296602411"/>
      <w:bookmarkStart w:id="22" w:name="_Toc247085681"/>
      <w:bookmarkStart w:id="23" w:name="_Toc246996167"/>
      <w:bookmarkStart w:id="24" w:name="_Toc152042296"/>
      <w:bookmarkStart w:id="25" w:name="_Toc144974488"/>
      <w:bookmarkStart w:id="26" w:name="_Toc152045520"/>
      <w:r>
        <w:rPr>
          <w:b/>
          <w:color w:val="auto"/>
          <w:szCs w:val="21"/>
          <w:highlight w:val="none"/>
        </w:rPr>
        <w:t>一、</w:t>
      </w:r>
      <w:r>
        <w:rPr>
          <w:rFonts w:hint="eastAsia"/>
          <w:b/>
          <w:color w:val="auto"/>
          <w:szCs w:val="21"/>
          <w:highlight w:val="none"/>
        </w:rPr>
        <w:t>项目概况和</w:t>
      </w:r>
      <w:r>
        <w:rPr>
          <w:rFonts w:hint="eastAsia"/>
          <w:b/>
          <w:color w:val="auto"/>
          <w:szCs w:val="21"/>
          <w:highlight w:val="none"/>
          <w:lang w:val="en-US" w:eastAsia="zh-CN"/>
        </w:rPr>
        <w:t>比选</w:t>
      </w:r>
      <w:r>
        <w:rPr>
          <w:rFonts w:hint="eastAsia"/>
          <w:b/>
          <w:color w:val="auto"/>
          <w:szCs w:val="21"/>
          <w:highlight w:val="none"/>
        </w:rPr>
        <w:t>范围</w:t>
      </w:r>
    </w:p>
    <w:p>
      <w:pPr>
        <w:spacing w:line="400" w:lineRule="exact"/>
        <w:rPr>
          <w:b/>
          <w:color w:val="auto"/>
          <w:szCs w:val="21"/>
          <w:highlight w:val="none"/>
        </w:rPr>
      </w:pPr>
      <w:r>
        <w:rPr>
          <w:rFonts w:hint="eastAsia"/>
          <w:b/>
          <w:color w:val="auto"/>
          <w:szCs w:val="21"/>
          <w:highlight w:val="none"/>
          <w:lang w:val="en-US" w:eastAsia="zh-CN"/>
        </w:rPr>
        <w:t>1、</w:t>
      </w:r>
      <w:r>
        <w:rPr>
          <w:b/>
          <w:color w:val="auto"/>
          <w:szCs w:val="21"/>
          <w:highlight w:val="none"/>
        </w:rPr>
        <w:t>项目概况</w:t>
      </w:r>
      <w:bookmarkEnd w:id="19"/>
      <w:bookmarkEnd w:id="20"/>
      <w:bookmarkEnd w:id="21"/>
      <w:bookmarkEnd w:id="22"/>
      <w:bookmarkEnd w:id="23"/>
      <w:bookmarkEnd w:id="24"/>
      <w:bookmarkEnd w:id="25"/>
      <w:bookmarkEnd w:id="26"/>
    </w:p>
    <w:p>
      <w:pPr>
        <w:spacing w:line="400" w:lineRule="exac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为重庆高速广告对牌安全隐患整改和重庆市交通局科研项目成果确认（</w:t>
      </w:r>
      <w:r>
        <w:rPr>
          <w:rFonts w:ascii="宋体" w:hAnsi="宋体" w:eastAsia="宋体" w:cs="宋体"/>
          <w:color w:val="auto"/>
          <w:sz w:val="24"/>
          <w:szCs w:val="24"/>
          <w:highlight w:val="none"/>
        </w:rPr>
        <w:t>课题</w:t>
      </w:r>
      <w:r>
        <w:rPr>
          <w:rFonts w:hint="eastAsia" w:ascii="宋体" w:hAnsi="宋体" w:eastAsia="宋体" w:cs="宋体"/>
          <w:color w:val="auto"/>
          <w:sz w:val="24"/>
          <w:szCs w:val="24"/>
          <w:highlight w:val="none"/>
          <w:lang w:val="en-US" w:eastAsia="zh-CN"/>
        </w:rPr>
        <w:t>内容</w:t>
      </w:r>
      <w:r>
        <w:rPr>
          <w:rFonts w:ascii="宋体" w:hAnsi="宋体" w:eastAsia="宋体" w:cs="宋体"/>
          <w:color w:val="auto"/>
          <w:sz w:val="24"/>
          <w:szCs w:val="24"/>
          <w:highlight w:val="none"/>
        </w:rPr>
        <w:t>：</w:t>
      </w:r>
      <w:bookmarkStart w:id="27" w:name="OLE_LINK4"/>
      <w:r>
        <w:rPr>
          <w:rFonts w:ascii="宋体" w:hAnsi="宋体" w:eastAsia="宋体" w:cs="宋体"/>
          <w:color w:val="auto"/>
          <w:sz w:val="24"/>
          <w:szCs w:val="24"/>
          <w:highlight w:val="none"/>
        </w:rPr>
        <w:t>绿色全寿命装配式户外广告支架应用研究</w:t>
      </w:r>
      <w:bookmarkEnd w:id="27"/>
      <w:r>
        <w:rPr>
          <w:rFonts w:hint="eastAsia"/>
          <w:color w:val="auto"/>
          <w:szCs w:val="21"/>
          <w:highlight w:val="none"/>
          <w:lang w:val="en-US" w:eastAsia="zh-CN"/>
        </w:rPr>
        <w:t>）</w:t>
      </w:r>
      <w:r>
        <w:rPr>
          <w:color w:val="auto"/>
          <w:szCs w:val="21"/>
          <w:highlight w:val="none"/>
        </w:rPr>
        <w:t>。</w:t>
      </w:r>
    </w:p>
    <w:bookmarkEnd w:id="11"/>
    <w:bookmarkEnd w:id="12"/>
    <w:bookmarkEnd w:id="13"/>
    <w:bookmarkEnd w:id="14"/>
    <w:bookmarkEnd w:id="15"/>
    <w:bookmarkEnd w:id="16"/>
    <w:bookmarkEnd w:id="17"/>
    <w:bookmarkEnd w:id="18"/>
    <w:p>
      <w:pPr>
        <w:pStyle w:val="4"/>
        <w:adjustRightInd/>
        <w:snapToGrid/>
        <w:spacing w:line="400" w:lineRule="exact"/>
        <w:rPr>
          <w:rFonts w:ascii="Times New Roman" w:eastAsia="宋体"/>
          <w:snapToGrid w:val="0"/>
          <w:color w:val="auto"/>
          <w:sz w:val="21"/>
          <w:szCs w:val="21"/>
          <w:highlight w:val="none"/>
        </w:rPr>
      </w:pPr>
      <w:bookmarkStart w:id="28" w:name="_Toc200359239"/>
      <w:bookmarkStart w:id="29" w:name="_Toc287620668"/>
      <w:bookmarkStart w:id="30" w:name="_Toc3050"/>
      <w:bookmarkStart w:id="31" w:name="_Toc287607729"/>
      <w:bookmarkStart w:id="32" w:name="_Toc365751393"/>
      <w:bookmarkStart w:id="33" w:name="_Toc224103300"/>
      <w:bookmarkStart w:id="34" w:name="_Toc277082537"/>
      <w:bookmarkStart w:id="35" w:name="_Toc200359428"/>
      <w:bookmarkStart w:id="36" w:name="_Toc296602413"/>
      <w:bookmarkStart w:id="37" w:name="_Toc152042298"/>
      <w:bookmarkStart w:id="38" w:name="_Toc152045522"/>
      <w:bookmarkStart w:id="39" w:name="_Toc179632539"/>
      <w:bookmarkStart w:id="40" w:name="_Toc144974490"/>
      <w:bookmarkStart w:id="41" w:name="_Toc246996912"/>
      <w:bookmarkStart w:id="42" w:name="_Toc247085683"/>
      <w:bookmarkStart w:id="43" w:name="_Toc246996169"/>
      <w:r>
        <w:rPr>
          <w:rFonts w:ascii="Times New Roman" w:eastAsia="宋体"/>
          <w:snapToGrid w:val="0"/>
          <w:color w:val="auto"/>
          <w:sz w:val="21"/>
          <w:szCs w:val="21"/>
          <w:highlight w:val="none"/>
        </w:rPr>
        <w:t xml:space="preserve">2. </w:t>
      </w:r>
      <w:r>
        <w:rPr>
          <w:rFonts w:hint="eastAsia" w:ascii="Times New Roman" w:eastAsia="宋体"/>
          <w:snapToGrid w:val="0"/>
          <w:color w:val="auto"/>
          <w:sz w:val="21"/>
          <w:szCs w:val="21"/>
          <w:highlight w:val="none"/>
          <w:lang w:val="en-US" w:eastAsia="zh-CN"/>
        </w:rPr>
        <w:t>比选</w:t>
      </w:r>
      <w:r>
        <w:rPr>
          <w:rFonts w:ascii="Times New Roman" w:eastAsia="宋体"/>
          <w:snapToGrid w:val="0"/>
          <w:color w:val="auto"/>
          <w:sz w:val="21"/>
          <w:szCs w:val="21"/>
          <w:highlight w:val="none"/>
        </w:rPr>
        <w:t>范围</w:t>
      </w:r>
      <w:bookmarkEnd w:id="28"/>
      <w:bookmarkEnd w:id="29"/>
      <w:bookmarkEnd w:id="30"/>
      <w:bookmarkEnd w:id="31"/>
      <w:bookmarkEnd w:id="32"/>
      <w:bookmarkEnd w:id="33"/>
      <w:bookmarkEnd w:id="34"/>
      <w:bookmarkEnd w:id="35"/>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 xml:space="preserve">.1 </w:t>
      </w:r>
      <w:r>
        <w:rPr>
          <w:rFonts w:hint="eastAsia"/>
          <w:snapToGrid w:val="0"/>
          <w:color w:val="auto"/>
          <w:kern w:val="0"/>
          <w:szCs w:val="21"/>
          <w:highlight w:val="none"/>
          <w:lang w:val="en-US" w:eastAsia="zh-CN"/>
        </w:rPr>
        <w:t>项目</w:t>
      </w:r>
      <w:r>
        <w:rPr>
          <w:snapToGrid w:val="0"/>
          <w:color w:val="auto"/>
          <w:kern w:val="0"/>
          <w:szCs w:val="21"/>
          <w:highlight w:val="none"/>
        </w:rPr>
        <w:t>地点：</w:t>
      </w:r>
      <w:r>
        <w:rPr>
          <w:rFonts w:hint="eastAsia"/>
          <w:snapToGrid w:val="0"/>
          <w:color w:val="auto"/>
          <w:kern w:val="0"/>
          <w:szCs w:val="21"/>
          <w:highlight w:val="none"/>
          <w:lang w:val="en-US" w:eastAsia="zh-CN"/>
        </w:rPr>
        <w:t>重庆高速主线收费站</w:t>
      </w:r>
      <w:r>
        <w:rPr>
          <w:rFonts w:hint="eastAsia"/>
          <w:snapToGrid w:val="0"/>
          <w:color w:val="auto"/>
          <w:kern w:val="0"/>
          <w:szCs w:val="21"/>
          <w:highlight w:val="none"/>
        </w:rPr>
        <w:t>。</w:t>
      </w:r>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2</w:t>
      </w:r>
      <w:r>
        <w:rPr>
          <w:snapToGrid w:val="0"/>
          <w:color w:val="auto"/>
          <w:kern w:val="0"/>
          <w:szCs w:val="21"/>
          <w:highlight w:val="none"/>
        </w:rPr>
        <w:t xml:space="preserve"> </w:t>
      </w:r>
      <w:r>
        <w:rPr>
          <w:rFonts w:hint="eastAsia"/>
          <w:snapToGrid w:val="0"/>
          <w:color w:val="auto"/>
          <w:kern w:val="0"/>
          <w:szCs w:val="21"/>
          <w:highlight w:val="none"/>
          <w:lang w:val="en-US" w:eastAsia="zh-CN"/>
        </w:rPr>
        <w:t>安装</w:t>
      </w:r>
      <w:r>
        <w:rPr>
          <w:snapToGrid w:val="0"/>
          <w:color w:val="auto"/>
          <w:kern w:val="0"/>
          <w:szCs w:val="21"/>
          <w:highlight w:val="none"/>
        </w:rPr>
        <w:t>工期：</w:t>
      </w:r>
      <w:r>
        <w:rPr>
          <w:rFonts w:hint="eastAsia"/>
          <w:snapToGrid w:val="0"/>
          <w:color w:val="auto"/>
          <w:kern w:val="0"/>
          <w:szCs w:val="21"/>
          <w:highlight w:val="none"/>
          <w:lang w:val="en-US" w:eastAsia="zh-CN"/>
        </w:rPr>
        <w:t>60天</w:t>
      </w:r>
      <w:r>
        <w:rPr>
          <w:rFonts w:hint="eastAsia"/>
          <w:snapToGrid w:val="0"/>
          <w:color w:val="auto"/>
          <w:kern w:val="0"/>
          <w:szCs w:val="21"/>
          <w:highlight w:val="none"/>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 xml:space="preserve">3 </w:t>
      </w:r>
      <w:r>
        <w:rPr>
          <w:snapToGrid w:val="0"/>
          <w:color w:val="auto"/>
          <w:kern w:val="0"/>
          <w:szCs w:val="21"/>
          <w:highlight w:val="none"/>
        </w:rPr>
        <w:t>招标范围：</w:t>
      </w:r>
      <w:bookmarkStart w:id="44" w:name="OLE_LINK3"/>
      <w:bookmarkStart w:id="45" w:name="_Toc287620669"/>
      <w:bookmarkStart w:id="46" w:name="_Toc200359429"/>
      <w:bookmarkStart w:id="47" w:name="_Toc365751394"/>
      <w:bookmarkStart w:id="48" w:name="_Toc277082538"/>
      <w:bookmarkStart w:id="49" w:name="_Toc224103301"/>
      <w:bookmarkStart w:id="50" w:name="_Toc200359240"/>
      <w:bookmarkStart w:id="51" w:name="_Toc287607730"/>
      <w:r>
        <w:rPr>
          <w:rFonts w:hint="eastAsia"/>
          <w:snapToGrid w:val="0"/>
          <w:color w:val="auto"/>
          <w:kern w:val="0"/>
          <w:szCs w:val="21"/>
          <w:highlight w:val="none"/>
        </w:rPr>
        <w:t>渝武路</w:t>
      </w:r>
      <w:r>
        <w:rPr>
          <w:rFonts w:hint="eastAsia"/>
          <w:snapToGrid w:val="0"/>
          <w:color w:val="auto"/>
          <w:kern w:val="0"/>
          <w:szCs w:val="21"/>
          <w:highlight w:val="none"/>
          <w:lang w:eastAsia="zh-CN"/>
        </w:rPr>
        <w:t>（北碚收费站左、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）、沪渝路（K1501+120左、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）、渝湘路（K1590+100左、</w:t>
      </w:r>
      <w:r>
        <w:rPr>
          <w:rFonts w:hint="eastAsia"/>
          <w:snapToGrid w:val="0"/>
          <w:color w:val="auto"/>
          <w:kern w:val="0"/>
          <w:szCs w:val="21"/>
          <w:highlight w:val="none"/>
          <w:lang w:val="en-US" w:eastAsia="zh-CN"/>
        </w:rPr>
        <w:t>右侧；水江立交K1671+500</w:t>
      </w:r>
      <w:r>
        <w:rPr>
          <w:rFonts w:hint="eastAsia"/>
          <w:snapToGrid w:val="0"/>
          <w:color w:val="auto"/>
          <w:kern w:val="0"/>
          <w:szCs w:val="21"/>
          <w:highlight w:val="none"/>
          <w:lang w:eastAsia="zh-CN"/>
        </w:rPr>
        <w:t>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）、渝黔路（G75收费站前K1007+400左、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）、渝邻路（草场坝收费站K1497+800左、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）、渝泸路（K464+950左、</w:t>
      </w:r>
      <w:r>
        <w:rPr>
          <w:rFonts w:hint="eastAsia"/>
          <w:snapToGrid w:val="0"/>
          <w:color w:val="auto"/>
          <w:kern w:val="0"/>
          <w:szCs w:val="21"/>
          <w:highlight w:val="none"/>
          <w:lang w:val="en-US" w:eastAsia="zh-CN"/>
        </w:rPr>
        <w:t>右侧</w:t>
      </w:r>
      <w:r>
        <w:rPr>
          <w:rFonts w:hint="eastAsia"/>
          <w:snapToGrid w:val="0"/>
          <w:color w:val="auto"/>
          <w:kern w:val="0"/>
          <w:szCs w:val="21"/>
          <w:highlight w:val="none"/>
          <w:lang w:eastAsia="zh-CN"/>
        </w:rPr>
        <w:t>）</w:t>
      </w:r>
      <w:r>
        <w:rPr>
          <w:rFonts w:hint="eastAsia"/>
          <w:color w:val="auto"/>
          <w:szCs w:val="21"/>
          <w:highlight w:val="none"/>
          <w:lang w:val="en-US" w:eastAsia="zh-CN"/>
        </w:rPr>
        <w:t>广告对牌安全隐患整改和重庆市交通局科研项目</w:t>
      </w:r>
      <w:bookmarkStart w:id="52" w:name="OLE_LINK7"/>
      <w:r>
        <w:rPr>
          <w:rFonts w:hint="eastAsia"/>
          <w:color w:val="auto"/>
          <w:szCs w:val="21"/>
          <w:highlight w:val="none"/>
          <w:lang w:val="en-US" w:eastAsia="zh-CN"/>
        </w:rPr>
        <w:t>成果</w:t>
      </w:r>
      <w:bookmarkEnd w:id="52"/>
      <w:r>
        <w:rPr>
          <w:rFonts w:hint="eastAsia"/>
          <w:color w:val="auto"/>
          <w:szCs w:val="21"/>
          <w:highlight w:val="none"/>
          <w:lang w:val="en-US" w:eastAsia="zh-CN"/>
        </w:rPr>
        <w:t>确认</w:t>
      </w:r>
      <w:bookmarkEnd w:id="44"/>
      <w:r>
        <w:rPr>
          <w:rFonts w:hint="eastAsia"/>
          <w:snapToGrid w:val="0"/>
          <w:color w:val="auto"/>
          <w:kern w:val="0"/>
          <w:szCs w:val="21"/>
          <w:highlight w:val="none"/>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4</w:t>
      </w:r>
      <w:r>
        <w:rPr>
          <w:snapToGrid w:val="0"/>
          <w:color w:val="auto"/>
          <w:kern w:val="0"/>
          <w:szCs w:val="21"/>
          <w:highlight w:val="none"/>
        </w:rPr>
        <w:t>标段划分：本项目为一个</w:t>
      </w:r>
      <w:r>
        <w:rPr>
          <w:rFonts w:hint="eastAsia"/>
          <w:snapToGrid w:val="0"/>
          <w:color w:val="auto"/>
          <w:kern w:val="0"/>
          <w:szCs w:val="21"/>
          <w:highlight w:val="none"/>
        </w:rPr>
        <w:t>合同</w:t>
      </w:r>
      <w:r>
        <w:rPr>
          <w:snapToGrid w:val="0"/>
          <w:color w:val="auto"/>
          <w:kern w:val="0"/>
          <w:szCs w:val="21"/>
          <w:highlight w:val="none"/>
        </w:rPr>
        <w:t>标段。</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5支付方式</w:t>
      </w:r>
      <w:r>
        <w:rPr>
          <w:snapToGrid w:val="0"/>
          <w:color w:val="auto"/>
          <w:kern w:val="0"/>
          <w:szCs w:val="21"/>
          <w:highlight w:val="none"/>
        </w:rPr>
        <w:t>：</w:t>
      </w:r>
      <w:r>
        <w:rPr>
          <w:rFonts w:hint="eastAsia"/>
          <w:snapToGrid w:val="0"/>
          <w:color w:val="auto"/>
          <w:kern w:val="0"/>
          <w:szCs w:val="21"/>
          <w:highlight w:val="none"/>
          <w:lang w:val="en-US" w:eastAsia="zh-CN"/>
        </w:rPr>
        <w:t>完成此14块</w:t>
      </w:r>
      <w:r>
        <w:rPr>
          <w:rFonts w:hint="eastAsia"/>
          <w:color w:val="auto"/>
          <w:szCs w:val="21"/>
          <w:highlight w:val="none"/>
          <w:lang w:val="en-US" w:eastAsia="zh-CN"/>
        </w:rPr>
        <w:t>广告对牌安全隐患整改和</w:t>
      </w:r>
      <w:bookmarkStart w:id="53" w:name="OLE_LINK2"/>
      <w:r>
        <w:rPr>
          <w:rFonts w:hint="eastAsia"/>
          <w:color w:val="auto"/>
          <w:szCs w:val="21"/>
          <w:highlight w:val="none"/>
          <w:lang w:val="en-US" w:eastAsia="zh-CN"/>
        </w:rPr>
        <w:t>重庆市交通局科研项目成果确认后</w:t>
      </w:r>
      <w:bookmarkEnd w:id="53"/>
      <w:r>
        <w:rPr>
          <w:rFonts w:hint="eastAsia"/>
          <w:color w:val="auto"/>
          <w:szCs w:val="21"/>
          <w:highlight w:val="none"/>
          <w:lang w:val="en-US" w:eastAsia="zh-CN"/>
        </w:rPr>
        <w:t>（以重庆市交通局批复为准）支付合同金额的95%，质保期（一年）过后支付合同金额的5%</w:t>
      </w:r>
      <w:r>
        <w:rPr>
          <w:snapToGrid w:val="0"/>
          <w:color w:val="auto"/>
          <w:kern w:val="0"/>
          <w:szCs w:val="21"/>
          <w:highlight w:val="none"/>
        </w:rPr>
        <w:t>。</w:t>
      </w:r>
    </w:p>
    <w:p>
      <w:pPr>
        <w:pStyle w:val="2"/>
        <w:ind w:left="0" w:leftChars="0" w:firstLine="0" w:firstLineChars="0"/>
        <w:rPr>
          <w:rFonts w:hint="eastAsia" w:eastAsia="仿宋_GB2312"/>
          <w:color w:val="auto"/>
          <w:highlight w:val="none"/>
          <w:lang w:val="en-US" w:eastAsia="zh-CN"/>
        </w:rPr>
      </w:pPr>
      <w:r>
        <w:rPr>
          <w:rFonts w:hint="eastAsia"/>
          <w:color w:val="auto"/>
          <w:highlight w:val="none"/>
          <w:lang w:val="en-US" w:eastAsia="zh-CN"/>
        </w:rPr>
        <w:t>备注：所有参加比选人员必须提供健康码、行程码以及48小时内核酸检测为“阴性”证明。否则由此引起的一切后果自负。</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5"/>
      <w:bookmarkEnd w:id="46"/>
      <w:bookmarkEnd w:id="47"/>
      <w:bookmarkEnd w:id="48"/>
      <w:bookmarkEnd w:id="49"/>
      <w:bookmarkEnd w:id="50"/>
      <w:bookmarkEnd w:id="51"/>
    </w:p>
    <w:p>
      <w:pPr>
        <w:spacing w:line="400" w:lineRule="exact"/>
        <w:ind w:firstLine="420" w:firstLineChars="200"/>
        <w:rPr>
          <w:rFonts w:hint="eastAsia"/>
          <w:color w:val="auto"/>
          <w:szCs w:val="21"/>
          <w:highlight w:val="none"/>
        </w:rPr>
      </w:pPr>
      <w:bookmarkStart w:id="54" w:name="_Toc365751395"/>
      <w:r>
        <w:rPr>
          <w:rFonts w:hint="eastAsia"/>
          <w:color w:val="auto"/>
          <w:szCs w:val="21"/>
          <w:highlight w:val="none"/>
          <w:lang w:val="en-US" w:eastAsia="zh-CN"/>
        </w:rPr>
        <w:t>1、</w:t>
      </w:r>
      <w:r>
        <w:rPr>
          <w:rFonts w:hint="eastAsia"/>
          <w:color w:val="auto"/>
          <w:szCs w:val="21"/>
          <w:highlight w:val="none"/>
        </w:rPr>
        <w:t>资质要求：具有独立法人资格，具有有效的营业执照，并在人员、设备、资金等方面具有相应的施工能力；具备有效的安全生产许可证，具备建设行政主管部门颁发钢结构工程专业承包三级及以上资质。</w:t>
      </w:r>
    </w:p>
    <w:p>
      <w:pPr>
        <w:pStyle w:val="2"/>
        <w:ind w:left="0" w:leftChars="0" w:firstLine="420" w:firstLineChars="200"/>
        <w:rPr>
          <w:rFonts w:hint="default" w:ascii="Calibri" w:hAnsi="Calibri" w:eastAsiaTheme="minorEastAsia" w:cstheme="minorBidi"/>
          <w:b w:val="0"/>
          <w:color w:val="auto"/>
          <w:kern w:val="2"/>
          <w:sz w:val="21"/>
          <w:szCs w:val="21"/>
          <w:highlight w:val="none"/>
          <w:lang w:val="en-US" w:eastAsia="zh-CN" w:bidi="ar-SA"/>
        </w:rPr>
      </w:pPr>
      <w:r>
        <w:rPr>
          <w:rFonts w:hint="eastAsia" w:ascii="Calibri" w:hAnsi="Calibri" w:eastAsiaTheme="minorEastAsia" w:cstheme="minorBidi"/>
          <w:b w:val="0"/>
          <w:color w:val="auto"/>
          <w:kern w:val="2"/>
          <w:sz w:val="21"/>
          <w:szCs w:val="21"/>
          <w:highlight w:val="none"/>
          <w:lang w:val="en-US" w:eastAsia="zh-CN" w:bidi="ar-SA"/>
        </w:rPr>
        <w:t>2、</w:t>
      </w:r>
      <w:r>
        <w:rPr>
          <w:rFonts w:hint="eastAsia" w:ascii="Calibri" w:eastAsiaTheme="minorEastAsia" w:cstheme="minorBidi"/>
          <w:b w:val="0"/>
          <w:color w:val="auto"/>
          <w:kern w:val="2"/>
          <w:sz w:val="21"/>
          <w:szCs w:val="21"/>
          <w:highlight w:val="none"/>
          <w:lang w:val="en-US" w:eastAsia="zh-CN" w:bidi="ar-SA"/>
        </w:rPr>
        <w:t>具有</w:t>
      </w:r>
      <w:r>
        <w:rPr>
          <w:rFonts w:hint="eastAsia" w:ascii="Calibri" w:hAnsi="Calibri" w:eastAsiaTheme="minorEastAsia" w:cstheme="minorBidi"/>
          <w:b w:val="0"/>
          <w:color w:val="auto"/>
          <w:kern w:val="2"/>
          <w:sz w:val="21"/>
          <w:szCs w:val="21"/>
          <w:highlight w:val="none"/>
          <w:lang w:val="en-US" w:eastAsia="zh-CN" w:bidi="ar-SA"/>
        </w:rPr>
        <w:t>锌镍渗层防腐工艺</w:t>
      </w:r>
      <w:r>
        <w:rPr>
          <w:rFonts w:hint="eastAsia" w:ascii="Calibri" w:eastAsiaTheme="minorEastAsia" w:cstheme="minorBidi"/>
          <w:b w:val="0"/>
          <w:color w:val="auto"/>
          <w:kern w:val="2"/>
          <w:sz w:val="21"/>
          <w:szCs w:val="21"/>
          <w:highlight w:val="none"/>
          <w:lang w:val="en-US" w:eastAsia="zh-CN" w:bidi="ar-SA"/>
        </w:rPr>
        <w:t>施工能力。</w:t>
      </w:r>
    </w:p>
    <w:p>
      <w:pPr>
        <w:pStyle w:val="15"/>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（注：比选申请单位须提供须提供营业执照、安全生产许可证、资质证书的复印件或扫描件，并加盖比选申请单位公章。）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信誉要求：</w:t>
      </w:r>
    </w:p>
    <w:p>
      <w:pPr>
        <w:spacing w:line="400" w:lineRule="exact"/>
        <w:ind w:firstLine="420" w:firstLineChars="200"/>
        <w:rPr>
          <w:rFonts w:hint="eastAsia" w:eastAsiaTheme="minorEastAsia"/>
          <w:color w:val="auto"/>
          <w:szCs w:val="21"/>
          <w:highlight w:val="none"/>
          <w:lang w:eastAsia="zh-CN"/>
        </w:rPr>
      </w:pPr>
      <w:bookmarkStart w:id="55" w:name="_Hlk36217333"/>
      <w:r>
        <w:rPr>
          <w:rFonts w:hint="eastAsia"/>
          <w:color w:val="auto"/>
          <w:szCs w:val="21"/>
          <w:highlight w:val="none"/>
        </w:rPr>
        <w:t>（1）企业存续期在行业内无不良信誉记录和重大安全责任事故记录。</w:t>
      </w:r>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55"/>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54"/>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5</w:t>
      </w:r>
      <w:r>
        <w:rPr>
          <w:rFonts w:hint="eastAsia"/>
          <w:snapToGrid w:val="0"/>
          <w:color w:val="auto"/>
          <w:kern w:val="0"/>
          <w:szCs w:val="21"/>
          <w:highlight w:val="none"/>
          <w:lang w:eastAsia="zh-CN"/>
        </w:rPr>
        <w:t>、</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备注：第“二”要求需提供相关证明资料复印件（或原件）并加盖比选申请单位鲜章，否则按无效投标处理。</w:t>
      </w:r>
    </w:p>
    <w:p>
      <w:pPr>
        <w:rPr>
          <w:rFonts w:hint="eastAsia"/>
          <w:color w:val="auto"/>
          <w:highlight w:val="none"/>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6"/>
    <w:bookmarkEnd w:id="37"/>
    <w:bookmarkEnd w:id="38"/>
    <w:bookmarkEnd w:id="39"/>
    <w:bookmarkEnd w:id="40"/>
    <w:bookmarkEnd w:id="41"/>
    <w:bookmarkEnd w:id="42"/>
    <w:bookmarkEnd w:id="43"/>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w:t>
      </w:r>
      <w:bookmarkStart w:id="56" w:name="OLE_LINK5"/>
      <w:r>
        <w:rPr>
          <w:rFonts w:hint="eastAsia"/>
          <w:color w:val="auto"/>
          <w:szCs w:val="21"/>
          <w:highlight w:val="none"/>
          <w:lang w:val="en-US" w:eastAsia="zh-CN"/>
        </w:rPr>
        <w:t>384032</w:t>
      </w:r>
      <w:bookmarkEnd w:id="56"/>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val="en-US" w:eastAsia="zh-CN"/>
        </w:rPr>
        <w:t>叁拾捌万肆仟零叁拾贰元整</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其中包括科研经费50000元整（固定值）</w:t>
      </w:r>
      <w:r>
        <w:rPr>
          <w:rFonts w:hint="eastAsia"/>
          <w:color w:val="auto"/>
          <w:szCs w:val="21"/>
          <w:highlight w:val="none"/>
          <w:lang w:eastAsia="zh-CN"/>
        </w:rPr>
        <w:t>。</w:t>
      </w:r>
    </w:p>
    <w:p>
      <w:pPr>
        <w:spacing w:line="400" w:lineRule="exact"/>
        <w:ind w:firstLine="422" w:firstLineChars="200"/>
        <w:outlineLvl w:val="0"/>
        <w:rPr>
          <w:b/>
          <w:color w:val="auto"/>
          <w:szCs w:val="21"/>
          <w:highlight w:val="none"/>
        </w:rPr>
      </w:pPr>
      <w:r>
        <w:rPr>
          <w:rFonts w:hint="eastAsia"/>
          <w:b/>
          <w:color w:val="auto"/>
          <w:szCs w:val="21"/>
          <w:highlight w:val="none"/>
        </w:rPr>
        <w:t>注：比选申请人的竞标报价</w:t>
      </w:r>
      <w:r>
        <w:rPr>
          <w:rFonts w:hint="eastAsia"/>
          <w:b/>
          <w:color w:val="auto"/>
          <w:szCs w:val="21"/>
          <w:highlight w:val="none"/>
          <w:lang w:val="en-US" w:eastAsia="zh-CN"/>
        </w:rPr>
        <w:t>总价及各分项单价均</w:t>
      </w:r>
      <w:r>
        <w:rPr>
          <w:rFonts w:hint="eastAsia"/>
          <w:b/>
          <w:color w:val="auto"/>
          <w:szCs w:val="21"/>
          <w:highlight w:val="none"/>
        </w:rPr>
        <w:t>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p>
    <w:p>
      <w:pPr>
        <w:spacing w:line="400" w:lineRule="exact"/>
        <w:ind w:firstLine="420" w:firstLineChars="200"/>
        <w:outlineLvl w:val="0"/>
        <w:rPr>
          <w:rFonts w:hint="eastAsia"/>
          <w:color w:val="auto"/>
          <w:szCs w:val="21"/>
          <w:highlight w:val="none"/>
        </w:rPr>
      </w:pPr>
      <w:r>
        <w:rPr>
          <w:color w:val="auto"/>
          <w:szCs w:val="21"/>
          <w:highlight w:val="none"/>
        </w:rPr>
        <w:t>（2）</w:t>
      </w:r>
      <w:r>
        <w:rPr>
          <w:rFonts w:hint="eastAsia"/>
          <w:color w:val="auto"/>
          <w:szCs w:val="21"/>
          <w:highlight w:val="none"/>
        </w:rPr>
        <w:t>本次比选报价为综合单价</w:t>
      </w:r>
      <w:r>
        <w:rPr>
          <w:rFonts w:hint="eastAsia"/>
          <w:color w:val="auto"/>
          <w:szCs w:val="21"/>
          <w:highlight w:val="none"/>
          <w:lang w:eastAsia="zh-CN"/>
        </w:rPr>
        <w:t>：</w:t>
      </w:r>
      <w:r>
        <w:rPr>
          <w:rFonts w:hint="eastAsia"/>
          <w:color w:val="auto"/>
          <w:szCs w:val="21"/>
          <w:highlight w:val="none"/>
        </w:rPr>
        <w:t>包括</w:t>
      </w:r>
      <w:r>
        <w:rPr>
          <w:rFonts w:hint="eastAsia"/>
          <w:color w:val="auto"/>
          <w:szCs w:val="21"/>
          <w:highlight w:val="none"/>
          <w:lang w:val="en-US" w:eastAsia="zh-CN"/>
        </w:rPr>
        <w:t>人员工资</w:t>
      </w:r>
      <w:r>
        <w:rPr>
          <w:rFonts w:hint="eastAsia"/>
          <w:color w:val="auto"/>
          <w:szCs w:val="21"/>
          <w:highlight w:val="none"/>
        </w:rPr>
        <w:t>、保险、</w:t>
      </w:r>
      <w:r>
        <w:rPr>
          <w:rFonts w:hint="eastAsia"/>
          <w:color w:val="auto"/>
          <w:szCs w:val="21"/>
          <w:highlight w:val="none"/>
          <w:lang w:val="en-US" w:eastAsia="zh-CN"/>
        </w:rPr>
        <w:t>交通组织、施工组织、</w:t>
      </w:r>
      <w:r>
        <w:rPr>
          <w:rFonts w:hint="eastAsia"/>
          <w:color w:val="auto"/>
          <w:szCs w:val="21"/>
          <w:highlight w:val="none"/>
        </w:rPr>
        <w:t>合理利润</w:t>
      </w:r>
      <w:r>
        <w:rPr>
          <w:rFonts w:hint="eastAsia"/>
          <w:color w:val="auto"/>
          <w:szCs w:val="21"/>
          <w:highlight w:val="none"/>
          <w:lang w:val="en-US" w:eastAsia="zh-CN"/>
        </w:rPr>
        <w:t>等</w:t>
      </w:r>
      <w:r>
        <w:rPr>
          <w:rFonts w:hint="eastAsia"/>
          <w:color w:val="auto"/>
          <w:szCs w:val="21"/>
          <w:highlight w:val="none"/>
        </w:rPr>
        <w:t>。</w:t>
      </w:r>
    </w:p>
    <w:p>
      <w:pPr>
        <w:spacing w:line="400" w:lineRule="exact"/>
        <w:ind w:firstLine="420" w:firstLineChars="200"/>
        <w:outlineLvl w:val="0"/>
        <w:rPr>
          <w:color w:val="auto"/>
          <w:szCs w:val="21"/>
          <w:highlight w:val="none"/>
        </w:rPr>
      </w:pPr>
      <w:r>
        <w:rPr>
          <w:color w:val="auto"/>
          <w:szCs w:val="21"/>
          <w:highlight w:val="none"/>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57" w:name="_Hlk44678182"/>
      <w:r>
        <w:rPr>
          <w:rFonts w:hint="eastAsia"/>
          <w:color w:val="auto"/>
          <w:szCs w:val="21"/>
          <w:highlight w:val="none"/>
        </w:rPr>
        <w:t>比选申请</w:t>
      </w:r>
      <w:r>
        <w:rPr>
          <w:color w:val="auto"/>
          <w:szCs w:val="21"/>
          <w:highlight w:val="none"/>
        </w:rPr>
        <w:t>单位有效的营业执照</w:t>
      </w:r>
      <w:bookmarkEnd w:id="57"/>
      <w:r>
        <w:rPr>
          <w:rFonts w:hint="eastAsia"/>
          <w:color w:val="auto"/>
          <w:szCs w:val="21"/>
          <w:highlight w:val="none"/>
        </w:rPr>
        <w:t>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④其他相关资料；</w:t>
      </w:r>
    </w:p>
    <w:p>
      <w:pPr>
        <w:spacing w:line="400" w:lineRule="exact"/>
        <w:ind w:firstLine="422" w:firstLineChars="200"/>
        <w:rPr>
          <w:rFonts w:hint="eastAsia"/>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autoSpaceDE w:val="0"/>
        <w:autoSpaceDN w:val="0"/>
        <w:spacing w:line="400" w:lineRule="exact"/>
        <w:ind w:firstLine="420" w:firstLineChars="200"/>
        <w:jc w:val="left"/>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p>
    <w:p>
      <w:pPr>
        <w:rPr>
          <w:rFonts w:hint="default" w:ascii="宋体" w:hAnsi="宋体" w:cs="宋体" w:eastAsiaTheme="minorEastAsia"/>
          <w:color w:val="auto"/>
          <w:szCs w:val="21"/>
          <w:highlight w:val="none"/>
          <w:lang w:val="en-US" w:eastAsia="zh-CN"/>
        </w:rPr>
      </w:pPr>
      <w:r>
        <w:rPr>
          <w:rFonts w:hint="eastAsia"/>
          <w:b/>
          <w:color w:val="auto"/>
          <w:szCs w:val="21"/>
          <w:highlight w:val="none"/>
        </w:rPr>
        <w:t>备注：</w:t>
      </w:r>
      <w:r>
        <w:rPr>
          <w:rFonts w:hint="eastAsia"/>
          <w:b/>
          <w:color w:val="auto"/>
          <w:szCs w:val="21"/>
          <w:highlight w:val="none"/>
          <w:lang w:val="en-US" w:eastAsia="zh-CN"/>
        </w:rPr>
        <w:t>不按“二”或“三”条执行按无效竞标处理。</w:t>
      </w:r>
    </w:p>
    <w:p>
      <w:pPr>
        <w:rPr>
          <w:rFonts w:hint="eastAsia" w:ascii="宋体" w:hAnsi="宋体" w:cs="宋体" w:eastAsiaTheme="minorEastAsia"/>
          <w:color w:val="auto"/>
          <w:szCs w:val="21"/>
          <w:highlight w:val="none"/>
          <w:lang w:val="en-US" w:eastAsia="zh-CN"/>
        </w:rPr>
      </w:pPr>
    </w:p>
    <w:p>
      <w:pPr>
        <w:rPr>
          <w:color w:val="auto"/>
          <w:szCs w:val="21"/>
          <w:highlight w:val="none"/>
        </w:rPr>
      </w:pP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低价法。评标委员会对满足招标文件</w:t>
            </w:r>
            <w:r>
              <w:rPr>
                <w:rFonts w:hint="eastAsia"/>
                <w:color w:val="auto"/>
                <w:highlight w:val="none"/>
                <w:lang w:val="en-US" w:eastAsia="zh-CN"/>
              </w:rPr>
              <w:t>资格</w:t>
            </w:r>
            <w:r>
              <w:rPr>
                <w:rFonts w:hint="default"/>
                <w:color w:val="auto"/>
                <w:highlight w:val="none"/>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7"/>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w:t>
            </w:r>
            <w:r>
              <w:rPr>
                <w:rFonts w:hint="default" w:ascii="Times New Roman" w:hAnsi="Times New Roman" w:cs="Times New Roman"/>
                <w:color w:val="auto"/>
                <w:szCs w:val="21"/>
                <w:highlight w:val="none"/>
              </w:rPr>
              <w:t>对通过初步评审、详细评审的投标人</w:t>
            </w:r>
            <w:r>
              <w:rPr>
                <w:rFonts w:hint="default" w:ascii="Times New Roman" w:hAnsi="Times New Roman" w:cs="Times New Roman"/>
                <w:color w:val="auto"/>
                <w:szCs w:val="21"/>
                <w:highlight w:val="none"/>
              </w:rPr>
              <w:t>按照经评审的投标报价由低到高的顺序依次推荐3名中标候选人</w:t>
            </w:r>
            <w:r>
              <w:rPr>
                <w:rFonts w:hint="default" w:ascii="Times New Roman" w:hAnsi="Times New Roman" w:cs="Times New Roman"/>
                <w:color w:val="auto"/>
                <w:szCs w:val="21"/>
                <w:highlight w:val="none"/>
              </w:rPr>
              <w:t>。若不足3名，则只选取相应的数量。</w:t>
            </w:r>
          </w:p>
        </w:tc>
      </w:tr>
    </w:tbl>
    <w:p>
      <w:pPr>
        <w:spacing w:line="400" w:lineRule="exact"/>
        <w:rPr>
          <w:b/>
          <w:color w:val="auto"/>
          <w:szCs w:val="21"/>
          <w:highlight w:val="none"/>
        </w:rPr>
      </w:pPr>
    </w:p>
    <w:p>
      <w:pPr>
        <w:spacing w:line="400" w:lineRule="exact"/>
        <w:rPr>
          <w:b/>
          <w:color w:val="auto"/>
          <w:szCs w:val="21"/>
          <w:highlight w:val="none"/>
        </w:rPr>
      </w:pPr>
      <w:r>
        <w:rPr>
          <w:b/>
          <w:color w:val="auto"/>
          <w:szCs w:val="21"/>
          <w:highlight w:val="none"/>
        </w:rPr>
        <w:t>五、</w:t>
      </w:r>
      <w:r>
        <w:rPr>
          <w:rFonts w:hint="eastAsia"/>
          <w:b/>
          <w:color w:val="auto"/>
          <w:szCs w:val="21"/>
          <w:highlight w:val="none"/>
          <w:lang w:val="en-US" w:eastAsia="zh-CN"/>
        </w:rPr>
        <w:t>比选</w:t>
      </w:r>
      <w:r>
        <w:rPr>
          <w:b/>
          <w:color w:val="auto"/>
          <w:szCs w:val="21"/>
          <w:highlight w:val="none"/>
        </w:rPr>
        <w:t>须知</w:t>
      </w:r>
    </w:p>
    <w:p>
      <w:pPr>
        <w:spacing w:line="400" w:lineRule="exact"/>
        <w:ind w:firstLine="420" w:firstLineChars="200"/>
        <w:rPr>
          <w:rFonts w:hint="eastAsia"/>
          <w:color w:val="auto"/>
          <w:szCs w:val="21"/>
          <w:highlight w:val="none"/>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23</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27</w:t>
      </w:r>
      <w:bookmarkStart w:id="61" w:name="_GoBack"/>
      <w:bookmarkEnd w:id="61"/>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2"/>
          <w:color w:val="auto"/>
          <w:szCs w:val="21"/>
          <w:highlight w:val="none"/>
        </w:rPr>
        <w:t>http://bulletin.cebpubservice.com/）</w:t>
      </w:r>
      <w:r>
        <w:rPr>
          <w:rStyle w:val="12"/>
          <w:rFonts w:hint="eastAsia"/>
          <w:color w:val="auto"/>
          <w:szCs w:val="21"/>
          <w:highlight w:val="none"/>
          <w:lang w:eastAsia="zh-CN"/>
        </w:rPr>
        <w:t>、</w:t>
      </w:r>
      <w:r>
        <w:rPr>
          <w:rFonts w:hint="eastAsia"/>
          <w:bCs/>
          <w:color w:val="auto"/>
          <w:szCs w:val="21"/>
          <w:highlight w:val="none"/>
        </w:rPr>
        <w:t>重庆高速公路集团有限公司招投标管理平台（http://43.240.249.108:8088/PMS/）</w:t>
      </w:r>
      <w:r>
        <w:rPr>
          <w:rFonts w:hint="eastAsia"/>
          <w:bCs/>
          <w:color w:val="auto"/>
          <w:szCs w:val="21"/>
          <w:highlight w:val="none"/>
          <w:lang w:val="en-US" w:eastAsia="zh-CN"/>
        </w:rPr>
        <w:t>和重庆高速集团官网</w:t>
      </w:r>
      <w:r>
        <w:rPr>
          <w:rStyle w:val="12"/>
          <w:color w:val="auto"/>
          <w:szCs w:val="21"/>
          <w:highlight w:val="none"/>
        </w:rPr>
        <w:t>上发布</w:t>
      </w:r>
      <w:r>
        <w:rPr>
          <w:rStyle w:val="12"/>
          <w:rFonts w:hint="eastAsia"/>
          <w:color w:val="auto"/>
          <w:szCs w:val="21"/>
          <w:highlight w:val="none"/>
          <w:lang w:val="en-US" w:eastAsia="zh-CN"/>
        </w:rPr>
        <w:t>比选</w:t>
      </w:r>
      <w:r>
        <w:rPr>
          <w:rStyle w:val="12"/>
          <w:rFonts w:hint="eastAsia"/>
          <w:color w:val="auto"/>
          <w:szCs w:val="21"/>
          <w:highlight w:val="none"/>
        </w:rPr>
        <w:t>公告</w:t>
      </w:r>
      <w:r>
        <w:rPr>
          <w:rStyle w:val="12"/>
          <w:color w:val="auto"/>
          <w:szCs w:val="21"/>
          <w:highlight w:val="none"/>
        </w:rPr>
        <w:t>。</w:t>
      </w:r>
      <w:r>
        <w:rPr>
          <w:rStyle w:val="12"/>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5"/>
        <w:spacing w:line="400" w:lineRule="exact"/>
        <w:ind w:firstLine="420"/>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竞争性比选地点：重庆市渝北区海王星科技大厦D区5楼。</w:t>
      </w:r>
    </w:p>
    <w:p>
      <w:pPr>
        <w:spacing w:line="400" w:lineRule="exact"/>
        <w:ind w:firstLine="420" w:firstLineChars="200"/>
        <w:rPr>
          <w:rFonts w:hint="eastAsia"/>
          <w:bCs/>
          <w:color w:val="auto"/>
          <w:szCs w:val="21"/>
          <w:highlight w:val="none"/>
        </w:rPr>
      </w:pPr>
      <w:r>
        <w:rPr>
          <w:rFonts w:hint="eastAsia"/>
          <w:bCs/>
          <w:color w:val="auto"/>
          <w:szCs w:val="21"/>
          <w:highlight w:val="none"/>
        </w:rPr>
        <w:t>（四）竞争性比选截止及开标时间：</w:t>
      </w:r>
      <w:r>
        <w:rPr>
          <w:rFonts w:hint="eastAsia"/>
          <w:bCs/>
          <w:color w:val="auto"/>
          <w:szCs w:val="21"/>
          <w:highlight w:val="none"/>
          <w:lang w:eastAsia="zh-CN"/>
        </w:rPr>
        <w:t>202</w:t>
      </w:r>
      <w:r>
        <w:rPr>
          <w:rFonts w:hint="eastAsia"/>
          <w:bCs/>
          <w:color w:val="auto"/>
          <w:szCs w:val="21"/>
          <w:highlight w:val="none"/>
          <w:lang w:val="en-US" w:eastAsia="zh-CN"/>
        </w:rPr>
        <w:t>2</w:t>
      </w:r>
      <w:r>
        <w:rPr>
          <w:rFonts w:hint="eastAsia"/>
          <w:bCs/>
          <w:color w:val="auto"/>
          <w:szCs w:val="21"/>
          <w:highlight w:val="none"/>
        </w:rPr>
        <w:t>年</w:t>
      </w:r>
      <w:r>
        <w:rPr>
          <w:rFonts w:hint="eastAsia"/>
          <w:bCs/>
          <w:color w:val="auto"/>
          <w:szCs w:val="21"/>
          <w:highlight w:val="none"/>
          <w:lang w:val="en-US" w:eastAsia="zh-CN"/>
        </w:rPr>
        <w:t>6</w:t>
      </w:r>
      <w:r>
        <w:rPr>
          <w:rFonts w:hint="eastAsia"/>
          <w:bCs/>
          <w:color w:val="auto"/>
          <w:szCs w:val="21"/>
          <w:highlight w:val="none"/>
        </w:rPr>
        <w:t>月</w:t>
      </w:r>
      <w:r>
        <w:rPr>
          <w:rFonts w:hint="eastAsia"/>
          <w:bCs/>
          <w:color w:val="auto"/>
          <w:szCs w:val="21"/>
          <w:highlight w:val="none"/>
          <w:lang w:val="en-US" w:eastAsia="zh-CN"/>
        </w:rPr>
        <w:t xml:space="preserve">28 </w:t>
      </w:r>
      <w:r>
        <w:rPr>
          <w:rFonts w:hint="eastAsia"/>
          <w:bCs/>
          <w:color w:val="auto"/>
          <w:szCs w:val="21"/>
          <w:highlight w:val="none"/>
        </w:rPr>
        <w:t>日 1</w:t>
      </w:r>
      <w:r>
        <w:rPr>
          <w:rFonts w:hint="eastAsia"/>
          <w:bCs/>
          <w:color w:val="auto"/>
          <w:szCs w:val="21"/>
          <w:highlight w:val="none"/>
          <w:lang w:val="en-US" w:eastAsia="zh-CN"/>
        </w:rPr>
        <w:t>4</w:t>
      </w:r>
      <w:r>
        <w:rPr>
          <w:rFonts w:hint="eastAsia"/>
          <w:bCs/>
          <w:color w:val="auto"/>
          <w:szCs w:val="21"/>
          <w:highlight w:val="none"/>
        </w:rPr>
        <w:t>时 00 分（北京时间）。</w:t>
      </w:r>
    </w:p>
    <w:p>
      <w:pPr>
        <w:spacing w:line="400" w:lineRule="exact"/>
        <w:ind w:firstLine="420" w:firstLineChars="200"/>
        <w:rPr>
          <w:rFonts w:hint="eastAsia"/>
          <w:bCs/>
          <w:color w:val="auto"/>
          <w:szCs w:val="21"/>
          <w:highlight w:val="none"/>
        </w:rPr>
      </w:pPr>
      <w:r>
        <w:rPr>
          <w:rFonts w:hint="eastAsia"/>
          <w:bCs/>
          <w:color w:val="auto"/>
          <w:szCs w:val="21"/>
          <w:highlight w:val="none"/>
        </w:rPr>
        <w:t>（五）本项目的竞标保证金为</w:t>
      </w:r>
      <w:r>
        <w:rPr>
          <w:rFonts w:hint="eastAsia"/>
          <w:bCs/>
          <w:color w:val="auto"/>
          <w:szCs w:val="21"/>
          <w:highlight w:val="none"/>
          <w:lang w:val="en-US" w:eastAsia="zh-CN"/>
        </w:rPr>
        <w:t>2000</w:t>
      </w:r>
      <w:r>
        <w:rPr>
          <w:rFonts w:hint="eastAsia"/>
          <w:bCs/>
          <w:color w:val="auto"/>
          <w:szCs w:val="21"/>
          <w:highlight w:val="none"/>
        </w:rPr>
        <w:t>元整。比选申请单位需在</w:t>
      </w:r>
      <w:r>
        <w:rPr>
          <w:rFonts w:hint="eastAsia"/>
          <w:bCs/>
          <w:color w:val="auto"/>
          <w:szCs w:val="21"/>
          <w:highlight w:val="none"/>
          <w:lang w:eastAsia="zh-CN"/>
        </w:rPr>
        <w:t>202</w:t>
      </w:r>
      <w:r>
        <w:rPr>
          <w:rFonts w:hint="eastAsia"/>
          <w:bCs/>
          <w:color w:val="auto"/>
          <w:szCs w:val="21"/>
          <w:highlight w:val="none"/>
          <w:lang w:val="en-US" w:eastAsia="zh-CN"/>
        </w:rPr>
        <w:t>2</w:t>
      </w:r>
      <w:r>
        <w:rPr>
          <w:rFonts w:hint="eastAsia"/>
          <w:bCs/>
          <w:color w:val="auto"/>
          <w:szCs w:val="21"/>
          <w:highlight w:val="none"/>
        </w:rPr>
        <w:t>年</w:t>
      </w:r>
      <w:r>
        <w:rPr>
          <w:rFonts w:hint="eastAsia"/>
          <w:bCs/>
          <w:color w:val="auto"/>
          <w:szCs w:val="21"/>
          <w:highlight w:val="none"/>
          <w:lang w:val="en-US" w:eastAsia="zh-CN"/>
        </w:rPr>
        <w:t>6</w:t>
      </w:r>
      <w:r>
        <w:rPr>
          <w:rFonts w:hint="eastAsia"/>
          <w:bCs/>
          <w:color w:val="auto"/>
          <w:szCs w:val="21"/>
          <w:highlight w:val="none"/>
        </w:rPr>
        <w:t>月</w:t>
      </w:r>
      <w:r>
        <w:rPr>
          <w:rFonts w:hint="eastAsia"/>
          <w:bCs/>
          <w:color w:val="auto"/>
          <w:szCs w:val="21"/>
          <w:highlight w:val="none"/>
          <w:lang w:val="en-US" w:eastAsia="zh-CN"/>
        </w:rPr>
        <w:t>27</w:t>
      </w:r>
      <w:r>
        <w:rPr>
          <w:rFonts w:hint="eastAsia"/>
          <w:bCs/>
          <w:color w:val="auto"/>
          <w:szCs w:val="21"/>
          <w:highlight w:val="none"/>
        </w:rPr>
        <w:t>日1</w:t>
      </w:r>
      <w:r>
        <w:rPr>
          <w:rFonts w:hint="eastAsia"/>
          <w:bCs/>
          <w:color w:val="auto"/>
          <w:szCs w:val="21"/>
          <w:highlight w:val="none"/>
          <w:lang w:val="en-US" w:eastAsia="zh-CN"/>
        </w:rPr>
        <w:t>7</w:t>
      </w:r>
      <w:r>
        <w:rPr>
          <w:rFonts w:hint="eastAsia"/>
          <w:bCs/>
          <w:color w:val="auto"/>
          <w:szCs w:val="21"/>
          <w:highlight w:val="none"/>
        </w:rPr>
        <w:t>:00（北京时间）前将保证金</w:t>
      </w:r>
      <w:r>
        <w:rPr>
          <w:rFonts w:hint="eastAsia"/>
          <w:bCs/>
          <w:color w:val="auto"/>
          <w:szCs w:val="21"/>
          <w:highlight w:val="none"/>
          <w:lang w:eastAsia="zh-CN"/>
        </w:rPr>
        <w:t>（</w:t>
      </w:r>
      <w:r>
        <w:rPr>
          <w:rFonts w:hint="eastAsia"/>
          <w:bCs/>
          <w:color w:val="auto"/>
          <w:szCs w:val="21"/>
          <w:highlight w:val="none"/>
          <w:lang w:val="en-US" w:eastAsia="zh-CN"/>
        </w:rPr>
        <w:t>需备注项目全称</w:t>
      </w:r>
      <w:r>
        <w:rPr>
          <w:rFonts w:hint="eastAsia"/>
          <w:bCs/>
          <w:color w:val="auto"/>
          <w:szCs w:val="21"/>
          <w:highlight w:val="none"/>
          <w:lang w:eastAsia="zh-CN"/>
        </w:rPr>
        <w:t>）</w:t>
      </w:r>
      <w:r>
        <w:rPr>
          <w:rFonts w:hint="eastAsia"/>
          <w:bCs/>
          <w:color w:val="auto"/>
          <w:szCs w:val="21"/>
          <w:highlight w:val="none"/>
        </w:rPr>
        <w:t>交到比选人指定账户（比选人账户见下）。比选结果公布后，比选申请单位向比选人提出退保证金申请，比选人在收到退保证金申请后的20个工作日内无息返还竞标保证金。</w:t>
      </w:r>
    </w:p>
    <w:p>
      <w:pPr>
        <w:spacing w:line="400" w:lineRule="exact"/>
        <w:ind w:firstLine="420" w:firstLineChars="200"/>
        <w:rPr>
          <w:rFonts w:hint="eastAsia"/>
          <w:bCs/>
          <w:color w:val="auto"/>
          <w:szCs w:val="21"/>
          <w:highlight w:val="none"/>
          <w:lang w:val="en-US" w:eastAsia="zh-CN"/>
        </w:rPr>
      </w:pPr>
      <w:r>
        <w:rPr>
          <w:rFonts w:hint="eastAsia"/>
          <w:bCs/>
          <w:color w:val="auto"/>
          <w:szCs w:val="21"/>
          <w:highlight w:val="none"/>
          <w:lang w:val="en-US" w:eastAsia="zh-CN"/>
        </w:rPr>
        <w:t xml:space="preserve">    （六）本项目的履约保证金为中标金额的10%，第一中标候选人的竞标保证金自动转为履约保证金，不足部分由第一中标候选人在中标通知书下发的5个日历日内补交到发包人账户，否则取消中标资格。中标结果依次顺延。</w:t>
      </w:r>
    </w:p>
    <w:p>
      <w:pPr>
        <w:spacing w:line="400" w:lineRule="exact"/>
        <w:ind w:firstLine="420" w:firstLineChars="200"/>
        <w:rPr>
          <w:rFonts w:hint="eastAsia"/>
          <w:bCs/>
          <w:color w:val="auto"/>
          <w:szCs w:val="21"/>
          <w:highlight w:val="none"/>
        </w:rPr>
      </w:pPr>
      <w:r>
        <w:rPr>
          <w:rFonts w:hint="eastAsia"/>
          <w:bCs/>
          <w:color w:val="auto"/>
          <w:szCs w:val="21"/>
          <w:highlight w:val="none"/>
        </w:rPr>
        <w:t>比选人账户：</w:t>
      </w:r>
    </w:p>
    <w:p>
      <w:pPr>
        <w:spacing w:line="400" w:lineRule="exact"/>
        <w:ind w:firstLine="420" w:firstLineChars="200"/>
        <w:rPr>
          <w:rFonts w:hint="eastAsia"/>
          <w:bCs/>
          <w:color w:val="auto"/>
          <w:szCs w:val="21"/>
          <w:highlight w:val="none"/>
          <w:lang w:val="en-US"/>
        </w:rPr>
      </w:pPr>
      <w:r>
        <w:rPr>
          <w:rFonts w:hint="eastAsia"/>
          <w:bCs/>
          <w:color w:val="auto"/>
          <w:szCs w:val="21"/>
          <w:highlight w:val="none"/>
        </w:rPr>
        <w:t xml:space="preserve">    名  称:重庆高速文化传媒股份有限公司</w:t>
      </w:r>
      <w:r>
        <w:rPr>
          <w:rFonts w:hint="eastAsia"/>
          <w:bCs/>
          <w:color w:val="auto"/>
          <w:szCs w:val="21"/>
          <w:highlight w:val="none"/>
        </w:rPr>
        <w:br w:type="textWrapping"/>
      </w:r>
      <w:r>
        <w:rPr>
          <w:rFonts w:hint="eastAsia"/>
          <w:bCs/>
          <w:color w:val="auto"/>
          <w:szCs w:val="21"/>
          <w:highlight w:val="none"/>
        </w:rPr>
        <w:t xml:space="preserve">    纳税人识别号：915001032028211147</w:t>
      </w:r>
      <w:r>
        <w:rPr>
          <w:rFonts w:hint="eastAsia"/>
          <w:bCs/>
          <w:color w:val="auto"/>
          <w:szCs w:val="21"/>
          <w:highlight w:val="none"/>
        </w:rPr>
        <w:br w:type="textWrapping"/>
      </w:r>
      <w:r>
        <w:rPr>
          <w:rFonts w:hint="eastAsia"/>
          <w:bCs/>
          <w:color w:val="auto"/>
          <w:szCs w:val="21"/>
          <w:highlight w:val="none"/>
        </w:rPr>
        <w:t xml:space="preserve">    地址、电话：重庆市渝北区龙山街道龙脊路248号附6号3-2    89138385</w:t>
      </w:r>
      <w:r>
        <w:rPr>
          <w:rFonts w:hint="eastAsia"/>
          <w:bCs/>
          <w:color w:val="auto"/>
          <w:szCs w:val="21"/>
          <w:highlight w:val="none"/>
        </w:rPr>
        <w:br w:type="textWrapping"/>
      </w:r>
      <w:r>
        <w:rPr>
          <w:rFonts w:hint="eastAsia"/>
          <w:bCs/>
          <w:color w:val="auto"/>
          <w:szCs w:val="21"/>
          <w:highlight w:val="none"/>
        </w:rPr>
        <w:t xml:space="preserve">    开户行、账号：</w:t>
      </w:r>
      <w:r>
        <w:rPr>
          <w:rFonts w:hint="eastAsia"/>
          <w:bCs/>
          <w:color w:val="auto"/>
          <w:szCs w:val="21"/>
          <w:highlight w:val="none"/>
          <w:lang w:val="en-US" w:eastAsia="zh-CN"/>
        </w:rPr>
        <w:t>重庆银行上清寺支行</w:t>
      </w:r>
      <w:r>
        <w:rPr>
          <w:rFonts w:hint="eastAsia"/>
          <w:bCs/>
          <w:color w:val="auto"/>
          <w:szCs w:val="21"/>
          <w:highlight w:val="none"/>
        </w:rPr>
        <w:t xml:space="preserve">    </w:t>
      </w:r>
      <w:r>
        <w:rPr>
          <w:rFonts w:hint="eastAsia"/>
          <w:bCs/>
          <w:color w:val="auto"/>
          <w:szCs w:val="21"/>
          <w:highlight w:val="none"/>
          <w:lang w:val="en-US" w:eastAsia="zh-CN"/>
        </w:rPr>
        <w:t>220102029000401017</w:t>
      </w:r>
    </w:p>
    <w:p>
      <w:pPr>
        <w:spacing w:line="400" w:lineRule="exact"/>
        <w:ind w:firstLine="420" w:firstLineChars="200"/>
        <w:rPr>
          <w:rFonts w:hint="eastAsia"/>
          <w:bCs/>
          <w:color w:val="auto"/>
          <w:szCs w:val="21"/>
          <w:highlight w:val="none"/>
          <w:lang w:eastAsia="zh-CN"/>
        </w:rPr>
      </w:pPr>
      <w:r>
        <w:rPr>
          <w:rFonts w:hint="eastAsia"/>
          <w:bCs/>
          <w:color w:val="auto"/>
          <w:szCs w:val="21"/>
          <w:highlight w:val="none"/>
          <w:lang w:val="en-US" w:eastAsia="zh-CN"/>
        </w:rPr>
        <w:t xml:space="preserve">  </w:t>
      </w:r>
      <w:r>
        <w:rPr>
          <w:rFonts w:hint="eastAsia"/>
          <w:bCs/>
          <w:color w:val="auto"/>
          <w:szCs w:val="21"/>
          <w:highlight w:val="none"/>
        </w:rPr>
        <w:t>（六）各比选申请人应根据本次比选的具体要求，编制规范的竞争性比选申请文件</w:t>
      </w:r>
      <w:r>
        <w:rPr>
          <w:rFonts w:hint="eastAsia"/>
          <w:bCs/>
          <w:color w:val="auto"/>
          <w:szCs w:val="21"/>
          <w:highlight w:val="none"/>
          <w:lang w:eastAsia="zh-CN"/>
        </w:rPr>
        <w:t>。</w:t>
      </w:r>
    </w:p>
    <w:p>
      <w:pPr>
        <w:spacing w:line="400" w:lineRule="exact"/>
        <w:ind w:firstLine="420" w:firstLineChars="200"/>
        <w:rPr>
          <w:rFonts w:hint="eastAsia"/>
          <w:bCs/>
          <w:color w:val="auto"/>
          <w:szCs w:val="21"/>
          <w:highlight w:val="none"/>
          <w:lang w:eastAsia="zh-CN"/>
        </w:rPr>
      </w:pPr>
      <w:r>
        <w:rPr>
          <w:rFonts w:hint="eastAsia"/>
          <w:bCs/>
          <w:color w:val="auto"/>
          <w:szCs w:val="21"/>
          <w:highlight w:val="none"/>
          <w:lang w:val="en-US" w:eastAsia="zh-CN"/>
        </w:rPr>
        <w:t xml:space="preserve">     1、</w:t>
      </w:r>
      <w:r>
        <w:rPr>
          <w:rFonts w:hint="eastAsia"/>
          <w:bCs/>
          <w:color w:val="auto"/>
          <w:szCs w:val="21"/>
          <w:highlight w:val="none"/>
        </w:rPr>
        <w:t>竞争性比选申请文件要求填写规范，密封完好并在封口处加盖公章，所有竞争性比选申请文件均只能作一次性提交，提交后不得更改</w:t>
      </w:r>
      <w:r>
        <w:rPr>
          <w:rFonts w:hint="eastAsia"/>
          <w:bCs/>
          <w:color w:val="auto"/>
          <w:szCs w:val="21"/>
          <w:highlight w:val="none"/>
          <w:lang w:eastAsia="zh-CN"/>
        </w:rPr>
        <w:t>。</w:t>
      </w:r>
    </w:p>
    <w:p>
      <w:pPr>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 xml:space="preserve">     2、非法人提交比选文件时，提交者必须提供授权委托书以及身份证原件，并且提交者、授权委托书以及身份证原件三者为同一人</w:t>
      </w:r>
      <w:r>
        <w:rPr>
          <w:rFonts w:hint="eastAsia"/>
          <w:bCs/>
          <w:color w:val="auto"/>
          <w:szCs w:val="21"/>
          <w:highlight w:val="none"/>
        </w:rPr>
        <w:t>。</w:t>
      </w:r>
    </w:p>
    <w:p>
      <w:pPr>
        <w:spacing w:line="400" w:lineRule="exact"/>
        <w:ind w:firstLine="420" w:firstLineChars="200"/>
        <w:rPr>
          <w:rFonts w:hint="eastAsia"/>
          <w:bCs/>
          <w:color w:val="auto"/>
          <w:szCs w:val="21"/>
          <w:highlight w:val="none"/>
        </w:rPr>
      </w:pPr>
      <w:r>
        <w:rPr>
          <w:rFonts w:hint="eastAsia"/>
          <w:bCs/>
          <w:color w:val="auto"/>
          <w:szCs w:val="21"/>
          <w:highlight w:val="none"/>
        </w:rPr>
        <w:t>（七）密封要求：</w:t>
      </w:r>
    </w:p>
    <w:p>
      <w:pPr>
        <w:spacing w:line="400" w:lineRule="exact"/>
        <w:ind w:firstLine="420" w:firstLineChars="200"/>
        <w:rPr>
          <w:rFonts w:hint="eastAsia"/>
          <w:bCs/>
          <w:color w:val="auto"/>
          <w:szCs w:val="21"/>
          <w:highlight w:val="none"/>
        </w:rPr>
      </w:pPr>
      <w:r>
        <w:rPr>
          <w:rFonts w:hint="eastAsia"/>
          <w:bCs/>
          <w:color w:val="auto"/>
          <w:szCs w:val="21"/>
          <w:highlight w:val="none"/>
        </w:rPr>
        <w:t>按要求制作的</w:t>
      </w:r>
      <w:r>
        <w:rPr>
          <w:rFonts w:hint="eastAsia"/>
          <w:bCs/>
          <w:color w:val="auto"/>
          <w:szCs w:val="21"/>
          <w:highlight w:val="none"/>
          <w:lang w:val="en-US" w:eastAsia="zh-CN"/>
        </w:rPr>
        <w:t>比选</w:t>
      </w:r>
      <w:r>
        <w:rPr>
          <w:rFonts w:hint="eastAsia"/>
          <w:bCs/>
          <w:color w:val="auto"/>
          <w:szCs w:val="21"/>
          <w:highlight w:val="none"/>
        </w:rPr>
        <w:t>响应文件，将</w:t>
      </w:r>
      <w:r>
        <w:rPr>
          <w:rFonts w:hint="eastAsia"/>
          <w:bCs/>
          <w:color w:val="auto"/>
          <w:szCs w:val="21"/>
          <w:highlight w:val="none"/>
          <w:lang w:val="en-US" w:eastAsia="zh-CN"/>
        </w:rPr>
        <w:t>比选</w:t>
      </w:r>
      <w:r>
        <w:rPr>
          <w:rFonts w:hint="eastAsia"/>
          <w:bCs/>
          <w:color w:val="auto"/>
          <w:szCs w:val="21"/>
          <w:highlight w:val="none"/>
        </w:rPr>
        <w:t>响应文件密封到一个封套中，再在封套上写明以下信息：</w:t>
      </w:r>
    </w:p>
    <w:p>
      <w:pPr>
        <w:spacing w:line="400" w:lineRule="exact"/>
        <w:ind w:firstLine="420" w:firstLineChars="200"/>
        <w:rPr>
          <w:rFonts w:hint="eastAsia"/>
          <w:bCs/>
          <w:color w:val="auto"/>
          <w:szCs w:val="21"/>
          <w:highlight w:val="none"/>
        </w:rPr>
      </w:pPr>
    </w:p>
    <w:p>
      <w:pPr>
        <w:spacing w:line="400" w:lineRule="exact"/>
        <w:ind w:firstLine="420" w:firstLineChars="200"/>
        <w:rPr>
          <w:rFonts w:hint="eastAsia"/>
          <w:bCs/>
          <w:color w:val="auto"/>
          <w:szCs w:val="21"/>
          <w:highlight w:val="none"/>
        </w:rPr>
      </w:pPr>
    </w:p>
    <w:p>
      <w:pPr>
        <w:spacing w:line="400" w:lineRule="exact"/>
        <w:ind w:firstLine="420" w:firstLineChars="200"/>
        <w:jc w:val="center"/>
        <w:rPr>
          <w:rFonts w:hint="eastAsia"/>
          <w:bCs/>
          <w:color w:val="auto"/>
          <w:szCs w:val="21"/>
          <w:highlight w:val="none"/>
          <w:lang w:val="en-US" w:eastAsia="zh-CN"/>
        </w:rPr>
      </w:pPr>
      <w:r>
        <w:rPr>
          <w:rFonts w:hint="eastAsia"/>
          <w:bCs/>
          <w:color w:val="auto"/>
          <w:szCs w:val="21"/>
          <w:highlight w:val="none"/>
          <w:lang w:val="en-US" w:eastAsia="zh-CN"/>
        </w:rPr>
        <w:t>重庆高速文化传媒股份有限公司广告对牌安全隐患整改项目</w:t>
      </w:r>
    </w:p>
    <w:p>
      <w:pPr>
        <w:spacing w:line="400" w:lineRule="exact"/>
        <w:ind w:firstLine="420" w:firstLineChars="200"/>
        <w:rPr>
          <w:rFonts w:hint="eastAsia"/>
          <w:bCs/>
          <w:color w:val="auto"/>
          <w:szCs w:val="21"/>
          <w:highlight w:val="none"/>
          <w:lang w:val="en-US" w:eastAsia="zh-CN"/>
        </w:rPr>
      </w:pPr>
    </w:p>
    <w:p>
      <w:pPr>
        <w:spacing w:line="400" w:lineRule="exact"/>
        <w:ind w:firstLine="420" w:firstLineChars="200"/>
        <w:jc w:val="center"/>
        <w:rPr>
          <w:rFonts w:hint="eastAsia"/>
          <w:bCs/>
          <w:color w:val="auto"/>
          <w:szCs w:val="21"/>
          <w:highlight w:val="none"/>
        </w:rPr>
      </w:pPr>
      <w:r>
        <w:rPr>
          <w:rFonts w:hint="eastAsia"/>
          <w:bCs/>
          <w:color w:val="auto"/>
          <w:szCs w:val="21"/>
          <w:highlight w:val="none"/>
        </w:rPr>
        <w:t>在20</w:t>
      </w:r>
      <w:r>
        <w:rPr>
          <w:rFonts w:hint="eastAsia"/>
          <w:bCs/>
          <w:color w:val="auto"/>
          <w:szCs w:val="21"/>
          <w:highlight w:val="none"/>
          <w:lang w:val="en-US" w:eastAsia="zh-CN"/>
        </w:rPr>
        <w:t>22</w:t>
      </w:r>
      <w:r>
        <w:rPr>
          <w:rFonts w:hint="eastAsia"/>
          <w:bCs/>
          <w:color w:val="auto"/>
          <w:szCs w:val="21"/>
          <w:highlight w:val="none"/>
        </w:rPr>
        <w:t xml:space="preserve">年 </w:t>
      </w:r>
      <w:r>
        <w:rPr>
          <w:rFonts w:hint="eastAsia"/>
          <w:bCs/>
          <w:color w:val="auto"/>
          <w:szCs w:val="21"/>
          <w:highlight w:val="none"/>
          <w:lang w:val="en-US" w:eastAsia="zh-CN"/>
        </w:rPr>
        <w:t>6</w:t>
      </w:r>
      <w:r>
        <w:rPr>
          <w:rFonts w:hint="eastAsia"/>
          <w:bCs/>
          <w:color w:val="auto"/>
          <w:szCs w:val="21"/>
          <w:highlight w:val="none"/>
        </w:rPr>
        <w:t xml:space="preserve"> 月</w:t>
      </w:r>
      <w:r>
        <w:rPr>
          <w:rFonts w:hint="eastAsia"/>
          <w:bCs/>
          <w:color w:val="auto"/>
          <w:szCs w:val="21"/>
          <w:highlight w:val="none"/>
          <w:lang w:val="en-US" w:eastAsia="zh-CN"/>
        </w:rPr>
        <w:t>28</w:t>
      </w:r>
      <w:r>
        <w:rPr>
          <w:rFonts w:hint="eastAsia"/>
          <w:bCs/>
          <w:color w:val="auto"/>
          <w:szCs w:val="21"/>
          <w:highlight w:val="none"/>
        </w:rPr>
        <w:t>日下午1</w:t>
      </w:r>
      <w:r>
        <w:rPr>
          <w:rFonts w:hint="eastAsia"/>
          <w:bCs/>
          <w:color w:val="auto"/>
          <w:szCs w:val="21"/>
          <w:highlight w:val="none"/>
          <w:lang w:val="en-US" w:eastAsia="zh-CN"/>
        </w:rPr>
        <w:t>4</w:t>
      </w:r>
      <w:r>
        <w:rPr>
          <w:rFonts w:hint="eastAsia"/>
          <w:bCs/>
          <w:color w:val="auto"/>
          <w:szCs w:val="21"/>
          <w:highlight w:val="none"/>
        </w:rPr>
        <w:t>:00时前不得开启</w:t>
      </w:r>
    </w:p>
    <w:p>
      <w:pPr>
        <w:spacing w:line="400" w:lineRule="exact"/>
        <w:ind w:firstLine="420" w:firstLineChars="200"/>
        <w:rPr>
          <w:rFonts w:hint="eastAsia"/>
          <w:bCs/>
          <w:color w:val="auto"/>
          <w:szCs w:val="21"/>
          <w:highlight w:val="none"/>
        </w:rPr>
      </w:pPr>
    </w:p>
    <w:p>
      <w:pPr>
        <w:spacing w:line="400" w:lineRule="exact"/>
        <w:ind w:firstLine="420" w:firstLineChars="200"/>
        <w:rPr>
          <w:rFonts w:hint="eastAsia"/>
          <w:bCs/>
          <w:color w:val="auto"/>
          <w:szCs w:val="21"/>
          <w:highlight w:val="none"/>
        </w:rPr>
      </w:pPr>
    </w:p>
    <w:p>
      <w:pPr>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比选</w:t>
      </w:r>
      <w:r>
        <w:rPr>
          <w:rFonts w:hint="eastAsia"/>
          <w:bCs/>
          <w:color w:val="auto"/>
          <w:szCs w:val="21"/>
          <w:highlight w:val="none"/>
        </w:rPr>
        <w:t>人：重庆高速文化传媒股份有限公司</w:t>
      </w:r>
    </w:p>
    <w:p>
      <w:pPr>
        <w:spacing w:line="400" w:lineRule="exact"/>
        <w:ind w:firstLine="420" w:firstLineChars="200"/>
        <w:rPr>
          <w:rFonts w:hint="default"/>
          <w:bCs/>
          <w:color w:val="auto"/>
          <w:szCs w:val="21"/>
          <w:highlight w:val="none"/>
          <w:lang w:val="en-US" w:eastAsia="zh-CN"/>
        </w:rPr>
      </w:pPr>
      <w:r>
        <w:rPr>
          <w:rFonts w:hint="eastAsia"/>
          <w:bCs/>
          <w:color w:val="auto"/>
          <w:szCs w:val="21"/>
          <w:highlight w:val="none"/>
        </w:rPr>
        <w:t>地址：：重庆市渝北区海王星科技大厦D区5楼</w:t>
      </w:r>
      <w:r>
        <w:rPr>
          <w:rFonts w:hint="eastAsia"/>
          <w:bCs/>
          <w:color w:val="auto"/>
          <w:szCs w:val="21"/>
          <w:highlight w:val="none"/>
          <w:lang w:val="en-US" w:eastAsia="zh-CN"/>
        </w:rPr>
        <w:t>办公室</w:t>
      </w:r>
      <w:r>
        <w:rPr>
          <w:rFonts w:hint="eastAsia"/>
          <w:bCs/>
          <w:color w:val="auto"/>
          <w:szCs w:val="21"/>
          <w:highlight w:val="none"/>
        </w:rPr>
        <w:br w:type="textWrapping"/>
      </w:r>
      <w:r>
        <w:rPr>
          <w:rFonts w:hint="eastAsia"/>
          <w:bCs/>
          <w:color w:val="auto"/>
          <w:szCs w:val="21"/>
          <w:highlight w:val="none"/>
          <w:lang w:val="en-US" w:eastAsia="zh-CN"/>
        </w:rPr>
        <w:t xml:space="preserve">    </w:t>
      </w:r>
      <w:r>
        <w:rPr>
          <w:rFonts w:hint="eastAsia"/>
          <w:bCs/>
          <w:color w:val="auto"/>
          <w:szCs w:val="21"/>
          <w:highlight w:val="none"/>
        </w:rPr>
        <w:t>联系人：吴老师     电话：023－89139</w:t>
      </w:r>
      <w:r>
        <w:rPr>
          <w:rFonts w:hint="eastAsia"/>
          <w:bCs/>
          <w:color w:val="auto"/>
          <w:szCs w:val="21"/>
          <w:highlight w:val="none"/>
          <w:lang w:val="en-US" w:eastAsia="zh-CN"/>
        </w:rPr>
        <w:t>0907</w:t>
      </w:r>
    </w:p>
    <w:p>
      <w:pPr>
        <w:pStyle w:val="15"/>
        <w:rPr>
          <w:color w:val="auto"/>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竞争比选</w:t>
      </w:r>
      <w:r>
        <w:rPr>
          <w:rFonts w:hint="eastAsia" w:ascii="宋体" w:hAnsi="宋体" w:cs="宋体"/>
          <w:b/>
          <w:color w:val="auto"/>
          <w:sz w:val="24"/>
          <w:highlight w:val="none"/>
        </w:rPr>
        <w:t>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重庆高速文化传媒股份有限公司广告对牌安全隐患整改项目</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5"/>
        <w:rPr>
          <w:color w:val="auto"/>
          <w:highlight w:val="none"/>
        </w:rPr>
      </w:pPr>
    </w:p>
    <w:p>
      <w:pPr>
        <w:rPr>
          <w:color w:val="auto"/>
          <w:highlight w:val="none"/>
        </w:rPr>
      </w:pPr>
    </w:p>
    <w:p>
      <w:pPr>
        <w:pStyle w:val="2"/>
        <w:rPr>
          <w:color w:val="auto"/>
          <w:highlight w:val="none"/>
        </w:rPr>
      </w:pPr>
    </w:p>
    <w:p>
      <w:pPr>
        <w:pStyle w:val="15"/>
        <w:rPr>
          <w:color w:val="auto"/>
          <w:highlight w:val="none"/>
        </w:rPr>
      </w:pPr>
    </w:p>
    <w:p>
      <w:pPr>
        <w:rPr>
          <w:color w:val="auto"/>
          <w:highlight w:val="none"/>
        </w:rPr>
      </w:pPr>
    </w:p>
    <w:p>
      <w:pPr>
        <w:pStyle w:val="2"/>
        <w:rPr>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报价书</w:t>
      </w: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p>
      <w:pPr>
        <w:numPr>
          <w:ilvl w:val="0"/>
          <w:numId w:val="1"/>
        </w:numPr>
        <w:spacing w:line="360" w:lineRule="auto"/>
        <w:ind w:firstLine="720" w:firstLineChars="30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响应单位有效的营业执照</w:t>
      </w:r>
      <w:r>
        <w:rPr>
          <w:rFonts w:hint="eastAsia" w:ascii="宋体" w:hAnsi="宋体" w:cs="宋体"/>
          <w:color w:val="auto"/>
          <w:sz w:val="24"/>
          <w:szCs w:val="24"/>
          <w:highlight w:val="none"/>
          <w:lang w:val="en-US" w:eastAsia="zh-CN"/>
        </w:rPr>
        <w:t>等</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四、其他相关资料</w:t>
      </w:r>
    </w:p>
    <w:p>
      <w:pPr>
        <w:tabs>
          <w:tab w:val="left" w:pos="900"/>
          <w:tab w:val="left" w:pos="1080"/>
        </w:tabs>
        <w:spacing w:line="360" w:lineRule="auto"/>
        <w:outlineLvl w:val="0"/>
        <w:rPr>
          <w:rFonts w:ascii="宋体" w:hAnsi="宋体" w:cs="宋体"/>
          <w:b/>
          <w:color w:val="auto"/>
          <w:sz w:val="24"/>
          <w:szCs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pStyle w:val="2"/>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ascii="宋体" w:hAnsi="宋体" w:cs="宋体"/>
          <w:b/>
          <w:color w:val="auto"/>
          <w:sz w:val="28"/>
          <w:szCs w:val="28"/>
          <w:highlight w:val="none"/>
        </w:rPr>
      </w:pPr>
      <w:bookmarkStart w:id="58" w:name="_Toc265510122"/>
      <w:r>
        <w:rPr>
          <w:rFonts w:hint="eastAsia" w:ascii="宋体" w:hAnsi="宋体" w:cs="宋体"/>
          <w:b/>
          <w:color w:val="auto"/>
          <w:sz w:val="28"/>
          <w:szCs w:val="28"/>
          <w:highlight w:val="none"/>
        </w:rPr>
        <w:t>一、报价书</w:t>
      </w:r>
      <w:bookmarkEnd w:id="58"/>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tabs>
          <w:tab w:val="left" w:pos="9720"/>
        </w:tabs>
        <w:ind w:right="-294" w:rightChars="-140" w:firstLine="422" w:firstLineChars="200"/>
        <w:jc w:val="both"/>
        <w:rPr>
          <w:rFonts w:hint="eastAsia" w:ascii="宋体" w:hAnsi="宋体" w:cs="宋体" w:eastAsiaTheme="minorEastAsia"/>
          <w:b w:val="0"/>
          <w:color w:val="auto"/>
          <w:kern w:val="2"/>
          <w:sz w:val="21"/>
          <w:szCs w:val="21"/>
          <w:highlight w:val="none"/>
          <w:u w:val="single"/>
          <w:lang w:val="en-US" w:eastAsia="zh-CN" w:bidi="ar-SA"/>
        </w:rPr>
      </w:pPr>
      <w:r>
        <w:rPr>
          <w:rFonts w:hint="eastAsia" w:ascii="宋体" w:hAnsi="宋体" w:cs="宋体" w:eastAsiaTheme="minorEastAsia"/>
          <w:b/>
          <w:color w:val="auto"/>
          <w:kern w:val="2"/>
          <w:sz w:val="21"/>
          <w:szCs w:val="21"/>
          <w:highlight w:val="none"/>
          <w:u w:val="single"/>
          <w:lang w:val="en-US" w:eastAsia="zh-CN" w:bidi="ar-SA"/>
        </w:rPr>
        <w:t>我方已仔细研究了重庆高速文化传媒股份有限公司广告对牌安全隐患整改项目</w:t>
      </w:r>
      <w:r>
        <w:rPr>
          <w:rFonts w:hint="eastAsia" w:ascii="宋体" w:hAnsi="宋体" w:cs="宋体" w:eastAsiaTheme="minorEastAsia"/>
          <w:b w:val="0"/>
          <w:color w:val="auto"/>
          <w:kern w:val="2"/>
          <w:sz w:val="21"/>
          <w:szCs w:val="21"/>
          <w:highlight w:val="none"/>
          <w:u w:val="single"/>
          <w:lang w:val="en-US" w:eastAsia="zh-CN" w:bidi="ar-SA"/>
        </w:rPr>
        <w:t xml:space="preserve">比选文件的全部内容，我司愿意以总报价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（大写）（¥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．我方承诺在竞标有效期内不修改、撤销</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．在合同协议书正式签署生效之前，本报价书连同你方的成交通知书将构成我们双方之间共同遵守的文件。对双方具有约束力。</w:t>
      </w:r>
    </w:p>
    <w:p>
      <w:pPr>
        <w:pStyle w:val="2"/>
        <w:ind w:left="0" w:leftChars="0" w:firstLine="420" w:firstLineChars="200"/>
        <w:rPr>
          <w:rFonts w:hint="default" w:ascii="宋体" w:hAnsi="宋体" w:cs="宋体" w:eastAsiaTheme="minorEastAsia"/>
          <w:b w:val="0"/>
          <w:color w:val="auto"/>
          <w:kern w:val="2"/>
          <w:sz w:val="21"/>
          <w:szCs w:val="24"/>
          <w:highlight w:val="none"/>
          <w:lang w:val="en-US" w:eastAsia="zh-CN" w:bidi="ar-SA"/>
        </w:rPr>
      </w:pPr>
      <w:r>
        <w:rPr>
          <w:rFonts w:hint="eastAsia" w:ascii="宋体" w:hAnsi="宋体" w:cs="宋体" w:eastAsiaTheme="minorEastAsia"/>
          <w:b w:val="0"/>
          <w:color w:val="auto"/>
          <w:kern w:val="2"/>
          <w:sz w:val="21"/>
          <w:szCs w:val="24"/>
          <w:highlight w:val="none"/>
          <w:lang w:val="en-US" w:eastAsia="zh-CN" w:bidi="ar-SA"/>
        </w:rPr>
        <w:t>4.其中科研费为固定值50000元整。</w:t>
      </w:r>
    </w:p>
    <w:p>
      <w:pPr>
        <w:pStyle w:val="2"/>
        <w:rPr>
          <w:rFonts w:hint="eastAsia" w:ascii="宋体" w:hAnsi="宋体" w:cs="宋体"/>
          <w:color w:val="auto"/>
          <w:szCs w:val="21"/>
          <w:highlight w:val="none"/>
        </w:rPr>
      </w:pPr>
    </w:p>
    <w:p>
      <w:pPr>
        <w:spacing w:line="440" w:lineRule="exact"/>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59" w:name="_Toc262547328"/>
      <w:r>
        <w:rPr>
          <w:rFonts w:hint="eastAsia" w:ascii="宋体" w:hAnsi="宋体" w:cs="宋体"/>
          <w:b/>
          <w:color w:val="auto"/>
          <w:szCs w:val="21"/>
          <w:highlight w:val="none"/>
        </w:rPr>
        <w:t>（一）法定代表人身份证明</w:t>
      </w:r>
      <w:bookmarkEnd w:id="59"/>
    </w:p>
    <w:p>
      <w:pPr>
        <w:spacing w:line="44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rPr>
        <w:t>比选响应</w:t>
      </w:r>
      <w:r>
        <w:rPr>
          <w:rFonts w:hint="eastAsia" w:ascii="宋体" w:hAnsi="宋体" w:cs="宋体"/>
          <w:color w:val="auto"/>
          <w:szCs w:val="21"/>
          <w:highlight w:val="none"/>
        </w:rPr>
        <w:t>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60" w:name="_Toc262547329"/>
      <w:r>
        <w:rPr>
          <w:rFonts w:hint="eastAsia" w:ascii="宋体" w:hAnsi="宋体" w:cs="宋体"/>
          <w:b/>
          <w:color w:val="auto"/>
          <w:szCs w:val="21"/>
          <w:highlight w:val="none"/>
        </w:rPr>
        <w:t>（二）授权委托书</w:t>
      </w:r>
      <w:bookmarkEnd w:id="60"/>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15"/>
        <w:rPr>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响应单位有效的营业执照</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rPr>
        <w:t>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numPr>
          <w:ilvl w:val="0"/>
          <w:numId w:val="1"/>
        </w:numPr>
        <w:tabs>
          <w:tab w:val="left" w:pos="900"/>
          <w:tab w:val="left" w:pos="1080"/>
        </w:tabs>
        <w:spacing w:line="300" w:lineRule="auto"/>
        <w:ind w:firstLine="843" w:firstLineChars="3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其他相关资料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bookmarkEnd w:id="0"/>
    <w:bookmarkEnd w:id="1"/>
    <w:p>
      <w:pPr>
        <w:rPr>
          <w:rFonts w:hint="eastAsia" w:ascii="方正仿宋_GBK" w:hAnsi="方正仿宋_GBK" w:eastAsia="方正仿宋_GBK" w:cs="方正仿宋_GBK"/>
          <w:color w:val="auto"/>
          <w:sz w:val="28"/>
          <w:szCs w:val="28"/>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E491"/>
    <w:multiLevelType w:val="singleLevel"/>
    <w:tmpl w:val="2882E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s>
  <w:rsids>
    <w:rsidRoot w:val="47A05F66"/>
    <w:rsid w:val="01085AD3"/>
    <w:rsid w:val="013A298C"/>
    <w:rsid w:val="01B34E22"/>
    <w:rsid w:val="01D217C2"/>
    <w:rsid w:val="02504B05"/>
    <w:rsid w:val="028B5457"/>
    <w:rsid w:val="03681C3C"/>
    <w:rsid w:val="03EC461B"/>
    <w:rsid w:val="065B1597"/>
    <w:rsid w:val="068D7ACC"/>
    <w:rsid w:val="06B412B1"/>
    <w:rsid w:val="0A1619B0"/>
    <w:rsid w:val="0A445B94"/>
    <w:rsid w:val="0AC71502"/>
    <w:rsid w:val="0BD80A3E"/>
    <w:rsid w:val="0C6805B7"/>
    <w:rsid w:val="0CBE248C"/>
    <w:rsid w:val="0E1F774D"/>
    <w:rsid w:val="0E74021F"/>
    <w:rsid w:val="0E800F92"/>
    <w:rsid w:val="0EAD4172"/>
    <w:rsid w:val="0F114641"/>
    <w:rsid w:val="117D6FD6"/>
    <w:rsid w:val="11E12814"/>
    <w:rsid w:val="12DC6A63"/>
    <w:rsid w:val="12E8656E"/>
    <w:rsid w:val="13354569"/>
    <w:rsid w:val="138D7A11"/>
    <w:rsid w:val="15461B76"/>
    <w:rsid w:val="154A11A2"/>
    <w:rsid w:val="1565077E"/>
    <w:rsid w:val="156E0B5E"/>
    <w:rsid w:val="15FA2BC8"/>
    <w:rsid w:val="16A85F2F"/>
    <w:rsid w:val="170F0256"/>
    <w:rsid w:val="18434425"/>
    <w:rsid w:val="1A15286F"/>
    <w:rsid w:val="1A9A7B05"/>
    <w:rsid w:val="1AE63B5B"/>
    <w:rsid w:val="1B02026D"/>
    <w:rsid w:val="1CE06507"/>
    <w:rsid w:val="1D301F4D"/>
    <w:rsid w:val="1E68256B"/>
    <w:rsid w:val="1E7828DC"/>
    <w:rsid w:val="1FE44A8C"/>
    <w:rsid w:val="20565FAF"/>
    <w:rsid w:val="20573022"/>
    <w:rsid w:val="21150DE8"/>
    <w:rsid w:val="222E39BD"/>
    <w:rsid w:val="22CD4538"/>
    <w:rsid w:val="239F4DAE"/>
    <w:rsid w:val="23D127CA"/>
    <w:rsid w:val="25315AAD"/>
    <w:rsid w:val="2532477F"/>
    <w:rsid w:val="259310F5"/>
    <w:rsid w:val="25AB17E9"/>
    <w:rsid w:val="25B56EE6"/>
    <w:rsid w:val="26130B40"/>
    <w:rsid w:val="26140A97"/>
    <w:rsid w:val="266F1099"/>
    <w:rsid w:val="26714CD0"/>
    <w:rsid w:val="26FA3134"/>
    <w:rsid w:val="278B45E2"/>
    <w:rsid w:val="284701FB"/>
    <w:rsid w:val="285F1999"/>
    <w:rsid w:val="298C6A59"/>
    <w:rsid w:val="29F77E84"/>
    <w:rsid w:val="2A030D8D"/>
    <w:rsid w:val="2A5840DC"/>
    <w:rsid w:val="2B33475A"/>
    <w:rsid w:val="2B4A238B"/>
    <w:rsid w:val="2B981496"/>
    <w:rsid w:val="2BD011FB"/>
    <w:rsid w:val="2D845160"/>
    <w:rsid w:val="2F164902"/>
    <w:rsid w:val="2F292F39"/>
    <w:rsid w:val="2FEA773E"/>
    <w:rsid w:val="3025488D"/>
    <w:rsid w:val="306F7660"/>
    <w:rsid w:val="316D0EFB"/>
    <w:rsid w:val="31D04385"/>
    <w:rsid w:val="31FB7585"/>
    <w:rsid w:val="3238132C"/>
    <w:rsid w:val="32792C23"/>
    <w:rsid w:val="33867D6A"/>
    <w:rsid w:val="33E8267C"/>
    <w:rsid w:val="3467639A"/>
    <w:rsid w:val="348A37BC"/>
    <w:rsid w:val="34B24F22"/>
    <w:rsid w:val="34C13B45"/>
    <w:rsid w:val="34CB6C54"/>
    <w:rsid w:val="34EB7E53"/>
    <w:rsid w:val="363B23D4"/>
    <w:rsid w:val="36CB6948"/>
    <w:rsid w:val="38441E69"/>
    <w:rsid w:val="38CE4C79"/>
    <w:rsid w:val="3A1F40FB"/>
    <w:rsid w:val="3AA93B98"/>
    <w:rsid w:val="3B437820"/>
    <w:rsid w:val="3B626A2A"/>
    <w:rsid w:val="3B676B23"/>
    <w:rsid w:val="3B7A3AF2"/>
    <w:rsid w:val="3E8A7568"/>
    <w:rsid w:val="3EDA6843"/>
    <w:rsid w:val="3EF52CF1"/>
    <w:rsid w:val="3EF618CF"/>
    <w:rsid w:val="3F067638"/>
    <w:rsid w:val="3F3E534C"/>
    <w:rsid w:val="3FE53DC4"/>
    <w:rsid w:val="403A3F4E"/>
    <w:rsid w:val="407C5370"/>
    <w:rsid w:val="41BD7261"/>
    <w:rsid w:val="424C0E33"/>
    <w:rsid w:val="42F47C6C"/>
    <w:rsid w:val="43084B5F"/>
    <w:rsid w:val="45C7739E"/>
    <w:rsid w:val="46720785"/>
    <w:rsid w:val="47A05F66"/>
    <w:rsid w:val="482E2540"/>
    <w:rsid w:val="49B71889"/>
    <w:rsid w:val="49F65EB3"/>
    <w:rsid w:val="4A175C88"/>
    <w:rsid w:val="4A4F27DB"/>
    <w:rsid w:val="4AD738A1"/>
    <w:rsid w:val="4C03329C"/>
    <w:rsid w:val="4CB579F3"/>
    <w:rsid w:val="4CFD0E94"/>
    <w:rsid w:val="4D44709E"/>
    <w:rsid w:val="4E161AD8"/>
    <w:rsid w:val="4E355844"/>
    <w:rsid w:val="4E835AEC"/>
    <w:rsid w:val="4FE8200D"/>
    <w:rsid w:val="50C7131D"/>
    <w:rsid w:val="50F26D18"/>
    <w:rsid w:val="51752B27"/>
    <w:rsid w:val="51917CEE"/>
    <w:rsid w:val="51F2795F"/>
    <w:rsid w:val="522349C8"/>
    <w:rsid w:val="52893494"/>
    <w:rsid w:val="52E15D23"/>
    <w:rsid w:val="542D76E9"/>
    <w:rsid w:val="547277F2"/>
    <w:rsid w:val="55222FC6"/>
    <w:rsid w:val="552E0137"/>
    <w:rsid w:val="56075D18"/>
    <w:rsid w:val="56211DA1"/>
    <w:rsid w:val="562870CF"/>
    <w:rsid w:val="583C27A6"/>
    <w:rsid w:val="58623CDE"/>
    <w:rsid w:val="58F83489"/>
    <w:rsid w:val="598853C1"/>
    <w:rsid w:val="59D61838"/>
    <w:rsid w:val="59F415B2"/>
    <w:rsid w:val="59FF442E"/>
    <w:rsid w:val="5A1B0778"/>
    <w:rsid w:val="5B6327DE"/>
    <w:rsid w:val="5B90055D"/>
    <w:rsid w:val="5C822A20"/>
    <w:rsid w:val="5D694301"/>
    <w:rsid w:val="5E715A79"/>
    <w:rsid w:val="5EB36A0A"/>
    <w:rsid w:val="5EBB4F4E"/>
    <w:rsid w:val="5F2518F9"/>
    <w:rsid w:val="605162EF"/>
    <w:rsid w:val="608C1109"/>
    <w:rsid w:val="608F5287"/>
    <w:rsid w:val="60F21347"/>
    <w:rsid w:val="61447A6B"/>
    <w:rsid w:val="617C6152"/>
    <w:rsid w:val="61EA1E59"/>
    <w:rsid w:val="623954AB"/>
    <w:rsid w:val="631803DE"/>
    <w:rsid w:val="656121F5"/>
    <w:rsid w:val="67C1041C"/>
    <w:rsid w:val="680E5A27"/>
    <w:rsid w:val="69286279"/>
    <w:rsid w:val="6949691B"/>
    <w:rsid w:val="69AC068B"/>
    <w:rsid w:val="6AD26C52"/>
    <w:rsid w:val="6B122D3D"/>
    <w:rsid w:val="6CF11A49"/>
    <w:rsid w:val="6D071D81"/>
    <w:rsid w:val="6D586C1E"/>
    <w:rsid w:val="6F231A34"/>
    <w:rsid w:val="70787AE6"/>
    <w:rsid w:val="715220E5"/>
    <w:rsid w:val="726C551E"/>
    <w:rsid w:val="739B3916"/>
    <w:rsid w:val="74E142DB"/>
    <w:rsid w:val="75266847"/>
    <w:rsid w:val="763E3305"/>
    <w:rsid w:val="77A30120"/>
    <w:rsid w:val="7AB931D5"/>
    <w:rsid w:val="7B5F28AD"/>
    <w:rsid w:val="7C9D6ADD"/>
    <w:rsid w:val="7D2F5AFF"/>
    <w:rsid w:val="7D413C91"/>
    <w:rsid w:val="7D950AEB"/>
    <w:rsid w:val="7E3A735D"/>
    <w:rsid w:val="7EDB586C"/>
    <w:rsid w:val="7FF56A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beforeLines="0" w:beforeAutospacing="0" w:after="330" w:afterLines="0" w:afterAutospacing="0" w:line="520" w:lineRule="exact"/>
      <w:jc w:val="center"/>
      <w:outlineLvl w:val="0"/>
    </w:pPr>
    <w:rPr>
      <w:rFonts w:eastAsia="方正小标宋_GBK" w:asciiTheme="minorAscii" w:hAnsiTheme="minorAsci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2">
    <w:name w:val="Hyperlink"/>
    <w:qFormat/>
    <w:uiPriority w:val="0"/>
    <w:rPr>
      <w:color w:val="0000FF"/>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5">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8">
    <w:name w:val="_Style 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3748</Words>
  <Characters>3999</Characters>
  <Lines>0</Lines>
  <Paragraphs>0</Paragraphs>
  <ScaleCrop>false</ScaleCrop>
  <LinksUpToDate>false</LinksUpToDate>
  <CharactersWithSpaces>4618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吴骏</cp:lastModifiedBy>
  <cp:lastPrinted>2021-10-29T07:29:00Z</cp:lastPrinted>
  <dcterms:modified xsi:type="dcterms:W3CDTF">2022-06-23T06:29:32Z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D9AEB7457D0D4F328BE4EE15CB817CBA</vt:lpwstr>
  </property>
</Properties>
</file>