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7223" w14:textId="77777777" w:rsidR="00C1217B" w:rsidRDefault="00C1217B">
      <w:pPr>
        <w:spacing w:line="360" w:lineRule="exact"/>
        <w:jc w:val="center"/>
        <w:rPr>
          <w:rFonts w:ascii="方正小标宋_GBK" w:eastAsia="方正小标宋_GBK"/>
          <w:sz w:val="24"/>
          <w:szCs w:val="44"/>
        </w:rPr>
      </w:pPr>
      <w:bookmarkStart w:id="0" w:name="OLE_LINK1"/>
      <w:r w:rsidRPr="00C1217B">
        <w:rPr>
          <w:rFonts w:ascii="方正小标宋_GBK" w:eastAsia="方正小标宋_GBK" w:hint="eastAsia"/>
          <w:sz w:val="24"/>
          <w:szCs w:val="44"/>
        </w:rPr>
        <w:t>重庆城口（陕渝界）至开州高速公路AB段交通安全设施、绿化工程施工</w:t>
      </w:r>
    </w:p>
    <w:p w14:paraId="720CAC7D" w14:textId="54BF7ADE" w:rsidR="008E1539" w:rsidRDefault="00893037">
      <w:pPr>
        <w:spacing w:line="360" w:lineRule="exact"/>
        <w:jc w:val="center"/>
        <w:rPr>
          <w:rFonts w:ascii="方正小标宋_GBK" w:eastAsia="方正小标宋_GBK"/>
          <w:sz w:val="24"/>
          <w:szCs w:val="44"/>
        </w:rPr>
      </w:pPr>
      <w:r>
        <w:rPr>
          <w:rFonts w:ascii="方正小标宋_GBK" w:eastAsia="方正小标宋_GBK" w:hint="eastAsia"/>
          <w:sz w:val="24"/>
          <w:szCs w:val="44"/>
        </w:rPr>
        <w:t>中标候选人公示</w:t>
      </w:r>
    </w:p>
    <w:p w14:paraId="6B4222C8" w14:textId="0A95E800" w:rsidR="008E1539" w:rsidRDefault="00893037">
      <w:pPr>
        <w:spacing w:line="360" w:lineRule="exact"/>
        <w:jc w:val="center"/>
        <w:rPr>
          <w:rFonts w:ascii="方正小标宋_GBK" w:eastAsia="方正小标宋_GBK"/>
          <w:sz w:val="24"/>
          <w:szCs w:val="30"/>
        </w:rPr>
      </w:pPr>
      <w:r>
        <w:rPr>
          <w:rFonts w:ascii="方正小标宋_GBK" w:eastAsia="方正小标宋_GBK" w:hint="eastAsia"/>
          <w:sz w:val="24"/>
          <w:szCs w:val="30"/>
        </w:rPr>
        <w:t>（公示期：</w:t>
      </w:r>
      <w:r w:rsidR="000879D0" w:rsidRPr="000879D0">
        <w:rPr>
          <w:rFonts w:ascii="方正小标宋_GBK" w:eastAsia="方正小标宋_GBK" w:hint="eastAsia"/>
          <w:sz w:val="24"/>
          <w:szCs w:val="30"/>
        </w:rPr>
        <w:t>2022年02月25日</w:t>
      </w:r>
      <w:r>
        <w:rPr>
          <w:rFonts w:ascii="方正小标宋_GBK" w:eastAsia="方正小标宋_GBK" w:hint="eastAsia"/>
          <w:sz w:val="24"/>
          <w:szCs w:val="30"/>
        </w:rPr>
        <w:t>至2022年0</w:t>
      </w:r>
      <w:r w:rsidR="000879D0">
        <w:rPr>
          <w:rFonts w:ascii="方正小标宋_GBK" w:eastAsia="方正小标宋_GBK"/>
          <w:sz w:val="24"/>
          <w:szCs w:val="30"/>
        </w:rPr>
        <w:t>3</w:t>
      </w:r>
      <w:r>
        <w:rPr>
          <w:rFonts w:ascii="方正小标宋_GBK" w:eastAsia="方正小标宋_GBK" w:hint="eastAsia"/>
          <w:sz w:val="24"/>
          <w:szCs w:val="30"/>
        </w:rPr>
        <w:t>月</w:t>
      </w:r>
      <w:r w:rsidR="000879D0">
        <w:rPr>
          <w:rFonts w:ascii="方正小标宋_GBK" w:eastAsia="方正小标宋_GBK"/>
          <w:sz w:val="24"/>
          <w:szCs w:val="30"/>
        </w:rPr>
        <w:t>01</w:t>
      </w:r>
      <w:r>
        <w:rPr>
          <w:rFonts w:ascii="方正小标宋_GBK" w:eastAsia="方正小标宋_GBK" w:hint="eastAsia"/>
          <w:sz w:val="24"/>
          <w:szCs w:val="30"/>
        </w:rPr>
        <w:t>日）</w:t>
      </w:r>
    </w:p>
    <w:tbl>
      <w:tblPr>
        <w:tblpPr w:leftFromText="180" w:rightFromText="180" w:vertAnchor="text" w:horzAnchor="margin" w:tblpXSpec="center" w:tblpY="227"/>
        <w:tblW w:w="10598" w:type="dxa"/>
        <w:tblLayout w:type="fixed"/>
        <w:tblLook w:val="04A0" w:firstRow="1" w:lastRow="0" w:firstColumn="1" w:lastColumn="0" w:noHBand="0" w:noVBand="1"/>
      </w:tblPr>
      <w:tblGrid>
        <w:gridCol w:w="1100"/>
        <w:gridCol w:w="284"/>
        <w:gridCol w:w="1687"/>
        <w:gridCol w:w="945"/>
        <w:gridCol w:w="770"/>
        <w:gridCol w:w="992"/>
        <w:gridCol w:w="851"/>
        <w:gridCol w:w="850"/>
        <w:gridCol w:w="709"/>
        <w:gridCol w:w="851"/>
        <w:gridCol w:w="850"/>
        <w:gridCol w:w="709"/>
      </w:tblGrid>
      <w:tr w:rsidR="000879D0" w:rsidRPr="00CE7163" w14:paraId="5F173CEF" w14:textId="77777777" w:rsidTr="00842BD7">
        <w:trPr>
          <w:trHeight w:val="9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37BC" w14:textId="77777777" w:rsidR="000879D0" w:rsidRDefault="000879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项目标段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0027C" w14:textId="4EF858D4" w:rsidR="000879D0" w:rsidRPr="00C1217B" w:rsidRDefault="000879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1217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重庆城口（陕渝界）至开州高速公路AB段交通安全设施、绿化工程施工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BC2B0F" w14:textId="77777777" w:rsidR="000879D0" w:rsidRDefault="000879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最高限价（或招标控制价）（元）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14:paraId="595BEA28" w14:textId="77777777" w:rsidR="000879D0" w:rsidRDefault="000879D0">
            <w:pPr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ECCBA64" w14:textId="34FC97E5" w:rsidR="000879D0" w:rsidRPr="00CE7163" w:rsidRDefault="000879D0" w:rsidP="00CE7163">
            <w:pPr>
              <w:widowControl/>
              <w:rPr>
                <w:rFonts w:ascii="宋体" w:hAnsi="宋体" w:cs="Batang"/>
                <w:szCs w:val="21"/>
              </w:rPr>
            </w:pPr>
            <w:r w:rsidRPr="00CE7163">
              <w:rPr>
                <w:rFonts w:ascii="宋体" w:hAnsi="宋体" w:cs="Batang"/>
                <w:szCs w:val="21"/>
              </w:rPr>
              <w:t>48446862</w:t>
            </w:r>
          </w:p>
        </w:tc>
      </w:tr>
      <w:tr w:rsidR="000879D0" w:rsidRPr="00CE7163" w14:paraId="20442BF3" w14:textId="77777777" w:rsidTr="00842BD7">
        <w:trPr>
          <w:trHeight w:val="9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75EB" w14:textId="77777777" w:rsidR="000879D0" w:rsidRDefault="000879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项目编码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7D6AB9" w14:textId="3ED0FA73" w:rsidR="000879D0" w:rsidRDefault="000879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1217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G2100160900BS</w:t>
            </w:r>
          </w:p>
        </w:tc>
        <w:tc>
          <w:tcPr>
            <w:tcW w:w="241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741771" w14:textId="77777777" w:rsidR="000879D0" w:rsidRDefault="000879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92F51D4" w14:textId="77777777" w:rsidR="000879D0" w:rsidRDefault="000879D0" w:rsidP="00956975">
            <w:pPr>
              <w:widowControl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FB43AE4" w14:textId="3632E2B0" w:rsidR="000879D0" w:rsidRPr="00CE7163" w:rsidRDefault="000879D0" w:rsidP="00CE7163">
            <w:pPr>
              <w:widowControl/>
              <w:rPr>
                <w:rFonts w:ascii="宋体" w:hAnsi="宋体" w:cs="Batang"/>
                <w:szCs w:val="21"/>
              </w:rPr>
            </w:pPr>
          </w:p>
        </w:tc>
      </w:tr>
      <w:tr w:rsidR="000879D0" w14:paraId="4FFD28A2" w14:textId="77777777" w:rsidTr="00842BD7">
        <w:trPr>
          <w:trHeight w:val="9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CB10" w14:textId="77777777" w:rsidR="000879D0" w:rsidRDefault="000879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招标公告编号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B91116" w14:textId="77777777" w:rsidR="000879D0" w:rsidRDefault="000879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41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3E9B" w14:textId="77777777" w:rsidR="000879D0" w:rsidRDefault="000879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14:paraId="7E297DF6" w14:textId="77777777" w:rsidR="000879D0" w:rsidRDefault="000879D0" w:rsidP="00956975">
            <w:pPr>
              <w:widowControl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B69F7" w14:textId="07630E55" w:rsidR="000879D0" w:rsidRDefault="000879D0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</w:tr>
      <w:tr w:rsidR="000879D0" w14:paraId="34A352A4" w14:textId="77777777" w:rsidTr="00842BD7">
        <w:trPr>
          <w:trHeight w:val="9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AB04" w14:textId="77777777" w:rsidR="000879D0" w:rsidRDefault="000879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招标人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097BF8" w14:textId="75FD607B" w:rsidR="000879D0" w:rsidRDefault="000879D0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C1217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重庆高速工程顾问有限公司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E57F76" w14:textId="77777777" w:rsidR="000879D0" w:rsidRDefault="000879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招标人联系电话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B6E5B8" w14:textId="77777777" w:rsidR="000879D0" w:rsidRDefault="000879D0">
            <w:pPr>
              <w:widowControl/>
              <w:jc w:val="left"/>
              <w:rPr>
                <w:rFonts w:ascii="宋体" w:hAnsi="宋体" w:cs="Batang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8558" w14:textId="18D23138" w:rsidR="000879D0" w:rsidRDefault="000879D0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Batang"/>
                <w:szCs w:val="21"/>
              </w:rPr>
              <w:t>023-89138743</w:t>
            </w:r>
          </w:p>
        </w:tc>
      </w:tr>
      <w:tr w:rsidR="000879D0" w14:paraId="036E8DD8" w14:textId="77777777" w:rsidTr="00842BD7">
        <w:trPr>
          <w:trHeight w:val="48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36F7" w14:textId="77777777" w:rsidR="000879D0" w:rsidRDefault="000879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招标代理机构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79652" w14:textId="77777777" w:rsidR="000879D0" w:rsidRDefault="000879D0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重庆招标采购（集团）有限责任公司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6E938B" w14:textId="77777777" w:rsidR="000879D0" w:rsidRDefault="000879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招标代理机构联系电话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83672" w14:textId="77777777" w:rsidR="000879D0" w:rsidRDefault="000879D0">
            <w:pPr>
              <w:widowControl/>
              <w:jc w:val="left"/>
              <w:rPr>
                <w:rFonts w:ascii="宋体" w:eastAsia="宋体" w:hAnsi="宋体" w:cs="宋体"/>
                <w:snapToGrid w:val="0"/>
                <w:szCs w:val="21"/>
                <w:lang w:bidi="a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077A" w14:textId="4D979C69" w:rsidR="000879D0" w:rsidRDefault="000879D0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zCs w:val="21"/>
                <w:lang w:bidi="ar"/>
              </w:rPr>
              <w:t>023-67590752</w:t>
            </w:r>
          </w:p>
        </w:tc>
      </w:tr>
      <w:tr w:rsidR="00956975" w14:paraId="5B520BB7" w14:textId="77777777" w:rsidTr="00842BD7">
        <w:trPr>
          <w:trHeight w:val="110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45A0" w14:textId="77777777" w:rsidR="00956975" w:rsidRDefault="00956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中标候选人排序</w:t>
            </w:r>
          </w:p>
        </w:tc>
        <w:tc>
          <w:tcPr>
            <w:tcW w:w="197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FE0C5" w14:textId="77777777" w:rsidR="00956975" w:rsidRDefault="00956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B0A6" w14:textId="77777777" w:rsidR="00956975" w:rsidRDefault="00956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投标总报价（元）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E12112" w14:textId="5059F5B5" w:rsidR="00956975" w:rsidRDefault="00956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Times New Roman" w:cs="新宋体" w:hint="eastAsia"/>
                <w:kern w:val="0"/>
                <w:szCs w:val="21"/>
              </w:rPr>
              <w:t>工程质量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E80B0" w14:textId="4735FDFC" w:rsidR="00956975" w:rsidRDefault="00956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工期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304E" w14:textId="54C35BE5" w:rsidR="00956975" w:rsidRDefault="00956975" w:rsidP="00956975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拟任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项目经理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AEE9" w14:textId="5BCDDEA4" w:rsidR="00956975" w:rsidRDefault="00956975" w:rsidP="00956975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拟任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项目总工</w:t>
            </w:r>
          </w:p>
        </w:tc>
      </w:tr>
      <w:tr w:rsidR="000879D0" w14:paraId="38AA8D2B" w14:textId="77777777" w:rsidTr="00842BD7">
        <w:trPr>
          <w:trHeight w:val="9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5AF9" w14:textId="77777777" w:rsidR="000879D0" w:rsidRDefault="000879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9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E6E715" w14:textId="77777777" w:rsidR="000879D0" w:rsidRDefault="000879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0EBB" w14:textId="77777777" w:rsidR="000879D0" w:rsidRDefault="000879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E10BF" w14:textId="77777777" w:rsidR="000879D0" w:rsidRDefault="000879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A5500B" w14:textId="77777777" w:rsidR="000879D0" w:rsidRDefault="000879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9BFA" w14:textId="77777777" w:rsidR="000879D0" w:rsidRDefault="000879D0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645A" w14:textId="77777777" w:rsidR="00842BD7" w:rsidRDefault="000879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证书</w:t>
            </w:r>
          </w:p>
          <w:p w14:paraId="37F88177" w14:textId="58DEFE2A" w:rsidR="000879D0" w:rsidRDefault="000879D0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DE57" w14:textId="77777777" w:rsidR="00842BD7" w:rsidRDefault="00842BD7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证书</w:t>
            </w:r>
          </w:p>
          <w:p w14:paraId="2927FBA1" w14:textId="321BBB65" w:rsidR="000879D0" w:rsidRDefault="00842BD7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FE27A" w14:textId="31333A3D" w:rsidR="000879D0" w:rsidRDefault="00842BD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2C06" w14:textId="77777777" w:rsidR="00842BD7" w:rsidRDefault="000879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证书</w:t>
            </w:r>
          </w:p>
          <w:p w14:paraId="7DED202F" w14:textId="725EECD2" w:rsidR="000879D0" w:rsidRDefault="000879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9CF8" w14:textId="77777777" w:rsidR="000879D0" w:rsidRDefault="000879D0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证书编号</w:t>
            </w:r>
          </w:p>
        </w:tc>
      </w:tr>
      <w:tr w:rsidR="00956975" w14:paraId="29D6CEA7" w14:textId="77777777" w:rsidTr="00842BD7">
        <w:trPr>
          <w:trHeight w:val="169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7182" w14:textId="77777777" w:rsidR="00956975" w:rsidRDefault="00956975" w:rsidP="00956975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sz w:val="18"/>
                <w:szCs w:val="18"/>
              </w:rPr>
              <w:t>第一名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74E6" w14:textId="77777777" w:rsidR="00CE7163" w:rsidRPr="00CE7163" w:rsidRDefault="00956975" w:rsidP="00CE7163">
            <w:pPr>
              <w:widowControl/>
              <w:jc w:val="left"/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</w:pPr>
            <w:r w:rsidRPr="00842BD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重庆通力高速公路养护工程有限公司</w:t>
            </w:r>
            <w:r w:rsid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="00CE7163" w:rsidRP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重庆盐光园</w:t>
            </w:r>
          </w:p>
          <w:p w14:paraId="666D3542" w14:textId="46D5A4D1" w:rsidR="00956975" w:rsidRPr="00842BD7" w:rsidRDefault="00CE7163" w:rsidP="00CE7163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林建设工程有限公司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联合体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0531" w14:textId="77777777" w:rsidR="00956975" w:rsidRPr="00842BD7" w:rsidRDefault="00956975" w:rsidP="00956975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  <w:p w14:paraId="28A51E37" w14:textId="77777777" w:rsidR="00956975" w:rsidRPr="00842BD7" w:rsidRDefault="00956975" w:rsidP="00956975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  <w:p w14:paraId="6184FABF" w14:textId="77777777" w:rsidR="00956975" w:rsidRPr="00842BD7" w:rsidRDefault="00956975" w:rsidP="00956975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842BD7">
              <w:rPr>
                <w:rFonts w:ascii="宋体" w:eastAsia="宋体" w:hAnsi="宋体" w:cs="Calibri"/>
                <w:color w:val="000000"/>
                <w:kern w:val="0"/>
                <w:szCs w:val="21"/>
              </w:rPr>
              <w:t xml:space="preserve">47519229 </w:t>
            </w:r>
          </w:p>
          <w:p w14:paraId="3A1F8CFA" w14:textId="45945843" w:rsidR="00956975" w:rsidRPr="00842BD7" w:rsidRDefault="00956975" w:rsidP="00956975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842BD7">
              <w:rPr>
                <w:rFonts w:ascii="宋体" w:eastAsia="宋体" w:hAnsi="宋体" w:cs="Calibri"/>
                <w:color w:val="000000"/>
                <w:kern w:val="0"/>
                <w:szCs w:val="21"/>
              </w:rPr>
              <w:t xml:space="preserve"> </w:t>
            </w:r>
            <w:r w:rsidRPr="00842BD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 xml:space="preserve"> </w:t>
            </w:r>
          </w:p>
          <w:p w14:paraId="67701B59" w14:textId="77777777" w:rsidR="00956975" w:rsidRPr="00842BD7" w:rsidRDefault="00956975" w:rsidP="00956975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842BD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E0F9C9" w14:textId="77777777" w:rsidR="00956975" w:rsidRPr="00842BD7" w:rsidRDefault="00956975" w:rsidP="00956975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842BD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工程交工验收的质量评定：合格</w:t>
            </w:r>
          </w:p>
          <w:p w14:paraId="52D61EF1" w14:textId="05DB6240" w:rsidR="00956975" w:rsidRPr="00842BD7" w:rsidRDefault="00956975" w:rsidP="00956975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842BD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工程竣工验收的质量评定：优良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6DD5D2" w14:textId="22D580A4" w:rsidR="00956975" w:rsidRPr="00842BD7" w:rsidRDefault="00956975" w:rsidP="00956975">
            <w:pPr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842BD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10个月（其中K38+124~K71+732段计划2022年6月交工，K71+732~K99+780段计划2022年12月交工）。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C410" w14:textId="571E699A" w:rsidR="00956975" w:rsidRPr="00842BD7" w:rsidRDefault="00842BD7" w:rsidP="00842BD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842BD7">
              <w:rPr>
                <w:rFonts w:ascii="宋体" w:eastAsia="宋体" w:hAnsi="宋体" w:cs="新宋体" w:hint="eastAsia"/>
                <w:kern w:val="0"/>
                <w:szCs w:val="21"/>
              </w:rPr>
              <w:t>张强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6D81" w14:textId="1E248D69" w:rsidR="00956975" w:rsidRPr="00842BD7" w:rsidRDefault="00956975" w:rsidP="00842BD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842BD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一级建造师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E9F1" w14:textId="3E442912" w:rsidR="00956975" w:rsidRPr="00842BD7" w:rsidRDefault="00973C5C" w:rsidP="00842BD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proofErr w:type="gramStart"/>
            <w:r w:rsidRPr="00973C5C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渝</w:t>
            </w:r>
            <w:proofErr w:type="gramEnd"/>
            <w:r w:rsidRPr="00973C5C">
              <w:rPr>
                <w:rFonts w:ascii="宋体" w:eastAsia="宋体" w:hAnsi="宋体" w:cs="Calibri"/>
                <w:color w:val="000000"/>
                <w:kern w:val="0"/>
                <w:szCs w:val="21"/>
              </w:rPr>
              <w:t>1352017201820646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0B203" w14:textId="44C6200D" w:rsidR="00956975" w:rsidRPr="00842BD7" w:rsidRDefault="00842BD7" w:rsidP="00842BD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proofErr w:type="gramStart"/>
            <w:r w:rsidRPr="00842BD7">
              <w:rPr>
                <w:rFonts w:ascii="宋体" w:eastAsia="宋体" w:hAnsi="宋体" w:cs="新宋体" w:hint="eastAsia"/>
                <w:kern w:val="0"/>
                <w:szCs w:val="21"/>
              </w:rPr>
              <w:t>杨孝昆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BAF6" w14:textId="6FBE94D2" w:rsidR="00956975" w:rsidRPr="00842BD7" w:rsidRDefault="00956975" w:rsidP="00842BD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842BD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高级工程师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4550" w14:textId="4955C1E7" w:rsidR="00956975" w:rsidRPr="00842BD7" w:rsidRDefault="00973C5C" w:rsidP="00842BD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eastAsia="宋体" w:hAnsi="宋体" w:cs="Calibri"/>
                <w:color w:val="000000"/>
                <w:kern w:val="0"/>
                <w:szCs w:val="21"/>
              </w:rPr>
              <w:t>5120101341</w:t>
            </w:r>
          </w:p>
        </w:tc>
      </w:tr>
      <w:tr w:rsidR="00956975" w14:paraId="4941159F" w14:textId="77777777" w:rsidTr="00842BD7">
        <w:trPr>
          <w:trHeight w:val="87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A62D" w14:textId="77777777" w:rsidR="00956975" w:rsidRDefault="00956975" w:rsidP="00956975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sz w:val="18"/>
                <w:szCs w:val="18"/>
              </w:rPr>
              <w:t>第二名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C718" w14:textId="1E6EA083" w:rsidR="00956975" w:rsidRPr="00842BD7" w:rsidRDefault="00956975" w:rsidP="00CE7163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842BD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重庆交通建设（集团）有限责任公司</w:t>
            </w:r>
            <w:r w:rsid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="00CE7163" w:rsidRP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重庆市</w:t>
            </w:r>
            <w:proofErr w:type="gramStart"/>
            <w:r w:rsidR="00CE7163" w:rsidRP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能丰建设</w:t>
            </w:r>
            <w:proofErr w:type="gramEnd"/>
            <w:r w:rsidR="00CE7163" w:rsidRP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发展有限公司</w:t>
            </w:r>
            <w:r w:rsid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联合体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8BEE" w14:textId="77777777" w:rsidR="00956975" w:rsidRPr="00842BD7" w:rsidRDefault="00956975" w:rsidP="00956975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842BD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 xml:space="preserve">　</w:t>
            </w:r>
          </w:p>
          <w:p w14:paraId="35E5295E" w14:textId="77777777" w:rsidR="00956975" w:rsidRPr="00842BD7" w:rsidRDefault="00956975" w:rsidP="00956975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842BD7">
              <w:rPr>
                <w:rFonts w:ascii="宋体" w:eastAsia="宋体" w:hAnsi="宋体" w:cs="Calibri"/>
                <w:color w:val="000000"/>
                <w:kern w:val="0"/>
                <w:szCs w:val="21"/>
              </w:rPr>
              <w:t xml:space="preserve">47661505 </w:t>
            </w:r>
          </w:p>
          <w:p w14:paraId="1EBA0FF0" w14:textId="3370BF69" w:rsidR="00956975" w:rsidRPr="00842BD7" w:rsidRDefault="00956975" w:rsidP="00956975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842BD7">
              <w:rPr>
                <w:rFonts w:ascii="宋体" w:eastAsia="宋体" w:hAnsi="宋体" w:cs="Calibri"/>
                <w:color w:val="000000"/>
                <w:kern w:val="0"/>
                <w:szCs w:val="21"/>
              </w:rPr>
              <w:t xml:space="preserve"> </w:t>
            </w:r>
          </w:p>
          <w:p w14:paraId="63023663" w14:textId="77777777" w:rsidR="00956975" w:rsidRPr="00842BD7" w:rsidRDefault="00956975" w:rsidP="00956975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ED69C0" w14:textId="55748D7C" w:rsidR="00956975" w:rsidRPr="00842BD7" w:rsidRDefault="00956975" w:rsidP="00956975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FED945" w14:textId="58FDE579" w:rsidR="00956975" w:rsidRPr="00842BD7" w:rsidRDefault="00956975" w:rsidP="00956975">
            <w:pPr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02D6" w14:textId="445060A2" w:rsidR="00956975" w:rsidRPr="00842BD7" w:rsidRDefault="00842BD7" w:rsidP="00842BD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842BD7">
              <w:rPr>
                <w:rFonts w:ascii="宋体" w:eastAsia="宋体" w:hAnsi="宋体" w:cs="新宋体" w:hint="eastAsia"/>
                <w:kern w:val="0"/>
                <w:szCs w:val="21"/>
              </w:rPr>
              <w:t>邱春华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8C41" w14:textId="34E5AB06" w:rsidR="00956975" w:rsidRPr="00842BD7" w:rsidRDefault="00956975" w:rsidP="00842BD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842BD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一级建造师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8283" w14:textId="5AF202DF" w:rsidR="00956975" w:rsidRPr="00842BD7" w:rsidRDefault="00973C5C" w:rsidP="00842BD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proofErr w:type="gramStart"/>
            <w:r w:rsidRPr="00973C5C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渝</w:t>
            </w:r>
            <w:proofErr w:type="gramEnd"/>
            <w:r w:rsidRPr="00973C5C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1502017201817426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18A5C" w14:textId="302295B2" w:rsidR="00956975" w:rsidRPr="00842BD7" w:rsidRDefault="00842BD7" w:rsidP="00842BD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842BD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曹鹏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C0D2" w14:textId="6BEFCE48" w:rsidR="00956975" w:rsidRPr="00842BD7" w:rsidRDefault="00956975" w:rsidP="00842BD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842BD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高级工程师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FAF9" w14:textId="1E3F1F4B" w:rsidR="00956975" w:rsidRPr="00842BD7" w:rsidRDefault="00973C5C" w:rsidP="00842BD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73C5C">
              <w:rPr>
                <w:rFonts w:ascii="宋体" w:eastAsia="宋体" w:hAnsi="宋体" w:cs="Calibri"/>
                <w:color w:val="000000"/>
                <w:kern w:val="0"/>
                <w:szCs w:val="21"/>
              </w:rPr>
              <w:t>100201002397</w:t>
            </w:r>
          </w:p>
        </w:tc>
      </w:tr>
      <w:tr w:rsidR="00956975" w14:paraId="0027BEBC" w14:textId="77777777" w:rsidTr="00842BD7">
        <w:trPr>
          <w:trHeight w:val="18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55A4" w14:textId="77777777" w:rsidR="00956975" w:rsidRDefault="00956975" w:rsidP="00956975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sz w:val="18"/>
                <w:szCs w:val="18"/>
              </w:rPr>
              <w:t>第三名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6F76" w14:textId="66321E4A" w:rsidR="00956975" w:rsidRPr="00842BD7" w:rsidRDefault="00956975" w:rsidP="00CE7163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842BD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重庆金路交通工程有限责任公司</w:t>
            </w:r>
            <w:r w:rsid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="00CE7163" w:rsidRP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重庆市</w:t>
            </w:r>
            <w:proofErr w:type="gramStart"/>
            <w:r w:rsidR="00CE7163" w:rsidRP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鑫</w:t>
            </w:r>
            <w:proofErr w:type="gramEnd"/>
            <w:r w:rsidR="00CE7163" w:rsidRP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斯阳环境建设工程有限公司</w:t>
            </w:r>
            <w:r w:rsid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联合体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D782" w14:textId="77777777" w:rsidR="00956975" w:rsidRPr="00842BD7" w:rsidRDefault="00956975" w:rsidP="00956975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  <w:p w14:paraId="1C36523B" w14:textId="77777777" w:rsidR="00956975" w:rsidRPr="00842BD7" w:rsidRDefault="00956975" w:rsidP="00956975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  <w:p w14:paraId="6AFD5056" w14:textId="77777777" w:rsidR="00956975" w:rsidRPr="00842BD7" w:rsidRDefault="00956975" w:rsidP="00956975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842BD7">
              <w:rPr>
                <w:rFonts w:ascii="宋体" w:eastAsia="宋体" w:hAnsi="宋体" w:cs="Calibri"/>
                <w:color w:val="000000"/>
                <w:kern w:val="0"/>
                <w:szCs w:val="21"/>
              </w:rPr>
              <w:t xml:space="preserve">47841252 </w:t>
            </w:r>
          </w:p>
          <w:p w14:paraId="4D1A851C" w14:textId="12FFE835" w:rsidR="00956975" w:rsidRPr="00842BD7" w:rsidRDefault="00956975" w:rsidP="00956975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842BD7">
              <w:rPr>
                <w:rFonts w:ascii="宋体" w:eastAsia="宋体" w:hAnsi="宋体" w:cs="Calibri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62C9" w14:textId="7364C122" w:rsidR="00956975" w:rsidRPr="00842BD7" w:rsidRDefault="00956975" w:rsidP="00956975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63CE" w14:textId="2749A6A0" w:rsidR="00956975" w:rsidRPr="00842BD7" w:rsidRDefault="00956975" w:rsidP="00956975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A4D0" w14:textId="5234373D" w:rsidR="00956975" w:rsidRPr="00842BD7" w:rsidRDefault="00842BD7" w:rsidP="00842BD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842BD7">
              <w:rPr>
                <w:rFonts w:ascii="宋体" w:eastAsia="宋体" w:hAnsi="宋体" w:cs="新宋体" w:hint="eastAsia"/>
                <w:kern w:val="0"/>
                <w:szCs w:val="21"/>
              </w:rPr>
              <w:t>程万民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8445" w14:textId="25891B37" w:rsidR="00956975" w:rsidRPr="00842BD7" w:rsidRDefault="00956975" w:rsidP="00842BD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842BD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一级建造师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3A90" w14:textId="1AEC238A" w:rsidR="00956975" w:rsidRPr="00842BD7" w:rsidRDefault="00CE7163" w:rsidP="00842BD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渝 1502017201817222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136FD" w14:textId="0E088B57" w:rsidR="00956975" w:rsidRPr="00842BD7" w:rsidRDefault="00842BD7" w:rsidP="00842BD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842BD7">
              <w:rPr>
                <w:rFonts w:ascii="宋体" w:eastAsia="宋体" w:hAnsi="宋体" w:cs="新宋体" w:hint="eastAsia"/>
                <w:kern w:val="0"/>
                <w:szCs w:val="21"/>
              </w:rPr>
              <w:t>汪相艮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6494" w14:textId="721D7496" w:rsidR="00956975" w:rsidRPr="00842BD7" w:rsidRDefault="00956975" w:rsidP="00842BD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842BD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高级工程师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44596E" w14:textId="7421DF9C" w:rsidR="00956975" w:rsidRPr="00842BD7" w:rsidRDefault="00CE7163" w:rsidP="00842BD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CE7163">
              <w:rPr>
                <w:rFonts w:ascii="宋体" w:eastAsia="宋体" w:hAnsi="宋体" w:cs="Calibri"/>
                <w:color w:val="000000"/>
                <w:kern w:val="0"/>
                <w:szCs w:val="21"/>
              </w:rPr>
              <w:t>4100231020</w:t>
            </w:r>
          </w:p>
        </w:tc>
      </w:tr>
      <w:tr w:rsidR="000879D0" w14:paraId="3BDE6199" w14:textId="77777777" w:rsidTr="00CE7163">
        <w:trPr>
          <w:trHeight w:val="37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E9BF" w14:textId="77777777" w:rsidR="000879D0" w:rsidRDefault="000879D0" w:rsidP="000879D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中标候选人响应招标文件要求的资格能力条件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AC39EC" w14:textId="77777777" w:rsidR="000879D0" w:rsidRDefault="000879D0" w:rsidP="000879D0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3007C0" w14:textId="7D93F15D" w:rsidR="000879D0" w:rsidRPr="00CE7163" w:rsidRDefault="000879D0" w:rsidP="00CE7163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第一中标候选人：</w:t>
            </w:r>
            <w:r w:rsidR="00CE7163" w:rsidRPr="00842BD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重庆通力高速公路养护工程有限公司</w:t>
            </w:r>
            <w:r w:rsid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="00CE7163" w:rsidRP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重庆盐光园林建设工程有限公司</w:t>
            </w:r>
            <w:r w:rsid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联合体</w:t>
            </w:r>
          </w:p>
          <w:p w14:paraId="24A61DE9" w14:textId="77777777" w:rsidR="000879D0" w:rsidRDefault="000879D0" w:rsidP="000879D0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资质等级：满足招标文件要求。</w:t>
            </w:r>
          </w:p>
          <w:p w14:paraId="13D63270" w14:textId="77777777" w:rsidR="000879D0" w:rsidRDefault="000879D0" w:rsidP="000879D0">
            <w:pPr>
              <w:widowControl/>
              <w:ind w:firstLineChars="200" w:firstLine="42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  <w:p w14:paraId="1B59AE68" w14:textId="18D5FF6E" w:rsidR="000879D0" w:rsidRDefault="000879D0" w:rsidP="000879D0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第二中标候选人：</w:t>
            </w:r>
            <w:r w:rsidR="00CE7163" w:rsidRPr="00842BD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重庆交通建设（集团）有限责任公司</w:t>
            </w:r>
            <w:r w:rsid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="00CE7163" w:rsidRP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重庆市</w:t>
            </w:r>
            <w:proofErr w:type="gramStart"/>
            <w:r w:rsidR="00CE7163" w:rsidRP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能丰建设</w:t>
            </w:r>
            <w:proofErr w:type="gramEnd"/>
            <w:r w:rsidR="00CE7163" w:rsidRP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发展有限公司</w:t>
            </w:r>
            <w:r w:rsid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联合体</w:t>
            </w:r>
          </w:p>
          <w:p w14:paraId="5A849CB4" w14:textId="77777777" w:rsidR="000879D0" w:rsidRDefault="000879D0" w:rsidP="000879D0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资质等级：满足招标文件要求。</w:t>
            </w:r>
          </w:p>
          <w:p w14:paraId="2C7C85D3" w14:textId="77777777" w:rsidR="000879D0" w:rsidRDefault="000879D0" w:rsidP="000879D0">
            <w:pPr>
              <w:widowControl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  <w:lang w:bidi="ar"/>
              </w:rPr>
            </w:pPr>
          </w:p>
          <w:p w14:paraId="4026C0BA" w14:textId="1F2EBC53" w:rsidR="000879D0" w:rsidRDefault="000879D0" w:rsidP="000879D0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第三中标候选人：</w:t>
            </w:r>
            <w:r w:rsidR="00CE7163" w:rsidRPr="00842BD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重庆金路交通工程有限责任公司</w:t>
            </w:r>
            <w:r w:rsid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="00CE7163" w:rsidRP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重庆市</w:t>
            </w:r>
            <w:proofErr w:type="gramStart"/>
            <w:r w:rsidR="00CE7163" w:rsidRP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鑫</w:t>
            </w:r>
            <w:proofErr w:type="gramEnd"/>
            <w:r w:rsidR="00CE7163" w:rsidRP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斯阳环境建设工程有限公司</w:t>
            </w:r>
            <w:r w:rsid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联合体</w:t>
            </w:r>
          </w:p>
          <w:p w14:paraId="29BC6794" w14:textId="77777777" w:rsidR="000879D0" w:rsidRDefault="000879D0" w:rsidP="000879D0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资质等级：满足招标文件要求。</w:t>
            </w:r>
          </w:p>
        </w:tc>
      </w:tr>
    </w:tbl>
    <w:tbl>
      <w:tblPr>
        <w:tblpPr w:leftFromText="180" w:rightFromText="180" w:vertAnchor="text" w:horzAnchor="margin" w:tblpXSpec="center" w:tblpY="-779"/>
        <w:tblW w:w="10160" w:type="dxa"/>
        <w:tblLayout w:type="fixed"/>
        <w:tblLook w:val="04A0" w:firstRow="1" w:lastRow="0" w:firstColumn="1" w:lastColumn="0" w:noHBand="0" w:noVBand="1"/>
      </w:tblPr>
      <w:tblGrid>
        <w:gridCol w:w="877"/>
        <w:gridCol w:w="4703"/>
        <w:gridCol w:w="4580"/>
      </w:tblGrid>
      <w:tr w:rsidR="008E1539" w14:paraId="26ACDE9E" w14:textId="77777777">
        <w:trPr>
          <w:trHeight w:val="446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F356" w14:textId="77777777" w:rsidR="008E1539" w:rsidRDefault="00893037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lastRenderedPageBreak/>
              <w:t>招标文件规定应公示的其他内容</w:t>
            </w:r>
          </w:p>
        </w:tc>
        <w:tc>
          <w:tcPr>
            <w:tcW w:w="9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4E1264" w14:textId="4E791EC9" w:rsidR="008E1539" w:rsidRDefault="00893037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第一中标候选人：</w:t>
            </w:r>
            <w:r w:rsidR="00CE7163" w:rsidRPr="00842BD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重庆通力高速公路养护工程有限公司</w:t>
            </w:r>
            <w:r w:rsid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="00CE7163" w:rsidRP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重庆盐光园林建设工程有限公司</w:t>
            </w:r>
            <w:r w:rsid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联合体</w:t>
            </w:r>
          </w:p>
          <w:p w14:paraId="1824729A" w14:textId="4C2839F4" w:rsidR="008E1539" w:rsidRPr="00973C5C" w:rsidRDefault="00893037" w:rsidP="00973C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业绩：</w:t>
            </w:r>
            <w:r w:rsidR="00973C5C" w:rsidRPr="00973C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重庆城口（陕渝界）至开州高速公路 </w:t>
            </w:r>
            <w:r w:rsidR="00973C5C" w:rsidRPr="00973C5C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C </w:t>
            </w:r>
            <w:r w:rsidR="00973C5C" w:rsidRPr="00973C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段交通安全设施、环境绿化工程施工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  <w:r w:rsidR="00973C5C">
              <w:rPr>
                <w:rFonts w:hint="eastAsia"/>
                <w:color w:val="000000"/>
                <w:szCs w:val="21"/>
              </w:rPr>
              <w:t>经开区茶</w:t>
            </w:r>
            <w:proofErr w:type="gramStart"/>
            <w:r w:rsidR="00973C5C">
              <w:rPr>
                <w:rFonts w:hint="eastAsia"/>
                <w:color w:val="000000"/>
                <w:szCs w:val="21"/>
              </w:rPr>
              <w:t>涪路改</w:t>
            </w:r>
            <w:proofErr w:type="gramEnd"/>
            <w:r w:rsidR="00973C5C">
              <w:rPr>
                <w:rFonts w:hint="eastAsia"/>
                <w:color w:val="000000"/>
                <w:szCs w:val="21"/>
              </w:rPr>
              <w:t>扩建工程景观绿化及其他附属工程</w:t>
            </w:r>
            <w:r w:rsidR="00973C5C">
              <w:rPr>
                <w:rFonts w:hint="eastAsia"/>
                <w:color w:val="000000"/>
                <w:szCs w:val="21"/>
              </w:rPr>
              <w:t>；</w:t>
            </w:r>
            <w:r w:rsidR="00973C5C" w:rsidRPr="00973C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云阳县新县城东出口安全通道及管网工程第一期（东互通立交工程）交通工程</w:t>
            </w:r>
            <w:r w:rsidR="00973C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494D437B" w14:textId="77777777" w:rsidR="008E1539" w:rsidRDefault="008E1539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  <w:p w14:paraId="34228EBD" w14:textId="77777777" w:rsidR="008E1539" w:rsidRDefault="008E1539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  <w:p w14:paraId="10F7102E" w14:textId="77777777" w:rsidR="00CE7163" w:rsidRDefault="00893037" w:rsidP="00973C5C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第二中标候选人：</w:t>
            </w:r>
            <w:r w:rsidR="00CE7163" w:rsidRPr="00842BD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重庆交通建设（集团）有限责任公司</w:t>
            </w:r>
            <w:r w:rsid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="00CE7163" w:rsidRP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重庆市</w:t>
            </w:r>
            <w:proofErr w:type="gramStart"/>
            <w:r w:rsidR="00CE7163" w:rsidRP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能丰建设</w:t>
            </w:r>
            <w:proofErr w:type="gramEnd"/>
            <w:r w:rsidR="00CE7163" w:rsidRP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发展有限公司</w:t>
            </w:r>
            <w:r w:rsid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联合体</w:t>
            </w:r>
          </w:p>
          <w:p w14:paraId="7A271393" w14:textId="5BBD8729" w:rsidR="008E1539" w:rsidRPr="00973C5C" w:rsidRDefault="00893037" w:rsidP="00973C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业绩：</w:t>
            </w:r>
            <w:r w:rsidR="00973C5C">
              <w:rPr>
                <w:rFonts w:hint="eastAsia"/>
                <w:color w:val="333333"/>
                <w:szCs w:val="21"/>
              </w:rPr>
              <w:t>重庆南川至贵州道真高速公路（重庆段）</w:t>
            </w:r>
            <w:proofErr w:type="gramStart"/>
            <w:r w:rsidR="00973C5C">
              <w:rPr>
                <w:rFonts w:hint="eastAsia"/>
                <w:color w:val="333333"/>
                <w:szCs w:val="21"/>
              </w:rPr>
              <w:t>南道路</w:t>
            </w:r>
            <w:proofErr w:type="gramEnd"/>
            <w:r w:rsidR="00973C5C">
              <w:rPr>
                <w:rFonts w:hint="eastAsia"/>
                <w:color w:val="333333"/>
                <w:szCs w:val="21"/>
              </w:rPr>
              <w:t>施工总承包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；</w:t>
            </w:r>
            <w:r w:rsidR="00973C5C" w:rsidRPr="00973C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、中央公园周边道路景观提升工程--春华大道、兰桂大道、腾芳大道及</w:t>
            </w:r>
            <w:proofErr w:type="gramStart"/>
            <w:r w:rsidR="00973C5C" w:rsidRPr="00973C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萱</w:t>
            </w:r>
            <w:proofErr w:type="gramEnd"/>
            <w:r w:rsidR="00973C5C" w:rsidRPr="00973C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华路景观提升工程</w:t>
            </w:r>
            <w:r w:rsidR="00973C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4826DBCC" w14:textId="77777777" w:rsidR="008E1539" w:rsidRDefault="008E1539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  <w:p w14:paraId="2C6850AE" w14:textId="77777777" w:rsidR="00CE7163" w:rsidRDefault="00893037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第三中标候选人：</w:t>
            </w:r>
            <w:r w:rsidR="00CE7163" w:rsidRPr="00842BD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重庆金路交通工程有限责任公司</w:t>
            </w:r>
            <w:r w:rsid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="00CE7163" w:rsidRP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重庆市</w:t>
            </w:r>
            <w:proofErr w:type="gramStart"/>
            <w:r w:rsidR="00CE7163" w:rsidRP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鑫</w:t>
            </w:r>
            <w:proofErr w:type="gramEnd"/>
            <w:r w:rsidR="00CE7163" w:rsidRP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斯阳环境建设工程有限公司</w:t>
            </w:r>
            <w:r w:rsidR="00CE7163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联合体</w:t>
            </w:r>
          </w:p>
          <w:p w14:paraId="28298105" w14:textId="60962191" w:rsidR="008E1539" w:rsidRPr="00CE7163" w:rsidRDefault="00893037" w:rsidP="00CE71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业绩：</w:t>
            </w:r>
            <w:r w:rsidR="00CE7163">
              <w:rPr>
                <w:rFonts w:hint="eastAsia"/>
                <w:color w:val="000000"/>
                <w:szCs w:val="21"/>
              </w:rPr>
              <w:t>重庆潼南至荣昌高速公路（</w:t>
            </w:r>
            <w:r w:rsidR="00CE7163">
              <w:rPr>
                <w:rFonts w:ascii="Times New Roman" w:hAnsi="Times New Roman" w:cs="Times New Roman"/>
                <w:color w:val="000000"/>
                <w:szCs w:val="21"/>
              </w:rPr>
              <w:t>TRJA1</w:t>
            </w:r>
            <w:r w:rsidR="00CE7163">
              <w:rPr>
                <w:rFonts w:hint="eastAsia"/>
                <w:color w:val="000000"/>
                <w:szCs w:val="21"/>
              </w:rPr>
              <w:t>合同段）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 w:rsidR="00CE7163">
              <w:rPr>
                <w:rFonts w:hint="eastAsia"/>
                <w:color w:val="000000"/>
                <w:szCs w:val="21"/>
              </w:rPr>
              <w:t>重庆潼南至荣昌高速公路（</w:t>
            </w:r>
            <w:r w:rsidR="00CE7163">
              <w:rPr>
                <w:rFonts w:ascii="Times New Roman" w:hAnsi="Times New Roman" w:cs="Times New Roman"/>
                <w:color w:val="000000"/>
                <w:szCs w:val="21"/>
              </w:rPr>
              <w:t>TRJA2</w:t>
            </w:r>
            <w:r w:rsidR="00CE7163">
              <w:rPr>
                <w:rFonts w:hint="eastAsia"/>
                <w:color w:val="000000"/>
                <w:szCs w:val="21"/>
              </w:rPr>
              <w:t>合同段）</w:t>
            </w:r>
            <w:r w:rsidR="00CE7163">
              <w:rPr>
                <w:rFonts w:hint="eastAsia"/>
                <w:color w:val="000000"/>
                <w:szCs w:val="21"/>
              </w:rPr>
              <w:t>；</w:t>
            </w:r>
            <w:r w:rsidR="00CE7163">
              <w:rPr>
                <w:rFonts w:hint="eastAsia"/>
                <w:color w:val="000000"/>
                <w:szCs w:val="21"/>
              </w:rPr>
              <w:t>合川区餐厨垃圾处理工程污水处理车间及附属水池、道路、绿化施工工程</w:t>
            </w:r>
            <w:r w:rsidR="00CE7163">
              <w:rPr>
                <w:rFonts w:hint="eastAsia"/>
                <w:color w:val="000000"/>
                <w:szCs w:val="21"/>
              </w:rPr>
              <w:t>；</w:t>
            </w:r>
            <w:proofErr w:type="gramStart"/>
            <w:r w:rsidR="00CE7163" w:rsidRPr="00CE71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绥满高速</w:t>
            </w:r>
            <w:proofErr w:type="gramEnd"/>
            <w:r w:rsidR="00CE7163" w:rsidRPr="00CE71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海拉尔至洲里段公路施工总承包 HMZCB 标段工程交安工程</w:t>
            </w:r>
            <w:r w:rsidR="00CE71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="00CE7163" w:rsidRPr="00CE71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重庆永川至四川泸州高速公路交通安全设施工程</w:t>
            </w:r>
            <w:r w:rsidR="00CE71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5B4759BB" w14:textId="77777777" w:rsidR="008E1539" w:rsidRDefault="008E1539">
            <w:pPr>
              <w:widowControl/>
              <w:jc w:val="left"/>
            </w:pPr>
          </w:p>
          <w:p w14:paraId="5B4A4E9F" w14:textId="77777777" w:rsidR="008E1539" w:rsidRDefault="008E1539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  <w:p w14:paraId="4CB714FC" w14:textId="68437451" w:rsidR="008E1539" w:rsidRDefault="00893037">
            <w:pPr>
              <w:widowControl/>
              <w:jc w:val="left"/>
              <w:rPr>
                <w:rFonts w:ascii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否决投标情况及理由：</w:t>
            </w:r>
            <w:r w:rsidR="00CE7163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无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。</w:t>
            </w:r>
          </w:p>
        </w:tc>
      </w:tr>
      <w:tr w:rsidR="008E1539" w14:paraId="16346309" w14:textId="77777777">
        <w:trPr>
          <w:trHeight w:val="9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096C" w14:textId="77777777" w:rsidR="008E1539" w:rsidRDefault="00893037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中标候选人评标情况</w:t>
            </w:r>
          </w:p>
        </w:tc>
        <w:tc>
          <w:tcPr>
            <w:tcW w:w="9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A74CA5" w14:textId="5EDA6D08" w:rsidR="008E1539" w:rsidRDefault="00893037">
            <w:pPr>
              <w:widowControl/>
              <w:jc w:val="left"/>
              <w:rPr>
                <w:rFonts w:ascii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Cs w:val="21"/>
                <w:shd w:val="clear" w:color="auto" w:fill="FFFFFF"/>
              </w:rPr>
              <w:t>中标候选人符合性审查（包括资格评审、形式评审、响应性评审</w:t>
            </w:r>
            <w:r w:rsidR="00CE7163">
              <w:rPr>
                <w:rFonts w:asciiTheme="minorEastAsia" w:hAnsiTheme="minorEastAsia" w:cstheme="minorEastAsia" w:hint="eastAsia"/>
                <w:color w:val="333333"/>
                <w:szCs w:val="21"/>
                <w:shd w:val="clear" w:color="auto" w:fill="FFFFFF"/>
              </w:rPr>
              <w:t>、投标函及投标报价评审</w:t>
            </w:r>
            <w:r>
              <w:rPr>
                <w:rFonts w:asciiTheme="minorEastAsia" w:hAnsiTheme="minorEastAsia" w:cstheme="minorEastAsia" w:hint="eastAsia"/>
                <w:color w:val="333333"/>
                <w:szCs w:val="21"/>
                <w:shd w:val="clear" w:color="auto" w:fill="FFFFFF"/>
              </w:rPr>
              <w:t>）经评标委员会评审均合格。</w:t>
            </w:r>
          </w:p>
        </w:tc>
      </w:tr>
      <w:tr w:rsidR="008E1539" w14:paraId="0A8B1F3E" w14:textId="77777777">
        <w:trPr>
          <w:trHeight w:val="1019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04F1" w14:textId="77777777" w:rsidR="008E1539" w:rsidRDefault="00893037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提出异议的渠道和方式</w:t>
            </w:r>
          </w:p>
        </w:tc>
        <w:tc>
          <w:tcPr>
            <w:tcW w:w="9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7285FC" w14:textId="1FF6FC5D" w:rsidR="008E1539" w:rsidRDefault="00893037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投标人或者其他利害关系人对评标结果有异议的，应在中标候选人公示期内以书面形式向招标人：</w:t>
            </w:r>
            <w:r w:rsidR="000879D0" w:rsidRPr="00C1217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重庆高速工程顾问有限公司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(联系电话：</w:t>
            </w:r>
            <w:r w:rsidR="000879D0" w:rsidRPr="000879D0"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023-89138743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）提出异议。</w:t>
            </w:r>
          </w:p>
        </w:tc>
      </w:tr>
      <w:tr w:rsidR="008E1539" w14:paraId="095CE9A2" w14:textId="77777777">
        <w:trPr>
          <w:trHeight w:val="1771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4965" w14:textId="3B83EA96" w:rsidR="008E1539" w:rsidRDefault="00893037">
            <w:pPr>
              <w:widowControl/>
              <w:ind w:right="440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 xml:space="preserve">招标人（盖章）: 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 xml:space="preserve">                                        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 xml:space="preserve">                           </w:t>
            </w:r>
            <w:bookmarkStart w:id="1" w:name="_Hlk96685359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2022年0</w:t>
            </w:r>
            <w:r w:rsidR="000879D0"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月</w:t>
            </w:r>
            <w:r w:rsidR="000879D0"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25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 xml:space="preserve">日 </w:t>
            </w:r>
            <w:bookmarkEnd w:id="1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 xml:space="preserve">                                                             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6030" w14:textId="2D632FB9" w:rsidR="008E1539" w:rsidRDefault="00893037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招标代理机构（盖章）： 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 xml:space="preserve">                    </w:t>
            </w:r>
            <w:r w:rsidR="000879D0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2022年0</w:t>
            </w:r>
            <w:r w:rsidR="000879D0"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2</w:t>
            </w:r>
            <w:r w:rsidR="000879D0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月</w:t>
            </w:r>
            <w:r w:rsidR="000879D0"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25</w:t>
            </w:r>
            <w:r w:rsidR="000879D0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 xml:space="preserve">日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 xml:space="preserve">   </w:t>
            </w:r>
          </w:p>
        </w:tc>
      </w:tr>
    </w:tbl>
    <w:p w14:paraId="4C7B974F" w14:textId="77777777" w:rsidR="008E1539" w:rsidRDefault="00893037">
      <w:pPr>
        <w:jc w:val="left"/>
        <w:rPr>
          <w:rFonts w:ascii="方正小标宋_GBK" w:eastAsia="方正小标宋_GBK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注：1.招标人及其委托的招标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代理机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对填写的中标候选人公示内容的真实性、准确性和一致性负责。</w:t>
      </w:r>
    </w:p>
    <w:p w14:paraId="3C689907" w14:textId="77777777" w:rsidR="008E1539" w:rsidRDefault="00893037">
      <w:pPr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2.发布媒介和电子招标交易平台应当对所发布的公示信息的及时性、完整性负责。</w:t>
      </w:r>
    </w:p>
    <w:p w14:paraId="13C36787" w14:textId="77777777" w:rsidR="008E1539" w:rsidRDefault="00893037">
      <w:pPr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中标候选人公示纸质文本须加盖单位公章，多页还应加盖骑缝章。</w:t>
      </w:r>
      <w:bookmarkEnd w:id="0"/>
    </w:p>
    <w:sectPr w:rsidR="008E1539">
      <w:pgSz w:w="11906" w:h="16838"/>
      <w:pgMar w:top="1440" w:right="1797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7FA36" w14:textId="77777777" w:rsidR="00A31A9A" w:rsidRDefault="00A31A9A" w:rsidP="00C1217B">
      <w:r>
        <w:separator/>
      </w:r>
    </w:p>
  </w:endnote>
  <w:endnote w:type="continuationSeparator" w:id="0">
    <w:p w14:paraId="43E51A79" w14:textId="77777777" w:rsidR="00A31A9A" w:rsidRDefault="00A31A9A" w:rsidP="00C1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簐噺..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space">
    <w:altName w:val="Segoe Print"/>
    <w:charset w:val="00"/>
    <w:family w:val="auto"/>
    <w:pitch w:val="default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5377D" w14:textId="77777777" w:rsidR="00A31A9A" w:rsidRDefault="00A31A9A" w:rsidP="00C1217B">
      <w:r>
        <w:separator/>
      </w:r>
    </w:p>
  </w:footnote>
  <w:footnote w:type="continuationSeparator" w:id="0">
    <w:p w14:paraId="496B5A9A" w14:textId="77777777" w:rsidR="00A31A9A" w:rsidRDefault="00A31A9A" w:rsidP="00C12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2722D"/>
    <w:rsid w:val="00065390"/>
    <w:rsid w:val="000838C4"/>
    <w:rsid w:val="000879D0"/>
    <w:rsid w:val="00147A29"/>
    <w:rsid w:val="00172A27"/>
    <w:rsid w:val="001A05AA"/>
    <w:rsid w:val="002018F7"/>
    <w:rsid w:val="0020706E"/>
    <w:rsid w:val="00221071"/>
    <w:rsid w:val="00243447"/>
    <w:rsid w:val="00257621"/>
    <w:rsid w:val="003739A3"/>
    <w:rsid w:val="003A092C"/>
    <w:rsid w:val="004F7249"/>
    <w:rsid w:val="0055752E"/>
    <w:rsid w:val="005A20AB"/>
    <w:rsid w:val="005F7769"/>
    <w:rsid w:val="00636DB4"/>
    <w:rsid w:val="006A71D4"/>
    <w:rsid w:val="006F7C68"/>
    <w:rsid w:val="007B162E"/>
    <w:rsid w:val="007B76AF"/>
    <w:rsid w:val="007C4F8D"/>
    <w:rsid w:val="00810AF5"/>
    <w:rsid w:val="008421D2"/>
    <w:rsid w:val="00842BD7"/>
    <w:rsid w:val="00893037"/>
    <w:rsid w:val="008E1539"/>
    <w:rsid w:val="00956975"/>
    <w:rsid w:val="00973C5C"/>
    <w:rsid w:val="009B76B6"/>
    <w:rsid w:val="00A31A9A"/>
    <w:rsid w:val="00A4293A"/>
    <w:rsid w:val="00AC2D02"/>
    <w:rsid w:val="00AE04B3"/>
    <w:rsid w:val="00AF14F0"/>
    <w:rsid w:val="00B9444B"/>
    <w:rsid w:val="00C1217B"/>
    <w:rsid w:val="00C179F2"/>
    <w:rsid w:val="00C25BB3"/>
    <w:rsid w:val="00CE7163"/>
    <w:rsid w:val="00D86C8D"/>
    <w:rsid w:val="00D955BB"/>
    <w:rsid w:val="00E00A45"/>
    <w:rsid w:val="00E33F2A"/>
    <w:rsid w:val="00F02F83"/>
    <w:rsid w:val="00F64EAF"/>
    <w:rsid w:val="022805E2"/>
    <w:rsid w:val="0440149E"/>
    <w:rsid w:val="083F3901"/>
    <w:rsid w:val="0E8205C8"/>
    <w:rsid w:val="0EA76E8A"/>
    <w:rsid w:val="12E629F2"/>
    <w:rsid w:val="172909AD"/>
    <w:rsid w:val="173E6FDF"/>
    <w:rsid w:val="19384759"/>
    <w:rsid w:val="1EC2419A"/>
    <w:rsid w:val="27890B0E"/>
    <w:rsid w:val="28285559"/>
    <w:rsid w:val="2BFB5531"/>
    <w:rsid w:val="32492F37"/>
    <w:rsid w:val="3840320A"/>
    <w:rsid w:val="3C930F29"/>
    <w:rsid w:val="3F650B1D"/>
    <w:rsid w:val="405C3390"/>
    <w:rsid w:val="41773E5F"/>
    <w:rsid w:val="44B85878"/>
    <w:rsid w:val="4663234F"/>
    <w:rsid w:val="46A65F92"/>
    <w:rsid w:val="4E91476B"/>
    <w:rsid w:val="58A52787"/>
    <w:rsid w:val="59F93446"/>
    <w:rsid w:val="61683D37"/>
    <w:rsid w:val="64B27CA3"/>
    <w:rsid w:val="67CD478D"/>
    <w:rsid w:val="69611F28"/>
    <w:rsid w:val="6968575C"/>
    <w:rsid w:val="6E097012"/>
    <w:rsid w:val="6FA4387C"/>
    <w:rsid w:val="72347346"/>
    <w:rsid w:val="728211E6"/>
    <w:rsid w:val="74A80DD3"/>
    <w:rsid w:val="76BA46F2"/>
    <w:rsid w:val="786A0B40"/>
    <w:rsid w:val="7B87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C7841"/>
  <w15:docId w15:val="{05A596C1-3C73-4921-8982-247E66AD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9">
    <w:name w:val="Emphasis"/>
    <w:basedOn w:val="a0"/>
    <w:uiPriority w:val="20"/>
    <w:qFormat/>
    <w:rPr>
      <w:b/>
      <w:bCs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Typewriter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qFormat/>
  </w:style>
  <w:style w:type="character" w:styleId="HTML2">
    <w:name w:val="HTML Variable"/>
    <w:basedOn w:val="a0"/>
    <w:uiPriority w:val="99"/>
    <w:semiHidden/>
    <w:unhideWhenUsed/>
    <w:qFormat/>
  </w:style>
  <w:style w:type="character" w:styleId="aa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uiPriority w:val="99"/>
    <w:semiHidden/>
    <w:unhideWhenUsed/>
    <w:qFormat/>
    <w:rPr>
      <w:bdr w:val="single" w:sz="4" w:space="0" w:color="BDBEC1"/>
      <w:shd w:val="clear" w:color="auto" w:fill="F2F4F9"/>
    </w:rPr>
  </w:style>
  <w:style w:type="character" w:styleId="HTML5">
    <w:name w:val="HTML Keyboard"/>
    <w:basedOn w:val="a0"/>
    <w:uiPriority w:val="99"/>
    <w:semiHidden/>
    <w:unhideWhenUsed/>
    <w:qFormat/>
    <w:rPr>
      <w:rFonts w:ascii="monospace" w:eastAsia="monospace" w:hAnsi="monospace" w:cs="monospace"/>
      <w:sz w:val="20"/>
    </w:rPr>
  </w:style>
  <w:style w:type="character" w:styleId="HTML6">
    <w:name w:val="HTML Sample"/>
    <w:basedOn w:val="a0"/>
    <w:uiPriority w:val="99"/>
    <w:semiHidden/>
    <w:unhideWhenUsed/>
    <w:qFormat/>
    <w:rPr>
      <w:rFonts w:ascii="monospace" w:eastAsia="monospace" w:hAnsi="monospace" w:cs="monospace" w:hint="default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 Unicode MS" w:eastAsia="Arial Unicode MS" w:hAnsi="Arial Unicode MS" w:hint="eastAsia"/>
      <w:color w:val="000000"/>
      <w:sz w:val="24"/>
      <w:szCs w:val="24"/>
    </w:rPr>
  </w:style>
  <w:style w:type="character" w:customStyle="1" w:styleId="30">
    <w:name w:val="标题 3 字符"/>
    <w:basedOn w:val="a0"/>
    <w:link w:val="3"/>
    <w:qFormat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1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7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120036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92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25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86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42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0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65943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01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64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50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9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1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8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186563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69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8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285</Words>
  <Characters>1626</Characters>
  <Application>Microsoft Office Word</Application>
  <DocSecurity>0</DocSecurity>
  <Lines>13</Lines>
  <Paragraphs>3</Paragraphs>
  <ScaleCrop>false</ScaleCrop>
  <Company>cqmzj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28</cp:revision>
  <cp:lastPrinted>2020-04-29T08:41:00Z</cp:lastPrinted>
  <dcterms:created xsi:type="dcterms:W3CDTF">2020-03-03T03:42:00Z</dcterms:created>
  <dcterms:modified xsi:type="dcterms:W3CDTF">2022-02-25T06:09:00Z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D97892089B4A4382BB20AF2794C11057</vt:lpwstr>
  </property>
</Properties>
</file>