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eastAsia="宋体" w:cs="宋体"/>
          <w:b/>
          <w:spacing w:val="20"/>
          <w:sz w:val="72"/>
          <w:szCs w:val="72"/>
          <w:lang w:eastAsia="zh-CN"/>
        </w:rPr>
      </w:pPr>
      <w:r>
        <w:rPr>
          <w:rFonts w:hint="eastAsia" w:ascii="宋体" w:hAnsi="宋体" w:cs="宋体"/>
          <w:b/>
          <w:sz w:val="48"/>
          <w:szCs w:val="48"/>
        </w:rPr>
        <w:t>G42 沪蓉高速奉（节）云（阳）段杨柳坪大桥维修加固工程商品混凝土采购</w:t>
      </w:r>
      <w:r>
        <w:rPr>
          <w:rFonts w:hint="eastAsia" w:ascii="宋体" w:hAnsi="宋体" w:cs="宋体"/>
          <w:b/>
          <w:sz w:val="48"/>
          <w:szCs w:val="48"/>
          <w:lang w:eastAsia="zh-CN"/>
        </w:rPr>
        <w:t>（</w:t>
      </w:r>
      <w:r>
        <w:rPr>
          <w:rFonts w:hint="eastAsia" w:ascii="宋体" w:hAnsi="宋体" w:cs="宋体"/>
          <w:b/>
          <w:sz w:val="48"/>
          <w:szCs w:val="48"/>
          <w:lang w:val="en-US" w:eastAsia="zh-CN"/>
        </w:rPr>
        <w:t>第二次</w:t>
      </w:r>
      <w:r>
        <w:rPr>
          <w:rFonts w:hint="eastAsia" w:ascii="宋体" w:hAnsi="宋体" w:cs="宋体"/>
          <w:b/>
          <w:sz w:val="48"/>
          <w:szCs w:val="48"/>
          <w:lang w:eastAsia="zh-CN"/>
        </w:rPr>
        <w:t>）</w:t>
      </w:r>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2022年</w:t>
      </w:r>
      <w:r>
        <w:rPr>
          <w:rFonts w:hint="eastAsia" w:ascii="宋体" w:hAnsi="宋体" w:cs="宋体"/>
          <w:b/>
          <w:sz w:val="32"/>
          <w:szCs w:val="32"/>
          <w:lang w:val="en-US" w:eastAsia="zh-CN"/>
        </w:rPr>
        <w:t>4</w:t>
      </w:r>
      <w:r>
        <w:rPr>
          <w:rFonts w:hint="eastAsia" w:ascii="宋体" w:hAnsi="宋体" w:cs="宋体"/>
          <w:b/>
          <w:sz w:val="32"/>
          <w:szCs w:val="32"/>
        </w:rPr>
        <w:t>月</w:t>
      </w:r>
    </w:p>
    <w:p>
      <w:pPr>
        <w:rPr>
          <w:rFonts w:ascii="宋体" w:hAnsi="宋体" w:cs="宋体"/>
          <w:b/>
          <w:sz w:val="32"/>
          <w:szCs w:val="32"/>
        </w:rPr>
      </w:pPr>
    </w:p>
    <w:p>
      <w:pPr>
        <w:pStyle w:val="9"/>
      </w:pPr>
    </w:p>
    <w:p/>
    <w:p>
      <w:pPr>
        <w:spacing w:line="400" w:lineRule="exact"/>
        <w:jc w:val="center"/>
        <w:rPr>
          <w:rFonts w:ascii="宋体" w:hAnsi="宋体" w:cs="宋体"/>
          <w:b/>
          <w:sz w:val="30"/>
          <w:szCs w:val="30"/>
        </w:rPr>
      </w:pPr>
    </w:p>
    <w:p>
      <w:pPr>
        <w:jc w:val="center"/>
        <w:rPr>
          <w:rFonts w:hint="eastAsia" w:ascii="宋体" w:hAnsi="宋体" w:eastAsia="宋体" w:cs="宋体"/>
          <w:b/>
          <w:sz w:val="30"/>
          <w:szCs w:val="30"/>
          <w:lang w:eastAsia="zh-CN"/>
        </w:rPr>
      </w:pPr>
      <w:r>
        <w:rPr>
          <w:rFonts w:hint="eastAsia" w:ascii="宋体" w:hAnsi="宋体" w:cs="宋体"/>
          <w:b/>
          <w:sz w:val="30"/>
          <w:szCs w:val="30"/>
        </w:rPr>
        <w:t>重庆通力高速公路养护工程有限公司G42 沪蓉高速奉（节）云（阳）段杨柳坪大桥维修加固工程商品混凝土采购</w:t>
      </w:r>
      <w:r>
        <w:rPr>
          <w:rFonts w:hint="eastAsia" w:ascii="宋体" w:hAnsi="宋体" w:cs="宋体"/>
          <w:b/>
          <w:sz w:val="30"/>
          <w:szCs w:val="30"/>
          <w:lang w:eastAsia="zh-CN"/>
        </w:rPr>
        <w:t>（</w:t>
      </w:r>
      <w:r>
        <w:rPr>
          <w:rFonts w:hint="eastAsia" w:ascii="宋体" w:hAnsi="宋体" w:cs="宋体"/>
          <w:b/>
          <w:sz w:val="30"/>
          <w:szCs w:val="30"/>
          <w:lang w:val="en-US" w:eastAsia="zh-CN"/>
        </w:rPr>
        <w:t>第二次</w:t>
      </w:r>
      <w:r>
        <w:rPr>
          <w:rFonts w:hint="eastAsia" w:ascii="宋体" w:hAnsi="宋体" w:cs="宋体"/>
          <w:b/>
          <w:sz w:val="30"/>
          <w:szCs w:val="30"/>
          <w:lang w:eastAsia="zh-CN"/>
        </w:rPr>
        <w:t>）</w:t>
      </w:r>
    </w:p>
    <w:p>
      <w:pPr>
        <w:spacing w:line="400" w:lineRule="exact"/>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46996166"/>
      <w:bookmarkStart w:id="1" w:name="_Toc296602410"/>
      <w:bookmarkStart w:id="2" w:name="_Toc144974487"/>
      <w:bookmarkStart w:id="3" w:name="_Toc179632536"/>
      <w:bookmarkStart w:id="4" w:name="_Toc152042295"/>
      <w:bookmarkStart w:id="5" w:name="_Toc246996909"/>
      <w:bookmarkStart w:id="6" w:name="_Toc152045519"/>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246996168"/>
      <w:bookmarkStart w:id="9" w:name="_Toc296602412"/>
      <w:bookmarkStart w:id="10" w:name="_Toc247085682"/>
      <w:bookmarkStart w:id="11" w:name="_Toc246996911"/>
      <w:bookmarkStart w:id="12" w:name="_Toc152042297"/>
      <w:bookmarkStart w:id="13" w:name="_Toc179632538"/>
      <w:bookmarkStart w:id="14" w:name="_Toc152045521"/>
      <w:bookmarkStart w:id="15" w:name="_Toc144974489"/>
      <w:r>
        <w:rPr>
          <w:szCs w:val="21"/>
        </w:rPr>
        <w:t>本项目</w:t>
      </w:r>
      <w:r>
        <w:rPr>
          <w:rFonts w:hint="eastAsia"/>
          <w:b/>
          <w:bCs/>
          <w:szCs w:val="21"/>
        </w:rPr>
        <w:t>重庆通力高速公路养护工程有限公司G42 沪蓉高速奉（节）云（阳）段杨柳坪大桥维修加固工程商品混凝土采购</w:t>
      </w:r>
      <w:r>
        <w:rPr>
          <w:rFonts w:hint="eastAsia"/>
          <w:b/>
          <w:bCs/>
          <w:szCs w:val="21"/>
          <w:lang w:eastAsia="zh-CN"/>
        </w:rPr>
        <w:t>（</w:t>
      </w:r>
      <w:r>
        <w:rPr>
          <w:rFonts w:hint="eastAsia"/>
          <w:b/>
          <w:bCs/>
          <w:szCs w:val="21"/>
          <w:lang w:val="en-US" w:eastAsia="zh-CN"/>
        </w:rPr>
        <w:t>第二次</w:t>
      </w:r>
      <w:r>
        <w:rPr>
          <w:rFonts w:hint="eastAsia"/>
          <w:b/>
          <w:bCs/>
          <w:szCs w:val="21"/>
          <w:lang w:eastAsia="zh-CN"/>
        </w:rPr>
        <w:t>）</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179632537"/>
      <w:bookmarkStart w:id="17" w:name="_Toc296602411"/>
      <w:bookmarkStart w:id="18" w:name="_Toc247085681"/>
      <w:bookmarkStart w:id="19" w:name="_Toc152045520"/>
      <w:bookmarkStart w:id="20" w:name="_Toc144974488"/>
      <w:bookmarkStart w:id="21" w:name="_Toc246996910"/>
      <w:bookmarkStart w:id="22" w:name="_Toc152042296"/>
      <w:bookmarkStart w:id="23" w:name="_Toc24699616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重庆通力高速公路养护工程有限公司G42 沪蓉高速奉（节）云（阳）段杨柳坪大桥维修加固工程商品混凝土材料采购项目</w:t>
      </w:r>
      <w:r>
        <w:rPr>
          <w:rFonts w:hint="eastAsia"/>
          <w:b/>
          <w:bCs/>
          <w:szCs w:val="21"/>
          <w:lang w:eastAsia="zh-CN"/>
        </w:rPr>
        <w:t>（</w:t>
      </w:r>
      <w:r>
        <w:rPr>
          <w:rFonts w:hint="eastAsia"/>
          <w:b/>
          <w:bCs/>
          <w:szCs w:val="21"/>
          <w:lang w:val="en-US" w:eastAsia="zh-CN"/>
        </w:rPr>
        <w:t>第二次</w:t>
      </w:r>
      <w:r>
        <w:rPr>
          <w:rFonts w:hint="eastAsia"/>
          <w:b/>
          <w:bCs/>
          <w:szCs w:val="21"/>
          <w:lang w:eastAsia="zh-CN"/>
        </w:rPr>
        <w:t>）</w:t>
      </w:r>
      <w:r>
        <w:rPr>
          <w:rFonts w:hint="eastAsia"/>
          <w:b/>
          <w:bCs/>
          <w:szCs w:val="21"/>
        </w:rPr>
        <w:t>。</w:t>
      </w:r>
    </w:p>
    <w:p>
      <w:pPr>
        <w:widowControl/>
        <w:numPr>
          <w:ilvl w:val="0"/>
          <w:numId w:val="1"/>
        </w:numPr>
        <w:spacing w:line="400" w:lineRule="exact"/>
        <w:ind w:firstLine="422" w:firstLineChars="200"/>
        <w:rPr>
          <w:b/>
          <w:bCs/>
          <w:szCs w:val="21"/>
        </w:rPr>
      </w:pPr>
      <w:r>
        <w:rPr>
          <w:rFonts w:hint="eastAsia"/>
          <w:b/>
          <w:bCs/>
          <w:szCs w:val="21"/>
        </w:rPr>
        <w:t>竞争性比选材料采购详见下表：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14"/>
        <w:gridCol w:w="1980"/>
        <w:gridCol w:w="1290"/>
        <w:gridCol w:w="180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8" w:type="dxa"/>
            <w:vAlign w:val="center"/>
          </w:tcPr>
          <w:p>
            <w:pPr>
              <w:spacing w:line="260" w:lineRule="exact"/>
              <w:jc w:val="center"/>
              <w:textAlignment w:val="baseline"/>
              <w:rPr>
                <w:szCs w:val="21"/>
              </w:rPr>
            </w:pPr>
            <w:r>
              <w:rPr>
                <w:rFonts w:hint="eastAsia"/>
                <w:szCs w:val="21"/>
              </w:rPr>
              <w:t>序号</w:t>
            </w:r>
          </w:p>
        </w:tc>
        <w:tc>
          <w:tcPr>
            <w:tcW w:w="1514" w:type="dxa"/>
            <w:vAlign w:val="center"/>
          </w:tcPr>
          <w:p>
            <w:pPr>
              <w:spacing w:line="260" w:lineRule="exact"/>
              <w:jc w:val="center"/>
              <w:textAlignment w:val="baseline"/>
              <w:rPr>
                <w:b/>
                <w:szCs w:val="21"/>
              </w:rPr>
            </w:pPr>
            <w:r>
              <w:rPr>
                <w:rFonts w:hint="eastAsia"/>
                <w:b/>
                <w:szCs w:val="21"/>
              </w:rPr>
              <w:t>产品名称</w:t>
            </w:r>
          </w:p>
        </w:tc>
        <w:tc>
          <w:tcPr>
            <w:tcW w:w="1980" w:type="dxa"/>
            <w:vAlign w:val="center"/>
          </w:tcPr>
          <w:p>
            <w:pPr>
              <w:spacing w:line="260" w:lineRule="exact"/>
              <w:jc w:val="center"/>
              <w:textAlignment w:val="baseline"/>
              <w:rPr>
                <w:b/>
                <w:szCs w:val="21"/>
              </w:rPr>
            </w:pPr>
            <w:r>
              <w:rPr>
                <w:rFonts w:hint="eastAsia"/>
                <w:b/>
                <w:szCs w:val="21"/>
              </w:rPr>
              <w:t>规格型号</w:t>
            </w:r>
          </w:p>
        </w:tc>
        <w:tc>
          <w:tcPr>
            <w:tcW w:w="1290" w:type="dxa"/>
            <w:vAlign w:val="center"/>
          </w:tcPr>
          <w:p>
            <w:pPr>
              <w:spacing w:line="260" w:lineRule="exact"/>
              <w:jc w:val="center"/>
              <w:textAlignment w:val="baseline"/>
              <w:rPr>
                <w:b/>
                <w:szCs w:val="21"/>
              </w:rPr>
            </w:pPr>
            <w:r>
              <w:rPr>
                <w:rFonts w:hint="eastAsia"/>
                <w:b/>
                <w:szCs w:val="21"/>
              </w:rPr>
              <w:t>单位</w:t>
            </w:r>
          </w:p>
        </w:tc>
        <w:tc>
          <w:tcPr>
            <w:tcW w:w="1800" w:type="dxa"/>
            <w:vAlign w:val="center"/>
          </w:tcPr>
          <w:p>
            <w:pPr>
              <w:spacing w:line="260" w:lineRule="exact"/>
              <w:jc w:val="center"/>
              <w:textAlignment w:val="baseline"/>
              <w:rPr>
                <w:b/>
                <w:szCs w:val="21"/>
              </w:rPr>
            </w:pPr>
            <w:r>
              <w:rPr>
                <w:rFonts w:hint="eastAsia"/>
                <w:b/>
                <w:szCs w:val="21"/>
              </w:rPr>
              <w:t>暂估量</w:t>
            </w:r>
          </w:p>
        </w:tc>
        <w:tc>
          <w:tcPr>
            <w:tcW w:w="2305" w:type="dxa"/>
            <w:vAlign w:val="center"/>
          </w:tcPr>
          <w:p>
            <w:pPr>
              <w:spacing w:line="260" w:lineRule="exact"/>
              <w:jc w:val="center"/>
              <w:textAlignment w:val="baseline"/>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pPr>
              <w:spacing w:line="260" w:lineRule="exact"/>
              <w:jc w:val="center"/>
              <w:textAlignment w:val="baseline"/>
              <w:rPr>
                <w:rFonts w:ascii="宋体" w:hAnsi="宋体" w:cs="宋体"/>
                <w:szCs w:val="21"/>
              </w:rPr>
            </w:pPr>
            <w:r>
              <w:rPr>
                <w:rFonts w:hint="eastAsia" w:ascii="宋体" w:hAnsi="宋体" w:cs="宋体"/>
                <w:szCs w:val="21"/>
              </w:rPr>
              <w:t>1</w:t>
            </w:r>
          </w:p>
        </w:tc>
        <w:tc>
          <w:tcPr>
            <w:tcW w:w="151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1"/>
                <w:szCs w:val="21"/>
                <w:lang w:bidi="ar"/>
              </w:rPr>
              <w:t>商品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混凝土</w:t>
            </w:r>
          </w:p>
        </w:tc>
        <w:tc>
          <w:tcPr>
            <w:tcW w:w="198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C30</w:t>
            </w:r>
          </w:p>
        </w:tc>
        <w:tc>
          <w:tcPr>
            <w:tcW w:w="129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m³</w:t>
            </w:r>
          </w:p>
        </w:tc>
        <w:tc>
          <w:tcPr>
            <w:tcW w:w="180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1500</w:t>
            </w:r>
          </w:p>
        </w:tc>
        <w:tc>
          <w:tcPr>
            <w:tcW w:w="2305" w:type="dxa"/>
            <w:vMerge w:val="restart"/>
            <w:vAlign w:val="center"/>
          </w:tcPr>
          <w:p>
            <w:pPr>
              <w:pStyle w:val="9"/>
              <w:numPr>
                <w:ilvl w:val="0"/>
                <w:numId w:val="2"/>
              </w:numPr>
              <w:jc w:val="left"/>
              <w:rPr>
                <w:rFonts w:hint="default" w:ascii="宋体" w:hAnsi="宋体" w:eastAsia="宋体" w:cs="宋体"/>
                <w:sz w:val="21"/>
                <w:szCs w:val="21"/>
                <w:lang w:val="en-US" w:eastAsia="zh-CN"/>
              </w:rPr>
            </w:pPr>
            <w:r>
              <w:rPr>
                <w:rFonts w:hint="eastAsia" w:ascii="Times New Roman" w:hAnsi="Times New Roman" w:eastAsia="宋体" w:cs="Times New Roman"/>
                <w:b w:val="0"/>
                <w:bCs w:val="0"/>
                <w:caps w:val="0"/>
                <w:kern w:val="2"/>
                <w:sz w:val="21"/>
                <w:lang w:val="en-US" w:eastAsia="zh-CN" w:bidi="ar-SA"/>
              </w:rPr>
              <w:t>交货地点：G42沪蓉高速奉（节）云（阳）段杨柳坪大桥桥下便道（通过施工便道运送至杨柳坪大桥桥下施工现场，商品砼运输路径非高速公路</w:t>
            </w:r>
            <w:r>
              <w:rPr>
                <w:rFonts w:hint="eastAsia" w:eastAsia="宋体" w:cs="Times New Roman"/>
                <w:b w:val="0"/>
                <w:bCs w:val="0"/>
                <w:caps w:val="0"/>
                <w:kern w:val="2"/>
                <w:sz w:val="21"/>
                <w:lang w:val="en-US" w:eastAsia="zh-CN" w:bidi="ar-SA"/>
              </w:rPr>
              <w:t>。）</w:t>
            </w:r>
          </w:p>
          <w:p>
            <w:pPr>
              <w:pStyle w:val="9"/>
              <w:numPr>
                <w:ilvl w:val="0"/>
                <w:numId w:val="2"/>
              </w:numPr>
              <w:jc w:val="left"/>
              <w:rPr>
                <w:rFonts w:hint="default" w:ascii="宋体" w:hAnsi="宋体" w:eastAsia="宋体" w:cs="宋体"/>
                <w:sz w:val="21"/>
                <w:szCs w:val="21"/>
                <w:lang w:val="en-US" w:eastAsia="zh-CN"/>
              </w:rPr>
            </w:pPr>
            <w:r>
              <w:rPr>
                <w:rFonts w:hint="eastAsia" w:ascii="宋体" w:hAnsi="宋体" w:eastAsia="宋体" w:cs="宋体"/>
                <w:sz w:val="21"/>
                <w:szCs w:val="21"/>
              </w:rPr>
              <w:t>采购数量为暂定数量，以实际发生为准。</w:t>
            </w:r>
          </w:p>
          <w:p>
            <w:pPr>
              <w:pStyle w:val="9"/>
              <w:numPr>
                <w:ilvl w:val="0"/>
                <w:numId w:val="2"/>
              </w:numPr>
              <w:jc w:val="left"/>
              <w:rPr>
                <w:rFonts w:ascii="宋体" w:hAnsi="宋体" w:eastAsia="宋体" w:cs="宋体"/>
                <w:sz w:val="21"/>
                <w:szCs w:val="21"/>
              </w:rPr>
            </w:pPr>
            <w:r>
              <w:rPr>
                <w:rFonts w:hint="eastAsia" w:ascii="宋体" w:hAnsi="宋体" w:eastAsia="宋体" w:cs="宋体"/>
                <w:sz w:val="21"/>
                <w:szCs w:val="21"/>
                <w:lang w:val="en-US" w:eastAsia="zh-CN"/>
              </w:rPr>
              <w:t>C30使用部位：桩基、承台、系梁；C35使用部位：挡块；C40使用部位：墩身加固（微膨胀）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pPr>
              <w:spacing w:line="260" w:lineRule="exact"/>
              <w:jc w:val="center"/>
              <w:textAlignment w:val="baseline"/>
              <w:rPr>
                <w:rFonts w:ascii="宋体" w:hAnsi="宋体" w:cs="宋体"/>
                <w:szCs w:val="21"/>
              </w:rPr>
            </w:pPr>
            <w:r>
              <w:rPr>
                <w:rFonts w:hint="eastAsia" w:ascii="宋体" w:hAnsi="宋体" w:cs="宋体"/>
                <w:szCs w:val="21"/>
              </w:rPr>
              <w:t>2</w:t>
            </w:r>
          </w:p>
        </w:tc>
        <w:tc>
          <w:tcPr>
            <w:tcW w:w="151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1"/>
                <w:szCs w:val="21"/>
                <w:lang w:bidi="ar"/>
              </w:rPr>
              <w:t>商品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混凝土</w:t>
            </w:r>
          </w:p>
        </w:tc>
        <w:tc>
          <w:tcPr>
            <w:tcW w:w="198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C35</w:t>
            </w:r>
          </w:p>
        </w:tc>
        <w:tc>
          <w:tcPr>
            <w:tcW w:w="129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m³</w:t>
            </w:r>
          </w:p>
        </w:tc>
        <w:tc>
          <w:tcPr>
            <w:tcW w:w="180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20</w:t>
            </w:r>
          </w:p>
        </w:tc>
        <w:tc>
          <w:tcPr>
            <w:tcW w:w="2305" w:type="dxa"/>
            <w:vMerge w:val="continue"/>
            <w:vAlign w:val="center"/>
          </w:tcPr>
          <w:p>
            <w:pPr>
              <w:pStyle w:val="9"/>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pPr>
              <w:spacing w:line="260" w:lineRule="exact"/>
              <w:jc w:val="center"/>
              <w:textAlignment w:val="baseline"/>
              <w:rPr>
                <w:rFonts w:ascii="宋体" w:hAnsi="宋体" w:cs="宋体"/>
                <w:szCs w:val="21"/>
              </w:rPr>
            </w:pPr>
            <w:r>
              <w:rPr>
                <w:rFonts w:hint="eastAsia" w:ascii="宋体" w:hAnsi="宋体" w:cs="宋体"/>
                <w:szCs w:val="21"/>
              </w:rPr>
              <w:t>3</w:t>
            </w:r>
          </w:p>
        </w:tc>
        <w:tc>
          <w:tcPr>
            <w:tcW w:w="151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1"/>
                <w:szCs w:val="21"/>
                <w:lang w:bidi="ar"/>
              </w:rPr>
              <w:t>商品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混凝土</w:t>
            </w:r>
          </w:p>
        </w:tc>
        <w:tc>
          <w:tcPr>
            <w:tcW w:w="198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C40</w:t>
            </w:r>
          </w:p>
        </w:tc>
        <w:tc>
          <w:tcPr>
            <w:tcW w:w="129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m³</w:t>
            </w:r>
          </w:p>
        </w:tc>
        <w:tc>
          <w:tcPr>
            <w:tcW w:w="1800"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80</w:t>
            </w:r>
          </w:p>
        </w:tc>
        <w:tc>
          <w:tcPr>
            <w:tcW w:w="2305" w:type="dxa"/>
            <w:vMerge w:val="continue"/>
            <w:vAlign w:val="center"/>
          </w:tcPr>
          <w:p>
            <w:pPr>
              <w:pStyle w:val="9"/>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18" w:type="dxa"/>
            <w:vAlign w:val="center"/>
          </w:tcPr>
          <w:p>
            <w:pPr>
              <w:spacing w:line="260" w:lineRule="exact"/>
              <w:jc w:val="center"/>
              <w:textAlignment w:val="baseline"/>
              <w:rPr>
                <w:rFonts w:ascii="宋体" w:hAnsi="宋体" w:cs="宋体"/>
                <w:szCs w:val="21"/>
                <w:highlight w:val="none"/>
              </w:rPr>
            </w:pPr>
            <w:r>
              <w:rPr>
                <w:rFonts w:hint="eastAsia" w:ascii="宋体" w:hAnsi="宋体" w:cs="宋体"/>
                <w:szCs w:val="21"/>
                <w:highlight w:val="none"/>
              </w:rPr>
              <w:t>4</w:t>
            </w:r>
          </w:p>
        </w:tc>
        <w:tc>
          <w:tcPr>
            <w:tcW w:w="1514" w:type="dxa"/>
            <w:vAlign w:val="center"/>
          </w:tcPr>
          <w:p>
            <w:pPr>
              <w:widowControl/>
              <w:jc w:val="center"/>
              <w:textAlignment w:val="center"/>
              <w:rPr>
                <w:rFonts w:hint="eastAsia" w:ascii="宋体" w:hAnsi="宋体" w:eastAsia="宋体" w:cs="宋体"/>
                <w:color w:val="FF0000"/>
                <w:sz w:val="20"/>
                <w:szCs w:val="20"/>
                <w:highlight w:val="none"/>
                <w:lang w:eastAsia="zh-CN"/>
              </w:rPr>
            </w:pPr>
            <w:r>
              <w:rPr>
                <w:rFonts w:hint="eastAsia" w:ascii="宋体" w:hAnsi="宋体" w:cs="宋体"/>
                <w:color w:val="auto"/>
                <w:kern w:val="0"/>
                <w:sz w:val="21"/>
                <w:szCs w:val="21"/>
                <w:highlight w:val="none"/>
                <w:lang w:eastAsia="zh-CN" w:bidi="ar"/>
              </w:rPr>
              <w:t>混凝土泵送设备（</w:t>
            </w:r>
            <w:r>
              <w:rPr>
                <w:rFonts w:hint="eastAsia" w:ascii="宋体" w:hAnsi="宋体" w:cs="宋体"/>
                <w:color w:val="auto"/>
                <w:kern w:val="0"/>
                <w:sz w:val="21"/>
                <w:szCs w:val="21"/>
                <w:highlight w:val="none"/>
                <w:lang w:val="en-US" w:eastAsia="zh-CN" w:bidi="ar"/>
              </w:rPr>
              <w:t>地泵</w:t>
            </w:r>
            <w:r>
              <w:rPr>
                <w:rFonts w:hint="eastAsia" w:ascii="宋体" w:hAnsi="宋体" w:cs="宋体"/>
                <w:color w:val="auto"/>
                <w:kern w:val="0"/>
                <w:sz w:val="21"/>
                <w:szCs w:val="21"/>
                <w:highlight w:val="none"/>
                <w:lang w:eastAsia="zh-CN" w:bidi="ar"/>
              </w:rPr>
              <w:t>）</w:t>
            </w:r>
          </w:p>
        </w:tc>
        <w:tc>
          <w:tcPr>
            <w:tcW w:w="198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无</w:t>
            </w:r>
          </w:p>
        </w:tc>
        <w:tc>
          <w:tcPr>
            <w:tcW w:w="129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4"/>
                <w:szCs w:val="24"/>
                <w:highlight w:val="none"/>
                <w:lang w:bidi="ar"/>
              </w:rPr>
              <w:t>m³</w:t>
            </w:r>
          </w:p>
        </w:tc>
        <w:tc>
          <w:tcPr>
            <w:tcW w:w="180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4"/>
                <w:szCs w:val="24"/>
                <w:highlight w:val="none"/>
                <w:lang w:bidi="ar"/>
              </w:rPr>
              <w:t>1500</w:t>
            </w:r>
          </w:p>
        </w:tc>
        <w:tc>
          <w:tcPr>
            <w:tcW w:w="2305" w:type="dxa"/>
            <w:vMerge w:val="continue"/>
            <w:vAlign w:val="center"/>
          </w:tcPr>
          <w:p>
            <w:pPr>
              <w:pStyle w:val="9"/>
              <w:jc w:val="left"/>
              <w:rPr>
                <w:rFonts w:ascii="宋体" w:hAnsi="宋体" w:eastAsia="宋体" w:cs="宋体"/>
                <w:sz w:val="21"/>
                <w:szCs w:val="21"/>
                <w:highlight w:val="none"/>
              </w:rPr>
            </w:pPr>
          </w:p>
        </w:tc>
      </w:tr>
    </w:tbl>
    <w:p>
      <w:pPr>
        <w:spacing w:line="360" w:lineRule="exact"/>
        <w:ind w:firstLine="422" w:firstLineChars="200"/>
        <w:rPr>
          <w:b/>
          <w:bCs/>
          <w:szCs w:val="21"/>
          <w:highlight w:val="none"/>
        </w:rPr>
      </w:pPr>
      <w:r>
        <w:rPr>
          <w:rFonts w:hint="eastAsia"/>
          <w:b/>
          <w:bCs/>
          <w:szCs w:val="21"/>
          <w:highlight w:val="none"/>
        </w:rPr>
        <w:t>备注：1、</w:t>
      </w:r>
    </w:p>
    <w:p>
      <w:pPr>
        <w:spacing w:line="360" w:lineRule="exact"/>
        <w:ind w:firstLine="422" w:firstLineChars="200"/>
        <w:rPr>
          <w:b/>
          <w:bCs/>
          <w:szCs w:val="21"/>
          <w:highlight w:val="none"/>
        </w:rPr>
      </w:pPr>
      <w:r>
        <w:rPr>
          <w:rFonts w:hint="eastAsia"/>
          <w:b/>
          <w:bCs/>
          <w:szCs w:val="21"/>
          <w:highlight w:val="none"/>
        </w:rPr>
        <w:t>（1）本次采购数量为暂估量，最终数量以实际结算数量为准。</w:t>
      </w:r>
    </w:p>
    <w:p>
      <w:pPr>
        <w:spacing w:line="360" w:lineRule="exact"/>
        <w:ind w:firstLine="422" w:firstLineChars="200"/>
        <w:rPr>
          <w:b/>
          <w:bCs/>
          <w:szCs w:val="21"/>
          <w:highlight w:val="none"/>
        </w:rPr>
      </w:pPr>
      <w:r>
        <w:rPr>
          <w:rFonts w:hint="eastAsia"/>
          <w:b/>
          <w:bCs/>
          <w:szCs w:val="21"/>
          <w:highlight w:val="none"/>
        </w:rPr>
        <w:t>（2）材料及设备需满足国家及行业的相关技术规范标准(具体规格型号以比选人实际要求为准)。</w:t>
      </w:r>
    </w:p>
    <w:p>
      <w:pPr>
        <w:spacing w:line="360" w:lineRule="exact"/>
        <w:ind w:firstLine="422" w:firstLineChars="200"/>
        <w:rPr>
          <w:kern w:val="0"/>
          <w:szCs w:val="21"/>
        </w:rPr>
      </w:pPr>
      <w:r>
        <w:rPr>
          <w:rFonts w:hint="eastAsia"/>
          <w:b/>
          <w:bCs/>
          <w:szCs w:val="21"/>
          <w:highlight w:val="none"/>
        </w:rPr>
        <w:t>（3）供货期：</w:t>
      </w:r>
      <w:r>
        <w:rPr>
          <w:rFonts w:hint="eastAsia"/>
          <w:b/>
          <w:szCs w:val="21"/>
          <w:highlight w:val="none"/>
        </w:rPr>
        <w:t>本工程工期为自中标之日起至</w:t>
      </w:r>
      <w:r>
        <w:rPr>
          <w:rFonts w:hint="eastAsia"/>
          <w:b/>
          <w:strike w:val="0"/>
          <w:dstrike w:val="0"/>
          <w:szCs w:val="21"/>
          <w:highlight w:val="none"/>
          <w:u w:val="single"/>
          <w:lang w:val="en-US" w:eastAsia="zh-CN"/>
        </w:rPr>
        <w:t>2022年7月31日</w:t>
      </w:r>
      <w:r>
        <w:rPr>
          <w:rFonts w:hint="eastAsia"/>
          <w:b/>
          <w:szCs w:val="21"/>
        </w:rPr>
        <w:t>，比选申请人必须保证商品混凝土的生产及供应及时，比选人一般提前一天以电话（短信）通知计划用量</w:t>
      </w:r>
      <w:r>
        <w:rPr>
          <w:rFonts w:hint="eastAsia"/>
          <w:kern w:val="0"/>
          <w:szCs w:val="21"/>
        </w:rPr>
        <w:t>。</w:t>
      </w:r>
    </w:p>
    <w:p>
      <w:pPr>
        <w:spacing w:line="360" w:lineRule="exact"/>
        <w:ind w:firstLine="422" w:firstLineChars="200"/>
        <w:rPr>
          <w:b/>
          <w:szCs w:val="21"/>
        </w:rPr>
      </w:pPr>
      <w:r>
        <w:rPr>
          <w:rFonts w:hint="eastAsia"/>
          <w:b/>
          <w:szCs w:val="21"/>
        </w:rPr>
        <w:t>（4）</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b/>
          <w:bCs/>
          <w:szCs w:val="21"/>
        </w:rPr>
      </w:pPr>
      <w:r>
        <w:rPr>
          <w:rFonts w:hint="eastAsia"/>
          <w:b/>
          <w:szCs w:val="21"/>
        </w:rPr>
        <w:t>2、</w:t>
      </w:r>
      <w:r>
        <w:rPr>
          <w:rFonts w:hint="eastAsia"/>
          <w:b/>
          <w:bCs/>
          <w:szCs w:val="21"/>
        </w:rPr>
        <w:t>本次比选为一个分包。</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outlineLvl w:val="0"/>
        <w:rPr>
          <w:szCs w:val="21"/>
        </w:rPr>
      </w:pPr>
      <w:bookmarkStart w:id="24" w:name="_Toc247085683"/>
      <w:bookmarkStart w:id="25" w:name="_Toc144974490"/>
      <w:bookmarkStart w:id="26" w:name="_Toc152042298"/>
      <w:bookmarkStart w:id="27" w:name="_Toc179632539"/>
      <w:bookmarkStart w:id="28" w:name="_Toc296602413"/>
      <w:bookmarkStart w:id="29" w:name="_Toc246996169"/>
      <w:bookmarkStart w:id="30" w:name="_Toc152045522"/>
      <w:bookmarkStart w:id="31" w:name="_Toc246996912"/>
      <w:r>
        <w:rPr>
          <w:rFonts w:hint="eastAsia"/>
          <w:szCs w:val="21"/>
        </w:rPr>
        <w:t>（1）具有独立法人资格、有效的营业执照，并具有相应的生产及供货能力。</w:t>
      </w:r>
    </w:p>
    <w:p>
      <w:pPr>
        <w:spacing w:line="360" w:lineRule="exact"/>
        <w:ind w:firstLine="422" w:firstLineChars="200"/>
        <w:outlineLvl w:val="0"/>
        <w:rPr>
          <w:szCs w:val="21"/>
        </w:rPr>
      </w:pPr>
      <w:r>
        <w:rPr>
          <w:rFonts w:hint="eastAsia"/>
          <w:b/>
          <w:bCs/>
          <w:szCs w:val="21"/>
        </w:rPr>
        <w:t>注：须提供营业执照的复印件或扫描件，并加盖比选申请人公章。</w:t>
      </w:r>
    </w:p>
    <w:p>
      <w:pPr>
        <w:spacing w:line="360" w:lineRule="exact"/>
        <w:ind w:firstLine="420" w:firstLineChars="200"/>
        <w:outlineLvl w:val="0"/>
        <w:rPr>
          <w:szCs w:val="21"/>
        </w:rPr>
      </w:pPr>
      <w:r>
        <w:rPr>
          <w:rFonts w:hint="eastAsia"/>
          <w:szCs w:val="21"/>
        </w:rPr>
        <w:t>（2）比选申请人在“信用中国”网站（http://www.creditchina.gov.cn/）中未被列入失信被执行人名单（黑名单）。</w:t>
      </w:r>
    </w:p>
    <w:p>
      <w:pPr>
        <w:ind w:firstLine="422" w:firstLineChars="200"/>
        <w:rPr>
          <w:b/>
          <w:bCs/>
          <w:szCs w:val="21"/>
        </w:rPr>
      </w:pPr>
      <w:r>
        <w:rPr>
          <w:rFonts w:hint="eastAsia"/>
          <w:b/>
          <w:bCs/>
          <w:szCs w:val="21"/>
        </w:rPr>
        <w:t>注：上述第（2）条由比选申请人作出真实性承诺即可，格式自拟。</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highlight w:val="none"/>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highlight w:val="none"/>
        </w:rPr>
        <w:t>（1）竞标报价为</w:t>
      </w:r>
      <w:r>
        <w:rPr>
          <w:rFonts w:hint="eastAsia"/>
          <w:b/>
          <w:bCs/>
          <w:szCs w:val="21"/>
          <w:highlight w:val="none"/>
          <w:u w:val="single"/>
        </w:rPr>
        <w:t>全费用固定综合单价</w:t>
      </w:r>
      <w:r>
        <w:rPr>
          <w:rFonts w:hint="eastAsia"/>
          <w:szCs w:val="21"/>
          <w:highlight w:val="none"/>
        </w:rPr>
        <w:t>。比选申请人应提供合法有效且符合比选人要求的增值税专用发票（</w:t>
      </w:r>
      <w:r>
        <w:rPr>
          <w:rFonts w:hint="eastAsia"/>
          <w:b/>
          <w:bCs/>
          <w:szCs w:val="21"/>
          <w:highlight w:val="none"/>
          <w:u w:val="single"/>
        </w:rPr>
        <w:t>税率为：3%</w:t>
      </w:r>
      <w:r>
        <w:rPr>
          <w:rFonts w:hint="eastAsia"/>
          <w:szCs w:val="21"/>
          <w:highlight w:val="none"/>
        </w:rPr>
        <w:t>）。因比选申请人开具的发票不规范、不合法或涉嫌虚开发票引起税务</w:t>
      </w:r>
      <w:r>
        <w:rPr>
          <w:rFonts w:hint="eastAsia"/>
          <w:szCs w:val="21"/>
        </w:rPr>
        <w:t>问题的，比选申请人需依法向比选人重新开具发票，并向比选人承担赔偿责任，包括但不限于税款、滞纳金、罚款及相关损失等。</w:t>
      </w:r>
    </w:p>
    <w:p>
      <w:pPr>
        <w:spacing w:line="360" w:lineRule="exact"/>
        <w:ind w:firstLine="420" w:firstLineChars="200"/>
        <w:outlineLvl w:val="0"/>
        <w:rPr>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szCs w:val="21"/>
        </w:rPr>
      </w:pPr>
      <w:r>
        <w:rPr>
          <w:rFonts w:hint="eastAsia"/>
          <w:szCs w:val="21"/>
        </w:rPr>
        <w:t>（3）本项目最高总限价为：</w:t>
      </w:r>
      <w:r>
        <w:rPr>
          <w:rFonts w:hint="eastAsia"/>
          <w:b/>
          <w:bCs/>
          <w:color w:val="auto"/>
          <w:szCs w:val="21"/>
          <w:highlight w:val="none"/>
          <w:u w:val="single"/>
        </w:rPr>
        <w:t>103370</w:t>
      </w:r>
      <w:r>
        <w:rPr>
          <w:rFonts w:hint="eastAsia"/>
          <w:b/>
          <w:bCs/>
          <w:color w:val="auto"/>
          <w:szCs w:val="21"/>
          <w:highlight w:val="none"/>
          <w:u w:val="single"/>
          <w:lang w:val="en-US" w:eastAsia="zh-CN"/>
        </w:rPr>
        <w:t>0</w:t>
      </w:r>
      <w:r>
        <w:rPr>
          <w:rFonts w:hint="eastAsia"/>
          <w:b/>
          <w:bCs/>
          <w:color w:val="auto"/>
          <w:szCs w:val="21"/>
          <w:highlight w:val="none"/>
          <w:u w:val="single"/>
        </w:rPr>
        <w:t>元（大写：</w:t>
      </w:r>
      <w:r>
        <w:rPr>
          <w:rFonts w:hint="eastAsia"/>
          <w:b/>
          <w:bCs/>
          <w:color w:val="auto"/>
          <w:szCs w:val="21"/>
          <w:highlight w:val="none"/>
          <w:u w:val="single"/>
          <w:lang w:val="en-US" w:eastAsia="zh-CN"/>
        </w:rPr>
        <w:t>壹佰零叁万叁仟柒佰</w:t>
      </w:r>
      <w:r>
        <w:rPr>
          <w:rFonts w:hint="eastAsia"/>
          <w:b/>
          <w:bCs/>
          <w:color w:val="auto"/>
          <w:szCs w:val="21"/>
          <w:highlight w:val="none"/>
          <w:u w:val="single"/>
        </w:rPr>
        <w:t>元整）</w:t>
      </w:r>
      <w:r>
        <w:rPr>
          <w:rFonts w:hint="eastAsia"/>
          <w:szCs w:val="21"/>
        </w:rPr>
        <w:t>，具体详见“竞争性比选申请文件格式（五、已标价报价清单）”。</w:t>
      </w:r>
    </w:p>
    <w:p>
      <w:pPr>
        <w:spacing w:line="360" w:lineRule="exact"/>
        <w:ind w:firstLine="420" w:firstLineChars="200"/>
        <w:outlineLvl w:val="0"/>
        <w:rPr>
          <w:szCs w:val="21"/>
        </w:rPr>
      </w:pPr>
      <w:r>
        <w:rPr>
          <w:rFonts w:hint="eastAsia"/>
          <w:szCs w:val="21"/>
        </w:rPr>
        <w:t>注：比选申请人的竞标报价均不得超过比选人公布的相应最高限价（单价限价及总价限价）否则均为无效竞标。</w:t>
      </w:r>
    </w:p>
    <w:p>
      <w:pPr>
        <w:spacing w:line="360" w:lineRule="exact"/>
        <w:ind w:firstLine="420" w:firstLineChars="200"/>
        <w:rPr>
          <w:szCs w:val="21"/>
        </w:rPr>
      </w:pPr>
      <w:r>
        <w:rPr>
          <w:rFonts w:hint="eastAsia"/>
          <w:szCs w:val="21"/>
        </w:rPr>
        <w:t>2、供货要求：</w:t>
      </w:r>
    </w:p>
    <w:p>
      <w:pPr>
        <w:spacing w:line="360" w:lineRule="exact"/>
        <w:ind w:firstLine="420" w:firstLineChars="200"/>
        <w:outlineLvl w:val="0"/>
        <w:rPr>
          <w:szCs w:val="21"/>
        </w:rPr>
      </w:pPr>
      <w:r>
        <w:rPr>
          <w:rFonts w:hint="eastAsia"/>
          <w:szCs w:val="21"/>
        </w:rPr>
        <w:t>（1）质量要求：根据采购产品据实填写：以下仅供参考</w:t>
      </w:r>
    </w:p>
    <w:p>
      <w:pPr>
        <w:spacing w:line="360" w:lineRule="exact"/>
        <w:ind w:firstLine="420" w:firstLineChars="200"/>
        <w:outlineLvl w:val="0"/>
        <w:rPr>
          <w:szCs w:val="21"/>
        </w:rPr>
      </w:pPr>
      <w:r>
        <w:rPr>
          <w:rFonts w:hint="eastAsia"/>
          <w:szCs w:val="21"/>
        </w:rPr>
        <w:t>1、乙方提供的</w:t>
      </w:r>
      <w:r>
        <w:rPr>
          <w:rFonts w:hint="eastAsia"/>
          <w:szCs w:val="21"/>
          <w:lang w:val="en-GB"/>
        </w:rPr>
        <w:t>商品预拌砼，质量检验不低于国家相关技术标准及甲方设计文件要求。</w:t>
      </w:r>
      <w:r>
        <w:rPr>
          <w:rFonts w:hint="eastAsia"/>
          <w:szCs w:val="21"/>
        </w:rPr>
        <w:t>因产品质量导致的全部损失及后果责任均由乙方承担。</w:t>
      </w:r>
    </w:p>
    <w:p>
      <w:pPr>
        <w:spacing w:line="360" w:lineRule="exact"/>
        <w:ind w:firstLine="420" w:firstLineChars="200"/>
        <w:outlineLvl w:val="0"/>
        <w:rPr>
          <w:szCs w:val="21"/>
        </w:rPr>
      </w:pPr>
      <w:r>
        <w:rPr>
          <w:rFonts w:hint="eastAsia"/>
          <w:szCs w:val="21"/>
        </w:rPr>
        <w:t>2、乙方提供的预拌砼产品合格证</w:t>
      </w:r>
      <w:bookmarkStart w:id="32" w:name="OLE_LINK3"/>
      <w:r>
        <w:rPr>
          <w:rFonts w:hint="eastAsia"/>
          <w:szCs w:val="21"/>
        </w:rPr>
        <w:t>及质量检验报告单</w:t>
      </w:r>
      <w:bookmarkEnd w:id="32"/>
      <w:r>
        <w:rPr>
          <w:rFonts w:hint="eastAsia"/>
          <w:szCs w:val="21"/>
        </w:rPr>
        <w:t>。技术标准及要求满足以下指标：</w:t>
      </w:r>
    </w:p>
    <w:p>
      <w:pPr>
        <w:spacing w:line="360" w:lineRule="exact"/>
        <w:ind w:firstLine="420" w:firstLineChars="200"/>
        <w:outlineLvl w:val="0"/>
        <w:rPr>
          <w:szCs w:val="21"/>
        </w:rPr>
      </w:pPr>
      <w:r>
        <w:rPr>
          <w:rFonts w:hint="eastAsia"/>
          <w:szCs w:val="21"/>
        </w:rPr>
        <w:t>预拌砼耐久性要求</w:t>
      </w:r>
    </w:p>
    <w:tbl>
      <w:tblPr>
        <w:tblStyle w:val="7"/>
        <w:tblW w:w="85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415"/>
        <w:gridCol w:w="1237"/>
        <w:gridCol w:w="1921"/>
        <w:gridCol w:w="1894"/>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exact"/>
          <w:jc w:val="center"/>
        </w:trPr>
        <w:tc>
          <w:tcPr>
            <w:tcW w:w="1505" w:type="dxa"/>
            <w:gridSpan w:val="2"/>
            <w:vAlign w:val="center"/>
          </w:tcPr>
          <w:p>
            <w:pPr>
              <w:spacing w:line="360" w:lineRule="exact"/>
              <w:ind w:firstLine="360" w:firstLineChars="200"/>
              <w:outlineLvl w:val="0"/>
              <w:rPr>
                <w:sz w:val="18"/>
                <w:szCs w:val="18"/>
              </w:rPr>
            </w:pPr>
            <w:r>
              <w:rPr>
                <w:rFonts w:hint="eastAsia"/>
                <w:sz w:val="18"/>
                <w:szCs w:val="18"/>
              </w:rPr>
              <w:t>环境类别</w:t>
            </w:r>
          </w:p>
        </w:tc>
        <w:tc>
          <w:tcPr>
            <w:tcW w:w="1237" w:type="dxa"/>
            <w:vAlign w:val="center"/>
          </w:tcPr>
          <w:p>
            <w:pPr>
              <w:spacing w:line="360" w:lineRule="exact"/>
              <w:jc w:val="left"/>
              <w:outlineLvl w:val="0"/>
              <w:rPr>
                <w:sz w:val="18"/>
                <w:szCs w:val="18"/>
              </w:rPr>
            </w:pPr>
            <w:r>
              <w:rPr>
                <w:rFonts w:hint="eastAsia"/>
                <w:sz w:val="18"/>
                <w:szCs w:val="18"/>
              </w:rPr>
              <w:t>最大水胶比</w:t>
            </w:r>
          </w:p>
        </w:tc>
        <w:tc>
          <w:tcPr>
            <w:tcW w:w="1921" w:type="dxa"/>
            <w:vAlign w:val="center"/>
          </w:tcPr>
          <w:p>
            <w:pPr>
              <w:spacing w:line="360" w:lineRule="exact"/>
              <w:jc w:val="left"/>
              <w:outlineLvl w:val="0"/>
              <w:rPr>
                <w:sz w:val="18"/>
                <w:szCs w:val="18"/>
              </w:rPr>
            </w:pPr>
            <w:r>
              <w:rPr>
                <w:rFonts w:hint="eastAsia"/>
                <w:sz w:val="18"/>
                <w:szCs w:val="18"/>
              </w:rPr>
              <w:t>最低预拌砼强度等级</w:t>
            </w:r>
          </w:p>
        </w:tc>
        <w:tc>
          <w:tcPr>
            <w:tcW w:w="1894" w:type="dxa"/>
            <w:vAlign w:val="center"/>
          </w:tcPr>
          <w:p>
            <w:pPr>
              <w:spacing w:line="360" w:lineRule="exact"/>
              <w:jc w:val="left"/>
              <w:outlineLvl w:val="0"/>
              <w:rPr>
                <w:sz w:val="18"/>
                <w:szCs w:val="18"/>
              </w:rPr>
            </w:pPr>
            <w:r>
              <w:rPr>
                <w:rFonts w:hint="eastAsia"/>
                <w:sz w:val="18"/>
                <w:szCs w:val="18"/>
              </w:rPr>
              <w:t>最大氯离子含量（%）</w:t>
            </w:r>
          </w:p>
        </w:tc>
        <w:tc>
          <w:tcPr>
            <w:tcW w:w="1980" w:type="dxa"/>
            <w:vAlign w:val="center"/>
          </w:tcPr>
          <w:p>
            <w:pPr>
              <w:spacing w:line="360" w:lineRule="exact"/>
              <w:jc w:val="left"/>
              <w:outlineLvl w:val="0"/>
              <w:rPr>
                <w:sz w:val="18"/>
                <w:szCs w:val="18"/>
              </w:rPr>
            </w:pPr>
            <w:r>
              <w:rPr>
                <w:rFonts w:hint="eastAsia"/>
                <w:sz w:val="18"/>
                <w:szCs w:val="18"/>
              </w:rPr>
              <w:t>最大碱含量（kg/m³）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505" w:type="dxa"/>
            <w:gridSpan w:val="2"/>
            <w:vAlign w:val="center"/>
          </w:tcPr>
          <w:p>
            <w:pPr>
              <w:spacing w:line="360" w:lineRule="exact"/>
              <w:ind w:firstLine="420" w:firstLineChars="200"/>
              <w:outlineLvl w:val="0"/>
              <w:rPr>
                <w:szCs w:val="21"/>
              </w:rPr>
            </w:pPr>
            <w:r>
              <w:rPr>
                <w:rFonts w:hint="eastAsia"/>
                <w:szCs w:val="21"/>
              </w:rPr>
              <w:t>一</w:t>
            </w:r>
          </w:p>
        </w:tc>
        <w:tc>
          <w:tcPr>
            <w:tcW w:w="1237" w:type="dxa"/>
            <w:vAlign w:val="center"/>
          </w:tcPr>
          <w:p>
            <w:pPr>
              <w:spacing w:line="360" w:lineRule="exact"/>
              <w:outlineLvl w:val="0"/>
              <w:rPr>
                <w:szCs w:val="21"/>
              </w:rPr>
            </w:pPr>
            <w:r>
              <w:rPr>
                <w:rFonts w:hint="eastAsia"/>
                <w:szCs w:val="21"/>
              </w:rPr>
              <w:t>0.60</w:t>
            </w:r>
          </w:p>
        </w:tc>
        <w:tc>
          <w:tcPr>
            <w:tcW w:w="1921" w:type="dxa"/>
            <w:vAlign w:val="center"/>
          </w:tcPr>
          <w:p>
            <w:pPr>
              <w:spacing w:line="360" w:lineRule="exact"/>
              <w:outlineLvl w:val="0"/>
              <w:rPr>
                <w:szCs w:val="21"/>
              </w:rPr>
            </w:pPr>
            <w:r>
              <w:rPr>
                <w:rFonts w:hint="eastAsia"/>
                <w:szCs w:val="21"/>
              </w:rPr>
              <w:t>C20</w:t>
            </w:r>
          </w:p>
        </w:tc>
        <w:tc>
          <w:tcPr>
            <w:tcW w:w="1894" w:type="dxa"/>
            <w:vAlign w:val="center"/>
          </w:tcPr>
          <w:p>
            <w:pPr>
              <w:spacing w:line="360" w:lineRule="exact"/>
              <w:ind w:firstLine="420" w:firstLineChars="200"/>
              <w:outlineLvl w:val="0"/>
              <w:rPr>
                <w:szCs w:val="21"/>
              </w:rPr>
            </w:pPr>
            <w:r>
              <w:rPr>
                <w:rFonts w:hint="eastAsia"/>
                <w:szCs w:val="21"/>
              </w:rPr>
              <w:t>0.30</w:t>
            </w:r>
          </w:p>
        </w:tc>
        <w:tc>
          <w:tcPr>
            <w:tcW w:w="1980" w:type="dxa"/>
            <w:vAlign w:val="center"/>
          </w:tcPr>
          <w:p>
            <w:pPr>
              <w:spacing w:line="360" w:lineRule="exact"/>
              <w:ind w:firstLine="420" w:firstLineChars="200"/>
              <w:outlineLvl w:val="0"/>
              <w:rPr>
                <w:szCs w:val="21"/>
              </w:rPr>
            </w:pPr>
            <w:r>
              <w:rPr>
                <w:rFonts w:hint="eastAsia"/>
                <w:szCs w:val="21"/>
              </w:rPr>
              <w:t>不限制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restart"/>
            <w:tcBorders>
              <w:right w:val="single" w:color="auto" w:sz="4" w:space="0"/>
            </w:tcBorders>
            <w:vAlign w:val="center"/>
          </w:tcPr>
          <w:p>
            <w:pPr>
              <w:spacing w:line="360" w:lineRule="exact"/>
              <w:ind w:firstLine="420" w:firstLineChars="200"/>
              <w:outlineLvl w:val="0"/>
              <w:rPr>
                <w:szCs w:val="21"/>
              </w:rPr>
            </w:pPr>
            <w:r>
              <w:rPr>
                <w:rFonts w:hint="eastAsia"/>
                <w:szCs w:val="21"/>
              </w:rPr>
              <w:t>二</w:t>
            </w:r>
          </w:p>
        </w:tc>
        <w:tc>
          <w:tcPr>
            <w:tcW w:w="415" w:type="dxa"/>
            <w:tcBorders>
              <w:left w:val="single" w:color="auto" w:sz="4" w:space="0"/>
              <w:bottom w:val="single" w:color="auto" w:sz="4" w:space="0"/>
            </w:tcBorders>
            <w:vAlign w:val="center"/>
          </w:tcPr>
          <w:p>
            <w:pPr>
              <w:spacing w:line="360" w:lineRule="exact"/>
              <w:outlineLvl w:val="0"/>
              <w:rPr>
                <w:szCs w:val="21"/>
              </w:rPr>
            </w:pPr>
            <w:r>
              <w:rPr>
                <w:rFonts w:hint="eastAsia"/>
                <w:szCs w:val="21"/>
              </w:rPr>
              <w:t>a</w:t>
            </w:r>
          </w:p>
        </w:tc>
        <w:tc>
          <w:tcPr>
            <w:tcW w:w="1237" w:type="dxa"/>
            <w:vAlign w:val="center"/>
          </w:tcPr>
          <w:p>
            <w:pPr>
              <w:spacing w:line="360" w:lineRule="exact"/>
              <w:outlineLvl w:val="0"/>
              <w:rPr>
                <w:szCs w:val="21"/>
              </w:rPr>
            </w:pPr>
            <w:r>
              <w:rPr>
                <w:rFonts w:hint="eastAsia"/>
                <w:szCs w:val="21"/>
              </w:rPr>
              <w:t>0.55</w:t>
            </w:r>
          </w:p>
        </w:tc>
        <w:tc>
          <w:tcPr>
            <w:tcW w:w="1921" w:type="dxa"/>
            <w:vAlign w:val="center"/>
          </w:tcPr>
          <w:p>
            <w:pPr>
              <w:spacing w:line="360" w:lineRule="exact"/>
              <w:outlineLvl w:val="0"/>
              <w:rPr>
                <w:szCs w:val="21"/>
              </w:rPr>
            </w:pPr>
            <w:r>
              <w:rPr>
                <w:rFonts w:hint="eastAsia"/>
                <w:szCs w:val="21"/>
              </w:rPr>
              <w:t>C25</w:t>
            </w:r>
          </w:p>
        </w:tc>
        <w:tc>
          <w:tcPr>
            <w:tcW w:w="1894" w:type="dxa"/>
            <w:vAlign w:val="center"/>
          </w:tcPr>
          <w:p>
            <w:pPr>
              <w:spacing w:line="360" w:lineRule="exact"/>
              <w:ind w:firstLine="420" w:firstLineChars="200"/>
              <w:outlineLvl w:val="0"/>
              <w:rPr>
                <w:szCs w:val="21"/>
              </w:rPr>
            </w:pPr>
            <w:r>
              <w:rPr>
                <w:rFonts w:hint="eastAsia"/>
                <w:szCs w:val="21"/>
              </w:rPr>
              <w:t>0.20</w:t>
            </w:r>
          </w:p>
        </w:tc>
        <w:tc>
          <w:tcPr>
            <w:tcW w:w="1980" w:type="dxa"/>
            <w:vMerge w:val="restart"/>
            <w:vAlign w:val="center"/>
          </w:tcPr>
          <w:p>
            <w:pPr>
              <w:spacing w:line="360" w:lineRule="exact"/>
              <w:ind w:firstLine="420" w:firstLineChars="200"/>
              <w:outlineLvl w:val="0"/>
              <w:rPr>
                <w:szCs w:val="21"/>
              </w:rPr>
            </w:pPr>
          </w:p>
          <w:p>
            <w:pPr>
              <w:spacing w:line="360" w:lineRule="exact"/>
              <w:ind w:firstLine="420" w:firstLineChars="200"/>
              <w:outlineLvl w:val="0"/>
              <w:rPr>
                <w:szCs w:val="21"/>
              </w:rPr>
            </w:pPr>
            <w:r>
              <w:rPr>
                <w:rFonts w:hint="eastAsia"/>
                <w:szCs w:val="21"/>
              </w:rPr>
              <w:t>0.30</w:t>
            </w:r>
          </w:p>
          <w:p>
            <w:pPr>
              <w:spacing w:line="360" w:lineRule="exact"/>
              <w:outlineLvl w:val="0"/>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continue"/>
            <w:tcBorders>
              <w:right w:val="single" w:color="auto" w:sz="4" w:space="0"/>
            </w:tcBorders>
            <w:vAlign w:val="center"/>
          </w:tcPr>
          <w:p>
            <w:pPr>
              <w:spacing w:line="360" w:lineRule="exact"/>
              <w:ind w:firstLine="420" w:firstLineChars="200"/>
              <w:outlineLvl w:val="0"/>
              <w:rPr>
                <w:szCs w:val="21"/>
              </w:rPr>
            </w:pPr>
          </w:p>
        </w:tc>
        <w:tc>
          <w:tcPr>
            <w:tcW w:w="415" w:type="dxa"/>
            <w:tcBorders>
              <w:top w:val="single" w:color="auto" w:sz="4" w:space="0"/>
              <w:left w:val="single" w:color="auto" w:sz="4" w:space="0"/>
            </w:tcBorders>
            <w:vAlign w:val="center"/>
          </w:tcPr>
          <w:p>
            <w:pPr>
              <w:spacing w:line="360" w:lineRule="exact"/>
              <w:outlineLvl w:val="0"/>
              <w:rPr>
                <w:szCs w:val="21"/>
              </w:rPr>
            </w:pPr>
            <w:r>
              <w:rPr>
                <w:rFonts w:hint="eastAsia"/>
                <w:szCs w:val="21"/>
              </w:rPr>
              <w:t>b</w:t>
            </w:r>
          </w:p>
        </w:tc>
        <w:tc>
          <w:tcPr>
            <w:tcW w:w="1237" w:type="dxa"/>
            <w:vAlign w:val="center"/>
          </w:tcPr>
          <w:p>
            <w:pPr>
              <w:spacing w:line="360" w:lineRule="exact"/>
              <w:outlineLvl w:val="0"/>
              <w:rPr>
                <w:szCs w:val="21"/>
              </w:rPr>
            </w:pPr>
            <w:r>
              <w:rPr>
                <w:rFonts w:hint="eastAsia"/>
                <w:szCs w:val="21"/>
              </w:rPr>
              <w:t>0.50（0.55）</w:t>
            </w:r>
          </w:p>
        </w:tc>
        <w:tc>
          <w:tcPr>
            <w:tcW w:w="1921" w:type="dxa"/>
            <w:vAlign w:val="center"/>
          </w:tcPr>
          <w:p>
            <w:pPr>
              <w:spacing w:line="360" w:lineRule="exact"/>
              <w:outlineLvl w:val="0"/>
              <w:rPr>
                <w:szCs w:val="21"/>
              </w:rPr>
            </w:pPr>
            <w:r>
              <w:rPr>
                <w:rFonts w:hint="eastAsia"/>
                <w:szCs w:val="21"/>
              </w:rPr>
              <w:t>C30（C25）</w:t>
            </w:r>
          </w:p>
        </w:tc>
        <w:tc>
          <w:tcPr>
            <w:tcW w:w="1894" w:type="dxa"/>
            <w:vAlign w:val="center"/>
          </w:tcPr>
          <w:p>
            <w:pPr>
              <w:spacing w:line="360" w:lineRule="exact"/>
              <w:ind w:firstLine="420" w:firstLineChars="200"/>
              <w:outlineLvl w:val="0"/>
              <w:rPr>
                <w:szCs w:val="21"/>
              </w:rPr>
            </w:pPr>
            <w:r>
              <w:rPr>
                <w:rFonts w:hint="eastAsia"/>
                <w:szCs w:val="21"/>
              </w:rPr>
              <w:t>0.15</w:t>
            </w:r>
          </w:p>
        </w:tc>
        <w:tc>
          <w:tcPr>
            <w:tcW w:w="1980" w:type="dxa"/>
            <w:vMerge w:val="continue"/>
            <w:vAlign w:val="center"/>
          </w:tcPr>
          <w:p>
            <w:pPr>
              <w:spacing w:line="360" w:lineRule="exact"/>
              <w:ind w:firstLine="420" w:firstLineChars="200"/>
              <w:outlineLvl w:val="0"/>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restart"/>
            <w:tcBorders>
              <w:left w:val="single" w:color="auto" w:sz="4" w:space="0"/>
              <w:right w:val="single" w:color="auto" w:sz="4" w:space="0"/>
            </w:tcBorders>
            <w:vAlign w:val="center"/>
          </w:tcPr>
          <w:p>
            <w:pPr>
              <w:spacing w:line="360" w:lineRule="exact"/>
              <w:ind w:firstLine="420" w:firstLineChars="200"/>
              <w:outlineLvl w:val="0"/>
              <w:rPr>
                <w:szCs w:val="21"/>
              </w:rPr>
            </w:pPr>
            <w:r>
              <w:rPr>
                <w:rFonts w:hint="eastAsia"/>
                <w:szCs w:val="21"/>
              </w:rPr>
              <w:t>三</w:t>
            </w:r>
          </w:p>
          <w:p>
            <w:pPr>
              <w:spacing w:line="360" w:lineRule="exact"/>
              <w:ind w:firstLine="420" w:firstLineChars="200"/>
              <w:outlineLvl w:val="0"/>
              <w:rPr>
                <w:szCs w:val="21"/>
              </w:rPr>
            </w:pPr>
          </w:p>
        </w:tc>
        <w:tc>
          <w:tcPr>
            <w:tcW w:w="415" w:type="dxa"/>
            <w:tcBorders>
              <w:left w:val="single" w:color="auto" w:sz="4" w:space="0"/>
              <w:bottom w:val="single" w:color="auto" w:sz="4" w:space="0"/>
            </w:tcBorders>
            <w:vAlign w:val="center"/>
          </w:tcPr>
          <w:p>
            <w:pPr>
              <w:spacing w:line="360" w:lineRule="exact"/>
              <w:outlineLvl w:val="0"/>
              <w:rPr>
                <w:szCs w:val="21"/>
              </w:rPr>
            </w:pPr>
            <w:r>
              <w:rPr>
                <w:rFonts w:hint="eastAsia"/>
                <w:szCs w:val="21"/>
              </w:rPr>
              <w:t>a</w:t>
            </w:r>
          </w:p>
          <w:p>
            <w:pPr>
              <w:spacing w:line="360" w:lineRule="exact"/>
              <w:ind w:firstLine="420" w:firstLineChars="200"/>
              <w:outlineLvl w:val="0"/>
              <w:rPr>
                <w:szCs w:val="21"/>
              </w:rPr>
            </w:pPr>
          </w:p>
        </w:tc>
        <w:tc>
          <w:tcPr>
            <w:tcW w:w="1237" w:type="dxa"/>
            <w:tcBorders>
              <w:bottom w:val="single" w:color="auto" w:sz="4" w:space="0"/>
            </w:tcBorders>
            <w:vAlign w:val="center"/>
          </w:tcPr>
          <w:p>
            <w:pPr>
              <w:spacing w:line="360" w:lineRule="exact"/>
              <w:outlineLvl w:val="0"/>
              <w:rPr>
                <w:szCs w:val="21"/>
              </w:rPr>
            </w:pPr>
            <w:r>
              <w:rPr>
                <w:rFonts w:hint="eastAsia"/>
                <w:szCs w:val="21"/>
              </w:rPr>
              <w:t>0.45（0.50）</w:t>
            </w:r>
          </w:p>
        </w:tc>
        <w:tc>
          <w:tcPr>
            <w:tcW w:w="1921" w:type="dxa"/>
            <w:vAlign w:val="center"/>
          </w:tcPr>
          <w:p>
            <w:pPr>
              <w:spacing w:line="360" w:lineRule="exact"/>
              <w:outlineLvl w:val="0"/>
              <w:rPr>
                <w:szCs w:val="21"/>
              </w:rPr>
            </w:pPr>
            <w:r>
              <w:rPr>
                <w:rFonts w:hint="eastAsia"/>
                <w:szCs w:val="21"/>
              </w:rPr>
              <w:t>C35（C30）</w:t>
            </w:r>
          </w:p>
        </w:tc>
        <w:tc>
          <w:tcPr>
            <w:tcW w:w="1894" w:type="dxa"/>
            <w:vAlign w:val="center"/>
          </w:tcPr>
          <w:p>
            <w:pPr>
              <w:spacing w:line="360" w:lineRule="exact"/>
              <w:ind w:firstLine="420" w:firstLineChars="200"/>
              <w:outlineLvl w:val="0"/>
              <w:rPr>
                <w:szCs w:val="21"/>
              </w:rPr>
            </w:pPr>
            <w:r>
              <w:rPr>
                <w:rFonts w:hint="eastAsia"/>
                <w:szCs w:val="21"/>
              </w:rPr>
              <w:t>0.15</w:t>
            </w:r>
          </w:p>
        </w:tc>
        <w:tc>
          <w:tcPr>
            <w:tcW w:w="1980" w:type="dxa"/>
            <w:vMerge w:val="continue"/>
            <w:vAlign w:val="center"/>
          </w:tcPr>
          <w:p>
            <w:pPr>
              <w:spacing w:line="360" w:lineRule="exact"/>
              <w:ind w:firstLine="420" w:firstLineChars="200"/>
              <w:outlineLvl w:val="0"/>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continue"/>
            <w:tcBorders>
              <w:left w:val="single" w:color="auto" w:sz="4" w:space="0"/>
              <w:right w:val="single" w:color="auto" w:sz="4" w:space="0"/>
            </w:tcBorders>
            <w:vAlign w:val="center"/>
          </w:tcPr>
          <w:p>
            <w:pPr>
              <w:spacing w:line="360" w:lineRule="exact"/>
              <w:ind w:firstLine="420" w:firstLineChars="200"/>
              <w:outlineLvl w:val="0"/>
              <w:rPr>
                <w:szCs w:val="21"/>
              </w:rPr>
            </w:pPr>
          </w:p>
        </w:tc>
        <w:tc>
          <w:tcPr>
            <w:tcW w:w="415" w:type="dxa"/>
            <w:tcBorders>
              <w:top w:val="single" w:color="auto" w:sz="4" w:space="0"/>
              <w:left w:val="single" w:color="auto" w:sz="4" w:space="0"/>
            </w:tcBorders>
            <w:vAlign w:val="center"/>
          </w:tcPr>
          <w:p>
            <w:pPr>
              <w:spacing w:line="360" w:lineRule="exact"/>
              <w:outlineLvl w:val="0"/>
              <w:rPr>
                <w:szCs w:val="21"/>
              </w:rPr>
            </w:pPr>
            <w:r>
              <w:rPr>
                <w:rFonts w:hint="eastAsia"/>
                <w:szCs w:val="21"/>
              </w:rPr>
              <w:t>b</w:t>
            </w:r>
          </w:p>
        </w:tc>
        <w:tc>
          <w:tcPr>
            <w:tcW w:w="1237" w:type="dxa"/>
            <w:tcBorders>
              <w:top w:val="single" w:color="auto" w:sz="4" w:space="0"/>
            </w:tcBorders>
            <w:vAlign w:val="center"/>
          </w:tcPr>
          <w:p>
            <w:pPr>
              <w:spacing w:line="360" w:lineRule="exact"/>
              <w:outlineLvl w:val="0"/>
              <w:rPr>
                <w:szCs w:val="21"/>
              </w:rPr>
            </w:pPr>
            <w:r>
              <w:rPr>
                <w:rFonts w:hint="eastAsia"/>
                <w:szCs w:val="21"/>
              </w:rPr>
              <w:t>0.40</w:t>
            </w:r>
          </w:p>
        </w:tc>
        <w:tc>
          <w:tcPr>
            <w:tcW w:w="1921" w:type="dxa"/>
            <w:vAlign w:val="center"/>
          </w:tcPr>
          <w:p>
            <w:pPr>
              <w:spacing w:line="360" w:lineRule="exact"/>
              <w:outlineLvl w:val="0"/>
              <w:rPr>
                <w:szCs w:val="21"/>
              </w:rPr>
            </w:pPr>
            <w:r>
              <w:rPr>
                <w:rFonts w:hint="eastAsia"/>
                <w:szCs w:val="21"/>
              </w:rPr>
              <w:t>0.40</w:t>
            </w:r>
          </w:p>
        </w:tc>
        <w:tc>
          <w:tcPr>
            <w:tcW w:w="1894" w:type="dxa"/>
            <w:vAlign w:val="center"/>
          </w:tcPr>
          <w:p>
            <w:pPr>
              <w:spacing w:line="360" w:lineRule="exact"/>
              <w:ind w:firstLine="420" w:firstLineChars="200"/>
              <w:outlineLvl w:val="0"/>
              <w:rPr>
                <w:szCs w:val="21"/>
              </w:rPr>
            </w:pPr>
            <w:r>
              <w:rPr>
                <w:rFonts w:hint="eastAsia"/>
                <w:szCs w:val="21"/>
              </w:rPr>
              <w:t>0.10</w:t>
            </w:r>
          </w:p>
        </w:tc>
        <w:tc>
          <w:tcPr>
            <w:tcW w:w="1980" w:type="dxa"/>
            <w:vMerge w:val="continue"/>
            <w:vAlign w:val="center"/>
          </w:tcPr>
          <w:p>
            <w:pPr>
              <w:spacing w:line="360" w:lineRule="exact"/>
              <w:ind w:firstLine="420" w:firstLineChars="200"/>
              <w:outlineLvl w:val="0"/>
              <w:rPr>
                <w:szCs w:val="21"/>
              </w:rPr>
            </w:pPr>
          </w:p>
        </w:tc>
      </w:tr>
    </w:tbl>
    <w:p>
      <w:pPr>
        <w:spacing w:line="360" w:lineRule="exact"/>
        <w:ind w:firstLine="420" w:firstLineChars="200"/>
        <w:outlineLvl w:val="0"/>
        <w:rPr>
          <w:szCs w:val="21"/>
        </w:rPr>
      </w:pPr>
      <w:r>
        <w:rPr>
          <w:rFonts w:hint="eastAsia"/>
          <w:szCs w:val="21"/>
        </w:rPr>
        <w:t>注：① 氯离子含量系指其占胶凝材料总量的百分比。</w:t>
      </w:r>
    </w:p>
    <w:p>
      <w:pPr>
        <w:spacing w:line="360" w:lineRule="exact"/>
        <w:ind w:firstLine="420" w:firstLineChars="200"/>
        <w:outlineLvl w:val="0"/>
        <w:rPr>
          <w:szCs w:val="21"/>
        </w:rPr>
      </w:pPr>
      <w:r>
        <w:rPr>
          <w:rFonts w:hint="eastAsia"/>
          <w:szCs w:val="21"/>
        </w:rPr>
        <w:t>② 预应力构件预拌砼中最大氯离子含量为0.06%；7d预拌砼强度达到设计强度等级的85%以上。</w:t>
      </w:r>
    </w:p>
    <w:p>
      <w:pPr>
        <w:spacing w:line="360" w:lineRule="exact"/>
        <w:ind w:firstLine="420" w:firstLineChars="200"/>
        <w:outlineLvl w:val="0"/>
        <w:rPr>
          <w:szCs w:val="21"/>
        </w:rPr>
      </w:pPr>
      <w:r>
        <w:rPr>
          <w:rFonts w:hint="eastAsia"/>
          <w:szCs w:val="21"/>
        </w:rPr>
        <w:t>③ 处于严寒和寒冷地区二b、三a类环境中的预拌砼应使用引气剂，并可采用括号中的有关参数。</w:t>
      </w:r>
    </w:p>
    <w:p>
      <w:pPr>
        <w:spacing w:line="360" w:lineRule="exact"/>
        <w:ind w:firstLine="420" w:firstLineChars="200"/>
        <w:outlineLvl w:val="0"/>
        <w:rPr>
          <w:szCs w:val="21"/>
        </w:rPr>
      </w:pPr>
      <w:r>
        <w:rPr>
          <w:rFonts w:hint="eastAsia"/>
          <w:szCs w:val="21"/>
        </w:rPr>
        <w:t>④ 当使用非碱活性骨料时，对预拌砼中的碱含量可不做限制。</w:t>
      </w:r>
    </w:p>
    <w:p>
      <w:pPr>
        <w:spacing w:line="360" w:lineRule="exact"/>
        <w:ind w:firstLine="420" w:firstLineChars="200"/>
        <w:outlineLvl w:val="0"/>
        <w:rPr>
          <w:szCs w:val="21"/>
        </w:rPr>
      </w:pPr>
      <w:r>
        <w:rPr>
          <w:rFonts w:hint="eastAsia"/>
          <w:szCs w:val="21"/>
        </w:rPr>
        <w:t>⑤ 预拌砼结构在使用年限内应建立定期检测、维修制度，当结构出现可见的耐久性缺陷时，应及时进行处理。</w:t>
      </w:r>
    </w:p>
    <w:p>
      <w:pPr>
        <w:spacing w:line="360" w:lineRule="exact"/>
        <w:ind w:firstLine="422" w:firstLineChars="200"/>
        <w:outlineLvl w:val="0"/>
        <w:rPr>
          <w:b/>
          <w:bCs/>
          <w:szCs w:val="21"/>
          <w:highlight w:val="none"/>
          <w:u w:val="single"/>
        </w:rPr>
      </w:pPr>
      <w:r>
        <w:rPr>
          <w:rFonts w:hint="eastAsia"/>
          <w:b/>
          <w:bCs/>
          <w:szCs w:val="21"/>
          <w:u w:val="single"/>
        </w:rPr>
        <w:t>乙方提供的商品预拌砼需附原材料检测报告（含合格证）及每批次商品预拌砼的生产厂家提供的有检测资质单位出具的配合比报告【需原材料检测报告2份（加盖检测单位章及乙方鲜章），配合比报告2份（加盖检测单位章及乙方鲜章），自检合格报告2份（</w:t>
      </w:r>
      <w:r>
        <w:rPr>
          <w:rFonts w:hint="eastAsia"/>
          <w:b/>
          <w:bCs/>
          <w:szCs w:val="21"/>
          <w:highlight w:val="none"/>
          <w:u w:val="single"/>
        </w:rPr>
        <w:t>加盖检测单位鲜章）】。</w:t>
      </w:r>
    </w:p>
    <w:p>
      <w:pPr>
        <w:spacing w:line="360" w:lineRule="exact"/>
        <w:ind w:firstLine="420" w:firstLineChars="200"/>
        <w:outlineLvl w:val="0"/>
        <w:rPr>
          <w:szCs w:val="21"/>
          <w:highlight w:val="none"/>
        </w:rPr>
      </w:pPr>
      <w:r>
        <w:rPr>
          <w:rFonts w:hint="eastAsia"/>
          <w:szCs w:val="21"/>
          <w:highlight w:val="none"/>
        </w:rPr>
        <w:t>3、甲方应按照</w:t>
      </w:r>
      <w:r>
        <w:rPr>
          <w:rFonts w:ascii="Arial" w:hAnsi="Arial" w:eastAsia="宋体" w:cs="Arial"/>
          <w:i w:val="0"/>
          <w:iCs w:val="0"/>
          <w:caps w:val="0"/>
          <w:color w:val="333333"/>
          <w:spacing w:val="0"/>
          <w:sz w:val="21"/>
          <w:szCs w:val="21"/>
          <w:shd w:val="clear" w:fill="FFFFFF"/>
        </w:rPr>
        <w:t>《混凝土质量控制标准》GB 50164-2011</w:t>
      </w:r>
      <w:r>
        <w:rPr>
          <w:rFonts w:hint="eastAsia"/>
          <w:szCs w:val="21"/>
          <w:highlight w:val="none"/>
        </w:rPr>
        <w:t>，</w:t>
      </w:r>
      <w:r>
        <w:rPr>
          <w:rFonts w:hint="eastAsia"/>
          <w:szCs w:val="21"/>
          <w:highlight w:val="none"/>
          <w:lang w:eastAsia="zh-CN"/>
        </w:rPr>
        <w:t>《</w:t>
      </w:r>
      <w:r>
        <w:rPr>
          <w:rFonts w:hint="eastAsia"/>
          <w:color w:val="auto"/>
          <w:szCs w:val="21"/>
          <w:highlight w:val="none"/>
          <w:lang w:val="en-US" w:eastAsia="zh-CN"/>
        </w:rPr>
        <w:t>预拌混凝土质量控制标准</w:t>
      </w:r>
      <w:r>
        <w:rPr>
          <w:rFonts w:hint="eastAsia"/>
          <w:szCs w:val="21"/>
          <w:highlight w:val="none"/>
          <w:lang w:eastAsia="zh-CN"/>
        </w:rPr>
        <w:t>》</w:t>
      </w:r>
      <w:r>
        <w:rPr>
          <w:rFonts w:hint="eastAsia"/>
          <w:szCs w:val="21"/>
          <w:highlight w:val="none"/>
        </w:rPr>
        <w:t>（</w:t>
      </w:r>
      <w:r>
        <w:rPr>
          <w:rFonts w:hint="eastAsia"/>
          <w:szCs w:val="21"/>
          <w:highlight w:val="none"/>
          <w:lang w:val="en-US" w:eastAsia="zh-CN"/>
        </w:rPr>
        <w:t>DBJ50/T-038-2018</w:t>
      </w:r>
      <w:r>
        <w:rPr>
          <w:rFonts w:hint="eastAsia"/>
          <w:szCs w:val="21"/>
          <w:highlight w:val="none"/>
        </w:rPr>
        <w:t>）进行操作，预拌砼试件必须进行标准制作和标准养护，如未按要求操作造成质量问题由甲方负责。</w:t>
      </w:r>
    </w:p>
    <w:p>
      <w:pPr>
        <w:spacing w:line="360" w:lineRule="exact"/>
        <w:ind w:firstLine="420" w:firstLineChars="200"/>
        <w:outlineLvl w:val="0"/>
        <w:rPr>
          <w:szCs w:val="21"/>
          <w:highlight w:val="none"/>
        </w:rPr>
      </w:pPr>
      <w:r>
        <w:rPr>
          <w:rFonts w:hint="eastAsia"/>
          <w:szCs w:val="21"/>
          <w:highlight w:val="none"/>
        </w:rPr>
        <w:t>4、预拌砼外加剂</w:t>
      </w:r>
    </w:p>
    <w:p>
      <w:pPr>
        <w:spacing w:line="360" w:lineRule="exact"/>
        <w:ind w:firstLine="420" w:firstLineChars="200"/>
        <w:outlineLvl w:val="0"/>
        <w:rPr>
          <w:szCs w:val="21"/>
        </w:rPr>
      </w:pPr>
      <w:r>
        <w:rPr>
          <w:rFonts w:hint="eastAsia"/>
          <w:szCs w:val="21"/>
        </w:rPr>
        <w:t>① 外加剂的选择与使用应满足《预拌砼外加剂应用技术规范》GB50119-2013。选择各类外加剂时，应特别注意外加剂适用范围，应考虑外加剂对预拌砼后期收缩的影响，尽量选择对预拌砼后期收缩影响小的外加剂。</w:t>
      </w:r>
    </w:p>
    <w:p>
      <w:pPr>
        <w:spacing w:line="360" w:lineRule="exact"/>
        <w:ind w:firstLine="420" w:firstLineChars="200"/>
        <w:outlineLvl w:val="0"/>
        <w:rPr>
          <w:szCs w:val="21"/>
        </w:rPr>
      </w:pPr>
      <w:r>
        <w:rPr>
          <w:rFonts w:hint="eastAsia"/>
          <w:szCs w:val="21"/>
        </w:rPr>
        <w:t>② 各类外加剂应由厂商提供的推荐掺量和相应减水率、主要化学成分的化学名称、氯离子含量、含碱量及施工中必要的注意事项。氯化钙不能作为预拌砼外加剂使用。</w:t>
      </w:r>
    </w:p>
    <w:p>
      <w:pPr>
        <w:spacing w:line="360" w:lineRule="exact"/>
        <w:ind w:firstLine="420" w:firstLineChars="200"/>
        <w:outlineLvl w:val="0"/>
        <w:rPr>
          <w:szCs w:val="21"/>
        </w:rPr>
      </w:pPr>
      <w:r>
        <w:rPr>
          <w:rFonts w:hint="eastAsia"/>
          <w:szCs w:val="21"/>
        </w:rPr>
        <w:t>③ 补偿收缩预拌砼采用的外加剂应在A级或一级品，使用时应有专业技术支持。</w:t>
      </w:r>
    </w:p>
    <w:p>
      <w:pPr>
        <w:spacing w:line="360" w:lineRule="exact"/>
        <w:ind w:firstLine="420" w:firstLineChars="200"/>
        <w:outlineLvl w:val="0"/>
        <w:rPr>
          <w:szCs w:val="21"/>
        </w:rPr>
      </w:pPr>
      <w:r>
        <w:rPr>
          <w:rFonts w:hint="eastAsia"/>
          <w:szCs w:val="21"/>
        </w:rPr>
        <w:t>5、商品预拌砼质量要求严格按国家相关技术标准以及甲方设计文件标准执行，预拌砼强度等级必须达到项目工程的评定标准。</w:t>
      </w:r>
    </w:p>
    <w:p>
      <w:pPr>
        <w:spacing w:line="360" w:lineRule="exact"/>
        <w:ind w:firstLine="420" w:firstLineChars="200"/>
        <w:outlineLvl w:val="0"/>
        <w:rPr>
          <w:szCs w:val="21"/>
        </w:rPr>
      </w:pPr>
      <w:r>
        <w:rPr>
          <w:rFonts w:hint="eastAsia"/>
          <w:szCs w:val="21"/>
        </w:rPr>
        <w:t>6、如产品出现质量问题，甲方可在发现问题后10个工作日内向乙方提出异议。甲方未在上述期限内提出异议的，不免除乙方的质量保证责任。</w:t>
      </w:r>
    </w:p>
    <w:p>
      <w:pPr>
        <w:spacing w:line="360" w:lineRule="exact"/>
        <w:ind w:firstLine="420" w:firstLineChars="200"/>
        <w:rPr>
          <w:szCs w:val="21"/>
        </w:rPr>
      </w:pPr>
      <w:r>
        <w:rPr>
          <w:rFonts w:hint="eastAsia"/>
          <w:szCs w:val="21"/>
        </w:rPr>
        <w:t>（2）材料运输：本竞争性比选文件约定的材料价格为比选人指定位置的到场单价，材料运输的安全由比选申请人负责，因材料运输超限等引起的全部后果、责任均由比选申请人承担。比选申请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比选申请</w:t>
      </w:r>
      <w:r>
        <w:rPr>
          <w:szCs w:val="21"/>
        </w:rPr>
        <w:t>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szCs w:val="21"/>
        </w:rPr>
      </w:pPr>
      <w:r>
        <w:rPr>
          <w:rFonts w:hint="eastAsia"/>
          <w:szCs w:val="21"/>
        </w:rPr>
        <w:t>②法定代表人身份证明及授权委托书；</w:t>
      </w:r>
    </w:p>
    <w:p>
      <w:pPr>
        <w:spacing w:line="360" w:lineRule="exact"/>
        <w:ind w:firstLine="420" w:firstLineChars="200"/>
        <w:rPr>
          <w:szCs w:val="21"/>
        </w:rPr>
      </w:pPr>
      <w:r>
        <w:rPr>
          <w:rFonts w:hint="eastAsia"/>
          <w:szCs w:val="21"/>
        </w:rPr>
        <w:t>③比选申请单位有效的营业执照；</w:t>
      </w:r>
    </w:p>
    <w:p>
      <w:pPr>
        <w:spacing w:line="360" w:lineRule="exact"/>
        <w:ind w:firstLine="420" w:firstLineChars="200"/>
        <w:rPr>
          <w:szCs w:val="21"/>
        </w:rPr>
      </w:pPr>
      <w:r>
        <w:rPr>
          <w:rFonts w:hint="eastAsia"/>
          <w:szCs w:val="21"/>
        </w:rPr>
        <w:t>④比选申请单位自行承诺部分；</w:t>
      </w:r>
    </w:p>
    <w:p>
      <w:pPr>
        <w:spacing w:line="360" w:lineRule="exact"/>
        <w:ind w:firstLine="420" w:firstLineChars="200"/>
        <w:rPr>
          <w:szCs w:val="21"/>
        </w:rPr>
      </w:pPr>
      <w:r>
        <w:rPr>
          <w:rFonts w:hint="eastAsia"/>
          <w:szCs w:val="21"/>
        </w:rPr>
        <w:t>⑤已标价报价清单。</w:t>
      </w:r>
    </w:p>
    <w:p>
      <w:pPr>
        <w:spacing w:line="360" w:lineRule="exact"/>
        <w:ind w:firstLine="422" w:firstLineChars="200"/>
        <w:rPr>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szCs w:val="21"/>
        </w:rPr>
      </w:pPr>
      <w:r>
        <w:rPr>
          <w:rFonts w:hint="eastAsia"/>
          <w:szCs w:val="21"/>
        </w:rPr>
        <w:t>7、比选申请</w:t>
      </w:r>
      <w:r>
        <w:rPr>
          <w:szCs w:val="21"/>
        </w:rPr>
        <w:t>文件的份数及编制要求</w:t>
      </w:r>
      <w:r>
        <w:rPr>
          <w:rFonts w:hint="eastAsia"/>
          <w:szCs w:val="21"/>
        </w:rPr>
        <w:t>：</w:t>
      </w:r>
    </w:p>
    <w:p>
      <w:pPr>
        <w:spacing w:line="360" w:lineRule="exact"/>
        <w:ind w:firstLine="420" w:firstLineChars="200"/>
      </w:pPr>
      <w:r>
        <w:rPr>
          <w:rFonts w:hint="eastAsia"/>
          <w:szCs w:val="21"/>
        </w:rPr>
        <w:t>比选申请</w:t>
      </w:r>
      <w:r>
        <w:rPr>
          <w:szCs w:val="21"/>
        </w:rPr>
        <w:t>文件</w:t>
      </w:r>
      <w:r>
        <w:rPr>
          <w:rFonts w:hint="eastAsia"/>
          <w:b/>
          <w:bCs/>
          <w:szCs w:val="21"/>
        </w:rPr>
        <w:t>1份</w:t>
      </w:r>
      <w:r>
        <w:rPr>
          <w:rFonts w:hint="eastAsia"/>
          <w:szCs w:val="21"/>
        </w:rPr>
        <w:t>，比选申请</w:t>
      </w:r>
      <w:r>
        <w:rPr>
          <w:szCs w:val="21"/>
        </w:rPr>
        <w:t>文件</w:t>
      </w:r>
      <w:r>
        <w:rPr>
          <w:rFonts w:hint="eastAsia"/>
          <w:szCs w:val="21"/>
        </w:rPr>
        <w:t>按竞争性比选文件中规定格式排版。</w:t>
      </w:r>
    </w:p>
    <w:p>
      <w:pPr>
        <w:numPr>
          <w:ilvl w:val="0"/>
          <w:numId w:val="3"/>
        </w:numPr>
        <w:spacing w:line="360" w:lineRule="auto"/>
        <w:rPr>
          <w:rFonts w:ascii="宋体" w:hAnsi="宋体" w:cs="宋体"/>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w:t>
      </w:r>
      <w:r>
        <w:rPr>
          <w:rFonts w:hint="eastAsia" w:ascii="宋体" w:hAnsi="宋体"/>
          <w:b/>
          <w:szCs w:val="21"/>
          <w:u w:val="single"/>
        </w:rPr>
        <w:t>最低投标价法</w:t>
      </w:r>
      <w:r>
        <w:rPr>
          <w:rFonts w:hint="eastAsia" w:ascii="宋体" w:hAnsi="宋体" w:cs="宋体"/>
          <w:bCs/>
          <w:szCs w:val="21"/>
        </w:rPr>
        <w:t>）：</w:t>
      </w:r>
    </w:p>
    <w:p>
      <w:pPr>
        <w:spacing w:line="360" w:lineRule="exact"/>
        <w:ind w:firstLine="420" w:firstLineChars="200"/>
        <w:rPr>
          <w:rFonts w:ascii="宋体" w:hAnsi="宋体" w:cs="宋体"/>
          <w:szCs w:val="21"/>
        </w:rPr>
      </w:pPr>
      <w:r>
        <w:rPr>
          <w:rFonts w:hint="eastAsia"/>
          <w:bCs/>
          <w:szCs w:val="21"/>
        </w:rPr>
        <w:t>本</w:t>
      </w:r>
      <w:r>
        <w:rPr>
          <w:rFonts w:hint="eastAsia" w:ascii="宋体" w:hAnsi="宋体" w:cs="宋体"/>
          <w:bCs/>
          <w:szCs w:val="21"/>
        </w:rPr>
        <w:t>项</w:t>
      </w:r>
      <w:r>
        <w:rPr>
          <w:rFonts w:hint="eastAsia" w:ascii="宋体" w:hAnsi="宋体" w:cs="宋体"/>
          <w:szCs w:val="21"/>
        </w:rPr>
        <w:t>目采用经评审的最低投标价法，评标委员会按本项目总报价由低到高的顺序进行评审。</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（一）竞争性比选文件</w:t>
      </w:r>
      <w:r>
        <w:rPr>
          <w:rFonts w:hint="eastAsia" w:ascii="宋体" w:hAnsi="宋体" w:cs="宋体"/>
          <w:szCs w:val="21"/>
        </w:rPr>
        <w:t>获取方式：凡愿意参加的潜在竞标人，从</w:t>
      </w:r>
      <w:r>
        <w:rPr>
          <w:rFonts w:hint="eastAsia" w:ascii="宋体" w:hAnsi="宋体" w:cs="宋体"/>
          <w:szCs w:val="21"/>
          <w:highlight w:val="none"/>
          <w:lang w:val="en-US" w:eastAsia="zh-CN"/>
        </w:rPr>
        <w:t>挂网</w:t>
      </w:r>
      <w:r>
        <w:rPr>
          <w:rFonts w:hint="eastAsia" w:ascii="宋体" w:hAnsi="宋体" w:cs="宋体"/>
          <w:szCs w:val="21"/>
        </w:rPr>
        <w:t>起至竞争性比选响应文件递交截止时间前，详见重庆高速集团官网（http://www.cegc.com.cn/gw/newsInfoMenu.html?id=42&amp;key=2）、重庆高速公路集团有限公司招投标管理平台（http://43.240.249.108:8088/PMS/）上发布的本项目竞争性比选公告中的获取方式（链接）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（二）</w:t>
      </w:r>
      <w:r>
        <w:rPr>
          <w:rFonts w:hint="eastAsia" w:ascii="宋体" w:hAnsi="宋体" w:cs="宋体"/>
          <w:szCs w:val="21"/>
        </w:rPr>
        <w:t>竞争性比选公告及结果公示将在重庆高速集团官网（http://www.cegc.com.cn/gw/newsInfoMenu.html?id=42&amp;key=2）、重庆高速公路集团有限公司招投标管理平台（http://43.240.249.108:8088/PMS/）上发布。</w:t>
      </w:r>
      <w:r>
        <w:rPr>
          <w:rFonts w:hint="eastAsia" w:ascii="宋体" w:hAnsi="宋体" w:cs="宋体"/>
          <w:szCs w:val="21"/>
          <w:highlight w:val="non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（三）竞争性比选响应文件递交截止地点：重庆通力高速公路养护工程有限公司（</w:t>
      </w:r>
      <w:r>
        <w:rPr>
          <w:rFonts w:hint="eastAsia" w:ascii="宋体" w:hAnsi="宋体" w:cs="宋体"/>
          <w:b/>
          <w:bCs/>
          <w:szCs w:val="21"/>
          <w:u w:val="single"/>
        </w:rPr>
        <w:t>重庆市沙坪坝区天星桥街道梨高路重庆通力高速公路养护工程有限公司3楼工程部办公室</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b/>
          <w:bCs/>
          <w:szCs w:val="21"/>
          <w:u w:val="single"/>
        </w:rPr>
        <w:t>在2022年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11</w:t>
      </w:r>
      <w:r>
        <w:rPr>
          <w:rFonts w:hint="eastAsia" w:ascii="宋体" w:hAnsi="宋体" w:cs="宋体"/>
          <w:b/>
          <w:bCs/>
          <w:szCs w:val="21"/>
          <w:u w:val="single"/>
        </w:rPr>
        <w:t>日</w:t>
      </w:r>
      <w:r>
        <w:rPr>
          <w:rFonts w:hint="eastAsia" w:ascii="宋体" w:hAnsi="宋体" w:cs="宋体"/>
          <w:b/>
          <w:bCs/>
          <w:szCs w:val="21"/>
          <w:u w:val="single"/>
          <w:lang w:val="en-US" w:eastAsia="zh-CN"/>
        </w:rPr>
        <w:t>10</w:t>
      </w:r>
      <w:r>
        <w:rPr>
          <w:rFonts w:hint="eastAsia" w:ascii="宋体" w:hAnsi="宋体" w:cs="宋体"/>
          <w:b/>
          <w:bCs/>
          <w:szCs w:val="21"/>
          <w:u w:val="single"/>
        </w:rPr>
        <w:t>时</w:t>
      </w:r>
      <w:r>
        <w:rPr>
          <w:rFonts w:hint="eastAsia" w:ascii="宋体" w:hAnsi="宋体" w:cs="宋体"/>
          <w:b/>
          <w:bCs/>
          <w:szCs w:val="21"/>
          <w:u w:val="single"/>
          <w:lang w:val="en-US" w:eastAsia="zh-CN"/>
        </w:rPr>
        <w:t>00</w:t>
      </w:r>
      <w:r>
        <w:rPr>
          <w:rFonts w:hint="eastAsia" w:ascii="宋体" w:hAnsi="宋体" w:cs="宋体"/>
          <w:b/>
          <w:bCs/>
          <w:szCs w:val="21"/>
          <w:u w:val="single"/>
        </w:rPr>
        <w:t>分</w:t>
      </w:r>
      <w:r>
        <w:rPr>
          <w:rFonts w:hint="eastAsia" w:ascii="宋体" w:hAnsi="宋体" w:cs="宋体"/>
          <w:b/>
          <w:bCs/>
          <w:szCs w:val="21"/>
        </w:rPr>
        <w:t>。</w:t>
      </w:r>
    </w:p>
    <w:p>
      <w:pPr>
        <w:spacing w:line="360" w:lineRule="auto"/>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w:t>
      </w:r>
      <w:bookmarkStart w:id="38" w:name="_GoBack"/>
      <w:bookmarkEnd w:id="38"/>
      <w:r>
        <w:rPr>
          <w:rFonts w:hint="eastAsia" w:ascii="宋体" w:hAnsi="宋体" w:cs="宋体"/>
          <w:szCs w:val="21"/>
        </w:rPr>
        <w:t>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（六）比选申请人因自身原因或其他特殊情况等不能到场开标，可通过其他方式在投标截止日前递交标书进行报名。不到场参与开标，视为比选申请人默认开标过程及开标结果。</w:t>
      </w:r>
    </w:p>
    <w:p>
      <w:pPr>
        <w:spacing w:line="360" w:lineRule="exact"/>
        <w:ind w:firstLine="420" w:firstLineChars="200"/>
        <w:rPr>
          <w:rFonts w:ascii="宋体" w:hAnsi="宋体" w:cs="宋体"/>
          <w:szCs w:val="21"/>
        </w:rPr>
      </w:pPr>
      <w:r>
        <w:rPr>
          <w:rFonts w:hint="eastAsia" w:ascii="宋体" w:hAnsi="宋体" w:cs="宋体"/>
          <w:szCs w:val="21"/>
        </w:rPr>
        <w:t>（七）密封要求：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pStyle w:val="9"/>
        <w:rPr>
          <w:rFonts w:ascii="宋体" w:hAnsi="宋体" w:cs="宋体"/>
          <w:szCs w:val="21"/>
        </w:rPr>
      </w:pPr>
    </w:p>
    <w:p>
      <w:pPr>
        <w:pStyle w:val="9"/>
        <w:rPr>
          <w:rFonts w:ascii="宋体" w:hAnsi="宋体" w:cs="宋体"/>
          <w:b/>
          <w:bCs/>
          <w:szCs w:val="21"/>
        </w:rPr>
      </w:pPr>
    </w:p>
    <w:p>
      <w:pPr>
        <w:spacing w:line="360" w:lineRule="auto"/>
        <w:ind w:firstLine="422" w:firstLineChars="200"/>
        <w:jc w:val="center"/>
        <w:rPr>
          <w:rFonts w:ascii="宋体" w:hAnsi="宋体" w:cs="宋体"/>
          <w:b/>
          <w:bCs/>
          <w:szCs w:val="21"/>
          <w:u w:val="single"/>
        </w:rPr>
      </w:pPr>
      <w:r>
        <w:rPr>
          <w:rFonts w:hint="eastAsia" w:ascii="宋体" w:hAnsi="宋体" w:cs="宋体"/>
          <w:b/>
          <w:bCs/>
          <w:szCs w:val="21"/>
          <w:u w:val="single"/>
        </w:rPr>
        <w:t>重庆通力高速公路养护工程有限公司G42 沪蓉高速奉（节）云（阳）段</w:t>
      </w:r>
    </w:p>
    <w:p>
      <w:pPr>
        <w:spacing w:line="360" w:lineRule="auto"/>
        <w:ind w:firstLine="422" w:firstLineChars="200"/>
        <w:jc w:val="center"/>
        <w:rPr>
          <w:rFonts w:ascii="宋体" w:hAnsi="宋体" w:cs="宋体"/>
          <w:b/>
          <w:bCs/>
          <w:szCs w:val="21"/>
          <w:u w:val="single"/>
        </w:rPr>
      </w:pPr>
      <w:r>
        <w:rPr>
          <w:rFonts w:hint="eastAsia" w:ascii="宋体" w:hAnsi="宋体" w:cs="宋体"/>
          <w:b/>
          <w:bCs/>
          <w:szCs w:val="21"/>
          <w:u w:val="single"/>
        </w:rPr>
        <w:t>杨柳坪大桥维修加固工程商品混凝土采购</w:t>
      </w:r>
      <w:r>
        <w:rPr>
          <w:rFonts w:hint="eastAsia" w:ascii="宋体" w:hAnsi="宋体" w:cs="宋体"/>
          <w:b/>
          <w:bCs/>
          <w:szCs w:val="21"/>
          <w:u w:val="single"/>
          <w:lang w:eastAsia="zh-CN"/>
        </w:rPr>
        <w:t>（</w:t>
      </w:r>
      <w:r>
        <w:rPr>
          <w:rFonts w:hint="eastAsia" w:ascii="宋体" w:hAnsi="宋体" w:cs="宋体"/>
          <w:b/>
          <w:bCs/>
          <w:szCs w:val="21"/>
          <w:u w:val="single"/>
          <w:lang w:val="en-US" w:eastAsia="zh-CN"/>
        </w:rPr>
        <w:t>第二次</w:t>
      </w:r>
      <w:r>
        <w:rPr>
          <w:rFonts w:hint="eastAsia" w:ascii="宋体" w:hAnsi="宋体" w:cs="宋体"/>
          <w:b/>
          <w:bCs/>
          <w:szCs w:val="21"/>
          <w:u w:val="single"/>
          <w:lang w:eastAsia="zh-CN"/>
        </w:rPr>
        <w:t>）</w:t>
      </w:r>
      <w:r>
        <w:rPr>
          <w:rFonts w:hint="eastAsia" w:ascii="宋体" w:hAnsi="宋体" w:cs="宋体"/>
          <w:b/>
          <w:bCs/>
          <w:szCs w:val="21"/>
          <w:u w:val="single"/>
        </w:rPr>
        <w:t>竞争性比选响应文件</w:t>
      </w:r>
    </w:p>
    <w:p>
      <w:pPr>
        <w:spacing w:line="360" w:lineRule="auto"/>
        <w:ind w:firstLine="422" w:firstLineChars="200"/>
        <w:jc w:val="center"/>
        <w:rPr>
          <w:rFonts w:ascii="宋体" w:hAnsi="宋体" w:cs="宋体"/>
          <w:b/>
          <w:bCs/>
          <w:szCs w:val="21"/>
          <w:u w:val="single"/>
        </w:rPr>
      </w:pPr>
      <w:r>
        <w:rPr>
          <w:rFonts w:hint="eastAsia" w:ascii="宋体" w:hAnsi="宋体" w:cs="宋体"/>
          <w:b/>
          <w:bCs/>
          <w:szCs w:val="21"/>
          <w:u w:val="single"/>
        </w:rPr>
        <w:t>在2022年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11</w:t>
      </w:r>
      <w:r>
        <w:rPr>
          <w:rFonts w:hint="eastAsia" w:ascii="宋体" w:hAnsi="宋体" w:cs="宋体"/>
          <w:b/>
          <w:bCs/>
          <w:szCs w:val="21"/>
          <w:u w:val="single"/>
        </w:rPr>
        <w:t>日</w:t>
      </w:r>
      <w:r>
        <w:rPr>
          <w:rFonts w:hint="eastAsia" w:ascii="宋体" w:hAnsi="宋体" w:cs="宋体"/>
          <w:b/>
          <w:bCs/>
          <w:szCs w:val="21"/>
          <w:u w:val="single"/>
          <w:lang w:val="en-US" w:eastAsia="zh-CN"/>
        </w:rPr>
        <w:t>10</w:t>
      </w:r>
      <w:r>
        <w:rPr>
          <w:rFonts w:hint="eastAsia" w:ascii="宋体" w:hAnsi="宋体" w:cs="宋体"/>
          <w:b/>
          <w:bCs/>
          <w:szCs w:val="21"/>
          <w:u w:val="single"/>
        </w:rPr>
        <w:t>时</w:t>
      </w:r>
      <w:r>
        <w:rPr>
          <w:rFonts w:hint="eastAsia" w:ascii="宋体" w:hAnsi="宋体" w:cs="宋体"/>
          <w:b/>
          <w:bCs/>
          <w:szCs w:val="21"/>
          <w:u w:val="single"/>
          <w:lang w:val="en-US" w:eastAsia="zh-CN"/>
        </w:rPr>
        <w:t>00</w:t>
      </w:r>
      <w:r>
        <w:rPr>
          <w:rFonts w:hint="eastAsia" w:ascii="宋体" w:hAnsi="宋体" w:cs="宋体"/>
          <w:b/>
          <w:bCs/>
          <w:szCs w:val="21"/>
          <w:u w:val="single"/>
        </w:rPr>
        <w:t>分前不得开启</w:t>
      </w:r>
    </w:p>
    <w:p>
      <w:pPr>
        <w:spacing w:line="360" w:lineRule="exact"/>
        <w:ind w:firstLine="420" w:firstLineChars="200"/>
        <w:jc w:val="center"/>
        <w:rPr>
          <w:rFonts w:ascii="宋体" w:hAnsi="宋体" w:cs="宋体"/>
          <w:szCs w:val="21"/>
        </w:rPr>
      </w:pPr>
    </w:p>
    <w:p>
      <w:pPr>
        <w:spacing w:line="360" w:lineRule="exact"/>
        <w:ind w:firstLine="420" w:firstLineChars="200"/>
        <w:rPr>
          <w:rFonts w:hint="eastAsia"/>
          <w:szCs w:val="21"/>
        </w:rPr>
      </w:pPr>
      <w:r>
        <w:rPr>
          <w:rFonts w:hint="eastAsia" w:ascii="宋体" w:hAnsi="宋体" w:cs="宋体"/>
          <w:szCs w:val="21"/>
        </w:rPr>
        <w:t>（</w:t>
      </w:r>
      <w:r>
        <w:rPr>
          <w:rFonts w:hint="eastAsia" w:ascii="宋体" w:hAnsi="宋体" w:cs="宋体"/>
          <w:szCs w:val="21"/>
          <w:lang w:val="en-US" w:eastAsia="zh-CN"/>
        </w:rPr>
        <w:t>八</w:t>
      </w:r>
      <w:r>
        <w:rPr>
          <w:rFonts w:hint="eastAsia" w:ascii="宋体" w:hAnsi="宋体" w:cs="宋体"/>
          <w:szCs w:val="21"/>
        </w:rPr>
        <w:t>）</w:t>
      </w:r>
      <w:r>
        <w:rPr>
          <w:rFonts w:hint="eastAsia"/>
          <w:szCs w:val="21"/>
        </w:rPr>
        <w:t>廉政约定：</w:t>
      </w:r>
    </w:p>
    <w:p>
      <w:pPr>
        <w:spacing w:line="360" w:lineRule="exact"/>
        <w:ind w:firstLine="420" w:firstLineChars="200"/>
        <w:rPr>
          <w:rFonts w:hint="eastAsia"/>
          <w:szCs w:val="21"/>
          <w:highlight w:val="none"/>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w:t>
      </w:r>
      <w:r>
        <w:rPr>
          <w:rFonts w:hint="eastAsia"/>
          <w:szCs w:val="21"/>
          <w:highlight w:val="none"/>
        </w:rPr>
        <w:t>人员进行举报。具体举报渠道告知如下：</w:t>
      </w:r>
    </w:p>
    <w:p>
      <w:pPr>
        <w:spacing w:line="360" w:lineRule="exact"/>
        <w:ind w:firstLine="420" w:firstLineChars="200"/>
        <w:rPr>
          <w:rFonts w:hint="eastAsia"/>
          <w:szCs w:val="21"/>
        </w:rPr>
      </w:pPr>
      <w:r>
        <w:rPr>
          <w:rFonts w:hint="eastAsia"/>
          <w:szCs w:val="21"/>
          <w:highlight w:val="none"/>
        </w:rPr>
        <w:t>举报电话</w:t>
      </w:r>
      <w:r>
        <w:rPr>
          <w:rFonts w:hint="eastAsia"/>
          <w:szCs w:val="21"/>
          <w:highlight w:val="none"/>
          <w:lang w:val="en-US" w:eastAsia="zh-CN"/>
        </w:rPr>
        <w:t>及</w:t>
      </w:r>
      <w:r>
        <w:rPr>
          <w:rFonts w:hint="eastAsia"/>
          <w:szCs w:val="21"/>
          <w:highlight w:val="none"/>
        </w:rPr>
        <w:t>传真：</w:t>
      </w:r>
      <w:r>
        <w:rPr>
          <w:rFonts w:hint="eastAsia" w:ascii="宋体" w:hAnsi="宋体" w:cs="宋体"/>
          <w:szCs w:val="21"/>
          <w:highlight w:val="none"/>
        </w:rPr>
        <w:t>023-89063863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numPr>
          <w:ilvl w:val="0"/>
          <w:numId w:val="4"/>
        </w:numPr>
        <w:spacing w:line="360" w:lineRule="exact"/>
        <w:ind w:firstLine="420" w:firstLineChars="200"/>
        <w:rPr>
          <w:rFonts w:ascii="宋体" w:hAnsi="宋体" w:cs="宋体"/>
          <w:szCs w:val="21"/>
          <w:highlight w:val="none"/>
        </w:rPr>
      </w:pPr>
      <w:r>
        <w:rPr>
          <w:rFonts w:hint="eastAsia"/>
          <w:szCs w:val="21"/>
          <w:highlight w:val="none"/>
        </w:rPr>
        <w:t>采购合同（附后）。</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（十）比选人联系方式：</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比选人：重庆通力高速公路养护工程有限公司</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地址：重庆市沙坪坝区天星桥街道梨高路重庆通力高速公路养护工程有限公司</w:t>
      </w:r>
    </w:p>
    <w:p>
      <w:pPr>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联系人：刘老师</w:t>
      </w:r>
      <w:r>
        <w:rPr>
          <w:rFonts w:hint="eastAsia" w:ascii="宋体" w:hAnsi="宋体" w:cs="宋体"/>
          <w:szCs w:val="21"/>
          <w:highlight w:val="none"/>
          <w:lang w:eastAsia="zh-CN"/>
        </w:rPr>
        <w:t>：</w:t>
      </w:r>
      <w:r>
        <w:rPr>
          <w:rFonts w:hint="eastAsia" w:ascii="宋体" w:hAnsi="宋体" w:cs="宋体"/>
          <w:szCs w:val="21"/>
          <w:highlight w:val="none"/>
        </w:rPr>
        <w:t>电话：023-89063871</w:t>
      </w:r>
      <w:r>
        <w:rPr>
          <w:rFonts w:hint="eastAsia" w:ascii="宋体" w:hAnsi="宋体" w:cs="宋体"/>
          <w:szCs w:val="21"/>
          <w:highlight w:val="none"/>
          <w:lang w:eastAsia="zh-CN"/>
        </w:rPr>
        <w:t>；</w:t>
      </w:r>
      <w:r>
        <w:rPr>
          <w:rFonts w:hint="eastAsia" w:ascii="宋体" w:hAnsi="宋体"/>
          <w:snapToGrid w:val="0"/>
          <w:kern w:val="0"/>
          <w:szCs w:val="21"/>
          <w:highlight w:val="none"/>
          <w:lang w:val="en-US" w:eastAsia="zh-CN"/>
        </w:rPr>
        <w:t>舒老师</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电话：</w:t>
      </w:r>
      <w:r>
        <w:rPr>
          <w:rFonts w:hint="eastAsia" w:ascii="宋体" w:hAnsi="宋体"/>
          <w:snapToGrid w:val="0"/>
          <w:kern w:val="0"/>
          <w:szCs w:val="21"/>
          <w:highlight w:val="none"/>
          <w:lang w:val="en-US" w:eastAsia="zh-CN"/>
        </w:rPr>
        <w:t>19923733963</w:t>
      </w:r>
    </w:p>
    <w:p>
      <w:pPr>
        <w:spacing w:line="360" w:lineRule="exact"/>
        <w:ind w:firstLine="420" w:firstLineChars="200"/>
        <w:jc w:val="left"/>
        <w:rPr>
          <w:rFonts w:ascii="宋体" w:hAnsi="宋体" w:cs="宋体"/>
          <w:szCs w:val="21"/>
          <w:highlight w:val="none"/>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spacing w:line="360" w:lineRule="exact"/>
        <w:jc w:val="left"/>
        <w:rPr>
          <w:b/>
          <w:sz w:val="24"/>
          <w:szCs w:val="21"/>
        </w:rPr>
      </w:pPr>
      <w:r>
        <w:rPr>
          <w:rFonts w:ascii="宋体" w:hAnsi="宋体"/>
          <w:szCs w:val="21"/>
        </w:rPr>
        <w:t xml:space="preserve"> </w:t>
      </w:r>
      <w:r>
        <w:rPr>
          <w:rFonts w:hint="eastAsia"/>
          <w:b/>
          <w:sz w:val="24"/>
          <w:szCs w:val="21"/>
        </w:rPr>
        <w:t>采购合同：</w:t>
      </w:r>
    </w:p>
    <w:p>
      <w:pPr>
        <w:pStyle w:val="9"/>
      </w:pPr>
    </w:p>
    <w:p>
      <w:pPr>
        <w:spacing w:line="360" w:lineRule="auto"/>
        <w:jc w:val="center"/>
        <w:rPr>
          <w:b/>
          <w:sz w:val="32"/>
          <w:szCs w:val="18"/>
        </w:rPr>
      </w:pPr>
      <w:r>
        <w:rPr>
          <w:rFonts w:hint="eastAsia"/>
          <w:b/>
          <w:sz w:val="32"/>
          <w:szCs w:val="18"/>
        </w:rPr>
        <w:t>重庆通力高速公路养护工程有限公司</w:t>
      </w:r>
    </w:p>
    <w:p>
      <w:pPr>
        <w:spacing w:line="360" w:lineRule="auto"/>
        <w:jc w:val="center"/>
        <w:rPr>
          <w:b/>
          <w:sz w:val="32"/>
          <w:szCs w:val="18"/>
        </w:rPr>
      </w:pPr>
      <w:r>
        <w:rPr>
          <w:rFonts w:hint="eastAsia"/>
          <w:b/>
          <w:sz w:val="32"/>
          <w:szCs w:val="18"/>
        </w:rPr>
        <w:t>G42 沪蓉高速奉（节）云（阳）段杨柳坪大桥维修加固工程</w:t>
      </w:r>
    </w:p>
    <w:p>
      <w:pPr>
        <w:spacing w:line="360" w:lineRule="auto"/>
        <w:jc w:val="center"/>
        <w:rPr>
          <w:b/>
          <w:sz w:val="24"/>
          <w:szCs w:val="32"/>
        </w:rPr>
      </w:pPr>
      <w:r>
        <w:rPr>
          <w:rFonts w:hint="eastAsia"/>
          <w:b/>
          <w:sz w:val="32"/>
          <w:szCs w:val="18"/>
        </w:rPr>
        <w:t>商品混凝土采购合同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 xml:space="preserve">乙方：                                   </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sz w:val="24"/>
          <w:szCs w:val="24"/>
        </w:rPr>
        <w:t>G42 沪蓉高速奉（节）云（阳）段杨柳坪大桥维修加固工程需要，协议向乙方购买商品混凝土一批；依照《中华人民共和国合同法》及其他有关法律、行政法规，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Cs w:val="21"/>
          <w:highlight w:val="yellow"/>
        </w:rPr>
      </w:pPr>
      <w:r>
        <w:rPr>
          <w:rFonts w:hint="eastAsia"/>
          <w:b/>
          <w:sz w:val="24"/>
          <w:szCs w:val="24"/>
        </w:rPr>
        <w:t>一、产品名称、型号、数量、金额</w:t>
      </w:r>
      <w:r>
        <w:rPr>
          <w:rFonts w:hint="eastAsia"/>
          <w:sz w:val="24"/>
          <w:szCs w:val="24"/>
        </w:rPr>
        <w:t>：</w:t>
      </w:r>
      <w:r>
        <w:rPr>
          <w:rFonts w:hint="eastAsia"/>
          <w:szCs w:val="21"/>
        </w:rPr>
        <w:t>货币单位：人民币  元</w:t>
      </w:r>
    </w:p>
    <w:tbl>
      <w:tblPr>
        <w:tblStyle w:val="7"/>
        <w:tblpPr w:leftFromText="180" w:rightFromText="180" w:vertAnchor="text" w:horzAnchor="margin" w:tblpX="213" w:tblpY="24"/>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84"/>
        <w:gridCol w:w="764"/>
        <w:gridCol w:w="828"/>
        <w:gridCol w:w="1198"/>
        <w:gridCol w:w="1224"/>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8" w:type="dxa"/>
          </w:tcPr>
          <w:p>
            <w:pPr>
              <w:spacing w:line="360" w:lineRule="auto"/>
              <w:jc w:val="center"/>
              <w:textAlignment w:val="baseline"/>
              <w:rPr>
                <w:b/>
                <w:sz w:val="24"/>
                <w:szCs w:val="24"/>
              </w:rPr>
            </w:pPr>
            <w:r>
              <w:rPr>
                <w:rFonts w:hint="eastAsia"/>
                <w:b/>
                <w:sz w:val="24"/>
                <w:szCs w:val="24"/>
              </w:rPr>
              <w:t>产品名称</w:t>
            </w:r>
          </w:p>
        </w:tc>
        <w:tc>
          <w:tcPr>
            <w:tcW w:w="1184" w:type="dxa"/>
          </w:tcPr>
          <w:p>
            <w:pPr>
              <w:spacing w:line="360" w:lineRule="auto"/>
              <w:jc w:val="center"/>
              <w:textAlignment w:val="baseline"/>
              <w:rPr>
                <w:b/>
                <w:sz w:val="24"/>
                <w:szCs w:val="24"/>
              </w:rPr>
            </w:pPr>
            <w:r>
              <w:rPr>
                <w:rFonts w:hint="eastAsia"/>
                <w:b/>
                <w:sz w:val="24"/>
                <w:szCs w:val="24"/>
              </w:rPr>
              <w:t>规格型号</w:t>
            </w:r>
          </w:p>
        </w:tc>
        <w:tc>
          <w:tcPr>
            <w:tcW w:w="764" w:type="dxa"/>
          </w:tcPr>
          <w:p>
            <w:pPr>
              <w:spacing w:line="360" w:lineRule="auto"/>
              <w:jc w:val="center"/>
              <w:textAlignment w:val="baseline"/>
              <w:rPr>
                <w:b/>
                <w:sz w:val="24"/>
                <w:szCs w:val="24"/>
              </w:rPr>
            </w:pPr>
            <w:r>
              <w:rPr>
                <w:rFonts w:hint="eastAsia"/>
                <w:b/>
                <w:sz w:val="24"/>
                <w:szCs w:val="24"/>
              </w:rPr>
              <w:t>单位</w:t>
            </w:r>
          </w:p>
        </w:tc>
        <w:tc>
          <w:tcPr>
            <w:tcW w:w="828" w:type="dxa"/>
          </w:tcPr>
          <w:p>
            <w:pPr>
              <w:spacing w:line="360" w:lineRule="auto"/>
              <w:jc w:val="center"/>
              <w:textAlignment w:val="baseline"/>
              <w:rPr>
                <w:b/>
                <w:sz w:val="24"/>
                <w:szCs w:val="24"/>
              </w:rPr>
            </w:pPr>
            <w:r>
              <w:rPr>
                <w:rFonts w:hint="eastAsia"/>
                <w:b/>
                <w:sz w:val="24"/>
                <w:szCs w:val="24"/>
              </w:rPr>
              <w:t>数量</w:t>
            </w:r>
          </w:p>
        </w:tc>
        <w:tc>
          <w:tcPr>
            <w:tcW w:w="1198" w:type="dxa"/>
          </w:tcPr>
          <w:p>
            <w:pPr>
              <w:spacing w:line="360" w:lineRule="auto"/>
              <w:jc w:val="center"/>
              <w:textAlignment w:val="baseline"/>
              <w:rPr>
                <w:b/>
                <w:sz w:val="24"/>
                <w:szCs w:val="24"/>
              </w:rPr>
            </w:pPr>
            <w:r>
              <w:rPr>
                <w:rFonts w:hint="eastAsia"/>
                <w:b/>
                <w:sz w:val="24"/>
                <w:szCs w:val="24"/>
              </w:rPr>
              <w:t>到场单价</w:t>
            </w:r>
          </w:p>
        </w:tc>
        <w:tc>
          <w:tcPr>
            <w:tcW w:w="1224" w:type="dxa"/>
          </w:tcPr>
          <w:p>
            <w:pPr>
              <w:spacing w:line="360" w:lineRule="auto"/>
              <w:jc w:val="center"/>
              <w:textAlignment w:val="baseline"/>
              <w:rPr>
                <w:b/>
                <w:sz w:val="24"/>
                <w:szCs w:val="24"/>
              </w:rPr>
            </w:pPr>
            <w:r>
              <w:rPr>
                <w:rFonts w:hint="eastAsia"/>
                <w:b/>
                <w:sz w:val="24"/>
                <w:szCs w:val="24"/>
              </w:rPr>
              <w:t>金额</w:t>
            </w:r>
          </w:p>
        </w:tc>
        <w:tc>
          <w:tcPr>
            <w:tcW w:w="3454" w:type="dxa"/>
          </w:tcPr>
          <w:p>
            <w:pPr>
              <w:spacing w:line="360" w:lineRule="auto"/>
              <w:jc w:val="center"/>
              <w:textAlignment w:val="baseline"/>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18" w:type="dxa"/>
            <w:vAlign w:val="center"/>
          </w:tcPr>
          <w:p>
            <w:pPr>
              <w:widowControl/>
              <w:jc w:val="center"/>
              <w:textAlignment w:val="center"/>
              <w:rPr>
                <w:sz w:val="22"/>
                <w:szCs w:val="22"/>
              </w:rPr>
            </w:pPr>
            <w:r>
              <w:rPr>
                <w:rFonts w:hint="eastAsia" w:ascii="宋体" w:hAnsi="宋体" w:cs="宋体"/>
                <w:color w:val="000000"/>
                <w:kern w:val="0"/>
                <w:sz w:val="24"/>
                <w:szCs w:val="24"/>
                <w:lang w:bidi="ar"/>
              </w:rPr>
              <w:t>商品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混凝土</w:t>
            </w:r>
          </w:p>
        </w:tc>
        <w:tc>
          <w:tcPr>
            <w:tcW w:w="1184" w:type="dxa"/>
            <w:vAlign w:val="center"/>
          </w:tcPr>
          <w:p>
            <w:pPr>
              <w:widowControl/>
              <w:jc w:val="center"/>
              <w:textAlignment w:val="center"/>
              <w:rPr>
                <w:sz w:val="22"/>
                <w:szCs w:val="22"/>
              </w:rPr>
            </w:pPr>
            <w:r>
              <w:rPr>
                <w:rFonts w:hint="eastAsia" w:ascii="宋体" w:hAnsi="宋体" w:cs="宋体"/>
                <w:color w:val="000000"/>
                <w:kern w:val="0"/>
                <w:sz w:val="28"/>
                <w:szCs w:val="28"/>
                <w:lang w:bidi="ar"/>
              </w:rPr>
              <w:t>C30</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1500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restart"/>
            <w:vAlign w:val="center"/>
          </w:tcPr>
          <w:p>
            <w:pPr>
              <w:pStyle w:val="9"/>
              <w:jc w:val="left"/>
              <w:rPr>
                <w:rFonts w:hint="eastAsia" w:ascii="Times New Roman" w:hAnsi="Times New Roman" w:eastAsia="宋体" w:cs="Times New Roman"/>
                <w:b w:val="0"/>
                <w:bCs w:val="0"/>
                <w:caps w:val="0"/>
                <w:kern w:val="2"/>
                <w:sz w:val="21"/>
                <w:lang w:val="en-US" w:eastAsia="zh-CN" w:bidi="ar-SA"/>
              </w:rPr>
            </w:pPr>
            <w:r>
              <w:rPr>
                <w:rFonts w:hint="eastAsia" w:ascii="Times New Roman" w:hAnsi="Times New Roman" w:eastAsia="宋体" w:cs="Times New Roman"/>
                <w:b w:val="0"/>
                <w:bCs w:val="0"/>
                <w:caps w:val="0"/>
                <w:kern w:val="2"/>
                <w:sz w:val="21"/>
                <w:lang w:val="en-US" w:eastAsia="zh-CN" w:bidi="ar-SA"/>
              </w:rPr>
              <w:t>1、交货地点：G42沪蓉高速奉（节）云（阳）段杨柳坪大桥桥下便道（通过附近市政道路及施工便道运送至杨柳坪大桥桥下施工现场，商品砼运输路径非高速公路。</w:t>
            </w:r>
            <w:r>
              <w:rPr>
                <w:rFonts w:hint="eastAsia" w:eastAsia="宋体" w:cs="Times New Roman"/>
                <w:b w:val="0"/>
                <w:bCs w:val="0"/>
                <w:caps w:val="0"/>
                <w:kern w:val="2"/>
                <w:sz w:val="21"/>
                <w:lang w:val="en-US" w:eastAsia="zh-CN" w:bidi="ar-SA"/>
              </w:rPr>
              <w:t>）</w:t>
            </w:r>
          </w:p>
          <w:p>
            <w:pPr>
              <w:spacing w:line="360" w:lineRule="auto"/>
              <w:jc w:val="left"/>
              <w:textAlignment w:val="baseline"/>
              <w:rPr>
                <w:rFonts w:hint="eastAsia" w:ascii="Times New Roman" w:hAnsi="Times New Roman" w:eastAsia="宋体" w:cs="Times New Roman"/>
                <w:b w:val="0"/>
                <w:bCs w:val="0"/>
                <w:caps w:val="0"/>
                <w:kern w:val="2"/>
                <w:sz w:val="21"/>
                <w:lang w:val="en-US" w:eastAsia="zh-CN" w:bidi="ar-SA"/>
              </w:rPr>
            </w:pPr>
            <w:r>
              <w:rPr>
                <w:rFonts w:hint="eastAsia" w:ascii="Times New Roman" w:hAnsi="Times New Roman" w:eastAsia="宋体" w:cs="Times New Roman"/>
                <w:b w:val="0"/>
                <w:bCs w:val="0"/>
                <w:caps w:val="0"/>
                <w:kern w:val="2"/>
                <w:sz w:val="21"/>
                <w:lang w:val="en-US" w:eastAsia="zh-CN" w:bidi="ar-SA"/>
              </w:rPr>
              <w:t>2、采购数量为暂定数量，以实际发生为准。</w:t>
            </w:r>
          </w:p>
          <w:p>
            <w:pPr>
              <w:pStyle w:val="6"/>
              <w:rPr>
                <w:rFonts w:hint="eastAsia" w:eastAsia="宋体"/>
                <w:lang w:val="en-US" w:eastAsia="zh-CN"/>
              </w:rPr>
            </w:pPr>
            <w:r>
              <w:rPr>
                <w:rFonts w:hint="eastAsia" w:ascii="Times New Roman" w:hAnsi="Times New Roman" w:eastAsia="宋体" w:cs="Times New Roman"/>
                <w:b w:val="0"/>
                <w:bCs w:val="0"/>
                <w:caps w:val="0"/>
                <w:kern w:val="2"/>
                <w:sz w:val="21"/>
                <w:lang w:val="en-US" w:eastAsia="zh-CN" w:bidi="ar-SA"/>
              </w:rPr>
              <w:t>3、如甲方需使用乙方砼输送泵车进行泵送，每次使用数量≧ 50 m³时，按实际砼方量计泵送费，每次使用数量&lt;50 m³时，按50 m³计泵送费。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Align w:val="center"/>
          </w:tcPr>
          <w:p>
            <w:pPr>
              <w:widowControl/>
              <w:jc w:val="center"/>
              <w:textAlignment w:val="center"/>
              <w:rPr>
                <w:sz w:val="22"/>
                <w:szCs w:val="22"/>
              </w:rPr>
            </w:pPr>
            <w:r>
              <w:rPr>
                <w:rFonts w:hint="eastAsia" w:ascii="宋体" w:hAnsi="宋体" w:cs="宋体"/>
                <w:color w:val="000000"/>
                <w:kern w:val="0"/>
                <w:sz w:val="24"/>
                <w:szCs w:val="24"/>
                <w:lang w:bidi="ar"/>
              </w:rPr>
              <w:t>商品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混凝土</w:t>
            </w:r>
          </w:p>
        </w:tc>
        <w:tc>
          <w:tcPr>
            <w:tcW w:w="1184" w:type="dxa"/>
            <w:vAlign w:val="center"/>
          </w:tcPr>
          <w:p>
            <w:pPr>
              <w:widowControl/>
              <w:jc w:val="center"/>
              <w:textAlignment w:val="center"/>
              <w:rPr>
                <w:sz w:val="22"/>
                <w:szCs w:val="22"/>
              </w:rPr>
            </w:pPr>
            <w:r>
              <w:rPr>
                <w:rFonts w:hint="eastAsia" w:ascii="宋体" w:hAnsi="宋体" w:cs="宋体"/>
                <w:color w:val="000000"/>
                <w:kern w:val="0"/>
                <w:sz w:val="28"/>
                <w:szCs w:val="28"/>
                <w:lang w:bidi="ar"/>
              </w:rPr>
              <w:t>C35</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20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continue"/>
            <w:vAlign w:val="center"/>
          </w:tcPr>
          <w:p>
            <w:pPr>
              <w:spacing w:line="360" w:lineRule="auto"/>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8" w:type="dxa"/>
            <w:vAlign w:val="center"/>
          </w:tcPr>
          <w:p>
            <w:pPr>
              <w:widowControl/>
              <w:jc w:val="center"/>
              <w:textAlignment w:val="center"/>
              <w:rPr>
                <w:sz w:val="22"/>
                <w:szCs w:val="22"/>
              </w:rPr>
            </w:pPr>
            <w:r>
              <w:rPr>
                <w:rFonts w:hint="eastAsia" w:ascii="宋体" w:hAnsi="宋体" w:cs="宋体"/>
                <w:color w:val="000000"/>
                <w:kern w:val="0"/>
                <w:sz w:val="24"/>
                <w:szCs w:val="24"/>
                <w:lang w:bidi="ar"/>
              </w:rPr>
              <w:t>商品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混凝土</w:t>
            </w:r>
          </w:p>
        </w:tc>
        <w:tc>
          <w:tcPr>
            <w:tcW w:w="1184" w:type="dxa"/>
            <w:vAlign w:val="center"/>
          </w:tcPr>
          <w:p>
            <w:pPr>
              <w:widowControl/>
              <w:jc w:val="center"/>
              <w:textAlignment w:val="center"/>
              <w:rPr>
                <w:sz w:val="22"/>
                <w:szCs w:val="22"/>
              </w:rPr>
            </w:pPr>
            <w:r>
              <w:rPr>
                <w:rFonts w:hint="eastAsia" w:ascii="宋体" w:hAnsi="宋体" w:cs="宋体"/>
                <w:color w:val="000000"/>
                <w:kern w:val="0"/>
                <w:sz w:val="28"/>
                <w:szCs w:val="28"/>
                <w:lang w:bidi="ar"/>
              </w:rPr>
              <w:t>C40</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80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continue"/>
            <w:vAlign w:val="center"/>
          </w:tcPr>
          <w:p>
            <w:pPr>
              <w:spacing w:line="360" w:lineRule="auto"/>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vAlign w:val="center"/>
          </w:tcPr>
          <w:p>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混凝土泵送设备</w:t>
            </w:r>
          </w:p>
          <w:p>
            <w:pPr>
              <w:widowControl/>
              <w:jc w:val="center"/>
              <w:textAlignment w:val="center"/>
              <w:rPr>
                <w:rFonts w:hint="eastAsia" w:eastAsia="宋体"/>
                <w:sz w:val="22"/>
                <w:szCs w:val="22"/>
                <w:lang w:eastAsia="zh-CN"/>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地泵</w:t>
            </w:r>
            <w:r>
              <w:rPr>
                <w:rFonts w:hint="eastAsia" w:ascii="宋体" w:hAnsi="宋体" w:cs="宋体"/>
                <w:color w:val="000000"/>
                <w:kern w:val="0"/>
                <w:sz w:val="24"/>
                <w:szCs w:val="24"/>
                <w:lang w:eastAsia="zh-CN" w:bidi="ar"/>
              </w:rPr>
              <w:t>）</w:t>
            </w:r>
          </w:p>
        </w:tc>
        <w:tc>
          <w:tcPr>
            <w:tcW w:w="1184" w:type="dxa"/>
            <w:vAlign w:val="center"/>
          </w:tcPr>
          <w:p>
            <w:pPr>
              <w:widowControl/>
              <w:jc w:val="center"/>
              <w:textAlignment w:val="center"/>
              <w:rPr>
                <w:sz w:val="22"/>
                <w:szCs w:val="22"/>
              </w:rPr>
            </w:pPr>
            <w:r>
              <w:rPr>
                <w:rFonts w:hint="eastAsia" w:ascii="宋体" w:hAnsi="宋体" w:cs="宋体"/>
                <w:color w:val="000000"/>
                <w:kern w:val="0"/>
                <w:sz w:val="24"/>
                <w:szCs w:val="24"/>
                <w:lang w:bidi="ar"/>
              </w:rPr>
              <w:t>无</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1500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continue"/>
            <w:vAlign w:val="center"/>
          </w:tcPr>
          <w:p>
            <w:pPr>
              <w:spacing w:line="360" w:lineRule="auto"/>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02" w:type="dxa"/>
            <w:gridSpan w:val="2"/>
            <w:vAlign w:val="center"/>
          </w:tcPr>
          <w:p>
            <w:pPr>
              <w:spacing w:line="360" w:lineRule="auto"/>
              <w:jc w:val="center"/>
              <w:textAlignment w:val="baseline"/>
              <w:rPr>
                <w:rFonts w:ascii="方正仿宋_GBK" w:hAnsi="方正仿宋_GBK" w:eastAsia="方正仿宋_GBK" w:cs="方正仿宋_GBK"/>
                <w:b/>
                <w:bCs/>
                <w:sz w:val="22"/>
                <w:szCs w:val="22"/>
              </w:rPr>
            </w:pPr>
            <w:r>
              <w:rPr>
                <w:rFonts w:hint="eastAsia" w:ascii="宋体" w:hAnsi="宋体" w:cs="宋体"/>
                <w:b/>
                <w:bCs/>
                <w:sz w:val="22"/>
                <w:szCs w:val="22"/>
              </w:rPr>
              <w:t>合计</w:t>
            </w:r>
          </w:p>
        </w:tc>
        <w:tc>
          <w:tcPr>
            <w:tcW w:w="4014" w:type="dxa"/>
            <w:gridSpan w:val="4"/>
            <w:vAlign w:val="center"/>
          </w:tcPr>
          <w:p>
            <w:pPr>
              <w:spacing w:line="360" w:lineRule="auto"/>
              <w:jc w:val="center"/>
              <w:textAlignment w:val="baseline"/>
              <w:rPr>
                <w:rFonts w:ascii="宋体" w:hAnsi="宋体" w:cs="宋体"/>
                <w:b/>
                <w:bCs/>
                <w:sz w:val="22"/>
                <w:szCs w:val="22"/>
              </w:rPr>
            </w:pPr>
          </w:p>
          <w:p>
            <w:pPr>
              <w:spacing w:line="360" w:lineRule="auto"/>
              <w:jc w:val="center"/>
              <w:textAlignment w:val="baseline"/>
              <w:rPr>
                <w:rFonts w:ascii="宋体" w:hAnsi="宋体" w:cs="宋体"/>
                <w:b/>
                <w:bCs/>
                <w:sz w:val="22"/>
                <w:szCs w:val="22"/>
              </w:rPr>
            </w:pPr>
            <w:r>
              <w:rPr>
                <w:rFonts w:hint="eastAsia" w:ascii="宋体" w:hAnsi="宋体" w:cs="宋体"/>
                <w:b/>
                <w:bCs/>
                <w:sz w:val="22"/>
                <w:szCs w:val="22"/>
              </w:rPr>
              <w:t>大写：</w:t>
            </w:r>
            <w:r>
              <w:rPr>
                <w:rFonts w:hint="eastAsia" w:ascii="宋体" w:hAnsi="宋体" w:cs="宋体"/>
                <w:b/>
                <w:bCs/>
                <w:sz w:val="22"/>
                <w:szCs w:val="22"/>
                <w:u w:val="single"/>
              </w:rPr>
              <w:t xml:space="preserve">                  </w:t>
            </w:r>
            <w:r>
              <w:rPr>
                <w:rFonts w:hint="eastAsia" w:ascii="宋体" w:hAnsi="宋体" w:cs="宋体"/>
                <w:b/>
                <w:bCs/>
                <w:sz w:val="22"/>
                <w:szCs w:val="22"/>
              </w:rPr>
              <w:t xml:space="preserve"> 元整</w:t>
            </w:r>
          </w:p>
          <w:p>
            <w:pPr>
              <w:spacing w:line="360" w:lineRule="auto"/>
              <w:jc w:val="left"/>
              <w:textAlignment w:val="baseline"/>
              <w:rPr>
                <w:rFonts w:ascii="宋体" w:hAnsi="宋体" w:cs="宋体"/>
                <w:color w:val="FF0000"/>
                <w:sz w:val="22"/>
                <w:szCs w:val="22"/>
              </w:rPr>
            </w:pPr>
            <w:r>
              <w:rPr>
                <w:rFonts w:hint="eastAsia" w:ascii="宋体" w:hAnsi="宋体" w:cs="宋体"/>
                <w:color w:val="FF0000"/>
                <w:sz w:val="22"/>
                <w:szCs w:val="22"/>
              </w:rPr>
              <w:t xml:space="preserve">          </w:t>
            </w:r>
          </w:p>
        </w:tc>
        <w:tc>
          <w:tcPr>
            <w:tcW w:w="3454" w:type="dxa"/>
            <w:vMerge w:val="continue"/>
            <w:vAlign w:val="center"/>
          </w:tcPr>
          <w:p>
            <w:pPr>
              <w:spacing w:line="360" w:lineRule="auto"/>
              <w:jc w:val="center"/>
              <w:textAlignment w:val="baseline"/>
              <w:rPr>
                <w:color w:val="FF0000"/>
                <w:sz w:val="32"/>
                <w:szCs w:val="32"/>
              </w:rPr>
            </w:pPr>
          </w:p>
        </w:tc>
      </w:tr>
    </w:tbl>
    <w:p>
      <w:pPr>
        <w:spacing w:line="360" w:lineRule="auto"/>
        <w:ind w:firstLine="480" w:firstLineChars="200"/>
        <w:textAlignment w:val="baseline"/>
        <w:rPr>
          <w:sz w:val="24"/>
          <w:szCs w:val="24"/>
        </w:rPr>
      </w:pPr>
      <w:r>
        <w:rPr>
          <w:rFonts w:hint="eastAsia"/>
          <w:sz w:val="24"/>
          <w:szCs w:val="24"/>
        </w:rPr>
        <w:t>注：1、本合同为综合固定单价合同（乙方不得因市场行情、原材料价格上涨等因素要求上调单价）、（含税，增值税税率3%），具体数量以甲方代表确认的实际到货合格数量为准。</w:t>
      </w:r>
    </w:p>
    <w:p>
      <w:pPr>
        <w:spacing w:line="360" w:lineRule="auto"/>
        <w:ind w:firstLine="480" w:firstLineChars="200"/>
        <w:textAlignment w:val="baseline"/>
        <w:rPr>
          <w:sz w:val="24"/>
          <w:szCs w:val="24"/>
          <w:highlight w:val="none"/>
        </w:rPr>
      </w:pPr>
      <w:r>
        <w:rPr>
          <w:rFonts w:hint="eastAsia"/>
          <w:sz w:val="24"/>
          <w:szCs w:val="24"/>
        </w:rPr>
        <w:t>2、具体采购数量由甲方每次（提前24小时）以书面文件、微信、短信或其他方式向乙方发送订单，若乙方因自身原因导致材料供应不及时，</w:t>
      </w:r>
      <w:r>
        <w:rPr>
          <w:rFonts w:hint="eastAsia"/>
          <w:sz w:val="24"/>
          <w:szCs w:val="24"/>
          <w:highlight w:val="none"/>
        </w:rPr>
        <w:t>则按照合同第十二款，第4条执行。</w:t>
      </w:r>
    </w:p>
    <w:p>
      <w:pPr>
        <w:spacing w:line="360" w:lineRule="auto"/>
        <w:ind w:firstLine="480" w:firstLineChars="200"/>
        <w:textAlignment w:val="baseline"/>
        <w:rPr>
          <w:sz w:val="24"/>
          <w:szCs w:val="24"/>
        </w:rPr>
      </w:pPr>
      <w:r>
        <w:rPr>
          <w:rFonts w:hint="eastAsia"/>
          <w:sz w:val="24"/>
          <w:szCs w:val="24"/>
        </w:rPr>
        <w:t>3、合同期内，甲方以书面、微信、短信等方式向乙方发出订货通知，乙方应在收到订货通知后1小时内及时确认答复；乙方逾期没有回复的，同样视为收到订货通知且应按本合同约定时间将产品送至甲方指定地点。</w:t>
      </w:r>
    </w:p>
    <w:p>
      <w:pPr>
        <w:spacing w:line="360" w:lineRule="auto"/>
        <w:ind w:firstLine="480" w:firstLineChars="200"/>
        <w:textAlignment w:val="baseline"/>
        <w:rPr>
          <w:sz w:val="24"/>
          <w:szCs w:val="24"/>
        </w:rPr>
      </w:pPr>
      <w:r>
        <w:rPr>
          <w:rFonts w:hint="eastAsia"/>
          <w:sz w:val="24"/>
          <w:szCs w:val="24"/>
        </w:rPr>
        <w:t>4、乙方指定经办人：</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；联系电话：</w:t>
      </w:r>
      <w:r>
        <w:rPr>
          <w:rFonts w:hint="eastAsia"/>
          <w:sz w:val="24"/>
          <w:szCs w:val="24"/>
          <w:u w:val="single"/>
        </w:rPr>
        <w:t xml:space="preserve">        </w:t>
      </w:r>
      <w:r>
        <w:rPr>
          <w:rFonts w:hint="eastAsia"/>
          <w:sz w:val="24"/>
          <w:szCs w:val="24"/>
        </w:rPr>
        <w:t>；</w:t>
      </w:r>
    </w:p>
    <w:p>
      <w:pPr>
        <w:spacing w:line="360" w:lineRule="auto"/>
        <w:ind w:firstLine="480" w:firstLineChars="200"/>
        <w:textAlignment w:val="baseline"/>
        <w:rPr>
          <w:sz w:val="24"/>
          <w:szCs w:val="24"/>
        </w:rPr>
      </w:pPr>
      <w:r>
        <w:rPr>
          <w:rFonts w:hint="eastAsia"/>
          <w:sz w:val="24"/>
          <w:szCs w:val="24"/>
        </w:rPr>
        <w:t>微信：       ；联系地址：        ）全权代表乙方负责处理本合同项下各项事务，包括但不限于接收订单、与甲方沟通供货事宜、办理结算等，甲方向本条约定的联系方式发送订单，视为乙方已收到。</w:t>
      </w:r>
    </w:p>
    <w:p>
      <w:pPr>
        <w:spacing w:line="360" w:lineRule="auto"/>
        <w:ind w:firstLine="482" w:firstLineChars="200"/>
        <w:rPr>
          <w:rFonts w:ascii="宋体" w:hAnsi="宋体" w:cs="宋体"/>
          <w:sz w:val="24"/>
          <w:szCs w:val="24"/>
        </w:rPr>
      </w:pPr>
      <w:r>
        <w:rPr>
          <w:rFonts w:hint="eastAsia"/>
          <w:b/>
          <w:sz w:val="24"/>
          <w:szCs w:val="24"/>
        </w:rPr>
        <w:t>二、质量要求、技术标准</w:t>
      </w:r>
    </w:p>
    <w:p>
      <w:pPr>
        <w:spacing w:line="360" w:lineRule="auto"/>
        <w:ind w:firstLine="480" w:firstLineChars="200"/>
        <w:textAlignment w:val="baseline"/>
        <w:rPr>
          <w:rFonts w:ascii="宋体" w:hAnsi="宋体"/>
          <w:sz w:val="24"/>
          <w:szCs w:val="24"/>
        </w:rPr>
      </w:pPr>
      <w:r>
        <w:rPr>
          <w:rFonts w:hint="eastAsia" w:ascii="宋体" w:hAnsi="宋体"/>
          <w:sz w:val="24"/>
          <w:szCs w:val="24"/>
        </w:rPr>
        <w:t>根据采购产品据实填写：以下仅供参考</w:t>
      </w:r>
    </w:p>
    <w:p>
      <w:pPr>
        <w:spacing w:line="360" w:lineRule="auto"/>
        <w:ind w:firstLine="480" w:firstLineChars="200"/>
        <w:textAlignment w:val="baseline"/>
        <w:rPr>
          <w:rFonts w:ascii="宋体" w:hAnsi="宋体"/>
          <w:sz w:val="24"/>
          <w:szCs w:val="24"/>
        </w:rPr>
      </w:pPr>
      <w:r>
        <w:rPr>
          <w:rFonts w:hint="eastAsia" w:ascii="宋体" w:hAnsi="宋体"/>
          <w:sz w:val="24"/>
          <w:szCs w:val="24"/>
        </w:rPr>
        <w:t>1、乙方提供的</w:t>
      </w:r>
      <w:r>
        <w:rPr>
          <w:rFonts w:hint="eastAsia" w:ascii="宋体" w:hAnsi="宋体"/>
          <w:sz w:val="24"/>
          <w:szCs w:val="24"/>
          <w:lang w:val="en-GB"/>
        </w:rPr>
        <w:t>商品预拌砼，质量检验不低于国家相关技术标准及甲方设计文件要求。</w:t>
      </w:r>
      <w:r>
        <w:rPr>
          <w:rFonts w:hint="eastAsia" w:ascii="宋体" w:hAnsi="宋体"/>
          <w:sz w:val="24"/>
          <w:szCs w:val="24"/>
        </w:rPr>
        <w:t>因产品质量导致的全部损失及后果责任均由乙方承担。</w:t>
      </w:r>
    </w:p>
    <w:p>
      <w:pPr>
        <w:spacing w:line="360" w:lineRule="auto"/>
        <w:ind w:firstLine="480" w:firstLineChars="200"/>
        <w:jc w:val="left"/>
        <w:textAlignment w:val="baseline"/>
        <w:rPr>
          <w:rFonts w:ascii="宋体" w:hAnsi="宋体"/>
          <w:b/>
          <w:bCs/>
          <w:sz w:val="24"/>
          <w:szCs w:val="24"/>
        </w:rPr>
      </w:pPr>
      <w:r>
        <w:rPr>
          <w:rFonts w:hint="eastAsia" w:ascii="宋体" w:hAnsi="宋体"/>
          <w:sz w:val="24"/>
          <w:szCs w:val="24"/>
        </w:rPr>
        <w:t>2、乙方提供的预拌砼产品合格证及质量检验报告单。技术标准及要求满足以下指标：</w:t>
      </w:r>
    </w:p>
    <w:p>
      <w:pPr>
        <w:spacing w:line="360" w:lineRule="auto"/>
        <w:ind w:firstLine="482" w:firstLineChars="200"/>
        <w:jc w:val="center"/>
        <w:textAlignment w:val="baseline"/>
        <w:rPr>
          <w:rFonts w:ascii="宋体" w:hAnsi="宋体"/>
          <w:b/>
          <w:bCs/>
          <w:sz w:val="24"/>
          <w:szCs w:val="24"/>
        </w:rPr>
      </w:pPr>
      <w:r>
        <w:rPr>
          <w:rFonts w:hint="eastAsia" w:ascii="宋体" w:hAnsi="宋体"/>
          <w:b/>
          <w:bCs/>
          <w:sz w:val="24"/>
          <w:szCs w:val="24"/>
        </w:rPr>
        <w:t>预拌砼耐久性要求</w:t>
      </w:r>
    </w:p>
    <w:tbl>
      <w:tblPr>
        <w:tblStyle w:val="7"/>
        <w:tblW w:w="78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931"/>
        <w:gridCol w:w="1313"/>
        <w:gridCol w:w="1701"/>
        <w:gridCol w:w="1300"/>
        <w:gridCol w:w="14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3" w:hRule="exact"/>
          <w:jc w:val="center"/>
        </w:trPr>
        <w:tc>
          <w:tcPr>
            <w:tcW w:w="2021" w:type="dxa"/>
            <w:gridSpan w:val="2"/>
            <w:vAlign w:val="center"/>
          </w:tcPr>
          <w:p>
            <w:pPr>
              <w:spacing w:line="360" w:lineRule="auto"/>
              <w:ind w:firstLine="480" w:firstLineChars="200"/>
              <w:jc w:val="left"/>
              <w:textAlignment w:val="baseline"/>
              <w:rPr>
                <w:rFonts w:ascii="宋体" w:hAnsi="宋体"/>
                <w:sz w:val="24"/>
                <w:szCs w:val="24"/>
              </w:rPr>
            </w:pPr>
            <w:r>
              <w:rPr>
                <w:rFonts w:hint="eastAsia" w:ascii="宋体" w:hAnsi="宋体"/>
                <w:sz w:val="24"/>
                <w:szCs w:val="24"/>
              </w:rPr>
              <w:t>环境类别</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最大     水胶比</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最低预拌砼 强度等级</w:t>
            </w:r>
          </w:p>
        </w:tc>
        <w:tc>
          <w:tcPr>
            <w:tcW w:w="1300" w:type="dxa"/>
            <w:vAlign w:val="center"/>
          </w:tcPr>
          <w:p>
            <w:pPr>
              <w:spacing w:line="360" w:lineRule="auto"/>
              <w:jc w:val="left"/>
              <w:textAlignment w:val="baseline"/>
              <w:rPr>
                <w:rFonts w:ascii="宋体" w:hAnsi="宋体"/>
                <w:sz w:val="24"/>
                <w:szCs w:val="24"/>
              </w:rPr>
            </w:pPr>
            <w:r>
              <w:rPr>
                <w:rFonts w:hint="eastAsia" w:ascii="宋体" w:hAnsi="宋体"/>
                <w:sz w:val="24"/>
                <w:szCs w:val="24"/>
              </w:rPr>
              <w:t>最大氯离子含量（%）</w:t>
            </w:r>
          </w:p>
        </w:tc>
        <w:tc>
          <w:tcPr>
            <w:tcW w:w="1465" w:type="dxa"/>
            <w:vAlign w:val="center"/>
          </w:tcPr>
          <w:p>
            <w:pPr>
              <w:spacing w:line="360" w:lineRule="auto"/>
              <w:jc w:val="left"/>
              <w:textAlignment w:val="baseline"/>
              <w:rPr>
                <w:rFonts w:ascii="宋体" w:hAnsi="宋体"/>
                <w:sz w:val="24"/>
                <w:szCs w:val="24"/>
              </w:rPr>
            </w:pPr>
            <w:r>
              <w:rPr>
                <w:rFonts w:hint="eastAsia" w:ascii="宋体" w:hAnsi="宋体"/>
                <w:sz w:val="24"/>
                <w:szCs w:val="24"/>
              </w:rPr>
              <w:t>最大碱含量（kg/m³）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2021"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一</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0.60</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C20</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0.30</w:t>
            </w:r>
          </w:p>
        </w:tc>
        <w:tc>
          <w:tcPr>
            <w:tcW w:w="1465" w:type="dxa"/>
            <w:vAlign w:val="center"/>
          </w:tcPr>
          <w:p>
            <w:pPr>
              <w:spacing w:line="360" w:lineRule="auto"/>
              <w:jc w:val="center"/>
              <w:textAlignment w:val="baseline"/>
              <w:rPr>
                <w:rFonts w:ascii="宋体" w:hAnsi="宋体"/>
                <w:sz w:val="24"/>
                <w:szCs w:val="24"/>
              </w:rPr>
            </w:pPr>
            <w:r>
              <w:rPr>
                <w:rFonts w:hint="eastAsia" w:ascii="宋体" w:hAnsi="宋体"/>
                <w:sz w:val="24"/>
                <w:szCs w:val="24"/>
              </w:rPr>
              <w:t>不限制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restart"/>
            <w:tcBorders>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二</w:t>
            </w:r>
          </w:p>
          <w:p>
            <w:pPr>
              <w:spacing w:line="360" w:lineRule="auto"/>
              <w:ind w:firstLine="480" w:firstLineChars="200"/>
              <w:jc w:val="center"/>
              <w:textAlignment w:val="baseline"/>
              <w:rPr>
                <w:rFonts w:ascii="宋体" w:hAnsi="宋体"/>
                <w:sz w:val="24"/>
                <w:szCs w:val="24"/>
              </w:rPr>
            </w:pPr>
          </w:p>
          <w:p>
            <w:pPr>
              <w:spacing w:line="360" w:lineRule="auto"/>
              <w:ind w:firstLine="480" w:firstLineChars="200"/>
              <w:jc w:val="center"/>
              <w:textAlignment w:val="baseline"/>
              <w:rPr>
                <w:rFonts w:ascii="宋体" w:hAnsi="宋体"/>
                <w:sz w:val="24"/>
                <w:szCs w:val="24"/>
              </w:rPr>
            </w:pPr>
          </w:p>
        </w:tc>
        <w:tc>
          <w:tcPr>
            <w:tcW w:w="931" w:type="dxa"/>
            <w:tcBorders>
              <w:left w:val="single" w:color="auto" w:sz="4" w:space="0"/>
              <w:bottom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a</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0.55</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C25</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0.20</w:t>
            </w:r>
          </w:p>
        </w:tc>
        <w:tc>
          <w:tcPr>
            <w:tcW w:w="1465" w:type="dxa"/>
            <w:vMerge w:val="restart"/>
            <w:vAlign w:val="center"/>
          </w:tcPr>
          <w:p>
            <w:pPr>
              <w:spacing w:line="360" w:lineRule="auto"/>
              <w:ind w:firstLine="480" w:firstLineChars="200"/>
              <w:jc w:val="center"/>
              <w:textAlignment w:val="baseline"/>
              <w:rPr>
                <w:rFonts w:ascii="宋体" w:hAnsi="宋体"/>
                <w:sz w:val="24"/>
                <w:szCs w:val="24"/>
              </w:rPr>
            </w:pPr>
          </w:p>
          <w:p>
            <w:pPr>
              <w:spacing w:line="360" w:lineRule="auto"/>
              <w:jc w:val="center"/>
              <w:textAlignment w:val="baseline"/>
              <w:rPr>
                <w:rFonts w:ascii="宋体" w:hAnsi="宋体"/>
                <w:sz w:val="24"/>
                <w:szCs w:val="24"/>
              </w:rPr>
            </w:pPr>
            <w:r>
              <w:rPr>
                <w:rFonts w:hint="eastAsia" w:ascii="宋体" w:hAnsi="宋体"/>
                <w:sz w:val="24"/>
                <w:szCs w:val="24"/>
              </w:rPr>
              <w:t>0.30</w:t>
            </w:r>
          </w:p>
          <w:p>
            <w:pPr>
              <w:spacing w:line="360" w:lineRule="auto"/>
              <w:ind w:firstLine="480" w:firstLineChars="200"/>
              <w:jc w:val="center"/>
              <w:textAlignment w:val="baseline"/>
              <w:rPr>
                <w:rFonts w:ascii="宋体" w:hAnsi="宋体"/>
                <w:sz w:val="24"/>
                <w:szCs w:val="24"/>
              </w:rPr>
            </w:pPr>
          </w:p>
          <w:p>
            <w:pPr>
              <w:spacing w:line="360" w:lineRule="auto"/>
              <w:ind w:firstLine="480" w:firstLineChars="200"/>
              <w:jc w:val="center"/>
              <w:textAlignment w:val="baseline"/>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continue"/>
            <w:tcBorders>
              <w:right w:val="single" w:color="auto" w:sz="4" w:space="0"/>
            </w:tcBorders>
            <w:vAlign w:val="center"/>
          </w:tcPr>
          <w:p>
            <w:pPr>
              <w:spacing w:line="360" w:lineRule="auto"/>
              <w:ind w:firstLine="480" w:firstLineChars="200"/>
              <w:jc w:val="center"/>
              <w:textAlignment w:val="baseline"/>
              <w:rPr>
                <w:rFonts w:ascii="宋体" w:hAnsi="宋体"/>
                <w:sz w:val="24"/>
                <w:szCs w:val="24"/>
              </w:rPr>
            </w:pPr>
          </w:p>
        </w:tc>
        <w:tc>
          <w:tcPr>
            <w:tcW w:w="931" w:type="dxa"/>
            <w:tcBorders>
              <w:top w:val="single" w:color="auto" w:sz="4" w:space="0"/>
              <w:left w:val="single" w:color="auto" w:sz="4" w:space="0"/>
            </w:tcBorders>
            <w:vAlign w:val="center"/>
          </w:tcPr>
          <w:p>
            <w:pPr>
              <w:widowControl/>
              <w:spacing w:line="360" w:lineRule="auto"/>
              <w:jc w:val="center"/>
              <w:textAlignment w:val="baseline"/>
              <w:rPr>
                <w:rFonts w:ascii="宋体" w:hAnsi="宋体"/>
                <w:sz w:val="24"/>
                <w:szCs w:val="24"/>
              </w:rPr>
            </w:pPr>
            <w:r>
              <w:rPr>
                <w:rFonts w:hint="eastAsia" w:ascii="宋体" w:hAnsi="宋体"/>
                <w:sz w:val="24"/>
                <w:szCs w:val="24"/>
              </w:rPr>
              <w:t>b</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0.50（0.55）</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C30（C25）</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0.15</w:t>
            </w:r>
          </w:p>
        </w:tc>
        <w:tc>
          <w:tcPr>
            <w:tcW w:w="1465" w:type="dxa"/>
            <w:vMerge w:val="continue"/>
            <w:vAlign w:val="center"/>
          </w:tcPr>
          <w:p>
            <w:pPr>
              <w:spacing w:line="360" w:lineRule="auto"/>
              <w:ind w:firstLine="480" w:firstLineChars="200"/>
              <w:jc w:val="left"/>
              <w:textAlignment w:val="baseline"/>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restart"/>
            <w:tcBorders>
              <w:left w:val="single" w:color="auto" w:sz="4" w:space="0"/>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三</w:t>
            </w:r>
          </w:p>
          <w:p>
            <w:pPr>
              <w:spacing w:line="360" w:lineRule="auto"/>
              <w:ind w:firstLine="480" w:firstLineChars="200"/>
              <w:jc w:val="center"/>
              <w:textAlignment w:val="baseline"/>
              <w:rPr>
                <w:rFonts w:ascii="宋体" w:hAnsi="宋体"/>
                <w:sz w:val="24"/>
                <w:szCs w:val="24"/>
              </w:rPr>
            </w:pPr>
          </w:p>
        </w:tc>
        <w:tc>
          <w:tcPr>
            <w:tcW w:w="931" w:type="dxa"/>
            <w:tcBorders>
              <w:left w:val="single" w:color="auto" w:sz="4" w:space="0"/>
              <w:bottom w:val="single" w:color="auto" w:sz="4" w:space="0"/>
            </w:tcBorders>
            <w:vAlign w:val="center"/>
          </w:tcPr>
          <w:p>
            <w:pPr>
              <w:widowControl/>
              <w:spacing w:line="360" w:lineRule="auto"/>
              <w:jc w:val="center"/>
              <w:textAlignment w:val="baseline"/>
              <w:rPr>
                <w:rFonts w:ascii="宋体" w:hAnsi="宋体"/>
                <w:sz w:val="24"/>
                <w:szCs w:val="24"/>
              </w:rPr>
            </w:pPr>
            <w:r>
              <w:rPr>
                <w:rFonts w:hint="eastAsia" w:ascii="宋体" w:hAnsi="宋体"/>
                <w:sz w:val="24"/>
                <w:szCs w:val="24"/>
              </w:rPr>
              <w:t>a</w:t>
            </w:r>
          </w:p>
          <w:p>
            <w:pPr>
              <w:spacing w:line="360" w:lineRule="auto"/>
              <w:ind w:firstLine="480" w:firstLineChars="200"/>
              <w:jc w:val="center"/>
              <w:textAlignment w:val="baseline"/>
              <w:rPr>
                <w:rFonts w:ascii="宋体" w:hAnsi="宋体"/>
                <w:sz w:val="24"/>
                <w:szCs w:val="24"/>
              </w:rPr>
            </w:pPr>
          </w:p>
        </w:tc>
        <w:tc>
          <w:tcPr>
            <w:tcW w:w="1313" w:type="dxa"/>
            <w:tcBorders>
              <w:bottom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0.45（0.50）</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C35（C30）</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0.15</w:t>
            </w:r>
          </w:p>
        </w:tc>
        <w:tc>
          <w:tcPr>
            <w:tcW w:w="1465" w:type="dxa"/>
            <w:vMerge w:val="continue"/>
            <w:vAlign w:val="center"/>
          </w:tcPr>
          <w:p>
            <w:pPr>
              <w:spacing w:line="360" w:lineRule="auto"/>
              <w:ind w:firstLine="480" w:firstLineChars="200"/>
              <w:jc w:val="left"/>
              <w:textAlignment w:val="baseline"/>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continue"/>
            <w:tcBorders>
              <w:left w:val="single" w:color="auto" w:sz="4" w:space="0"/>
              <w:right w:val="single" w:color="auto" w:sz="4" w:space="0"/>
            </w:tcBorders>
            <w:vAlign w:val="center"/>
          </w:tcPr>
          <w:p>
            <w:pPr>
              <w:spacing w:line="360" w:lineRule="auto"/>
              <w:ind w:firstLine="480" w:firstLineChars="200"/>
              <w:jc w:val="center"/>
              <w:textAlignment w:val="baseline"/>
              <w:rPr>
                <w:rFonts w:ascii="宋体" w:hAnsi="宋体"/>
                <w:sz w:val="24"/>
                <w:szCs w:val="24"/>
              </w:rPr>
            </w:pPr>
          </w:p>
        </w:tc>
        <w:tc>
          <w:tcPr>
            <w:tcW w:w="931" w:type="dxa"/>
            <w:tcBorders>
              <w:top w:val="single" w:color="auto" w:sz="4" w:space="0"/>
              <w:lef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b</w:t>
            </w:r>
          </w:p>
        </w:tc>
        <w:tc>
          <w:tcPr>
            <w:tcW w:w="1313" w:type="dxa"/>
            <w:tcBorders>
              <w:top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0.40</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0.40</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0.10</w:t>
            </w:r>
          </w:p>
        </w:tc>
        <w:tc>
          <w:tcPr>
            <w:tcW w:w="1465" w:type="dxa"/>
            <w:vMerge w:val="continue"/>
            <w:vAlign w:val="center"/>
          </w:tcPr>
          <w:p>
            <w:pPr>
              <w:spacing w:line="360" w:lineRule="auto"/>
              <w:ind w:firstLine="480" w:firstLineChars="200"/>
              <w:jc w:val="left"/>
              <w:textAlignment w:val="baseline"/>
              <w:rPr>
                <w:rFonts w:ascii="宋体" w:hAnsi="宋体"/>
                <w:sz w:val="24"/>
                <w:szCs w:val="24"/>
              </w:rPr>
            </w:pPr>
          </w:p>
        </w:tc>
      </w:tr>
    </w:tbl>
    <w:p>
      <w:pPr>
        <w:spacing w:line="360" w:lineRule="auto"/>
        <w:ind w:firstLine="480" w:firstLineChars="200"/>
        <w:textAlignment w:val="baseline"/>
        <w:rPr>
          <w:rFonts w:ascii="宋体" w:hAnsi="宋体"/>
          <w:sz w:val="24"/>
          <w:szCs w:val="24"/>
        </w:rPr>
      </w:pPr>
      <w:r>
        <w:rPr>
          <w:rFonts w:hint="eastAsia" w:ascii="宋体" w:hAnsi="宋体"/>
          <w:sz w:val="24"/>
          <w:szCs w:val="24"/>
        </w:rPr>
        <w:t>注：① 氯离子含量系指其占胶凝材料总量的百分比。</w:t>
      </w:r>
    </w:p>
    <w:p>
      <w:pPr>
        <w:spacing w:line="360" w:lineRule="auto"/>
        <w:ind w:firstLine="480" w:firstLineChars="200"/>
        <w:textAlignment w:val="baseline"/>
        <w:rPr>
          <w:rFonts w:ascii="宋体" w:hAnsi="宋体"/>
          <w:sz w:val="24"/>
          <w:szCs w:val="24"/>
        </w:rPr>
      </w:pPr>
      <w:r>
        <w:rPr>
          <w:rFonts w:hint="eastAsia" w:ascii="宋体" w:hAnsi="宋体"/>
          <w:sz w:val="24"/>
          <w:szCs w:val="24"/>
        </w:rPr>
        <w:t>② 预应力构件预拌砼中最大氯离子含量为0.06%；7d预拌砼强度达到设计强度等级的85%以上。</w:t>
      </w:r>
    </w:p>
    <w:p>
      <w:pPr>
        <w:spacing w:line="360" w:lineRule="auto"/>
        <w:ind w:firstLine="480" w:firstLineChars="200"/>
        <w:textAlignment w:val="baseline"/>
        <w:rPr>
          <w:rFonts w:ascii="宋体" w:hAnsi="宋体"/>
          <w:sz w:val="24"/>
          <w:szCs w:val="24"/>
        </w:rPr>
      </w:pPr>
      <w:r>
        <w:rPr>
          <w:rFonts w:hint="eastAsia" w:ascii="宋体" w:hAnsi="宋体"/>
          <w:sz w:val="24"/>
          <w:szCs w:val="24"/>
        </w:rPr>
        <w:t>③ 处于严寒和寒冷地区二b、三a类环境中的预拌砼应使用引气剂，并可采用括号中的有关参数。</w:t>
      </w:r>
    </w:p>
    <w:p>
      <w:pPr>
        <w:spacing w:line="360" w:lineRule="auto"/>
        <w:ind w:firstLine="480" w:firstLineChars="200"/>
        <w:textAlignment w:val="baseline"/>
        <w:rPr>
          <w:rFonts w:ascii="宋体" w:hAnsi="宋体"/>
          <w:sz w:val="24"/>
          <w:szCs w:val="24"/>
        </w:rPr>
      </w:pPr>
      <w:r>
        <w:rPr>
          <w:rFonts w:hint="eastAsia" w:ascii="宋体" w:hAnsi="宋体"/>
          <w:sz w:val="24"/>
          <w:szCs w:val="24"/>
        </w:rPr>
        <w:t>④ 当使用非碱活性骨料时，对预拌砼中的碱含量可不做限制。</w:t>
      </w:r>
    </w:p>
    <w:p>
      <w:pPr>
        <w:spacing w:line="360" w:lineRule="auto"/>
        <w:ind w:firstLine="480" w:firstLineChars="200"/>
        <w:textAlignment w:val="baseline"/>
        <w:rPr>
          <w:rFonts w:ascii="宋体" w:hAnsi="宋体"/>
          <w:sz w:val="24"/>
          <w:szCs w:val="24"/>
        </w:rPr>
      </w:pPr>
      <w:r>
        <w:rPr>
          <w:rFonts w:hint="eastAsia" w:ascii="宋体" w:hAnsi="宋体"/>
          <w:sz w:val="24"/>
          <w:szCs w:val="24"/>
        </w:rPr>
        <w:t>⑤ 预拌砼结构在使用年限内应建立定期检测、维修制度，当结构出现可见的耐久性缺陷时，应及时进行处理。</w:t>
      </w:r>
    </w:p>
    <w:p>
      <w:pPr>
        <w:numPr>
          <w:ilvl w:val="255"/>
          <w:numId w:val="0"/>
        </w:numPr>
        <w:spacing w:line="360" w:lineRule="auto"/>
        <w:ind w:firstLine="480" w:firstLineChars="200"/>
        <w:textAlignment w:val="baseline"/>
        <w:rPr>
          <w:rFonts w:ascii="宋体" w:hAnsi="宋体"/>
          <w:sz w:val="24"/>
          <w:szCs w:val="24"/>
        </w:rPr>
      </w:pPr>
      <w:r>
        <w:rPr>
          <w:rFonts w:hint="eastAsia" w:ascii="宋体" w:hAnsi="宋体"/>
          <w:sz w:val="24"/>
          <w:szCs w:val="24"/>
        </w:rPr>
        <w:t>乙方提供的商品预拌砼需附原材料检测报告（含合格证）及每批次商品预拌砼的生产厂家提供的有检测资质单位出具的配合比报告【需原材料检测报告</w:t>
      </w:r>
      <w:r>
        <w:rPr>
          <w:rFonts w:hint="eastAsia" w:ascii="宋体" w:hAnsi="宋体"/>
          <w:sz w:val="24"/>
          <w:szCs w:val="24"/>
          <w:lang w:val="en-US" w:eastAsia="zh-CN"/>
        </w:rPr>
        <w:t>2</w:t>
      </w:r>
      <w:r>
        <w:rPr>
          <w:rFonts w:hint="eastAsia" w:ascii="宋体" w:hAnsi="宋体"/>
          <w:sz w:val="24"/>
          <w:szCs w:val="24"/>
        </w:rPr>
        <w:t>份（加盖检测单位章及乙方鲜章），配合比报告</w:t>
      </w:r>
      <w:r>
        <w:rPr>
          <w:rFonts w:hint="eastAsia" w:ascii="宋体" w:hAnsi="宋体"/>
          <w:sz w:val="24"/>
          <w:szCs w:val="24"/>
          <w:lang w:val="en-US" w:eastAsia="zh-CN"/>
        </w:rPr>
        <w:t>2</w:t>
      </w:r>
      <w:r>
        <w:rPr>
          <w:rFonts w:hint="eastAsia" w:ascii="宋体" w:hAnsi="宋体"/>
          <w:sz w:val="24"/>
          <w:szCs w:val="24"/>
        </w:rPr>
        <w:t>份（加盖检测单位章及乙方鲜章），自检合格报告</w:t>
      </w:r>
      <w:r>
        <w:rPr>
          <w:rFonts w:hint="eastAsia" w:ascii="宋体" w:hAnsi="宋体"/>
          <w:sz w:val="24"/>
          <w:szCs w:val="24"/>
          <w:lang w:val="en-US" w:eastAsia="zh-CN"/>
        </w:rPr>
        <w:t>2</w:t>
      </w:r>
      <w:r>
        <w:rPr>
          <w:rFonts w:hint="eastAsia" w:ascii="宋体" w:hAnsi="宋体"/>
          <w:sz w:val="24"/>
          <w:szCs w:val="24"/>
        </w:rPr>
        <w:t>份（加盖检测单位鲜章）】。</w:t>
      </w:r>
    </w:p>
    <w:p>
      <w:pPr>
        <w:numPr>
          <w:ilvl w:val="255"/>
          <w:numId w:val="0"/>
        </w:numPr>
        <w:spacing w:line="360" w:lineRule="auto"/>
        <w:ind w:firstLine="480" w:firstLineChars="200"/>
        <w:textAlignment w:val="baseline"/>
        <w:rPr>
          <w:rFonts w:hint="eastAsia" w:ascii="宋体" w:hAnsi="宋体"/>
          <w:sz w:val="24"/>
          <w:szCs w:val="24"/>
        </w:rPr>
      </w:pPr>
      <w:r>
        <w:rPr>
          <w:rFonts w:hint="eastAsia" w:ascii="宋体" w:hAnsi="宋体"/>
          <w:sz w:val="24"/>
          <w:szCs w:val="24"/>
        </w:rPr>
        <w:t>3、甲方应按照《混凝土质量控制标准》GB 50164-2011，</w:t>
      </w:r>
      <w:r>
        <w:rPr>
          <w:rFonts w:hint="eastAsia" w:ascii="宋体" w:hAnsi="宋体"/>
          <w:sz w:val="24"/>
          <w:szCs w:val="24"/>
          <w:lang w:eastAsia="zh-CN"/>
        </w:rPr>
        <w:t>《</w:t>
      </w:r>
      <w:r>
        <w:rPr>
          <w:rFonts w:hint="eastAsia" w:ascii="宋体" w:hAnsi="宋体"/>
          <w:sz w:val="24"/>
          <w:szCs w:val="24"/>
          <w:lang w:val="en-US" w:eastAsia="zh-CN"/>
        </w:rPr>
        <w:t>预拌混凝土质量控制标准</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DBJ50/T-038-2018</w:t>
      </w:r>
      <w:r>
        <w:rPr>
          <w:rFonts w:hint="eastAsia" w:ascii="宋体" w:hAnsi="宋体"/>
          <w:sz w:val="24"/>
          <w:szCs w:val="24"/>
        </w:rPr>
        <w:t>）进行操作，预拌砼试件必须进行标准制作和标准养护，如未按要求操作造成质量问题由甲方负责。</w:t>
      </w:r>
    </w:p>
    <w:p>
      <w:pPr>
        <w:numPr>
          <w:ilvl w:val="255"/>
          <w:numId w:val="0"/>
        </w:numPr>
        <w:spacing w:line="360" w:lineRule="auto"/>
        <w:ind w:firstLine="480" w:firstLineChars="200"/>
        <w:textAlignment w:val="baseline"/>
        <w:rPr>
          <w:rFonts w:hint="eastAsia" w:ascii="宋体" w:hAnsi="宋体"/>
          <w:sz w:val="24"/>
          <w:szCs w:val="24"/>
        </w:rPr>
      </w:pPr>
      <w:r>
        <w:rPr>
          <w:rFonts w:hint="eastAsia" w:ascii="宋体" w:hAnsi="宋体"/>
          <w:sz w:val="24"/>
          <w:szCs w:val="24"/>
        </w:rPr>
        <w:t>4、预拌砼外加剂</w:t>
      </w:r>
    </w:p>
    <w:p>
      <w:pPr>
        <w:numPr>
          <w:ilvl w:val="255"/>
          <w:numId w:val="0"/>
        </w:numPr>
        <w:spacing w:line="360" w:lineRule="auto"/>
        <w:ind w:firstLine="480" w:firstLineChars="200"/>
        <w:textAlignment w:val="baseline"/>
        <w:rPr>
          <w:rFonts w:ascii="宋体" w:hAnsi="宋体"/>
          <w:sz w:val="24"/>
          <w:szCs w:val="24"/>
        </w:rPr>
      </w:pPr>
      <w:r>
        <w:rPr>
          <w:rFonts w:hint="eastAsia" w:ascii="宋体" w:hAnsi="宋体"/>
          <w:sz w:val="24"/>
          <w:szCs w:val="24"/>
        </w:rPr>
        <w:t>① 外加剂的选择与使用应满足《预拌砼外加剂应用技术规范》GB50119-2013。选择各类外加剂时，应特别注意外加剂适用范围，应考虑外加剂对预拌砼后期收缩的影响，尽量选择对预拌砼后期收缩影响小的外加剂。</w:t>
      </w:r>
    </w:p>
    <w:p>
      <w:pPr>
        <w:spacing w:line="360" w:lineRule="auto"/>
        <w:ind w:firstLine="480" w:firstLineChars="200"/>
        <w:textAlignment w:val="baseline"/>
        <w:rPr>
          <w:rFonts w:ascii="宋体" w:hAnsi="宋体"/>
          <w:sz w:val="24"/>
          <w:szCs w:val="24"/>
        </w:rPr>
      </w:pPr>
      <w:r>
        <w:rPr>
          <w:rFonts w:hint="eastAsia" w:ascii="宋体" w:hAnsi="宋体"/>
          <w:sz w:val="24"/>
          <w:szCs w:val="24"/>
        </w:rPr>
        <w:t>② 各类外加剂应由厂商提供的推荐掺量和相应减水率、主要化学成分的化学名称、氯离子含量、含碱量及施工中必要的注意事项。氯化钙不能作为预拌砼外加剂使用。</w:t>
      </w:r>
    </w:p>
    <w:p>
      <w:pPr>
        <w:spacing w:line="360" w:lineRule="auto"/>
        <w:ind w:firstLine="480" w:firstLineChars="200"/>
        <w:textAlignment w:val="baseline"/>
        <w:rPr>
          <w:rFonts w:ascii="宋体" w:hAnsi="宋体"/>
          <w:sz w:val="24"/>
          <w:szCs w:val="24"/>
        </w:rPr>
      </w:pPr>
      <w:r>
        <w:rPr>
          <w:rFonts w:hint="eastAsia" w:ascii="宋体" w:hAnsi="宋体"/>
          <w:sz w:val="24"/>
          <w:szCs w:val="24"/>
        </w:rPr>
        <w:t>③ 补偿收缩预拌砼采用的外加剂应在A级或一级品，使用时应有专业技术支持。</w:t>
      </w:r>
    </w:p>
    <w:p>
      <w:pPr>
        <w:spacing w:line="420" w:lineRule="atLeast"/>
        <w:ind w:firstLine="480" w:firstLineChars="200"/>
        <w:rPr>
          <w:sz w:val="24"/>
          <w:szCs w:val="24"/>
        </w:rPr>
      </w:pPr>
      <w:r>
        <w:rPr>
          <w:rFonts w:hint="eastAsia"/>
          <w:sz w:val="24"/>
          <w:szCs w:val="24"/>
        </w:rPr>
        <w:t>5、商品预拌砼质量要求严格按</w:t>
      </w:r>
      <w:r>
        <w:rPr>
          <w:rFonts w:hint="eastAsia" w:ascii="宋体" w:hAnsi="宋体"/>
          <w:sz w:val="24"/>
          <w:szCs w:val="24"/>
        </w:rPr>
        <w:t>国家相关技术标准</w:t>
      </w:r>
      <w:r>
        <w:rPr>
          <w:rFonts w:hint="eastAsia"/>
          <w:sz w:val="24"/>
          <w:szCs w:val="24"/>
        </w:rPr>
        <w:t>以及甲方设计文件标准执行，预拌砼强度等级必须达到项目工程的评定标准。</w:t>
      </w:r>
    </w:p>
    <w:p>
      <w:pPr>
        <w:spacing w:line="420" w:lineRule="atLeast"/>
        <w:ind w:firstLine="480" w:firstLineChars="200"/>
        <w:rPr>
          <w:b/>
          <w:sz w:val="24"/>
          <w:szCs w:val="24"/>
        </w:rPr>
      </w:pPr>
      <w:r>
        <w:rPr>
          <w:rFonts w:hint="eastAsia"/>
          <w:sz w:val="24"/>
          <w:szCs w:val="24"/>
        </w:rPr>
        <w:t>6、如产品出现质量问题，甲方可在发现问题后10个工作日内向乙方提出异议。甲方未在上述期限内提出异议的，不免除乙方的质量保证责任。</w:t>
      </w:r>
    </w:p>
    <w:p>
      <w:pPr>
        <w:spacing w:line="360" w:lineRule="auto"/>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1、甲方所采购的商品混凝土由乙方以</w:t>
      </w:r>
      <w:r>
        <w:rPr>
          <w:rFonts w:hint="eastAsia"/>
          <w:b/>
          <w:bCs/>
          <w:sz w:val="24"/>
          <w:szCs w:val="24"/>
          <w:u w:val="single"/>
        </w:rPr>
        <w:t>混凝土罐车</w:t>
      </w:r>
      <w:r>
        <w:rPr>
          <w:rFonts w:hint="eastAsia"/>
          <w:sz w:val="24"/>
          <w:szCs w:val="24"/>
        </w:rPr>
        <w:t>运至甲方指定位置：</w:t>
      </w:r>
      <w:r>
        <w:rPr>
          <w:rFonts w:hint="eastAsia"/>
          <w:b/>
          <w:bCs/>
          <w:sz w:val="24"/>
          <w:szCs w:val="24"/>
          <w:u w:val="single"/>
        </w:rPr>
        <w:t>G42沪蓉高速奉（节）云（阳）段杨柳坪大桥</w:t>
      </w:r>
      <w:r>
        <w:rPr>
          <w:rFonts w:hint="eastAsia"/>
          <w:b/>
          <w:bCs/>
          <w:sz w:val="24"/>
          <w:szCs w:val="24"/>
          <w:u w:val="single"/>
          <w:lang w:val="en-US" w:eastAsia="zh-CN"/>
        </w:rPr>
        <w:t>桥下便道</w:t>
      </w:r>
      <w:r>
        <w:rPr>
          <w:rFonts w:hint="eastAsia"/>
          <w:sz w:val="24"/>
          <w:szCs w:val="24"/>
        </w:rPr>
        <w:t>（通过</w:t>
      </w:r>
      <w:r>
        <w:rPr>
          <w:rFonts w:hint="eastAsia"/>
          <w:sz w:val="24"/>
          <w:szCs w:val="24"/>
          <w:lang w:val="en-US" w:eastAsia="zh-CN"/>
        </w:rPr>
        <w:t>附近市政道路及</w:t>
      </w:r>
      <w:r>
        <w:rPr>
          <w:rFonts w:hint="eastAsia"/>
          <w:sz w:val="24"/>
          <w:szCs w:val="24"/>
        </w:rPr>
        <w:t>施工便道运送至杨柳坪大桥桥下施工现场</w:t>
      </w:r>
      <w:r>
        <w:rPr>
          <w:rFonts w:hint="eastAsia"/>
          <w:sz w:val="24"/>
          <w:szCs w:val="24"/>
          <w:lang w:eastAsia="zh-CN"/>
        </w:rPr>
        <w:t>，</w:t>
      </w:r>
      <w:r>
        <w:rPr>
          <w:rFonts w:hint="eastAsia"/>
          <w:sz w:val="24"/>
          <w:szCs w:val="24"/>
          <w:lang w:val="en-US" w:eastAsia="zh-CN"/>
        </w:rPr>
        <w:t>商品砼</w:t>
      </w:r>
      <w:r>
        <w:rPr>
          <w:rFonts w:hint="eastAsia"/>
          <w:sz w:val="24"/>
          <w:szCs w:val="24"/>
        </w:rPr>
        <w:t>运输路径非高速公路</w:t>
      </w:r>
      <w:r>
        <w:rPr>
          <w:rFonts w:hint="eastAsia"/>
          <w:sz w:val="24"/>
          <w:szCs w:val="24"/>
          <w:lang w:eastAsia="zh-CN"/>
        </w:rPr>
        <w:t>，</w:t>
      </w:r>
      <w:r>
        <w:rPr>
          <w:rFonts w:hint="eastAsia"/>
          <w:sz w:val="24"/>
          <w:szCs w:val="24"/>
        </w:rPr>
        <w:t>如需混凝土</w:t>
      </w:r>
      <w:r>
        <w:rPr>
          <w:rFonts w:hint="eastAsia"/>
          <w:sz w:val="24"/>
          <w:szCs w:val="24"/>
          <w:lang w:val="en-US" w:eastAsia="zh-CN"/>
        </w:rPr>
        <w:t>地泵</w:t>
      </w:r>
      <w:r>
        <w:rPr>
          <w:rFonts w:hint="eastAsia"/>
          <w:sz w:val="24"/>
          <w:szCs w:val="24"/>
        </w:rPr>
        <w:t>需提前24小时以短信、微信的方式联系乙方）。</w:t>
      </w:r>
    </w:p>
    <w:p>
      <w:pPr>
        <w:spacing w:line="360" w:lineRule="auto"/>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360" w:lineRule="auto"/>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360" w:lineRule="auto"/>
        <w:ind w:firstLine="480" w:firstLineChars="200"/>
        <w:textAlignment w:val="baseline"/>
        <w:rPr>
          <w:sz w:val="24"/>
          <w:szCs w:val="24"/>
        </w:rPr>
      </w:pPr>
      <w:r>
        <w:rPr>
          <w:rFonts w:hint="eastAsia"/>
          <w:sz w:val="24"/>
          <w:szCs w:val="24"/>
        </w:rPr>
        <w:t>4、乙方所供应的商品混凝土经甲方对外观初步验收合格后收货。在转运过程中，乙方必须采取有效措施避免材料的二次污染或受损，否则，甲方有权拒绝收货或要求退货。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rPr>
          <w:rFonts w:ascii="宋体" w:hAnsi="宋体" w:cs="宋体"/>
          <w:sz w:val="24"/>
          <w:szCs w:val="24"/>
        </w:rPr>
      </w:pPr>
      <w:r>
        <w:rPr>
          <w:rFonts w:hint="eastAsia" w:ascii="宋体" w:hAnsi="宋体" w:cs="宋体"/>
          <w:sz w:val="24"/>
          <w:szCs w:val="24"/>
        </w:rPr>
        <w:t>本合同约定的材料价格为甲方指定位置的到场单价。材料运输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480" w:lineRule="exact"/>
        <w:ind w:firstLine="470" w:firstLineChars="196"/>
        <w:rPr>
          <w:sz w:val="24"/>
          <w:szCs w:val="24"/>
        </w:rPr>
      </w:pPr>
      <w:r>
        <w:rPr>
          <w:rFonts w:hint="eastAsia"/>
          <w:sz w:val="24"/>
          <w:szCs w:val="24"/>
        </w:rPr>
        <w:t>1、商品混凝土供应量按乙方运到施工现场，</w:t>
      </w:r>
      <w:r>
        <w:rPr>
          <w:rFonts w:hint="eastAsia" w:ascii="宋体" w:hAnsi="宋体"/>
          <w:sz w:val="24"/>
        </w:rPr>
        <w:t>并经甲方</w:t>
      </w:r>
      <w:r>
        <w:rPr>
          <w:rFonts w:hint="eastAsia"/>
          <w:sz w:val="24"/>
          <w:szCs w:val="24"/>
        </w:rPr>
        <w:t>实际签证的供货小票</w:t>
      </w:r>
      <w:r>
        <w:rPr>
          <w:rFonts w:hint="eastAsia"/>
          <w:sz w:val="24"/>
          <w:szCs w:val="24"/>
          <w:lang w:val="en-US" w:eastAsia="zh-CN"/>
        </w:rPr>
        <w:t>或磅单</w:t>
      </w:r>
      <w:r>
        <w:rPr>
          <w:rFonts w:hint="eastAsia"/>
          <w:sz w:val="24"/>
          <w:szCs w:val="24"/>
        </w:rPr>
        <w:t>计算，以体积计量，以立方米为计量单位。</w:t>
      </w:r>
    </w:p>
    <w:p>
      <w:pPr>
        <w:spacing w:line="480" w:lineRule="exact"/>
        <w:ind w:firstLine="470" w:firstLineChars="196"/>
        <w:textAlignment w:val="baseline"/>
      </w:pPr>
      <w:r>
        <w:rPr>
          <w:rFonts w:hint="eastAsia"/>
          <w:sz w:val="24"/>
          <w:szCs w:val="24"/>
        </w:rPr>
        <w:t>2、甲方可随时对乙方的砼运输车实际装载量过磅抽检，若抽检中发现误差超过国家计量允许范围（±2%）(具体按</w:t>
      </w:r>
      <w:r>
        <w:fldChar w:fldCharType="begin"/>
      </w:r>
      <w:r>
        <w:instrText xml:space="preserve"> HYPERLINK "http://www.baidu.com/s?wd=%E3%80%8A%E9%A2%84%E6%8B%8C%E6%B7%B7%E5%87%9D%E5%9C%9F%E3%80%8B&amp;tn=SE_PcZhidaonwhc_ngpagmjz&amp;rsv_dl=gh_pc_zhidao" \t "https://zhidao.baidu.com/question/_blank" </w:instrText>
      </w:r>
      <w:r>
        <w:fldChar w:fldCharType="separate"/>
      </w:r>
      <w:r>
        <w:rPr>
          <w:sz w:val="24"/>
          <w:szCs w:val="24"/>
        </w:rPr>
        <w:t>《预拌混凝土》</w:t>
      </w:r>
      <w:r>
        <w:rPr>
          <w:sz w:val="24"/>
          <w:szCs w:val="24"/>
        </w:rPr>
        <w:fldChar w:fldCharType="end"/>
      </w:r>
      <w:r>
        <w:rPr>
          <w:sz w:val="24"/>
          <w:szCs w:val="24"/>
        </w:rPr>
        <w:t>GB/T14902</w:t>
      </w:r>
      <w:r>
        <w:rPr>
          <w:rFonts w:hint="eastAsia"/>
          <w:sz w:val="24"/>
          <w:szCs w:val="24"/>
        </w:rPr>
        <w:t>-2012相关条款执行)，则该日该批次供应的预拌砼按抽检到的比例计算。抽检时，需乙方在场，每批次第一车预拌砼不能作为抽检依据，每批次抽检不得少于1车。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80" w:firstLineChars="200"/>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80" w:firstLineChars="200"/>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kern w:val="0"/>
          <w:sz w:val="24"/>
          <w:szCs w:val="24"/>
        </w:rPr>
        <w:t>，</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80" w:firstLineChars="200"/>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80" w:firstLineChars="200"/>
        <w:textAlignment w:val="baseline"/>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w:t>
      </w:r>
      <w:r>
        <w:rPr>
          <w:rFonts w:hint="eastAsia" w:ascii="宋体" w:hAnsi="宋体"/>
          <w:sz w:val="24"/>
          <w:szCs w:val="24"/>
        </w:rPr>
        <w:t>商品混凝土</w:t>
      </w:r>
      <w:r>
        <w:rPr>
          <w:rFonts w:hint="eastAsia"/>
          <w:sz w:val="24"/>
          <w:szCs w:val="24"/>
        </w:rPr>
        <w:t>产品、砼泵送费用销售全额发票由乙方开具</w:t>
      </w:r>
      <w:r>
        <w:rPr>
          <w:rFonts w:hint="eastAsia"/>
          <w:b/>
          <w:sz w:val="24"/>
          <w:szCs w:val="24"/>
        </w:rPr>
        <w:t>增值税专用发票（抵扣税率</w:t>
      </w:r>
      <w:r>
        <w:rPr>
          <w:rFonts w:hint="eastAsia"/>
          <w:b/>
          <w:sz w:val="24"/>
          <w:szCs w:val="24"/>
          <w:u w:val="single"/>
        </w:rPr>
        <w:t xml:space="preserve"> 3%</w:t>
      </w:r>
      <w:r>
        <w:rPr>
          <w:rFonts w:hint="eastAsia"/>
          <w:b/>
          <w:sz w:val="24"/>
          <w:szCs w:val="24"/>
        </w:rPr>
        <w:t>）</w:t>
      </w:r>
      <w:r>
        <w:rPr>
          <w:rFonts w:hint="eastAsia"/>
          <w:sz w:val="24"/>
          <w:szCs w:val="24"/>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sz w:val="24"/>
          <w:szCs w:val="24"/>
        </w:rPr>
      </w:pPr>
      <w:r>
        <w:rPr>
          <w:rFonts w:hint="eastAsia"/>
          <w:b/>
          <w:sz w:val="24"/>
          <w:szCs w:val="24"/>
        </w:rPr>
        <w:t>九、结算方式及期限</w:t>
      </w:r>
    </w:p>
    <w:p>
      <w:pPr>
        <w:adjustRightInd w:val="0"/>
        <w:snapToGrid w:val="0"/>
        <w:spacing w:line="480" w:lineRule="exact"/>
        <w:ind w:firstLine="405" w:firstLineChars="169"/>
        <w:textAlignment w:val="baseline"/>
        <w:rPr>
          <w:rFonts w:hint="eastAsia"/>
          <w:color w:val="000000"/>
          <w:sz w:val="24"/>
          <w:szCs w:val="24"/>
          <w:lang w:val="en-US" w:eastAsia="zh-CN"/>
        </w:rPr>
      </w:pPr>
      <w:r>
        <w:rPr>
          <w:rFonts w:hint="eastAsia"/>
          <w:color w:val="000000"/>
          <w:sz w:val="24"/>
          <w:szCs w:val="24"/>
        </w:rPr>
        <w:t>1</w:t>
      </w:r>
      <w:r>
        <w:rPr>
          <w:rFonts w:hint="eastAsia"/>
          <w:color w:val="000000"/>
          <w:sz w:val="24"/>
          <w:szCs w:val="24"/>
          <w:lang w:eastAsia="zh-CN"/>
        </w:rPr>
        <w:t>、</w:t>
      </w:r>
      <w:r>
        <w:rPr>
          <w:rFonts w:hint="eastAsia"/>
          <w:color w:val="000000"/>
          <w:sz w:val="24"/>
          <w:szCs w:val="24"/>
          <w:lang w:val="en-US" w:eastAsia="zh-CN"/>
        </w:rPr>
        <w:t>材料预付款：</w:t>
      </w:r>
      <w:r>
        <w:rPr>
          <w:rFonts w:hint="eastAsia"/>
          <w:b/>
          <w:bCs/>
          <w:color w:val="000000"/>
          <w:sz w:val="24"/>
          <w:szCs w:val="24"/>
          <w:u w:val="single"/>
          <w:lang w:val="en-US" w:eastAsia="zh-CN"/>
        </w:rPr>
        <w:t>本工程签订后由甲方向乙方支付合同金额30%的预付款，乙方需向甲方开具等额收据</w:t>
      </w:r>
      <w:r>
        <w:rPr>
          <w:rFonts w:hint="eastAsia"/>
          <w:color w:val="000000"/>
          <w:sz w:val="24"/>
          <w:szCs w:val="24"/>
          <w:lang w:val="en-US" w:eastAsia="zh-CN"/>
        </w:rPr>
        <w:t>。</w:t>
      </w:r>
    </w:p>
    <w:p>
      <w:pPr>
        <w:adjustRightInd w:val="0"/>
        <w:snapToGrid w:val="0"/>
        <w:spacing w:line="480" w:lineRule="exact"/>
        <w:ind w:firstLine="405" w:firstLineChars="169"/>
        <w:textAlignment w:val="baseline"/>
        <w:rPr>
          <w:rFonts w:hint="default" w:ascii="Times New Roman" w:hAnsi="Times New Roman" w:eastAsia="宋体" w:cs="Times New Roman"/>
          <w:color w:val="000000"/>
          <w:sz w:val="24"/>
          <w:szCs w:val="24"/>
          <w:lang w:val="en-US" w:eastAsia="zh-CN"/>
        </w:rPr>
      </w:pPr>
      <w:r>
        <w:rPr>
          <w:rFonts w:hint="eastAsia"/>
          <w:color w:val="000000"/>
          <w:sz w:val="24"/>
          <w:szCs w:val="24"/>
          <w:lang w:val="en-US" w:eastAsia="zh-CN"/>
        </w:rPr>
        <w:t>2、</w:t>
      </w:r>
      <w:r>
        <w:rPr>
          <w:rFonts w:hint="eastAsia" w:ascii="Times New Roman" w:hAnsi="Times New Roman" w:eastAsia="宋体" w:cs="Times New Roman"/>
          <w:color w:val="000000"/>
          <w:sz w:val="24"/>
          <w:szCs w:val="24"/>
          <w:lang w:val="en-US" w:eastAsia="zh-CN"/>
        </w:rPr>
        <w:t>预付款的扣回：</w:t>
      </w:r>
      <w:r>
        <w:rPr>
          <w:rFonts w:hint="eastAsia" w:cs="Times New Roman"/>
          <w:b/>
          <w:bCs/>
          <w:color w:val="000000"/>
          <w:sz w:val="24"/>
          <w:szCs w:val="24"/>
          <w:u w:val="single"/>
          <w:lang w:val="en-US" w:eastAsia="zh-CN"/>
        </w:rPr>
        <w:t>甲方需在本合同完工结算前冲抵完等额</w:t>
      </w:r>
      <w:r>
        <w:rPr>
          <w:rFonts w:hint="eastAsia" w:ascii="Times New Roman" w:hAnsi="Times New Roman" w:eastAsia="宋体" w:cs="Times New Roman"/>
          <w:b/>
          <w:bCs/>
          <w:color w:val="000000"/>
          <w:sz w:val="24"/>
          <w:szCs w:val="24"/>
          <w:u w:val="single"/>
          <w:lang w:val="en-US" w:eastAsia="zh-CN"/>
        </w:rPr>
        <w:t>材料预付款</w:t>
      </w:r>
      <w:r>
        <w:rPr>
          <w:rFonts w:hint="eastAsia" w:ascii="Times New Roman" w:hAnsi="Times New Roman" w:eastAsia="宋体" w:cs="Times New Roman"/>
          <w:color w:val="000000"/>
          <w:sz w:val="24"/>
          <w:szCs w:val="24"/>
          <w:lang w:val="en-US" w:eastAsia="zh-CN"/>
        </w:rPr>
        <w:t>。</w:t>
      </w:r>
    </w:p>
    <w:p>
      <w:pPr>
        <w:adjustRightInd w:val="0"/>
        <w:snapToGrid w:val="0"/>
        <w:spacing w:line="480" w:lineRule="exact"/>
        <w:ind w:firstLine="405" w:firstLineChars="169"/>
        <w:textAlignment w:val="baseline"/>
        <w:rPr>
          <w:sz w:val="24"/>
          <w:szCs w:val="24"/>
        </w:rPr>
      </w:pPr>
      <w:r>
        <w:rPr>
          <w:rFonts w:hint="eastAsia" w:ascii="Times New Roman" w:hAnsi="Times New Roman" w:eastAsia="宋体" w:cs="Times New Roman"/>
          <w:color w:val="000000"/>
          <w:sz w:val="24"/>
          <w:szCs w:val="24"/>
          <w:lang w:val="en-US" w:eastAsia="zh-CN"/>
        </w:rPr>
        <w:t>3、结算方式：</w:t>
      </w:r>
      <w:r>
        <w:rPr>
          <w:rFonts w:hint="eastAsia"/>
          <w:sz w:val="24"/>
          <w:szCs w:val="24"/>
        </w:rPr>
        <w:t>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若需冲抵预付款则扣除需冲抵的预付款金额</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b/>
          <w:bCs/>
          <w:sz w:val="24"/>
          <w:szCs w:val="24"/>
          <w:u w:val="single"/>
        </w:rPr>
        <w:t>20</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360" w:lineRule="auto"/>
        <w:ind w:firstLine="480" w:firstLineChars="200"/>
        <w:textAlignment w:val="baseline"/>
        <w:rPr>
          <w:sz w:val="24"/>
          <w:szCs w:val="24"/>
        </w:rPr>
      </w:pPr>
      <w:r>
        <w:rPr>
          <w:rFonts w:hint="eastAsia"/>
          <w:sz w:val="24"/>
          <w:szCs w:val="24"/>
        </w:rPr>
        <w:t>3、结算期限：每月6日-25日办理上月支付。</w:t>
      </w:r>
    </w:p>
    <w:p>
      <w:pPr>
        <w:spacing w:line="360" w:lineRule="auto"/>
        <w:ind w:firstLine="472" w:firstLineChars="196"/>
        <w:textAlignment w:val="baseline"/>
        <w:rPr>
          <w:b/>
          <w:sz w:val="24"/>
          <w:szCs w:val="24"/>
        </w:rPr>
      </w:pPr>
      <w:r>
        <w:rPr>
          <w:rFonts w:hint="eastAsia"/>
          <w:b/>
          <w:sz w:val="24"/>
          <w:szCs w:val="24"/>
        </w:rPr>
        <w:t>十、质量保证金</w:t>
      </w:r>
    </w:p>
    <w:p>
      <w:pPr>
        <w:pStyle w:val="9"/>
        <w:spacing w:line="360" w:lineRule="auto"/>
        <w:rPr>
          <w:rFonts w:ascii="宋体" w:hAnsi="宋体" w:eastAsia="宋体"/>
          <w:kern w:val="2"/>
          <w:sz w:val="24"/>
          <w:szCs w:val="24"/>
        </w:rPr>
      </w:pPr>
      <w:r>
        <w:rPr>
          <w:rFonts w:hint="eastAsia" w:ascii="宋体" w:hAnsi="宋体" w:eastAsia="宋体"/>
          <w:kern w:val="2"/>
          <w:sz w:val="24"/>
          <w:szCs w:val="24"/>
        </w:rPr>
        <w:t xml:space="preserve">    本采购合同无质量保证金。</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1、乙方必须保证供货质量（要求检验合格率达到100%），若因材料质量原因（检验合格率不足100%）导致的一切损失皆由乙方负责。若出现材料质量事故的，按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乙方保证收到甲方短信或通知后7日内将甲方所需合同材料送达到指定地点。乙方材料的供应量、送货时间必须满足甲方通知要求和甲方施工进度要求，否则，按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w:t>
      </w:r>
      <w:r>
        <w:rPr>
          <w:rFonts w:hint="eastAsia" w:ascii="宋体" w:hAnsi="宋体"/>
          <w:sz w:val="24"/>
          <w:szCs w:val="24"/>
          <w:highlight w:val="none"/>
        </w:rPr>
        <w:t>本合同</w:t>
      </w:r>
      <w:r>
        <w:rPr>
          <w:rFonts w:hint="eastAsia" w:ascii="宋体" w:hAnsi="宋体"/>
          <w:sz w:val="24"/>
          <w:szCs w:val="24"/>
        </w:rPr>
        <w:t>数量的合同材料差价由乙方全部承担。</w:t>
      </w:r>
    </w:p>
    <w:p>
      <w:pPr>
        <w:spacing w:line="360" w:lineRule="auto"/>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bCs/>
          <w:sz w:val="24"/>
          <w:szCs w:val="24"/>
          <w:u w:val="single"/>
        </w:rPr>
        <w:t>伍</w:t>
      </w:r>
      <w:r>
        <w:rPr>
          <w:rFonts w:hint="eastAsia" w:ascii="宋体" w:hAnsi="宋体"/>
          <w:b/>
          <w:sz w:val="24"/>
          <w:szCs w:val="24"/>
          <w:u w:val="single"/>
        </w:rPr>
        <w:t>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按《中华人民共和国民法典》执行，由违约方向守约方赔偿由此给守约方造成的一切经济损失。</w:t>
      </w:r>
    </w:p>
    <w:p>
      <w:pPr>
        <w:spacing w:line="360" w:lineRule="auto"/>
        <w:ind w:firstLine="480" w:firstLineChars="200"/>
        <w:textAlignment w:val="baseline"/>
        <w:rPr>
          <w:rFonts w:ascii="宋体" w:hAnsi="宋体"/>
          <w:sz w:val="24"/>
        </w:rPr>
      </w:pPr>
      <w:r>
        <w:rPr>
          <w:rFonts w:hint="eastAsia"/>
          <w:sz w:val="24"/>
          <w:szCs w:val="24"/>
        </w:rPr>
        <w:t>7、本合同约定的甲方损失</w:t>
      </w:r>
      <w:r>
        <w:rPr>
          <w:rFonts w:hint="eastAsia" w:ascii="宋体" w:hAnsi="宋体"/>
          <w:sz w:val="24"/>
        </w:rPr>
        <w:t>包括工期延误损失、甲方向第三人承担的违约金、赔偿金、甲方预期利润等全部直接和间接损失。</w:t>
      </w:r>
    </w:p>
    <w:p>
      <w:pPr>
        <w:spacing w:line="360" w:lineRule="auto"/>
        <w:ind w:firstLine="480" w:firstLineChars="200"/>
        <w:textAlignment w:val="baseline"/>
        <w:rPr>
          <w:sz w:val="24"/>
          <w:szCs w:val="24"/>
        </w:rPr>
      </w:pPr>
      <w:r>
        <w:rPr>
          <w:rFonts w:hint="eastAsia"/>
          <w:sz w:val="24"/>
          <w:szCs w:val="24"/>
        </w:rPr>
        <w:t>8、若合同执行期间，乙方供应的材料因质量不合格出现退货的，处以50000元/次的违约罚金；乙方供应的材料质量不合格造成工程返工或返修，卖方除承担继续履行、采取修理、更换、退货等补救措施外，处以100000元/次的违约罚金。</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bCs/>
          <w:sz w:val="24"/>
          <w:szCs w:val="24"/>
          <w:u w:val="single"/>
        </w:rPr>
        <w:t>综合固定单价</w:t>
      </w:r>
      <w:r>
        <w:rPr>
          <w:rFonts w:hint="eastAsia"/>
          <w:sz w:val="24"/>
          <w:szCs w:val="24"/>
        </w:rPr>
        <w:t>合同。包含运输费、材料费、保险、税金、通行费、合理损耗、间接费、运杂费、利润、规费、物价上涨、安全措施费、装车费等在内的各种费用以及合同明示或暗示的所有责任、义务和一般风险。</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rPr>
        <w:t>3、如乙方产品因质量原因未通过质检（含颜色），乙方必须接受无条件退货，并由乙方</w:t>
      </w:r>
      <w:r>
        <w:rPr>
          <w:rFonts w:hint="eastAsia"/>
          <w:sz w:val="24"/>
          <w:szCs w:val="24"/>
          <w:highlight w:val="none"/>
        </w:rPr>
        <w:t>承担由此造成的一切损失，甲方有权立即解除或终止合同。</w:t>
      </w:r>
    </w:p>
    <w:p>
      <w:pPr>
        <w:spacing w:line="360" w:lineRule="auto"/>
        <w:ind w:firstLine="460" w:firstLineChars="192"/>
        <w:rPr>
          <w:rFonts w:hint="eastAsia" w:ascii="宋体" w:hAnsi="宋体"/>
          <w:sz w:val="24"/>
          <w:szCs w:val="24"/>
        </w:rPr>
      </w:pPr>
      <w:r>
        <w:rPr>
          <w:rFonts w:hint="eastAsia" w:ascii="宋体" w:hAnsi="宋体"/>
          <w:sz w:val="24"/>
          <w:szCs w:val="24"/>
        </w:rPr>
        <w:t>4、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360" w:lineRule="auto"/>
        <w:ind w:firstLine="460" w:firstLineChars="192"/>
        <w:rPr>
          <w:rFonts w:hint="eastAsia" w:ascii="宋体" w:hAnsi="宋体"/>
          <w:sz w:val="24"/>
          <w:szCs w:val="24"/>
          <w:lang w:val="en-US" w:eastAsia="zh-CN"/>
        </w:rPr>
      </w:pPr>
      <w:r>
        <w:rPr>
          <w:rFonts w:hint="eastAsia" w:ascii="宋体" w:hAnsi="宋体"/>
          <w:sz w:val="24"/>
          <w:szCs w:val="24"/>
          <w:lang w:val="en-US" w:eastAsia="zh-CN"/>
        </w:rPr>
        <w:t>5、如甲方需使用乙方砼输送泵车进行泵送，每次使用数量≧ 50 m³时，按实际砼方量计泵送费，每次使用数量&lt;50 m³时，按50 m³计泵送费。</w:t>
      </w:r>
    </w:p>
    <w:p>
      <w:pPr>
        <w:spacing w:line="360" w:lineRule="auto"/>
        <w:ind w:firstLine="460" w:firstLineChars="192"/>
        <w:rPr>
          <w:rFonts w:hint="eastAsia" w:ascii="宋体" w:hAnsi="宋体"/>
          <w:sz w:val="24"/>
          <w:szCs w:val="24"/>
        </w:rPr>
      </w:pPr>
      <w:r>
        <w:rPr>
          <w:rFonts w:hint="eastAsia" w:ascii="宋体" w:hAnsi="宋体"/>
          <w:sz w:val="24"/>
          <w:szCs w:val="24"/>
          <w:lang w:val="en-US" w:eastAsia="zh-CN"/>
        </w:rPr>
        <w:t>6、甲方的询价文件及乙方的报价文件作为本合同的附件，具有同</w:t>
      </w:r>
      <w:r>
        <w:rPr>
          <w:rFonts w:hint="eastAsia" w:ascii="宋体" w:hAnsi="宋体"/>
          <w:sz w:val="24"/>
          <w:szCs w:val="24"/>
        </w:rPr>
        <w:t>等法律效力，若有不一致或矛盾之处，以本合同条款为准。</w:t>
      </w:r>
    </w:p>
    <w:p>
      <w:pPr>
        <w:spacing w:line="360" w:lineRule="auto"/>
        <w:ind w:firstLine="460" w:firstLineChars="192"/>
        <w:rPr>
          <w:rFonts w:ascii="宋体" w:hAnsi="宋体"/>
          <w:sz w:val="24"/>
        </w:rPr>
      </w:pPr>
      <w:r>
        <w:rPr>
          <w:rFonts w:hint="eastAsia" w:ascii="宋体" w:hAnsi="宋体"/>
          <w:sz w:val="24"/>
          <w:lang w:val="en-US" w:eastAsia="zh-CN"/>
        </w:rPr>
        <w:t>7</w:t>
      </w:r>
      <w:r>
        <w:rPr>
          <w:rFonts w:hint="eastAsia" w:ascii="宋体" w:hAnsi="宋体"/>
          <w:sz w:val="24"/>
        </w:rPr>
        <w:t>、若出现重庆高速公路收费站限重等不可违抗因素，无任何运费调价机制，所有到场的运输费用由乙方自行承当。</w:t>
      </w:r>
    </w:p>
    <w:p>
      <w:pPr>
        <w:spacing w:line="360" w:lineRule="auto"/>
        <w:ind w:firstLine="463" w:firstLineChars="192"/>
        <w:rPr>
          <w:sz w:val="24"/>
          <w:szCs w:val="24"/>
          <w:highlight w:val="yellow"/>
        </w:rPr>
      </w:pPr>
      <w:r>
        <w:rPr>
          <w:rFonts w:hint="eastAsia"/>
          <w:b/>
          <w:sz w:val="24"/>
          <w:szCs w:val="24"/>
        </w:rPr>
        <w:t>十三、本合同有效期</w:t>
      </w:r>
      <w:r>
        <w:rPr>
          <w:rFonts w:hint="eastAsia" w:ascii="宋体" w:hAnsi="宋体"/>
          <w:sz w:val="24"/>
          <w:szCs w:val="24"/>
        </w:rPr>
        <w:t>：</w:t>
      </w:r>
      <w:r>
        <w:rPr>
          <w:rFonts w:hint="eastAsia" w:ascii="宋体" w:hAnsi="宋体"/>
          <w:b/>
          <w:bCs/>
          <w:sz w:val="24"/>
          <w:szCs w:val="24"/>
          <w:u w:val="single"/>
        </w:rPr>
        <w:t>自本</w:t>
      </w:r>
      <w:r>
        <w:rPr>
          <w:rFonts w:hint="eastAsia" w:ascii="宋体" w:hAnsi="宋体" w:cs="宋体"/>
          <w:b/>
          <w:sz w:val="24"/>
          <w:szCs w:val="24"/>
          <w:u w:val="single"/>
        </w:rPr>
        <w:t>合同签订之日起至双方办理完结算时为止</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：重庆市沙坪坝区天星桥街道梨高路重庆通力高速公路养护工程有限公司。</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6"/>
        <w:rPr>
          <w:rFonts w:ascii="Times New Roman" w:hAnsi="Times New Roman"/>
          <w:b w:val="0"/>
          <w:bCs w:val="0"/>
          <w:caps w:val="0"/>
          <w:sz w:val="24"/>
          <w:szCs w:val="24"/>
        </w:rPr>
      </w:pPr>
    </w:p>
    <w:p>
      <w:pPr>
        <w:rPr>
          <w:sz w:val="24"/>
          <w:szCs w:val="24"/>
        </w:rPr>
      </w:pPr>
    </w:p>
    <w:p/>
    <w:p>
      <w:pPr>
        <w:pStyle w:val="6"/>
      </w:pPr>
    </w:p>
    <w:p/>
    <w:p>
      <w:pPr>
        <w:spacing w:line="360" w:lineRule="auto"/>
        <w:rPr>
          <w:sz w:val="24"/>
          <w:szCs w:val="24"/>
        </w:rPr>
      </w:pPr>
      <w:r>
        <w:rPr>
          <w:rFonts w:hint="eastAsia"/>
          <w:sz w:val="24"/>
          <w:szCs w:val="24"/>
        </w:rPr>
        <w:t>甲方（盖章）：                           乙方（盖章）：</w:t>
      </w:r>
    </w:p>
    <w:p>
      <w:pPr>
        <w:spacing w:line="276"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ind w:left="6000" w:hanging="6000" w:hangingChars="2500"/>
        <w:rPr>
          <w:sz w:val="24"/>
          <w:szCs w:val="24"/>
        </w:rPr>
      </w:pPr>
      <w:r>
        <w:rPr>
          <w:rFonts w:hint="eastAsia"/>
          <w:sz w:val="24"/>
          <w:szCs w:val="24"/>
        </w:rPr>
        <w:t xml:space="preserve">经办人：                                 开户银行：    </w:t>
      </w:r>
    </w:p>
    <w:p>
      <w:pPr>
        <w:spacing w:line="360" w:lineRule="auto"/>
        <w:rPr>
          <w:sz w:val="24"/>
          <w:szCs w:val="24"/>
        </w:rPr>
      </w:pPr>
      <w:r>
        <w:rPr>
          <w:rFonts w:hint="eastAsia"/>
          <w:sz w:val="24"/>
          <w:szCs w:val="24"/>
        </w:rPr>
        <w:t xml:space="preserve">                                         账号：                             </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rPr>
          <w:sz w:val="24"/>
        </w:rPr>
        <w:sectPr>
          <w:headerReference r:id="rId3"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jc w:val="center"/>
        <w:rPr>
          <w:b/>
          <w:sz w:val="36"/>
          <w:szCs w:val="36"/>
        </w:rPr>
      </w:pPr>
      <w:r>
        <w:rPr>
          <w:rFonts w:hint="eastAsia"/>
          <w:b/>
          <w:sz w:val="36"/>
          <w:szCs w:val="36"/>
        </w:rPr>
        <w:t>重庆通力高速公路养护工程有限公司</w:t>
      </w:r>
    </w:p>
    <w:p>
      <w:pPr>
        <w:spacing w:line="360" w:lineRule="auto"/>
        <w:jc w:val="center"/>
        <w:rPr>
          <w:b/>
          <w:sz w:val="36"/>
          <w:szCs w:val="36"/>
        </w:rPr>
      </w:pPr>
      <w:r>
        <w:rPr>
          <w:rFonts w:hint="eastAsia"/>
          <w:b/>
          <w:sz w:val="36"/>
          <w:szCs w:val="36"/>
        </w:rPr>
        <w:t>G42 沪蓉高速奉（节）云（阳）段杨柳坪大桥维修加固工程商品混凝土采购之廉政合同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u w:val="single"/>
        </w:rPr>
        <w:t>《重庆通力高速公路养护工程有限公司G42 沪蓉高速奉（节）云（阳）段杨柳坪大桥维修加固工程商品混凝土采购合同》</w:t>
      </w:r>
      <w:r>
        <w:rPr>
          <w:rFonts w:hint="eastAsia"/>
          <w:sz w:val="24"/>
        </w:rPr>
        <w:t>的相关条款，自觉按合同办事。</w:t>
      </w:r>
    </w:p>
    <w:p>
      <w:pPr>
        <w:spacing w:line="360" w:lineRule="auto"/>
        <w:ind w:firstLine="480" w:firstLineChars="200"/>
        <w:rPr>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bCs/>
          <w:sz w:val="24"/>
          <w:u w:val="single"/>
        </w:rPr>
        <w:t>重庆通力高速公路养护工程有限公司G42 沪蓉高速奉（节）云（阳）段杨柳坪大桥维修加固工程商品混凝土采购合同</w:t>
      </w:r>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360" w:lineRule="auto"/>
        <w:ind w:firstLine="470" w:firstLineChars="196"/>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（本页无正文）</w:t>
      </w:r>
    </w:p>
    <w:p>
      <w:pPr>
        <w:pStyle w:val="6"/>
      </w:pPr>
    </w:p>
    <w:p/>
    <w:p>
      <w:pPr>
        <w:spacing w:line="360" w:lineRule="auto"/>
        <w:ind w:firstLine="470" w:firstLineChars="196"/>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rPr>
          <w:sz w:val="24"/>
          <w:szCs w:val="24"/>
        </w:rPr>
      </w:pPr>
      <w:r>
        <w:rPr>
          <w:rFonts w:hint="eastAsia"/>
          <w:sz w:val="24"/>
          <w:szCs w:val="24"/>
        </w:rPr>
        <w:t xml:space="preserve">重庆通力高速公路养护工程有限公司      </w:t>
      </w:r>
    </w:p>
    <w:p>
      <w:pPr>
        <w:pStyle w:val="6"/>
      </w:pPr>
    </w:p>
    <w:p/>
    <w:p>
      <w:pPr>
        <w:spacing w:line="276" w:lineRule="auto"/>
        <w:rPr>
          <w:rFonts w:hint="eastAsia" w:ascii="宋体" w:hAnsi="宋体"/>
          <w:sz w:val="24"/>
        </w:rPr>
      </w:pPr>
      <w:r>
        <w:rPr>
          <w:rFonts w:hint="eastAsia" w:ascii="宋体" w:hAnsi="宋体"/>
          <w:sz w:val="24"/>
        </w:rPr>
        <w:t>法定代表人                             法定代表人</w:t>
      </w:r>
    </w:p>
    <w:p>
      <w:pPr>
        <w:pStyle w:val="6"/>
      </w:pPr>
    </w:p>
    <w:p>
      <w:pPr>
        <w:spacing w:line="276" w:lineRule="auto"/>
        <w:textAlignment w:val="baseline"/>
      </w:pPr>
      <w:r>
        <w:rPr>
          <w:rFonts w:hint="eastAsia" w:ascii="宋体" w:hAnsi="宋体"/>
          <w:sz w:val="24"/>
        </w:rPr>
        <w:t>或授权代表：                           或授权代表：</w:t>
      </w:r>
    </w:p>
    <w:p>
      <w:pPr>
        <w:spacing w:line="276" w:lineRule="auto"/>
        <w:rPr>
          <w:rFonts w:hint="eastAsia"/>
        </w:rPr>
      </w:pPr>
      <w:r>
        <w:rPr>
          <w:rFonts w:hint="eastAsia"/>
        </w:rPr>
        <w:t>部门负责人：</w:t>
      </w:r>
    </w:p>
    <w:p>
      <w:pPr>
        <w:pStyle w:val="6"/>
      </w:pPr>
    </w:p>
    <w:p>
      <w:pPr>
        <w:widowControl/>
        <w:spacing w:line="276" w:lineRule="auto"/>
        <w:ind w:left="259" w:leftChars="9" w:hanging="240" w:hangingChars="100"/>
        <w:jc w:val="left"/>
        <w:textAlignment w:val="baseline"/>
        <w:rPr>
          <w:rFonts w:hint="eastAsia" w:ascii="宋体" w:hAnsi="宋体"/>
          <w:sz w:val="24"/>
        </w:rPr>
      </w:pPr>
      <w:r>
        <w:rPr>
          <w:rFonts w:hint="eastAsia" w:ascii="宋体" w:hAnsi="宋体"/>
          <w:sz w:val="24"/>
        </w:rPr>
        <w:t>经办人：                               经办人：</w:t>
      </w:r>
    </w:p>
    <w:p>
      <w:pPr>
        <w:pStyle w:val="6"/>
      </w:pPr>
    </w:p>
    <w:p>
      <w:pPr>
        <w:widowControl/>
        <w:spacing w:line="276" w:lineRule="auto"/>
        <w:jc w:val="left"/>
        <w:textAlignment w:val="baseline"/>
        <w:rPr>
          <w:rFonts w:ascii="宋体" w:hAnsi="宋体" w:cs="宋体"/>
          <w:b/>
          <w:sz w:val="36"/>
        </w:rPr>
        <w:sectPr>
          <w:headerReference r:id="rId4" w:type="default"/>
          <w:footerReference r:id="rId5" w:type="default"/>
          <w:pgSz w:w="11906" w:h="16838"/>
          <w:pgMar w:top="1418" w:right="1361" w:bottom="1418" w:left="1361" w:header="851" w:footer="992" w:gutter="0"/>
          <w:cols w:space="720" w:num="1"/>
          <w:docGrid w:type="lines" w:linePitch="312" w:charSpace="0"/>
        </w:sectPr>
      </w:pPr>
      <w:r>
        <w:rPr>
          <w:rFonts w:hint="eastAsia"/>
          <w:sz w:val="24"/>
        </w:rPr>
        <w:t xml:space="preserve">签约时间：    年   月   日             签约时间：    年   月   </w:t>
      </w:r>
    </w:p>
    <w:p>
      <w:pPr>
        <w:spacing w:line="360" w:lineRule="auto"/>
        <w:jc w:val="center"/>
        <w:rPr>
          <w:rFonts w:ascii="宋体" w:hAnsi="宋体" w:cs="宋体"/>
          <w:b/>
          <w:sz w:val="36"/>
        </w:rPr>
      </w:pPr>
    </w:p>
    <w:p>
      <w:pPr>
        <w:jc w:val="center"/>
        <w:rPr>
          <w:rFonts w:ascii="宋体" w:hAnsi="宋体" w:cs="宋体"/>
          <w:b/>
          <w:sz w:val="36"/>
        </w:rPr>
      </w:pPr>
      <w:r>
        <w:rPr>
          <w:rFonts w:hint="eastAsia" w:ascii="宋体" w:hAnsi="宋体" w:cs="宋体"/>
          <w:b/>
          <w:sz w:val="36"/>
        </w:rPr>
        <w:t>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G42 沪蓉高速奉（节）云（阳）段杨柳坪大桥维修加固工程商品混凝土采购</w:t>
      </w:r>
    </w:p>
    <w:p>
      <w:pPr>
        <w:jc w:val="center"/>
        <w:rPr>
          <w:rFonts w:ascii="宋体" w:hAnsi="宋体" w:cs="宋体"/>
          <w:b/>
          <w:sz w:val="40"/>
          <w:szCs w:val="44"/>
        </w:rPr>
      </w:pPr>
      <w:r>
        <w:rPr>
          <w:rFonts w:hint="eastAsia" w:ascii="宋体" w:hAnsi="宋体" w:cs="宋体"/>
          <w:b/>
          <w:sz w:val="40"/>
          <w:szCs w:val="44"/>
          <w:u w:val="single"/>
        </w:rPr>
        <w:t>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10"/>
        <w:rPr>
          <w:color w:val="auto"/>
        </w:rPr>
      </w:pPr>
    </w:p>
    <w:p>
      <w:pPr>
        <w:pStyle w:val="10"/>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三、比选申请单位有效的营业执照</w:t>
      </w:r>
    </w:p>
    <w:p>
      <w:pPr>
        <w:tabs>
          <w:tab w:val="left" w:pos="900"/>
          <w:tab w:val="left" w:pos="1080"/>
        </w:tabs>
        <w:spacing w:line="360" w:lineRule="auto"/>
        <w:outlineLvl w:val="0"/>
        <w:rPr>
          <w:szCs w:val="21"/>
        </w:rPr>
      </w:pPr>
      <w:r>
        <w:rPr>
          <w:rFonts w:hint="eastAsia"/>
          <w:szCs w:val="21"/>
        </w:rPr>
        <w:t>四、比选申请单位自行承诺部分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3" w:name="_Toc265510122"/>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b/>
          <w:u w:val="single"/>
        </w:rPr>
        <w:t>重庆通力高速公路养护工程有限公司G42 沪蓉高速奉（节）云（阳）段杨柳坪大桥维修加固工程商品混凝土采购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440" w:lineRule="exact"/>
        <w:ind w:firstLine="420" w:firstLineChars="200"/>
        <w:rPr>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0"/>
        <w:rPr>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u w:val="single"/>
        </w:rPr>
        <w:t>重庆通力高速公路养护工程有限公司G42 沪蓉高速奉（节）云（阳）段杨柳坪大桥维修加固工程商品混凝土采购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0"/>
        <w:rPr>
          <w:color w:val="auto"/>
        </w:rPr>
      </w:pPr>
    </w:p>
    <w:p>
      <w:pPr>
        <w:tabs>
          <w:tab w:val="left" w:pos="900"/>
          <w:tab w:val="left" w:pos="1080"/>
        </w:tabs>
        <w:spacing w:line="30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三、比选申请单位有效的营业执照</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四、比选申请单位自行承诺部分</w:t>
      </w:r>
    </w:p>
    <w:p>
      <w:pPr>
        <w:pStyle w:val="6"/>
        <w:rPr>
          <w:rFonts w:ascii="宋体" w:hAnsi="宋体" w:cs="宋体"/>
          <w:b w:val="0"/>
          <w:sz w:val="28"/>
          <w:szCs w:val="28"/>
        </w:rPr>
      </w:pPr>
    </w:p>
    <w:p>
      <w:pPr>
        <w:spacing w:line="440" w:lineRule="exact"/>
        <w:rPr>
          <w:szCs w:val="21"/>
        </w:rPr>
      </w:pPr>
      <w:r>
        <w:rPr>
          <w:rFonts w:hint="eastAsia"/>
          <w:szCs w:val="21"/>
        </w:rPr>
        <w:t>重庆通力高速公路养护工程有限公司：</w:t>
      </w:r>
    </w:p>
    <w:p>
      <w:pPr>
        <w:spacing w:line="440" w:lineRule="exact"/>
        <w:ind w:firstLine="630" w:firstLineChars="300"/>
        <w:rPr>
          <w:szCs w:val="21"/>
        </w:rPr>
      </w:pPr>
      <w:r>
        <w:rPr>
          <w:rFonts w:hint="eastAsia"/>
          <w:szCs w:val="21"/>
        </w:rPr>
        <w:t>我司承诺本次报价的所有资料均为真实材料。且在“信用中国”网站（http://www.creditchina.gov.cn/）中未被列入失信被执行人名单（黑名单）。</w:t>
      </w:r>
    </w:p>
    <w:p>
      <w:pPr>
        <w:spacing w:line="440" w:lineRule="exact"/>
        <w:ind w:firstLine="420" w:firstLineChars="200"/>
        <w:rPr>
          <w:szCs w:val="21"/>
        </w:rPr>
      </w:pPr>
      <w:r>
        <w:rPr>
          <w:rFonts w:hint="eastAsia"/>
          <w:szCs w:val="21"/>
        </w:rPr>
        <w:t>我司将按照竞争性比选文件提供合格的材料。若违背竞争性比选文件及合同要求，我司将按照约定接受处罚。</w:t>
      </w:r>
    </w:p>
    <w:p>
      <w:pPr>
        <w:pStyle w:val="10"/>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0"/>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0"/>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0"/>
        <w:jc w:val="right"/>
        <w:rPr>
          <w:rFonts w:ascii="宋体" w:hAnsi="宋体" w:eastAsia="宋体" w:cs="宋体"/>
          <w:color w:val="auto"/>
          <w:szCs w:val="21"/>
        </w:rPr>
      </w:pPr>
    </w:p>
    <w:p>
      <w:pPr>
        <w:pStyle w:val="10"/>
        <w:jc w:val="right"/>
        <w:rPr>
          <w:rFonts w:ascii="宋体" w:hAnsi="宋体" w:eastAsia="宋体" w:cs="宋体"/>
          <w:color w:val="auto"/>
          <w:szCs w:val="21"/>
        </w:rPr>
      </w:pPr>
    </w:p>
    <w:p>
      <w:pPr>
        <w:spacing w:line="440" w:lineRule="exact"/>
        <w:ind w:firstLine="420" w:firstLineChars="200"/>
        <w:rPr>
          <w:szCs w:val="21"/>
        </w:rPr>
        <w:sectPr>
          <w:pgSz w:w="11906" w:h="16838"/>
          <w:pgMar w:top="1418" w:right="1361" w:bottom="1418" w:left="1361" w:header="851" w:footer="992" w:gutter="0"/>
          <w:cols w:space="720" w:num="1"/>
          <w:docGrid w:type="lines" w:linePitch="312" w:charSpace="0"/>
        </w:sectPr>
      </w:pPr>
      <w:bookmarkStart w:id="36" w:name="_Hlk45640489"/>
      <w:r>
        <w:rPr>
          <w:rFonts w:hint="eastAsia"/>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2545715"/>
                    </a:xfrm>
                    <a:prstGeom prst="rect">
                      <a:avLst/>
                    </a:prstGeom>
                    <a:noFill/>
                    <a:ln>
                      <a:noFill/>
                    </a:ln>
                  </pic:spPr>
                </pic:pic>
              </a:graphicData>
            </a:graphic>
          </wp:anchor>
        </w:drawing>
      </w:r>
      <w:r>
        <w:rPr>
          <w:rFonts w:hint="eastAsia"/>
          <w:szCs w:val="21"/>
        </w:rPr>
        <w:t>注“比选申请人的信誉承诺”应附比选申请人在“信用中国”网站（http://www.creditchina.gov.cn/）中未被列入失信被惩戒对象的网页截图复印件；在“信用中国”网站（http://www.creditchina.gov.cn/)中</w:t>
      </w:r>
      <w:bookmarkStart w:id="37" w:name="_Hlk45640316"/>
      <w:r>
        <w:rPr>
          <w:rFonts w:hint="eastAsia"/>
          <w:szCs w:val="21"/>
        </w:rPr>
        <w:t>未被列入失信被惩戒</w:t>
      </w:r>
      <w:bookmarkEnd w:id="37"/>
      <w:r>
        <w:rPr>
          <w:rFonts w:hint="eastAsia"/>
          <w:szCs w:val="21"/>
        </w:rPr>
        <w:t>对象由投标人自行截图证明，示例如下：</w:t>
      </w:r>
      <w:bookmarkEnd w:id="36"/>
    </w:p>
    <w:p>
      <w:pPr>
        <w:pStyle w:val="10"/>
        <w:jc w:val="center"/>
        <w:rPr>
          <w:rFonts w:ascii="宋体" w:hAnsi="宋体" w:cs="宋体"/>
          <w:b/>
          <w:sz w:val="28"/>
          <w:szCs w:val="28"/>
        </w:rPr>
      </w:pPr>
      <w:r>
        <w:rPr>
          <w:rFonts w:hint="eastAsia" w:ascii="宋体" w:hAnsi="宋体" w:cs="宋体"/>
          <w:b/>
          <w:sz w:val="28"/>
          <w:szCs w:val="28"/>
        </w:rPr>
        <w:t>五、已标价报价清单</w:t>
      </w:r>
    </w:p>
    <w:p>
      <w:pPr>
        <w:spacing w:line="360" w:lineRule="auto"/>
        <w:jc w:val="center"/>
        <w:textAlignment w:val="baseline"/>
        <w:rPr>
          <w:sz w:val="24"/>
          <w:szCs w:val="24"/>
        </w:rPr>
      </w:pPr>
      <w:r>
        <w:rPr>
          <w:rFonts w:hint="eastAsia"/>
          <w:szCs w:val="21"/>
        </w:rPr>
        <w:t>货币单位：人民币  元</w:t>
      </w:r>
    </w:p>
    <w:tbl>
      <w:tblPr>
        <w:tblStyle w:val="7"/>
        <w:tblW w:w="11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038"/>
        <w:gridCol w:w="582"/>
        <w:gridCol w:w="1167"/>
        <w:gridCol w:w="660"/>
        <w:gridCol w:w="1080"/>
        <w:gridCol w:w="900"/>
        <w:gridCol w:w="12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89" w:type="dxa"/>
            <w:vMerge w:val="restart"/>
            <w:vAlign w:val="center"/>
          </w:tcPr>
          <w:p>
            <w:pPr>
              <w:spacing w:line="260" w:lineRule="exact"/>
              <w:jc w:val="center"/>
              <w:textAlignment w:val="baseline"/>
              <w:rPr>
                <w:b/>
                <w:sz w:val="18"/>
                <w:szCs w:val="18"/>
              </w:rPr>
            </w:pPr>
            <w:r>
              <w:rPr>
                <w:rFonts w:hint="eastAsia"/>
                <w:b/>
                <w:sz w:val="18"/>
                <w:szCs w:val="18"/>
              </w:rPr>
              <w:t>产品名称</w:t>
            </w:r>
          </w:p>
        </w:tc>
        <w:tc>
          <w:tcPr>
            <w:tcW w:w="1038" w:type="dxa"/>
            <w:vMerge w:val="restart"/>
            <w:vAlign w:val="center"/>
          </w:tcPr>
          <w:p>
            <w:pPr>
              <w:spacing w:line="260" w:lineRule="exact"/>
              <w:jc w:val="center"/>
              <w:textAlignment w:val="baseline"/>
              <w:rPr>
                <w:b/>
                <w:sz w:val="18"/>
                <w:szCs w:val="18"/>
              </w:rPr>
            </w:pPr>
            <w:r>
              <w:rPr>
                <w:rFonts w:hint="eastAsia"/>
                <w:b/>
                <w:sz w:val="18"/>
                <w:szCs w:val="18"/>
              </w:rPr>
              <w:t>规格型号</w:t>
            </w:r>
          </w:p>
        </w:tc>
        <w:tc>
          <w:tcPr>
            <w:tcW w:w="582" w:type="dxa"/>
            <w:vMerge w:val="restart"/>
            <w:vAlign w:val="center"/>
          </w:tcPr>
          <w:p>
            <w:pPr>
              <w:spacing w:line="260" w:lineRule="exact"/>
              <w:jc w:val="center"/>
              <w:textAlignment w:val="baseline"/>
              <w:rPr>
                <w:b/>
                <w:sz w:val="18"/>
                <w:szCs w:val="18"/>
              </w:rPr>
            </w:pPr>
            <w:r>
              <w:rPr>
                <w:rFonts w:hint="eastAsia"/>
                <w:b/>
                <w:sz w:val="18"/>
                <w:szCs w:val="18"/>
              </w:rPr>
              <w:t>单位</w:t>
            </w:r>
          </w:p>
        </w:tc>
        <w:tc>
          <w:tcPr>
            <w:tcW w:w="1167" w:type="dxa"/>
            <w:vMerge w:val="restart"/>
            <w:vAlign w:val="center"/>
          </w:tcPr>
          <w:p>
            <w:pPr>
              <w:spacing w:line="260" w:lineRule="exact"/>
              <w:jc w:val="center"/>
              <w:textAlignment w:val="baseline"/>
              <w:rPr>
                <w:b/>
                <w:sz w:val="18"/>
                <w:szCs w:val="18"/>
              </w:rPr>
            </w:pPr>
            <w:r>
              <w:rPr>
                <w:rFonts w:hint="eastAsia"/>
                <w:b/>
                <w:sz w:val="18"/>
                <w:szCs w:val="18"/>
              </w:rPr>
              <w:t>暂估数量</w:t>
            </w:r>
          </w:p>
        </w:tc>
        <w:tc>
          <w:tcPr>
            <w:tcW w:w="1740" w:type="dxa"/>
            <w:gridSpan w:val="2"/>
            <w:vAlign w:val="center"/>
          </w:tcPr>
          <w:p>
            <w:pPr>
              <w:spacing w:line="260" w:lineRule="exact"/>
              <w:jc w:val="center"/>
              <w:textAlignment w:val="baseline"/>
              <w:rPr>
                <w:b/>
                <w:sz w:val="18"/>
                <w:szCs w:val="18"/>
              </w:rPr>
            </w:pPr>
            <w:r>
              <w:rPr>
                <w:rFonts w:hint="eastAsia"/>
                <w:b/>
                <w:sz w:val="18"/>
                <w:szCs w:val="18"/>
              </w:rPr>
              <w:t>含税到场限价</w:t>
            </w:r>
          </w:p>
        </w:tc>
        <w:tc>
          <w:tcPr>
            <w:tcW w:w="2145" w:type="dxa"/>
            <w:gridSpan w:val="2"/>
            <w:vAlign w:val="center"/>
          </w:tcPr>
          <w:p>
            <w:pPr>
              <w:spacing w:line="260" w:lineRule="exact"/>
              <w:jc w:val="center"/>
              <w:textAlignment w:val="baseline"/>
              <w:rPr>
                <w:b/>
                <w:sz w:val="18"/>
                <w:szCs w:val="18"/>
              </w:rPr>
            </w:pPr>
            <w:r>
              <w:rPr>
                <w:rFonts w:hint="eastAsia"/>
                <w:b/>
                <w:sz w:val="18"/>
                <w:szCs w:val="18"/>
              </w:rPr>
              <w:t>含税到场报价</w:t>
            </w:r>
          </w:p>
        </w:tc>
        <w:tc>
          <w:tcPr>
            <w:tcW w:w="2143" w:type="dxa"/>
            <w:vMerge w:val="restart"/>
            <w:vAlign w:val="center"/>
          </w:tcPr>
          <w:p>
            <w:pPr>
              <w:spacing w:line="260" w:lineRule="exact"/>
              <w:jc w:val="center"/>
              <w:textAlignment w:val="baseline"/>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89" w:type="dxa"/>
            <w:vMerge w:val="continue"/>
            <w:vAlign w:val="center"/>
          </w:tcPr>
          <w:p>
            <w:pPr>
              <w:spacing w:line="260" w:lineRule="exact"/>
              <w:jc w:val="center"/>
              <w:textAlignment w:val="baseline"/>
              <w:rPr>
                <w:sz w:val="18"/>
                <w:szCs w:val="18"/>
              </w:rPr>
            </w:pPr>
          </w:p>
        </w:tc>
        <w:tc>
          <w:tcPr>
            <w:tcW w:w="1038" w:type="dxa"/>
            <w:vMerge w:val="continue"/>
            <w:vAlign w:val="center"/>
          </w:tcPr>
          <w:p>
            <w:pPr>
              <w:spacing w:line="260" w:lineRule="exact"/>
              <w:jc w:val="center"/>
              <w:textAlignment w:val="baseline"/>
              <w:rPr>
                <w:sz w:val="18"/>
                <w:szCs w:val="18"/>
              </w:rPr>
            </w:pPr>
          </w:p>
        </w:tc>
        <w:tc>
          <w:tcPr>
            <w:tcW w:w="582" w:type="dxa"/>
            <w:vMerge w:val="continue"/>
            <w:vAlign w:val="center"/>
          </w:tcPr>
          <w:p>
            <w:pPr>
              <w:spacing w:line="260" w:lineRule="exact"/>
              <w:jc w:val="center"/>
              <w:textAlignment w:val="baseline"/>
              <w:rPr>
                <w:sz w:val="18"/>
                <w:szCs w:val="18"/>
              </w:rPr>
            </w:pPr>
          </w:p>
        </w:tc>
        <w:tc>
          <w:tcPr>
            <w:tcW w:w="1167" w:type="dxa"/>
            <w:vMerge w:val="continue"/>
            <w:vAlign w:val="center"/>
          </w:tcPr>
          <w:p>
            <w:pPr>
              <w:spacing w:line="260" w:lineRule="exact"/>
              <w:jc w:val="center"/>
              <w:textAlignment w:val="baseline"/>
              <w:rPr>
                <w:sz w:val="18"/>
                <w:szCs w:val="18"/>
              </w:rPr>
            </w:pPr>
          </w:p>
        </w:tc>
        <w:tc>
          <w:tcPr>
            <w:tcW w:w="660" w:type="dxa"/>
            <w:vAlign w:val="center"/>
          </w:tcPr>
          <w:p>
            <w:pPr>
              <w:spacing w:line="260" w:lineRule="exact"/>
              <w:jc w:val="center"/>
              <w:textAlignment w:val="baseline"/>
              <w:rPr>
                <w:b/>
                <w:sz w:val="18"/>
                <w:szCs w:val="18"/>
              </w:rPr>
            </w:pPr>
            <w:r>
              <w:rPr>
                <w:rFonts w:hint="eastAsia"/>
                <w:b/>
                <w:sz w:val="18"/>
                <w:szCs w:val="18"/>
              </w:rPr>
              <w:t>单价</w:t>
            </w:r>
          </w:p>
        </w:tc>
        <w:tc>
          <w:tcPr>
            <w:tcW w:w="1080" w:type="dxa"/>
            <w:vAlign w:val="center"/>
          </w:tcPr>
          <w:p>
            <w:pPr>
              <w:spacing w:line="260" w:lineRule="exact"/>
              <w:jc w:val="center"/>
              <w:textAlignment w:val="baseline"/>
              <w:rPr>
                <w:b/>
                <w:sz w:val="18"/>
                <w:szCs w:val="18"/>
              </w:rPr>
            </w:pPr>
            <w:r>
              <w:rPr>
                <w:rFonts w:hint="eastAsia"/>
                <w:b/>
                <w:sz w:val="18"/>
                <w:szCs w:val="18"/>
              </w:rPr>
              <w:t>合计金额</w:t>
            </w:r>
          </w:p>
        </w:tc>
        <w:tc>
          <w:tcPr>
            <w:tcW w:w="900" w:type="dxa"/>
            <w:vAlign w:val="center"/>
          </w:tcPr>
          <w:p>
            <w:pPr>
              <w:spacing w:line="260" w:lineRule="exact"/>
              <w:jc w:val="center"/>
              <w:textAlignment w:val="baseline"/>
              <w:rPr>
                <w:b/>
                <w:sz w:val="18"/>
                <w:szCs w:val="18"/>
              </w:rPr>
            </w:pPr>
            <w:r>
              <w:rPr>
                <w:rFonts w:hint="eastAsia"/>
                <w:b/>
                <w:sz w:val="18"/>
                <w:szCs w:val="18"/>
              </w:rPr>
              <w:t>单价</w:t>
            </w:r>
          </w:p>
        </w:tc>
        <w:tc>
          <w:tcPr>
            <w:tcW w:w="1245" w:type="dxa"/>
            <w:vAlign w:val="center"/>
          </w:tcPr>
          <w:p>
            <w:pPr>
              <w:spacing w:line="260" w:lineRule="exact"/>
              <w:jc w:val="center"/>
              <w:textAlignment w:val="baseline"/>
              <w:rPr>
                <w:b/>
                <w:sz w:val="18"/>
                <w:szCs w:val="18"/>
              </w:rPr>
            </w:pPr>
            <w:r>
              <w:rPr>
                <w:rFonts w:hint="eastAsia"/>
                <w:b/>
                <w:sz w:val="18"/>
                <w:szCs w:val="18"/>
              </w:rPr>
              <w:t>合计金额</w:t>
            </w:r>
          </w:p>
        </w:tc>
        <w:tc>
          <w:tcPr>
            <w:tcW w:w="2143" w:type="dxa"/>
            <w:vMerge w:val="continue"/>
            <w:vAlign w:val="center"/>
          </w:tcPr>
          <w:p>
            <w:pPr>
              <w:spacing w:line="260" w:lineRule="exact"/>
              <w:jc w:val="center"/>
              <w:textAlignment w:val="baseline"/>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89" w:type="dxa"/>
            <w:vAlign w:val="center"/>
          </w:tcPr>
          <w:p>
            <w:pPr>
              <w:widowControl/>
              <w:jc w:val="center"/>
              <w:textAlignment w:val="center"/>
              <w:rPr>
                <w:sz w:val="18"/>
                <w:szCs w:val="18"/>
              </w:rPr>
            </w:pPr>
            <w:r>
              <w:rPr>
                <w:rFonts w:hint="eastAsia" w:ascii="宋体" w:hAnsi="宋体" w:cs="宋体"/>
                <w:color w:val="000000"/>
                <w:kern w:val="0"/>
                <w:sz w:val="22"/>
                <w:szCs w:val="22"/>
                <w:lang w:bidi="ar"/>
              </w:rPr>
              <w:t>商品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混凝土</w:t>
            </w:r>
          </w:p>
        </w:tc>
        <w:tc>
          <w:tcPr>
            <w:tcW w:w="1038" w:type="dxa"/>
            <w:vAlign w:val="center"/>
          </w:tcPr>
          <w:p>
            <w:pPr>
              <w:spacing w:line="260" w:lineRule="exact"/>
              <w:jc w:val="center"/>
              <w:textAlignment w:val="baseline"/>
              <w:rPr>
                <w:sz w:val="18"/>
                <w:szCs w:val="18"/>
              </w:rPr>
            </w:pPr>
            <w:r>
              <w:rPr>
                <w:rFonts w:hint="eastAsia"/>
                <w:sz w:val="18"/>
                <w:szCs w:val="18"/>
              </w:rPr>
              <w:t>C30</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sz w:val="18"/>
                <w:szCs w:val="18"/>
              </w:rPr>
            </w:pPr>
            <w:r>
              <w:rPr>
                <w:rFonts w:hint="eastAsia"/>
                <w:sz w:val="18"/>
                <w:szCs w:val="18"/>
              </w:rPr>
              <w:t>1500</w:t>
            </w:r>
          </w:p>
        </w:tc>
        <w:tc>
          <w:tcPr>
            <w:tcW w:w="660" w:type="dxa"/>
            <w:vAlign w:val="center"/>
          </w:tcPr>
          <w:p>
            <w:pPr>
              <w:spacing w:line="260" w:lineRule="exact"/>
              <w:jc w:val="center"/>
              <w:textAlignment w:val="baseline"/>
              <w:rPr>
                <w:sz w:val="18"/>
                <w:szCs w:val="18"/>
              </w:rPr>
            </w:pPr>
            <w:r>
              <w:rPr>
                <w:rFonts w:hint="eastAsia"/>
                <w:sz w:val="18"/>
                <w:szCs w:val="18"/>
              </w:rPr>
              <w:t>610</w:t>
            </w:r>
          </w:p>
        </w:tc>
        <w:tc>
          <w:tcPr>
            <w:tcW w:w="1080" w:type="dxa"/>
            <w:vAlign w:val="center"/>
          </w:tcPr>
          <w:p>
            <w:pPr>
              <w:spacing w:line="260" w:lineRule="exact"/>
              <w:jc w:val="center"/>
              <w:textAlignment w:val="baseline"/>
              <w:rPr>
                <w:sz w:val="18"/>
                <w:szCs w:val="18"/>
              </w:rPr>
            </w:pPr>
            <w:r>
              <w:rPr>
                <w:rFonts w:hint="eastAsia"/>
                <w:sz w:val="18"/>
                <w:szCs w:val="18"/>
              </w:rPr>
              <w:t>915000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restart"/>
            <w:vAlign w:val="center"/>
          </w:tcPr>
          <w:p>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、采购数量为暂定数量，以实际发生为准。</w:t>
            </w:r>
          </w:p>
          <w:p>
            <w:pPr>
              <w:rPr>
                <w:rFonts w:hint="eastAsia"/>
                <w:sz w:val="18"/>
                <w:szCs w:val="16"/>
              </w:rPr>
            </w:pPr>
            <w:r>
              <w:rPr>
                <w:rFonts w:hint="eastAsia"/>
                <w:sz w:val="18"/>
                <w:szCs w:val="16"/>
                <w:lang w:val="en-US" w:eastAsia="zh-CN"/>
              </w:rPr>
              <w:t>2</w:t>
            </w:r>
            <w:r>
              <w:rPr>
                <w:rFonts w:hint="eastAsia"/>
                <w:sz w:val="18"/>
                <w:szCs w:val="16"/>
              </w:rPr>
              <w:t>、如甲方需使用乙方砼输送泵车进行泵送，每次使用数量≧ 50 m³时，按实际砼方量计泵送费，每次使用数量&lt;50 m³时，按50 m³计泵送费</w:t>
            </w:r>
          </w:p>
          <w:p>
            <w:pPr>
              <w:pStyle w:val="6"/>
              <w:rPr>
                <w:rFonts w:hint="default" w:ascii="Times New Roman" w:hAnsi="Times New Roman" w:eastAsia="宋体" w:cs="Times New Roman"/>
                <w:b w:val="0"/>
                <w:bCs w:val="0"/>
                <w:caps w:val="0"/>
                <w:kern w:val="2"/>
                <w:sz w:val="18"/>
                <w:szCs w:val="16"/>
                <w:lang w:val="en-US" w:eastAsia="zh-CN" w:bidi="ar-SA"/>
              </w:rPr>
            </w:pPr>
            <w:r>
              <w:rPr>
                <w:rFonts w:hint="eastAsia" w:ascii="Times New Roman" w:hAnsi="Times New Roman" w:cs="Times New Roman"/>
                <w:b w:val="0"/>
                <w:bCs w:val="0"/>
                <w:caps w:val="0"/>
                <w:kern w:val="2"/>
                <w:sz w:val="18"/>
                <w:szCs w:val="16"/>
                <w:lang w:val="en-US" w:eastAsia="zh-CN" w:bidi="ar-SA"/>
              </w:rPr>
              <w:t>3</w:t>
            </w:r>
            <w:r>
              <w:rPr>
                <w:rFonts w:hint="eastAsia" w:ascii="Times New Roman" w:hAnsi="Times New Roman" w:eastAsia="宋体" w:cs="Times New Roman"/>
                <w:b w:val="0"/>
                <w:bCs w:val="0"/>
                <w:caps w:val="0"/>
                <w:kern w:val="2"/>
                <w:sz w:val="18"/>
                <w:szCs w:val="16"/>
                <w:lang w:val="en-US" w:eastAsia="zh-CN" w:bidi="ar-SA"/>
              </w:rPr>
              <w:t>、C30使用部位：桩基、承台、系梁；C35使用部位：挡块；C40使用部位：墩身加固（微膨胀）</w:t>
            </w:r>
          </w:p>
          <w:p>
            <w:pPr>
              <w:spacing w:line="260" w:lineRule="exact"/>
              <w:jc w:val="left"/>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289" w:type="dxa"/>
            <w:vAlign w:val="center"/>
          </w:tcPr>
          <w:p>
            <w:pPr>
              <w:widowControl/>
              <w:jc w:val="center"/>
              <w:textAlignment w:val="center"/>
              <w:rPr>
                <w:sz w:val="18"/>
                <w:szCs w:val="18"/>
              </w:rPr>
            </w:pPr>
            <w:r>
              <w:rPr>
                <w:rFonts w:hint="eastAsia" w:ascii="宋体" w:hAnsi="宋体" w:cs="宋体"/>
                <w:color w:val="000000"/>
                <w:kern w:val="0"/>
                <w:sz w:val="22"/>
                <w:szCs w:val="22"/>
                <w:lang w:bidi="ar"/>
              </w:rPr>
              <w:t>商品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混凝土</w:t>
            </w:r>
          </w:p>
        </w:tc>
        <w:tc>
          <w:tcPr>
            <w:tcW w:w="1038" w:type="dxa"/>
            <w:vAlign w:val="center"/>
          </w:tcPr>
          <w:p>
            <w:pPr>
              <w:spacing w:line="260" w:lineRule="exact"/>
              <w:jc w:val="center"/>
              <w:textAlignment w:val="baseline"/>
              <w:rPr>
                <w:sz w:val="18"/>
                <w:szCs w:val="18"/>
              </w:rPr>
            </w:pPr>
            <w:r>
              <w:rPr>
                <w:rFonts w:hint="eastAsia"/>
                <w:sz w:val="18"/>
                <w:szCs w:val="18"/>
              </w:rPr>
              <w:t>C35</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sz w:val="18"/>
                <w:szCs w:val="18"/>
              </w:rPr>
            </w:pPr>
            <w:r>
              <w:rPr>
                <w:rFonts w:hint="eastAsia"/>
                <w:sz w:val="18"/>
                <w:szCs w:val="18"/>
              </w:rPr>
              <w:t>20</w:t>
            </w:r>
          </w:p>
        </w:tc>
        <w:tc>
          <w:tcPr>
            <w:tcW w:w="660" w:type="dxa"/>
            <w:vAlign w:val="center"/>
          </w:tcPr>
          <w:p>
            <w:pPr>
              <w:spacing w:line="260" w:lineRule="exact"/>
              <w:jc w:val="center"/>
              <w:textAlignment w:val="baseline"/>
              <w:rPr>
                <w:sz w:val="18"/>
                <w:szCs w:val="18"/>
              </w:rPr>
            </w:pPr>
            <w:r>
              <w:rPr>
                <w:rFonts w:hint="eastAsia"/>
                <w:sz w:val="18"/>
                <w:szCs w:val="18"/>
              </w:rPr>
              <w:t>630</w:t>
            </w:r>
          </w:p>
        </w:tc>
        <w:tc>
          <w:tcPr>
            <w:tcW w:w="1080" w:type="dxa"/>
            <w:vAlign w:val="center"/>
          </w:tcPr>
          <w:p>
            <w:pPr>
              <w:spacing w:line="260" w:lineRule="exact"/>
              <w:jc w:val="center"/>
              <w:textAlignment w:val="baseline"/>
              <w:rPr>
                <w:sz w:val="18"/>
                <w:szCs w:val="18"/>
              </w:rPr>
            </w:pPr>
            <w:r>
              <w:rPr>
                <w:rFonts w:hint="eastAsia"/>
                <w:sz w:val="18"/>
                <w:szCs w:val="18"/>
              </w:rPr>
              <w:t>12600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continue"/>
            <w:vAlign w:val="center"/>
          </w:tcPr>
          <w:p>
            <w:pPr>
              <w:spacing w:line="260" w:lineRule="exact"/>
              <w:jc w:val="left"/>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289" w:type="dxa"/>
            <w:vAlign w:val="center"/>
          </w:tcPr>
          <w:p>
            <w:pPr>
              <w:widowControl/>
              <w:jc w:val="center"/>
              <w:textAlignment w:val="center"/>
              <w:rPr>
                <w:sz w:val="18"/>
                <w:szCs w:val="18"/>
              </w:rPr>
            </w:pPr>
            <w:r>
              <w:rPr>
                <w:rFonts w:hint="eastAsia" w:ascii="宋体" w:hAnsi="宋体" w:cs="宋体"/>
                <w:color w:val="000000"/>
                <w:kern w:val="0"/>
                <w:sz w:val="22"/>
                <w:szCs w:val="22"/>
                <w:lang w:bidi="ar"/>
              </w:rPr>
              <w:t>商品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混凝土</w:t>
            </w:r>
          </w:p>
        </w:tc>
        <w:tc>
          <w:tcPr>
            <w:tcW w:w="1038" w:type="dxa"/>
            <w:vAlign w:val="center"/>
          </w:tcPr>
          <w:p>
            <w:pPr>
              <w:spacing w:line="260" w:lineRule="exact"/>
              <w:jc w:val="center"/>
              <w:textAlignment w:val="baseline"/>
              <w:rPr>
                <w:sz w:val="18"/>
                <w:szCs w:val="18"/>
              </w:rPr>
            </w:pPr>
            <w:r>
              <w:rPr>
                <w:rFonts w:hint="eastAsia"/>
                <w:sz w:val="18"/>
                <w:szCs w:val="18"/>
              </w:rPr>
              <w:t>C40</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sz w:val="18"/>
                <w:szCs w:val="18"/>
              </w:rPr>
            </w:pPr>
            <w:r>
              <w:rPr>
                <w:rFonts w:hint="eastAsia"/>
                <w:sz w:val="18"/>
                <w:szCs w:val="18"/>
              </w:rPr>
              <w:t>80</w:t>
            </w:r>
          </w:p>
        </w:tc>
        <w:tc>
          <w:tcPr>
            <w:tcW w:w="660" w:type="dxa"/>
            <w:vAlign w:val="center"/>
          </w:tcPr>
          <w:p>
            <w:pPr>
              <w:spacing w:line="260" w:lineRule="exact"/>
              <w:jc w:val="center"/>
              <w:textAlignment w:val="baseline"/>
              <w:rPr>
                <w:sz w:val="18"/>
                <w:szCs w:val="18"/>
              </w:rPr>
            </w:pPr>
            <w:r>
              <w:rPr>
                <w:rFonts w:hint="eastAsia"/>
                <w:sz w:val="18"/>
                <w:szCs w:val="18"/>
              </w:rPr>
              <w:t>670</w:t>
            </w:r>
          </w:p>
        </w:tc>
        <w:tc>
          <w:tcPr>
            <w:tcW w:w="1080" w:type="dxa"/>
            <w:vAlign w:val="center"/>
          </w:tcPr>
          <w:p>
            <w:pPr>
              <w:spacing w:line="260" w:lineRule="exact"/>
              <w:jc w:val="center"/>
              <w:textAlignment w:val="baseline"/>
              <w:rPr>
                <w:sz w:val="18"/>
                <w:szCs w:val="18"/>
              </w:rPr>
            </w:pPr>
            <w:r>
              <w:rPr>
                <w:rFonts w:hint="eastAsia"/>
                <w:sz w:val="18"/>
                <w:szCs w:val="18"/>
              </w:rPr>
              <w:t>53600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continue"/>
            <w:vAlign w:val="center"/>
          </w:tcPr>
          <w:p>
            <w:pPr>
              <w:spacing w:line="260" w:lineRule="exact"/>
              <w:jc w:val="left"/>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289" w:type="dxa"/>
            <w:vAlign w:val="center"/>
          </w:tcPr>
          <w:p>
            <w:pPr>
              <w:widowControl/>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混凝土泵送设备</w:t>
            </w:r>
          </w:p>
          <w:p>
            <w:pPr>
              <w:widowControl/>
              <w:jc w:val="center"/>
              <w:textAlignment w:val="center"/>
              <w:rPr>
                <w:rFonts w:hint="eastAsia" w:eastAsia="宋体"/>
                <w:color w:val="FF0000"/>
                <w:sz w:val="18"/>
                <w:szCs w:val="18"/>
                <w:lang w:eastAsia="zh-CN"/>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val="en-US" w:eastAsia="zh-CN" w:bidi="ar"/>
              </w:rPr>
              <w:t>地泵</w:t>
            </w:r>
            <w:r>
              <w:rPr>
                <w:rFonts w:hint="eastAsia" w:ascii="宋体" w:hAnsi="宋体" w:cs="宋体"/>
                <w:color w:val="auto"/>
                <w:kern w:val="0"/>
                <w:sz w:val="22"/>
                <w:szCs w:val="22"/>
                <w:lang w:eastAsia="zh-CN" w:bidi="ar"/>
              </w:rPr>
              <w:t>）</w:t>
            </w:r>
          </w:p>
        </w:tc>
        <w:tc>
          <w:tcPr>
            <w:tcW w:w="1038" w:type="dxa"/>
            <w:vAlign w:val="center"/>
          </w:tcPr>
          <w:p>
            <w:pPr>
              <w:spacing w:line="260" w:lineRule="exact"/>
              <w:jc w:val="center"/>
              <w:textAlignment w:val="baseline"/>
              <w:rPr>
                <w:sz w:val="18"/>
                <w:szCs w:val="18"/>
              </w:rPr>
            </w:pPr>
            <w:r>
              <w:rPr>
                <w:rFonts w:hint="eastAsia"/>
                <w:sz w:val="18"/>
                <w:szCs w:val="18"/>
              </w:rPr>
              <w:t>无</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sz w:val="18"/>
                <w:szCs w:val="18"/>
              </w:rPr>
            </w:pPr>
            <w:r>
              <w:rPr>
                <w:rFonts w:hint="eastAsia"/>
                <w:sz w:val="18"/>
                <w:szCs w:val="18"/>
              </w:rPr>
              <w:t>1500</w:t>
            </w:r>
          </w:p>
        </w:tc>
        <w:tc>
          <w:tcPr>
            <w:tcW w:w="660" w:type="dxa"/>
            <w:vAlign w:val="center"/>
          </w:tcPr>
          <w:p>
            <w:pPr>
              <w:spacing w:line="260" w:lineRule="exact"/>
              <w:jc w:val="center"/>
              <w:textAlignment w:val="baseline"/>
              <w:rPr>
                <w:sz w:val="18"/>
                <w:szCs w:val="18"/>
              </w:rPr>
            </w:pPr>
            <w:r>
              <w:rPr>
                <w:rFonts w:hint="eastAsia"/>
                <w:sz w:val="18"/>
                <w:szCs w:val="18"/>
              </w:rPr>
              <w:t>35</w:t>
            </w:r>
          </w:p>
        </w:tc>
        <w:tc>
          <w:tcPr>
            <w:tcW w:w="1080" w:type="dxa"/>
            <w:vAlign w:val="center"/>
          </w:tcPr>
          <w:p>
            <w:pPr>
              <w:spacing w:line="260" w:lineRule="exact"/>
              <w:jc w:val="center"/>
              <w:textAlignment w:val="baseline"/>
              <w:rPr>
                <w:sz w:val="18"/>
                <w:szCs w:val="18"/>
              </w:rPr>
            </w:pPr>
            <w:r>
              <w:rPr>
                <w:rFonts w:hint="eastAsia"/>
                <w:sz w:val="18"/>
                <w:szCs w:val="18"/>
              </w:rPr>
              <w:t>52500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continue"/>
            <w:vAlign w:val="center"/>
          </w:tcPr>
          <w:p>
            <w:pPr>
              <w:spacing w:line="260" w:lineRule="exact"/>
              <w:jc w:val="left"/>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76" w:type="dxa"/>
            <w:gridSpan w:val="4"/>
            <w:vAlign w:val="center"/>
          </w:tcPr>
          <w:p>
            <w:pPr>
              <w:widowControl/>
              <w:spacing w:line="260" w:lineRule="exact"/>
              <w:jc w:val="center"/>
              <w:textAlignment w:val="center"/>
              <w:rPr>
                <w:rFonts w:ascii="宋体" w:hAnsi="宋体" w:cs="宋体"/>
                <w:kern w:val="0"/>
                <w:sz w:val="18"/>
                <w:szCs w:val="18"/>
                <w:lang w:bidi="ar"/>
              </w:rPr>
            </w:pPr>
            <w:r>
              <w:rPr>
                <w:rFonts w:hint="eastAsia"/>
                <w:sz w:val="18"/>
                <w:szCs w:val="18"/>
              </w:rPr>
              <w:t>最高总限价</w:t>
            </w:r>
          </w:p>
        </w:tc>
        <w:tc>
          <w:tcPr>
            <w:tcW w:w="6028" w:type="dxa"/>
            <w:gridSpan w:val="5"/>
            <w:vAlign w:val="center"/>
          </w:tcPr>
          <w:p>
            <w:pPr>
              <w:spacing w:line="260" w:lineRule="exact"/>
              <w:jc w:val="center"/>
              <w:textAlignment w:val="baseline"/>
              <w:rPr>
                <w:sz w:val="18"/>
                <w:szCs w:val="18"/>
              </w:rPr>
            </w:pPr>
            <w:r>
              <w:rPr>
                <w:rFonts w:hint="eastAsia"/>
                <w:b/>
                <w:bCs/>
                <w:sz w:val="18"/>
                <w:szCs w:val="18"/>
                <w:u w:val="single"/>
              </w:rPr>
              <w:t xml:space="preserve">1033700 </w:t>
            </w:r>
            <w:r>
              <w:rPr>
                <w:rFonts w:hint="eastAsia"/>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76" w:type="dxa"/>
            <w:gridSpan w:val="4"/>
            <w:vAlign w:val="center"/>
          </w:tcPr>
          <w:p>
            <w:pPr>
              <w:widowControl/>
              <w:spacing w:line="260" w:lineRule="exact"/>
              <w:jc w:val="center"/>
              <w:textAlignment w:val="center"/>
              <w:rPr>
                <w:rFonts w:ascii="宋体" w:hAnsi="宋体" w:cs="宋体"/>
                <w:kern w:val="0"/>
                <w:sz w:val="18"/>
                <w:szCs w:val="18"/>
                <w:lang w:bidi="ar"/>
              </w:rPr>
            </w:pPr>
            <w:r>
              <w:rPr>
                <w:rFonts w:hint="eastAsia"/>
                <w:sz w:val="18"/>
                <w:szCs w:val="18"/>
              </w:rPr>
              <w:t>竞标总报价</w:t>
            </w:r>
          </w:p>
        </w:tc>
        <w:tc>
          <w:tcPr>
            <w:tcW w:w="6028" w:type="dxa"/>
            <w:gridSpan w:val="5"/>
            <w:vAlign w:val="center"/>
          </w:tcPr>
          <w:p>
            <w:pPr>
              <w:spacing w:line="260" w:lineRule="exact"/>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11104" w:type="dxa"/>
            <w:gridSpan w:val="9"/>
            <w:vAlign w:val="center"/>
          </w:tcPr>
          <w:p>
            <w:pPr>
              <w:spacing w:line="260" w:lineRule="exact"/>
              <w:textAlignment w:val="baseline"/>
              <w:rPr>
                <w:rFonts w:hint="eastAsia" w:ascii="宋体" w:hAnsi="宋体" w:eastAsia="宋体" w:cs="宋体"/>
                <w:sz w:val="20"/>
                <w:highlight w:val="none"/>
                <w:shd w:val="clear" w:color="auto" w:fill="FFFFFF"/>
              </w:rPr>
            </w:pPr>
            <w:r>
              <w:rPr>
                <w:rFonts w:hint="eastAsia" w:ascii="宋体" w:hAnsi="宋体" w:cs="宋体"/>
                <w:sz w:val="20"/>
                <w:shd w:val="clear" w:color="auto" w:fill="FFFFFF"/>
              </w:rPr>
              <w:t>注：本竞争性比选文件约定的材料价格为竞争性比选，单价为含税到场价（包含运输费、材料费、保险、税金、通行费、合理损耗、间接费、运杂费、利润、规费、物价上涨、安全措施费、装车费等在内的各种费用以及合同明示或暗示的所有责任、义务和一般风险），运送至比选人指定的施工现场，报价请保留两位小数。暂估量仅作为评标的依据与基础，比选人根据开标结果与成交单位签订材料供应单价合同。各规格型号材料实际采购数量以比选人最终需求数量为准，比选申请</w:t>
            </w:r>
            <w:r>
              <w:rPr>
                <w:rFonts w:hint="eastAsia" w:ascii="宋体" w:hAnsi="宋体" w:eastAsia="宋体" w:cs="宋体"/>
                <w:sz w:val="20"/>
                <w:highlight w:val="none"/>
                <w:shd w:val="clear" w:color="auto" w:fill="FFFFFF"/>
              </w:rPr>
              <w:t>人不得以此当做单价变更的任何条件。</w:t>
            </w:r>
          </w:p>
          <w:p>
            <w:pPr>
              <w:spacing w:line="260" w:lineRule="exact"/>
              <w:textAlignment w:val="baseline"/>
              <w:rPr>
                <w:rFonts w:hint="eastAsia" w:ascii="宋体" w:hAnsi="宋体" w:eastAsia="宋体" w:cs="宋体"/>
                <w:sz w:val="20"/>
                <w:highlight w:val="none"/>
                <w:shd w:val="clear" w:color="auto" w:fill="FFFFFF"/>
              </w:rPr>
            </w:pPr>
            <w:r>
              <w:rPr>
                <w:rFonts w:hint="eastAsia" w:ascii="宋体" w:hAnsi="宋体" w:eastAsia="宋体" w:cs="宋体"/>
                <w:sz w:val="20"/>
                <w:highlight w:val="none"/>
                <w:shd w:val="clear" w:color="auto" w:fill="FFFFFF"/>
              </w:rPr>
              <w:t>1、表中价格为</w:t>
            </w:r>
            <w:r>
              <w:rPr>
                <w:rFonts w:hint="eastAsia" w:ascii="宋体" w:hAnsi="宋体" w:eastAsia="宋体" w:cs="宋体"/>
                <w:b/>
                <w:bCs/>
                <w:sz w:val="20"/>
                <w:highlight w:val="none"/>
                <w:u w:val="single"/>
                <w:shd w:val="clear" w:color="auto" w:fill="FFFFFF"/>
              </w:rPr>
              <w:t>固定含税综合单价</w:t>
            </w:r>
            <w:r>
              <w:rPr>
                <w:rFonts w:hint="eastAsia" w:ascii="宋体" w:hAnsi="宋体" w:eastAsia="宋体" w:cs="宋体"/>
                <w:sz w:val="20"/>
                <w:highlight w:val="none"/>
                <w:shd w:val="clear" w:color="auto" w:fill="FFFFFF"/>
              </w:rPr>
              <w:t>，项目实施过程不予调价，比选申请人须充分考虑相关风险后进行报价。</w:t>
            </w:r>
          </w:p>
          <w:p>
            <w:pPr>
              <w:spacing w:line="260" w:lineRule="exact"/>
              <w:textAlignment w:val="baseline"/>
              <w:rPr>
                <w:rFonts w:hint="eastAsia" w:ascii="宋体" w:hAnsi="宋体" w:eastAsia="宋体" w:cs="宋体"/>
                <w:sz w:val="20"/>
                <w:highlight w:val="none"/>
                <w:shd w:val="clear" w:color="auto" w:fill="FFFFFF"/>
              </w:rPr>
            </w:pPr>
            <w:r>
              <w:rPr>
                <w:rFonts w:hint="eastAsia" w:ascii="宋体" w:hAnsi="宋体" w:eastAsia="宋体" w:cs="宋体"/>
                <w:sz w:val="20"/>
                <w:highlight w:val="none"/>
                <w:shd w:val="clear" w:color="auto" w:fill="FFFFFF"/>
              </w:rPr>
              <w:t>2、支付方式</w:t>
            </w:r>
            <w:r>
              <w:rPr>
                <w:rFonts w:hint="eastAsia" w:ascii="宋体" w:hAnsi="宋体" w:eastAsia="宋体" w:cs="宋体"/>
                <w:sz w:val="20"/>
                <w:highlight w:val="none"/>
                <w:shd w:val="clear" w:color="auto" w:fill="FFFFFF"/>
                <w:lang w:val="en-US" w:eastAsia="zh-CN"/>
              </w:rPr>
              <w:t>详见合同第九条、结算方式及期限</w:t>
            </w:r>
            <w:r>
              <w:rPr>
                <w:rFonts w:hint="eastAsia" w:ascii="宋体" w:hAnsi="宋体" w:eastAsia="宋体" w:cs="宋体"/>
                <w:sz w:val="20"/>
                <w:highlight w:val="none"/>
                <w:shd w:val="clear" w:color="auto" w:fill="FFFFFF"/>
              </w:rPr>
              <w:t xml:space="preserve">。 </w:t>
            </w:r>
          </w:p>
          <w:p>
            <w:pPr>
              <w:spacing w:line="260" w:lineRule="exact"/>
              <w:textAlignment w:val="baseline"/>
              <w:rPr>
                <w:rFonts w:ascii="_5b8b_4f53" w:hAnsi="_5b8b_4f53" w:eastAsia="_5b8b_4f53" w:cs="_5b8b_4f53"/>
                <w:sz w:val="20"/>
                <w:highlight w:val="none"/>
                <w:shd w:val="clear" w:color="auto" w:fill="FFFFFF"/>
              </w:rPr>
            </w:pPr>
            <w:r>
              <w:rPr>
                <w:rFonts w:hint="eastAsia" w:ascii="宋体" w:hAnsi="宋体" w:eastAsia="宋体" w:cs="宋体"/>
                <w:sz w:val="20"/>
                <w:highlight w:val="none"/>
                <w:shd w:val="clear" w:color="auto" w:fill="FFFFFF"/>
                <w:lang w:val="en-US" w:eastAsia="zh-CN"/>
              </w:rPr>
              <w:t>3</w:t>
            </w:r>
            <w:r>
              <w:rPr>
                <w:rFonts w:hint="eastAsia" w:ascii="宋体" w:hAnsi="宋体" w:eastAsia="宋体" w:cs="宋体"/>
                <w:sz w:val="20"/>
                <w:highlight w:val="none"/>
                <w:shd w:val="clear" w:color="auto" w:fill="FFFFFF"/>
              </w:rPr>
              <w:t>、本工程工期预计为中标之日起至202</w:t>
            </w:r>
            <w:r>
              <w:rPr>
                <w:rFonts w:hint="eastAsia" w:ascii="宋体" w:hAnsi="宋体" w:eastAsia="宋体" w:cs="宋体"/>
                <w:sz w:val="20"/>
                <w:highlight w:val="none"/>
                <w:shd w:val="clear" w:color="auto" w:fill="FFFFFF"/>
                <w:lang w:val="en-US" w:eastAsia="zh-CN"/>
              </w:rPr>
              <w:t>2</w:t>
            </w:r>
            <w:r>
              <w:rPr>
                <w:rFonts w:hint="eastAsia" w:ascii="宋体" w:hAnsi="宋体" w:eastAsia="宋体" w:cs="宋体"/>
                <w:sz w:val="20"/>
                <w:highlight w:val="none"/>
                <w:shd w:val="clear" w:color="auto" w:fill="FFFFFF"/>
              </w:rPr>
              <w:t>年</w:t>
            </w:r>
            <w:r>
              <w:rPr>
                <w:rFonts w:hint="eastAsia" w:ascii="宋体" w:hAnsi="宋体" w:cs="宋体"/>
                <w:sz w:val="20"/>
                <w:highlight w:val="none"/>
                <w:shd w:val="clear" w:color="auto" w:fill="FFFFFF"/>
                <w:lang w:val="en-US" w:eastAsia="zh-CN"/>
              </w:rPr>
              <w:t>7</w:t>
            </w:r>
            <w:r>
              <w:rPr>
                <w:rFonts w:hint="eastAsia" w:ascii="宋体" w:hAnsi="宋体" w:eastAsia="宋体" w:cs="宋体"/>
                <w:sz w:val="20"/>
                <w:highlight w:val="none"/>
                <w:shd w:val="clear" w:color="auto" w:fill="FFFFFF"/>
              </w:rPr>
              <w:t>月3</w:t>
            </w:r>
            <w:r>
              <w:rPr>
                <w:rFonts w:hint="eastAsia" w:ascii="宋体" w:hAnsi="宋体" w:cs="宋体"/>
                <w:sz w:val="20"/>
                <w:highlight w:val="none"/>
                <w:shd w:val="clear" w:color="auto" w:fill="FFFFFF"/>
                <w:lang w:val="en-US" w:eastAsia="zh-CN"/>
              </w:rPr>
              <w:t>1</w:t>
            </w:r>
            <w:r>
              <w:rPr>
                <w:rFonts w:hint="eastAsia" w:ascii="宋体" w:hAnsi="宋体" w:cs="宋体"/>
                <w:sz w:val="20"/>
                <w:highlight w:val="none"/>
                <w:shd w:val="clear" w:color="auto" w:fill="FFFFFF"/>
              </w:rPr>
              <w:t>日，具</w:t>
            </w:r>
            <w:r>
              <w:rPr>
                <w:rFonts w:hint="eastAsia" w:ascii="宋体" w:hAnsi="宋体" w:cs="宋体"/>
                <w:sz w:val="20"/>
                <w:shd w:val="clear" w:color="auto" w:fill="FFFFFF"/>
              </w:rPr>
              <w:t>体以项目工期要求为准，比选申请人必须保证</w:t>
            </w:r>
            <w:r>
              <w:rPr>
                <w:rFonts w:hint="eastAsia" w:ascii="宋体" w:hAnsi="宋体" w:cs="宋体"/>
                <w:sz w:val="20"/>
                <w:highlight w:val="none"/>
                <w:shd w:val="clear" w:color="auto" w:fill="FFFFFF"/>
              </w:rPr>
              <w:t>比选人</w:t>
            </w:r>
            <w:r>
              <w:rPr>
                <w:rFonts w:hint="eastAsia" w:ascii="宋体" w:hAnsi="宋体" w:cs="宋体"/>
                <w:sz w:val="20"/>
                <w:highlight w:val="none"/>
                <w:shd w:val="clear" w:color="auto" w:fill="FFFFFF"/>
                <w:lang w:val="en-US" w:eastAsia="zh-CN"/>
              </w:rPr>
              <w:t>商品混凝土</w:t>
            </w:r>
            <w:r>
              <w:rPr>
                <w:rFonts w:hint="eastAsia" w:ascii="宋体" w:hAnsi="宋体" w:cs="宋体"/>
                <w:sz w:val="20"/>
                <w:highlight w:val="none"/>
                <w:shd w:val="clear" w:color="auto" w:fill="FFFFFF"/>
              </w:rPr>
              <w:t>的供应及时，比选人一般提前24小时以电话（短信）通知计划用量。</w:t>
            </w:r>
          </w:p>
          <w:p>
            <w:pPr>
              <w:spacing w:line="260" w:lineRule="exact"/>
              <w:textAlignment w:val="baseline"/>
              <w:rPr>
                <w:rFonts w:hint="eastAsia" w:ascii="宋体" w:hAnsi="宋体" w:cs="宋体"/>
                <w:sz w:val="20"/>
                <w:highlight w:val="none"/>
                <w:shd w:val="clear" w:color="auto" w:fill="FFFFFF"/>
                <w:lang w:eastAsia="zh-CN"/>
              </w:rPr>
            </w:pPr>
            <w:r>
              <w:rPr>
                <w:rFonts w:hint="eastAsia" w:ascii="宋体" w:hAnsi="宋体" w:cs="宋体"/>
                <w:b/>
                <w:bCs/>
                <w:sz w:val="20"/>
                <w:highlight w:val="none"/>
                <w:shd w:val="clear" w:color="auto" w:fill="FFFFFF"/>
                <w:lang w:val="en-US" w:eastAsia="zh-CN"/>
              </w:rPr>
              <w:t>4</w:t>
            </w:r>
            <w:r>
              <w:rPr>
                <w:rFonts w:hint="eastAsia" w:ascii="宋体" w:hAnsi="宋体" w:cs="宋体"/>
                <w:b/>
                <w:bCs/>
                <w:sz w:val="20"/>
                <w:highlight w:val="none"/>
                <w:shd w:val="clear" w:color="auto" w:fill="FFFFFF"/>
              </w:rPr>
              <w:t>、</w:t>
            </w:r>
            <w:r>
              <w:rPr>
                <w:rFonts w:hint="eastAsia" w:ascii="宋体" w:hAnsi="宋体" w:cs="宋体"/>
                <w:sz w:val="20"/>
                <w:highlight w:val="none"/>
                <w:shd w:val="clear" w:color="auto" w:fill="FFFFFF"/>
              </w:rPr>
              <w:t>本工程为高速公路作业，比选申请人需服从比选人的交通作业指挥。比选人指定的交货地点：</w:t>
            </w:r>
            <w:r>
              <w:rPr>
                <w:rFonts w:hint="eastAsia" w:ascii="宋体" w:hAnsi="宋体" w:eastAsia="宋体" w:cs="宋体"/>
                <w:b/>
                <w:bCs/>
                <w:sz w:val="20"/>
                <w:highlight w:val="none"/>
                <w:u w:val="single"/>
                <w:shd w:val="clear" w:color="auto" w:fill="FFFFFF"/>
              </w:rPr>
              <w:t>G42沪蓉高速奉（节）云（阳）段杨柳坪大桥</w:t>
            </w:r>
            <w:r>
              <w:rPr>
                <w:rFonts w:hint="eastAsia" w:ascii="宋体" w:hAnsi="宋体" w:eastAsia="宋体" w:cs="宋体"/>
                <w:b/>
                <w:bCs/>
                <w:sz w:val="20"/>
                <w:highlight w:val="none"/>
                <w:u w:val="single"/>
                <w:shd w:val="clear" w:color="auto" w:fill="FFFFFF"/>
                <w:lang w:val="en-US" w:eastAsia="zh-CN"/>
              </w:rPr>
              <w:t>桥下便道</w:t>
            </w:r>
            <w:r>
              <w:rPr>
                <w:rFonts w:hint="eastAsia" w:ascii="宋体" w:hAnsi="宋体" w:cs="宋体"/>
                <w:sz w:val="20"/>
                <w:highlight w:val="none"/>
                <w:shd w:val="clear" w:color="auto" w:fill="FFFFFF"/>
              </w:rPr>
              <w:t>（</w:t>
            </w:r>
            <w:r>
              <w:rPr>
                <w:rFonts w:hint="eastAsia" w:ascii="Times New Roman" w:hAnsi="Times New Roman" w:eastAsia="宋体" w:cs="Times New Roman"/>
                <w:b w:val="0"/>
                <w:bCs w:val="0"/>
                <w:caps w:val="0"/>
                <w:kern w:val="2"/>
                <w:sz w:val="21"/>
                <w:lang w:val="en-US" w:eastAsia="zh-CN" w:bidi="ar-SA"/>
              </w:rPr>
              <w:t>（通过附近市政道路及施工便道运送至杨柳坪大桥桥下施工现场，商品砼运输路径非高速公路。</w:t>
            </w:r>
            <w:r>
              <w:rPr>
                <w:rFonts w:hint="eastAsia" w:ascii="宋体" w:hAnsi="宋体" w:cs="宋体"/>
                <w:sz w:val="20"/>
                <w:highlight w:val="none"/>
                <w:shd w:val="clear" w:color="auto" w:fill="FFFFFF"/>
                <w:lang w:eastAsia="zh-CN"/>
              </w:rPr>
              <w:t>）</w:t>
            </w:r>
          </w:p>
          <w:p>
            <w:pPr>
              <w:spacing w:line="260" w:lineRule="exact"/>
              <w:textAlignment w:val="baseline"/>
              <w:rPr>
                <w:sz w:val="18"/>
                <w:szCs w:val="18"/>
              </w:rPr>
            </w:pPr>
            <w:r>
              <w:rPr>
                <w:rFonts w:hint="eastAsia" w:ascii="宋体" w:hAnsi="宋体" w:cs="宋体"/>
                <w:b/>
                <w:bCs/>
                <w:sz w:val="20"/>
                <w:highlight w:val="none"/>
                <w:shd w:val="clear" w:color="auto" w:fill="FFFFFF"/>
                <w:lang w:val="en-US" w:eastAsia="zh-CN"/>
              </w:rPr>
              <w:t>5</w:t>
            </w:r>
            <w:r>
              <w:rPr>
                <w:rFonts w:hint="eastAsia" w:ascii="宋体" w:hAnsi="宋体" w:cs="宋体"/>
                <w:b/>
                <w:bCs/>
                <w:sz w:val="20"/>
                <w:highlight w:val="none"/>
                <w:shd w:val="clear" w:color="auto" w:fill="FFFFFF"/>
              </w:rPr>
              <w:t>、</w:t>
            </w:r>
            <w:r>
              <w:rPr>
                <w:rFonts w:hint="eastAsia" w:ascii="宋体" w:hAnsi="宋体" w:cs="宋体"/>
                <w:sz w:val="20"/>
                <w:highlight w:val="none"/>
                <w:shd w:val="clear" w:color="auto" w:fill="FFFFFF"/>
              </w:rPr>
              <w:t>上述报价为税后价，比选申请人应提供合法有效且符合比选人要求的增值税专用发票（开票方式为到场单价一票制，运输费等相关费用不再单独开具发票）。开具增值税专用发票和账单，注明比选人所用材料规格型号、方量、单价、总金额。材料结算单价和发票单价必须一致，抵扣税率为</w:t>
            </w:r>
            <w:r>
              <w:rPr>
                <w:rFonts w:hint="eastAsia" w:ascii="宋体" w:hAnsi="宋体" w:cs="宋体"/>
                <w:b/>
                <w:bCs/>
                <w:sz w:val="20"/>
                <w:highlight w:val="none"/>
                <w:u w:val="single"/>
                <w:shd w:val="clear" w:color="auto" w:fill="FFFFFF"/>
              </w:rPr>
              <w:t>3</w:t>
            </w:r>
            <w:r>
              <w:rPr>
                <w:rFonts w:hint="eastAsia" w:ascii="_5b8b_4f53" w:hAnsi="_5b8b_4f53" w:eastAsia="_5b8b_4f53" w:cs="_5b8b_4f53"/>
                <w:b/>
                <w:bCs/>
                <w:sz w:val="20"/>
                <w:highlight w:val="none"/>
                <w:u w:val="single"/>
                <w:shd w:val="clear" w:color="auto" w:fill="FFFFFF"/>
              </w:rPr>
              <w:t>%</w:t>
            </w:r>
            <w:r>
              <w:rPr>
                <w:rFonts w:hint="eastAsia" w:ascii="宋体" w:hAnsi="宋体" w:cs="宋体"/>
                <w:sz w:val="20"/>
                <w:highlight w:val="none"/>
                <w:shd w:val="clear" w:color="auto" w:fill="FFFFFF"/>
              </w:rPr>
              <w:t>。</w:t>
            </w:r>
          </w:p>
        </w:tc>
      </w:tr>
    </w:tbl>
    <w:p>
      <w:pPr>
        <w:spacing w:line="480" w:lineRule="exact"/>
        <w:ind w:firstLine="2880" w:firstLineChars="1200"/>
        <w:jc w:val="left"/>
        <w:rPr>
          <w:sz w:val="24"/>
          <w:szCs w:val="28"/>
          <w:u w:val="single"/>
        </w:rPr>
      </w:pPr>
      <w:r>
        <w:rPr>
          <w:rFonts w:hint="eastAsia"/>
          <w:sz w:val="24"/>
          <w:szCs w:val="28"/>
        </w:rPr>
        <w:t>比选申请人（盖单位公章）：</w:t>
      </w:r>
      <w:r>
        <w:rPr>
          <w:rFonts w:hint="eastAsia"/>
          <w:sz w:val="24"/>
          <w:szCs w:val="24"/>
        </w:rPr>
        <w:t>___________________</w:t>
      </w:r>
      <w:r>
        <w:rPr>
          <w:rFonts w:hint="eastAsia"/>
          <w:sz w:val="24"/>
          <w:szCs w:val="28"/>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spacing w:line="480" w:lineRule="exact"/>
        <w:ind w:firstLine="240" w:firstLineChars="100"/>
        <w:jc w:val="right"/>
      </w:pPr>
      <w:r>
        <w:rPr>
          <w:rFonts w:hint="eastAsia"/>
          <w:sz w:val="24"/>
          <w:szCs w:val="28"/>
        </w:rPr>
        <w:t>日期：   年    月    日</w:t>
      </w:r>
    </w:p>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896E9"/>
    <w:multiLevelType w:val="singleLevel"/>
    <w:tmpl w:val="892896E9"/>
    <w:lvl w:ilvl="0" w:tentative="0">
      <w:start w:val="1"/>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320C029B"/>
    <w:multiLevelType w:val="singleLevel"/>
    <w:tmpl w:val="320C029B"/>
    <w:lvl w:ilvl="0" w:tentative="0">
      <w:start w:val="9"/>
      <w:numFmt w:val="chineseCounting"/>
      <w:suff w:val="nothing"/>
      <w:lvlText w:val="（%1）"/>
      <w:lvlJc w:val="left"/>
      <w:rPr>
        <w:rFonts w:hint="eastAsia"/>
      </w:r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A1550"/>
    <w:rsid w:val="001D1C54"/>
    <w:rsid w:val="00213A12"/>
    <w:rsid w:val="004C5189"/>
    <w:rsid w:val="009A6B3D"/>
    <w:rsid w:val="017C0232"/>
    <w:rsid w:val="02224073"/>
    <w:rsid w:val="0CE0261E"/>
    <w:rsid w:val="0D6231C7"/>
    <w:rsid w:val="0EC67291"/>
    <w:rsid w:val="0F394DC8"/>
    <w:rsid w:val="0F843BEA"/>
    <w:rsid w:val="121A7883"/>
    <w:rsid w:val="12E86320"/>
    <w:rsid w:val="132803FF"/>
    <w:rsid w:val="176725E7"/>
    <w:rsid w:val="1EB61874"/>
    <w:rsid w:val="1FA83694"/>
    <w:rsid w:val="20083813"/>
    <w:rsid w:val="25DB0988"/>
    <w:rsid w:val="283326B3"/>
    <w:rsid w:val="283C5022"/>
    <w:rsid w:val="290822BE"/>
    <w:rsid w:val="294A4CB3"/>
    <w:rsid w:val="2AE94D8E"/>
    <w:rsid w:val="2EF857AD"/>
    <w:rsid w:val="2F5C6AA1"/>
    <w:rsid w:val="2F837332"/>
    <w:rsid w:val="332E2493"/>
    <w:rsid w:val="349A1550"/>
    <w:rsid w:val="36DE286A"/>
    <w:rsid w:val="37FD501A"/>
    <w:rsid w:val="39AF0E40"/>
    <w:rsid w:val="3DF67564"/>
    <w:rsid w:val="43B44BF3"/>
    <w:rsid w:val="43C91EF3"/>
    <w:rsid w:val="4BCB5E91"/>
    <w:rsid w:val="51C501F0"/>
    <w:rsid w:val="51FC6627"/>
    <w:rsid w:val="53481756"/>
    <w:rsid w:val="53FC1A4E"/>
    <w:rsid w:val="55877B5D"/>
    <w:rsid w:val="5DB6074F"/>
    <w:rsid w:val="5FA212FF"/>
    <w:rsid w:val="62CF347D"/>
    <w:rsid w:val="6A6D1720"/>
    <w:rsid w:val="6B9569F6"/>
    <w:rsid w:val="6CC771BC"/>
    <w:rsid w:val="6E2B15E2"/>
    <w:rsid w:val="750C58CE"/>
    <w:rsid w:val="75A730DE"/>
    <w:rsid w:val="787C2BD1"/>
    <w:rsid w:val="7AA5772A"/>
    <w:rsid w:val="7F485CB7"/>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b/>
      <w:bCs/>
      <w:caps/>
      <w:sz w:val="20"/>
    </w:rPr>
  </w:style>
  <w:style w:type="paragraph" w:customStyle="1" w:styleId="9">
    <w:name w:val="无间隔1"/>
    <w:qFormat/>
    <w:uiPriority w:val="1"/>
    <w:pPr>
      <w:jc w:val="both"/>
    </w:pPr>
    <w:rPr>
      <w:rFonts w:ascii="Times New Roman" w:hAnsi="Times New Roman" w:eastAsia="Times New Roman" w:cs="Times New Roman"/>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12651</Words>
  <Characters>13436</Characters>
  <Lines>106</Lines>
  <Paragraphs>29</Paragraphs>
  <TotalTime>6</TotalTime>
  <ScaleCrop>false</ScaleCrop>
  <LinksUpToDate>false</LinksUpToDate>
  <CharactersWithSpaces>14927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2022-02-15T08:06:00Z</dcterms:created>
  <dc:creator>哈皮扭几儿</dc:creator>
  <cp:lastModifiedBy>哈皮扭几儿</cp:lastModifiedBy>
  <dcterms:modified xsi:type="dcterms:W3CDTF">2022-04-06T02:56:08Z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5735861AF42A4CBB9F540905E72A1336</vt:lpwstr>
  </property>
</Properties>
</file>