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/>
        <w:spacing w:before="150" w:beforeAutospacing="0"/>
        <w:jc w:val="center"/>
        <w:rPr>
          <w:shd w:val="clear" w:fill="F5F5F5"/>
        </w:rPr>
      </w:pPr>
      <w:r>
        <w:rPr>
          <w:shd w:val="clear" w:fill="F5F5F5"/>
        </w:rPr>
        <w:t>关于征集</w:t>
      </w:r>
      <w:r>
        <w:rPr>
          <w:rFonts w:hint="eastAsia"/>
          <w:shd w:val="clear" w:fill="F5F5F5"/>
          <w:lang w:val="en-US" w:eastAsia="zh-CN"/>
        </w:rPr>
        <w:t>会计审计类</w:t>
      </w:r>
      <w:r>
        <w:rPr>
          <w:shd w:val="clear" w:fill="F5F5F5"/>
        </w:rPr>
        <w:t>非必须招标项目</w:t>
      </w:r>
    </w:p>
    <w:p>
      <w:pPr>
        <w:pStyle w:val="2"/>
        <w:keepNext w:val="0"/>
        <w:keepLines w:val="0"/>
        <w:widowControl/>
        <w:suppressLineNumbers w:val="0"/>
        <w:shd w:val="clear"/>
        <w:spacing w:before="150" w:beforeAutospacing="0"/>
        <w:jc w:val="center"/>
      </w:pPr>
      <w:r>
        <w:rPr>
          <w:shd w:val="clear" w:fill="F5F5F5"/>
        </w:rPr>
        <w:t>临时合格供方库单位的公告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重庆高速集团拟建立部分业务临时非必须招标项目合格供方库，现诚邀满足条件的单位申请入库。现将有关事项公告如下：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</w:pP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shd w:val="clear" w:fill="F5F5F5"/>
        </w:rPr>
        <w:t>一、 合格供方库内容</w:t>
      </w:r>
    </w:p>
    <w:tbl>
      <w:tblPr>
        <w:tblStyle w:val="7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3030"/>
        <w:gridCol w:w="303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8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0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合格供方库方向（一级）</w:t>
            </w:r>
          </w:p>
        </w:tc>
        <w:tc>
          <w:tcPr>
            <w:tcW w:w="30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合格供方库类别（二级）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入库单位数量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8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</w:t>
            </w:r>
          </w:p>
        </w:tc>
        <w:tc>
          <w:tcPr>
            <w:tcW w:w="30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咨询服务方向</w:t>
            </w:r>
          </w:p>
        </w:tc>
        <w:tc>
          <w:tcPr>
            <w:tcW w:w="30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会计审计类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≥4家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二、申请入库资格要求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（一）会计事务所具有独立法人资格或法人授权经营书。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（二）具备会计师事务所执业证书或会计师事务所分所执业证书。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（三）未被“信用中国”网站(www.creditchina.gov.cn/)中列入失信被执行人名单。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  <w:rPr>
          <w:rFonts w:hint="eastAsia" w:ascii="宋体" w:hAnsi="宋体" w:eastAsia="宋体" w:cs="宋体"/>
          <w:sz w:val="24"/>
          <w:szCs w:val="24"/>
          <w:shd w:val="clear" w:fill="F5F5F5"/>
        </w:rPr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（四）应在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市</w:t>
      </w:r>
      <w:r>
        <w:rPr>
          <w:rFonts w:hint="eastAsia" w:ascii="宋体" w:hAnsi="宋体" w:eastAsia="宋体" w:cs="宋体"/>
          <w:sz w:val="24"/>
          <w:szCs w:val="24"/>
          <w:shd w:val="clear" w:fill="F5F5F5"/>
        </w:rPr>
        <w:t>国资委合格供方库存名单《关于确定2017—2021年度审计中介机构备选库的通知》（渝国资[2017]438号）。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  <w:t>）</w:t>
      </w:r>
      <w:r>
        <w:rPr>
          <w:rFonts w:hint="default" w:ascii="宋体" w:hAnsi="宋体" w:eastAsia="宋体" w:cs="宋体"/>
          <w:sz w:val="24"/>
          <w:szCs w:val="24"/>
          <w:shd w:val="clear" w:fill="F5F5F5"/>
        </w:rPr>
        <w:t>2016年1月1日至今完成过1个经济责任审计业务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三、申请入库材料要求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（一）企业营业执照（分所需提供营业执照或法人授权经营书）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（二）法定代表人身份证及法定代表人授权委托书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（三）会计师事务所执业证书或会计师事务所分所执业证书。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（四）企业征信证明（提供“信用中国”查询截图）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  <w:rPr>
          <w:rFonts w:hint="eastAsia" w:ascii="宋体" w:hAnsi="宋体" w:eastAsia="宋体" w:cs="宋体"/>
          <w:sz w:val="24"/>
          <w:szCs w:val="24"/>
          <w:shd w:val="clear" w:fill="F5F5F5"/>
        </w:rPr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（五）企业联系人身份证及社保缴纳证明（截图）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  <w:t>）</w:t>
      </w:r>
      <w:r>
        <w:rPr>
          <w:rFonts w:hint="default" w:ascii="宋体" w:hAnsi="宋体" w:eastAsia="宋体" w:cs="宋体"/>
          <w:sz w:val="24"/>
          <w:szCs w:val="24"/>
          <w:shd w:val="clear" w:fill="F5F5F5"/>
        </w:rPr>
        <w:t>2016年1月1日至今完成过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的</w:t>
      </w:r>
      <w:r>
        <w:rPr>
          <w:rFonts w:hint="default" w:ascii="宋体" w:hAnsi="宋体" w:eastAsia="宋体" w:cs="宋体"/>
          <w:sz w:val="24"/>
          <w:szCs w:val="24"/>
          <w:shd w:val="clear" w:fill="F5F5F5"/>
        </w:rPr>
        <w:t>1个经济责任审计业务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的合同复印件（需盖鲜公章）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四、申请入库注意事项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（一）申请入库单位符合资格条件可进行申请；对存在不良行为被联合惩戒的单位申请将被拒绝。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（二）申请入库单位登陆重庆高速公路集团招投标系统（http://43.240.249.109:8081）注册并按要求上传相关材料扫描件。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（三）入库申请单位须于202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shd w:val="clear" w:fill="F5F5F5"/>
        </w:rPr>
        <w:t>年9</w:t>
      </w:r>
      <w:r>
        <w:rPr>
          <w:rFonts w:hint="eastAsia" w:ascii="宋体" w:hAnsi="宋体" w:eastAsia="宋体" w:cs="宋体"/>
          <w:sz w:val="24"/>
          <w:szCs w:val="24"/>
          <w:highlight w:val="yellow"/>
          <w:shd w:val="clear" w:fill="F5F5F5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yellow"/>
          <w:shd w:val="clear" w:fill="F5F5F5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highlight w:val="yellow"/>
          <w:shd w:val="clear" w:fill="F5F5F5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24:00</w:t>
      </w:r>
      <w:r>
        <w:rPr>
          <w:rFonts w:hint="eastAsia" w:ascii="宋体" w:hAnsi="宋体" w:eastAsia="宋体" w:cs="宋体"/>
          <w:sz w:val="24"/>
          <w:szCs w:val="24"/>
          <w:shd w:val="clear" w:fill="F5F5F5"/>
        </w:rPr>
        <w:t>时之前提交申请，逾期不再受理（另行通知除外）。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70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五、其他事项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70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入库申请单位提供的资质、业绩、人员等资料存在弄虚作假情况的，将取消其入选资格，并禁止其参与重庆高速公路集团有限公司其它业务。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m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na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E2F02"/>
    <w:rsid w:val="01BE2F02"/>
    <w:rsid w:val="1BD94CCE"/>
    <w:rsid w:val="2B03660A"/>
    <w:rsid w:val="6F5734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44444"/>
      <w:u w:val="single"/>
    </w:rPr>
  </w:style>
  <w:style w:type="character" w:styleId="6">
    <w:name w:val="Hyperlink"/>
    <w:basedOn w:val="4"/>
    <w:uiPriority w:val="0"/>
    <w:rPr>
      <w:color w:val="444444"/>
      <w:u w:val="single"/>
    </w:rPr>
  </w:style>
  <w:style w:type="character" w:customStyle="1" w:styleId="8">
    <w:name w:val="after"/>
    <w:basedOn w:val="4"/>
    <w:uiPriority w:val="0"/>
    <w:rPr>
      <w:bdr w:val="dashed" w:color="auto" w:sz="36" w:space="0"/>
    </w:rPr>
  </w:style>
  <w:style w:type="character" w:customStyle="1" w:styleId="9">
    <w:name w:val="credit"/>
    <w:basedOn w:val="4"/>
    <w:qFormat/>
    <w:uiPriority w:val="0"/>
    <w:rPr>
      <w:sz w:val="12"/>
      <w:szCs w:val="12"/>
    </w:rPr>
  </w:style>
  <w:style w:type="character" w:customStyle="1" w:styleId="10">
    <w:name w:val="hover"/>
    <w:basedOn w:val="4"/>
    <w:qFormat/>
    <w:uiPriority w:val="0"/>
    <w:rPr>
      <w:shd w:val="clear" w:fill="346AC3"/>
    </w:rPr>
  </w:style>
  <w:style w:type="character" w:customStyle="1" w:styleId="11">
    <w:name w:val="hover1"/>
    <w:basedOn w:val="4"/>
    <w:uiPriority w:val="0"/>
    <w:rPr>
      <w:color w:val="4285F4"/>
      <w:u w:val="none"/>
    </w:rPr>
  </w:style>
  <w:style w:type="character" w:customStyle="1" w:styleId="12">
    <w:name w:val="hover2"/>
    <w:basedOn w:val="4"/>
    <w:uiPriority w:val="0"/>
  </w:style>
  <w:style w:type="character" w:customStyle="1" w:styleId="13">
    <w:name w:val="hover3"/>
    <w:basedOn w:val="4"/>
    <w:qFormat/>
    <w:uiPriority w:val="0"/>
    <w:rPr>
      <w:color w:val="4285F4"/>
    </w:rPr>
  </w:style>
  <w:style w:type="character" w:customStyle="1" w:styleId="14">
    <w:name w:val="hover4"/>
    <w:basedOn w:val="4"/>
    <w:uiPriority w:val="0"/>
    <w:rPr>
      <w:color w:val="1A85D7"/>
    </w:rPr>
  </w:style>
  <w:style w:type="character" w:customStyle="1" w:styleId="15">
    <w:name w:val="before"/>
    <w:basedOn w:val="4"/>
    <w:uiPriority w:val="0"/>
    <w:rPr>
      <w:bdr w:val="single" w:color="auto" w:sz="36" w:space="0"/>
    </w:rPr>
  </w:style>
  <w:style w:type="character" w:customStyle="1" w:styleId="16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2020-09-28T07:57:00Z</dcterms:created>
  <dc:creator>龚静</dc:creator>
  <cp:lastModifiedBy>龚静</cp:lastModifiedBy>
  <dcterms:modified xsi:type="dcterms:W3CDTF">2021-09-18T01:40:26Z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