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customXml/itemProps1.xml" ContentType="application/vnd.openxmlformats-officedocument.customXmlProperties+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center"/>
        <w:rPr>
          <w:rFonts w:ascii="宋体" w:eastAsia="宋体" w:hAnsi="宋体" w:hint="eastAsia"/>
          <w:b/>
          <w:spacing w:val="20"/>
          <w:sz w:val="44"/>
          <w:szCs w:val="48"/>
          <w:lang w:eastAsia="zh-CN"/>
        </w:rPr>
      </w:pPr>
      <w:bookmarkStart w:id="0" w:name="_Hlk77090289"/>
      <w:r>
        <w:rPr>
          <w:rFonts w:hint="eastAsia"/>
          <w:b/>
          <w:sz w:val="44"/>
          <w:szCs w:val="44"/>
          <w:lang w:eastAsia="zh-CN"/>
        </w:rPr>
        <w:t>2021年东北营运公司奉巫路（二期）金属结构物检测（第二次）</w:t>
      </w:r>
    </w:p>
    <w:bookmarkEnd w:id="0"/>
    <w:p>
      <w:pPr>
        <w:pStyle w:val="style0"/>
        <w:jc w:val="center"/>
        <w:rPr>
          <w:b/>
          <w:sz w:val="28"/>
          <w:szCs w:val="52"/>
        </w:rPr>
      </w:pPr>
      <w:r>
        <w:rPr>
          <w:rFonts w:hint="eastAsia"/>
          <w:b/>
          <w:sz w:val="28"/>
          <w:szCs w:val="52"/>
        </w:rPr>
        <w:t xml:space="preserve"> </w:t>
      </w:r>
    </w:p>
    <w:p>
      <w:pPr>
        <w:pStyle w:val="style0"/>
        <w:jc w:val="center"/>
        <w:rPr>
          <w:b/>
          <w:sz w:val="28"/>
          <w:szCs w:val="52"/>
        </w:rPr>
      </w:pPr>
    </w:p>
    <w:p>
      <w:pPr>
        <w:pStyle w:val="style0"/>
        <w:adjustRightInd w:val="false"/>
        <w:snapToGrid w:val="false"/>
        <w:ind w:firstLine="480"/>
        <w:jc w:val="center"/>
        <w:rPr>
          <w:rFonts w:hAnsi="宋体"/>
          <w:b/>
          <w:bCs/>
          <w:sz w:val="28"/>
          <w:szCs w:val="32"/>
          <w:u w:val="single"/>
        </w:rPr>
      </w:pPr>
    </w:p>
    <w:p>
      <w:pPr>
        <w:pStyle w:val="style0"/>
        <w:adjustRightInd w:val="false"/>
        <w:snapToGrid w:val="false"/>
        <w:ind w:firstLine="480"/>
        <w:jc w:val="center"/>
        <w:rPr>
          <w:rFonts w:hAnsi="宋体"/>
          <w:b/>
          <w:bCs/>
          <w:sz w:val="32"/>
          <w:szCs w:val="32"/>
          <w:u w:val="single"/>
        </w:rPr>
      </w:pPr>
    </w:p>
    <w:p>
      <w:pPr>
        <w:pStyle w:val="style0"/>
        <w:jc w:val="center"/>
        <w:rPr>
          <w:rFonts w:ascii="宋体" w:hAnsi="宋体"/>
          <w:b/>
          <w:spacing w:val="20"/>
          <w:sz w:val="72"/>
          <w:szCs w:val="72"/>
        </w:rPr>
      </w:pPr>
    </w:p>
    <w:p>
      <w:pPr>
        <w:pStyle w:val="style0"/>
        <w:jc w:val="center"/>
        <w:rPr>
          <w:rFonts w:ascii="宋体" w:hAnsi="宋体"/>
          <w:b/>
          <w:spacing w:val="20"/>
          <w:sz w:val="72"/>
          <w:szCs w:val="72"/>
        </w:rPr>
      </w:pPr>
    </w:p>
    <w:p>
      <w:pPr>
        <w:pStyle w:val="style0"/>
        <w:jc w:val="center"/>
        <w:rPr>
          <w:rFonts w:ascii="宋体" w:hAnsi="宋体"/>
          <w:b/>
          <w:spacing w:val="20"/>
          <w:sz w:val="72"/>
          <w:szCs w:val="72"/>
        </w:rPr>
      </w:pPr>
    </w:p>
    <w:p>
      <w:pPr>
        <w:pStyle w:val="style0"/>
        <w:jc w:val="center"/>
        <w:rPr>
          <w:rFonts w:ascii="宋体" w:hAnsi="宋体"/>
          <w:b/>
          <w:spacing w:val="20"/>
          <w:sz w:val="72"/>
          <w:szCs w:val="72"/>
        </w:rPr>
      </w:pPr>
      <w:r>
        <w:rPr>
          <w:rFonts w:ascii="宋体" w:hAnsi="宋体" w:hint="eastAsia"/>
          <w:b/>
          <w:spacing w:val="20"/>
          <w:sz w:val="72"/>
          <w:szCs w:val="72"/>
        </w:rPr>
        <w:t>竞争性比选函</w:t>
      </w:r>
    </w:p>
    <w:p>
      <w:pPr>
        <w:pStyle w:val="style0"/>
        <w:rPr>
          <w:rFonts w:ascii="宋体" w:hAnsi="宋体"/>
          <w:szCs w:val="21"/>
        </w:rPr>
      </w:pPr>
    </w:p>
    <w:p>
      <w:pPr>
        <w:pStyle w:val="style0"/>
        <w:rPr>
          <w:rFonts w:ascii="宋体" w:hAnsi="宋体"/>
          <w:szCs w:val="21"/>
        </w:rPr>
      </w:pPr>
    </w:p>
    <w:p>
      <w:pPr>
        <w:pStyle w:val="style0"/>
        <w:rPr>
          <w:rFonts w:ascii="宋体" w:hAnsi="宋体"/>
          <w:szCs w:val="21"/>
        </w:rPr>
      </w:pPr>
    </w:p>
    <w:p>
      <w:pPr>
        <w:pStyle w:val="style0"/>
        <w:rPr>
          <w:rFonts w:ascii="宋体" w:hAnsi="宋体"/>
          <w:szCs w:val="21"/>
        </w:rPr>
      </w:pPr>
    </w:p>
    <w:p>
      <w:pPr>
        <w:pStyle w:val="style0"/>
        <w:rPr>
          <w:rFonts w:ascii="宋体" w:hAnsi="宋体"/>
          <w:szCs w:val="21"/>
        </w:rPr>
      </w:pPr>
    </w:p>
    <w:p>
      <w:pPr>
        <w:pStyle w:val="style0"/>
        <w:jc w:val="center"/>
        <w:rPr>
          <w:rFonts w:ascii="宋体" w:hAnsi="宋体"/>
          <w:spacing w:val="100"/>
          <w:szCs w:val="21"/>
        </w:rPr>
      </w:pPr>
    </w:p>
    <w:p>
      <w:pPr>
        <w:pStyle w:val="style0"/>
        <w:jc w:val="center"/>
        <w:rPr>
          <w:rFonts w:ascii="宋体" w:hAnsi="宋体"/>
          <w:spacing w:val="100"/>
          <w:szCs w:val="21"/>
        </w:rPr>
      </w:pPr>
    </w:p>
    <w:p>
      <w:pPr>
        <w:pStyle w:val="style0"/>
        <w:jc w:val="center"/>
        <w:rPr>
          <w:rFonts w:ascii="宋体" w:hAnsi="宋体"/>
          <w:spacing w:val="100"/>
          <w:szCs w:val="21"/>
        </w:rPr>
      </w:pPr>
    </w:p>
    <w:p>
      <w:pPr>
        <w:pStyle w:val="style0"/>
        <w:jc w:val="center"/>
        <w:rPr>
          <w:rFonts w:ascii="宋体" w:hAnsi="宋体"/>
          <w:spacing w:val="100"/>
          <w:szCs w:val="21"/>
        </w:rPr>
      </w:pPr>
    </w:p>
    <w:p>
      <w:pPr>
        <w:pStyle w:val="style0"/>
        <w:jc w:val="center"/>
        <w:rPr>
          <w:rFonts w:ascii="宋体" w:hAnsi="宋体"/>
          <w:spacing w:val="100"/>
          <w:szCs w:val="21"/>
        </w:rPr>
      </w:pPr>
    </w:p>
    <w:p>
      <w:pPr>
        <w:pStyle w:val="style0"/>
        <w:jc w:val="center"/>
        <w:rPr>
          <w:rFonts w:ascii="宋体" w:hAnsi="宋体"/>
          <w:spacing w:val="100"/>
          <w:szCs w:val="21"/>
        </w:rPr>
      </w:pPr>
    </w:p>
    <w:p>
      <w:pPr>
        <w:pStyle w:val="style0"/>
        <w:jc w:val="center"/>
        <w:rPr>
          <w:rFonts w:ascii="宋体" w:hAnsi="宋体"/>
          <w:spacing w:val="100"/>
          <w:szCs w:val="21"/>
        </w:rPr>
      </w:pPr>
    </w:p>
    <w:p>
      <w:pPr>
        <w:pStyle w:val="style0"/>
        <w:jc w:val="center"/>
        <w:rPr>
          <w:rFonts w:ascii="宋体" w:hAnsi="宋体"/>
          <w:spacing w:val="100"/>
          <w:szCs w:val="21"/>
        </w:rPr>
      </w:pPr>
    </w:p>
    <w:p>
      <w:pPr>
        <w:pStyle w:val="style0"/>
        <w:jc w:val="center"/>
        <w:rPr>
          <w:rFonts w:ascii="宋体" w:hAnsi="宋体"/>
          <w:spacing w:val="100"/>
          <w:szCs w:val="21"/>
        </w:rPr>
      </w:pPr>
    </w:p>
    <w:p>
      <w:pPr>
        <w:pStyle w:val="style0"/>
        <w:jc w:val="center"/>
        <w:rPr>
          <w:rFonts w:ascii="宋体" w:hAnsi="宋体"/>
          <w:spacing w:val="100"/>
          <w:szCs w:val="21"/>
        </w:rPr>
      </w:pPr>
    </w:p>
    <w:p>
      <w:pPr>
        <w:pStyle w:val="style0"/>
        <w:jc w:val="center"/>
        <w:rPr>
          <w:rFonts w:ascii="宋体" w:hAnsi="宋体"/>
          <w:spacing w:val="100"/>
          <w:szCs w:val="21"/>
        </w:rPr>
      </w:pPr>
    </w:p>
    <w:p>
      <w:pPr>
        <w:pStyle w:val="style76"/>
        <w:snapToGrid w:val="false"/>
        <w:ind w:firstLine="572" w:firstLineChars="150"/>
        <w:jc w:val="center"/>
        <w:rPr>
          <w:rFonts w:ascii="宋体" w:hAnsi="宋体"/>
          <w:sz w:val="32"/>
          <w:szCs w:val="32"/>
        </w:rPr>
      </w:pPr>
      <w:r>
        <w:rPr>
          <w:rFonts w:ascii="宋体" w:hAnsi="宋体" w:hint="eastAsia"/>
          <w:sz w:val="32"/>
          <w:szCs w:val="32"/>
        </w:rPr>
        <w:t>重庆首讯科技股份有限公司</w:t>
      </w:r>
    </w:p>
    <w:p>
      <w:pPr>
        <w:pStyle w:val="style76"/>
        <w:snapToGrid w:val="false"/>
        <w:ind w:firstLine="572" w:firstLineChars="150"/>
        <w:jc w:val="center"/>
        <w:rPr>
          <w:rFonts w:ascii="宋体" w:hAnsi="宋体"/>
          <w:sz w:val="32"/>
          <w:szCs w:val="32"/>
        </w:rPr>
      </w:pPr>
      <w:r>
        <w:rPr>
          <w:rFonts w:ascii="宋体" w:hAnsi="宋体" w:hint="eastAsia"/>
          <w:sz w:val="32"/>
          <w:szCs w:val="32"/>
        </w:rPr>
        <w:t>2021年</w:t>
      </w:r>
      <w:r>
        <w:rPr>
          <w:rFonts w:ascii="宋体" w:hAnsi="宋体" w:hint="eastAsia"/>
          <w:sz w:val="32"/>
          <w:szCs w:val="32"/>
          <w:lang w:val="en-US" w:eastAsia="zh-CN"/>
        </w:rPr>
        <w:t>8</w:t>
      </w:r>
      <w:r>
        <w:rPr>
          <w:rFonts w:ascii="宋体" w:hAnsi="宋体" w:hint="eastAsia"/>
          <w:sz w:val="32"/>
          <w:szCs w:val="32"/>
        </w:rPr>
        <w:t>月</w:t>
      </w:r>
    </w:p>
    <w:p>
      <w:pPr>
        <w:pStyle w:val="style1"/>
        <w:spacing w:before="0" w:after="0" w:lineRule="auto" w:line="360"/>
        <w:rPr>
          <w:spacing w:val="10"/>
          <w:sz w:val="44"/>
          <w:szCs w:val="44"/>
        </w:rPr>
      </w:pPr>
      <w:r>
        <w:rPr>
          <w:b w:val="false"/>
          <w:sz w:val="44"/>
          <w:szCs w:val="44"/>
        </w:rPr>
        <w:br w:type="page"/>
      </w:r>
      <w:r>
        <w:rPr>
          <w:rFonts w:hint="eastAsia"/>
          <w:spacing w:val="10"/>
          <w:sz w:val="44"/>
          <w:szCs w:val="44"/>
        </w:rPr>
        <w:t>竞争比选函</w:t>
      </w:r>
    </w:p>
    <w:p>
      <w:pPr>
        <w:pStyle w:val="style0"/>
        <w:spacing w:lineRule="auto" w:line="360"/>
        <w:outlineLvl w:val="0"/>
        <w:rPr>
          <w:b/>
          <w:sz w:val="28"/>
          <w:szCs w:val="28"/>
        </w:rPr>
      </w:pPr>
      <w:r>
        <w:rPr>
          <w:rFonts w:hint="eastAsia"/>
          <w:b/>
          <w:sz w:val="28"/>
          <w:szCs w:val="28"/>
        </w:rPr>
        <w:t>一、比选条件</w:t>
      </w:r>
    </w:p>
    <w:p>
      <w:pPr>
        <w:pStyle w:val="style0"/>
        <w:spacing w:lineRule="auto" w:line="360"/>
        <w:ind w:firstLine="570"/>
        <w:rPr>
          <w:sz w:val="28"/>
          <w:szCs w:val="28"/>
        </w:rPr>
      </w:pPr>
      <w:r>
        <w:rPr>
          <w:rFonts w:hint="eastAsia"/>
          <w:sz w:val="28"/>
          <w:szCs w:val="28"/>
        </w:rPr>
        <w:t>本竞争性比选项目</w:t>
      </w:r>
      <w:r>
        <w:rPr>
          <w:rFonts w:hint="eastAsia"/>
          <w:sz w:val="28"/>
          <w:szCs w:val="28"/>
          <w:lang w:eastAsia="zh-CN"/>
        </w:rPr>
        <w:t>2021年东北营运公司奉巫路（二期）金属结构物检测</w:t>
      </w:r>
      <w:r>
        <w:rPr>
          <w:rFonts w:hint="eastAsia"/>
          <w:sz w:val="28"/>
          <w:szCs w:val="28"/>
        </w:rPr>
        <w:t>项目</w:t>
      </w:r>
      <w:r>
        <w:rPr>
          <w:rFonts w:hint="eastAsia"/>
          <w:sz w:val="28"/>
          <w:szCs w:val="28"/>
          <w:lang w:eastAsia="zh-CN"/>
        </w:rPr>
        <w:t>（第二次）</w:t>
      </w:r>
      <w:r>
        <w:rPr>
          <w:rFonts w:hint="eastAsia"/>
          <w:sz w:val="28"/>
          <w:szCs w:val="28"/>
        </w:rPr>
        <w:t>，采购人为重庆首讯科技股份有限公司，该项目已具备比选条件，现对该项目进行竞争性比选。</w:t>
      </w:r>
    </w:p>
    <w:p>
      <w:pPr>
        <w:pStyle w:val="style0"/>
        <w:spacing w:lineRule="auto" w:line="360"/>
        <w:ind w:firstLine="570"/>
        <w:rPr>
          <w:sz w:val="28"/>
          <w:szCs w:val="28"/>
        </w:rPr>
      </w:pPr>
    </w:p>
    <w:p>
      <w:pPr>
        <w:pStyle w:val="style0"/>
        <w:spacing w:lineRule="auto" w:line="360"/>
        <w:rPr>
          <w:b/>
          <w:sz w:val="28"/>
          <w:szCs w:val="28"/>
        </w:rPr>
      </w:pPr>
      <w:r>
        <w:rPr>
          <w:rFonts w:hint="eastAsia"/>
          <w:sz w:val="28"/>
          <w:szCs w:val="28"/>
        </w:rPr>
        <w:t>二、</w:t>
      </w:r>
      <w:r>
        <w:rPr>
          <w:rFonts w:hint="eastAsia"/>
          <w:b/>
          <w:sz w:val="28"/>
          <w:szCs w:val="28"/>
        </w:rPr>
        <w:t>项目概述</w:t>
      </w:r>
    </w:p>
    <w:p>
      <w:pPr>
        <w:pStyle w:val="style0"/>
        <w:spacing w:lineRule="auto" w:line="360"/>
        <w:ind w:firstLine="570"/>
        <w:rPr>
          <w:sz w:val="28"/>
          <w:szCs w:val="28"/>
        </w:rPr>
      </w:pPr>
      <w:r>
        <w:rPr>
          <w:rFonts w:hint="eastAsia"/>
          <w:sz w:val="28"/>
          <w:szCs w:val="28"/>
        </w:rPr>
        <w:t>根据隧道内金属结构物的维护要求，2021年在相关隧道进行金属结构物检测。依照检测原则如下：</w:t>
      </w:r>
    </w:p>
    <w:p>
      <w:pPr>
        <w:pStyle w:val="style0"/>
        <w:spacing w:lineRule="auto" w:line="360"/>
        <w:ind w:firstLine="570"/>
        <w:rPr>
          <w:sz w:val="28"/>
          <w:szCs w:val="28"/>
        </w:rPr>
      </w:pPr>
      <w:r>
        <w:rPr>
          <w:rFonts w:hint="eastAsia"/>
          <w:sz w:val="28"/>
          <w:szCs w:val="28"/>
        </w:rPr>
        <w:t>1、对隧道内的风机、桥架、小型情报板、信息指示灯进行检测；对隧道外的门架情报板和悬臂式情报板进行检测。</w:t>
      </w:r>
    </w:p>
    <w:p>
      <w:pPr>
        <w:pStyle w:val="style0"/>
        <w:spacing w:lineRule="auto" w:line="360"/>
        <w:ind w:firstLine="570"/>
        <w:rPr>
          <w:sz w:val="28"/>
          <w:szCs w:val="28"/>
        </w:rPr>
      </w:pPr>
      <w:r>
        <w:rPr>
          <w:rFonts w:hint="eastAsia"/>
          <w:sz w:val="28"/>
          <w:szCs w:val="28"/>
        </w:rPr>
        <w:t>2、2次检测时间间隔3年，如2017年实施检测的，到2021年再实施检测。</w:t>
      </w:r>
    </w:p>
    <w:p>
      <w:pPr>
        <w:pStyle w:val="style0"/>
        <w:spacing w:lineRule="auto" w:line="360"/>
        <w:ind w:firstLine="570"/>
        <w:rPr>
          <w:sz w:val="28"/>
          <w:szCs w:val="28"/>
        </w:rPr>
      </w:pPr>
      <w:r>
        <w:rPr>
          <w:rFonts w:hint="eastAsia"/>
          <w:sz w:val="28"/>
          <w:szCs w:val="28"/>
        </w:rPr>
        <w:t>3、相关说明</w:t>
      </w:r>
    </w:p>
    <w:p>
      <w:pPr>
        <w:pStyle w:val="style0"/>
        <w:spacing w:lineRule="auto" w:line="360"/>
        <w:ind w:firstLine="570"/>
        <w:rPr>
          <w:sz w:val="28"/>
          <w:szCs w:val="28"/>
        </w:rPr>
      </w:pPr>
      <w:r>
        <w:rPr>
          <w:rFonts w:hint="eastAsia"/>
          <w:sz w:val="28"/>
          <w:szCs w:val="28"/>
        </w:rPr>
        <w:t>（1）风机和桥架均未检测过的隧道，并达到检测年限的，对金属结构物统一进行检测（上述第1条内容）；</w:t>
      </w:r>
    </w:p>
    <w:p>
      <w:pPr>
        <w:pStyle w:val="style0"/>
        <w:spacing w:lineRule="auto" w:line="360"/>
        <w:ind w:firstLine="570"/>
        <w:rPr>
          <w:sz w:val="28"/>
          <w:szCs w:val="28"/>
        </w:rPr>
      </w:pPr>
      <w:r>
        <w:rPr>
          <w:rFonts w:hint="eastAsia"/>
          <w:sz w:val="28"/>
          <w:szCs w:val="28"/>
        </w:rPr>
        <w:t>（2）检测过风机或桥架的隧道，根据检测年限要求按需检测桥架或风机，同时对隧道内的小型情报板、信息指示灯，以及隧道外的门架情报板根据检测年限要求统一进行检测。</w:t>
      </w:r>
    </w:p>
    <w:p>
      <w:pPr>
        <w:pStyle w:val="style0"/>
        <w:spacing w:lineRule="auto" w:line="360"/>
        <w:ind w:firstLine="570"/>
        <w:rPr>
          <w:sz w:val="28"/>
          <w:szCs w:val="28"/>
        </w:rPr>
      </w:pPr>
    </w:p>
    <w:p>
      <w:pPr>
        <w:pStyle w:val="style0"/>
        <w:spacing w:lineRule="auto" w:line="360"/>
        <w:rPr>
          <w:sz w:val="28"/>
          <w:szCs w:val="28"/>
        </w:rPr>
      </w:pPr>
      <w:r>
        <w:rPr>
          <w:rFonts w:hint="eastAsia"/>
          <w:sz w:val="28"/>
          <w:szCs w:val="28"/>
        </w:rPr>
        <w:t>三、报价人资格要求</w:t>
      </w:r>
    </w:p>
    <w:p>
      <w:pPr>
        <w:pStyle w:val="style0"/>
        <w:spacing w:lineRule="auto" w:line="360"/>
        <w:outlineLvl w:val="0"/>
        <w:rPr>
          <w:b/>
          <w:sz w:val="28"/>
          <w:szCs w:val="28"/>
        </w:rPr>
      </w:pPr>
      <w:r>
        <w:rPr>
          <w:rFonts w:hint="eastAsia"/>
          <w:b/>
          <w:sz w:val="28"/>
          <w:szCs w:val="28"/>
        </w:rPr>
        <w:t>3.1 资质要求：</w:t>
      </w:r>
    </w:p>
    <w:p>
      <w:pPr>
        <w:pStyle w:val="style0"/>
        <w:spacing w:lineRule="auto" w:line="360"/>
        <w:ind w:firstLine="570"/>
        <w:rPr>
          <w:sz w:val="28"/>
          <w:szCs w:val="28"/>
        </w:rPr>
      </w:pPr>
      <w:r>
        <w:rPr>
          <w:rFonts w:hint="eastAsia"/>
          <w:b/>
          <w:sz w:val="28"/>
          <w:szCs w:val="28"/>
        </w:rPr>
        <w:t>（</w:t>
      </w:r>
      <w:r>
        <w:rPr>
          <w:rFonts w:hint="eastAsia"/>
          <w:sz w:val="28"/>
          <w:szCs w:val="28"/>
        </w:rPr>
        <w:t>1）具有独立法人资格；</w:t>
      </w:r>
    </w:p>
    <w:p>
      <w:pPr>
        <w:pStyle w:val="style0"/>
        <w:spacing w:lineRule="auto" w:line="360"/>
        <w:ind w:firstLine="570"/>
        <w:rPr>
          <w:sz w:val="28"/>
          <w:szCs w:val="28"/>
        </w:rPr>
      </w:pPr>
      <w:r>
        <w:rPr>
          <w:rFonts w:hint="eastAsia"/>
          <w:sz w:val="28"/>
          <w:szCs w:val="28"/>
        </w:rPr>
        <w:t>（2）具有有效的营业执照（高清）；</w:t>
      </w:r>
    </w:p>
    <w:p>
      <w:pPr>
        <w:pStyle w:val="style0"/>
        <w:spacing w:lineRule="auto" w:line="360"/>
        <w:ind w:firstLine="570"/>
        <w:rPr>
          <w:sz w:val="28"/>
          <w:szCs w:val="28"/>
        </w:rPr>
      </w:pPr>
      <w:r>
        <w:rPr>
          <w:rFonts w:hint="eastAsia"/>
          <w:sz w:val="28"/>
          <w:szCs w:val="28"/>
        </w:rPr>
        <w:t>（3）报价单位至少具有以下最低资质要求中的一项：交通运输部工程质量管理局或交通运输部基本质量监督总站颁发的公路水运工程试验检测机构登记证书公路工程试验检测综合甲级资质，或者省级以上的建设工程质量监督部门颁发的建设工程质量检测机构钢结构工程检测类专项资质，登记证书在有效期内。</w:t>
      </w:r>
    </w:p>
    <w:p>
      <w:pPr>
        <w:pStyle w:val="style0"/>
        <w:spacing w:lineRule="auto" w:line="360"/>
        <w:ind w:firstLine="570"/>
        <w:rPr>
          <w:sz w:val="28"/>
          <w:szCs w:val="28"/>
        </w:rPr>
      </w:pPr>
      <w:r>
        <w:rPr>
          <w:rFonts w:hint="eastAsia"/>
          <w:sz w:val="28"/>
          <w:szCs w:val="28"/>
        </w:rPr>
        <w:t>（3）主要检测人员至少有一人具备建设工程质量检测专业人员岗位证书钢结构检测（超声），登记证书在有效期内。</w:t>
      </w:r>
    </w:p>
    <w:p>
      <w:pPr>
        <w:pStyle w:val="style0"/>
        <w:spacing w:lineRule="auto" w:line="360"/>
        <w:ind w:firstLine="570"/>
        <w:rPr>
          <w:sz w:val="28"/>
          <w:szCs w:val="28"/>
        </w:rPr>
      </w:pPr>
      <w:r>
        <w:rPr>
          <w:rFonts w:hint="eastAsia"/>
          <w:sz w:val="28"/>
          <w:szCs w:val="28"/>
        </w:rPr>
        <w:t>（4）检测单位至少提供</w:t>
      </w:r>
      <w:r>
        <w:rPr>
          <w:rFonts w:hint="eastAsia"/>
          <w:sz w:val="28"/>
          <w:szCs w:val="28"/>
          <w:lang w:val="en-US" w:eastAsia="zh-CN"/>
        </w:rPr>
        <w:t>9</w:t>
      </w:r>
      <w:r>
        <w:rPr>
          <w:rFonts w:hint="eastAsia"/>
          <w:sz w:val="28"/>
          <w:szCs w:val="28"/>
        </w:rPr>
        <w:t>名团队人员，其中：主要检测人员至少2名；驾驶员至少2名；辅助人员至少2名；劳务人员至少2名</w:t>
      </w:r>
      <w:r>
        <w:rPr>
          <w:rFonts w:hint="eastAsia"/>
          <w:sz w:val="28"/>
          <w:szCs w:val="28"/>
          <w:lang w:eastAsia="zh-CN"/>
        </w:rPr>
        <w:t>；</w:t>
      </w:r>
      <w:r>
        <w:rPr>
          <w:rFonts w:hint="eastAsia"/>
          <w:sz w:val="28"/>
          <w:szCs w:val="28"/>
          <w:lang w:val="en-US" w:eastAsia="zh-CN"/>
        </w:rPr>
        <w:t>现场安全人员1名</w:t>
      </w:r>
      <w:r>
        <w:rPr>
          <w:rFonts w:hint="default"/>
          <w:sz w:val="28"/>
          <w:szCs w:val="28"/>
          <w:lang w:val="en-US" w:eastAsia="zh-CN"/>
        </w:rPr>
        <w:t>；持有特种作业证2名（作业类别:高处作业）</w:t>
      </w:r>
      <w:r>
        <w:rPr>
          <w:rFonts w:hint="eastAsia"/>
          <w:sz w:val="28"/>
          <w:szCs w:val="28"/>
        </w:rPr>
        <w:t>。</w:t>
      </w:r>
    </w:p>
    <w:p>
      <w:pPr>
        <w:pStyle w:val="style0"/>
        <w:spacing w:lineRule="auto" w:line="360"/>
        <w:ind w:firstLine="570"/>
        <w:rPr>
          <w:sz w:val="28"/>
          <w:szCs w:val="28"/>
        </w:rPr>
      </w:pPr>
      <w:r>
        <w:rPr>
          <w:rFonts w:hint="eastAsia"/>
          <w:sz w:val="28"/>
          <w:szCs w:val="28"/>
        </w:rPr>
        <w:t>（5）在国家企业信用信息公示系统（http://www.gsxt.gov.cn/）中未被列入严重违法失信企业名单（黑名单）信息；在“信用中国”网站（http://www.creditchina.gov.cn/）中未被列入失信惩戒执行人名单。</w:t>
      </w:r>
    </w:p>
    <w:p>
      <w:pPr>
        <w:pStyle w:val="style0"/>
        <w:spacing w:lineRule="auto" w:line="360"/>
        <w:ind w:firstLine="570"/>
        <w:rPr>
          <w:sz w:val="28"/>
          <w:szCs w:val="28"/>
        </w:rPr>
      </w:pPr>
      <w:r>
        <w:rPr>
          <w:rFonts w:hint="eastAsia"/>
          <w:sz w:val="28"/>
          <w:szCs w:val="28"/>
        </w:rPr>
        <w:t>3.2 本次比选不接受联合体报价。</w:t>
      </w:r>
    </w:p>
    <w:p>
      <w:pPr>
        <w:pStyle w:val="style0"/>
        <w:spacing w:lineRule="auto" w:line="360"/>
        <w:ind w:firstLine="570"/>
        <w:rPr>
          <w:sz w:val="28"/>
          <w:szCs w:val="28"/>
        </w:rPr>
      </w:pPr>
      <w:r>
        <w:rPr>
          <w:rFonts w:hint="eastAsia"/>
          <w:sz w:val="28"/>
          <w:szCs w:val="28"/>
        </w:rPr>
        <w:t>3.3与采购人存在利害关系可能影响比选公正性的法人、其他组织或者个人，不得参加本项目报价；单位负责人为同一人或者存在控股、管理关系的不同单位，不得同时参加本项目报价，否则均按无效报价处理。二、工作内容、验收标准</w:t>
      </w:r>
    </w:p>
    <w:p>
      <w:pPr>
        <w:pStyle w:val="style0"/>
        <w:spacing w:lineRule="auto" w:line="360"/>
        <w:ind w:firstLine="570"/>
        <w:rPr>
          <w:sz w:val="28"/>
          <w:szCs w:val="28"/>
        </w:rPr>
      </w:pPr>
      <w:r>
        <w:rPr>
          <w:rFonts w:hint="eastAsia"/>
          <w:sz w:val="28"/>
          <w:szCs w:val="28"/>
        </w:rPr>
        <w:t>工作内容：</w:t>
      </w:r>
      <w:r>
        <w:rPr>
          <w:rFonts w:hint="eastAsia"/>
          <w:sz w:val="28"/>
          <w:szCs w:val="28"/>
          <w:lang w:eastAsia="zh-CN"/>
        </w:rPr>
        <w:t>2021年东北营运公司奉巫路（二期）金属结构物检测（第二次），</w:t>
      </w:r>
      <w:r>
        <w:rPr>
          <w:rFonts w:hint="eastAsia"/>
          <w:sz w:val="28"/>
          <w:szCs w:val="28"/>
          <w:lang w:val="en-US" w:eastAsia="zh-CN"/>
        </w:rPr>
        <w:t>检测现场具备安全员1名，</w:t>
      </w:r>
      <w:r>
        <w:rPr>
          <w:rFonts w:hint="eastAsia"/>
          <w:sz w:val="28"/>
          <w:szCs w:val="28"/>
        </w:rPr>
        <w:t>工程量清单及设计文件包含的内容。</w:t>
      </w:r>
    </w:p>
    <w:p>
      <w:pPr>
        <w:pStyle w:val="style0"/>
        <w:spacing w:lineRule="auto" w:line="360"/>
        <w:ind w:firstLine="570"/>
        <w:rPr>
          <w:sz w:val="28"/>
          <w:szCs w:val="28"/>
        </w:rPr>
      </w:pPr>
      <w:r>
        <w:rPr>
          <w:rFonts w:hint="eastAsia"/>
          <w:sz w:val="28"/>
          <w:szCs w:val="28"/>
        </w:rPr>
        <w:t>在“新型冠状病毒”疫情期间，报价人开、复工必须严格执行采购人和项目所在地政府及相关部门的管理规定，做好防疫工作，未经允许不得开、复工。</w:t>
      </w:r>
    </w:p>
    <w:p>
      <w:pPr>
        <w:pStyle w:val="style0"/>
        <w:spacing w:lineRule="auto" w:line="360"/>
        <w:ind w:firstLine="570"/>
        <w:rPr>
          <w:sz w:val="28"/>
          <w:szCs w:val="28"/>
        </w:rPr>
      </w:pPr>
      <w:r>
        <w:rPr>
          <w:rFonts w:hint="eastAsia"/>
          <w:sz w:val="28"/>
          <w:szCs w:val="28"/>
        </w:rPr>
        <w:t>验收标准：需要按国家JTGF80.2-2004公路工程质量检验评定标准进行验收，竣工验收是国家验收的一部分。竣工验收所采用的各项验收和评定标准应符合国家验收标准。发包人和承包人为竣工验收提供的各项竣工验收资料应符合国家验收的要求。</w:t>
      </w:r>
    </w:p>
    <w:p>
      <w:pPr>
        <w:pStyle w:val="style0"/>
        <w:spacing w:lineRule="auto" w:line="360"/>
        <w:ind w:firstLine="570"/>
        <w:rPr>
          <w:sz w:val="28"/>
          <w:szCs w:val="28"/>
        </w:rPr>
      </w:pPr>
    </w:p>
    <w:p>
      <w:pPr>
        <w:pStyle w:val="style0"/>
        <w:spacing w:lineRule="auto" w:line="360"/>
        <w:rPr>
          <w:b/>
          <w:sz w:val="28"/>
          <w:szCs w:val="28"/>
        </w:rPr>
      </w:pPr>
      <w:r>
        <w:rPr>
          <w:rFonts w:hint="eastAsia"/>
          <w:sz w:val="28"/>
          <w:szCs w:val="28"/>
        </w:rPr>
        <w:t>四、</w:t>
      </w:r>
      <w:r>
        <w:rPr>
          <w:rFonts w:hint="eastAsia"/>
          <w:b/>
          <w:sz w:val="28"/>
          <w:szCs w:val="28"/>
        </w:rPr>
        <w:t>比选文件的获取</w:t>
      </w:r>
    </w:p>
    <w:p>
      <w:pPr>
        <w:pStyle w:val="style0"/>
        <w:spacing w:lineRule="auto" w:line="360"/>
        <w:ind w:firstLine="570"/>
        <w:rPr>
          <w:sz w:val="28"/>
          <w:szCs w:val="28"/>
        </w:rPr>
      </w:pPr>
      <w:r>
        <w:rPr>
          <w:rFonts w:hint="eastAsia"/>
          <w:sz w:val="28"/>
          <w:szCs w:val="28"/>
        </w:rPr>
        <w:t>凡愿意参加的潜在报价人，在2021年</w:t>
      </w:r>
      <w:r>
        <w:rPr>
          <w:rFonts w:hint="eastAsia"/>
          <w:sz w:val="28"/>
          <w:szCs w:val="28"/>
          <w:lang w:val="en-US" w:eastAsia="zh-CN"/>
        </w:rPr>
        <w:t>8</w:t>
      </w:r>
      <w:r>
        <w:rPr>
          <w:rFonts w:hint="eastAsia"/>
          <w:sz w:val="28"/>
          <w:szCs w:val="28"/>
        </w:rPr>
        <w:t>月</w:t>
      </w:r>
      <w:r>
        <w:rPr>
          <w:rFonts w:hint="eastAsia"/>
          <w:sz w:val="28"/>
          <w:szCs w:val="28"/>
          <w:lang w:val="en-US" w:eastAsia="zh-CN"/>
        </w:rPr>
        <w:t>16</w:t>
      </w:r>
      <w:r>
        <w:rPr>
          <w:rFonts w:hint="eastAsia"/>
          <w:sz w:val="28"/>
          <w:szCs w:val="28"/>
        </w:rPr>
        <w:t>日下午14：00前在重庆高速集团官网上获取比选文件，各报价人应随时关注网上发布的竞争性比选文件答疑、补遗、澄清等文件内容，不管报价人是否下载，均视为已知晓竞争性比选文件的全部内容和有关事宜。</w:t>
      </w:r>
    </w:p>
    <w:p>
      <w:pPr>
        <w:pStyle w:val="style0"/>
        <w:spacing w:lineRule="auto" w:line="360"/>
        <w:ind w:firstLine="570"/>
        <w:rPr>
          <w:sz w:val="28"/>
          <w:szCs w:val="28"/>
        </w:rPr>
      </w:pPr>
      <w:r>
        <w:rPr>
          <w:rFonts w:hint="eastAsia"/>
          <w:sz w:val="28"/>
          <w:szCs w:val="28"/>
        </w:rPr>
        <w:t>五、竞争性比选响应文件的递交及相关事宜</w:t>
      </w:r>
    </w:p>
    <w:p>
      <w:pPr>
        <w:pStyle w:val="style0"/>
        <w:spacing w:lineRule="auto" w:line="360"/>
        <w:ind w:firstLine="570"/>
        <w:rPr>
          <w:sz w:val="28"/>
          <w:szCs w:val="28"/>
        </w:rPr>
      </w:pPr>
      <w:r>
        <w:rPr>
          <w:rFonts w:hint="eastAsia"/>
          <w:sz w:val="28"/>
          <w:szCs w:val="28"/>
        </w:rPr>
        <w:t xml:space="preserve">5.1报价截止时间和开标时间：2021年7月 </w:t>
      </w:r>
      <w:r>
        <w:rPr>
          <w:rFonts w:hint="eastAsia"/>
          <w:sz w:val="28"/>
          <w:szCs w:val="28"/>
          <w:lang w:val="en-US" w:eastAsia="zh-CN"/>
        </w:rPr>
        <w:t>1</w:t>
      </w:r>
      <w:r>
        <w:rPr>
          <w:rFonts w:hint="eastAsia"/>
          <w:sz w:val="28"/>
          <w:szCs w:val="28"/>
        </w:rPr>
        <w:t>8日下午 14时 00 分（北京时间）。</w:t>
      </w:r>
    </w:p>
    <w:p>
      <w:pPr>
        <w:pStyle w:val="style0"/>
        <w:spacing w:lineRule="auto" w:line="360"/>
        <w:ind w:firstLine="570"/>
        <w:rPr>
          <w:sz w:val="28"/>
          <w:szCs w:val="28"/>
        </w:rPr>
      </w:pPr>
      <w:r>
        <w:rPr>
          <w:rFonts w:hint="eastAsia"/>
          <w:sz w:val="28"/>
          <w:szCs w:val="28"/>
        </w:rPr>
        <w:t>5.2报价的递交：重庆市南岸区四公里内环入口200米处重庆首讯科技大楼</w:t>
      </w:r>
    </w:p>
    <w:p>
      <w:pPr>
        <w:pStyle w:val="style0"/>
        <w:spacing w:lineRule="auto" w:line="360"/>
        <w:ind w:firstLine="570"/>
        <w:rPr>
          <w:sz w:val="28"/>
          <w:szCs w:val="28"/>
        </w:rPr>
      </w:pPr>
      <w:r>
        <w:rPr>
          <w:rFonts w:hint="eastAsia"/>
          <w:sz w:val="28"/>
          <w:szCs w:val="28"/>
        </w:rPr>
        <w:t>5.3采购人不组织工程现场踏勘，召开报价预备会。</w:t>
      </w:r>
    </w:p>
    <w:p>
      <w:pPr>
        <w:pStyle w:val="style0"/>
        <w:spacing w:lineRule="auto" w:line="360"/>
        <w:ind w:firstLine="570"/>
        <w:rPr>
          <w:sz w:val="28"/>
          <w:szCs w:val="28"/>
        </w:rPr>
      </w:pPr>
    </w:p>
    <w:p>
      <w:pPr>
        <w:pStyle w:val="style0"/>
        <w:spacing w:lineRule="auto" w:line="360"/>
        <w:rPr>
          <w:sz w:val="28"/>
          <w:szCs w:val="28"/>
        </w:rPr>
      </w:pPr>
      <w:r>
        <w:rPr>
          <w:rFonts w:hint="eastAsia"/>
          <w:sz w:val="28"/>
          <w:szCs w:val="28"/>
        </w:rPr>
        <w:t>五、工作内容、验收标准</w:t>
      </w:r>
    </w:p>
    <w:p>
      <w:pPr>
        <w:pStyle w:val="style0"/>
        <w:spacing w:lineRule="auto" w:line="360"/>
        <w:ind w:firstLine="570"/>
        <w:rPr>
          <w:sz w:val="28"/>
          <w:szCs w:val="28"/>
        </w:rPr>
      </w:pPr>
      <w:r>
        <w:rPr>
          <w:rFonts w:hint="eastAsia"/>
          <w:sz w:val="28"/>
          <w:szCs w:val="28"/>
        </w:rPr>
        <w:t>工作内容：完成东北营运公司奉巫路（二期）金属结构物检测项目工程量清单及设计</w:t>
      </w:r>
      <w:r>
        <w:rPr>
          <w:rFonts w:hint="eastAsia"/>
          <w:sz w:val="28"/>
          <w:szCs w:val="28"/>
          <w:lang w:val="en-US" w:eastAsia="zh-CN"/>
        </w:rPr>
        <w:t>方案</w:t>
      </w:r>
      <w:r>
        <w:rPr>
          <w:rFonts w:hint="eastAsia"/>
          <w:sz w:val="28"/>
          <w:szCs w:val="28"/>
        </w:rPr>
        <w:t>包含的内容。</w:t>
      </w:r>
    </w:p>
    <w:p>
      <w:pPr>
        <w:pStyle w:val="style0"/>
        <w:spacing w:lineRule="auto" w:line="360"/>
        <w:ind w:firstLine="570"/>
        <w:rPr>
          <w:sz w:val="28"/>
          <w:szCs w:val="28"/>
        </w:rPr>
      </w:pPr>
      <w:r>
        <w:rPr>
          <w:rFonts w:hint="eastAsia"/>
          <w:sz w:val="28"/>
          <w:szCs w:val="28"/>
        </w:rPr>
        <w:t>在“新型冠状病毒”疫情期间，报价人开、复工必须严格执行采购人和项目所在地政府及相关部门的管理规定，做好防疫工作，未经允许不得开、复工。</w:t>
      </w:r>
    </w:p>
    <w:p>
      <w:pPr>
        <w:pStyle w:val="style0"/>
        <w:spacing w:lineRule="auto" w:line="360"/>
        <w:ind w:firstLine="570"/>
        <w:rPr>
          <w:sz w:val="28"/>
          <w:szCs w:val="28"/>
        </w:rPr>
      </w:pPr>
      <w:r>
        <w:rPr>
          <w:rFonts w:hint="eastAsia"/>
          <w:sz w:val="28"/>
          <w:szCs w:val="28"/>
        </w:rPr>
        <w:t>验收标准：需要按国家JTGF80.2-2004公路工程质量检验评定标准进行验收，竣工验收是国家验收的一部分。竣工验收所采用的各项验收和评定标准应符合国家验收标准。发包人和承包人为竣工验收提供的各项竣工验收资料应符合国家验收的要求。</w:t>
      </w:r>
    </w:p>
    <w:p>
      <w:pPr>
        <w:pStyle w:val="style0"/>
        <w:spacing w:lineRule="auto" w:line="360"/>
        <w:ind w:firstLine="570"/>
        <w:rPr>
          <w:sz w:val="28"/>
          <w:szCs w:val="28"/>
        </w:rPr>
      </w:pPr>
    </w:p>
    <w:p>
      <w:pPr>
        <w:pStyle w:val="style0"/>
        <w:spacing w:lineRule="auto" w:line="360"/>
        <w:rPr>
          <w:sz w:val="28"/>
          <w:szCs w:val="28"/>
        </w:rPr>
      </w:pPr>
      <w:r>
        <w:rPr>
          <w:rFonts w:hint="eastAsia"/>
          <w:sz w:val="28"/>
          <w:szCs w:val="28"/>
        </w:rPr>
        <w:t>六、工程量清单：</w:t>
      </w:r>
    </w:p>
    <w:bookmarkStart w:id="1" w:name="_Hlk77681833"/>
    <w:tbl>
      <w:tblPr>
        <w:tblStyle w:val="style105"/>
        <w:tblW w:w="8810" w:type="dxa"/>
        <w:jc w:val="center"/>
        <w:tblLayout w:type="fixed"/>
        <w:tblCellMar>
          <w:top w:w="0" w:type="dxa"/>
          <w:left w:w="108" w:type="dxa"/>
          <w:bottom w:w="0" w:type="dxa"/>
          <w:right w:w="108" w:type="dxa"/>
        </w:tblCellMar>
      </w:tblPr>
      <w:tblGrid>
        <w:gridCol w:w="697"/>
        <w:gridCol w:w="2053"/>
        <w:gridCol w:w="705"/>
        <w:gridCol w:w="960"/>
        <w:gridCol w:w="1140"/>
        <w:gridCol w:w="1605"/>
        <w:gridCol w:w="1650"/>
      </w:tblGrid>
      <w:tr>
        <w:trPr>
          <w:trHeight w:val="750" w:hRule="atLeast"/>
          <w:jc w:val="center"/>
        </w:trPr>
        <w:tc>
          <w:tcPr>
            <w:tcW w:w="8810" w:type="dxa"/>
            <w:gridSpan w:val="7"/>
            <w:tcBorders>
              <w:top w:val="single" w:sz="4" w:space="0" w:color="000000"/>
              <w:left w:val="single" w:sz="4" w:space="0" w:color="000000"/>
              <w:bottom w:val="single" w:sz="4" w:space="0" w:color="000000"/>
              <w:right w:val="single" w:sz="4" w:space="0" w:color="000000"/>
            </w:tcBorders>
          </w:tcPr>
          <w:p>
            <w:pPr>
              <w:pStyle w:val="style0"/>
              <w:widowControl/>
              <w:ind w:firstLine="482" w:firstLineChars="200"/>
              <w:jc w:val="center"/>
              <w:textAlignment w:val="top"/>
              <w:rPr>
                <w:rFonts w:ascii="宋体" w:cs="宋体" w:eastAsia="宋体" w:hAnsi="宋体" w:hint="eastAsia"/>
                <w:b/>
                <w:bCs/>
                <w:sz w:val="24"/>
                <w:lang w:eastAsia="zh-CN"/>
              </w:rPr>
            </w:pPr>
            <w:r>
              <w:rPr>
                <w:rFonts w:ascii="宋体" w:cs="宋体" w:hAnsi="宋体" w:hint="eastAsia"/>
                <w:b/>
                <w:bCs/>
                <w:kern w:val="0"/>
                <w:sz w:val="24"/>
              </w:rPr>
              <w:t>东北营运公司奉巫路（二期）金属结构物检测项目</w:t>
            </w:r>
            <w:bookmarkEnd w:id="1"/>
            <w:r>
              <w:rPr>
                <w:rFonts w:ascii="宋体" w:cs="宋体" w:hAnsi="宋体" w:hint="eastAsia"/>
                <w:b/>
                <w:bCs/>
                <w:kern w:val="0"/>
                <w:sz w:val="24"/>
                <w:lang w:eastAsia="zh-CN"/>
              </w:rPr>
              <w:t>（</w:t>
            </w:r>
            <w:r>
              <w:rPr>
                <w:rFonts w:ascii="宋体" w:cs="宋体" w:hAnsi="宋体" w:hint="eastAsia"/>
                <w:b/>
                <w:bCs/>
                <w:kern w:val="0"/>
                <w:sz w:val="24"/>
                <w:lang w:val="en-US" w:eastAsia="zh-CN"/>
              </w:rPr>
              <w:t>第二次</w:t>
            </w:r>
            <w:r>
              <w:rPr>
                <w:rFonts w:ascii="宋体" w:cs="宋体" w:hAnsi="宋体" w:hint="eastAsia"/>
                <w:b/>
                <w:bCs/>
                <w:kern w:val="0"/>
                <w:sz w:val="24"/>
                <w:lang w:eastAsia="zh-CN"/>
              </w:rPr>
              <w:t>）</w:t>
            </w:r>
          </w:p>
        </w:tc>
      </w:tr>
      <w:tr>
        <w:tblPrEx/>
        <w:trPr>
          <w:trHeight w:val="600" w:hRule="atLeast"/>
          <w:jc w:val="center"/>
        </w:trPr>
        <w:tc>
          <w:tcPr>
            <w:tcW w:w="697"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hAnsi="宋体"/>
                <w:b/>
                <w:bCs/>
                <w:sz w:val="20"/>
                <w:szCs w:val="20"/>
              </w:rPr>
            </w:pPr>
            <w:r>
              <w:rPr>
                <w:rFonts w:ascii="宋体" w:cs="宋体" w:hAnsi="宋体" w:hint="eastAsia"/>
                <w:b/>
                <w:bCs/>
                <w:kern w:val="0"/>
                <w:sz w:val="20"/>
                <w:szCs w:val="20"/>
              </w:rPr>
              <w:t>子目号</w:t>
            </w:r>
          </w:p>
        </w:tc>
        <w:tc>
          <w:tcPr>
            <w:tcW w:w="2053"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hAnsi="宋体"/>
                <w:b/>
                <w:bCs/>
                <w:sz w:val="20"/>
                <w:szCs w:val="20"/>
              </w:rPr>
            </w:pPr>
            <w:r>
              <w:rPr>
                <w:rFonts w:ascii="宋体" w:cs="宋体" w:hAnsi="宋体" w:hint="eastAsia"/>
                <w:b/>
                <w:bCs/>
                <w:kern w:val="0"/>
                <w:sz w:val="20"/>
                <w:szCs w:val="20"/>
              </w:rPr>
              <w:t>子目名称</w:t>
            </w:r>
          </w:p>
        </w:tc>
        <w:tc>
          <w:tcPr>
            <w:tcW w:w="705"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hAnsi="宋体"/>
                <w:b/>
                <w:bCs/>
                <w:sz w:val="20"/>
                <w:szCs w:val="20"/>
              </w:rPr>
            </w:pPr>
            <w:r>
              <w:rPr>
                <w:rFonts w:ascii="宋体" w:cs="宋体" w:hAnsi="宋体" w:hint="eastAsia"/>
                <w:b/>
                <w:bCs/>
                <w:kern w:val="0"/>
                <w:sz w:val="20"/>
                <w:szCs w:val="20"/>
              </w:rPr>
              <w:t>单位</w:t>
            </w:r>
          </w:p>
        </w:tc>
        <w:tc>
          <w:tcPr>
            <w:tcW w:w="960"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hAnsi="宋体"/>
                <w:b/>
                <w:bCs/>
                <w:sz w:val="20"/>
                <w:szCs w:val="20"/>
              </w:rPr>
            </w:pPr>
            <w:r>
              <w:rPr>
                <w:rFonts w:ascii="宋体" w:cs="宋体" w:hAnsi="宋体" w:hint="eastAsia"/>
                <w:b/>
                <w:bCs/>
                <w:kern w:val="0"/>
                <w:sz w:val="20"/>
                <w:szCs w:val="20"/>
              </w:rPr>
              <w:t>数量</w:t>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hAnsi="宋体"/>
                <w:b/>
                <w:bCs/>
                <w:sz w:val="20"/>
                <w:szCs w:val="20"/>
              </w:rPr>
            </w:pPr>
            <w:r>
              <w:rPr>
                <w:rFonts w:ascii="宋体" w:cs="宋体" w:hAnsi="宋体" w:hint="eastAsia"/>
                <w:b/>
                <w:bCs/>
                <w:kern w:val="0"/>
                <w:sz w:val="20"/>
                <w:szCs w:val="20"/>
              </w:rPr>
              <w:t>单价（元）</w:t>
            </w:r>
          </w:p>
        </w:tc>
        <w:tc>
          <w:tcPr>
            <w:tcW w:w="1605"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hAnsi="宋体"/>
                <w:b/>
                <w:bCs/>
                <w:sz w:val="20"/>
                <w:szCs w:val="20"/>
              </w:rPr>
            </w:pPr>
            <w:r>
              <w:rPr>
                <w:rFonts w:ascii="宋体" w:cs="宋体" w:hAnsi="宋体" w:hint="eastAsia"/>
                <w:b/>
                <w:bCs/>
                <w:kern w:val="0"/>
                <w:sz w:val="20"/>
                <w:szCs w:val="20"/>
              </w:rPr>
              <w:t>合价（元）</w:t>
            </w:r>
          </w:p>
        </w:tc>
        <w:tc>
          <w:tcPr>
            <w:tcW w:w="1650"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hAnsi="宋体"/>
                <w:b/>
                <w:bCs/>
                <w:sz w:val="20"/>
                <w:szCs w:val="20"/>
              </w:rPr>
            </w:pPr>
            <w:r>
              <w:rPr>
                <w:rFonts w:ascii="宋体" w:cs="宋体" w:hAnsi="宋体" w:hint="eastAsia"/>
                <w:b/>
                <w:bCs/>
                <w:kern w:val="0"/>
                <w:sz w:val="20"/>
                <w:szCs w:val="20"/>
              </w:rPr>
              <w:t>备注</w:t>
            </w:r>
          </w:p>
        </w:tc>
      </w:tr>
      <w:tr>
        <w:tblPrEx/>
        <w:trPr>
          <w:trHeight w:val="600" w:hRule="atLeast"/>
          <w:jc w:val="center"/>
        </w:trPr>
        <w:tc>
          <w:tcPr>
            <w:tcW w:w="697"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hAnsi="宋体"/>
                <w:sz w:val="20"/>
                <w:szCs w:val="20"/>
              </w:rPr>
            </w:pPr>
            <w:r>
              <w:rPr>
                <w:rFonts w:ascii="宋体" w:cs="宋体" w:hAnsi="宋体" w:hint="eastAsia"/>
                <w:kern w:val="0"/>
                <w:sz w:val="20"/>
                <w:szCs w:val="20"/>
              </w:rPr>
              <w:t>1</w:t>
            </w:r>
          </w:p>
        </w:tc>
        <w:tc>
          <w:tcPr>
            <w:tcW w:w="2053"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hAnsi="宋体"/>
                <w:sz w:val="20"/>
                <w:szCs w:val="20"/>
              </w:rPr>
            </w:pPr>
            <w:r>
              <w:rPr>
                <w:rFonts w:ascii="宋体" w:cs="宋体" w:hAnsi="宋体" w:hint="eastAsia"/>
                <w:sz w:val="20"/>
                <w:szCs w:val="20"/>
              </w:rPr>
              <w:t>风机</w:t>
            </w:r>
          </w:p>
        </w:tc>
        <w:tc>
          <w:tcPr>
            <w:tcW w:w="705"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hAnsi="宋体"/>
                <w:sz w:val="20"/>
                <w:szCs w:val="20"/>
              </w:rPr>
            </w:pPr>
            <w:r>
              <w:rPr>
                <w:rFonts w:ascii="宋体" w:cs="宋体" w:hAnsi="宋体" w:hint="eastAsia"/>
                <w:sz w:val="20"/>
                <w:szCs w:val="20"/>
              </w:rPr>
              <w:t>台</w:t>
            </w:r>
          </w:p>
        </w:tc>
        <w:tc>
          <w:tcPr>
            <w:tcW w:w="960"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hAnsi="宋体"/>
                <w:sz w:val="20"/>
                <w:szCs w:val="20"/>
              </w:rPr>
            </w:pPr>
            <w:r>
              <w:rPr>
                <w:rFonts w:ascii="宋体" w:cs="宋体" w:hAnsi="宋体" w:hint="eastAsia"/>
                <w:sz w:val="20"/>
                <w:szCs w:val="20"/>
              </w:rPr>
              <w:t>1</w:t>
            </w:r>
            <w:r>
              <w:rPr>
                <w:rFonts w:ascii="宋体" w:cs="宋体" w:hAnsi="宋体"/>
                <w:sz w:val="20"/>
                <w:szCs w:val="20"/>
              </w:rPr>
              <w:t>32</w:t>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style0"/>
              <w:jc w:val="right"/>
              <w:rPr>
                <w:rFonts w:ascii="宋体" w:cs="宋体" w:hAnsi="宋体"/>
                <w:sz w:val="20"/>
                <w:szCs w:val="20"/>
              </w:rPr>
            </w:pPr>
          </w:p>
        </w:tc>
        <w:tc>
          <w:tcPr>
            <w:tcW w:w="1605" w:type="dxa"/>
            <w:tcBorders>
              <w:top w:val="single" w:sz="4" w:space="0" w:color="000000"/>
              <w:left w:val="single" w:sz="4" w:space="0" w:color="000000"/>
              <w:bottom w:val="single" w:sz="4" w:space="0" w:color="000000"/>
              <w:right w:val="single" w:sz="4" w:space="0" w:color="000000"/>
            </w:tcBorders>
            <w:vAlign w:val="center"/>
          </w:tcPr>
          <w:p>
            <w:pPr>
              <w:pStyle w:val="style0"/>
              <w:jc w:val="right"/>
              <w:rPr>
                <w:rFonts w:ascii="宋体" w:cs="宋体" w:hAnsi="宋体"/>
                <w:sz w:val="20"/>
                <w:szCs w:val="20"/>
              </w:rPr>
            </w:pPr>
          </w:p>
        </w:tc>
        <w:tc>
          <w:tcPr>
            <w:tcW w:w="1650" w:type="dxa"/>
            <w:vMerge w:val="restart"/>
            <w:tcBorders>
              <w:top w:val="single" w:sz="4" w:space="0" w:color="000000"/>
              <w:left w:val="single" w:sz="4" w:space="0" w:color="000000"/>
              <w:right w:val="single" w:sz="4" w:space="0" w:color="000000"/>
            </w:tcBorders>
            <w:vAlign w:val="center"/>
          </w:tcPr>
          <w:p>
            <w:pPr>
              <w:pStyle w:val="style0"/>
              <w:widowControl/>
              <w:jc w:val="center"/>
              <w:textAlignment w:val="center"/>
              <w:rPr>
                <w:rFonts w:ascii="宋体" w:cs="宋体" w:hAnsi="宋体"/>
                <w:sz w:val="20"/>
                <w:szCs w:val="20"/>
              </w:rPr>
            </w:pPr>
          </w:p>
          <w:p>
            <w:pPr>
              <w:pStyle w:val="style0"/>
              <w:widowControl/>
              <w:jc w:val="center"/>
              <w:textAlignment w:val="center"/>
              <w:rPr>
                <w:rFonts w:ascii="宋体" w:cs="宋体" w:hAnsi="宋体"/>
                <w:sz w:val="20"/>
                <w:szCs w:val="20"/>
              </w:rPr>
            </w:pPr>
          </w:p>
          <w:p>
            <w:pPr>
              <w:pStyle w:val="style0"/>
              <w:widowControl/>
              <w:jc w:val="center"/>
              <w:textAlignment w:val="center"/>
              <w:rPr>
                <w:rFonts w:ascii="宋体" w:cs="宋体" w:hAnsi="宋体"/>
                <w:sz w:val="20"/>
                <w:szCs w:val="20"/>
              </w:rPr>
            </w:pPr>
          </w:p>
          <w:p>
            <w:pPr>
              <w:pStyle w:val="style0"/>
              <w:widowControl/>
              <w:jc w:val="center"/>
              <w:textAlignment w:val="center"/>
              <w:rPr>
                <w:rFonts w:ascii="宋体" w:cs="宋体" w:hAnsi="宋体"/>
                <w:sz w:val="20"/>
                <w:szCs w:val="20"/>
              </w:rPr>
            </w:pPr>
          </w:p>
          <w:p>
            <w:pPr>
              <w:pStyle w:val="style0"/>
              <w:widowControl/>
              <w:jc w:val="center"/>
              <w:textAlignment w:val="center"/>
              <w:rPr>
                <w:rFonts w:ascii="宋体" w:cs="宋体" w:hAnsi="宋体"/>
                <w:sz w:val="20"/>
                <w:szCs w:val="20"/>
              </w:rPr>
            </w:pPr>
            <w:r>
              <w:rPr>
                <w:rFonts w:ascii="宋体" w:cs="宋体" w:hAnsi="宋体" w:hint="eastAsia"/>
                <w:sz w:val="20"/>
                <w:szCs w:val="20"/>
              </w:rPr>
              <w:t>含少许锈蚀部位，防锈处理刷漆。</w:t>
            </w:r>
          </w:p>
          <w:p>
            <w:pPr>
              <w:pStyle w:val="style0"/>
              <w:widowControl/>
              <w:jc w:val="center"/>
              <w:textAlignment w:val="center"/>
              <w:rPr>
                <w:rFonts w:ascii="宋体" w:cs="宋体" w:hAnsi="宋体"/>
                <w:sz w:val="20"/>
                <w:szCs w:val="20"/>
              </w:rPr>
            </w:pPr>
          </w:p>
          <w:p>
            <w:pPr>
              <w:pStyle w:val="style0"/>
              <w:widowControl/>
              <w:jc w:val="center"/>
              <w:textAlignment w:val="center"/>
              <w:rPr>
                <w:rFonts w:ascii="宋体" w:cs="宋体" w:hAnsi="宋体"/>
                <w:sz w:val="20"/>
                <w:szCs w:val="20"/>
              </w:rPr>
            </w:pPr>
          </w:p>
          <w:p>
            <w:pPr>
              <w:pStyle w:val="style0"/>
              <w:widowControl/>
              <w:jc w:val="center"/>
              <w:textAlignment w:val="center"/>
              <w:rPr>
                <w:rFonts w:ascii="宋体" w:cs="宋体" w:hAnsi="宋体"/>
                <w:sz w:val="20"/>
                <w:szCs w:val="20"/>
              </w:rPr>
            </w:pPr>
          </w:p>
          <w:p>
            <w:pPr>
              <w:pStyle w:val="style0"/>
              <w:widowControl/>
              <w:textAlignment w:val="center"/>
              <w:rPr>
                <w:rFonts w:ascii="宋体" w:cs="宋体" w:hAnsi="宋体"/>
                <w:sz w:val="20"/>
                <w:szCs w:val="20"/>
              </w:rPr>
            </w:pPr>
          </w:p>
        </w:tc>
      </w:tr>
      <w:tr>
        <w:tblPrEx/>
        <w:trPr>
          <w:trHeight w:val="600" w:hRule="atLeast"/>
          <w:jc w:val="center"/>
        </w:trPr>
        <w:tc>
          <w:tcPr>
            <w:tcW w:w="697"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hAnsi="宋体"/>
                <w:sz w:val="20"/>
                <w:szCs w:val="20"/>
              </w:rPr>
            </w:pPr>
            <w:r>
              <w:rPr>
                <w:rFonts w:ascii="宋体" w:cs="宋体" w:hAnsi="宋体" w:hint="eastAsia"/>
                <w:kern w:val="0"/>
                <w:sz w:val="20"/>
                <w:szCs w:val="20"/>
              </w:rPr>
              <w:t>2</w:t>
            </w:r>
          </w:p>
        </w:tc>
        <w:tc>
          <w:tcPr>
            <w:tcW w:w="2053"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hAnsi="宋体"/>
                <w:sz w:val="20"/>
                <w:szCs w:val="20"/>
              </w:rPr>
            </w:pPr>
            <w:r>
              <w:rPr>
                <w:rFonts w:ascii="宋体" w:cs="宋体" w:hAnsi="宋体" w:hint="eastAsia"/>
                <w:sz w:val="20"/>
                <w:szCs w:val="20"/>
              </w:rPr>
              <w:t>小型情报板</w:t>
            </w:r>
          </w:p>
        </w:tc>
        <w:tc>
          <w:tcPr>
            <w:tcW w:w="705"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hAnsi="宋体"/>
                <w:sz w:val="20"/>
                <w:szCs w:val="20"/>
              </w:rPr>
            </w:pPr>
            <w:r>
              <w:rPr>
                <w:rFonts w:ascii="宋体" w:cs="宋体" w:hAnsi="宋体" w:hint="eastAsia"/>
                <w:sz w:val="20"/>
                <w:szCs w:val="20"/>
              </w:rPr>
              <w:t>套</w:t>
            </w:r>
          </w:p>
        </w:tc>
        <w:tc>
          <w:tcPr>
            <w:tcW w:w="960"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hAnsi="宋体"/>
                <w:sz w:val="20"/>
                <w:szCs w:val="20"/>
              </w:rPr>
            </w:pPr>
            <w:r>
              <w:rPr>
                <w:rFonts w:ascii="宋体" w:cs="宋体" w:hAnsi="宋体" w:hint="eastAsia"/>
                <w:sz w:val="20"/>
                <w:szCs w:val="20"/>
              </w:rPr>
              <w:t>1</w:t>
            </w:r>
            <w:r>
              <w:rPr>
                <w:rFonts w:ascii="宋体" w:cs="宋体" w:hAnsi="宋体"/>
                <w:sz w:val="20"/>
                <w:szCs w:val="20"/>
              </w:rPr>
              <w:t>0</w:t>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style0"/>
              <w:jc w:val="right"/>
              <w:rPr>
                <w:rFonts w:ascii="宋体" w:cs="宋体" w:hAnsi="宋体"/>
                <w:sz w:val="20"/>
                <w:szCs w:val="20"/>
              </w:rPr>
            </w:pPr>
          </w:p>
        </w:tc>
        <w:tc>
          <w:tcPr>
            <w:tcW w:w="1605" w:type="dxa"/>
            <w:tcBorders>
              <w:top w:val="single" w:sz="4" w:space="0" w:color="000000"/>
              <w:left w:val="single" w:sz="4" w:space="0" w:color="000000"/>
              <w:bottom w:val="single" w:sz="4" w:space="0" w:color="000000"/>
              <w:right w:val="single" w:sz="4" w:space="0" w:color="000000"/>
            </w:tcBorders>
            <w:vAlign w:val="center"/>
          </w:tcPr>
          <w:p>
            <w:pPr>
              <w:pStyle w:val="style0"/>
              <w:jc w:val="right"/>
              <w:rPr>
                <w:rFonts w:ascii="宋体" w:cs="宋体" w:hAnsi="宋体"/>
                <w:sz w:val="20"/>
                <w:szCs w:val="20"/>
              </w:rPr>
            </w:pPr>
          </w:p>
        </w:tc>
        <w:tc>
          <w:tcPr>
            <w:tcW w:w="1650" w:type="dxa"/>
            <w:vMerge w:val="continue"/>
            <w:tcBorders>
              <w:left w:val="single" w:sz="4" w:space="0" w:color="000000"/>
              <w:right w:val="single" w:sz="4" w:space="0" w:color="000000"/>
            </w:tcBorders>
            <w:vAlign w:val="center"/>
          </w:tcPr>
          <w:p>
            <w:pPr>
              <w:pStyle w:val="style0"/>
              <w:widowControl/>
              <w:jc w:val="center"/>
              <w:textAlignment w:val="center"/>
              <w:rPr>
                <w:rFonts w:ascii="宋体" w:cs="宋体" w:hAnsi="宋体"/>
                <w:sz w:val="20"/>
                <w:szCs w:val="20"/>
              </w:rPr>
            </w:pPr>
          </w:p>
        </w:tc>
      </w:tr>
      <w:tr>
        <w:tblPrEx/>
        <w:trPr>
          <w:trHeight w:val="600" w:hRule="atLeast"/>
          <w:jc w:val="center"/>
        </w:trPr>
        <w:tc>
          <w:tcPr>
            <w:tcW w:w="697"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hAnsi="宋体"/>
                <w:sz w:val="20"/>
                <w:szCs w:val="20"/>
              </w:rPr>
            </w:pPr>
            <w:r>
              <w:rPr>
                <w:rFonts w:ascii="宋体" w:cs="宋体" w:hAnsi="宋体" w:hint="eastAsia"/>
                <w:kern w:val="0"/>
                <w:sz w:val="20"/>
                <w:szCs w:val="20"/>
              </w:rPr>
              <w:t>1</w:t>
            </w:r>
          </w:p>
        </w:tc>
        <w:tc>
          <w:tcPr>
            <w:tcW w:w="2053"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hAnsi="宋体"/>
                <w:sz w:val="22"/>
                <w:szCs w:val="22"/>
              </w:rPr>
            </w:pPr>
            <w:r>
              <w:rPr>
                <w:rFonts w:ascii="宋体" w:cs="宋体" w:hAnsi="宋体" w:hint="eastAsia"/>
                <w:sz w:val="22"/>
                <w:szCs w:val="22"/>
              </w:rPr>
              <w:t>车道信息指示灯</w:t>
            </w:r>
          </w:p>
        </w:tc>
        <w:tc>
          <w:tcPr>
            <w:tcW w:w="705"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hAnsi="宋体"/>
                <w:sz w:val="22"/>
                <w:szCs w:val="22"/>
              </w:rPr>
            </w:pPr>
            <w:r>
              <w:rPr>
                <w:rFonts w:ascii="宋体" w:cs="宋体" w:hAnsi="宋体" w:hint="eastAsia"/>
                <w:sz w:val="22"/>
                <w:szCs w:val="22"/>
              </w:rPr>
              <w:t>套</w:t>
            </w:r>
          </w:p>
        </w:tc>
        <w:tc>
          <w:tcPr>
            <w:tcW w:w="960"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hAnsi="宋体"/>
                <w:sz w:val="22"/>
                <w:szCs w:val="22"/>
              </w:rPr>
            </w:pPr>
            <w:r>
              <w:rPr>
                <w:rFonts w:ascii="宋体" w:cs="宋体" w:hAnsi="宋体" w:hint="eastAsia"/>
                <w:sz w:val="22"/>
                <w:szCs w:val="22"/>
              </w:rPr>
              <w:t>2</w:t>
            </w:r>
            <w:r>
              <w:rPr>
                <w:rFonts w:ascii="宋体" w:cs="宋体" w:hAnsi="宋体"/>
                <w:sz w:val="22"/>
                <w:szCs w:val="22"/>
              </w:rPr>
              <w:t>52</w:t>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style0"/>
              <w:jc w:val="right"/>
              <w:rPr>
                <w:rFonts w:ascii="宋体" w:cs="宋体" w:hAnsi="宋体"/>
                <w:sz w:val="20"/>
                <w:szCs w:val="20"/>
              </w:rPr>
            </w:pPr>
          </w:p>
        </w:tc>
        <w:tc>
          <w:tcPr>
            <w:tcW w:w="1605" w:type="dxa"/>
            <w:tcBorders>
              <w:top w:val="single" w:sz="4" w:space="0" w:color="000000"/>
              <w:left w:val="single" w:sz="4" w:space="0" w:color="000000"/>
              <w:bottom w:val="single" w:sz="4" w:space="0" w:color="000000"/>
              <w:right w:val="single" w:sz="4" w:space="0" w:color="000000"/>
            </w:tcBorders>
            <w:vAlign w:val="center"/>
          </w:tcPr>
          <w:p>
            <w:pPr>
              <w:pStyle w:val="style0"/>
              <w:jc w:val="right"/>
              <w:rPr>
                <w:rFonts w:ascii="宋体" w:cs="宋体" w:hAnsi="宋体"/>
                <w:sz w:val="20"/>
                <w:szCs w:val="20"/>
              </w:rPr>
            </w:pPr>
          </w:p>
        </w:tc>
        <w:tc>
          <w:tcPr>
            <w:tcW w:w="1650" w:type="dxa"/>
            <w:vMerge w:val="continue"/>
            <w:tcBorders>
              <w:left w:val="single" w:sz="4" w:space="0" w:color="000000"/>
              <w:right w:val="single" w:sz="4" w:space="0" w:color="000000"/>
            </w:tcBorders>
            <w:vAlign w:val="center"/>
          </w:tcPr>
          <w:p>
            <w:pPr>
              <w:pStyle w:val="style0"/>
              <w:jc w:val="center"/>
              <w:rPr>
                <w:rFonts w:ascii="宋体" w:cs="宋体" w:hAnsi="宋体"/>
                <w:sz w:val="20"/>
                <w:szCs w:val="20"/>
              </w:rPr>
            </w:pPr>
          </w:p>
        </w:tc>
      </w:tr>
      <w:tr>
        <w:tblPrEx/>
        <w:trPr>
          <w:trHeight w:val="600" w:hRule="atLeast"/>
          <w:jc w:val="center"/>
        </w:trPr>
        <w:tc>
          <w:tcPr>
            <w:tcW w:w="697"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hAnsi="宋体"/>
                <w:sz w:val="20"/>
                <w:szCs w:val="20"/>
              </w:rPr>
            </w:pPr>
            <w:r>
              <w:rPr>
                <w:rFonts w:ascii="宋体" w:cs="宋体" w:hAnsi="宋体" w:hint="eastAsia"/>
                <w:kern w:val="0"/>
                <w:sz w:val="20"/>
                <w:szCs w:val="20"/>
              </w:rPr>
              <w:t>2</w:t>
            </w:r>
          </w:p>
        </w:tc>
        <w:tc>
          <w:tcPr>
            <w:tcW w:w="2053"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hAnsi="宋体"/>
                <w:sz w:val="22"/>
                <w:szCs w:val="22"/>
              </w:rPr>
            </w:pPr>
            <w:r>
              <w:rPr>
                <w:rFonts w:ascii="宋体" w:cs="宋体" w:hAnsi="宋体" w:hint="eastAsia"/>
                <w:sz w:val="22"/>
                <w:szCs w:val="22"/>
              </w:rPr>
              <w:t>交通信号三色灯</w:t>
            </w:r>
          </w:p>
        </w:tc>
        <w:tc>
          <w:tcPr>
            <w:tcW w:w="705"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hAnsi="宋体"/>
                <w:sz w:val="22"/>
                <w:szCs w:val="22"/>
              </w:rPr>
            </w:pPr>
            <w:r>
              <w:rPr>
                <w:rFonts w:ascii="宋体" w:cs="宋体" w:hAnsi="宋体" w:hint="eastAsia"/>
                <w:sz w:val="22"/>
                <w:szCs w:val="22"/>
              </w:rPr>
              <w:t>套</w:t>
            </w:r>
          </w:p>
        </w:tc>
        <w:tc>
          <w:tcPr>
            <w:tcW w:w="960"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hAnsi="宋体"/>
                <w:sz w:val="22"/>
                <w:szCs w:val="22"/>
              </w:rPr>
            </w:pPr>
            <w:r>
              <w:rPr>
                <w:rFonts w:ascii="宋体" w:cs="宋体" w:hAnsi="宋体" w:hint="eastAsia"/>
                <w:sz w:val="22"/>
                <w:szCs w:val="22"/>
              </w:rPr>
              <w:t>4</w:t>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style0"/>
              <w:jc w:val="right"/>
              <w:rPr>
                <w:rFonts w:ascii="宋体" w:cs="宋体" w:hAnsi="宋体"/>
                <w:sz w:val="20"/>
                <w:szCs w:val="20"/>
              </w:rPr>
            </w:pPr>
          </w:p>
        </w:tc>
        <w:tc>
          <w:tcPr>
            <w:tcW w:w="1605" w:type="dxa"/>
            <w:tcBorders>
              <w:top w:val="single" w:sz="4" w:space="0" w:color="000000"/>
              <w:left w:val="single" w:sz="4" w:space="0" w:color="000000"/>
              <w:bottom w:val="single" w:sz="4" w:space="0" w:color="000000"/>
              <w:right w:val="single" w:sz="4" w:space="0" w:color="000000"/>
            </w:tcBorders>
            <w:vAlign w:val="center"/>
          </w:tcPr>
          <w:p>
            <w:pPr>
              <w:pStyle w:val="style0"/>
              <w:jc w:val="right"/>
              <w:rPr>
                <w:rFonts w:ascii="宋体" w:cs="宋体" w:hAnsi="宋体"/>
                <w:sz w:val="20"/>
                <w:szCs w:val="20"/>
              </w:rPr>
            </w:pPr>
          </w:p>
        </w:tc>
        <w:tc>
          <w:tcPr>
            <w:tcW w:w="1650" w:type="dxa"/>
            <w:vMerge w:val="continue"/>
            <w:tcBorders>
              <w:left w:val="single" w:sz="4" w:space="0" w:color="000000"/>
              <w:right w:val="single" w:sz="4" w:space="0" w:color="000000"/>
            </w:tcBorders>
            <w:vAlign w:val="center"/>
          </w:tcPr>
          <w:p>
            <w:pPr>
              <w:pStyle w:val="style0"/>
              <w:jc w:val="center"/>
              <w:rPr>
                <w:rFonts w:ascii="宋体" w:cs="宋体" w:hAnsi="宋体"/>
                <w:sz w:val="20"/>
                <w:szCs w:val="20"/>
              </w:rPr>
            </w:pPr>
          </w:p>
        </w:tc>
      </w:tr>
      <w:tr>
        <w:tblPrEx/>
        <w:trPr>
          <w:trHeight w:val="600" w:hRule="atLeast"/>
          <w:jc w:val="center"/>
        </w:trPr>
        <w:tc>
          <w:tcPr>
            <w:tcW w:w="697"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hAnsi="宋体"/>
                <w:sz w:val="20"/>
                <w:szCs w:val="20"/>
              </w:rPr>
            </w:pPr>
            <w:r>
              <w:rPr>
                <w:rFonts w:ascii="宋体" w:cs="宋体" w:hAnsi="宋体" w:hint="eastAsia"/>
                <w:kern w:val="0"/>
                <w:sz w:val="20"/>
                <w:szCs w:val="20"/>
              </w:rPr>
              <w:t>3</w:t>
            </w:r>
          </w:p>
        </w:tc>
        <w:tc>
          <w:tcPr>
            <w:tcW w:w="2053"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hAnsi="宋体"/>
                <w:sz w:val="22"/>
                <w:szCs w:val="22"/>
              </w:rPr>
            </w:pPr>
            <w:r>
              <w:rPr>
                <w:rFonts w:ascii="宋体" w:cs="宋体" w:hAnsi="宋体" w:hint="eastAsia"/>
                <w:sz w:val="22"/>
                <w:szCs w:val="22"/>
              </w:rPr>
              <w:t>F情报板</w:t>
            </w:r>
          </w:p>
        </w:tc>
        <w:tc>
          <w:tcPr>
            <w:tcW w:w="705"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hAnsi="宋体"/>
                <w:sz w:val="22"/>
                <w:szCs w:val="22"/>
              </w:rPr>
            </w:pPr>
            <w:r>
              <w:rPr>
                <w:rFonts w:ascii="宋体" w:cs="宋体" w:hAnsi="宋体" w:hint="eastAsia"/>
                <w:sz w:val="22"/>
                <w:szCs w:val="22"/>
              </w:rPr>
              <w:t>套</w:t>
            </w:r>
          </w:p>
        </w:tc>
        <w:tc>
          <w:tcPr>
            <w:tcW w:w="960"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hAnsi="宋体"/>
                <w:sz w:val="22"/>
                <w:szCs w:val="22"/>
              </w:rPr>
            </w:pPr>
            <w:r>
              <w:rPr>
                <w:rFonts w:ascii="宋体" w:cs="宋体" w:hAnsi="宋体" w:hint="eastAsia"/>
                <w:sz w:val="22"/>
                <w:szCs w:val="22"/>
              </w:rPr>
              <w:t>1</w:t>
            </w:r>
            <w:r>
              <w:rPr>
                <w:rFonts w:ascii="宋体" w:cs="宋体" w:hAnsi="宋体"/>
                <w:sz w:val="22"/>
                <w:szCs w:val="22"/>
              </w:rPr>
              <w:t>3</w:t>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style0"/>
              <w:jc w:val="right"/>
              <w:rPr>
                <w:rFonts w:ascii="宋体" w:cs="宋体" w:hAnsi="宋体"/>
                <w:sz w:val="20"/>
                <w:szCs w:val="20"/>
              </w:rPr>
            </w:pPr>
          </w:p>
        </w:tc>
        <w:tc>
          <w:tcPr>
            <w:tcW w:w="1605" w:type="dxa"/>
            <w:tcBorders>
              <w:top w:val="single" w:sz="4" w:space="0" w:color="000000"/>
              <w:left w:val="single" w:sz="4" w:space="0" w:color="000000"/>
              <w:bottom w:val="single" w:sz="4" w:space="0" w:color="000000"/>
              <w:right w:val="single" w:sz="4" w:space="0" w:color="000000"/>
            </w:tcBorders>
            <w:vAlign w:val="center"/>
          </w:tcPr>
          <w:p>
            <w:pPr>
              <w:pStyle w:val="style0"/>
              <w:jc w:val="right"/>
              <w:rPr>
                <w:rFonts w:ascii="宋体" w:cs="宋体" w:hAnsi="宋体"/>
                <w:sz w:val="20"/>
                <w:szCs w:val="20"/>
              </w:rPr>
            </w:pPr>
          </w:p>
        </w:tc>
        <w:tc>
          <w:tcPr>
            <w:tcW w:w="1650" w:type="dxa"/>
            <w:vMerge w:val="continue"/>
            <w:tcBorders>
              <w:left w:val="single" w:sz="4" w:space="0" w:color="000000"/>
              <w:right w:val="single" w:sz="4" w:space="0" w:color="000000"/>
            </w:tcBorders>
            <w:vAlign w:val="center"/>
          </w:tcPr>
          <w:p>
            <w:pPr>
              <w:pStyle w:val="style0"/>
              <w:jc w:val="center"/>
              <w:rPr>
                <w:rFonts w:ascii="宋体" w:cs="宋体" w:hAnsi="宋体"/>
                <w:sz w:val="20"/>
                <w:szCs w:val="20"/>
              </w:rPr>
            </w:pPr>
          </w:p>
        </w:tc>
      </w:tr>
      <w:tr>
        <w:tblPrEx/>
        <w:trPr>
          <w:trHeight w:val="600" w:hRule="atLeast"/>
          <w:jc w:val="center"/>
        </w:trPr>
        <w:tc>
          <w:tcPr>
            <w:tcW w:w="697"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hAnsi="宋体"/>
                <w:sz w:val="20"/>
                <w:szCs w:val="20"/>
              </w:rPr>
            </w:pPr>
            <w:r>
              <w:rPr>
                <w:rFonts w:ascii="宋体" w:cs="宋体" w:hAnsi="宋体" w:hint="eastAsia"/>
                <w:kern w:val="0"/>
                <w:sz w:val="20"/>
                <w:szCs w:val="20"/>
              </w:rPr>
              <w:t>4</w:t>
            </w:r>
          </w:p>
        </w:tc>
        <w:tc>
          <w:tcPr>
            <w:tcW w:w="2053"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hAnsi="宋体"/>
                <w:sz w:val="22"/>
                <w:szCs w:val="22"/>
              </w:rPr>
            </w:pPr>
            <w:r>
              <w:rPr>
                <w:rFonts w:ascii="宋体" w:cs="宋体" w:hAnsi="宋体" w:hint="eastAsia"/>
                <w:sz w:val="22"/>
                <w:szCs w:val="22"/>
              </w:rPr>
              <w:t>电缆桥架</w:t>
            </w:r>
          </w:p>
        </w:tc>
        <w:tc>
          <w:tcPr>
            <w:tcW w:w="705"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hAnsi="宋体"/>
                <w:sz w:val="22"/>
                <w:szCs w:val="22"/>
              </w:rPr>
            </w:pPr>
            <w:r>
              <w:rPr>
                <w:rFonts w:ascii="宋体" w:cs="宋体" w:hAnsi="宋体" w:hint="eastAsia"/>
                <w:sz w:val="22"/>
                <w:szCs w:val="22"/>
              </w:rPr>
              <w:t>米</w:t>
            </w:r>
          </w:p>
        </w:tc>
        <w:tc>
          <w:tcPr>
            <w:tcW w:w="960"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hAnsi="宋体"/>
                <w:sz w:val="22"/>
                <w:szCs w:val="22"/>
              </w:rPr>
            </w:pPr>
            <w:r>
              <w:rPr>
                <w:rFonts w:ascii="宋体" w:cs="宋体" w:hAnsi="宋体" w:hint="eastAsia"/>
                <w:sz w:val="22"/>
                <w:szCs w:val="22"/>
              </w:rPr>
              <w:t>3</w:t>
            </w:r>
            <w:r>
              <w:rPr>
                <w:rFonts w:ascii="宋体" w:cs="宋体" w:hAnsi="宋体"/>
                <w:sz w:val="22"/>
                <w:szCs w:val="22"/>
              </w:rPr>
              <w:t>8190</w:t>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style0"/>
              <w:jc w:val="right"/>
              <w:rPr>
                <w:rFonts w:ascii="宋体" w:cs="宋体" w:hAnsi="宋体"/>
                <w:sz w:val="20"/>
                <w:szCs w:val="20"/>
              </w:rPr>
            </w:pPr>
          </w:p>
        </w:tc>
        <w:tc>
          <w:tcPr>
            <w:tcW w:w="1605" w:type="dxa"/>
            <w:tcBorders>
              <w:top w:val="single" w:sz="4" w:space="0" w:color="000000"/>
              <w:left w:val="single" w:sz="4" w:space="0" w:color="000000"/>
              <w:bottom w:val="single" w:sz="4" w:space="0" w:color="000000"/>
              <w:right w:val="single" w:sz="4" w:space="0" w:color="000000"/>
            </w:tcBorders>
            <w:vAlign w:val="center"/>
          </w:tcPr>
          <w:p>
            <w:pPr>
              <w:pStyle w:val="style0"/>
              <w:jc w:val="right"/>
              <w:rPr>
                <w:rFonts w:ascii="宋体" w:cs="宋体" w:hAnsi="宋体"/>
                <w:sz w:val="20"/>
                <w:szCs w:val="20"/>
              </w:rPr>
            </w:pPr>
          </w:p>
        </w:tc>
        <w:tc>
          <w:tcPr>
            <w:tcW w:w="1650" w:type="dxa"/>
            <w:vMerge w:val="continue"/>
            <w:tcBorders>
              <w:left w:val="single" w:sz="4" w:space="0" w:color="000000"/>
              <w:bottom w:val="single" w:sz="4" w:space="0" w:color="000000"/>
              <w:right w:val="single" w:sz="4" w:space="0" w:color="000000"/>
            </w:tcBorders>
            <w:vAlign w:val="center"/>
          </w:tcPr>
          <w:p>
            <w:pPr>
              <w:pStyle w:val="style0"/>
              <w:jc w:val="center"/>
              <w:rPr>
                <w:rFonts w:ascii="宋体" w:cs="宋体" w:hAnsi="宋体"/>
                <w:sz w:val="20"/>
                <w:szCs w:val="20"/>
              </w:rPr>
            </w:pPr>
          </w:p>
        </w:tc>
      </w:tr>
      <w:tr>
        <w:tblPrEx/>
        <w:trPr>
          <w:trHeight w:val="600" w:hRule="atLeast"/>
          <w:jc w:val="center"/>
        </w:trPr>
        <w:tc>
          <w:tcPr>
            <w:tcW w:w="697"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hAnsi="宋体"/>
                <w:kern w:val="0"/>
                <w:sz w:val="20"/>
                <w:szCs w:val="20"/>
              </w:rPr>
            </w:pPr>
            <w:r>
              <w:rPr>
                <w:rFonts w:ascii="宋体" w:cs="宋体" w:hAnsi="宋体" w:hint="eastAsia"/>
                <w:kern w:val="0"/>
                <w:sz w:val="20"/>
                <w:szCs w:val="20"/>
              </w:rPr>
              <w:t>5</w:t>
            </w:r>
          </w:p>
        </w:tc>
        <w:tc>
          <w:tcPr>
            <w:tcW w:w="2053"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hAnsi="宋体"/>
                <w:sz w:val="22"/>
                <w:szCs w:val="22"/>
              </w:rPr>
            </w:pPr>
            <w:r>
              <w:rPr>
                <w:rFonts w:ascii="宋体" w:cs="宋体" w:hAnsi="宋体" w:hint="eastAsia"/>
                <w:sz w:val="22"/>
                <w:szCs w:val="22"/>
              </w:rPr>
              <w:t>交通组织措施费</w:t>
            </w:r>
          </w:p>
        </w:tc>
        <w:tc>
          <w:tcPr>
            <w:tcW w:w="705"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hAnsi="宋体"/>
                <w:sz w:val="22"/>
                <w:szCs w:val="22"/>
              </w:rPr>
            </w:pPr>
            <w:r>
              <w:rPr>
                <w:rFonts w:ascii="宋体" w:cs="宋体" w:hAnsi="宋体" w:hint="eastAsia"/>
                <w:sz w:val="22"/>
                <w:szCs w:val="22"/>
              </w:rPr>
              <w:t>项</w:t>
            </w:r>
          </w:p>
        </w:tc>
        <w:tc>
          <w:tcPr>
            <w:tcW w:w="960"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hAnsi="宋体"/>
                <w:sz w:val="22"/>
                <w:szCs w:val="22"/>
              </w:rPr>
            </w:pPr>
            <w:r>
              <w:rPr>
                <w:rFonts w:ascii="宋体" w:cs="宋体" w:hAnsi="宋体" w:hint="eastAsia"/>
                <w:sz w:val="22"/>
                <w:szCs w:val="22"/>
              </w:rPr>
              <w:t>5</w:t>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style0"/>
              <w:wordWrap w:val="false"/>
              <w:jc w:val="right"/>
              <w:rPr>
                <w:rFonts w:ascii="宋体" w:cs="宋体" w:hAnsi="宋体"/>
                <w:sz w:val="20"/>
                <w:szCs w:val="20"/>
              </w:rPr>
            </w:pPr>
            <w:r>
              <w:rPr>
                <w:rFonts w:ascii="宋体" w:cs="宋体" w:hAnsi="宋体" w:hint="eastAsia"/>
                <w:sz w:val="20"/>
                <w:szCs w:val="20"/>
              </w:rPr>
              <w:t xml:space="preserve"> </w:t>
            </w:r>
          </w:p>
        </w:tc>
        <w:tc>
          <w:tcPr>
            <w:tcW w:w="1605" w:type="dxa"/>
            <w:tcBorders>
              <w:top w:val="single" w:sz="4" w:space="0" w:color="000000"/>
              <w:left w:val="single" w:sz="4" w:space="0" w:color="000000"/>
              <w:bottom w:val="single" w:sz="4" w:space="0" w:color="000000"/>
              <w:right w:val="single" w:sz="4" w:space="0" w:color="000000"/>
            </w:tcBorders>
            <w:vAlign w:val="center"/>
          </w:tcPr>
          <w:p>
            <w:pPr>
              <w:pStyle w:val="style0"/>
              <w:jc w:val="right"/>
              <w:rPr>
                <w:rFonts w:ascii="宋体" w:cs="宋体" w:hAnsi="宋体"/>
                <w:sz w:val="20"/>
                <w:szCs w:val="20"/>
              </w:rPr>
            </w:pPr>
          </w:p>
        </w:tc>
        <w:tc>
          <w:tcPr>
            <w:tcW w:w="1650" w:type="dxa"/>
            <w:tcBorders>
              <w:top w:val="single" w:sz="4" w:space="0" w:color="000000"/>
              <w:left w:val="single" w:sz="4" w:space="0" w:color="000000"/>
              <w:bottom w:val="single" w:sz="4" w:space="0" w:color="000000"/>
              <w:right w:val="single" w:sz="4" w:space="0" w:color="000000"/>
            </w:tcBorders>
            <w:vAlign w:val="center"/>
          </w:tcPr>
          <w:p>
            <w:pPr>
              <w:pStyle w:val="style0"/>
              <w:jc w:val="center"/>
              <w:rPr>
                <w:rFonts w:ascii="宋体" w:cs="宋体" w:hAnsi="宋体"/>
                <w:sz w:val="20"/>
                <w:szCs w:val="20"/>
              </w:rPr>
            </w:pPr>
          </w:p>
        </w:tc>
      </w:tr>
      <w:tr>
        <w:tblPrEx/>
        <w:trPr>
          <w:trHeight w:val="600" w:hRule="atLeast"/>
          <w:jc w:val="center"/>
        </w:trPr>
        <w:tc>
          <w:tcPr>
            <w:tcW w:w="4415" w:type="dxa"/>
            <w:gridSpan w:val="4"/>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hAnsi="宋体"/>
                <w:b/>
                <w:bCs/>
                <w:sz w:val="20"/>
                <w:szCs w:val="20"/>
              </w:rPr>
            </w:pPr>
            <w:r>
              <w:rPr>
                <w:rFonts w:ascii="宋体" w:cs="宋体" w:hAnsi="宋体" w:hint="eastAsia"/>
                <w:b/>
                <w:bCs/>
                <w:kern w:val="0"/>
                <w:sz w:val="20"/>
                <w:szCs w:val="20"/>
              </w:rPr>
              <w:t>合计</w:t>
            </w:r>
          </w:p>
        </w:tc>
        <w:tc>
          <w:tcPr>
            <w:tcW w:w="1140" w:type="dxa"/>
            <w:tcBorders>
              <w:top w:val="single" w:sz="4" w:space="0" w:color="000000"/>
              <w:left w:val="nil"/>
              <w:bottom w:val="single" w:sz="4" w:space="0" w:color="000000"/>
              <w:right w:val="single" w:sz="4" w:space="0" w:color="000000"/>
            </w:tcBorders>
            <w:vAlign w:val="center"/>
          </w:tcPr>
          <w:p>
            <w:pPr>
              <w:pStyle w:val="style0"/>
              <w:rPr>
                <w:rFonts w:ascii="宋体" w:cs="宋体" w:hAnsi="宋体"/>
                <w:b/>
                <w:bCs/>
                <w:sz w:val="22"/>
                <w:szCs w:val="22"/>
              </w:rPr>
            </w:pPr>
          </w:p>
        </w:tc>
        <w:tc>
          <w:tcPr>
            <w:tcW w:w="1605" w:type="dxa"/>
            <w:tcBorders>
              <w:top w:val="single" w:sz="4" w:space="0" w:color="000000"/>
              <w:left w:val="single" w:sz="4" w:space="0" w:color="000000"/>
              <w:bottom w:val="single" w:sz="4" w:space="0" w:color="000000"/>
              <w:right w:val="single" w:sz="4" w:space="0" w:color="000000"/>
            </w:tcBorders>
            <w:vAlign w:val="center"/>
          </w:tcPr>
          <w:p>
            <w:pPr>
              <w:pStyle w:val="style0"/>
              <w:jc w:val="right"/>
              <w:rPr>
                <w:rFonts w:ascii="Arial" w:cs="Arial" w:hAnsi="Arial"/>
                <w:b/>
                <w:bCs/>
                <w:sz w:val="20"/>
                <w:szCs w:val="20"/>
              </w:rPr>
            </w:pPr>
          </w:p>
        </w:tc>
        <w:tc>
          <w:tcPr>
            <w:tcW w:w="1650" w:type="dxa"/>
            <w:tcBorders>
              <w:top w:val="single" w:sz="4" w:space="0" w:color="000000"/>
              <w:left w:val="single" w:sz="4" w:space="0" w:color="000000"/>
              <w:bottom w:val="single" w:sz="4" w:space="0" w:color="000000"/>
              <w:right w:val="single" w:sz="4" w:space="0" w:color="000000"/>
            </w:tcBorders>
            <w:vAlign w:val="center"/>
          </w:tcPr>
          <w:p>
            <w:pPr>
              <w:pStyle w:val="style0"/>
              <w:jc w:val="center"/>
              <w:rPr>
                <w:rFonts w:ascii="宋体" w:cs="宋体" w:hAnsi="宋体"/>
                <w:sz w:val="20"/>
                <w:szCs w:val="20"/>
              </w:rPr>
            </w:pPr>
          </w:p>
        </w:tc>
      </w:tr>
    </w:tbl>
    <w:p>
      <w:pPr>
        <w:pStyle w:val="style0"/>
        <w:spacing w:lineRule="auto" w:line="360"/>
        <w:ind w:firstLine="570"/>
        <w:rPr>
          <w:sz w:val="28"/>
          <w:szCs w:val="28"/>
        </w:rPr>
      </w:pPr>
    </w:p>
    <w:p>
      <w:pPr>
        <w:pStyle w:val="style0"/>
        <w:spacing w:lineRule="auto" w:line="360"/>
        <w:ind w:firstLine="570"/>
        <w:rPr>
          <w:sz w:val="28"/>
          <w:szCs w:val="28"/>
        </w:rPr>
      </w:pPr>
      <w:r>
        <w:rPr>
          <w:rFonts w:hint="eastAsia"/>
          <w:sz w:val="28"/>
          <w:szCs w:val="28"/>
        </w:rPr>
        <w:t>合同支付：（1）工程施工完成后并通过业主单位组织的验收合格后支付到工程款的97%；（2）余下合同总价的3%作为质量保证金，于质量保证期届满后且乙方完全履行质保期义务后10个工作日内付清，缺陷责任期12个月。每次付款（预付款除外）前提供等额增值税专用发票。</w:t>
      </w:r>
    </w:p>
    <w:p>
      <w:pPr>
        <w:pStyle w:val="style0"/>
        <w:spacing w:lineRule="auto" w:line="360"/>
        <w:ind w:firstLine="570"/>
        <w:rPr>
          <w:sz w:val="28"/>
          <w:szCs w:val="28"/>
        </w:rPr>
      </w:pPr>
      <w:r>
        <w:rPr>
          <w:rFonts w:hint="eastAsia"/>
          <w:sz w:val="28"/>
          <w:szCs w:val="28"/>
        </w:rPr>
        <w:t>限价：本项目最高限价为 617296 元，报价人总报价不得高于本项目最高限价，否则按否决报价处理。</w:t>
      </w:r>
    </w:p>
    <w:p>
      <w:pPr>
        <w:pStyle w:val="style0"/>
        <w:spacing w:lineRule="auto" w:line="360"/>
        <w:ind w:firstLine="570"/>
        <w:rPr>
          <w:sz w:val="28"/>
          <w:szCs w:val="28"/>
        </w:rPr>
      </w:pPr>
      <w:r>
        <w:rPr>
          <w:rFonts w:hint="eastAsia"/>
          <w:sz w:val="28"/>
          <w:szCs w:val="28"/>
        </w:rPr>
        <w:t>缺陷责任期：一年，自项目验收合格之日起计算。</w:t>
      </w:r>
    </w:p>
    <w:p>
      <w:pPr>
        <w:pStyle w:val="style0"/>
        <w:spacing w:lineRule="auto" w:line="360"/>
        <w:ind w:firstLine="570"/>
        <w:rPr>
          <w:sz w:val="28"/>
          <w:szCs w:val="28"/>
        </w:rPr>
      </w:pPr>
      <w:r>
        <w:rPr>
          <w:rFonts w:hint="eastAsia"/>
          <w:sz w:val="28"/>
          <w:szCs w:val="28"/>
        </w:rPr>
        <w:t>工期：发出开工指令后30日历天。</w:t>
      </w:r>
    </w:p>
    <w:p>
      <w:pPr>
        <w:pStyle w:val="style0"/>
        <w:spacing w:lineRule="auto" w:line="360"/>
        <w:ind w:firstLine="570"/>
        <w:rPr>
          <w:sz w:val="28"/>
          <w:szCs w:val="28"/>
        </w:rPr>
      </w:pPr>
    </w:p>
    <w:p>
      <w:pPr>
        <w:pStyle w:val="style0"/>
        <w:spacing w:lineRule="auto" w:line="360"/>
        <w:rPr>
          <w:sz w:val="28"/>
          <w:szCs w:val="28"/>
        </w:rPr>
      </w:pPr>
      <w:r>
        <w:rPr>
          <w:rFonts w:hint="eastAsia"/>
          <w:sz w:val="28"/>
          <w:szCs w:val="28"/>
        </w:rPr>
        <w:t>七、报价须知</w:t>
      </w:r>
    </w:p>
    <w:p>
      <w:pPr>
        <w:pStyle w:val="style0"/>
        <w:spacing w:lineRule="auto" w:line="360"/>
        <w:ind w:firstLine="570"/>
        <w:rPr>
          <w:sz w:val="28"/>
          <w:szCs w:val="28"/>
        </w:rPr>
      </w:pPr>
      <w:r>
        <w:rPr>
          <w:rFonts w:hint="eastAsia"/>
          <w:sz w:val="28"/>
          <w:szCs w:val="28"/>
        </w:rPr>
        <w:t>1、报价人应在充分考虑调试、辅材、机械、运输、税金（增值税税率6%）、安全生产费、交通组织费、青苗赔偿费等费用。</w:t>
      </w:r>
    </w:p>
    <w:p>
      <w:pPr>
        <w:pStyle w:val="style0"/>
        <w:spacing w:lineRule="auto" w:line="360"/>
        <w:ind w:firstLine="570"/>
        <w:rPr>
          <w:sz w:val="28"/>
          <w:szCs w:val="28"/>
        </w:rPr>
      </w:pPr>
      <w:r>
        <w:rPr>
          <w:rFonts w:hint="eastAsia"/>
          <w:sz w:val="28"/>
          <w:szCs w:val="28"/>
        </w:rPr>
        <w:t>2、工程量清单一般未对每一项目执行的工程进行详细的描述，报价人应被认为已经阅读了技术规范和图纸以确认在填报单价和价格之前，工作的所在范围已被包括在每个项目内，报出的单价和价格应被认为包括所有交通组织费、安全措施费、人工费、辅材费、机械使用费、差旅费、交通费、车辆通行费、车辆台班费、驻地建设、竣工验收、人员保险和第三者责任险、环境保护、废弃物转运处理、综合费、税金等和竞争性必选文件中明示或暗示的的所有责任、义务和一般风险。</w:t>
      </w:r>
    </w:p>
    <w:p>
      <w:pPr>
        <w:pStyle w:val="style0"/>
        <w:spacing w:lineRule="auto" w:line="360"/>
        <w:ind w:firstLine="570"/>
        <w:rPr>
          <w:sz w:val="28"/>
          <w:szCs w:val="28"/>
        </w:rPr>
      </w:pPr>
      <w:r>
        <w:rPr>
          <w:rFonts w:hint="eastAsia"/>
          <w:sz w:val="28"/>
          <w:szCs w:val="28"/>
        </w:rPr>
        <w:t>3、报价清单中本合同工程量清单中列出的每一个细目，除明示的项目外，都需填入单价；报价人没有填入单价、合价或总额价的工程细目或报价人在工程量清单中多报的细目或单价、合价或总额价，比选人将不予接受，其报价将被拒绝。报价人将不得以工程量清单未载明为由拒绝履行合同规定的责任和义务。</w:t>
      </w:r>
    </w:p>
    <w:p>
      <w:pPr>
        <w:pStyle w:val="style0"/>
        <w:spacing w:lineRule="auto" w:line="360"/>
        <w:ind w:firstLine="570"/>
        <w:rPr>
          <w:sz w:val="28"/>
          <w:szCs w:val="28"/>
        </w:rPr>
      </w:pPr>
      <w:r>
        <w:rPr>
          <w:rFonts w:hint="eastAsia"/>
          <w:sz w:val="28"/>
          <w:szCs w:val="28"/>
        </w:rPr>
        <w:t>4、报价清单中单价在合同执行过程中保持固定不变（除特别说明项外）。若有数量或新增项的变更，按照：一是合同中已有适用于变更工程的价格，按合同已有的价格计算、变更合同价款；二是合同中只有类似于变更工程的价格，可以参照此价格确定变更价格，变更合同价款；三是合同中没有适用或类似于变更工程的价格，由乙方提出适当的变更价格，经甲方确认后执行。</w:t>
      </w:r>
    </w:p>
    <w:p>
      <w:pPr>
        <w:pStyle w:val="style0"/>
        <w:spacing w:lineRule="auto" w:line="360"/>
        <w:ind w:firstLine="570"/>
        <w:rPr>
          <w:sz w:val="28"/>
          <w:szCs w:val="28"/>
        </w:rPr>
      </w:pPr>
      <w:r>
        <w:rPr>
          <w:rFonts w:hint="eastAsia"/>
          <w:sz w:val="28"/>
          <w:szCs w:val="28"/>
        </w:rPr>
        <w:t>5、报价清单中各项金额均以人民币（元）结算。</w:t>
      </w:r>
    </w:p>
    <w:p>
      <w:pPr>
        <w:pStyle w:val="style0"/>
        <w:spacing w:lineRule="auto" w:line="360"/>
        <w:ind w:firstLine="570"/>
        <w:rPr>
          <w:sz w:val="28"/>
          <w:szCs w:val="28"/>
        </w:rPr>
      </w:pPr>
      <w:r>
        <w:rPr>
          <w:rFonts w:hint="eastAsia"/>
          <w:sz w:val="28"/>
          <w:szCs w:val="28"/>
        </w:rPr>
        <w:t>6、需缴纳的一切税费均由报价单位承担，所有税费均由制作报价单位自行缴纳；</w:t>
      </w:r>
    </w:p>
    <w:p>
      <w:pPr>
        <w:pStyle w:val="style0"/>
        <w:spacing w:lineRule="auto" w:line="360"/>
        <w:ind w:firstLine="570"/>
        <w:rPr>
          <w:sz w:val="28"/>
          <w:szCs w:val="28"/>
        </w:rPr>
      </w:pPr>
      <w:r>
        <w:rPr>
          <w:rFonts w:hint="eastAsia"/>
          <w:sz w:val="28"/>
          <w:szCs w:val="28"/>
        </w:rPr>
        <w:t>7、报价有算术错误的，评审小组按以下原则对报价进行修正，修正的价格经报价人书面确认后具有约束力。报价人不接受修正价格的，其报价应当予以否决。</w:t>
      </w:r>
    </w:p>
    <w:p>
      <w:pPr>
        <w:pStyle w:val="style0"/>
        <w:spacing w:lineRule="auto" w:line="360"/>
        <w:ind w:firstLine="570"/>
        <w:rPr>
          <w:sz w:val="28"/>
          <w:szCs w:val="28"/>
        </w:rPr>
      </w:pPr>
      <w:r>
        <w:rPr>
          <w:rFonts w:hint="eastAsia"/>
          <w:sz w:val="28"/>
          <w:szCs w:val="28"/>
        </w:rPr>
        <w:t>①竞争性比选响应文件中的大写金额与小写金额不一致的，以大写金额为准；</w:t>
      </w:r>
    </w:p>
    <w:p>
      <w:pPr>
        <w:pStyle w:val="style0"/>
        <w:spacing w:lineRule="auto" w:line="360"/>
        <w:ind w:firstLine="570"/>
        <w:rPr>
          <w:sz w:val="28"/>
          <w:szCs w:val="28"/>
        </w:rPr>
      </w:pPr>
      <w:r>
        <w:rPr>
          <w:rFonts w:hint="eastAsia"/>
          <w:sz w:val="28"/>
          <w:szCs w:val="28"/>
        </w:rPr>
        <w:t>②总价金额与依据单价计算出的结果不一致的，以单价金额为准修正总价，但单价金额小数点有明显错误的除外。</w:t>
      </w:r>
    </w:p>
    <w:p>
      <w:pPr>
        <w:pStyle w:val="style0"/>
        <w:spacing w:lineRule="auto" w:line="360"/>
        <w:ind w:firstLine="570"/>
        <w:rPr>
          <w:sz w:val="28"/>
          <w:szCs w:val="28"/>
        </w:rPr>
      </w:pPr>
    </w:p>
    <w:p>
      <w:pPr>
        <w:pStyle w:val="style0"/>
        <w:spacing w:lineRule="auto" w:line="360"/>
        <w:rPr>
          <w:b/>
          <w:sz w:val="28"/>
          <w:szCs w:val="28"/>
        </w:rPr>
      </w:pPr>
      <w:r>
        <w:rPr>
          <w:rFonts w:hint="eastAsia"/>
          <w:b/>
          <w:sz w:val="28"/>
          <w:szCs w:val="28"/>
        </w:rPr>
        <w:t>八：资格审查条件：</w:t>
      </w:r>
    </w:p>
    <w:p>
      <w:pPr>
        <w:pStyle w:val="style2"/>
        <w:jc w:val="center"/>
        <w:rPr>
          <w:rFonts w:ascii="宋体" w:cs="宋体" w:eastAsia="宋体" w:hAnsi="宋体"/>
          <w:bCs w:val="false"/>
          <w:sz w:val="28"/>
          <w:szCs w:val="28"/>
        </w:rPr>
      </w:pPr>
      <w:r>
        <w:rPr>
          <w:rFonts w:ascii="宋体" w:cs="宋体" w:eastAsia="宋体" w:hAnsi="宋体"/>
          <w:bCs w:val="false"/>
          <w:sz w:val="28"/>
          <w:szCs w:val="28"/>
        </w:rPr>
        <w:t>1.1</w:t>
      </w:r>
      <w:r>
        <w:rPr>
          <w:rFonts w:ascii="宋体" w:cs="宋体" w:eastAsia="宋体" w:hAnsi="宋体" w:hint="eastAsia"/>
          <w:bCs w:val="false"/>
          <w:sz w:val="28"/>
          <w:szCs w:val="28"/>
        </w:rPr>
        <w:t>资格审查条件（资质最低要求）</w:t>
      </w:r>
    </w:p>
    <w:tbl>
      <w:tblPr>
        <w:tblStyle w:val="style105"/>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108"/>
      </w:tblGrid>
      <w:tr>
        <w:trPr>
          <w:trHeight w:val="220" w:hRule="atLeast"/>
          <w:jc w:val="center"/>
        </w:trPr>
        <w:tc>
          <w:tcPr>
            <w:tcW w:w="9108" w:type="dxa"/>
            <w:tcBorders/>
            <w:vAlign w:val="center"/>
          </w:tcPr>
          <w:p>
            <w:pPr>
              <w:pStyle w:val="style0"/>
              <w:spacing w:lineRule="exact" w:line="400"/>
              <w:jc w:val="center"/>
              <w:rPr>
                <w:rFonts w:ascii="宋体" w:cs="宋体" w:hAnsi="宋体"/>
                <w:szCs w:val="21"/>
              </w:rPr>
            </w:pPr>
            <w:r>
              <w:rPr>
                <w:rFonts w:ascii="宋体" w:cs="宋体" w:hAnsi="宋体" w:hint="eastAsia"/>
                <w:szCs w:val="21"/>
              </w:rPr>
              <w:t>企业资质要求</w:t>
            </w:r>
          </w:p>
        </w:tc>
      </w:tr>
      <w:tr>
        <w:tblPrEx/>
        <w:trPr>
          <w:trHeight w:val="2676" w:hRule="atLeast"/>
          <w:jc w:val="center"/>
        </w:trPr>
        <w:tc>
          <w:tcPr>
            <w:tcW w:w="9108" w:type="dxa"/>
            <w:tcBorders/>
          </w:tcPr>
          <w:p>
            <w:pPr>
              <w:pStyle w:val="style0"/>
              <w:spacing w:lineRule="auto" w:line="360"/>
              <w:ind w:firstLine="420" w:firstLineChars="200"/>
              <w:rPr>
                <w:rFonts w:ascii="宋体" w:hAnsi="宋体"/>
                <w:szCs w:val="21"/>
                <w:shd w:val="clear" w:color="auto" w:fill="ffffff"/>
              </w:rPr>
            </w:pPr>
            <w:r>
              <w:rPr>
                <w:rFonts w:ascii="宋体" w:hAnsi="宋体" w:hint="eastAsia"/>
                <w:szCs w:val="21"/>
                <w:shd w:val="clear" w:color="auto" w:fill="ffffff"/>
              </w:rPr>
              <w:t>1、具有独立法人资格，提供有效的高清营业执照；</w:t>
            </w:r>
          </w:p>
          <w:p>
            <w:pPr>
              <w:pStyle w:val="style0"/>
              <w:spacing w:lineRule="exact" w:line="400"/>
              <w:ind w:firstLine="420" w:firstLineChars="200"/>
              <w:rPr>
                <w:szCs w:val="21"/>
              </w:rPr>
            </w:pPr>
            <w:r>
              <w:rPr>
                <w:rFonts w:ascii="宋体" w:hAnsi="宋体" w:hint="eastAsia"/>
                <w:szCs w:val="21"/>
                <w:shd w:val="clear" w:color="auto" w:fill="ffffff"/>
              </w:rPr>
              <w:t>2、</w:t>
            </w:r>
            <w:r>
              <w:rPr>
                <w:rFonts w:hint="eastAsia"/>
                <w:szCs w:val="21"/>
              </w:rPr>
              <w:t>具有以下最低资质要求中的一项：交通运输部工程质量管理局或交通运输部基本质量监督总站颁发的公路水运工程试验检测机构登记证书公路工程试验检测综合甲级资质，或者省级以上的建设工程质量监督部门颁发的建设工程质量检测机构钢结构工程检测类专项资质，登记证书在有效期内。</w:t>
            </w:r>
          </w:p>
          <w:p>
            <w:pPr>
              <w:pStyle w:val="style0"/>
              <w:spacing w:lineRule="exact" w:line="400"/>
              <w:ind w:firstLine="420" w:firstLineChars="200"/>
              <w:rPr>
                <w:szCs w:val="21"/>
              </w:rPr>
            </w:pPr>
            <w:r>
              <w:rPr>
                <w:rFonts w:hint="eastAsia"/>
                <w:szCs w:val="21"/>
              </w:rPr>
              <w:t>3、主要检测人员至少有一人具备建设工程质量检测专业人员岗位证书钢结构检测（超声），登记证书在有效期内。</w:t>
            </w:r>
          </w:p>
        </w:tc>
      </w:tr>
    </w:tbl>
    <w:p>
      <w:pPr>
        <w:pStyle w:val="style0"/>
        <w:spacing w:lineRule="exact" w:line="440"/>
        <w:ind w:firstLine="422" w:firstLineChars="200"/>
        <w:rPr>
          <w:rFonts w:ascii="宋体" w:cs="宋体" w:hAnsi="宋体"/>
          <w:b/>
          <w:bCs/>
        </w:rPr>
      </w:pPr>
      <w:r>
        <w:rPr>
          <w:rFonts w:ascii="宋体" w:cs="宋体" w:hAnsi="宋体" w:hint="eastAsia"/>
          <w:b/>
          <w:bCs/>
        </w:rPr>
        <w:t>注：须提供报价人营业执照、证书等复印件并加盖单位鲜公章。</w:t>
      </w:r>
    </w:p>
    <w:p>
      <w:pPr>
        <w:pStyle w:val="style0"/>
        <w:spacing w:lineRule="exact" w:line="440"/>
        <w:ind w:firstLine="413" w:firstLineChars="147"/>
        <w:jc w:val="center"/>
        <w:rPr>
          <w:rFonts w:ascii="宋体" w:cs="宋体" w:hAnsi="宋体"/>
          <w:b/>
          <w:sz w:val="28"/>
          <w:szCs w:val="28"/>
        </w:rPr>
      </w:pPr>
    </w:p>
    <w:bookmarkStart w:id="2" w:name="_Toc17235"/>
    <w:bookmarkStart w:id="3" w:name="_Toc30995"/>
    <w:bookmarkStart w:id="4" w:name="_Toc1778"/>
    <w:bookmarkStart w:id="5" w:name="_Toc11329223"/>
    <w:p>
      <w:pPr>
        <w:pStyle w:val="style2"/>
        <w:jc w:val="center"/>
        <w:rPr>
          <w:rFonts w:ascii="宋体" w:cs="宋体" w:eastAsia="宋体" w:hAnsi="宋体"/>
          <w:bCs w:val="false"/>
        </w:rPr>
      </w:pPr>
      <w:r>
        <w:rPr>
          <w:rFonts w:ascii="宋体" w:cs="宋体" w:eastAsia="宋体" w:hAnsi="宋体"/>
          <w:bCs w:val="false"/>
          <w:sz w:val="28"/>
          <w:szCs w:val="28"/>
        </w:rPr>
        <w:t>1.2</w:t>
      </w:r>
      <w:r>
        <w:rPr>
          <w:rFonts w:ascii="宋体" w:cs="宋体" w:eastAsia="宋体" w:hAnsi="宋体" w:hint="eastAsia"/>
          <w:bCs w:val="false"/>
          <w:sz w:val="28"/>
          <w:szCs w:val="28"/>
        </w:rPr>
        <w:t>资格审查条件（财务最低要求）</w:t>
      </w:r>
      <w:bookmarkEnd w:id="2"/>
      <w:bookmarkEnd w:id="3"/>
      <w:bookmarkEnd w:id="4"/>
      <w:bookmarkEnd w:id="5"/>
    </w:p>
    <w:tbl>
      <w:tblPr>
        <w:tblStyle w:val="style105"/>
        <w:tblW w:w="9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484"/>
      </w:tblGrid>
      <w:tr>
        <w:trPr>
          <w:trHeight w:val="199" w:hRule="atLeast"/>
          <w:jc w:val="center"/>
        </w:trPr>
        <w:tc>
          <w:tcPr>
            <w:tcW w:w="9484" w:type="dxa"/>
            <w:tcBorders/>
            <w:vAlign w:val="center"/>
          </w:tcPr>
          <w:p>
            <w:pPr>
              <w:pStyle w:val="style0"/>
              <w:spacing w:lineRule="exact" w:line="400"/>
              <w:jc w:val="center"/>
              <w:rPr>
                <w:rFonts w:ascii="宋体" w:cs="宋体" w:hAnsi="宋体"/>
                <w:szCs w:val="21"/>
              </w:rPr>
            </w:pPr>
            <w:r>
              <w:rPr>
                <w:rFonts w:ascii="宋体" w:cs="宋体" w:hAnsi="宋体" w:hint="eastAsia"/>
                <w:szCs w:val="21"/>
              </w:rPr>
              <w:t>财务要求</w:t>
            </w:r>
          </w:p>
        </w:tc>
      </w:tr>
      <w:tr>
        <w:tblPrEx/>
        <w:trPr>
          <w:trHeight w:val="365" w:hRule="atLeast"/>
          <w:jc w:val="center"/>
        </w:trPr>
        <w:tc>
          <w:tcPr>
            <w:tcW w:w="9484" w:type="dxa"/>
            <w:tcBorders/>
          </w:tcPr>
          <w:p>
            <w:pPr>
              <w:pStyle w:val="style0"/>
              <w:spacing w:lineRule="exact" w:line="400"/>
              <w:rPr/>
            </w:pPr>
            <w:r>
              <w:rPr>
                <w:rFonts w:hint="eastAsia"/>
              </w:rPr>
              <w:t>无要求</w:t>
            </w:r>
          </w:p>
        </w:tc>
      </w:tr>
      <w:bookmarkStart w:id="6" w:name="_Toc16638"/>
      <w:bookmarkStart w:id="7" w:name="_Toc6263"/>
      <w:bookmarkStart w:id="8" w:name="_Toc11329224"/>
      <w:bookmarkStart w:id="9" w:name="_Toc28315"/>
    </w:tbl>
    <w:p>
      <w:pPr>
        <w:pStyle w:val="style2"/>
        <w:jc w:val="center"/>
        <w:rPr>
          <w:rFonts w:ascii="宋体" w:cs="宋体" w:eastAsia="宋体" w:hAnsi="宋体"/>
          <w:bCs w:val="false"/>
          <w:sz w:val="28"/>
          <w:szCs w:val="28"/>
        </w:rPr>
      </w:pPr>
      <w:r>
        <w:rPr>
          <w:rFonts w:ascii="宋体" w:cs="宋体" w:eastAsia="宋体" w:hAnsi="宋体"/>
          <w:bCs w:val="false"/>
          <w:sz w:val="28"/>
          <w:szCs w:val="28"/>
        </w:rPr>
        <w:t>1.3</w:t>
      </w:r>
      <w:r>
        <w:rPr>
          <w:rFonts w:ascii="宋体" w:cs="宋体" w:eastAsia="宋体" w:hAnsi="宋体" w:hint="eastAsia"/>
          <w:bCs w:val="false"/>
          <w:sz w:val="28"/>
          <w:szCs w:val="28"/>
        </w:rPr>
        <w:t>资格审查条件（业绩最低要求）</w:t>
      </w:r>
      <w:bookmarkEnd w:id="6"/>
      <w:bookmarkEnd w:id="7"/>
      <w:bookmarkEnd w:id="8"/>
      <w:bookmarkEnd w:id="9"/>
    </w:p>
    <w:tbl>
      <w:tblPr>
        <w:tblStyle w:val="style105"/>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322"/>
      </w:tblGrid>
      <w:tr>
        <w:trPr>
          <w:trHeight w:val="552" w:hRule="atLeast"/>
          <w:jc w:val="center"/>
        </w:trPr>
        <w:tc>
          <w:tcPr>
            <w:tcW w:w="9322" w:type="dxa"/>
            <w:tcBorders/>
            <w:vAlign w:val="center"/>
          </w:tcPr>
          <w:p>
            <w:pPr>
              <w:pStyle w:val="style0"/>
              <w:spacing w:lineRule="exact" w:line="400"/>
              <w:jc w:val="center"/>
              <w:rPr>
                <w:rFonts w:ascii="宋体" w:cs="宋体" w:hAnsi="宋体"/>
                <w:szCs w:val="21"/>
              </w:rPr>
            </w:pPr>
            <w:r>
              <w:rPr>
                <w:rFonts w:ascii="宋体" w:cs="宋体" w:hAnsi="宋体" w:hint="eastAsia"/>
                <w:szCs w:val="21"/>
              </w:rPr>
              <w:t>业绩要求</w:t>
            </w:r>
          </w:p>
        </w:tc>
      </w:tr>
      <w:tr>
        <w:tblPrEx/>
        <w:trPr>
          <w:trHeight w:val="556" w:hRule="atLeast"/>
          <w:jc w:val="center"/>
        </w:trPr>
        <w:tc>
          <w:tcPr>
            <w:tcW w:w="9322" w:type="dxa"/>
            <w:tcBorders/>
          </w:tcPr>
          <w:p>
            <w:pPr>
              <w:pStyle w:val="style0"/>
              <w:spacing w:lineRule="exact" w:line="400"/>
              <w:rPr/>
            </w:pPr>
            <w:r>
              <w:rPr>
                <w:rFonts w:hint="eastAsia"/>
              </w:rPr>
              <w:t>无要求</w:t>
            </w:r>
          </w:p>
        </w:tc>
      </w:tr>
      <w:bookmarkStart w:id="10" w:name="_Toc12296"/>
      <w:bookmarkStart w:id="11" w:name="_Toc26749"/>
      <w:bookmarkStart w:id="12" w:name="_Toc10083"/>
      <w:bookmarkStart w:id="13" w:name="_Toc11329225"/>
    </w:tbl>
    <w:p>
      <w:pPr>
        <w:pStyle w:val="style2"/>
        <w:jc w:val="center"/>
        <w:rPr>
          <w:rFonts w:ascii="宋体" w:cs="宋体" w:hAnsi="宋体"/>
          <w:b w:val="false"/>
          <w:sz w:val="28"/>
          <w:szCs w:val="28"/>
        </w:rPr>
      </w:pPr>
      <w:r>
        <w:rPr>
          <w:rFonts w:ascii="宋体" w:cs="宋体" w:eastAsia="宋体" w:hAnsi="宋体"/>
          <w:bCs w:val="false"/>
          <w:sz w:val="28"/>
          <w:szCs w:val="28"/>
        </w:rPr>
        <w:t>1.4</w:t>
      </w:r>
      <w:r>
        <w:rPr>
          <w:rFonts w:ascii="宋体" w:cs="宋体" w:eastAsia="宋体" w:hAnsi="宋体" w:hint="eastAsia"/>
          <w:bCs w:val="false"/>
          <w:sz w:val="28"/>
          <w:szCs w:val="28"/>
        </w:rPr>
        <w:t>资格审查条件（信誉最低要求）</w:t>
      </w:r>
      <w:bookmarkEnd w:id="10"/>
      <w:bookmarkEnd w:id="11"/>
      <w:bookmarkEnd w:id="12"/>
      <w:bookmarkEnd w:id="13"/>
    </w:p>
    <w:tbl>
      <w:tblPr>
        <w:tblStyle w:val="style105"/>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213"/>
      </w:tblGrid>
      <w:tr>
        <w:trPr>
          <w:trHeight w:val="96" w:hRule="atLeast"/>
          <w:jc w:val="center"/>
        </w:trPr>
        <w:tc>
          <w:tcPr>
            <w:tcW w:w="9213" w:type="dxa"/>
            <w:tcBorders/>
          </w:tcPr>
          <w:p>
            <w:pPr>
              <w:pStyle w:val="style0"/>
              <w:spacing w:lineRule="exact" w:line="400"/>
              <w:jc w:val="center"/>
              <w:rPr>
                <w:rFonts w:ascii="宋体" w:cs="宋体" w:hAnsi="宋体"/>
                <w:szCs w:val="21"/>
              </w:rPr>
            </w:pPr>
            <w:r>
              <w:rPr>
                <w:rFonts w:ascii="宋体" w:cs="宋体" w:hAnsi="宋体" w:hint="eastAsia"/>
                <w:szCs w:val="21"/>
              </w:rPr>
              <w:t>信誉要求</w:t>
            </w:r>
          </w:p>
        </w:tc>
      </w:tr>
      <w:tr>
        <w:tblPrEx/>
        <w:trPr>
          <w:trHeight w:val="197" w:hRule="atLeast"/>
          <w:jc w:val="center"/>
        </w:trPr>
        <w:tc>
          <w:tcPr>
            <w:tcW w:w="9213" w:type="dxa"/>
            <w:tcBorders/>
          </w:tcPr>
          <w:p>
            <w:pPr>
              <w:pStyle w:val="style0"/>
              <w:spacing w:lineRule="exact" w:line="400"/>
              <w:rPr>
                <w:rFonts w:ascii="宋体" w:cs="宋体" w:hAnsi="宋体"/>
                <w:szCs w:val="21"/>
                <w:shd w:val="clear" w:color="auto" w:fill="ffffff"/>
              </w:rPr>
            </w:pPr>
            <w:r>
              <w:rPr>
                <w:rFonts w:ascii="宋体" w:cs="宋体" w:hAnsi="宋体" w:hint="eastAsia"/>
                <w:szCs w:val="21"/>
                <w:shd w:val="clear" w:color="auto" w:fill="ffffff"/>
              </w:rPr>
              <w:t>在“信用中国”网站（http://www.creditchina.gov.cn/）中未被列入失信惩戒执行人名单。</w:t>
            </w:r>
          </w:p>
          <w:p>
            <w:pPr>
              <w:pStyle w:val="style0"/>
              <w:spacing w:lineRule="exact" w:line="400"/>
              <w:rPr>
                <w:rFonts w:ascii="宋体" w:cs="宋体" w:hAnsi="宋体"/>
                <w:szCs w:val="21"/>
                <w:shd w:val="clear" w:color="auto" w:fill="ffffff"/>
              </w:rPr>
            </w:pPr>
            <w:r>
              <w:rPr>
                <w:rFonts w:ascii="宋体" w:cs="宋体" w:hAnsi="宋体" w:hint="eastAsia"/>
                <w:szCs w:val="21"/>
                <w:shd w:val="clear" w:color="auto" w:fill="ffffff"/>
              </w:rPr>
              <w:t>在国家企业信用信息公示系统（http://www.gsxt.gov.cn/）中未被列入严重违法失信企业名单（黑名单）信息。</w:t>
            </w:r>
          </w:p>
        </w:tc>
      </w:tr>
      <w:bookmarkStart w:id="14" w:name="_Toc25591"/>
      <w:bookmarkStart w:id="15" w:name="_Toc11329226"/>
      <w:bookmarkStart w:id="16" w:name="_Toc12773"/>
      <w:bookmarkStart w:id="17" w:name="_Toc27096"/>
    </w:tbl>
    <w:p>
      <w:pPr>
        <w:pStyle w:val="style0"/>
        <w:spacing w:lineRule="exact" w:line="400"/>
        <w:jc w:val="left"/>
        <w:rPr>
          <w:rFonts w:ascii="宋体" w:cs="宋体" w:hAnsi="宋体"/>
          <w:sz w:val="28"/>
          <w:szCs w:val="28"/>
        </w:rPr>
      </w:pPr>
      <w:r>
        <w:rPr>
          <w:rFonts w:hAnsi="宋体" w:hint="eastAsia"/>
          <w:b/>
          <w:bCs/>
          <w:szCs w:val="21"/>
        </w:rPr>
        <w:t>注：提供网页查询结果截图。</w:t>
      </w:r>
    </w:p>
    <w:p>
      <w:pPr>
        <w:pStyle w:val="style2"/>
        <w:spacing w:after="100"/>
        <w:jc w:val="center"/>
        <w:rPr>
          <w:rFonts w:ascii="宋体" w:cs="宋体" w:eastAsia="宋体" w:hAnsi="宋体"/>
          <w:bCs w:val="false"/>
          <w:sz w:val="28"/>
          <w:szCs w:val="28"/>
        </w:rPr>
      </w:pPr>
      <w:r>
        <w:rPr>
          <w:rFonts w:ascii="宋体" w:cs="宋体" w:eastAsia="宋体" w:hAnsi="宋体"/>
          <w:bCs w:val="false"/>
          <w:sz w:val="28"/>
          <w:szCs w:val="28"/>
        </w:rPr>
        <w:t>1.5</w:t>
      </w:r>
      <w:r>
        <w:rPr>
          <w:rFonts w:ascii="宋体" w:cs="宋体" w:eastAsia="宋体" w:hAnsi="宋体" w:hint="eastAsia"/>
          <w:bCs w:val="false"/>
          <w:sz w:val="28"/>
          <w:szCs w:val="28"/>
        </w:rPr>
        <w:t>资格审查条件（项目主要管理人员最低要求）</w:t>
      </w:r>
      <w:bookmarkEnd w:id="14"/>
      <w:bookmarkEnd w:id="15"/>
      <w:bookmarkEnd w:id="16"/>
      <w:bookmarkEnd w:id="17"/>
    </w:p>
    <w:p>
      <w:pPr>
        <w:pStyle w:val="style0"/>
        <w:spacing w:lineRule="exact" w:line="400"/>
        <w:jc w:val="center"/>
        <w:rPr/>
      </w:pPr>
      <w:r>
        <w:rPr>
          <w:rFonts w:ascii="宋体" w:cs="宋体" w:hAnsi="宋体" w:hint="eastAsia"/>
          <w:b/>
          <w:szCs w:val="21"/>
        </w:rPr>
        <w:t>主要管理人员最低要求</w:t>
      </w:r>
    </w:p>
    <w:bookmarkStart w:id="18" w:name="_Toc387234996"/>
    <w:bookmarkStart w:id="19" w:name="_Toc388534043"/>
    <w:tbl>
      <w:tblPr>
        <w:tblStyle w:val="style105"/>
        <w:tblW w:w="964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64"/>
        <w:gridCol w:w="1465"/>
        <w:gridCol w:w="733"/>
        <w:gridCol w:w="6784"/>
      </w:tblGrid>
      <w:tr>
        <w:trPr>
          <w:trHeight w:val="267" w:hRule="atLeast"/>
        </w:trPr>
        <w:tc>
          <w:tcPr>
            <w:tcW w:w="664" w:type="dxa"/>
            <w:tcBorders>
              <w:top w:val="single" w:sz="4" w:space="0" w:color="auto"/>
              <w:left w:val="single" w:sz="4" w:space="0" w:color="auto"/>
              <w:bottom w:val="single" w:sz="4" w:space="0" w:color="auto"/>
              <w:right w:val="single" w:sz="4" w:space="0" w:color="auto"/>
            </w:tcBorders>
            <w:vAlign w:val="center"/>
          </w:tcPr>
          <w:p>
            <w:pPr>
              <w:pStyle w:val="style0"/>
              <w:spacing w:lineRule="exact" w:line="400"/>
              <w:jc w:val="center"/>
              <w:rPr>
                <w:rFonts w:ascii="宋体" w:cs="宋体" w:hAnsi="宋体"/>
                <w:szCs w:val="21"/>
              </w:rPr>
            </w:pPr>
            <w:r>
              <w:rPr>
                <w:rFonts w:ascii="宋体" w:cs="宋体" w:hAnsi="宋体" w:hint="eastAsia"/>
                <w:szCs w:val="21"/>
              </w:rPr>
              <w:t>序号</w:t>
            </w:r>
          </w:p>
        </w:tc>
        <w:tc>
          <w:tcPr>
            <w:tcW w:w="1465" w:type="dxa"/>
            <w:tcBorders>
              <w:top w:val="single" w:sz="4" w:space="0" w:color="auto"/>
              <w:left w:val="single" w:sz="4" w:space="0" w:color="auto"/>
              <w:bottom w:val="single" w:sz="4" w:space="0" w:color="auto"/>
              <w:right w:val="single" w:sz="4" w:space="0" w:color="auto"/>
            </w:tcBorders>
            <w:vAlign w:val="center"/>
          </w:tcPr>
          <w:p>
            <w:pPr>
              <w:pStyle w:val="style0"/>
              <w:spacing w:lineRule="exact" w:line="400"/>
              <w:jc w:val="center"/>
              <w:rPr>
                <w:rFonts w:ascii="宋体" w:cs="宋体" w:hAnsi="宋体"/>
                <w:szCs w:val="21"/>
              </w:rPr>
            </w:pPr>
            <w:r>
              <w:rPr>
                <w:rFonts w:ascii="宋体" w:cs="宋体" w:hAnsi="宋体" w:hint="eastAsia"/>
                <w:szCs w:val="21"/>
              </w:rPr>
              <w:t>人  员</w:t>
            </w:r>
          </w:p>
        </w:tc>
        <w:tc>
          <w:tcPr>
            <w:tcW w:w="733" w:type="dxa"/>
            <w:tcBorders>
              <w:top w:val="single" w:sz="4" w:space="0" w:color="auto"/>
              <w:left w:val="single" w:sz="4" w:space="0" w:color="auto"/>
              <w:bottom w:val="single" w:sz="4" w:space="0" w:color="auto"/>
              <w:right w:val="single" w:sz="4" w:space="0" w:color="auto"/>
            </w:tcBorders>
            <w:vAlign w:val="center"/>
          </w:tcPr>
          <w:p>
            <w:pPr>
              <w:pStyle w:val="style0"/>
              <w:spacing w:lineRule="exact" w:line="400"/>
              <w:jc w:val="center"/>
              <w:rPr>
                <w:rFonts w:ascii="宋体" w:cs="宋体" w:hAnsi="宋体"/>
                <w:szCs w:val="21"/>
              </w:rPr>
            </w:pPr>
            <w:r>
              <w:rPr>
                <w:rFonts w:ascii="宋体" w:cs="宋体" w:hAnsi="宋体" w:hint="eastAsia"/>
                <w:szCs w:val="21"/>
              </w:rPr>
              <w:t>数量</w:t>
            </w:r>
          </w:p>
        </w:tc>
        <w:tc>
          <w:tcPr>
            <w:tcW w:w="6784" w:type="dxa"/>
            <w:tcBorders>
              <w:top w:val="single" w:sz="4" w:space="0" w:color="auto"/>
              <w:left w:val="single" w:sz="4" w:space="0" w:color="auto"/>
              <w:bottom w:val="single" w:sz="4" w:space="0" w:color="auto"/>
              <w:right w:val="single" w:sz="4" w:space="0" w:color="auto"/>
            </w:tcBorders>
            <w:vAlign w:val="center"/>
          </w:tcPr>
          <w:p>
            <w:pPr>
              <w:pStyle w:val="style0"/>
              <w:spacing w:lineRule="exact" w:line="400"/>
              <w:jc w:val="center"/>
              <w:rPr>
                <w:rFonts w:ascii="宋体" w:cs="宋体" w:hAnsi="宋体"/>
                <w:szCs w:val="21"/>
              </w:rPr>
            </w:pPr>
            <w:r>
              <w:rPr>
                <w:rFonts w:ascii="宋体" w:cs="宋体" w:hAnsi="宋体" w:hint="eastAsia"/>
                <w:szCs w:val="21"/>
              </w:rPr>
              <w:t>资格要求</w:t>
            </w:r>
          </w:p>
        </w:tc>
      </w:tr>
      <w:tr>
        <w:tblPrEx/>
        <w:trPr>
          <w:trHeight w:val="520" w:hRule="atLeast"/>
        </w:trPr>
        <w:tc>
          <w:tcPr>
            <w:tcW w:w="664" w:type="dxa"/>
            <w:tcBorders>
              <w:top w:val="single" w:sz="4" w:space="0" w:color="auto"/>
              <w:left w:val="single" w:sz="4" w:space="0" w:color="auto"/>
              <w:bottom w:val="single" w:sz="4" w:space="0" w:color="auto"/>
              <w:right w:val="single" w:sz="4" w:space="0" w:color="auto"/>
            </w:tcBorders>
            <w:vAlign w:val="center"/>
          </w:tcPr>
          <w:p>
            <w:pPr>
              <w:pStyle w:val="style0"/>
              <w:spacing w:lineRule="exact" w:line="400"/>
              <w:jc w:val="center"/>
              <w:rPr>
                <w:rFonts w:ascii="宋体" w:cs="宋体" w:hAnsi="宋体"/>
                <w:szCs w:val="21"/>
              </w:rPr>
            </w:pPr>
            <w:r>
              <w:rPr>
                <w:rFonts w:ascii="宋体" w:cs="宋体" w:hAnsi="宋体" w:hint="eastAsia"/>
                <w:szCs w:val="21"/>
              </w:rPr>
              <w:t>1</w:t>
            </w:r>
          </w:p>
        </w:tc>
        <w:tc>
          <w:tcPr>
            <w:tcW w:w="1465" w:type="dxa"/>
            <w:tcBorders>
              <w:top w:val="single" w:sz="4" w:space="0" w:color="auto"/>
              <w:left w:val="single" w:sz="4" w:space="0" w:color="auto"/>
              <w:bottom w:val="single" w:sz="4" w:space="0" w:color="auto"/>
              <w:right w:val="single" w:sz="4" w:space="0" w:color="auto"/>
            </w:tcBorders>
            <w:vAlign w:val="center"/>
          </w:tcPr>
          <w:p>
            <w:pPr>
              <w:pStyle w:val="style0"/>
              <w:spacing w:lineRule="exact" w:line="400"/>
              <w:jc w:val="center"/>
              <w:rPr>
                <w:rFonts w:ascii="宋体" w:cs="宋体" w:hAnsi="宋体"/>
                <w:szCs w:val="21"/>
              </w:rPr>
            </w:pPr>
            <w:r>
              <w:rPr>
                <w:rFonts w:ascii="宋体" w:cs="宋体" w:hAnsi="宋体" w:hint="eastAsia"/>
                <w:szCs w:val="21"/>
              </w:rPr>
              <w:t>项目负责人</w:t>
            </w:r>
          </w:p>
        </w:tc>
        <w:tc>
          <w:tcPr>
            <w:tcW w:w="733" w:type="dxa"/>
            <w:tcBorders>
              <w:top w:val="single" w:sz="4" w:space="0" w:color="auto"/>
              <w:left w:val="single" w:sz="4" w:space="0" w:color="auto"/>
              <w:bottom w:val="single" w:sz="4" w:space="0" w:color="auto"/>
              <w:right w:val="single" w:sz="4" w:space="0" w:color="auto"/>
            </w:tcBorders>
            <w:vAlign w:val="center"/>
          </w:tcPr>
          <w:p>
            <w:pPr>
              <w:pStyle w:val="style0"/>
              <w:spacing w:lineRule="exact" w:line="400"/>
              <w:jc w:val="center"/>
              <w:rPr>
                <w:rFonts w:ascii="宋体" w:cs="宋体" w:hAnsi="宋体"/>
                <w:szCs w:val="21"/>
              </w:rPr>
            </w:pPr>
            <w:r>
              <w:rPr>
                <w:rFonts w:ascii="宋体" w:cs="宋体" w:hAnsi="宋体" w:hint="eastAsia"/>
                <w:szCs w:val="21"/>
              </w:rPr>
              <w:t>1</w:t>
            </w:r>
          </w:p>
        </w:tc>
        <w:tc>
          <w:tcPr>
            <w:tcW w:w="6784" w:type="dxa"/>
            <w:tcBorders>
              <w:top w:val="single" w:sz="4" w:space="0" w:color="auto"/>
              <w:left w:val="single" w:sz="4" w:space="0" w:color="auto"/>
              <w:bottom w:val="single" w:sz="4" w:space="0" w:color="auto"/>
              <w:right w:val="single" w:sz="4" w:space="0" w:color="auto"/>
            </w:tcBorders>
            <w:vAlign w:val="center"/>
          </w:tcPr>
          <w:p>
            <w:pPr>
              <w:pStyle w:val="style0"/>
              <w:spacing w:lineRule="exact" w:line="400"/>
              <w:jc w:val="left"/>
              <w:rPr>
                <w:rFonts w:ascii="宋体" w:cs="宋体" w:hAnsi="宋体"/>
                <w:color w:val="ff0000"/>
                <w:szCs w:val="21"/>
              </w:rPr>
            </w:pPr>
            <w:r>
              <w:rPr>
                <w:rFonts w:ascii="宋体" w:cs="宋体" w:hAnsi="宋体" w:hint="eastAsia"/>
                <w:color w:val="000000"/>
                <w:szCs w:val="21"/>
              </w:rPr>
              <w:t>具有建设工程质量检测人员岗位证书（钢结构专业）</w:t>
            </w:r>
          </w:p>
        </w:tc>
      </w:tr>
    </w:tbl>
    <w:p>
      <w:pPr>
        <w:pStyle w:val="style0"/>
        <w:spacing w:lineRule="exact" w:line="400"/>
        <w:jc w:val="left"/>
        <w:rPr>
          <w:rFonts w:ascii="宋体" w:cs="宋体" w:hAnsi="宋体"/>
          <w:szCs w:val="21"/>
        </w:rPr>
      </w:pPr>
      <w:r>
        <w:rPr>
          <w:rFonts w:hAnsi="宋体" w:hint="eastAsia"/>
          <w:b/>
          <w:bCs/>
          <w:szCs w:val="21"/>
        </w:rPr>
        <w:t>注：提供相关证明材料，并加盖单位鲜公章。</w:t>
      </w:r>
    </w:p>
    <w:p>
      <w:pPr>
        <w:pStyle w:val="style19"/>
        <w:rPr/>
      </w:pPr>
    </w:p>
    <w:p>
      <w:pPr>
        <w:pStyle w:val="style0"/>
        <w:outlineLvl w:val="1"/>
        <w:rPr>
          <w:rFonts w:ascii="宋体" w:cs="宋体" w:hAnsi="宋体"/>
          <w:b/>
          <w:sz w:val="28"/>
          <w:szCs w:val="28"/>
        </w:rPr>
        <w:sectPr>
          <w:pgSz w:w="11906" w:h="16838" w:orient="portrait"/>
          <w:pgMar w:top="1418" w:right="1134" w:bottom="1418" w:left="1134" w:header="851" w:footer="992" w:gutter="0"/>
          <w:cols w:space="720" w:num="1"/>
          <w:docGrid w:type="lines" w:linePitch="312" w:charSpace="0"/>
        </w:sectPr>
      </w:pPr>
    </w:p>
    <w:bookmarkStart w:id="20" w:name="_Toc11329227"/>
    <w:bookmarkStart w:id="21" w:name="_Toc8293"/>
    <w:bookmarkStart w:id="22" w:name="_Toc21487"/>
    <w:bookmarkStart w:id="23" w:name="_Toc27148"/>
    <w:p>
      <w:pPr>
        <w:pStyle w:val="style2"/>
        <w:jc w:val="center"/>
        <w:rPr>
          <w:rFonts w:ascii="宋体" w:cs="宋体" w:hAnsi="宋体"/>
          <w:b w:val="false"/>
          <w:sz w:val="28"/>
          <w:szCs w:val="28"/>
        </w:rPr>
      </w:pPr>
      <w:r>
        <w:rPr>
          <w:rFonts w:ascii="宋体" w:cs="宋体" w:eastAsia="宋体" w:hAnsi="宋体"/>
          <w:bCs w:val="false"/>
          <w:sz w:val="28"/>
          <w:szCs w:val="28"/>
        </w:rPr>
        <w:t>1.6</w:t>
      </w:r>
      <w:r>
        <w:rPr>
          <w:rFonts w:ascii="宋体" w:cs="宋体" w:eastAsia="宋体" w:hAnsi="宋体" w:hint="eastAsia"/>
          <w:bCs w:val="false"/>
          <w:sz w:val="28"/>
          <w:szCs w:val="28"/>
        </w:rPr>
        <w:t>资格审查文件（其他人员最低要求）</w:t>
      </w:r>
      <w:bookmarkEnd w:id="20"/>
      <w:bookmarkEnd w:id="21"/>
      <w:bookmarkEnd w:id="22"/>
      <w:bookmarkEnd w:id="23"/>
    </w:p>
    <w:bookmarkStart w:id="24" w:name="_Toc23696"/>
    <w:bookmarkStart w:id="25" w:name="_Toc507319900"/>
    <w:bookmarkStart w:id="26" w:name="_Toc413241584"/>
    <w:tbl>
      <w:tblPr>
        <w:tblStyle w:val="style105"/>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160"/>
      </w:tblGrid>
      <w:tr>
        <w:trPr>
          <w:trHeight w:val="323" w:hRule="atLeast"/>
          <w:jc w:val="center"/>
        </w:trPr>
        <w:tc>
          <w:tcPr>
            <w:tcW w:w="9160" w:type="dxa"/>
            <w:tcBorders/>
            <w:vAlign w:val="center"/>
          </w:tcPr>
          <w:p>
            <w:pPr>
              <w:pStyle w:val="style0"/>
              <w:spacing w:lineRule="exact" w:line="400"/>
              <w:jc w:val="center"/>
              <w:rPr>
                <w:rFonts w:ascii="宋体" w:cs="宋体" w:hAnsi="宋体"/>
                <w:color w:val="000000"/>
                <w:szCs w:val="21"/>
              </w:rPr>
            </w:pPr>
            <w:r>
              <w:rPr>
                <w:rFonts w:ascii="宋体" w:cs="宋体" w:hAnsi="宋体" w:hint="eastAsia"/>
                <w:color w:val="000000"/>
                <w:szCs w:val="21"/>
              </w:rPr>
              <w:t>其他人员最低要求</w:t>
            </w:r>
          </w:p>
        </w:tc>
      </w:tr>
      <w:tr>
        <w:tblPrEx/>
        <w:trPr>
          <w:trHeight w:val="37" w:hRule="atLeast"/>
          <w:jc w:val="center"/>
        </w:trPr>
        <w:tc>
          <w:tcPr>
            <w:tcW w:w="9160" w:type="dxa"/>
            <w:tcBorders/>
            <w:vAlign w:val="center"/>
          </w:tcPr>
          <w:p>
            <w:pPr>
              <w:pStyle w:val="style0"/>
              <w:spacing w:lineRule="atLeast" w:line="320"/>
              <w:ind w:left="-38"/>
              <w:rPr>
                <w:rFonts w:ascii="宋体" w:hAnsi="宋体"/>
                <w:color w:val="000000"/>
                <w:sz w:val="18"/>
                <w:szCs w:val="18"/>
              </w:rPr>
            </w:pPr>
            <w:r>
              <w:rPr>
                <w:rFonts w:ascii="宋体" w:hAnsi="宋体" w:hint="eastAsia"/>
                <w:color w:val="000000"/>
                <w:sz w:val="18"/>
                <w:szCs w:val="18"/>
              </w:rPr>
              <w:t>检测单位至少提供</w:t>
            </w:r>
            <w:r>
              <w:rPr>
                <w:rFonts w:ascii="宋体" w:hAnsi="宋体"/>
                <w:color w:val="000000"/>
                <w:sz w:val="18"/>
                <w:szCs w:val="18"/>
              </w:rPr>
              <w:t>8</w:t>
            </w:r>
            <w:r>
              <w:rPr>
                <w:rFonts w:ascii="宋体" w:hAnsi="宋体" w:hint="eastAsia"/>
                <w:color w:val="000000"/>
                <w:sz w:val="18"/>
                <w:szCs w:val="18"/>
              </w:rPr>
              <w:t>名团队人员，其中：主要检测人员至少</w:t>
            </w:r>
            <w:r>
              <w:rPr>
                <w:rFonts w:ascii="宋体" w:hAnsi="宋体"/>
                <w:color w:val="000000"/>
                <w:sz w:val="18"/>
                <w:szCs w:val="18"/>
              </w:rPr>
              <w:t>2</w:t>
            </w:r>
            <w:r>
              <w:rPr>
                <w:rFonts w:ascii="宋体" w:hAnsi="宋体" w:hint="eastAsia"/>
                <w:color w:val="000000"/>
                <w:sz w:val="18"/>
                <w:szCs w:val="18"/>
              </w:rPr>
              <w:t>名；驾驶员至少2名；辅助人员至少</w:t>
            </w:r>
            <w:r>
              <w:rPr>
                <w:rFonts w:ascii="宋体" w:hAnsi="宋体"/>
                <w:color w:val="000000"/>
                <w:sz w:val="18"/>
                <w:szCs w:val="18"/>
              </w:rPr>
              <w:t>2</w:t>
            </w:r>
            <w:r>
              <w:rPr>
                <w:rFonts w:ascii="宋体" w:hAnsi="宋体" w:hint="eastAsia"/>
                <w:color w:val="000000"/>
                <w:sz w:val="18"/>
                <w:szCs w:val="18"/>
              </w:rPr>
              <w:t>名；劳务人员至少2名。</w:t>
            </w:r>
          </w:p>
          <w:p>
            <w:pPr>
              <w:pStyle w:val="style0"/>
              <w:ind w:firstLine="420" w:firstLineChars="200"/>
              <w:rPr>
                <w:color w:val="000000"/>
              </w:rPr>
            </w:pPr>
          </w:p>
        </w:tc>
      </w:tr>
      <w:bookmarkEnd w:id="24"/>
      <w:bookmarkEnd w:id="25"/>
      <w:bookmarkEnd w:id="26"/>
    </w:tbl>
    <w:p>
      <w:pPr>
        <w:pStyle w:val="style0"/>
        <w:spacing w:lineRule="exact" w:line="400"/>
        <w:jc w:val="left"/>
        <w:rPr>
          <w:rStyle w:val="style4098"/>
          <w:rFonts w:ascii="宋体" w:cs="宋体" w:hAnsi="宋体"/>
          <w:b w:val="false"/>
          <w:bCs w:val="false"/>
          <w:sz w:val="28"/>
          <w:szCs w:val="28"/>
        </w:rPr>
      </w:pPr>
      <w:r>
        <w:rPr>
          <w:rFonts w:hAnsi="宋体" w:hint="eastAsia"/>
          <w:b/>
          <w:bCs/>
          <w:szCs w:val="21"/>
        </w:rPr>
        <w:t>注：无须提供相关证明材料，报价人自行承诺即可，并加盖单位鲜公章。</w:t>
      </w:r>
    </w:p>
    <w:bookmarkStart w:id="27" w:name="_Toc17384"/>
    <w:bookmarkStart w:id="28" w:name="_Toc4169"/>
    <w:bookmarkStart w:id="29" w:name="_Toc6096"/>
    <w:p>
      <w:pPr>
        <w:pStyle w:val="style2"/>
        <w:jc w:val="center"/>
        <w:rPr>
          <w:rFonts w:ascii="宋体" w:cs="宋体" w:eastAsia="宋体" w:hAnsi="宋体"/>
          <w:bCs w:val="false"/>
          <w:sz w:val="28"/>
          <w:szCs w:val="28"/>
        </w:rPr>
      </w:pPr>
      <w:r>
        <w:rPr>
          <w:rFonts w:ascii="宋体" w:cs="宋体" w:eastAsia="宋体" w:hAnsi="宋体"/>
          <w:bCs w:val="false"/>
          <w:sz w:val="28"/>
          <w:szCs w:val="28"/>
        </w:rPr>
        <w:t>1.7</w:t>
      </w:r>
      <w:r>
        <w:rPr>
          <w:rFonts w:ascii="宋体" w:cs="宋体" w:eastAsia="宋体" w:hAnsi="宋体" w:hint="eastAsia"/>
          <w:bCs w:val="false"/>
          <w:sz w:val="28"/>
          <w:szCs w:val="28"/>
        </w:rPr>
        <w:t>资格审查文件（主要机械设备和试验检测设备最低要求）</w:t>
      </w:r>
      <w:bookmarkEnd w:id="27"/>
      <w:bookmarkEnd w:id="28"/>
      <w:bookmarkEnd w:id="29"/>
    </w:p>
    <w:tbl>
      <w:tblPr>
        <w:tblStyle w:val="style105"/>
        <w:tblW w:w="8492" w:type="dxa"/>
        <w:tblInd w:w="88" w:type="dxa"/>
        <w:tblLayout w:type="fixed"/>
        <w:tblCellMar>
          <w:top w:w="0" w:type="dxa"/>
          <w:left w:w="108" w:type="dxa"/>
          <w:bottom w:w="0" w:type="dxa"/>
          <w:right w:w="108" w:type="dxa"/>
        </w:tblCellMar>
      </w:tblPr>
      <w:tblGrid>
        <w:gridCol w:w="1580"/>
        <w:gridCol w:w="1701"/>
        <w:gridCol w:w="992"/>
        <w:gridCol w:w="992"/>
        <w:gridCol w:w="1955"/>
        <w:gridCol w:w="1272"/>
      </w:tblGrid>
      <w:tr>
        <w:trPr>
          <w:trHeight w:val="454" w:hRule="atLeast"/>
        </w:trPr>
        <w:tc>
          <w:tcPr>
            <w:tcW w:w="1580" w:type="dxa"/>
            <w:tcBorders>
              <w:top w:val="single" w:sz="4" w:space="0" w:color="auto"/>
              <w:left w:val="single" w:sz="4" w:space="0" w:color="auto"/>
              <w:bottom w:val="single" w:sz="4" w:space="0" w:color="auto"/>
              <w:right w:val="single" w:sz="4" w:space="0" w:color="auto"/>
            </w:tcBorders>
            <w:vAlign w:val="center"/>
          </w:tcPr>
          <w:p>
            <w:pPr>
              <w:pStyle w:val="style0"/>
              <w:widowControl/>
              <w:jc w:val="center"/>
              <w:rPr>
                <w:rFonts w:ascii="宋体" w:cs="宋体" w:hAnsi="宋体"/>
                <w:kern w:val="0"/>
                <w:szCs w:val="21"/>
              </w:rPr>
            </w:pPr>
            <w:r>
              <w:rPr>
                <w:rFonts w:ascii="宋体" w:cs="宋体" w:hAnsi="宋体" w:hint="eastAsia"/>
                <w:kern w:val="0"/>
                <w:szCs w:val="21"/>
              </w:rPr>
              <w:t>设备名称</w:t>
            </w:r>
          </w:p>
        </w:tc>
        <w:tc>
          <w:tcPr>
            <w:tcW w:w="1701" w:type="dxa"/>
            <w:tcBorders>
              <w:top w:val="single" w:sz="4" w:space="0" w:color="auto"/>
              <w:left w:val="nil"/>
              <w:bottom w:val="single" w:sz="4" w:space="0" w:color="auto"/>
              <w:right w:val="single" w:sz="4" w:space="0" w:color="auto"/>
            </w:tcBorders>
            <w:vAlign w:val="center"/>
          </w:tcPr>
          <w:p>
            <w:pPr>
              <w:pStyle w:val="style0"/>
              <w:widowControl/>
              <w:jc w:val="center"/>
              <w:rPr>
                <w:rFonts w:ascii="宋体" w:cs="宋体" w:hAnsi="宋体"/>
                <w:kern w:val="0"/>
                <w:szCs w:val="21"/>
              </w:rPr>
            </w:pPr>
            <w:r>
              <w:rPr>
                <w:rFonts w:ascii="宋体" w:cs="宋体" w:hAnsi="宋体" w:hint="eastAsia"/>
                <w:kern w:val="0"/>
                <w:szCs w:val="21"/>
              </w:rPr>
              <w:t>规格型号</w:t>
            </w:r>
          </w:p>
        </w:tc>
        <w:tc>
          <w:tcPr>
            <w:tcW w:w="992" w:type="dxa"/>
            <w:tcBorders>
              <w:top w:val="single" w:sz="4" w:space="0" w:color="auto"/>
              <w:left w:val="nil"/>
              <w:bottom w:val="single" w:sz="4" w:space="0" w:color="auto"/>
              <w:right w:val="single" w:sz="4" w:space="0" w:color="auto"/>
            </w:tcBorders>
            <w:vAlign w:val="center"/>
          </w:tcPr>
          <w:p>
            <w:pPr>
              <w:pStyle w:val="style0"/>
              <w:widowControl/>
              <w:jc w:val="center"/>
              <w:rPr>
                <w:rFonts w:ascii="宋体" w:cs="宋体" w:hAnsi="宋体"/>
                <w:kern w:val="0"/>
                <w:szCs w:val="21"/>
              </w:rPr>
            </w:pPr>
            <w:r>
              <w:rPr>
                <w:rFonts w:ascii="宋体" w:cs="宋体" w:hAnsi="宋体" w:hint="eastAsia"/>
                <w:kern w:val="0"/>
                <w:szCs w:val="21"/>
              </w:rPr>
              <w:t>单位</w:t>
            </w:r>
          </w:p>
        </w:tc>
        <w:tc>
          <w:tcPr>
            <w:tcW w:w="992" w:type="dxa"/>
            <w:tcBorders>
              <w:top w:val="single" w:sz="4" w:space="0" w:color="auto"/>
              <w:left w:val="nil"/>
              <w:bottom w:val="single" w:sz="4" w:space="0" w:color="auto"/>
              <w:right w:val="single" w:sz="4" w:space="0" w:color="auto"/>
            </w:tcBorders>
            <w:vAlign w:val="center"/>
          </w:tcPr>
          <w:p>
            <w:pPr>
              <w:pStyle w:val="style0"/>
              <w:widowControl/>
              <w:jc w:val="center"/>
              <w:rPr>
                <w:rFonts w:ascii="宋体" w:cs="宋体" w:hAnsi="宋体"/>
                <w:kern w:val="0"/>
                <w:szCs w:val="21"/>
              </w:rPr>
            </w:pPr>
            <w:r>
              <w:rPr>
                <w:rFonts w:ascii="宋体" w:cs="宋体" w:hAnsi="宋体" w:hint="eastAsia"/>
                <w:kern w:val="0"/>
                <w:szCs w:val="21"/>
              </w:rPr>
              <w:t>数量</w:t>
            </w:r>
          </w:p>
        </w:tc>
        <w:tc>
          <w:tcPr>
            <w:tcW w:w="1955" w:type="dxa"/>
            <w:tcBorders>
              <w:top w:val="single" w:sz="4" w:space="0" w:color="auto"/>
              <w:left w:val="nil"/>
              <w:bottom w:val="single" w:sz="4" w:space="0" w:color="auto"/>
              <w:right w:val="single" w:sz="4" w:space="0" w:color="auto"/>
            </w:tcBorders>
            <w:vAlign w:val="center"/>
          </w:tcPr>
          <w:p>
            <w:pPr>
              <w:pStyle w:val="style0"/>
              <w:widowControl/>
              <w:jc w:val="center"/>
              <w:rPr>
                <w:rFonts w:ascii="宋体" w:cs="宋体" w:hAnsi="宋体"/>
                <w:kern w:val="0"/>
                <w:szCs w:val="21"/>
              </w:rPr>
            </w:pPr>
            <w:r>
              <w:rPr>
                <w:rFonts w:ascii="宋体" w:cs="宋体" w:hAnsi="宋体" w:hint="eastAsia"/>
                <w:kern w:val="0"/>
                <w:szCs w:val="21"/>
              </w:rPr>
              <w:t>拟用何处</w:t>
            </w:r>
          </w:p>
        </w:tc>
        <w:tc>
          <w:tcPr>
            <w:tcW w:w="1272" w:type="dxa"/>
            <w:tcBorders>
              <w:top w:val="single" w:sz="4" w:space="0" w:color="auto"/>
              <w:left w:val="nil"/>
              <w:bottom w:val="single" w:sz="4" w:space="0" w:color="auto"/>
              <w:right w:val="single" w:sz="4" w:space="0" w:color="auto"/>
            </w:tcBorders>
            <w:vAlign w:val="center"/>
          </w:tcPr>
          <w:p>
            <w:pPr>
              <w:pStyle w:val="style0"/>
              <w:widowControl/>
              <w:jc w:val="center"/>
              <w:rPr>
                <w:rFonts w:ascii="宋体" w:cs="宋体" w:hAnsi="宋体"/>
                <w:kern w:val="0"/>
                <w:szCs w:val="21"/>
              </w:rPr>
            </w:pPr>
            <w:r>
              <w:rPr>
                <w:rFonts w:ascii="宋体" w:cs="宋体" w:hAnsi="宋体" w:hint="eastAsia"/>
                <w:kern w:val="0"/>
                <w:szCs w:val="21"/>
              </w:rPr>
              <w:t>备注</w:t>
            </w:r>
          </w:p>
        </w:tc>
      </w:tr>
      <w:tr>
        <w:tblPrEx/>
        <w:trPr>
          <w:trHeight w:val="454" w:hRule="atLeast"/>
        </w:trPr>
        <w:tc>
          <w:tcPr>
            <w:tcW w:w="1580" w:type="dxa"/>
            <w:tcBorders>
              <w:top w:val="nil"/>
              <w:left w:val="single" w:sz="4" w:space="0" w:color="auto"/>
              <w:bottom w:val="single" w:sz="4" w:space="0" w:color="auto"/>
              <w:right w:val="single" w:sz="4" w:space="0" w:color="auto"/>
            </w:tcBorders>
            <w:vAlign w:val="center"/>
          </w:tcPr>
          <w:p>
            <w:pPr>
              <w:pStyle w:val="style0"/>
              <w:widowControl/>
              <w:jc w:val="center"/>
              <w:rPr>
                <w:rFonts w:ascii="宋体" w:cs="宋体" w:hAnsi="宋体"/>
                <w:kern w:val="0"/>
                <w:szCs w:val="21"/>
              </w:rPr>
            </w:pPr>
            <w:r>
              <w:rPr>
                <w:rFonts w:ascii="宋体" w:cs="宋体" w:hAnsi="宋体" w:hint="eastAsia"/>
                <w:kern w:val="0"/>
                <w:szCs w:val="21"/>
              </w:rPr>
              <w:t>交通车辆</w:t>
            </w:r>
          </w:p>
        </w:tc>
        <w:tc>
          <w:tcPr>
            <w:tcW w:w="1701" w:type="dxa"/>
            <w:tcBorders>
              <w:top w:val="nil"/>
              <w:left w:val="nil"/>
              <w:bottom w:val="single" w:sz="4" w:space="0" w:color="auto"/>
              <w:right w:val="single" w:sz="4" w:space="0" w:color="auto"/>
            </w:tcBorders>
            <w:vAlign w:val="center"/>
          </w:tcPr>
          <w:p>
            <w:pPr>
              <w:pStyle w:val="style0"/>
              <w:widowControl/>
              <w:jc w:val="center"/>
              <w:rPr>
                <w:rFonts w:ascii="宋体" w:cs="宋体" w:hAnsi="宋体"/>
                <w:kern w:val="0"/>
                <w:szCs w:val="21"/>
              </w:rPr>
            </w:pPr>
          </w:p>
        </w:tc>
        <w:tc>
          <w:tcPr>
            <w:tcW w:w="992" w:type="dxa"/>
            <w:tcBorders>
              <w:top w:val="nil"/>
              <w:left w:val="nil"/>
              <w:bottom w:val="single" w:sz="4" w:space="0" w:color="auto"/>
              <w:right w:val="single" w:sz="4" w:space="0" w:color="auto"/>
            </w:tcBorders>
            <w:vAlign w:val="center"/>
          </w:tcPr>
          <w:p>
            <w:pPr>
              <w:pStyle w:val="style0"/>
              <w:widowControl/>
              <w:jc w:val="center"/>
              <w:rPr>
                <w:rFonts w:ascii="宋体" w:cs="宋体" w:hAnsi="宋体"/>
                <w:kern w:val="0"/>
                <w:szCs w:val="21"/>
              </w:rPr>
            </w:pPr>
            <w:r>
              <w:rPr>
                <w:rFonts w:ascii="宋体" w:cs="宋体" w:hAnsi="宋体" w:hint="eastAsia"/>
                <w:kern w:val="0"/>
                <w:szCs w:val="21"/>
              </w:rPr>
              <w:t>辆</w:t>
            </w:r>
          </w:p>
        </w:tc>
        <w:tc>
          <w:tcPr>
            <w:tcW w:w="992" w:type="dxa"/>
            <w:tcBorders>
              <w:top w:val="nil"/>
              <w:left w:val="nil"/>
              <w:bottom w:val="single" w:sz="4" w:space="0" w:color="auto"/>
              <w:right w:val="single" w:sz="4" w:space="0" w:color="auto"/>
            </w:tcBorders>
            <w:vAlign w:val="center"/>
          </w:tcPr>
          <w:p>
            <w:pPr>
              <w:pStyle w:val="style0"/>
              <w:widowControl/>
              <w:jc w:val="center"/>
              <w:rPr>
                <w:rFonts w:ascii="宋体" w:cs="宋体" w:hAnsi="宋体"/>
                <w:kern w:val="0"/>
                <w:szCs w:val="21"/>
              </w:rPr>
            </w:pPr>
            <w:r>
              <w:rPr>
                <w:rFonts w:ascii="宋体" w:cs="宋体" w:hAnsi="宋体" w:hint="eastAsia"/>
                <w:kern w:val="0"/>
                <w:szCs w:val="21"/>
              </w:rPr>
              <w:t>1</w:t>
            </w:r>
          </w:p>
        </w:tc>
        <w:tc>
          <w:tcPr>
            <w:tcW w:w="1955" w:type="dxa"/>
            <w:tcBorders>
              <w:top w:val="nil"/>
              <w:left w:val="nil"/>
              <w:bottom w:val="single" w:sz="4" w:space="0" w:color="auto"/>
              <w:right w:val="single" w:sz="4" w:space="0" w:color="auto"/>
            </w:tcBorders>
            <w:vAlign w:val="center"/>
          </w:tcPr>
          <w:p>
            <w:pPr>
              <w:pStyle w:val="style0"/>
              <w:widowControl/>
              <w:jc w:val="center"/>
              <w:rPr>
                <w:rFonts w:ascii="宋体" w:cs="宋体" w:hAnsi="宋体"/>
                <w:kern w:val="0"/>
                <w:szCs w:val="21"/>
              </w:rPr>
            </w:pPr>
            <w:r>
              <w:rPr>
                <w:rFonts w:ascii="宋体" w:cs="宋体" w:hAnsi="宋体" w:hint="eastAsia"/>
                <w:kern w:val="0"/>
                <w:szCs w:val="21"/>
              </w:rPr>
              <w:t>现场施工</w:t>
            </w:r>
          </w:p>
        </w:tc>
        <w:tc>
          <w:tcPr>
            <w:tcW w:w="1272" w:type="dxa"/>
            <w:tcBorders>
              <w:top w:val="nil"/>
              <w:left w:val="nil"/>
              <w:bottom w:val="single" w:sz="4" w:space="0" w:color="auto"/>
              <w:right w:val="single" w:sz="4" w:space="0" w:color="auto"/>
            </w:tcBorders>
            <w:vAlign w:val="center"/>
          </w:tcPr>
          <w:p>
            <w:pPr>
              <w:pStyle w:val="style0"/>
              <w:widowControl/>
              <w:jc w:val="center"/>
              <w:rPr>
                <w:rFonts w:ascii="宋体" w:cs="宋体" w:hAnsi="宋体"/>
                <w:kern w:val="0"/>
                <w:szCs w:val="21"/>
              </w:rPr>
            </w:pPr>
          </w:p>
        </w:tc>
      </w:tr>
      <w:tr>
        <w:tblPrEx/>
        <w:trPr>
          <w:trHeight w:val="454" w:hRule="atLeast"/>
        </w:trPr>
        <w:tc>
          <w:tcPr>
            <w:tcW w:w="1580" w:type="dxa"/>
            <w:tcBorders>
              <w:top w:val="nil"/>
              <w:left w:val="single" w:sz="4" w:space="0" w:color="auto"/>
              <w:bottom w:val="single" w:sz="4" w:space="0" w:color="auto"/>
              <w:right w:val="single" w:sz="4" w:space="0" w:color="auto"/>
            </w:tcBorders>
            <w:vAlign w:val="center"/>
          </w:tcPr>
          <w:p>
            <w:pPr>
              <w:pStyle w:val="style0"/>
              <w:widowControl/>
              <w:jc w:val="center"/>
              <w:rPr>
                <w:rFonts w:ascii="宋体" w:cs="宋体" w:hAnsi="宋体"/>
                <w:kern w:val="0"/>
                <w:szCs w:val="21"/>
              </w:rPr>
            </w:pPr>
            <w:r>
              <w:rPr>
                <w:rFonts w:ascii="宋体" w:cs="宋体" w:hAnsi="宋体" w:hint="eastAsia"/>
                <w:kern w:val="0"/>
                <w:szCs w:val="21"/>
              </w:rPr>
              <w:t>高架车</w:t>
            </w:r>
          </w:p>
        </w:tc>
        <w:tc>
          <w:tcPr>
            <w:tcW w:w="1701" w:type="dxa"/>
            <w:tcBorders>
              <w:top w:val="nil"/>
              <w:left w:val="nil"/>
              <w:bottom w:val="single" w:sz="4" w:space="0" w:color="auto"/>
              <w:right w:val="single" w:sz="4" w:space="0" w:color="auto"/>
            </w:tcBorders>
            <w:vAlign w:val="center"/>
          </w:tcPr>
          <w:p>
            <w:pPr>
              <w:pStyle w:val="style0"/>
              <w:widowControl/>
              <w:jc w:val="center"/>
              <w:rPr>
                <w:rFonts w:ascii="宋体" w:cs="宋体" w:hAnsi="宋体"/>
                <w:kern w:val="0"/>
                <w:szCs w:val="21"/>
              </w:rPr>
            </w:pPr>
          </w:p>
        </w:tc>
        <w:tc>
          <w:tcPr>
            <w:tcW w:w="992" w:type="dxa"/>
            <w:tcBorders>
              <w:top w:val="nil"/>
              <w:left w:val="nil"/>
              <w:bottom w:val="single" w:sz="4" w:space="0" w:color="auto"/>
              <w:right w:val="single" w:sz="4" w:space="0" w:color="auto"/>
            </w:tcBorders>
            <w:vAlign w:val="center"/>
          </w:tcPr>
          <w:p>
            <w:pPr>
              <w:pStyle w:val="style0"/>
              <w:widowControl/>
              <w:jc w:val="center"/>
              <w:rPr>
                <w:rFonts w:ascii="宋体" w:cs="宋体" w:hAnsi="宋体"/>
                <w:kern w:val="0"/>
                <w:szCs w:val="21"/>
              </w:rPr>
            </w:pPr>
            <w:r>
              <w:rPr>
                <w:rFonts w:ascii="宋体" w:cs="宋体" w:hAnsi="宋体" w:hint="eastAsia"/>
                <w:kern w:val="0"/>
                <w:szCs w:val="21"/>
              </w:rPr>
              <w:t>辆</w:t>
            </w:r>
          </w:p>
        </w:tc>
        <w:tc>
          <w:tcPr>
            <w:tcW w:w="992" w:type="dxa"/>
            <w:tcBorders>
              <w:top w:val="nil"/>
              <w:left w:val="nil"/>
              <w:bottom w:val="single" w:sz="4" w:space="0" w:color="auto"/>
              <w:right w:val="single" w:sz="4" w:space="0" w:color="auto"/>
            </w:tcBorders>
            <w:vAlign w:val="center"/>
          </w:tcPr>
          <w:p>
            <w:pPr>
              <w:pStyle w:val="style0"/>
              <w:widowControl/>
              <w:jc w:val="center"/>
              <w:rPr>
                <w:rFonts w:ascii="宋体" w:cs="宋体" w:hAnsi="宋体"/>
                <w:kern w:val="0"/>
                <w:szCs w:val="21"/>
              </w:rPr>
            </w:pPr>
            <w:r>
              <w:rPr>
                <w:rFonts w:ascii="宋体" w:cs="宋体" w:hAnsi="宋体" w:hint="eastAsia"/>
                <w:kern w:val="0"/>
                <w:szCs w:val="21"/>
              </w:rPr>
              <w:t>1</w:t>
            </w:r>
          </w:p>
        </w:tc>
        <w:tc>
          <w:tcPr>
            <w:tcW w:w="1955" w:type="dxa"/>
            <w:tcBorders>
              <w:top w:val="nil"/>
              <w:left w:val="nil"/>
              <w:bottom w:val="single" w:sz="4" w:space="0" w:color="auto"/>
              <w:right w:val="single" w:sz="4" w:space="0" w:color="auto"/>
            </w:tcBorders>
            <w:vAlign w:val="center"/>
          </w:tcPr>
          <w:p>
            <w:pPr>
              <w:pStyle w:val="style0"/>
              <w:widowControl/>
              <w:jc w:val="center"/>
              <w:rPr>
                <w:rFonts w:ascii="宋体" w:cs="宋体" w:hAnsi="宋体"/>
                <w:kern w:val="0"/>
                <w:szCs w:val="21"/>
              </w:rPr>
            </w:pPr>
            <w:r>
              <w:rPr>
                <w:rFonts w:ascii="宋体" w:cs="宋体" w:hAnsi="宋体" w:hint="eastAsia"/>
                <w:kern w:val="0"/>
                <w:szCs w:val="21"/>
              </w:rPr>
              <w:t>现场施工</w:t>
            </w:r>
          </w:p>
        </w:tc>
        <w:tc>
          <w:tcPr>
            <w:tcW w:w="1272" w:type="dxa"/>
            <w:tcBorders>
              <w:top w:val="nil"/>
              <w:left w:val="nil"/>
              <w:bottom w:val="single" w:sz="4" w:space="0" w:color="auto"/>
              <w:right w:val="single" w:sz="4" w:space="0" w:color="auto"/>
            </w:tcBorders>
            <w:vAlign w:val="center"/>
          </w:tcPr>
          <w:p>
            <w:pPr>
              <w:pStyle w:val="style0"/>
              <w:widowControl/>
              <w:jc w:val="center"/>
              <w:rPr>
                <w:rFonts w:ascii="宋体" w:cs="宋体" w:hAnsi="宋体"/>
                <w:kern w:val="0"/>
                <w:szCs w:val="21"/>
              </w:rPr>
            </w:pPr>
          </w:p>
        </w:tc>
      </w:tr>
      <w:tr>
        <w:tblPrEx/>
        <w:trPr>
          <w:trHeight w:val="454" w:hRule="atLeast"/>
        </w:trPr>
        <w:tc>
          <w:tcPr>
            <w:tcW w:w="1580" w:type="dxa"/>
            <w:tcBorders>
              <w:top w:val="nil"/>
              <w:left w:val="single" w:sz="4" w:space="0" w:color="auto"/>
              <w:bottom w:val="single" w:sz="4" w:space="0" w:color="auto"/>
              <w:right w:val="single" w:sz="4" w:space="0" w:color="auto"/>
            </w:tcBorders>
            <w:vAlign w:val="center"/>
          </w:tcPr>
          <w:p>
            <w:pPr>
              <w:pStyle w:val="style0"/>
              <w:widowControl/>
              <w:jc w:val="center"/>
              <w:rPr>
                <w:rFonts w:ascii="宋体" w:cs="宋体" w:hAnsi="宋体"/>
                <w:kern w:val="0"/>
                <w:szCs w:val="21"/>
              </w:rPr>
            </w:pPr>
            <w:r>
              <w:rPr>
                <w:rFonts w:ascii="宋体" w:cs="宋体" w:hAnsi="宋体" w:hint="eastAsia"/>
                <w:kern w:val="0"/>
                <w:szCs w:val="21"/>
              </w:rPr>
              <w:t>超声波探伤仪</w:t>
            </w:r>
          </w:p>
        </w:tc>
        <w:tc>
          <w:tcPr>
            <w:tcW w:w="1701" w:type="dxa"/>
            <w:tcBorders>
              <w:top w:val="nil"/>
              <w:left w:val="nil"/>
              <w:bottom w:val="single" w:sz="4" w:space="0" w:color="auto"/>
              <w:right w:val="single" w:sz="4" w:space="0" w:color="auto"/>
            </w:tcBorders>
            <w:vAlign w:val="center"/>
          </w:tcPr>
          <w:p>
            <w:pPr>
              <w:pStyle w:val="style0"/>
              <w:widowControl/>
              <w:jc w:val="center"/>
              <w:rPr>
                <w:rFonts w:ascii="宋体" w:cs="宋体" w:hAnsi="宋体"/>
                <w:kern w:val="0"/>
                <w:szCs w:val="21"/>
              </w:rPr>
            </w:pPr>
          </w:p>
        </w:tc>
        <w:tc>
          <w:tcPr>
            <w:tcW w:w="992" w:type="dxa"/>
            <w:tcBorders>
              <w:top w:val="nil"/>
              <w:left w:val="nil"/>
              <w:bottom w:val="single" w:sz="4" w:space="0" w:color="auto"/>
              <w:right w:val="single" w:sz="4" w:space="0" w:color="auto"/>
            </w:tcBorders>
            <w:vAlign w:val="center"/>
          </w:tcPr>
          <w:p>
            <w:pPr>
              <w:pStyle w:val="style0"/>
              <w:widowControl/>
              <w:jc w:val="center"/>
              <w:rPr>
                <w:rFonts w:ascii="宋体" w:cs="宋体" w:hAnsi="宋体"/>
                <w:kern w:val="0"/>
                <w:szCs w:val="21"/>
              </w:rPr>
            </w:pPr>
            <w:r>
              <w:rPr>
                <w:rFonts w:ascii="宋体" w:cs="宋体" w:hAnsi="宋体" w:hint="eastAsia"/>
                <w:kern w:val="0"/>
                <w:szCs w:val="21"/>
              </w:rPr>
              <w:t>套</w:t>
            </w:r>
          </w:p>
        </w:tc>
        <w:tc>
          <w:tcPr>
            <w:tcW w:w="992" w:type="dxa"/>
            <w:tcBorders>
              <w:top w:val="nil"/>
              <w:left w:val="nil"/>
              <w:bottom w:val="single" w:sz="4" w:space="0" w:color="auto"/>
              <w:right w:val="single" w:sz="4" w:space="0" w:color="auto"/>
            </w:tcBorders>
            <w:vAlign w:val="center"/>
          </w:tcPr>
          <w:p>
            <w:pPr>
              <w:pStyle w:val="style0"/>
              <w:widowControl/>
              <w:jc w:val="center"/>
              <w:rPr>
                <w:rFonts w:ascii="宋体" w:cs="宋体" w:hAnsi="宋体"/>
                <w:kern w:val="0"/>
                <w:szCs w:val="21"/>
              </w:rPr>
            </w:pPr>
            <w:r>
              <w:rPr>
                <w:rFonts w:ascii="宋体" w:cs="宋体" w:hAnsi="宋体" w:hint="eastAsia"/>
                <w:kern w:val="0"/>
                <w:szCs w:val="21"/>
              </w:rPr>
              <w:t>1</w:t>
            </w:r>
          </w:p>
        </w:tc>
        <w:tc>
          <w:tcPr>
            <w:tcW w:w="1955" w:type="dxa"/>
            <w:tcBorders>
              <w:top w:val="nil"/>
              <w:left w:val="nil"/>
              <w:bottom w:val="single" w:sz="4" w:space="0" w:color="auto"/>
              <w:right w:val="single" w:sz="4" w:space="0" w:color="auto"/>
            </w:tcBorders>
            <w:vAlign w:val="center"/>
          </w:tcPr>
          <w:p>
            <w:pPr>
              <w:pStyle w:val="style0"/>
              <w:widowControl/>
              <w:jc w:val="center"/>
              <w:rPr>
                <w:rFonts w:ascii="宋体" w:cs="宋体" w:hAnsi="宋体"/>
                <w:kern w:val="0"/>
                <w:szCs w:val="21"/>
              </w:rPr>
            </w:pPr>
            <w:r>
              <w:rPr>
                <w:rFonts w:ascii="宋体" w:cs="宋体" w:hAnsi="宋体" w:hint="eastAsia"/>
                <w:kern w:val="0"/>
                <w:szCs w:val="21"/>
              </w:rPr>
              <w:t>焊缝探伤</w:t>
            </w:r>
          </w:p>
        </w:tc>
        <w:tc>
          <w:tcPr>
            <w:tcW w:w="1272" w:type="dxa"/>
            <w:tcBorders>
              <w:top w:val="nil"/>
              <w:left w:val="nil"/>
              <w:bottom w:val="single" w:sz="4" w:space="0" w:color="auto"/>
              <w:right w:val="single" w:sz="4" w:space="0" w:color="auto"/>
            </w:tcBorders>
            <w:vAlign w:val="center"/>
          </w:tcPr>
          <w:p>
            <w:pPr>
              <w:pStyle w:val="style0"/>
              <w:widowControl/>
              <w:jc w:val="center"/>
              <w:rPr>
                <w:rFonts w:ascii="宋体" w:cs="宋体" w:hAnsi="宋体"/>
                <w:kern w:val="0"/>
                <w:szCs w:val="21"/>
              </w:rPr>
            </w:pPr>
          </w:p>
        </w:tc>
      </w:tr>
      <w:tr>
        <w:tblPrEx/>
        <w:trPr>
          <w:trHeight w:val="454" w:hRule="atLeast"/>
        </w:trPr>
        <w:tc>
          <w:tcPr>
            <w:tcW w:w="1580" w:type="dxa"/>
            <w:tcBorders>
              <w:top w:val="nil"/>
              <w:left w:val="single" w:sz="4" w:space="0" w:color="auto"/>
              <w:bottom w:val="single" w:sz="4" w:space="0" w:color="auto"/>
              <w:right w:val="single" w:sz="4" w:space="0" w:color="auto"/>
            </w:tcBorders>
            <w:vAlign w:val="center"/>
          </w:tcPr>
          <w:p>
            <w:pPr>
              <w:pStyle w:val="style0"/>
              <w:widowControl/>
              <w:jc w:val="center"/>
              <w:rPr>
                <w:rFonts w:ascii="宋体" w:cs="宋体" w:hAnsi="宋体"/>
                <w:kern w:val="0"/>
                <w:szCs w:val="21"/>
              </w:rPr>
            </w:pPr>
            <w:r>
              <w:rPr>
                <w:rFonts w:ascii="宋体" w:cs="宋体" w:hAnsi="宋体" w:hint="eastAsia"/>
                <w:kern w:val="0"/>
                <w:szCs w:val="21"/>
              </w:rPr>
              <w:t>电子吊秤</w:t>
            </w:r>
          </w:p>
        </w:tc>
        <w:tc>
          <w:tcPr>
            <w:tcW w:w="1701" w:type="dxa"/>
            <w:tcBorders>
              <w:top w:val="nil"/>
              <w:left w:val="nil"/>
              <w:bottom w:val="single" w:sz="4" w:space="0" w:color="auto"/>
              <w:right w:val="single" w:sz="4" w:space="0" w:color="auto"/>
            </w:tcBorders>
            <w:vAlign w:val="center"/>
          </w:tcPr>
          <w:p>
            <w:pPr>
              <w:pStyle w:val="style0"/>
              <w:widowControl/>
              <w:jc w:val="center"/>
              <w:rPr>
                <w:rFonts w:ascii="宋体" w:cs="宋体" w:hAnsi="宋体"/>
                <w:kern w:val="0"/>
                <w:szCs w:val="21"/>
              </w:rPr>
            </w:pPr>
          </w:p>
        </w:tc>
        <w:tc>
          <w:tcPr>
            <w:tcW w:w="992" w:type="dxa"/>
            <w:tcBorders>
              <w:top w:val="nil"/>
              <w:left w:val="nil"/>
              <w:bottom w:val="single" w:sz="4" w:space="0" w:color="auto"/>
              <w:right w:val="single" w:sz="4" w:space="0" w:color="auto"/>
            </w:tcBorders>
            <w:vAlign w:val="center"/>
          </w:tcPr>
          <w:p>
            <w:pPr>
              <w:pStyle w:val="style0"/>
              <w:widowControl/>
              <w:jc w:val="center"/>
              <w:rPr>
                <w:rFonts w:ascii="宋体" w:cs="宋体" w:hAnsi="宋体"/>
                <w:kern w:val="0"/>
                <w:szCs w:val="21"/>
              </w:rPr>
            </w:pPr>
            <w:r>
              <w:rPr>
                <w:rFonts w:ascii="宋体" w:cs="宋体" w:hAnsi="宋体" w:hint="eastAsia"/>
                <w:kern w:val="0"/>
                <w:szCs w:val="21"/>
              </w:rPr>
              <w:t>套</w:t>
            </w:r>
          </w:p>
        </w:tc>
        <w:tc>
          <w:tcPr>
            <w:tcW w:w="992" w:type="dxa"/>
            <w:tcBorders>
              <w:top w:val="nil"/>
              <w:left w:val="nil"/>
              <w:bottom w:val="single" w:sz="4" w:space="0" w:color="auto"/>
              <w:right w:val="single" w:sz="4" w:space="0" w:color="auto"/>
            </w:tcBorders>
            <w:vAlign w:val="center"/>
          </w:tcPr>
          <w:p>
            <w:pPr>
              <w:pStyle w:val="style0"/>
              <w:widowControl/>
              <w:jc w:val="center"/>
              <w:rPr>
                <w:rFonts w:ascii="宋体" w:cs="宋体" w:hAnsi="宋体"/>
                <w:kern w:val="0"/>
                <w:szCs w:val="21"/>
              </w:rPr>
            </w:pPr>
            <w:r>
              <w:rPr>
                <w:rFonts w:ascii="宋体" w:cs="宋体" w:hAnsi="宋体" w:hint="eastAsia"/>
                <w:kern w:val="0"/>
                <w:szCs w:val="21"/>
              </w:rPr>
              <w:t>1</w:t>
            </w:r>
          </w:p>
        </w:tc>
        <w:tc>
          <w:tcPr>
            <w:tcW w:w="1955" w:type="dxa"/>
            <w:tcBorders>
              <w:top w:val="nil"/>
              <w:left w:val="nil"/>
              <w:bottom w:val="single" w:sz="4" w:space="0" w:color="auto"/>
              <w:right w:val="single" w:sz="4" w:space="0" w:color="auto"/>
            </w:tcBorders>
            <w:vAlign w:val="center"/>
          </w:tcPr>
          <w:p>
            <w:pPr>
              <w:pStyle w:val="style0"/>
              <w:widowControl/>
              <w:jc w:val="center"/>
              <w:rPr>
                <w:rFonts w:ascii="宋体" w:cs="宋体" w:hAnsi="宋体"/>
                <w:kern w:val="0"/>
                <w:szCs w:val="21"/>
              </w:rPr>
            </w:pPr>
            <w:r>
              <w:rPr>
                <w:rFonts w:ascii="宋体" w:cs="宋体" w:hAnsi="宋体" w:hint="eastAsia"/>
                <w:kern w:val="0"/>
                <w:szCs w:val="21"/>
              </w:rPr>
              <w:t>承重检测</w:t>
            </w:r>
          </w:p>
        </w:tc>
        <w:tc>
          <w:tcPr>
            <w:tcW w:w="1272" w:type="dxa"/>
            <w:tcBorders>
              <w:top w:val="nil"/>
              <w:left w:val="nil"/>
              <w:bottom w:val="single" w:sz="4" w:space="0" w:color="auto"/>
              <w:right w:val="single" w:sz="4" w:space="0" w:color="auto"/>
            </w:tcBorders>
            <w:vAlign w:val="center"/>
          </w:tcPr>
          <w:p>
            <w:pPr>
              <w:pStyle w:val="style0"/>
              <w:widowControl/>
              <w:jc w:val="center"/>
              <w:rPr>
                <w:rFonts w:ascii="宋体" w:cs="宋体" w:hAnsi="宋体"/>
                <w:kern w:val="0"/>
                <w:szCs w:val="21"/>
              </w:rPr>
            </w:pPr>
          </w:p>
        </w:tc>
      </w:tr>
      <w:tr>
        <w:tblPrEx/>
        <w:trPr>
          <w:trHeight w:val="454" w:hRule="atLeast"/>
        </w:trPr>
        <w:tc>
          <w:tcPr>
            <w:tcW w:w="1580" w:type="dxa"/>
            <w:tcBorders>
              <w:top w:val="nil"/>
              <w:left w:val="single" w:sz="4" w:space="0" w:color="auto"/>
              <w:bottom w:val="single" w:sz="4" w:space="0" w:color="auto"/>
              <w:right w:val="single" w:sz="4" w:space="0" w:color="auto"/>
            </w:tcBorders>
            <w:vAlign w:val="center"/>
          </w:tcPr>
          <w:p>
            <w:pPr>
              <w:pStyle w:val="style0"/>
              <w:widowControl/>
              <w:jc w:val="center"/>
              <w:rPr>
                <w:rFonts w:ascii="宋体" w:cs="宋体" w:hAnsi="宋体"/>
                <w:kern w:val="0"/>
                <w:szCs w:val="21"/>
              </w:rPr>
            </w:pPr>
            <w:r>
              <w:rPr>
                <w:rFonts w:ascii="宋体" w:cs="宋体" w:hAnsi="宋体" w:hint="eastAsia"/>
                <w:kern w:val="0"/>
                <w:szCs w:val="21"/>
              </w:rPr>
              <w:t>牵引器</w:t>
            </w:r>
          </w:p>
        </w:tc>
        <w:tc>
          <w:tcPr>
            <w:tcW w:w="1701" w:type="dxa"/>
            <w:tcBorders>
              <w:top w:val="nil"/>
              <w:left w:val="nil"/>
              <w:bottom w:val="single" w:sz="4" w:space="0" w:color="auto"/>
              <w:right w:val="single" w:sz="4" w:space="0" w:color="auto"/>
            </w:tcBorders>
            <w:vAlign w:val="center"/>
          </w:tcPr>
          <w:p>
            <w:pPr>
              <w:pStyle w:val="style0"/>
              <w:widowControl/>
              <w:jc w:val="center"/>
              <w:rPr>
                <w:rFonts w:ascii="宋体" w:cs="宋体" w:hAnsi="宋体"/>
                <w:kern w:val="0"/>
                <w:szCs w:val="21"/>
              </w:rPr>
            </w:pPr>
          </w:p>
        </w:tc>
        <w:tc>
          <w:tcPr>
            <w:tcW w:w="992" w:type="dxa"/>
            <w:tcBorders>
              <w:top w:val="nil"/>
              <w:left w:val="nil"/>
              <w:bottom w:val="single" w:sz="4" w:space="0" w:color="auto"/>
              <w:right w:val="single" w:sz="4" w:space="0" w:color="auto"/>
            </w:tcBorders>
            <w:vAlign w:val="center"/>
          </w:tcPr>
          <w:p>
            <w:pPr>
              <w:pStyle w:val="style0"/>
              <w:widowControl/>
              <w:jc w:val="center"/>
              <w:rPr>
                <w:rFonts w:ascii="宋体" w:cs="宋体" w:hAnsi="宋体"/>
                <w:kern w:val="0"/>
                <w:szCs w:val="21"/>
              </w:rPr>
            </w:pPr>
            <w:r>
              <w:rPr>
                <w:rFonts w:ascii="宋体" w:cs="宋体" w:hAnsi="宋体" w:hint="eastAsia"/>
                <w:kern w:val="0"/>
                <w:szCs w:val="21"/>
              </w:rPr>
              <w:t>套</w:t>
            </w:r>
          </w:p>
        </w:tc>
        <w:tc>
          <w:tcPr>
            <w:tcW w:w="992" w:type="dxa"/>
            <w:tcBorders>
              <w:top w:val="nil"/>
              <w:left w:val="nil"/>
              <w:bottom w:val="single" w:sz="4" w:space="0" w:color="auto"/>
              <w:right w:val="single" w:sz="4" w:space="0" w:color="auto"/>
            </w:tcBorders>
            <w:vAlign w:val="center"/>
          </w:tcPr>
          <w:p>
            <w:pPr>
              <w:pStyle w:val="style0"/>
              <w:widowControl/>
              <w:jc w:val="center"/>
              <w:rPr>
                <w:rFonts w:ascii="宋体" w:cs="宋体" w:hAnsi="宋体"/>
                <w:kern w:val="0"/>
                <w:szCs w:val="21"/>
              </w:rPr>
            </w:pPr>
            <w:r>
              <w:rPr>
                <w:rFonts w:ascii="宋体" w:cs="宋体" w:hAnsi="宋体" w:hint="eastAsia"/>
                <w:kern w:val="0"/>
                <w:szCs w:val="21"/>
              </w:rPr>
              <w:t>1</w:t>
            </w:r>
          </w:p>
        </w:tc>
        <w:tc>
          <w:tcPr>
            <w:tcW w:w="1955" w:type="dxa"/>
            <w:tcBorders>
              <w:top w:val="nil"/>
              <w:left w:val="nil"/>
              <w:bottom w:val="single" w:sz="4" w:space="0" w:color="auto"/>
              <w:right w:val="single" w:sz="4" w:space="0" w:color="auto"/>
            </w:tcBorders>
            <w:vAlign w:val="center"/>
          </w:tcPr>
          <w:p>
            <w:pPr>
              <w:pStyle w:val="style0"/>
              <w:widowControl/>
              <w:jc w:val="center"/>
              <w:rPr>
                <w:rFonts w:ascii="宋体" w:cs="宋体" w:hAnsi="宋体"/>
                <w:kern w:val="0"/>
                <w:szCs w:val="21"/>
              </w:rPr>
            </w:pPr>
            <w:r>
              <w:rPr>
                <w:rFonts w:ascii="宋体" w:cs="宋体" w:hAnsi="宋体" w:hint="eastAsia"/>
                <w:kern w:val="0"/>
                <w:szCs w:val="21"/>
              </w:rPr>
              <w:t>承重检测</w:t>
            </w:r>
          </w:p>
        </w:tc>
        <w:tc>
          <w:tcPr>
            <w:tcW w:w="1272" w:type="dxa"/>
            <w:tcBorders>
              <w:top w:val="nil"/>
              <w:left w:val="nil"/>
              <w:bottom w:val="single" w:sz="4" w:space="0" w:color="auto"/>
              <w:right w:val="single" w:sz="4" w:space="0" w:color="auto"/>
            </w:tcBorders>
            <w:vAlign w:val="center"/>
          </w:tcPr>
          <w:p>
            <w:pPr>
              <w:pStyle w:val="style0"/>
              <w:widowControl/>
              <w:jc w:val="center"/>
              <w:rPr>
                <w:rFonts w:ascii="宋体" w:cs="宋体" w:hAnsi="宋体"/>
                <w:kern w:val="0"/>
                <w:szCs w:val="21"/>
              </w:rPr>
            </w:pPr>
          </w:p>
        </w:tc>
      </w:tr>
    </w:tbl>
    <w:p>
      <w:pPr>
        <w:pStyle w:val="style0"/>
        <w:spacing w:lineRule="exact" w:line="400"/>
        <w:ind w:firstLine="420"/>
        <w:rPr>
          <w:rFonts w:ascii="宋体" w:cs="宋体" w:hAnsi="宋体"/>
          <w:b/>
          <w:kern w:val="0"/>
          <w:szCs w:val="21"/>
        </w:rPr>
      </w:pPr>
      <w:r>
        <w:rPr>
          <w:rFonts w:ascii="宋体" w:cs="宋体" w:hAnsi="宋体" w:hint="eastAsia"/>
          <w:b/>
          <w:kern w:val="0"/>
          <w:szCs w:val="21"/>
        </w:rPr>
        <w:t>注：以上设备</w:t>
      </w:r>
      <w:r>
        <w:rPr>
          <w:rFonts w:ascii="宋体" w:cs="宋体" w:hAnsi="宋体" w:hint="eastAsia"/>
          <w:b/>
          <w:kern w:val="0"/>
        </w:rPr>
        <w:t>由报价人自行承诺，</w:t>
      </w:r>
      <w:r>
        <w:rPr>
          <w:rFonts w:ascii="宋体" w:cs="宋体" w:hAnsi="宋体" w:hint="eastAsia"/>
          <w:b/>
          <w:kern w:val="0"/>
          <w:szCs w:val="21"/>
        </w:rPr>
        <w:t>无需提供有关证明资料，并加盖单位鲜公章。</w:t>
      </w:r>
    </w:p>
    <w:p>
      <w:pPr>
        <w:pStyle w:val="style4099"/>
        <w:adjustRightInd/>
        <w:spacing w:lineRule="exact" w:line="400"/>
        <w:ind w:firstLine="422" w:firstLineChars="200"/>
        <w:jc w:val="both"/>
        <w:rPr>
          <w:sz w:val="28"/>
          <w:szCs w:val="28"/>
        </w:rPr>
      </w:pPr>
      <w:r>
        <w:rPr>
          <w:rFonts w:hAnsi="宋体" w:hint="eastAsia"/>
          <w:b/>
          <w:bCs/>
          <w:color w:val="auto"/>
          <w:sz w:val="21"/>
          <w:szCs w:val="21"/>
        </w:rPr>
        <w:t>以上（8</w:t>
      </w:r>
      <w:r>
        <w:rPr>
          <w:rFonts w:hAnsi="宋体"/>
          <w:b/>
          <w:bCs/>
          <w:color w:val="auto"/>
          <w:sz w:val="21"/>
          <w:szCs w:val="21"/>
        </w:rPr>
        <w:t>.1-8.7</w:t>
      </w:r>
      <w:r>
        <w:rPr>
          <w:rFonts w:hAnsi="宋体" w:hint="eastAsia"/>
          <w:b/>
          <w:bCs/>
          <w:color w:val="auto"/>
          <w:sz w:val="21"/>
          <w:szCs w:val="21"/>
        </w:rPr>
        <w:t>中的资格审查）的要求均为强制性条件，其中任何一条不满足要求，则按否决报价处理。</w:t>
      </w:r>
      <w:bookmarkEnd w:id="18"/>
      <w:bookmarkEnd w:id="19"/>
    </w:p>
    <w:p>
      <w:pPr>
        <w:pStyle w:val="style0"/>
        <w:spacing w:lineRule="auto" w:line="360"/>
        <w:ind w:firstLine="560" w:firstLineChars="200"/>
        <w:rPr>
          <w:sz w:val="28"/>
          <w:szCs w:val="28"/>
        </w:rPr>
      </w:pPr>
      <w:r>
        <w:rPr>
          <w:sz w:val="28"/>
          <w:szCs w:val="28"/>
        </w:rPr>
        <w:t>2</w:t>
      </w:r>
      <w:r>
        <w:rPr>
          <w:rFonts w:hint="eastAsia"/>
          <w:sz w:val="28"/>
          <w:szCs w:val="28"/>
        </w:rPr>
        <w:t>.竞争性比选文件份数</w:t>
      </w:r>
    </w:p>
    <w:p>
      <w:pPr>
        <w:pStyle w:val="style0"/>
        <w:spacing w:lineRule="auto" w:line="360"/>
        <w:ind w:firstLine="560" w:firstLineChars="200"/>
        <w:rPr>
          <w:sz w:val="28"/>
          <w:szCs w:val="28"/>
        </w:rPr>
      </w:pPr>
      <w:r>
        <w:rPr>
          <w:rFonts w:hint="eastAsia"/>
          <w:sz w:val="28"/>
          <w:szCs w:val="28"/>
        </w:rPr>
        <w:t>竞争性比选响应文件提交正本1份，副本2份，副本可为正本的复印件，竞争性比选响应文件需装订成册；报价人应提供竞争性比选响应文件电子文件1份（U盘1份，电子文件内容须包括竞争性比选响应文件全部内容）。当电子文件与纸质版竞争性比选响应文件不一致时，以纸质版竞争性比选响应文件为准，当正本与副本不一致时，以正本为准。</w:t>
      </w:r>
    </w:p>
    <w:p>
      <w:pPr>
        <w:pStyle w:val="style0"/>
        <w:spacing w:lineRule="auto" w:line="360"/>
        <w:ind w:firstLine="560" w:firstLineChars="200"/>
        <w:rPr>
          <w:sz w:val="28"/>
          <w:szCs w:val="28"/>
        </w:rPr>
      </w:pPr>
      <w:r>
        <w:rPr>
          <w:sz w:val="28"/>
          <w:szCs w:val="28"/>
        </w:rPr>
        <w:t>3</w:t>
      </w:r>
      <w:r>
        <w:rPr>
          <w:rFonts w:hint="eastAsia"/>
          <w:sz w:val="28"/>
          <w:szCs w:val="28"/>
        </w:rPr>
        <w:t>.本次竞争性比选响应文件的组成</w:t>
      </w:r>
    </w:p>
    <w:p>
      <w:pPr>
        <w:pStyle w:val="style0"/>
        <w:spacing w:lineRule="auto" w:line="360"/>
        <w:ind w:firstLine="560" w:firstLineChars="200"/>
        <w:rPr>
          <w:sz w:val="28"/>
          <w:szCs w:val="28"/>
        </w:rPr>
      </w:pPr>
      <w:r>
        <w:rPr>
          <w:rFonts w:hint="eastAsia"/>
          <w:sz w:val="28"/>
          <w:szCs w:val="28"/>
        </w:rPr>
        <w:t>竞争性比选响应声明书、法定代表人身份证明和法定代表人授权委托书、报价一览表、资格要求材料、承诺书、报价人认为需要提供的其他相关文件（注：以上所有文件均须加盖报价人的公章）。</w:t>
      </w:r>
    </w:p>
    <w:p>
      <w:pPr>
        <w:pStyle w:val="style0"/>
        <w:spacing w:lineRule="auto" w:line="360"/>
        <w:ind w:firstLine="560" w:firstLineChars="200"/>
        <w:rPr>
          <w:sz w:val="28"/>
          <w:szCs w:val="28"/>
        </w:rPr>
      </w:pPr>
      <w:r>
        <w:rPr>
          <w:sz w:val="28"/>
          <w:szCs w:val="28"/>
        </w:rPr>
        <w:t>4</w:t>
      </w:r>
      <w:r>
        <w:rPr>
          <w:rFonts w:hint="eastAsia"/>
          <w:sz w:val="28"/>
          <w:szCs w:val="28"/>
        </w:rPr>
        <w:t>.密封要求</w:t>
      </w:r>
    </w:p>
    <w:p>
      <w:pPr>
        <w:pStyle w:val="style0"/>
        <w:spacing w:lineRule="auto" w:line="360"/>
        <w:ind w:firstLine="560" w:firstLineChars="200"/>
        <w:rPr>
          <w:sz w:val="28"/>
          <w:szCs w:val="28"/>
        </w:rPr>
      </w:pPr>
      <w:r>
        <w:rPr>
          <w:rFonts w:hint="eastAsia"/>
          <w:sz w:val="28"/>
          <w:szCs w:val="28"/>
        </w:rPr>
        <w:t>竞争性比选响应文件密封到一个封袋中，在封套上写明：</w:t>
      </w:r>
    </w:p>
    <w:p>
      <w:pPr>
        <w:pStyle w:val="style0"/>
        <w:spacing w:lineRule="auto" w:line="360"/>
        <w:ind w:firstLine="560" w:firstLineChars="200"/>
        <w:rPr>
          <w:sz w:val="28"/>
          <w:szCs w:val="28"/>
        </w:rPr>
      </w:pPr>
      <w:r>
        <w:rPr>
          <w:rFonts w:hint="eastAsia"/>
          <w:sz w:val="28"/>
          <w:szCs w:val="28"/>
          <w:lang w:eastAsia="zh-CN"/>
        </w:rPr>
        <w:t>2021年东北营运公司奉巫路（二期）金属结构物检测</w:t>
      </w:r>
      <w:r>
        <w:rPr>
          <w:rFonts w:hint="eastAsia"/>
          <w:sz w:val="28"/>
          <w:szCs w:val="28"/>
        </w:rPr>
        <w:t>项目</w:t>
      </w:r>
      <w:r>
        <w:rPr>
          <w:rFonts w:hint="eastAsia"/>
          <w:sz w:val="28"/>
          <w:szCs w:val="28"/>
          <w:lang w:eastAsia="zh-CN"/>
        </w:rPr>
        <w:t>（第二次）</w:t>
      </w:r>
      <w:r>
        <w:rPr>
          <w:rFonts w:hint="eastAsia"/>
          <w:sz w:val="28"/>
          <w:szCs w:val="28"/>
        </w:rPr>
        <w:t>竞争性比选响应文件</w:t>
      </w:r>
    </w:p>
    <w:p>
      <w:pPr>
        <w:pStyle w:val="style0"/>
        <w:spacing w:lineRule="auto" w:line="360"/>
        <w:ind w:firstLine="560" w:firstLineChars="200"/>
        <w:rPr>
          <w:sz w:val="28"/>
          <w:szCs w:val="28"/>
        </w:rPr>
      </w:pPr>
      <w:r>
        <w:rPr>
          <w:rFonts w:hint="eastAsia"/>
          <w:sz w:val="28"/>
          <w:szCs w:val="28"/>
        </w:rPr>
        <w:t>在2021年</w:t>
      </w:r>
      <w:r>
        <w:rPr>
          <w:rFonts w:hint="eastAsia"/>
          <w:sz w:val="28"/>
          <w:szCs w:val="28"/>
          <w:lang w:val="en-US" w:eastAsia="zh-CN"/>
        </w:rPr>
        <w:t>8</w:t>
      </w:r>
      <w:r>
        <w:rPr>
          <w:rFonts w:hint="eastAsia"/>
          <w:sz w:val="28"/>
          <w:szCs w:val="28"/>
        </w:rPr>
        <w:t>月</w:t>
      </w:r>
      <w:r>
        <w:rPr>
          <w:rFonts w:hint="eastAsia"/>
          <w:sz w:val="28"/>
          <w:szCs w:val="28"/>
          <w:lang w:val="en-US" w:eastAsia="zh-CN"/>
        </w:rPr>
        <w:t>1</w:t>
      </w:r>
      <w:r>
        <w:rPr>
          <w:sz w:val="28"/>
          <w:szCs w:val="28"/>
        </w:rPr>
        <w:t>8</w:t>
      </w:r>
      <w:r>
        <w:rPr>
          <w:rFonts w:hint="eastAsia"/>
          <w:sz w:val="28"/>
          <w:szCs w:val="28"/>
        </w:rPr>
        <w:t>日1</w:t>
      </w:r>
      <w:r>
        <w:rPr>
          <w:sz w:val="28"/>
          <w:szCs w:val="28"/>
        </w:rPr>
        <w:t>4</w:t>
      </w:r>
      <w:r>
        <w:rPr>
          <w:rFonts w:hint="eastAsia"/>
          <w:sz w:val="28"/>
          <w:szCs w:val="28"/>
        </w:rPr>
        <w:t>：00时前不得开启</w:t>
      </w:r>
    </w:p>
    <w:p>
      <w:pPr>
        <w:pStyle w:val="style0"/>
        <w:spacing w:lineRule="auto" w:line="360"/>
        <w:ind w:firstLine="560" w:firstLineChars="200"/>
        <w:rPr>
          <w:sz w:val="28"/>
          <w:szCs w:val="28"/>
        </w:rPr>
      </w:pPr>
      <w:r>
        <w:rPr>
          <w:sz w:val="28"/>
          <w:szCs w:val="28"/>
        </w:rPr>
        <w:t>5</w:t>
      </w:r>
      <w:r>
        <w:rPr>
          <w:rFonts w:hint="eastAsia"/>
          <w:sz w:val="28"/>
          <w:szCs w:val="28"/>
        </w:rPr>
        <w:t>.竞争性比选响应文件的递交</w:t>
      </w:r>
    </w:p>
    <w:p>
      <w:pPr>
        <w:pStyle w:val="style0"/>
        <w:spacing w:lineRule="auto" w:line="360"/>
        <w:ind w:firstLine="560" w:firstLineChars="200"/>
        <w:rPr>
          <w:sz w:val="28"/>
          <w:szCs w:val="28"/>
        </w:rPr>
      </w:pPr>
      <w:r>
        <w:rPr>
          <w:rFonts w:hint="eastAsia"/>
          <w:sz w:val="28"/>
          <w:szCs w:val="28"/>
        </w:rPr>
        <w:t>（1）报价截止时间和开标时间：2021年</w:t>
      </w:r>
      <w:r>
        <w:rPr>
          <w:rFonts w:hint="eastAsia"/>
          <w:sz w:val="28"/>
          <w:szCs w:val="28"/>
          <w:lang w:val="en-US" w:eastAsia="zh-CN"/>
        </w:rPr>
        <w:t>8</w:t>
      </w:r>
      <w:r>
        <w:rPr>
          <w:rFonts w:hint="eastAsia"/>
          <w:sz w:val="28"/>
          <w:szCs w:val="28"/>
        </w:rPr>
        <w:t>月</w:t>
      </w:r>
      <w:r>
        <w:rPr>
          <w:rFonts w:hint="eastAsia"/>
          <w:sz w:val="28"/>
          <w:szCs w:val="28"/>
          <w:lang w:val="en-US" w:eastAsia="zh-CN"/>
        </w:rPr>
        <w:t>1</w:t>
      </w:r>
      <w:r>
        <w:rPr>
          <w:sz w:val="28"/>
          <w:szCs w:val="28"/>
        </w:rPr>
        <w:t>8</w:t>
      </w:r>
      <w:r>
        <w:rPr>
          <w:rFonts w:hint="eastAsia"/>
          <w:sz w:val="28"/>
          <w:szCs w:val="28"/>
        </w:rPr>
        <w:t>日1</w:t>
      </w:r>
      <w:r>
        <w:rPr>
          <w:sz w:val="28"/>
          <w:szCs w:val="28"/>
        </w:rPr>
        <w:t>4</w:t>
      </w:r>
      <w:r>
        <w:rPr>
          <w:rFonts w:hint="eastAsia"/>
          <w:sz w:val="28"/>
          <w:szCs w:val="28"/>
        </w:rPr>
        <w:t>:00分（北京时间）。</w:t>
      </w:r>
    </w:p>
    <w:p>
      <w:pPr>
        <w:pStyle w:val="style0"/>
        <w:spacing w:lineRule="auto" w:line="360"/>
        <w:ind w:firstLine="560" w:firstLineChars="200"/>
        <w:rPr>
          <w:rFonts w:eastAsia="宋体" w:hint="eastAsia"/>
          <w:sz w:val="28"/>
          <w:szCs w:val="28"/>
          <w:lang w:eastAsia="zh-CN"/>
        </w:rPr>
      </w:pPr>
      <w:r>
        <w:rPr>
          <w:rFonts w:hint="eastAsia"/>
          <w:sz w:val="28"/>
          <w:szCs w:val="28"/>
        </w:rPr>
        <w:t>（2）报价地点和开标地点：重庆市南岸区四公里内环入口200米处重庆首讯科技大楼</w:t>
      </w:r>
      <w:r>
        <w:rPr>
          <w:rFonts w:hint="eastAsia"/>
          <w:sz w:val="28"/>
          <w:szCs w:val="28"/>
          <w:lang w:val="en-US" w:eastAsia="zh-CN"/>
        </w:rPr>
        <w:t>一</w:t>
      </w:r>
      <w:r>
        <w:rPr>
          <w:rFonts w:hint="eastAsia"/>
          <w:sz w:val="28"/>
          <w:szCs w:val="28"/>
        </w:rPr>
        <w:t>楼</w:t>
      </w:r>
      <w:r>
        <w:rPr>
          <w:rFonts w:hint="eastAsia"/>
          <w:sz w:val="28"/>
          <w:szCs w:val="28"/>
          <w:lang w:val="en-US" w:eastAsia="zh-CN"/>
        </w:rPr>
        <w:t>大厅</w:t>
      </w:r>
    </w:p>
    <w:p>
      <w:pPr>
        <w:pStyle w:val="style0"/>
        <w:spacing w:lineRule="auto" w:line="360"/>
        <w:ind w:firstLine="560" w:firstLineChars="200"/>
        <w:rPr>
          <w:sz w:val="28"/>
          <w:szCs w:val="28"/>
        </w:rPr>
      </w:pPr>
      <w:r>
        <w:rPr>
          <w:rFonts w:hint="eastAsia"/>
          <w:sz w:val="28"/>
          <w:szCs w:val="28"/>
        </w:rPr>
        <w:t>（3）逾期送达，或未送达指定地点，或未密封的竞争性比选响应文件，采购人不予受理。</w:t>
      </w:r>
    </w:p>
    <w:p>
      <w:pPr>
        <w:pStyle w:val="style0"/>
        <w:spacing w:lineRule="auto" w:line="360"/>
        <w:ind w:firstLine="560" w:firstLineChars="200"/>
        <w:rPr>
          <w:sz w:val="28"/>
          <w:szCs w:val="28"/>
        </w:rPr>
      </w:pPr>
      <w:r>
        <w:rPr>
          <w:rFonts w:hint="eastAsia"/>
          <w:sz w:val="28"/>
          <w:szCs w:val="28"/>
        </w:rPr>
        <w:t>（4）递交报价文件时，报价文件递交人员须出示由采购人出具的盖有采购人公章及有邀请单位名称文件。</w:t>
      </w:r>
    </w:p>
    <w:p>
      <w:pPr>
        <w:pStyle w:val="style0"/>
        <w:spacing w:lineRule="auto" w:line="360"/>
        <w:ind w:firstLine="570"/>
        <w:rPr>
          <w:rFonts w:hint="eastAsia"/>
          <w:sz w:val="28"/>
          <w:szCs w:val="28"/>
        </w:rPr>
      </w:pPr>
    </w:p>
    <w:p>
      <w:pPr>
        <w:pStyle w:val="style0"/>
        <w:spacing w:lineRule="auto" w:line="360"/>
        <w:outlineLvl w:val="0"/>
        <w:rPr>
          <w:b/>
          <w:sz w:val="28"/>
          <w:szCs w:val="28"/>
          <w:u w:val="wave"/>
        </w:rPr>
      </w:pPr>
    </w:p>
    <w:p>
      <w:pPr>
        <w:pStyle w:val="style0"/>
        <w:spacing w:lineRule="auto" w:line="360"/>
        <w:outlineLvl w:val="0"/>
        <w:rPr>
          <w:b/>
          <w:sz w:val="28"/>
          <w:szCs w:val="28"/>
        </w:rPr>
      </w:pPr>
      <w:r>
        <w:rPr>
          <w:rFonts w:hint="eastAsia"/>
          <w:b/>
          <w:sz w:val="28"/>
          <w:szCs w:val="28"/>
          <w:u w:val="wave"/>
        </w:rPr>
        <w:t>九、评标方法：</w:t>
      </w:r>
      <w:r>
        <w:rPr>
          <w:rFonts w:hint="eastAsia"/>
          <w:b/>
          <w:sz w:val="28"/>
          <w:szCs w:val="28"/>
        </w:rPr>
        <w:t>经评审的最低投标价法</w:t>
      </w:r>
    </w:p>
    <w:p>
      <w:pPr>
        <w:pStyle w:val="style0"/>
        <w:ind w:firstLine="560" w:firstLineChars="200"/>
        <w:rPr>
          <w:sz w:val="28"/>
          <w:szCs w:val="28"/>
        </w:rPr>
      </w:pPr>
      <w:r>
        <w:rPr>
          <w:rFonts w:hint="eastAsia"/>
          <w:sz w:val="28"/>
          <w:szCs w:val="28"/>
        </w:rPr>
        <w:t>评审小组对满足比选文件实质性要求且总报价未超过最高限价的竞争性比选响应文件，若报价相同则由报价相同的投标人进行第二轮报价，以报价较低的单位为中标候选人；若第二次报价仍相同，则以先提交二次报价的单位为中标后选人。</w:t>
      </w:r>
    </w:p>
    <w:p>
      <w:pPr>
        <w:pStyle w:val="style0"/>
        <w:ind w:firstLine="560" w:firstLineChars="200"/>
        <w:rPr>
          <w:sz w:val="28"/>
          <w:szCs w:val="28"/>
        </w:rPr>
      </w:pPr>
    </w:p>
    <w:p>
      <w:pPr>
        <w:pStyle w:val="style0"/>
        <w:spacing w:lineRule="auto" w:line="360"/>
        <w:jc w:val="left"/>
        <w:rPr>
          <w:b/>
          <w:sz w:val="28"/>
          <w:szCs w:val="28"/>
          <w:u w:val="wave" w:color="ffffff"/>
        </w:rPr>
      </w:pPr>
      <w:r>
        <w:rPr>
          <w:rFonts w:hint="eastAsia"/>
          <w:b/>
          <w:sz w:val="28"/>
          <w:szCs w:val="28"/>
          <w:u w:val="wave" w:color="ffffff"/>
        </w:rPr>
        <w:t>十、联系方式</w:t>
      </w:r>
    </w:p>
    <w:p>
      <w:pPr>
        <w:pStyle w:val="style0"/>
        <w:spacing w:lineRule="auto" w:line="360"/>
        <w:ind w:firstLine="560" w:firstLineChars="200"/>
        <w:jc w:val="left"/>
        <w:rPr>
          <w:rFonts w:eastAsia="宋体" w:hint="default"/>
          <w:sz w:val="28"/>
          <w:szCs w:val="28"/>
          <w:u w:val="wave" w:color="ffffff"/>
          <w:lang w:val="en-US" w:eastAsia="zh-CN"/>
        </w:rPr>
      </w:pPr>
      <w:r>
        <w:rPr>
          <w:rFonts w:hint="eastAsia"/>
          <w:sz w:val="28"/>
          <w:szCs w:val="28"/>
          <w:u w:val="wave" w:color="ffffff"/>
        </w:rPr>
        <w:t xml:space="preserve">联系人: </w:t>
      </w:r>
      <w:r>
        <w:rPr>
          <w:rFonts w:hint="eastAsia"/>
          <w:sz w:val="28"/>
          <w:szCs w:val="28"/>
          <w:u w:val="wave" w:color="ffffff"/>
          <w:lang w:val="en-US" w:eastAsia="zh-CN"/>
        </w:rPr>
        <w:t>陈老师</w:t>
      </w:r>
      <w:r>
        <w:rPr>
          <w:rFonts w:hint="eastAsia"/>
          <w:sz w:val="28"/>
          <w:szCs w:val="28"/>
          <w:u w:val="wave" w:color="ffffff"/>
        </w:rPr>
        <w:t xml:space="preserve">         电话：</w:t>
      </w:r>
      <w:r>
        <w:rPr>
          <w:rFonts w:hint="eastAsia"/>
          <w:sz w:val="28"/>
          <w:szCs w:val="28"/>
          <w:u w:val="wave" w:color="ffffff"/>
          <w:lang w:val="en-US" w:eastAsia="zh-CN"/>
        </w:rPr>
        <w:t>13996114170</w:t>
      </w:r>
    </w:p>
    <w:p>
      <w:pPr>
        <w:pStyle w:val="style0"/>
        <w:spacing w:lineRule="auto" w:line="360"/>
        <w:ind w:firstLine="560" w:firstLineChars="200"/>
        <w:jc w:val="left"/>
        <w:rPr>
          <w:sz w:val="28"/>
          <w:szCs w:val="28"/>
          <w:u w:val="wave" w:color="ffffff"/>
        </w:rPr>
      </w:pPr>
      <w:r>
        <w:rPr>
          <w:rFonts w:hint="eastAsia"/>
          <w:sz w:val="28"/>
          <w:szCs w:val="28"/>
          <w:u w:val="wave" w:color="ffffff"/>
        </w:rPr>
        <w:t>监督电话：023-86331380</w:t>
      </w:r>
      <w:bookmarkStart w:id="30" w:name="_GoBack"/>
      <w:bookmarkEnd w:id="30"/>
      <w:r>
        <w:rPr>
          <w:rFonts w:hint="eastAsia"/>
          <w:sz w:val="28"/>
          <w:szCs w:val="28"/>
          <w:u w:val="wave" w:color="ffffff"/>
        </w:rPr>
        <w:t xml:space="preserve">  </w:t>
      </w:r>
    </w:p>
    <w:p>
      <w:pPr>
        <w:pStyle w:val="style0"/>
        <w:spacing w:lineRule="auto" w:line="360"/>
        <w:ind w:firstLine="560" w:firstLineChars="200"/>
        <w:jc w:val="left"/>
        <w:rPr>
          <w:rFonts w:ascii="仿宋_GB2312" w:eastAsia="仿宋_GB2312"/>
          <w:b/>
          <w:kern w:val="0"/>
          <w:sz w:val="28"/>
          <w:szCs w:val="28"/>
        </w:rPr>
        <w:sectPr>
          <w:headerReference w:type="default" r:id="rId2"/>
          <w:footerReference w:type="default" r:id="rId3"/>
          <w:pgSz w:w="11906" w:h="16838" w:orient="portrait"/>
          <w:pgMar w:top="1134" w:right="1417" w:bottom="1134" w:left="1417" w:header="851" w:footer="992" w:gutter="0"/>
          <w:cols w:space="720" w:num="1"/>
          <w:docGrid w:type="lines" w:linePitch="312" w:charSpace="0"/>
        </w:sectPr>
      </w:pPr>
      <w:r>
        <w:rPr>
          <w:rFonts w:hint="eastAsia"/>
          <w:sz w:val="28"/>
          <w:szCs w:val="28"/>
          <w:u w:val="wave" w:color="ffffff"/>
        </w:rPr>
        <w:t>地址：重庆市南岸区四公里内环入口高速集团首讯科技大楼</w:t>
      </w:r>
    </w:p>
    <w:p>
      <w:pPr>
        <w:pStyle w:val="style0"/>
        <w:jc w:val="center"/>
        <w:rPr>
          <w:b/>
          <w:sz w:val="24"/>
        </w:rPr>
      </w:pPr>
      <w:r>
        <w:rPr>
          <w:rFonts w:hint="eastAsia"/>
          <w:b/>
          <w:sz w:val="24"/>
        </w:rPr>
        <w:t>参考格式</w:t>
      </w:r>
    </w:p>
    <w:p>
      <w:pPr>
        <w:pStyle w:val="style0"/>
        <w:jc w:val="center"/>
        <w:rPr>
          <w:b/>
          <w:sz w:val="24"/>
        </w:rPr>
      </w:pPr>
    </w:p>
    <w:p>
      <w:pPr>
        <w:pStyle w:val="style0"/>
        <w:jc w:val="center"/>
        <w:outlineLvl w:val="0"/>
        <w:rPr>
          <w:b/>
          <w:sz w:val="24"/>
        </w:rPr>
      </w:pPr>
      <w:r>
        <w:rPr>
          <w:rFonts w:hint="eastAsia"/>
          <w:b/>
          <w:sz w:val="24"/>
        </w:rPr>
        <w:t>竞争比选文件封面</w:t>
      </w:r>
    </w:p>
    <w:p>
      <w:pPr>
        <w:pStyle w:val="style0"/>
        <w:jc w:val="center"/>
        <w:rPr>
          <w:b/>
          <w:sz w:val="24"/>
        </w:rPr>
      </w:pPr>
      <w:r>
        <w:rPr>
          <w:rFonts w:hint="eastAsia"/>
          <w:b/>
          <w:sz w:val="24"/>
        </w:rPr>
        <w:t>（以下内容为示例）</w:t>
      </w:r>
    </w:p>
    <w:p>
      <w:pPr>
        <w:pStyle w:val="style0"/>
        <w:jc w:val="center"/>
        <w:rPr>
          <w:b/>
          <w:sz w:val="24"/>
        </w:rPr>
      </w:pPr>
    </w:p>
    <w:p>
      <w:pPr>
        <w:pStyle w:val="style0"/>
        <w:jc w:val="right"/>
        <w:rPr>
          <w:b/>
          <w:sz w:val="24"/>
        </w:rPr>
      </w:pPr>
      <w:r>
        <w:rPr>
          <w:rFonts w:hint="eastAsia"/>
          <w:b/>
          <w:sz w:val="24"/>
        </w:rPr>
        <w:t xml:space="preserve">                           （正本或副本）</w:t>
      </w:r>
    </w:p>
    <w:p>
      <w:pPr>
        <w:pStyle w:val="style0"/>
        <w:jc w:val="right"/>
        <w:rPr>
          <w:b/>
          <w:sz w:val="24"/>
        </w:rPr>
      </w:pPr>
    </w:p>
    <w:p>
      <w:pPr>
        <w:pStyle w:val="style0"/>
        <w:jc w:val="right"/>
        <w:rPr>
          <w:b/>
          <w:sz w:val="24"/>
        </w:rPr>
      </w:pPr>
    </w:p>
    <w:p>
      <w:pPr>
        <w:pStyle w:val="style0"/>
        <w:jc w:val="center"/>
        <w:rPr>
          <w:rFonts w:eastAsia="宋体" w:hint="eastAsia"/>
          <w:b/>
          <w:sz w:val="44"/>
          <w:szCs w:val="44"/>
          <w:lang w:eastAsia="zh-CN"/>
        </w:rPr>
      </w:pPr>
      <w:r>
        <w:rPr>
          <w:rFonts w:hint="eastAsia"/>
          <w:b/>
          <w:sz w:val="44"/>
          <w:szCs w:val="44"/>
          <w:lang w:eastAsia="zh-CN"/>
        </w:rPr>
        <w:t>2021年东北营运公司奉巫路（二期）金属结构物检测（第二次）</w:t>
      </w:r>
    </w:p>
    <w:p>
      <w:pPr>
        <w:pStyle w:val="style0"/>
        <w:jc w:val="center"/>
        <w:rPr>
          <w:b/>
          <w:sz w:val="52"/>
          <w:szCs w:val="52"/>
        </w:rPr>
      </w:pPr>
      <w:r>
        <w:rPr>
          <w:rFonts w:hint="eastAsia"/>
          <w:b/>
          <w:sz w:val="52"/>
          <w:szCs w:val="52"/>
        </w:rPr>
        <w:t>竞争比选响应文件</w:t>
      </w:r>
    </w:p>
    <w:p>
      <w:pPr>
        <w:pStyle w:val="style0"/>
        <w:jc w:val="center"/>
        <w:rPr>
          <w:sz w:val="32"/>
          <w:szCs w:val="32"/>
        </w:rPr>
      </w:pPr>
    </w:p>
    <w:p>
      <w:pPr>
        <w:pStyle w:val="style0"/>
        <w:jc w:val="center"/>
        <w:rPr>
          <w:sz w:val="32"/>
          <w:szCs w:val="32"/>
        </w:rPr>
      </w:pPr>
    </w:p>
    <w:p>
      <w:pPr>
        <w:pStyle w:val="style0"/>
        <w:jc w:val="center"/>
        <w:rPr>
          <w:sz w:val="32"/>
          <w:szCs w:val="32"/>
        </w:rPr>
      </w:pPr>
    </w:p>
    <w:p>
      <w:pPr>
        <w:pStyle w:val="style0"/>
        <w:jc w:val="center"/>
        <w:rPr>
          <w:sz w:val="32"/>
          <w:szCs w:val="32"/>
        </w:rPr>
      </w:pPr>
    </w:p>
    <w:p>
      <w:pPr>
        <w:pStyle w:val="style0"/>
        <w:jc w:val="center"/>
        <w:rPr>
          <w:sz w:val="32"/>
          <w:szCs w:val="32"/>
        </w:rPr>
      </w:pPr>
    </w:p>
    <w:p>
      <w:pPr>
        <w:pStyle w:val="style0"/>
        <w:jc w:val="center"/>
        <w:rPr>
          <w:sz w:val="32"/>
          <w:szCs w:val="32"/>
        </w:rPr>
      </w:pPr>
    </w:p>
    <w:p>
      <w:pPr>
        <w:pStyle w:val="style0"/>
        <w:jc w:val="center"/>
        <w:rPr>
          <w:sz w:val="32"/>
          <w:szCs w:val="32"/>
        </w:rPr>
      </w:pPr>
    </w:p>
    <w:p>
      <w:pPr>
        <w:pStyle w:val="style0"/>
        <w:jc w:val="center"/>
        <w:rPr>
          <w:sz w:val="32"/>
          <w:szCs w:val="32"/>
        </w:rPr>
      </w:pPr>
    </w:p>
    <w:p>
      <w:pPr>
        <w:pStyle w:val="style0"/>
        <w:jc w:val="center"/>
        <w:rPr>
          <w:sz w:val="32"/>
          <w:szCs w:val="32"/>
          <w:u w:val="single"/>
        </w:rPr>
      </w:pPr>
      <w:r>
        <w:rPr>
          <w:rFonts w:hint="eastAsia"/>
          <w:sz w:val="32"/>
          <w:szCs w:val="32"/>
          <w:u w:val="single"/>
        </w:rPr>
        <w:t>竞争性比选响应单位名称全称（盖单位公章）</w:t>
      </w:r>
    </w:p>
    <w:p>
      <w:pPr>
        <w:pStyle w:val="style0"/>
        <w:jc w:val="center"/>
        <w:rPr>
          <w:sz w:val="32"/>
          <w:szCs w:val="32"/>
          <w:u w:val="single"/>
        </w:rPr>
      </w:pPr>
    </w:p>
    <w:p>
      <w:pPr>
        <w:pStyle w:val="style0"/>
        <w:jc w:val="center"/>
        <w:rPr>
          <w:sz w:val="32"/>
          <w:szCs w:val="32"/>
          <w:u w:val="single"/>
        </w:rPr>
      </w:pPr>
      <w:r>
        <w:rPr>
          <w:rFonts w:hint="eastAsia"/>
          <w:sz w:val="32"/>
          <w:szCs w:val="32"/>
          <w:u w:val="single"/>
        </w:rPr>
        <w:t xml:space="preserve">     年   月   日</w:t>
      </w:r>
    </w:p>
    <w:p>
      <w:pPr>
        <w:pStyle w:val="style0"/>
        <w:jc w:val="center"/>
        <w:rPr>
          <w:sz w:val="32"/>
          <w:szCs w:val="32"/>
          <w:u w:val="single"/>
        </w:rPr>
      </w:pPr>
    </w:p>
    <w:p>
      <w:pPr>
        <w:pStyle w:val="style0"/>
        <w:tabs>
          <w:tab w:val="left" w:leader="none" w:pos="900"/>
          <w:tab w:val="left" w:leader="none" w:pos="1080"/>
        </w:tabs>
        <w:spacing w:lineRule="auto" w:line="300"/>
        <w:ind w:firstLine="3253" w:firstLineChars="1350"/>
        <w:outlineLvl w:val="0"/>
        <w:rPr>
          <w:rFonts w:ascii="Arial" w:cs="Arial" w:hAnsi="Arial"/>
          <w:b/>
          <w:bCs/>
          <w:dstrike/>
          <w:sz w:val="24"/>
        </w:rPr>
      </w:pPr>
      <w:r>
        <w:rPr>
          <w:rFonts w:ascii="Arial" w:cs="Arial" w:hAnsi="Arial"/>
          <w:b/>
          <w:bCs/>
          <w:sz w:val="24"/>
        </w:rPr>
        <w:br w:type="page"/>
      </w:r>
      <w:r>
        <w:rPr>
          <w:rFonts w:ascii="Arial" w:cs="Arial" w:hAnsi="Arial" w:hint="eastAsia"/>
          <w:b/>
          <w:bCs/>
          <w:sz w:val="24"/>
        </w:rPr>
        <w:t>一、竞争性比选响应声明书</w:t>
      </w:r>
    </w:p>
    <w:p>
      <w:pPr>
        <w:pStyle w:val="style0"/>
        <w:tabs>
          <w:tab w:val="left" w:leader="none" w:pos="900"/>
        </w:tabs>
        <w:spacing w:lineRule="auto" w:line="300"/>
        <w:rPr>
          <w:rFonts w:ascii="Arial" w:cs="Arial" w:hAnsi="Arial"/>
          <w:sz w:val="24"/>
        </w:rPr>
      </w:pPr>
      <w:r>
        <w:rPr>
          <w:rFonts w:ascii="Arial" w:cs="Arial" w:hAnsi="Arial"/>
          <w:sz w:val="24"/>
        </w:rPr>
        <w:t xml:space="preserve"> </w:t>
      </w:r>
    </w:p>
    <w:p>
      <w:pPr>
        <w:pStyle w:val="style0"/>
        <w:tabs>
          <w:tab w:val="left" w:leader="none" w:pos="900"/>
        </w:tabs>
        <w:spacing w:lineRule="auto" w:line="360"/>
        <w:rPr>
          <w:rFonts w:ascii="Arial" w:cs="Arial" w:hAnsi="Arial"/>
          <w:sz w:val="24"/>
        </w:rPr>
      </w:pPr>
      <w:r>
        <w:rPr>
          <w:rFonts w:ascii="Arial" w:cs="Arial" w:hAnsi="Arial" w:hint="eastAsia"/>
          <w:b/>
          <w:sz w:val="24"/>
        </w:rPr>
        <w:t>致：</w:t>
      </w:r>
      <w:r>
        <w:rPr>
          <w:rFonts w:ascii="Arial" w:cs="Arial" w:hAnsi="Arial" w:hint="eastAsia"/>
          <w:b/>
          <w:bCs/>
          <w:sz w:val="24"/>
          <w:u w:val="single"/>
        </w:rPr>
        <w:t>重庆首讯科技股份有限公司</w:t>
      </w:r>
    </w:p>
    <w:p>
      <w:pPr>
        <w:pStyle w:val="style0"/>
        <w:spacing w:lineRule="auto" w:line="360"/>
        <w:ind w:firstLine="480" w:firstLineChars="200"/>
        <w:rPr>
          <w:rFonts w:ascii="Arial" w:cs="Arial" w:hAnsi="Arial"/>
          <w:sz w:val="24"/>
        </w:rPr>
      </w:pPr>
      <w:r>
        <w:rPr>
          <w:rFonts w:ascii="Arial" w:cs="Arial" w:hAnsi="Arial" w:hint="eastAsia"/>
          <w:sz w:val="24"/>
        </w:rPr>
        <w:t>根据贵方为</w:t>
      </w:r>
      <w:r>
        <w:rPr>
          <w:rFonts w:ascii="Arial" w:cs="Arial" w:hAnsi="Arial" w:hint="eastAsia"/>
          <w:sz w:val="24"/>
          <w:u w:val="single"/>
          <w:lang w:eastAsia="zh-CN"/>
        </w:rPr>
        <w:t>2021年东北营运公司奉巫路（二期）金属结构物检测（第二次）</w:t>
      </w:r>
      <w:r>
        <w:rPr>
          <w:rFonts w:ascii="Arial" w:cs="Arial" w:hAnsi="Arial" w:hint="eastAsia"/>
          <w:sz w:val="24"/>
        </w:rPr>
        <w:t>竞争性比选项目及服务的竞争性比选函，签字代表</w:t>
      </w:r>
      <w:r>
        <w:rPr>
          <w:rFonts w:ascii="Arial" w:cs="Arial" w:hAnsi="Arial"/>
          <w:sz w:val="24"/>
          <w:u w:val="single"/>
        </w:rPr>
        <w:t xml:space="preserve">     </w:t>
      </w:r>
      <w:r>
        <w:rPr>
          <w:rFonts w:ascii="Arial" w:cs="Arial" w:hAnsi="Arial" w:hint="eastAsia"/>
          <w:sz w:val="24"/>
          <w:u w:val="single"/>
        </w:rPr>
        <w:t xml:space="preserve">     </w:t>
      </w:r>
      <w:r>
        <w:rPr>
          <w:rFonts w:ascii="Arial" w:cs="Arial" w:hAnsi="Arial"/>
          <w:sz w:val="24"/>
          <w:u w:val="single"/>
        </w:rPr>
        <w:t xml:space="preserve">     </w:t>
      </w:r>
      <w:r>
        <w:rPr>
          <w:rFonts w:ascii="Arial" w:cs="Arial" w:hAnsi="Arial" w:hint="eastAsia"/>
          <w:sz w:val="24"/>
          <w:u w:val="single"/>
        </w:rPr>
        <w:t>（全名、职务）</w:t>
      </w:r>
      <w:r>
        <w:rPr>
          <w:rFonts w:ascii="Arial" w:cs="Arial" w:hAnsi="Arial" w:hint="eastAsia"/>
          <w:sz w:val="24"/>
        </w:rPr>
        <w:t>经正式授权并代表竞争性比选响应单位</w:t>
      </w:r>
      <w:r>
        <w:rPr>
          <w:rFonts w:ascii="Arial" w:cs="Arial" w:hAnsi="Arial"/>
          <w:sz w:val="24"/>
          <w:u w:val="single"/>
        </w:rPr>
        <w:t xml:space="preserve"> </w:t>
      </w:r>
      <w:r>
        <w:rPr>
          <w:rFonts w:ascii="Arial" w:cs="Arial" w:hAnsi="Arial" w:hint="eastAsia"/>
          <w:sz w:val="24"/>
          <w:u w:val="single"/>
        </w:rPr>
        <w:t xml:space="preserve">      （竞争性比选响应单位名称、地址）       </w:t>
      </w:r>
      <w:r>
        <w:rPr>
          <w:rFonts w:ascii="Arial" w:cs="Arial" w:hAnsi="Arial"/>
          <w:sz w:val="24"/>
          <w:u w:val="single"/>
        </w:rPr>
        <w:t xml:space="preserve"> </w:t>
      </w:r>
      <w:r>
        <w:rPr>
          <w:rFonts w:ascii="Arial" w:cs="Arial" w:hAnsi="Arial" w:hint="eastAsia"/>
          <w:sz w:val="24"/>
        </w:rPr>
        <w:t>提交以下文件正本一份和副本一份。</w:t>
      </w:r>
    </w:p>
    <w:p>
      <w:pPr>
        <w:pStyle w:val="style0"/>
        <w:spacing w:lineRule="auto" w:line="360"/>
        <w:ind w:firstLine="480" w:firstLineChars="200"/>
        <w:rPr>
          <w:rFonts w:ascii="Arial" w:cs="Arial" w:hAnsi="Arial"/>
          <w:sz w:val="24"/>
          <w:u w:val="single"/>
        </w:rPr>
      </w:pPr>
      <w:r>
        <w:rPr>
          <w:rFonts w:ascii="Arial" w:cs="Arial" w:hAnsi="Arial" w:hint="eastAsia"/>
          <w:sz w:val="24"/>
          <w:u w:val="single"/>
        </w:rPr>
        <w:t>我方愿以人民币：              元（大写              元）的报价总价，按照竞争性比选文件的要求，承担本次竞争性比选文件要求的作业内容。</w:t>
      </w:r>
    </w:p>
    <w:p>
      <w:pPr>
        <w:pStyle w:val="style0"/>
        <w:tabs>
          <w:tab w:val="left" w:leader="none" w:pos="540"/>
          <w:tab w:val="left" w:leader="none" w:pos="900"/>
        </w:tabs>
        <w:spacing w:lineRule="auto" w:line="360"/>
        <w:rPr>
          <w:rFonts w:ascii="Arial" w:cs="Arial" w:hAnsi="Arial"/>
          <w:sz w:val="24"/>
        </w:rPr>
      </w:pPr>
      <w:r>
        <w:rPr>
          <w:rFonts w:ascii="Arial" w:cs="Arial" w:hAnsi="Arial"/>
          <w:sz w:val="24"/>
        </w:rPr>
        <w:t xml:space="preserve">    </w:t>
      </w:r>
    </w:p>
    <w:p>
      <w:pPr>
        <w:pStyle w:val="style0"/>
        <w:tabs>
          <w:tab w:val="left" w:leader="none" w:pos="540"/>
          <w:tab w:val="left" w:leader="none" w:pos="900"/>
        </w:tabs>
        <w:spacing w:lineRule="auto" w:line="360"/>
        <w:rPr>
          <w:rFonts w:ascii="Arial" w:cs="Arial" w:hAnsi="Arial"/>
          <w:sz w:val="24"/>
        </w:rPr>
      </w:pPr>
      <w:r>
        <w:rPr>
          <w:rFonts w:ascii="Arial" w:cs="Arial" w:hAnsi="Arial" w:hint="eastAsia"/>
          <w:sz w:val="24"/>
        </w:rPr>
        <w:t>据此函，签字代表宣布同意如下：</w:t>
      </w:r>
    </w:p>
    <w:p>
      <w:pPr>
        <w:pStyle w:val="style0"/>
        <w:tabs>
          <w:tab w:val="left" w:leader="none" w:pos="540"/>
          <w:tab w:val="left" w:leader="none" w:pos="900"/>
        </w:tabs>
        <w:spacing w:lineRule="auto" w:line="360"/>
        <w:rPr>
          <w:rFonts w:ascii="Arial" w:cs="Arial" w:hAnsi="Arial"/>
          <w:sz w:val="24"/>
        </w:rPr>
      </w:pPr>
      <w:r>
        <w:rPr>
          <w:rFonts w:ascii="Arial" w:cs="Arial" w:hAnsi="Arial"/>
          <w:sz w:val="24"/>
        </w:rPr>
        <w:t>1</w:t>
      </w:r>
      <w:r>
        <w:rPr>
          <w:rFonts w:ascii="Arial" w:cs="Arial" w:hAnsi="Arial" w:hint="eastAsia"/>
          <w:sz w:val="24"/>
        </w:rPr>
        <w:t>、竞争性比选响应单位将按竞争比选文件规定履行合同责任和义务。</w:t>
      </w:r>
    </w:p>
    <w:p>
      <w:pPr>
        <w:pStyle w:val="style0"/>
        <w:tabs>
          <w:tab w:val="left" w:leader="none" w:pos="900"/>
        </w:tabs>
        <w:spacing w:lineRule="auto" w:line="360"/>
        <w:rPr>
          <w:rFonts w:ascii="Arial" w:cs="Arial" w:hAnsi="Arial"/>
          <w:b/>
          <w:sz w:val="24"/>
        </w:rPr>
      </w:pPr>
      <w:r>
        <w:rPr>
          <w:rFonts w:ascii="Arial" w:cs="Arial" w:hAnsi="Arial"/>
          <w:sz w:val="24"/>
        </w:rPr>
        <w:t>2</w:t>
      </w:r>
      <w:r>
        <w:rPr>
          <w:rFonts w:ascii="Arial" w:cs="Arial" w:hAnsi="Arial" w:hint="eastAsia"/>
          <w:sz w:val="24"/>
        </w:rPr>
        <w:t>、竞争性比选响应单位已详细审查全部竞争比选文件，包括修改文件（如有的话）以及全部参考资料和相关附件。我们完全理解并同意放弃对这方面有不明及误解的权利。</w:t>
      </w:r>
    </w:p>
    <w:p>
      <w:pPr>
        <w:pStyle w:val="style0"/>
        <w:tabs>
          <w:tab w:val="left" w:leader="none" w:pos="900"/>
        </w:tabs>
        <w:spacing w:lineRule="auto" w:line="360"/>
        <w:rPr>
          <w:rFonts w:ascii="Arial" w:cs="Arial" w:hAnsi="Arial"/>
          <w:b/>
          <w:sz w:val="24"/>
        </w:rPr>
      </w:pPr>
      <w:r>
        <w:rPr>
          <w:rFonts w:ascii="Arial" w:cs="Arial" w:hAnsi="Arial" w:hint="eastAsia"/>
          <w:sz w:val="24"/>
        </w:rPr>
        <w:t>3、竞争性比选响应单位同意提供采购人可能要求的与其竞争性比选响应文件有关的一切数据或资料，完全理解采购人不一定要接受最低报价的竞争性比选响应或收到的任何投标。</w:t>
      </w:r>
    </w:p>
    <w:p>
      <w:pPr>
        <w:pStyle w:val="style0"/>
        <w:tabs>
          <w:tab w:val="left" w:leader="none" w:pos="900"/>
        </w:tabs>
        <w:spacing w:lineRule="auto" w:line="360"/>
        <w:rPr>
          <w:rFonts w:ascii="Arial" w:cs="Arial" w:hAnsi="Arial"/>
          <w:sz w:val="24"/>
        </w:rPr>
      </w:pPr>
      <w:r>
        <w:rPr>
          <w:rFonts w:ascii="Arial" w:cs="Arial" w:hAnsi="Arial" w:hint="eastAsia"/>
          <w:sz w:val="24"/>
        </w:rPr>
        <w:t>4、在“新型冠状病毒”疫情期间，我方开、复工必须严格执行采购人和项目所在地政府及相关部门的管理规定，做好防疫工作，未经允许不得开、复工。</w:t>
      </w:r>
    </w:p>
    <w:p>
      <w:pPr>
        <w:pStyle w:val="style0"/>
        <w:tabs>
          <w:tab w:val="left" w:leader="none" w:pos="900"/>
        </w:tabs>
        <w:spacing w:lineRule="auto" w:line="360"/>
        <w:rPr>
          <w:rFonts w:ascii="Arial" w:cs="Arial" w:hAnsi="Arial"/>
          <w:b/>
          <w:sz w:val="24"/>
        </w:rPr>
      </w:pPr>
      <w:r>
        <w:rPr>
          <w:rFonts w:ascii="Arial" w:cs="Arial" w:hAnsi="Arial" w:hint="eastAsia"/>
          <w:sz w:val="24"/>
        </w:rPr>
        <w:t>5、与本竞争性比选响应有关的一切正式往来通讯请寄：</w:t>
      </w:r>
    </w:p>
    <w:p>
      <w:pPr>
        <w:pStyle w:val="style0"/>
        <w:tabs>
          <w:tab w:val="left" w:leader="none" w:pos="900"/>
        </w:tabs>
        <w:spacing w:lineRule="auto" w:line="360"/>
        <w:rPr>
          <w:rFonts w:ascii="Arial" w:cs="Arial" w:hAnsi="Arial"/>
          <w:b/>
          <w:sz w:val="24"/>
        </w:rPr>
      </w:pPr>
      <w:r>
        <w:rPr>
          <w:rFonts w:ascii="Arial" w:cs="Arial" w:hAnsi="Arial" w:hint="eastAsia"/>
          <w:sz w:val="24"/>
        </w:rPr>
        <w:t>地址：</w:t>
      </w:r>
      <w:r>
        <w:rPr>
          <w:rFonts w:ascii="Arial" w:cs="Arial" w:hAnsi="Arial"/>
          <w:sz w:val="24"/>
          <w:u w:val="single"/>
        </w:rPr>
        <w:t xml:space="preserve">                         </w:t>
      </w:r>
      <w:r>
        <w:rPr>
          <w:rFonts w:ascii="Arial" w:cs="Arial" w:hAnsi="Arial"/>
          <w:sz w:val="24"/>
        </w:rPr>
        <w:t xml:space="preserve">   </w:t>
      </w:r>
      <w:r>
        <w:rPr>
          <w:rFonts w:ascii="Arial" w:cs="Arial" w:hAnsi="Arial" w:hint="eastAsia"/>
          <w:sz w:val="24"/>
        </w:rPr>
        <w:t>邮编：</w:t>
      </w:r>
      <w:r>
        <w:rPr>
          <w:rFonts w:ascii="Arial" w:cs="Arial" w:hAnsi="Arial" w:hint="eastAsia"/>
          <w:sz w:val="24"/>
          <w:u w:val="single"/>
        </w:rPr>
        <w:t xml:space="preserve">   </w:t>
      </w:r>
      <w:r>
        <w:rPr>
          <w:rFonts w:ascii="Arial" w:cs="Arial" w:hAnsi="Arial"/>
          <w:sz w:val="24"/>
          <w:u w:val="single"/>
        </w:rPr>
        <w:t xml:space="preserve">            </w:t>
      </w:r>
      <w:r>
        <w:rPr>
          <w:rFonts w:ascii="Arial" w:cs="Arial" w:hAnsi="Arial"/>
          <w:b/>
          <w:sz w:val="24"/>
        </w:rPr>
        <w:t xml:space="preserve">  </w:t>
      </w:r>
    </w:p>
    <w:p>
      <w:pPr>
        <w:pStyle w:val="style0"/>
        <w:tabs>
          <w:tab w:val="left" w:leader="none" w:pos="900"/>
        </w:tabs>
        <w:spacing w:lineRule="auto" w:line="360"/>
        <w:rPr>
          <w:rFonts w:ascii="Arial" w:cs="Arial" w:hAnsi="Arial"/>
          <w:sz w:val="24"/>
          <w:u w:val="single"/>
        </w:rPr>
      </w:pPr>
      <w:r>
        <w:rPr>
          <w:rFonts w:ascii="Arial" w:cs="Arial" w:hAnsi="Arial" w:hint="eastAsia"/>
          <w:sz w:val="24"/>
        </w:rPr>
        <w:t>电话：</w:t>
      </w:r>
      <w:r>
        <w:rPr>
          <w:rFonts w:ascii="Arial" w:cs="Arial" w:hAnsi="Arial"/>
          <w:sz w:val="24"/>
          <w:u w:val="single"/>
        </w:rPr>
        <w:t xml:space="preserve">                   </w:t>
      </w:r>
      <w:r>
        <w:rPr>
          <w:rFonts w:ascii="Arial" w:cs="Arial" w:hAnsi="Arial"/>
          <w:sz w:val="24"/>
        </w:rPr>
        <w:t xml:space="preserve">         </w:t>
      </w:r>
      <w:r>
        <w:rPr>
          <w:rFonts w:ascii="Arial" w:cs="Arial" w:hAnsi="Arial" w:hint="eastAsia"/>
          <w:sz w:val="24"/>
        </w:rPr>
        <w:t>传真：</w:t>
      </w:r>
      <w:r>
        <w:rPr>
          <w:rFonts w:ascii="Arial" w:cs="Arial" w:hAnsi="Arial"/>
          <w:sz w:val="24"/>
          <w:u w:val="single"/>
        </w:rPr>
        <w:t xml:space="preserve">            </w:t>
      </w:r>
    </w:p>
    <w:p>
      <w:pPr>
        <w:pStyle w:val="style0"/>
        <w:tabs>
          <w:tab w:val="left" w:leader="none" w:pos="900"/>
        </w:tabs>
        <w:spacing w:lineRule="auto" w:line="360"/>
        <w:rPr>
          <w:rFonts w:ascii="Arial" w:cs="Arial" w:hAnsi="Arial"/>
          <w:sz w:val="24"/>
        </w:rPr>
      </w:pPr>
      <w:r>
        <w:rPr>
          <w:rFonts w:ascii="Arial" w:cs="Arial" w:hAnsi="Arial" w:hint="eastAsia"/>
          <w:sz w:val="24"/>
        </w:rPr>
        <w:t>竞争性比选响应单位法定代表人或授权代表人（签字）：</w:t>
      </w:r>
      <w:r>
        <w:rPr>
          <w:rFonts w:ascii="Arial" w:cs="Arial" w:hAnsi="Arial"/>
          <w:sz w:val="24"/>
          <w:u w:val="single"/>
        </w:rPr>
        <w:t xml:space="preserve">             </w:t>
      </w:r>
      <w:r>
        <w:rPr>
          <w:rFonts w:ascii="Arial" w:cs="Arial" w:hAnsi="Arial"/>
          <w:sz w:val="24"/>
        </w:rPr>
        <w:t xml:space="preserve">  </w:t>
      </w:r>
    </w:p>
    <w:p>
      <w:pPr>
        <w:pStyle w:val="style0"/>
        <w:tabs>
          <w:tab w:val="left" w:leader="none" w:pos="900"/>
        </w:tabs>
        <w:spacing w:lineRule="auto" w:line="360"/>
        <w:rPr>
          <w:rFonts w:ascii="Arial" w:cs="Arial" w:hAnsi="Arial"/>
          <w:sz w:val="24"/>
        </w:rPr>
      </w:pPr>
      <w:r>
        <w:rPr>
          <w:rFonts w:ascii="Arial" w:cs="Arial" w:hAnsi="Arial" w:hint="eastAsia"/>
          <w:sz w:val="24"/>
        </w:rPr>
        <w:t>竞争性比选响应单位法定代表人或授权代表人职务：</w:t>
      </w:r>
      <w:r>
        <w:rPr>
          <w:rFonts w:ascii="Arial" w:cs="Arial" w:hAnsi="Arial"/>
          <w:sz w:val="24"/>
          <w:u w:val="single"/>
        </w:rPr>
        <w:t xml:space="preserve">             </w:t>
      </w:r>
      <w:r>
        <w:rPr>
          <w:rFonts w:ascii="Arial" w:cs="Arial" w:hAnsi="Arial"/>
          <w:sz w:val="24"/>
        </w:rPr>
        <w:t xml:space="preserve">               </w:t>
      </w:r>
    </w:p>
    <w:p>
      <w:pPr>
        <w:pStyle w:val="style0"/>
        <w:tabs>
          <w:tab w:val="left" w:leader="none" w:pos="900"/>
        </w:tabs>
        <w:spacing w:lineRule="auto" w:line="360"/>
        <w:rPr>
          <w:rFonts w:ascii="Arial" w:cs="Arial" w:hAnsi="Arial"/>
          <w:sz w:val="24"/>
        </w:rPr>
      </w:pPr>
      <w:r>
        <w:rPr>
          <w:rFonts w:ascii="Arial" w:cs="Arial" w:hAnsi="Arial" w:hint="eastAsia"/>
          <w:sz w:val="24"/>
        </w:rPr>
        <w:t>竞争性比选响应单位名称（加盖公章）：</w:t>
      </w:r>
      <w:r>
        <w:rPr>
          <w:rFonts w:ascii="Arial" w:cs="Arial" w:hAnsi="Arial"/>
          <w:sz w:val="24"/>
          <w:u w:val="single"/>
        </w:rPr>
        <w:t xml:space="preserve">                                 </w:t>
      </w:r>
    </w:p>
    <w:p>
      <w:pPr>
        <w:pStyle w:val="style0"/>
        <w:tabs>
          <w:tab w:val="left" w:leader="none" w:pos="900"/>
        </w:tabs>
        <w:spacing w:lineRule="auto" w:line="360"/>
        <w:rPr>
          <w:rFonts w:ascii="Arial" w:cs="Arial" w:hAnsi="Arial"/>
          <w:sz w:val="24"/>
        </w:rPr>
      </w:pPr>
      <w:r>
        <w:rPr>
          <w:rFonts w:ascii="Arial" w:cs="Arial" w:hAnsi="Arial" w:hint="eastAsia"/>
          <w:sz w:val="24"/>
        </w:rPr>
        <w:t>日期：</w:t>
      </w:r>
      <w:r>
        <w:rPr>
          <w:rFonts w:ascii="Arial" w:cs="Arial" w:hAnsi="Arial" w:hint="eastAsia"/>
          <w:sz w:val="24"/>
          <w:u w:val="single"/>
        </w:rPr>
        <w:t xml:space="preserve">     </w:t>
      </w:r>
      <w:r>
        <w:rPr>
          <w:rFonts w:ascii="Arial" w:cs="Arial" w:hAnsi="Arial" w:hint="eastAsia"/>
          <w:sz w:val="24"/>
        </w:rPr>
        <w:t>年</w:t>
      </w:r>
      <w:r>
        <w:rPr>
          <w:rFonts w:ascii="Arial" w:cs="Arial" w:hAnsi="Arial"/>
          <w:sz w:val="24"/>
          <w:u w:val="single"/>
        </w:rPr>
        <w:t xml:space="preserve">      </w:t>
      </w:r>
      <w:r>
        <w:rPr>
          <w:rFonts w:ascii="Arial" w:cs="Arial" w:hAnsi="Arial" w:hint="eastAsia"/>
          <w:sz w:val="24"/>
        </w:rPr>
        <w:t>月</w:t>
      </w:r>
      <w:r>
        <w:rPr>
          <w:rFonts w:ascii="Arial" w:cs="Arial" w:hAnsi="Arial"/>
          <w:sz w:val="24"/>
          <w:u w:val="single"/>
        </w:rPr>
        <w:t xml:space="preserve">    </w:t>
      </w:r>
      <w:r>
        <w:rPr>
          <w:rFonts w:ascii="Arial" w:cs="Arial" w:hAnsi="Arial" w:hint="eastAsia"/>
          <w:sz w:val="24"/>
          <w:u w:val="single"/>
        </w:rPr>
        <w:t xml:space="preserve">  </w:t>
      </w:r>
      <w:r>
        <w:rPr>
          <w:rFonts w:ascii="Arial" w:cs="Arial" w:hAnsi="Arial" w:hint="eastAsia"/>
          <w:sz w:val="24"/>
        </w:rPr>
        <w:t>日</w:t>
      </w:r>
      <w:r>
        <w:rPr>
          <w:rFonts w:ascii="Arial" w:cs="Arial" w:hAnsi="Arial"/>
          <w:sz w:val="24"/>
        </w:rPr>
        <w:t xml:space="preserve"> </w:t>
      </w:r>
    </w:p>
    <w:p>
      <w:pPr>
        <w:pStyle w:val="style0"/>
        <w:rPr/>
      </w:pPr>
    </w:p>
    <w:p>
      <w:pPr>
        <w:pStyle w:val="style0"/>
        <w:rPr/>
      </w:pPr>
    </w:p>
    <w:p>
      <w:pPr>
        <w:pStyle w:val="style0"/>
        <w:rPr/>
      </w:pPr>
    </w:p>
    <w:p>
      <w:pPr>
        <w:pStyle w:val="style0"/>
        <w:rPr/>
      </w:pPr>
    </w:p>
    <w:p>
      <w:pPr>
        <w:pStyle w:val="style0"/>
        <w:rPr/>
      </w:pPr>
    </w:p>
    <w:p>
      <w:pPr>
        <w:pStyle w:val="style0"/>
        <w:rPr/>
      </w:pPr>
    </w:p>
    <w:p>
      <w:pPr>
        <w:pStyle w:val="style0"/>
        <w:jc w:val="center"/>
        <w:outlineLvl w:val="0"/>
        <w:rPr>
          <w:rFonts w:ascii="宋体" w:hAnsi="宋体"/>
          <w:b/>
          <w:sz w:val="24"/>
        </w:rPr>
      </w:pPr>
      <w:r>
        <w:rPr>
          <w:rFonts w:ascii="宋体" w:hAnsi="宋体"/>
          <w:b/>
          <w:sz w:val="24"/>
        </w:rPr>
        <w:br w:type="page"/>
      </w:r>
      <w:r>
        <w:rPr>
          <w:rFonts w:ascii="宋体" w:hAnsi="宋体" w:hint="eastAsia"/>
          <w:b/>
          <w:sz w:val="24"/>
        </w:rPr>
        <w:t>二、报价一览表</w:t>
      </w:r>
    </w:p>
    <w:p>
      <w:pPr>
        <w:pStyle w:val="style10"/>
        <w:jc w:val="both"/>
        <w:rPr>
          <w:rFonts w:hAnsi="宋体"/>
          <w:color w:val="auto"/>
        </w:rPr>
      </w:pPr>
    </w:p>
    <w:p>
      <w:pPr>
        <w:pStyle w:val="style10"/>
        <w:jc w:val="both"/>
        <w:rPr>
          <w:rFonts w:hAnsi="宋体"/>
          <w:color w:val="auto"/>
        </w:rPr>
      </w:pPr>
      <w:r>
        <w:rPr>
          <w:rFonts w:hAnsi="宋体" w:hint="eastAsia"/>
          <w:color w:val="auto"/>
          <w:u w:val="single"/>
        </w:rPr>
        <w:t>重庆首讯科技股份有限公司</w:t>
      </w:r>
      <w:r>
        <w:rPr>
          <w:rFonts w:hAnsi="宋体" w:hint="eastAsia"/>
          <w:color w:val="auto"/>
        </w:rPr>
        <w:t>：</w:t>
      </w:r>
    </w:p>
    <w:p>
      <w:pPr>
        <w:pStyle w:val="style0"/>
        <w:spacing w:lineRule="auto" w:line="360"/>
        <w:ind w:firstLine="480" w:firstLineChars="200"/>
        <w:jc w:val="left"/>
        <w:rPr>
          <w:rFonts w:ascii="Arial" w:cs="Arial" w:hAnsi="Arial"/>
          <w:sz w:val="24"/>
        </w:rPr>
      </w:pPr>
      <w:r>
        <w:rPr>
          <w:rFonts w:ascii="宋体" w:hAnsi="宋体" w:hint="eastAsia"/>
          <w:sz w:val="24"/>
        </w:rPr>
        <w:t>在研究了</w:t>
      </w:r>
      <w:r>
        <w:rPr>
          <w:rFonts w:ascii="Arial" w:cs="Arial" w:hAnsi="Arial" w:hint="eastAsia"/>
          <w:sz w:val="24"/>
        </w:rPr>
        <w:t>竞争性比</w:t>
      </w:r>
      <w:r>
        <w:rPr>
          <w:rFonts w:ascii="宋体" w:hAnsi="宋体" w:hint="eastAsia"/>
          <w:sz w:val="24"/>
        </w:rPr>
        <w:t>选文件中所有文件后，我司对</w:t>
      </w:r>
      <w:r>
        <w:rPr>
          <w:rFonts w:ascii="宋体" w:hAnsi="宋体" w:hint="eastAsia"/>
          <w:sz w:val="24"/>
          <w:u w:val="single"/>
          <w:lang w:eastAsia="zh-CN"/>
        </w:rPr>
        <w:t>2021年东北营运公司奉巫路（二期）金属结构物检测（第二次）</w:t>
      </w:r>
      <w:r>
        <w:rPr>
          <w:rFonts w:ascii="Arial" w:cs="Arial" w:hAnsi="Arial" w:hint="eastAsia"/>
          <w:sz w:val="24"/>
        </w:rPr>
        <w:t>竞争性比选响</w:t>
      </w:r>
    </w:p>
    <w:p>
      <w:pPr>
        <w:pStyle w:val="style0"/>
        <w:spacing w:lineRule="auto" w:line="360"/>
        <w:ind w:firstLine="480" w:firstLineChars="200"/>
        <w:jc w:val="left"/>
        <w:rPr>
          <w:rFonts w:ascii="宋体" w:hAnsi="宋体"/>
          <w:b/>
          <w:sz w:val="24"/>
        </w:rPr>
      </w:pPr>
      <w:r>
        <w:rPr>
          <w:rFonts w:ascii="Arial" w:cs="Arial" w:hAnsi="Arial" w:hint="eastAsia"/>
          <w:sz w:val="24"/>
        </w:rPr>
        <w:t>应</w:t>
      </w:r>
      <w:r>
        <w:rPr>
          <w:rFonts w:ascii="宋体" w:hAnsi="宋体" w:hint="eastAsia"/>
          <w:sz w:val="24"/>
        </w:rPr>
        <w:t>报价如下：</w:t>
      </w:r>
      <w:r>
        <w:rPr>
          <w:rFonts w:ascii="宋体" w:hAnsi="宋体" w:hint="eastAsia"/>
          <w:b/>
          <w:sz w:val="24"/>
        </w:rPr>
        <w:t xml:space="preserve"> </w:t>
      </w:r>
    </w:p>
    <w:p>
      <w:pPr>
        <w:pStyle w:val="style0"/>
        <w:spacing w:lineRule="auto" w:line="360"/>
        <w:rPr>
          <w:rFonts w:ascii="宋体" w:hAnsi="宋体"/>
          <w:b/>
          <w:sz w:val="24"/>
        </w:rPr>
      </w:pPr>
    </w:p>
    <w:p>
      <w:pPr>
        <w:pStyle w:val="style0"/>
        <w:spacing w:lineRule="auto" w:line="360"/>
        <w:rPr>
          <w:rFonts w:ascii="宋体" w:hAnsi="宋体"/>
          <w:b/>
          <w:sz w:val="24"/>
        </w:rPr>
      </w:pPr>
      <w:r>
        <w:rPr>
          <w:rFonts w:ascii="宋体" w:hAnsi="宋体" w:hint="eastAsia"/>
          <w:b/>
          <w:sz w:val="24"/>
        </w:rPr>
        <w:t>报价采用表格形式，见“工程量清单”</w:t>
      </w:r>
    </w:p>
    <w:p>
      <w:pPr>
        <w:pStyle w:val="style0"/>
        <w:spacing w:lineRule="auto" w:line="360"/>
        <w:rPr>
          <w:rFonts w:ascii="宋体" w:hAnsi="宋体"/>
          <w:b/>
          <w:sz w:val="24"/>
        </w:rPr>
      </w:pPr>
      <w:r>
        <w:rPr>
          <w:rFonts w:ascii="宋体" w:hAnsi="宋体" w:hint="eastAsia"/>
          <w:b/>
          <w:sz w:val="24"/>
        </w:rPr>
        <w:br w:type="page"/>
      </w:r>
    </w:p>
    <w:p>
      <w:pPr>
        <w:pStyle w:val="style0"/>
        <w:spacing w:lineRule="auto" w:line="360"/>
        <w:rPr>
          <w:rFonts w:ascii="宋体" w:hAnsi="宋体"/>
          <w:b/>
          <w:sz w:val="24"/>
        </w:rPr>
      </w:pPr>
      <w:r>
        <w:rPr>
          <w:rFonts w:ascii="宋体" w:hAnsi="宋体" w:hint="eastAsia"/>
          <w:b/>
          <w:sz w:val="24"/>
        </w:rPr>
        <w:t>三、报价人资质文件</w:t>
      </w:r>
    </w:p>
    <w:p>
      <w:pPr>
        <w:pStyle w:val="style0"/>
        <w:spacing w:lineRule="auto" w:line="360"/>
        <w:rPr>
          <w:rFonts w:ascii="宋体" w:hAnsi="宋体"/>
          <w:sz w:val="24"/>
        </w:rPr>
      </w:pPr>
      <w:r>
        <w:rPr>
          <w:rFonts w:ascii="宋体" w:hAnsi="宋体" w:hint="eastAsia"/>
          <w:sz w:val="24"/>
        </w:rPr>
        <w:t>营业执照、类似业绩合同协议书复印件、信誉要求截图</w:t>
      </w:r>
    </w:p>
    <w:p>
      <w:pPr>
        <w:pStyle w:val="style0"/>
        <w:spacing w:lineRule="auto" w:line="360"/>
        <w:rPr>
          <w:rFonts w:ascii="宋体" w:hAnsi="宋体"/>
          <w:b/>
          <w:sz w:val="24"/>
        </w:rPr>
      </w:pPr>
    </w:p>
    <w:p>
      <w:pPr>
        <w:pStyle w:val="style0"/>
        <w:spacing w:lineRule="auto" w:line="360"/>
        <w:rPr>
          <w:rFonts w:ascii="宋体" w:hAnsi="宋体"/>
          <w:b/>
          <w:sz w:val="24"/>
        </w:rPr>
      </w:pPr>
    </w:p>
    <w:p>
      <w:pPr>
        <w:pStyle w:val="style0"/>
        <w:spacing w:lineRule="auto" w:line="360"/>
        <w:rPr>
          <w:rFonts w:ascii="宋体" w:hAnsi="宋体"/>
          <w:b/>
          <w:sz w:val="24"/>
        </w:rPr>
      </w:pPr>
      <w:r>
        <w:rPr>
          <w:rFonts w:ascii="宋体" w:hAnsi="宋体" w:hint="eastAsia"/>
          <w:b/>
          <w:sz w:val="24"/>
        </w:rPr>
        <w:t>四、其他资料</w:t>
      </w:r>
    </w:p>
    <w:p>
      <w:pPr>
        <w:pStyle w:val="style0"/>
        <w:spacing w:lineRule="auto" w:line="360"/>
        <w:rPr>
          <w:rFonts w:ascii="宋体" w:hAnsi="宋体"/>
          <w:b/>
          <w:sz w:val="24"/>
        </w:rPr>
      </w:pPr>
    </w:p>
    <w:p>
      <w:pPr>
        <w:pStyle w:val="style0"/>
        <w:rPr/>
      </w:pPr>
    </w:p>
    <w:sectPr>
      <w:pgSz w:w="11906" w:h="16838" w:orient="portrait"/>
      <w:pgMar w:top="1134" w:right="1417"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000247B" w:usb2="00000009" w:usb3="00000000" w:csb0="200001FF" w:csb1="00000000"/>
  </w:font>
  <w:font w:name="Calibri Light">
    <w:altName w:val="Calibri Light"/>
    <w:panose1 w:val="020f0302020002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altName w:val="仿宋"/>
    <w:panose1 w:val="02010609060001010101"/>
    <w:charset w:val="86"/>
    <w:family w:val="auto"/>
    <w:pitch w:val="default"/>
    <w:sig w:usb0="800002BF" w:usb1="38CF7CFA" w:usb2="00000016" w:usb3="00000000" w:csb0="00040001"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center"/>
      <w:rPr>
        <w:sz w:val="21"/>
      </w:rPr>
    </w:pPr>
    <w:r>
      <w:rPr>
        <w:sz w:val="21"/>
      </w:rPr>
      <w:fldChar w:fldCharType="begin"/>
    </w:r>
    <w:r>
      <w:rPr>
        <w:sz w:val="21"/>
      </w:rPr>
      <w:instrText>PAGE   \* MERGEFORMAT</w:instrText>
    </w:r>
    <w:r>
      <w:rPr>
        <w:sz w:val="21"/>
      </w:rPr>
      <w:fldChar w:fldCharType="separate"/>
    </w:r>
    <w:r>
      <w:rPr>
        <w:sz w:val="21"/>
        <w:lang w:val="zh-CN"/>
      </w:rPr>
      <w:t>7</w:t>
    </w:r>
    <w:r>
      <w:rPr>
        <w:sz w:val="21"/>
      </w:rPr>
      <w:fldChar w:fldCharType="end"/>
    </w:r>
  </w:p>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pBdr>
        <w:bottom w:val="none" w:sz="0" w:space="0" w:color="auto"/>
      </w:pBd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2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rPr>
    </w:rPrDefault>
    <w:pPrDefault>
      <w:pPr/>
    </w:pPrDefault>
  </w:docDefaults>
  <w:style w:type="paragraph" w:default="1" w:styleId="style0">
    <w:name w:val="Normal"/>
    <w:next w:val="style0"/>
    <w:qFormat/>
    <w:uiPriority w:val="0"/>
    <w:pPr>
      <w:widowControl w:val="false"/>
      <w:jc w:val="both"/>
    </w:pPr>
    <w:rPr>
      <w:rFonts w:ascii="Times New Roman" w:cs="Times New Roman" w:eastAsia="宋体" w:hAnsi="Times New Roman"/>
      <w:kern w:val="2"/>
      <w:sz w:val="21"/>
      <w:szCs w:val="24"/>
      <w:lang w:val="en-US" w:bidi="ar-SA" w:eastAsia="zh-CN"/>
    </w:rPr>
  </w:style>
  <w:style w:type="paragraph" w:styleId="style1">
    <w:name w:val="heading 1"/>
    <w:basedOn w:val="style0"/>
    <w:next w:val="style0"/>
    <w:qFormat/>
    <w:uiPriority w:val="0"/>
    <w:pPr>
      <w:adjustRightInd w:val="false"/>
      <w:spacing w:before="120" w:after="360" w:lineRule="atLeast" w:line="720"/>
      <w:jc w:val="center"/>
      <w:textAlignment w:val="baseline"/>
      <w:outlineLvl w:val="0"/>
    </w:pPr>
    <w:rPr>
      <w:b/>
      <w:kern w:val="0"/>
      <w:sz w:val="28"/>
      <w:szCs w:val="20"/>
    </w:rPr>
  </w:style>
  <w:style w:type="paragraph" w:styleId="style2">
    <w:name w:val="heading 2"/>
    <w:basedOn w:val="style0"/>
    <w:next w:val="style0"/>
    <w:link w:val="style4098"/>
    <w:qFormat/>
    <w:uiPriority w:val="0"/>
    <w:pPr>
      <w:keepNext/>
      <w:keepLines/>
      <w:spacing w:before="260" w:after="260" w:lineRule="auto" w:line="416"/>
      <w:outlineLvl w:val="1"/>
    </w:pPr>
    <w:rPr>
      <w:rFonts w:ascii="Calibri Light" w:cs="宋体" w:eastAsia="宋体" w:hAnsi="Calibri Light"/>
      <w:b/>
      <w:bCs/>
      <w:sz w:val="32"/>
      <w:szCs w:val="32"/>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76">
    <w:name w:val="Date"/>
    <w:basedOn w:val="style0"/>
    <w:next w:val="style0"/>
    <w:qFormat/>
    <w:uiPriority w:val="0"/>
    <w:pPr>
      <w:adjustRightInd w:val="false"/>
      <w:spacing w:lineRule="atLeast" w:line="312"/>
      <w:jc w:val="right"/>
      <w:textAlignment w:val="baseline"/>
    </w:pPr>
    <w:rPr>
      <w:b/>
      <w:spacing w:val="30"/>
      <w:kern w:val="0"/>
      <w:sz w:val="36"/>
      <w:szCs w:val="20"/>
    </w:rPr>
  </w:style>
  <w:style w:type="paragraph" w:styleId="style32">
    <w:name w:val="footer"/>
    <w:basedOn w:val="style0"/>
    <w:next w:val="style32"/>
    <w:qFormat/>
    <w:uiPriority w:val="99"/>
    <w:pPr>
      <w:tabs>
        <w:tab w:val="center" w:leader="none" w:pos="4153"/>
        <w:tab w:val="right" w:leader="none" w:pos="8306"/>
      </w:tabs>
      <w:snapToGrid w:val="false"/>
      <w:jc w:val="left"/>
    </w:pPr>
    <w:rPr>
      <w:sz w:val="18"/>
      <w:szCs w:val="18"/>
    </w:rPr>
  </w:style>
  <w:style w:type="paragraph" w:styleId="style31">
    <w:name w:val="header"/>
    <w:basedOn w:val="style0"/>
    <w:next w:val="style31"/>
    <w:qFormat/>
    <w:uiPriority w:val="0"/>
    <w:pPr>
      <w:pBdr>
        <w:bottom w:val="single" w:sz="6" w:space="1" w:color="auto"/>
      </w:pBdr>
      <w:tabs>
        <w:tab w:val="center" w:leader="none" w:pos="4153"/>
        <w:tab w:val="right" w:leader="none" w:pos="8306"/>
      </w:tabs>
      <w:snapToGrid w:val="false"/>
      <w:jc w:val="center"/>
    </w:pPr>
    <w:rPr>
      <w:sz w:val="18"/>
      <w:szCs w:val="18"/>
    </w:rPr>
  </w:style>
  <w:style w:type="paragraph" w:styleId="style19">
    <w:name w:val="toc 1"/>
    <w:basedOn w:val="style0"/>
    <w:next w:val="style0"/>
    <w:qFormat/>
    <w:uiPriority w:val="39"/>
    <w:pPr>
      <w:spacing w:before="120" w:after="120"/>
      <w:jc w:val="left"/>
    </w:pPr>
    <w:rPr>
      <w:rFonts w:ascii="Calibri" w:hAnsi="Calibri"/>
      <w:b/>
      <w:bCs/>
      <w:caps/>
      <w:sz w:val="20"/>
      <w:szCs w:val="20"/>
    </w:rPr>
  </w:style>
  <w:style w:type="paragraph" w:styleId="style10">
    <w:name w:val="index 1"/>
    <w:basedOn w:val="style0"/>
    <w:next w:val="style0"/>
    <w:qFormat/>
    <w:uiPriority w:val="0"/>
    <w:pPr>
      <w:spacing w:lineRule="auto" w:line="360"/>
      <w:jc w:val="center"/>
    </w:pPr>
    <w:rPr>
      <w:rFonts w:ascii="宋体" w:cs="Arial" w:hAnsi="Arial"/>
      <w:b/>
      <w:color w:val="000000"/>
      <w:sz w:val="24"/>
    </w:rPr>
  </w:style>
  <w:style w:type="character" w:customStyle="1" w:styleId="style4097">
    <w:name w:val="awspan1"/>
    <w:basedOn w:val="style65"/>
    <w:next w:val="style4097"/>
    <w:qFormat/>
    <w:uiPriority w:val="0"/>
    <w:rPr>
      <w:color w:val="000000"/>
      <w:sz w:val="24"/>
      <w:szCs w:val="24"/>
    </w:rPr>
  </w:style>
  <w:style w:type="character" w:customStyle="1" w:styleId="style4098">
    <w:name w:val="标题 2 字符"/>
    <w:basedOn w:val="style65"/>
    <w:next w:val="style4098"/>
    <w:link w:val="style2"/>
    <w:qFormat/>
    <w:uiPriority w:val="0"/>
    <w:rPr>
      <w:rFonts w:ascii="Calibri Light" w:cs="宋体" w:eastAsia="宋体" w:hAnsi="Calibri Light"/>
      <w:b/>
      <w:bCs/>
      <w:kern w:val="2"/>
      <w:sz w:val="32"/>
      <w:szCs w:val="32"/>
    </w:rPr>
  </w:style>
  <w:style w:type="paragraph" w:customStyle="1" w:styleId="style4099">
    <w:name w:val="Default"/>
    <w:next w:val="style4099"/>
    <w:qFormat/>
    <w:uiPriority w:val="0"/>
    <w:pPr>
      <w:widowControl w:val="false"/>
      <w:autoSpaceDE w:val="false"/>
      <w:autoSpaceDN w:val="false"/>
      <w:adjustRightInd w:val="false"/>
    </w:pPr>
    <w:rPr>
      <w:rFonts w:ascii="宋体" w:cs="宋体" w:eastAsia="宋体" w:hAnsi="Times New Roman"/>
      <w:color w:val="000000"/>
      <w:sz w:val="24"/>
      <w:szCs w:val="24"/>
      <w:lang w:val="en-US" w:bidi="ar-SA" w:eastAsia="zh-CN"/>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4969</Words>
  <Pages>15</Pages>
  <Characters>5237</Characters>
  <Application>WPS Office</Application>
  <DocSecurity>0</DocSecurity>
  <Paragraphs>344</Paragraphs>
  <ScaleCrop>false</ScaleCrop>
  <LinksUpToDate>false</LinksUpToDate>
  <CharactersWithSpaces>5542</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2021-08-12T05:47:00Z</dcterms:created>
  <dc:creator>一起走</dc:creator>
  <lastModifiedBy>MRX-AL09</lastModifiedBy>
  <dcterms:modified xsi:type="dcterms:W3CDTF">2021-08-16T05:50:38Z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df67eaed6b814f138c7fe956d330065e</vt:lpwstr>
  </property>
</Properties>
</file>