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长万路摄像机更换设计方案</w:t>
      </w:r>
    </w:p>
    <w:p>
      <w:pPr>
        <w:jc w:val="center"/>
        <w:rPr>
          <w:b/>
          <w:sz w:val="36"/>
          <w:szCs w:val="36"/>
        </w:rPr>
      </w:pPr>
    </w:p>
    <w:p>
      <w:pPr>
        <w:spacing w:beforeLines="50" w:afterLines="50" w:line="336" w:lineRule="auto"/>
        <w:rPr>
          <w:rFonts w:ascii="Times New Roman" w:hAnsi="Times New Roman"/>
          <w:b/>
          <w:sz w:val="30"/>
          <w:szCs w:val="30"/>
        </w:rPr>
      </w:pPr>
      <w:r>
        <w:rPr>
          <w:rFonts w:ascii="Times New Roman" w:hAnsi="Times New Roman"/>
          <w:b/>
          <w:sz w:val="30"/>
          <w:szCs w:val="30"/>
        </w:rPr>
        <w:t>1</w:t>
      </w:r>
      <w:r>
        <w:rPr>
          <w:rFonts w:hint="eastAsia" w:ascii="Times New Roman" w:hAnsi="Times New Roman"/>
          <w:b/>
          <w:sz w:val="30"/>
          <w:szCs w:val="30"/>
        </w:rPr>
        <w:t xml:space="preserve">、 </w:t>
      </w:r>
      <w:r>
        <w:rPr>
          <w:rFonts w:hint="eastAsia" w:ascii="Times New Roman"/>
          <w:b/>
          <w:sz w:val="30"/>
          <w:szCs w:val="30"/>
        </w:rPr>
        <w:t>项目背景与设计依据</w:t>
      </w:r>
    </w:p>
    <w:p>
      <w:pPr>
        <w:spacing w:line="336" w:lineRule="auto"/>
        <w:rPr>
          <w:rFonts w:ascii="Times New Roman" w:hAnsi="Times New Roman"/>
          <w:b/>
        </w:rPr>
      </w:pPr>
      <w:r>
        <w:rPr>
          <w:rFonts w:hint="eastAsia" w:ascii="Times New Roman" w:hAnsi="Times New Roman"/>
          <w:b/>
        </w:rPr>
        <w:t>1.1 、项目背景</w:t>
      </w:r>
    </w:p>
    <w:p>
      <w:pPr>
        <w:spacing w:line="360" w:lineRule="auto"/>
        <w:ind w:firstLine="480" w:firstLineChars="200"/>
        <w:jc w:val="both"/>
        <w:rPr>
          <w:rFonts w:ascii="Times New Roman" w:hAnsi="Times New Roman"/>
          <w:b/>
        </w:rPr>
      </w:pPr>
      <w:r>
        <w:rPr>
          <w:rFonts w:hint="eastAsia" w:ascii="方正仿宋_GBK" w:hAnsi="宋体" w:eastAsia="方正仿宋_GBK"/>
          <w:sz w:val="24"/>
        </w:rPr>
        <w:t>长万路马王槽、小垭口隧道单路数据摄像机2003年安装投入使用至今，设备老化严重，视频图像质量较低，视频头传输，无法接入监控中心新安装的事件检测仪，导致隧道部分区域无检测，存在安全隐患，拟进行更换。</w:t>
      </w:r>
    </w:p>
    <w:p>
      <w:pPr>
        <w:spacing w:line="360" w:lineRule="auto"/>
        <w:rPr>
          <w:rFonts w:ascii="Times New Roman"/>
          <w:b/>
        </w:rPr>
      </w:pPr>
      <w:r>
        <w:rPr>
          <w:rFonts w:ascii="Times New Roman" w:hAnsi="Times New Roman"/>
          <w:b/>
        </w:rPr>
        <w:t>1.</w:t>
      </w:r>
      <w:r>
        <w:rPr>
          <w:rFonts w:hint="eastAsia" w:ascii="Times New Roman" w:hAnsi="Times New Roman"/>
          <w:b/>
        </w:rPr>
        <w:t>2</w:t>
      </w:r>
      <w:r>
        <w:rPr>
          <w:rFonts w:ascii="Times New Roman" w:hAnsi="Times New Roman"/>
          <w:b/>
        </w:rPr>
        <w:t xml:space="preserve"> </w:t>
      </w:r>
      <w:r>
        <w:rPr>
          <w:rFonts w:hint="eastAsia" w:ascii="Times New Roman" w:hAnsi="Times New Roman"/>
          <w:b/>
        </w:rPr>
        <w:t>、</w:t>
      </w:r>
      <w:r>
        <w:rPr>
          <w:rFonts w:ascii="Times New Roman"/>
          <w:b/>
        </w:rPr>
        <w:t>编制依据</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rPr>
        <w:t xml:space="preserve"> </w:t>
      </w:r>
      <w:r>
        <w:rPr>
          <w:rFonts w:hint="eastAsia" w:ascii="Times New Roman" w:hAnsi="Tahoma" w:eastAsia="微软雅黑" w:cstheme="minorBidi"/>
          <w:b w:val="0"/>
          <w:kern w:val="0"/>
          <w:sz w:val="24"/>
          <w:szCs w:val="24"/>
        </w:rPr>
        <w:t>信息产业部、电力部、建设部颁布的有关标准和规范；</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 xml:space="preserve"> 交通部颁发的有关技术标准、规范、规程及强制性条文；</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 xml:space="preserve"> 其他有关法律、法规、国家标准、规范、规程；</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 xml:space="preserve"> 国内外交通工程实践与研究成果及国外的相关规范；</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《高速公路交通工程及沿线设施设计通用规范》 （JTG D80-2006）；</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 xml:space="preserve"> 交通部交公路发【2007】358 号《公路工程基本建设项目设计文件编制办法；</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《公路工程基本建设项目设计文件图表示例》交公路发[2007]358 号；</w:t>
      </w:r>
    </w:p>
    <w:p>
      <w:pPr>
        <w:pStyle w:val="9"/>
        <w:numPr>
          <w:ilvl w:val="0"/>
          <w:numId w:val="1"/>
        </w:numPr>
        <w:tabs>
          <w:tab w:val="left" w:pos="360"/>
          <w:tab w:val="left" w:pos="900"/>
          <w:tab w:val="left" w:pos="5382"/>
        </w:tabs>
        <w:spacing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《重庆“三环十射多联线”高速公路交通工程总体方案设计》 （庆市交通委员会 2013年 1 月） ；</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《公路工程技术标准》（</w:t>
      </w:r>
      <w:r>
        <w:rPr>
          <w:rFonts w:ascii="Times New Roman" w:hAnsi="Tahoma" w:eastAsia="微软雅黑" w:cstheme="minorBidi"/>
          <w:b w:val="0"/>
          <w:kern w:val="0"/>
          <w:sz w:val="24"/>
          <w:szCs w:val="24"/>
        </w:rPr>
        <w:t>JTG B01-20</w:t>
      </w:r>
      <w:r>
        <w:rPr>
          <w:rFonts w:hint="eastAsia" w:ascii="Times New Roman" w:hAnsi="Tahoma" w:eastAsia="微软雅黑" w:cstheme="minorBidi"/>
          <w:b w:val="0"/>
          <w:kern w:val="0"/>
          <w:sz w:val="24"/>
          <w:szCs w:val="24"/>
        </w:rPr>
        <w:t>14）；</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 xml:space="preserve"> 重庆首讯科技有限公司《机电管理文件汇编》；</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《公路项目安全性评价规范》JTG B05-2015。</w:t>
      </w:r>
    </w:p>
    <w:p>
      <w:pPr>
        <w:pStyle w:val="9"/>
        <w:numPr>
          <w:ilvl w:val="0"/>
          <w:numId w:val="1"/>
        </w:numPr>
        <w:tabs>
          <w:tab w:val="left" w:pos="360"/>
          <w:tab w:val="left" w:pos="900"/>
          <w:tab w:val="left" w:pos="5382"/>
          <w:tab w:val="clear" w:pos="630"/>
        </w:tabs>
        <w:spacing w:before="0" w:after="0" w:line="360" w:lineRule="auto"/>
        <w:ind w:left="420"/>
        <w:rPr>
          <w:rFonts w:ascii="Times New Roman" w:hAnsi="Tahoma" w:eastAsia="微软雅黑" w:cstheme="minorBidi"/>
          <w:b w:val="0"/>
          <w:kern w:val="0"/>
          <w:sz w:val="24"/>
          <w:szCs w:val="24"/>
        </w:rPr>
      </w:pPr>
      <w:r>
        <w:rPr>
          <w:rFonts w:hint="eastAsia" w:ascii="Times New Roman" w:hAnsi="Tahoma" w:eastAsia="微软雅黑" w:cstheme="minorBidi"/>
          <w:b w:val="0"/>
          <w:kern w:val="0"/>
          <w:sz w:val="24"/>
          <w:szCs w:val="24"/>
        </w:rPr>
        <w:t>《高速公路监控技术要求》（交通运输部2012年第3号公告）；</w:t>
      </w:r>
    </w:p>
    <w:p>
      <w:pPr>
        <w:spacing w:beforeLines="50" w:afterLines="50" w:line="336" w:lineRule="auto"/>
        <w:rPr>
          <w:rFonts w:ascii="Times New Roman" w:hAnsi="Times New Roman"/>
          <w:b/>
          <w:sz w:val="30"/>
          <w:szCs w:val="30"/>
        </w:rPr>
      </w:pPr>
      <w:r>
        <w:rPr>
          <w:rFonts w:hint="eastAsia" w:ascii="Times New Roman" w:hAnsi="Times New Roman"/>
          <w:b/>
          <w:sz w:val="30"/>
          <w:szCs w:val="30"/>
        </w:rPr>
        <w:t>2、 设计调查过程</w:t>
      </w:r>
    </w:p>
    <w:p>
      <w:pPr>
        <w:spacing w:line="360" w:lineRule="auto"/>
        <w:ind w:firstLine="480" w:firstLineChars="200"/>
        <w:jc w:val="both"/>
        <w:rPr>
          <w:rFonts w:hint="eastAsia" w:ascii="方正仿宋_GBK" w:hAnsi="宋体" w:eastAsia="方正仿宋_GBK"/>
          <w:sz w:val="24"/>
        </w:rPr>
      </w:pPr>
      <w:r>
        <w:rPr>
          <w:rFonts w:hint="eastAsia" w:ascii="方正仿宋_GBK" w:hAnsi="宋体" w:eastAsia="方正仿宋_GBK"/>
          <w:sz w:val="24"/>
        </w:rPr>
        <w:t>根据业主单位的管理需求，首讯公司安排相关机电人员对长万路所需更换的摄像机进行了现场勘查统计，具体更换点位如下：</w:t>
      </w:r>
    </w:p>
    <w:tbl>
      <w:tblPr>
        <w:tblStyle w:val="5"/>
        <w:tblW w:w="8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3680"/>
        <w:gridCol w:w="3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020" w:type="dxa"/>
            <w:gridSpan w:val="3"/>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马王槽小垭口隧道配电室内摄像机为半球摄像机，隧道内为枪式摄像机，马王槽小垭口需更换枪式摄像机共计15台，点位如下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序号</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小垭口隧道</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1</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左2</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2</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左6</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3</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右2</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4</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右6</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5</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左17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6</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7</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8</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9</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10</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11</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右18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020" w:type="dxa"/>
            <w:gridSpan w:val="3"/>
            <w:shd w:val="clear" w:color="auto" w:fill="auto"/>
            <w:vAlign w:val="center"/>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马王槽小垭口配电室半球需更换摄像机共计8台，点位如下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1</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小垭口配电房01</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马1配电室火灾工作站01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2</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小垭口配电房02</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马1配电室配电房02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3</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马2配电室UPS房01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4</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马2配电室配电房02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5</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马3配电室UPS房01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6</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马3配电室配电房02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020" w:type="dxa"/>
            <w:gridSpan w:val="3"/>
            <w:shd w:val="clear" w:color="auto" w:fill="auto"/>
            <w:vAlign w:val="center"/>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马王槽小垭口隧道球机需更换共计6台，点位如下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1</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马王槽隧道K1525+580大桥中央</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2</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马王槽隧道K1524+350分水端左</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3</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马王槽隧道K1527+650孙家端左</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4</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小垭口隧道K1506+780分水端</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5</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小垭口隧道K1505+250万州端右</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0" w:type="dxa"/>
            <w:shd w:val="clear" w:color="auto" w:fill="auto"/>
            <w:vAlign w:val="center"/>
          </w:tcPr>
          <w:p>
            <w:pPr>
              <w:adjustRightInd/>
              <w:snapToGrid/>
              <w:spacing w:after="0"/>
              <w:jc w:val="center"/>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6</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小垭口隧道K1505+300万州端左</w:t>
            </w:r>
          </w:p>
        </w:tc>
        <w:tc>
          <w:tcPr>
            <w:tcW w:w="3680" w:type="dxa"/>
            <w:shd w:val="clear" w:color="auto" w:fill="auto"/>
          </w:tcPr>
          <w:p>
            <w:pPr>
              <w:adjustRightInd/>
              <w:snapToGrid/>
              <w:spacing w:after="0"/>
              <w:rPr>
                <w:rFonts w:ascii="方正仿宋_GBK" w:hAnsi="宋体" w:eastAsia="方正仿宋_GBK" w:cs="宋体"/>
                <w:color w:val="0000FF"/>
                <w:sz w:val="24"/>
                <w:szCs w:val="24"/>
              </w:rPr>
            </w:pPr>
            <w:r>
              <w:rPr>
                <w:rFonts w:hint="eastAsia" w:ascii="方正仿宋_GBK" w:hAnsi="宋体" w:eastAsia="方正仿宋_GBK" w:cs="宋体"/>
                <w:color w:val="0000FF"/>
                <w:sz w:val="24"/>
                <w:szCs w:val="24"/>
              </w:rPr>
              <w:t>　</w:t>
            </w:r>
          </w:p>
        </w:tc>
      </w:tr>
    </w:tbl>
    <w:p>
      <w:pPr>
        <w:spacing w:beforeLines="50" w:afterLines="50" w:line="336" w:lineRule="auto"/>
        <w:rPr>
          <w:rFonts w:ascii="Times New Roman" w:hAnsi="Times New Roman"/>
          <w:b/>
          <w:sz w:val="30"/>
          <w:szCs w:val="30"/>
        </w:rPr>
      </w:pPr>
      <w:r>
        <w:rPr>
          <w:rFonts w:hint="eastAsia" w:ascii="Times New Roman" w:hAnsi="Times New Roman"/>
          <w:b/>
          <w:sz w:val="30"/>
          <w:szCs w:val="30"/>
        </w:rPr>
        <w:t>3 、</w:t>
      </w:r>
      <w:r>
        <w:rPr>
          <w:b/>
          <w:sz w:val="30"/>
          <w:szCs w:val="30"/>
        </w:rPr>
        <w:t>设计方案</w:t>
      </w:r>
    </w:p>
    <w:p>
      <w:pPr>
        <w:spacing w:line="336" w:lineRule="auto"/>
        <w:rPr>
          <w:rFonts w:ascii="Times New Roman" w:hAnsi="Times New Roman"/>
          <w:b/>
        </w:rPr>
      </w:pPr>
      <w:r>
        <w:rPr>
          <w:rFonts w:hint="eastAsia" w:ascii="Times New Roman" w:hAnsi="Times New Roman"/>
          <w:b/>
        </w:rPr>
        <w:t>3.1 、长垫高速公路各收费站图像情况</w:t>
      </w:r>
    </w:p>
    <w:p>
      <w:pPr>
        <w:spacing w:line="360" w:lineRule="auto"/>
        <w:ind w:firstLine="480" w:firstLineChars="200"/>
        <w:rPr>
          <w:sz w:val="24"/>
        </w:rPr>
      </w:pPr>
      <w:bookmarkStart w:id="0" w:name="OLE_LINK2"/>
      <w:bookmarkStart w:id="1" w:name="OLE_LINK3"/>
      <w:bookmarkStart w:id="2" w:name="OLE_LINK1"/>
      <w:r>
        <w:rPr>
          <w:rFonts w:hint="eastAsia"/>
          <w:sz w:val="24"/>
        </w:rPr>
        <w:t>长垫路开通至今已运营13年时间，摄像机多处出现故障以及图像质量模糊不清的情况，为满足集团机电设备检查标准。根据所辖路段现场情况对长垫路各收费站车道、亭内摄像机进行更换。</w:t>
      </w:r>
    </w:p>
    <w:bookmarkEnd w:id="0"/>
    <w:bookmarkEnd w:id="1"/>
    <w:bookmarkEnd w:id="2"/>
    <w:p>
      <w:pPr>
        <w:spacing w:line="360" w:lineRule="auto"/>
        <w:rPr>
          <w:rFonts w:ascii="Times New Roman"/>
          <w:sz w:val="24"/>
          <w:szCs w:val="24"/>
        </w:rPr>
        <w:sectPr>
          <w:headerReference r:id="rId5" w:type="default"/>
          <w:headerReference r:id="rId6" w:type="even"/>
          <w:type w:val="continuous"/>
          <w:pgSz w:w="11906" w:h="16838"/>
          <w:pgMar w:top="1440" w:right="1800" w:bottom="1440" w:left="1800" w:header="708" w:footer="708" w:gutter="0"/>
          <w:cols w:space="708" w:num="1"/>
          <w:docGrid w:linePitch="360" w:charSpace="0"/>
        </w:sectPr>
      </w:pPr>
    </w:p>
    <w:p>
      <w:pPr>
        <w:spacing w:line="336" w:lineRule="auto"/>
        <w:rPr>
          <w:rFonts w:ascii="Times New Roman" w:hAnsi="Times New Roman"/>
          <w:b/>
        </w:rPr>
      </w:pPr>
      <w:r>
        <w:rPr>
          <w:rFonts w:hint="eastAsia" w:ascii="Times New Roman" w:hAnsi="Times New Roman"/>
          <w:b/>
        </w:rPr>
        <w:t>3.2 、重庆长万路摄像机更换方案</w:t>
      </w:r>
    </w:p>
    <w:p>
      <w:pPr>
        <w:spacing w:line="360" w:lineRule="auto"/>
        <w:ind w:firstLine="480" w:firstLineChars="200"/>
        <w:rPr>
          <w:sz w:val="24"/>
        </w:rPr>
      </w:pPr>
      <w:r>
        <w:rPr>
          <w:rFonts w:hint="eastAsia"/>
          <w:sz w:val="24"/>
        </w:rPr>
        <w:t>（1）规划更换半球、球机、枪式摄像机、NVR数字硬盘录像机IP地址。</w:t>
      </w:r>
    </w:p>
    <w:p>
      <w:pPr>
        <w:spacing w:line="360" w:lineRule="auto"/>
        <w:ind w:firstLine="480" w:firstLineChars="200"/>
        <w:rPr>
          <w:sz w:val="24"/>
        </w:rPr>
      </w:pPr>
      <w:r>
        <w:rPr>
          <w:rFonts w:hint="eastAsia"/>
          <w:sz w:val="24"/>
        </w:rPr>
        <w:t>（2）拆除原有摄像机、视频电缆等。</w:t>
      </w:r>
    </w:p>
    <w:p>
      <w:pPr>
        <w:spacing w:line="360" w:lineRule="auto"/>
        <w:ind w:firstLine="480" w:firstLineChars="200"/>
        <w:rPr>
          <w:sz w:val="24"/>
        </w:rPr>
      </w:pPr>
      <w:r>
        <w:rPr>
          <w:rFonts w:hint="eastAsia"/>
          <w:sz w:val="24"/>
        </w:rPr>
        <w:t>（3）安装摄像机及相应线缆，并调试摄像机、NVR硬盘录像机等设备。</w:t>
      </w:r>
    </w:p>
    <w:p>
      <w:pPr>
        <w:spacing w:line="360" w:lineRule="auto"/>
        <w:ind w:firstLine="480" w:firstLineChars="200"/>
        <w:rPr>
          <w:sz w:val="24"/>
        </w:rPr>
      </w:pPr>
      <w:r>
        <w:rPr>
          <w:rFonts w:hint="eastAsia"/>
          <w:sz w:val="24"/>
        </w:rPr>
        <w:t>（4）视频管理平台逐级调试。</w:t>
      </w:r>
    </w:p>
    <w:p>
      <w:pPr>
        <w:spacing w:beforeLines="50" w:afterLines="50" w:line="336" w:lineRule="auto"/>
        <w:rPr>
          <w:rFonts w:hint="eastAsia"/>
          <w:b/>
          <w:sz w:val="30"/>
          <w:szCs w:val="30"/>
        </w:rPr>
      </w:pPr>
      <w:r>
        <w:rPr>
          <w:rFonts w:hint="eastAsia" w:ascii="Times New Roman" w:hAnsi="Times New Roman"/>
          <w:b/>
          <w:sz w:val="30"/>
          <w:szCs w:val="30"/>
        </w:rPr>
        <w:t>4、</w:t>
      </w:r>
      <w:r>
        <w:rPr>
          <w:rFonts w:hint="eastAsia"/>
          <w:b/>
          <w:sz w:val="30"/>
          <w:szCs w:val="30"/>
        </w:rPr>
        <w:t>工程量清单</w:t>
      </w:r>
    </w:p>
    <w:tbl>
      <w:tblPr>
        <w:tblStyle w:val="5"/>
        <w:tblW w:w="8520" w:type="dxa"/>
        <w:tblInd w:w="91" w:type="dxa"/>
        <w:tblLayout w:type="autofit"/>
        <w:tblCellMar>
          <w:top w:w="0" w:type="dxa"/>
          <w:left w:w="108" w:type="dxa"/>
          <w:bottom w:w="0" w:type="dxa"/>
          <w:right w:w="108" w:type="dxa"/>
        </w:tblCellMar>
      </w:tblPr>
      <w:tblGrid>
        <w:gridCol w:w="460"/>
        <w:gridCol w:w="1240"/>
        <w:gridCol w:w="3920"/>
        <w:gridCol w:w="760"/>
        <w:gridCol w:w="1060"/>
        <w:gridCol w:w="1080"/>
      </w:tblGrid>
      <w:tr>
        <w:tblPrEx>
          <w:tblCellMar>
            <w:top w:w="0" w:type="dxa"/>
            <w:left w:w="108" w:type="dxa"/>
            <w:bottom w:w="0" w:type="dxa"/>
            <w:right w:w="108" w:type="dxa"/>
          </w:tblCellMar>
        </w:tblPrEx>
        <w:trPr>
          <w:trHeight w:val="600" w:hRule="atLeast"/>
        </w:trPr>
        <w:tc>
          <w:tcPr>
            <w:tcW w:w="8520" w:type="dxa"/>
            <w:gridSpan w:val="6"/>
            <w:tcBorders>
              <w:top w:val="nil"/>
              <w:left w:val="nil"/>
              <w:bottom w:val="nil"/>
              <w:right w:val="nil"/>
            </w:tcBorders>
            <w:shd w:val="clear" w:color="auto" w:fill="auto"/>
            <w:noWrap/>
            <w:vAlign w:val="center"/>
          </w:tcPr>
          <w:p>
            <w:pPr>
              <w:adjustRightInd/>
              <w:snapToGrid/>
              <w:spacing w:after="0"/>
              <w:jc w:val="center"/>
              <w:rPr>
                <w:rFonts w:ascii="宋体" w:hAnsi="宋体" w:eastAsia="宋体" w:cs="宋体"/>
                <w:b/>
                <w:bCs/>
                <w:color w:val="000000"/>
              </w:rPr>
            </w:pPr>
            <w:r>
              <w:rPr>
                <w:rFonts w:hint="eastAsia" w:ascii="宋体" w:hAnsi="宋体" w:eastAsia="宋体" w:cs="宋体"/>
                <w:b/>
                <w:bCs/>
                <w:color w:val="000000"/>
              </w:rPr>
              <w:t>高清摄像机更换</w:t>
            </w:r>
          </w:p>
        </w:tc>
      </w:tr>
      <w:tr>
        <w:tblPrEx>
          <w:tblCellMar>
            <w:top w:w="0" w:type="dxa"/>
            <w:left w:w="108" w:type="dxa"/>
            <w:bottom w:w="0" w:type="dxa"/>
            <w:right w:w="108" w:type="dxa"/>
          </w:tblCellMar>
        </w:tblPrEx>
        <w:trPr>
          <w:trHeight w:val="600" w:hRule="atLeast"/>
        </w:trPr>
        <w:tc>
          <w:tcPr>
            <w:tcW w:w="460" w:type="dxa"/>
            <w:tcBorders>
              <w:top w:val="single" w:color="000000" w:sz="4" w:space="0"/>
              <w:left w:val="single" w:color="000000" w:sz="4" w:space="0"/>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序号</w:t>
            </w:r>
          </w:p>
        </w:tc>
        <w:tc>
          <w:tcPr>
            <w:tcW w:w="1240" w:type="dxa"/>
            <w:tcBorders>
              <w:top w:val="single" w:color="000000" w:sz="4" w:space="0"/>
              <w:left w:val="nil"/>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设备名称</w:t>
            </w:r>
          </w:p>
        </w:tc>
        <w:tc>
          <w:tcPr>
            <w:tcW w:w="3920" w:type="dxa"/>
            <w:tcBorders>
              <w:top w:val="single" w:color="000000" w:sz="4" w:space="0"/>
              <w:left w:val="nil"/>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规格及型号</w:t>
            </w:r>
          </w:p>
        </w:tc>
        <w:tc>
          <w:tcPr>
            <w:tcW w:w="760" w:type="dxa"/>
            <w:tcBorders>
              <w:top w:val="single" w:color="000000" w:sz="4" w:space="0"/>
              <w:left w:val="nil"/>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单位</w:t>
            </w:r>
          </w:p>
        </w:tc>
        <w:tc>
          <w:tcPr>
            <w:tcW w:w="1060" w:type="dxa"/>
            <w:tcBorders>
              <w:top w:val="single" w:color="000000" w:sz="4" w:space="0"/>
              <w:left w:val="nil"/>
              <w:bottom w:val="single" w:color="auto" w:sz="4" w:space="0"/>
              <w:right w:val="nil"/>
            </w:tcBorders>
            <w:shd w:val="clear" w:color="auto" w:fill="auto"/>
            <w:vAlign w:val="center"/>
          </w:tcPr>
          <w:p>
            <w:pPr>
              <w:adjustRightInd/>
              <w:snapToGrid/>
              <w:spacing w:after="0"/>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数量</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宋体" w:hAnsi="宋体" w:eastAsia="宋体" w:cs="宋体"/>
                <w:b/>
                <w:bCs/>
                <w:color w:val="000000"/>
              </w:rPr>
            </w:pPr>
            <w:r>
              <w:rPr>
                <w:rFonts w:hint="eastAsia" w:ascii="宋体" w:hAnsi="宋体" w:eastAsia="宋体" w:cs="宋体"/>
                <w:b/>
                <w:bCs/>
                <w:color w:val="000000"/>
              </w:rPr>
              <w:t>备注</w:t>
            </w:r>
          </w:p>
        </w:tc>
      </w:tr>
      <w:tr>
        <w:tblPrEx>
          <w:tblCellMar>
            <w:top w:w="0" w:type="dxa"/>
            <w:left w:w="108" w:type="dxa"/>
            <w:bottom w:w="0" w:type="dxa"/>
            <w:right w:w="108" w:type="dxa"/>
          </w:tblCellMar>
        </w:tblPrEx>
        <w:trPr>
          <w:trHeight w:val="1080"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1</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高清摄像机（枪机）</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IP、CCD、300万像素、光学防抖</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套</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15</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p>
        </w:tc>
      </w:tr>
      <w:tr>
        <w:tblPrEx>
          <w:tblCellMar>
            <w:top w:w="0" w:type="dxa"/>
            <w:left w:w="108" w:type="dxa"/>
            <w:bottom w:w="0" w:type="dxa"/>
            <w:right w:w="108" w:type="dxa"/>
          </w:tblCellMar>
        </w:tblPrEx>
        <w:trPr>
          <w:trHeight w:val="1080"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2</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高清摄像机（球机）</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400万像素、光学防抖</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套</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6</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p>
        </w:tc>
      </w:tr>
      <w:tr>
        <w:tblPrEx>
          <w:tblCellMar>
            <w:top w:w="0" w:type="dxa"/>
            <w:left w:w="108" w:type="dxa"/>
            <w:bottom w:w="0" w:type="dxa"/>
            <w:right w:w="108" w:type="dxa"/>
          </w:tblCellMar>
        </w:tblPrEx>
        <w:trPr>
          <w:trHeight w:val="1080"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3</w:t>
            </w:r>
          </w:p>
        </w:tc>
        <w:tc>
          <w:tcPr>
            <w:tcW w:w="1240" w:type="dxa"/>
            <w:tcBorders>
              <w:top w:val="single" w:color="auto" w:sz="4" w:space="0"/>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高清摄像机（半球）</w:t>
            </w:r>
          </w:p>
        </w:tc>
        <w:tc>
          <w:tcPr>
            <w:tcW w:w="3920" w:type="dxa"/>
            <w:tcBorders>
              <w:top w:val="single" w:color="auto" w:sz="4" w:space="0"/>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固定半球型，网络高清，1/3″CMOS，1080P</w:t>
            </w:r>
          </w:p>
        </w:tc>
        <w:tc>
          <w:tcPr>
            <w:tcW w:w="760" w:type="dxa"/>
            <w:tcBorders>
              <w:top w:val="single" w:color="auto" w:sz="4" w:space="0"/>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套</w:t>
            </w:r>
          </w:p>
        </w:tc>
        <w:tc>
          <w:tcPr>
            <w:tcW w:w="1060" w:type="dxa"/>
            <w:tcBorders>
              <w:top w:val="single" w:color="auto" w:sz="4" w:space="0"/>
              <w:left w:val="nil"/>
              <w:bottom w:val="single" w:color="000000" w:sz="4" w:space="0"/>
              <w:right w:val="nil"/>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8</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p>
        </w:tc>
      </w:tr>
      <w:tr>
        <w:tblPrEx>
          <w:tblCellMar>
            <w:top w:w="0" w:type="dxa"/>
            <w:left w:w="108" w:type="dxa"/>
            <w:bottom w:w="0" w:type="dxa"/>
            <w:right w:w="108" w:type="dxa"/>
          </w:tblCellMar>
        </w:tblPrEx>
        <w:trPr>
          <w:trHeight w:val="108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4</w:t>
            </w:r>
          </w:p>
        </w:tc>
        <w:tc>
          <w:tcPr>
            <w:tcW w:w="124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电源线</w:t>
            </w:r>
          </w:p>
        </w:tc>
        <w:tc>
          <w:tcPr>
            <w:tcW w:w="392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RVV-1KV</w:t>
            </w:r>
            <w:bookmarkStart w:id="3" w:name="_GoBack"/>
            <w:bookmarkEnd w:id="3"/>
            <w:r>
              <w:rPr>
                <w:rFonts w:hint="eastAsia" w:ascii="宋体" w:hAnsi="宋体" w:eastAsia="宋体" w:cs="宋体"/>
                <w:color w:val="000000"/>
              </w:rPr>
              <w:t>-3×2.5mm</w:t>
            </w:r>
          </w:p>
        </w:tc>
        <w:tc>
          <w:tcPr>
            <w:tcW w:w="76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米</w:t>
            </w:r>
          </w:p>
        </w:tc>
        <w:tc>
          <w:tcPr>
            <w:tcW w:w="1060" w:type="dxa"/>
            <w:tcBorders>
              <w:top w:val="nil"/>
              <w:left w:val="nil"/>
              <w:bottom w:val="single" w:color="000000" w:sz="4" w:space="0"/>
              <w:right w:val="nil"/>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200</w:t>
            </w:r>
          </w:p>
        </w:tc>
        <w:tc>
          <w:tcPr>
            <w:tcW w:w="108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据实计量</w:t>
            </w:r>
          </w:p>
        </w:tc>
      </w:tr>
      <w:tr>
        <w:tblPrEx>
          <w:tblCellMar>
            <w:top w:w="0" w:type="dxa"/>
            <w:left w:w="108" w:type="dxa"/>
            <w:bottom w:w="0" w:type="dxa"/>
            <w:right w:w="108" w:type="dxa"/>
          </w:tblCellMar>
        </w:tblPrEx>
        <w:trPr>
          <w:trHeight w:val="108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5</w:t>
            </w:r>
          </w:p>
        </w:tc>
        <w:tc>
          <w:tcPr>
            <w:tcW w:w="124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网线</w:t>
            </w:r>
          </w:p>
        </w:tc>
        <w:tc>
          <w:tcPr>
            <w:tcW w:w="392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超五类UTP</w:t>
            </w:r>
          </w:p>
        </w:tc>
        <w:tc>
          <w:tcPr>
            <w:tcW w:w="76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米</w:t>
            </w:r>
          </w:p>
        </w:tc>
        <w:tc>
          <w:tcPr>
            <w:tcW w:w="1060" w:type="dxa"/>
            <w:tcBorders>
              <w:top w:val="nil"/>
              <w:left w:val="nil"/>
              <w:bottom w:val="single" w:color="000000" w:sz="4" w:space="0"/>
              <w:right w:val="nil"/>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200</w:t>
            </w:r>
          </w:p>
        </w:tc>
        <w:tc>
          <w:tcPr>
            <w:tcW w:w="108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据实计量</w:t>
            </w:r>
          </w:p>
        </w:tc>
      </w:tr>
      <w:tr>
        <w:tblPrEx>
          <w:tblCellMar>
            <w:top w:w="0" w:type="dxa"/>
            <w:left w:w="108" w:type="dxa"/>
            <w:bottom w:w="0" w:type="dxa"/>
            <w:right w:w="108" w:type="dxa"/>
          </w:tblCellMar>
        </w:tblPrEx>
        <w:trPr>
          <w:trHeight w:val="108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6</w:t>
            </w:r>
          </w:p>
        </w:tc>
        <w:tc>
          <w:tcPr>
            <w:tcW w:w="1240" w:type="dxa"/>
            <w:tcBorders>
              <w:top w:val="nil"/>
              <w:left w:val="nil"/>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光纤收发器</w:t>
            </w:r>
          </w:p>
        </w:tc>
        <w:tc>
          <w:tcPr>
            <w:tcW w:w="392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1个光口，4个千兆电口，工作温度-20°C~80°C，IP65</w:t>
            </w:r>
          </w:p>
        </w:tc>
        <w:tc>
          <w:tcPr>
            <w:tcW w:w="760" w:type="dxa"/>
            <w:tcBorders>
              <w:top w:val="nil"/>
              <w:left w:val="nil"/>
              <w:bottom w:val="single" w:color="000000"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对</w:t>
            </w:r>
          </w:p>
        </w:tc>
        <w:tc>
          <w:tcPr>
            <w:tcW w:w="1060" w:type="dxa"/>
            <w:tcBorders>
              <w:top w:val="nil"/>
              <w:left w:val="nil"/>
              <w:bottom w:val="single" w:color="000000" w:sz="4" w:space="0"/>
              <w:right w:val="nil"/>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6</w:t>
            </w:r>
          </w:p>
        </w:tc>
        <w:tc>
          <w:tcPr>
            <w:tcW w:w="108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据实计量</w:t>
            </w:r>
          </w:p>
        </w:tc>
      </w:tr>
      <w:tr>
        <w:tblPrEx>
          <w:tblCellMar>
            <w:top w:w="0" w:type="dxa"/>
            <w:left w:w="108" w:type="dxa"/>
            <w:bottom w:w="0" w:type="dxa"/>
            <w:right w:w="108" w:type="dxa"/>
          </w:tblCellMar>
        </w:tblPrEx>
        <w:trPr>
          <w:trHeight w:val="1080"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7</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NVR硬盘录像机</w:t>
            </w:r>
          </w:p>
        </w:tc>
        <w:tc>
          <w:tcPr>
            <w:tcW w:w="3920" w:type="dxa"/>
            <w:tcBorders>
              <w:top w:val="nil"/>
              <w:left w:val="single" w:color="auto" w:sz="4" w:space="0"/>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32路，含硬盘</w:t>
            </w:r>
          </w:p>
        </w:tc>
        <w:tc>
          <w:tcPr>
            <w:tcW w:w="760" w:type="dxa"/>
            <w:tcBorders>
              <w:top w:val="nil"/>
              <w:left w:val="nil"/>
              <w:bottom w:val="single" w:color="auto" w:sz="4" w:space="0"/>
              <w:right w:val="single" w:color="000000"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台</w:t>
            </w:r>
          </w:p>
        </w:tc>
        <w:tc>
          <w:tcPr>
            <w:tcW w:w="1060" w:type="dxa"/>
            <w:tcBorders>
              <w:top w:val="nil"/>
              <w:left w:val="nil"/>
              <w:bottom w:val="single" w:color="auto" w:sz="4" w:space="0"/>
              <w:right w:val="nil"/>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1</w:t>
            </w:r>
          </w:p>
        </w:tc>
        <w:tc>
          <w:tcPr>
            <w:tcW w:w="1080" w:type="dxa"/>
            <w:tcBorders>
              <w:top w:val="nil"/>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ascii="宋体" w:hAnsi="宋体" w:eastAsia="宋体" w:cs="宋体"/>
                <w:color w:val="000000"/>
              </w:rPr>
            </w:pPr>
            <w:r>
              <w:rPr>
                <w:rFonts w:hint="eastAsia" w:ascii="宋体" w:hAnsi="宋体" w:eastAsia="宋体" w:cs="宋体"/>
                <w:color w:val="000000"/>
              </w:rPr>
              <w:t>含上架调试及IP规划</w:t>
            </w:r>
          </w:p>
        </w:tc>
      </w:tr>
      <w:tr>
        <w:tblPrEx>
          <w:tblCellMar>
            <w:top w:w="0" w:type="dxa"/>
            <w:left w:w="108" w:type="dxa"/>
            <w:bottom w:w="0" w:type="dxa"/>
            <w:right w:w="108" w:type="dxa"/>
          </w:tblCellMar>
        </w:tblPrEx>
        <w:trPr>
          <w:trHeight w:val="520"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color w:val="000000"/>
                <w:lang w:val="en-US" w:eastAsia="zh-CN"/>
              </w:rPr>
              <w:t>原有摄像机拆除</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含原有支架割接，转运</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套</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29</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r>
      <w:tr>
        <w:tblPrEx>
          <w:tblCellMar>
            <w:top w:w="0" w:type="dxa"/>
            <w:left w:w="108" w:type="dxa"/>
            <w:bottom w:w="0" w:type="dxa"/>
            <w:right w:w="108" w:type="dxa"/>
          </w:tblCellMar>
        </w:tblPrEx>
        <w:trPr>
          <w:trHeight w:val="845"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9</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color w:val="000000"/>
                <w:lang w:val="en-US" w:eastAsia="zh-CN"/>
              </w:rPr>
              <w:t>原有光纤收发器移位</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23</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r>
      <w:tr>
        <w:tblPrEx>
          <w:tblCellMar>
            <w:top w:w="0" w:type="dxa"/>
            <w:left w:w="108" w:type="dxa"/>
            <w:bottom w:w="0" w:type="dxa"/>
            <w:right w:w="108" w:type="dxa"/>
          </w:tblCellMar>
        </w:tblPrEx>
        <w:trPr>
          <w:trHeight w:val="755"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10</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线槽切割及恢复</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平方</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65</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r>
      <w:tr>
        <w:tblPrEx>
          <w:tblCellMar>
            <w:top w:w="0" w:type="dxa"/>
            <w:left w:w="108" w:type="dxa"/>
            <w:bottom w:w="0" w:type="dxa"/>
            <w:right w:w="108" w:type="dxa"/>
          </w:tblCellMar>
        </w:tblPrEx>
        <w:trPr>
          <w:trHeight w:val="755"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11</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设备调试</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含图像字符叠加，上监控平台</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项</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r>
      <w:tr>
        <w:tblPrEx>
          <w:tblCellMar>
            <w:top w:w="0" w:type="dxa"/>
            <w:left w:w="108" w:type="dxa"/>
            <w:bottom w:w="0" w:type="dxa"/>
            <w:right w:w="108" w:type="dxa"/>
          </w:tblCellMar>
        </w:tblPrEx>
        <w:trPr>
          <w:trHeight w:val="1080"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12</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交通组织转换（1.5%）</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项</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r>
      <w:tr>
        <w:tblPrEx>
          <w:tblCellMar>
            <w:top w:w="0" w:type="dxa"/>
            <w:left w:w="108" w:type="dxa"/>
            <w:bottom w:w="0" w:type="dxa"/>
            <w:right w:w="108" w:type="dxa"/>
          </w:tblCellMar>
        </w:tblPrEx>
        <w:trPr>
          <w:trHeight w:val="825" w:hRule="atLeast"/>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13</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税金（9%）</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项</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jc w:val="center"/>
              <w:rPr>
                <w:rFonts w:hint="eastAsia" w:ascii="宋体" w:hAnsi="宋体" w:eastAsia="宋体" w:cs="宋体"/>
                <w:color w:val="000000"/>
              </w:rPr>
            </w:pPr>
          </w:p>
        </w:tc>
      </w:tr>
    </w:tbl>
    <w:p>
      <w:pPr>
        <w:spacing w:beforeLines="50" w:afterLines="50" w:line="336" w:lineRule="auto"/>
        <w:rPr>
          <w:b/>
          <w:sz w:val="30"/>
          <w:szCs w:val="30"/>
        </w:rPr>
      </w:pPr>
    </w:p>
    <w:p>
      <w:pPr>
        <w:pStyle w:val="11"/>
        <w:spacing w:line="360" w:lineRule="auto"/>
        <w:ind w:firstLine="0" w:firstLineChars="0"/>
        <w:rPr>
          <w:rFonts w:ascii="Times New Roman" w:hAnsi="Tahoma" w:eastAsia="微软雅黑"/>
          <w:b/>
          <w:kern w:val="0"/>
          <w:sz w:val="30"/>
          <w:szCs w:val="30"/>
        </w:rPr>
      </w:pPr>
      <w:r>
        <w:rPr>
          <w:rFonts w:hint="eastAsia" w:ascii="Times New Roman" w:hAnsi="Tahoma" w:eastAsia="微软雅黑"/>
          <w:b/>
          <w:kern w:val="0"/>
          <w:sz w:val="30"/>
          <w:szCs w:val="30"/>
        </w:rPr>
        <w:t>5 、</w:t>
      </w:r>
      <w:r>
        <w:rPr>
          <w:rFonts w:ascii="Times New Roman" w:hAnsi="Tahoma" w:eastAsia="微软雅黑"/>
          <w:b/>
          <w:kern w:val="0"/>
          <w:sz w:val="30"/>
          <w:szCs w:val="30"/>
        </w:rPr>
        <w:t>施工及注意事项</w:t>
      </w:r>
    </w:p>
    <w:p>
      <w:pPr>
        <w:spacing w:line="500" w:lineRule="exact"/>
        <w:rPr>
          <w:rFonts w:ascii="Times New Roman" w:hAnsi="Times New Roman"/>
          <w:b/>
        </w:rPr>
      </w:pPr>
      <w:r>
        <w:rPr>
          <w:rFonts w:hint="eastAsia" w:ascii="Times New Roman" w:hAnsi="Times New Roman"/>
          <w:b/>
        </w:rPr>
        <w:t>5.1、施工前的准备</w:t>
      </w:r>
    </w:p>
    <w:p>
      <w:pPr>
        <w:spacing w:line="500" w:lineRule="exact"/>
        <w:rPr>
          <w:rFonts w:ascii="Times New Roman" w:hAnsi="Times New Roman"/>
          <w:b/>
        </w:rPr>
      </w:pPr>
      <w:r>
        <w:rPr>
          <w:rFonts w:hint="eastAsia" w:ascii="Times New Roman" w:hAnsi="Times New Roman"/>
          <w:b/>
        </w:rPr>
        <w:t xml:space="preserve">     </w:t>
      </w:r>
      <w:r>
        <w:rPr>
          <w:rFonts w:hint="eastAsia"/>
          <w:sz w:val="24"/>
        </w:rPr>
        <w:t>（</w:t>
      </w:r>
      <w:r>
        <w:rPr>
          <w:rFonts w:ascii="Times New Roman"/>
          <w:sz w:val="24"/>
        </w:rPr>
        <w:t>1</w:t>
      </w:r>
      <w:r>
        <w:rPr>
          <w:rFonts w:hint="eastAsia" w:ascii="Times New Roman"/>
          <w:sz w:val="24"/>
        </w:rPr>
        <w:t>）施工前应做好标记，拆除原有线缆及旧设备</w:t>
      </w:r>
    </w:p>
    <w:p>
      <w:pPr>
        <w:pStyle w:val="11"/>
        <w:spacing w:line="360" w:lineRule="auto"/>
        <w:ind w:firstLine="0" w:firstLineChars="0"/>
        <w:rPr>
          <w:rFonts w:ascii="Times New Roman" w:hAnsi="Tahoma" w:eastAsia="微软雅黑"/>
          <w:kern w:val="0"/>
          <w:sz w:val="24"/>
        </w:rPr>
      </w:pPr>
      <w:r>
        <w:rPr>
          <w:rFonts w:hint="eastAsia" w:ascii="Times New Roman" w:hAnsi="Tahoma" w:eastAsia="微软雅黑"/>
          <w:kern w:val="0"/>
          <w:sz w:val="24"/>
        </w:rPr>
        <w:t xml:space="preserve">    （</w:t>
      </w:r>
      <w:r>
        <w:rPr>
          <w:rFonts w:ascii="Times New Roman" w:hAnsi="Tahoma" w:eastAsia="微软雅黑"/>
          <w:kern w:val="0"/>
          <w:sz w:val="24"/>
        </w:rPr>
        <w:t>2</w:t>
      </w:r>
      <w:r>
        <w:rPr>
          <w:rFonts w:hint="eastAsia" w:ascii="Times New Roman" w:hAnsi="Tahoma" w:eastAsia="微软雅黑"/>
          <w:kern w:val="0"/>
          <w:sz w:val="24"/>
        </w:rPr>
        <w:t>）在电缆、通信中断前做好施工准备工作，尽量减少电缆、通信中断时间。</w:t>
      </w:r>
    </w:p>
    <w:p>
      <w:pPr>
        <w:spacing w:line="500" w:lineRule="exact"/>
        <w:rPr>
          <w:rFonts w:ascii="Times New Roman" w:hAnsi="Times New Roman"/>
          <w:b/>
        </w:rPr>
      </w:pPr>
      <w:r>
        <w:rPr>
          <w:rFonts w:hint="eastAsia" w:ascii="Times New Roman" w:hAnsi="Times New Roman"/>
          <w:b/>
        </w:rPr>
        <w:t>5.2 、施工注意事项</w:t>
      </w:r>
    </w:p>
    <w:p>
      <w:pPr>
        <w:spacing w:line="500" w:lineRule="exact"/>
        <w:ind w:firstLine="480" w:firstLineChars="200"/>
        <w:rPr>
          <w:rFonts w:eastAsia="宋体"/>
          <w:spacing w:val="10"/>
          <w:sz w:val="24"/>
        </w:rPr>
      </w:pPr>
      <w:r>
        <w:rPr>
          <w:rFonts w:hint="eastAsia" w:ascii="Times New Roman"/>
          <w:sz w:val="24"/>
          <w:szCs w:val="24"/>
        </w:rPr>
        <w:t>针对摄像机更换项目，由于涉及新增硬盘录像机NVR，需在工程实施完毕之后对视频管理平台逐级进行调试。</w:t>
      </w:r>
    </w:p>
    <w:p>
      <w:pPr>
        <w:spacing w:line="360" w:lineRule="auto"/>
        <w:rPr>
          <w:sz w:val="24"/>
        </w:rPr>
      </w:pPr>
    </w:p>
    <w:sectPr>
      <w:type w:val="continuous"/>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83" w:usb1="288F0000" w:usb2="0000000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301DDD"/>
    <w:rsid w:val="0001344F"/>
    <w:rsid w:val="0001349A"/>
    <w:rsid w:val="000C095B"/>
    <w:rsid w:val="000E0A21"/>
    <w:rsid w:val="000F0548"/>
    <w:rsid w:val="00111382"/>
    <w:rsid w:val="001245EC"/>
    <w:rsid w:val="00142EC3"/>
    <w:rsid w:val="00197D1E"/>
    <w:rsid w:val="00257A22"/>
    <w:rsid w:val="002859A4"/>
    <w:rsid w:val="002C49C3"/>
    <w:rsid w:val="002C5FFD"/>
    <w:rsid w:val="00301DDD"/>
    <w:rsid w:val="00323B43"/>
    <w:rsid w:val="00333E20"/>
    <w:rsid w:val="003A691E"/>
    <w:rsid w:val="003C4C47"/>
    <w:rsid w:val="003D37D8"/>
    <w:rsid w:val="003F5C34"/>
    <w:rsid w:val="003F612E"/>
    <w:rsid w:val="004358AB"/>
    <w:rsid w:val="00465F78"/>
    <w:rsid w:val="00505572"/>
    <w:rsid w:val="005110BD"/>
    <w:rsid w:val="00531F4D"/>
    <w:rsid w:val="005432F7"/>
    <w:rsid w:val="005468BA"/>
    <w:rsid w:val="00554139"/>
    <w:rsid w:val="00567983"/>
    <w:rsid w:val="005C1400"/>
    <w:rsid w:val="005F047E"/>
    <w:rsid w:val="006074AD"/>
    <w:rsid w:val="006468F6"/>
    <w:rsid w:val="00712945"/>
    <w:rsid w:val="007147EF"/>
    <w:rsid w:val="00720120"/>
    <w:rsid w:val="007262E7"/>
    <w:rsid w:val="00752636"/>
    <w:rsid w:val="00774B1C"/>
    <w:rsid w:val="007F02EB"/>
    <w:rsid w:val="007F6E71"/>
    <w:rsid w:val="00875DB9"/>
    <w:rsid w:val="008765B2"/>
    <w:rsid w:val="008B7726"/>
    <w:rsid w:val="009026CF"/>
    <w:rsid w:val="009666A0"/>
    <w:rsid w:val="00986918"/>
    <w:rsid w:val="00987DF4"/>
    <w:rsid w:val="009A0B88"/>
    <w:rsid w:val="009A5A82"/>
    <w:rsid w:val="00A61101"/>
    <w:rsid w:val="00AA50EB"/>
    <w:rsid w:val="00AE76AC"/>
    <w:rsid w:val="00B05AC6"/>
    <w:rsid w:val="00B92B34"/>
    <w:rsid w:val="00BB74A8"/>
    <w:rsid w:val="00C3679F"/>
    <w:rsid w:val="00C44E2E"/>
    <w:rsid w:val="00C46F48"/>
    <w:rsid w:val="00C978C7"/>
    <w:rsid w:val="00CA3B13"/>
    <w:rsid w:val="00CC3675"/>
    <w:rsid w:val="00CF464F"/>
    <w:rsid w:val="00CF4CCC"/>
    <w:rsid w:val="00D576BE"/>
    <w:rsid w:val="00D60911"/>
    <w:rsid w:val="00D75009"/>
    <w:rsid w:val="00D77621"/>
    <w:rsid w:val="00DF63AC"/>
    <w:rsid w:val="00E12265"/>
    <w:rsid w:val="00E27620"/>
    <w:rsid w:val="00E31DE8"/>
    <w:rsid w:val="00EB5DEA"/>
    <w:rsid w:val="00EF69D5"/>
    <w:rsid w:val="00F525B3"/>
    <w:rsid w:val="00F560F9"/>
    <w:rsid w:val="00F56D84"/>
    <w:rsid w:val="00F71869"/>
    <w:rsid w:val="00FE1913"/>
    <w:rsid w:val="00FF589B"/>
    <w:rsid w:val="64BE0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uiPriority w:val="99"/>
    <w:pPr>
      <w:spacing w:after="0"/>
    </w:pPr>
    <w:rPr>
      <w:sz w:val="18"/>
      <w:szCs w:val="18"/>
    </w:rPr>
  </w:style>
  <w:style w:type="paragraph" w:styleId="3">
    <w:name w:val="footer"/>
    <w:basedOn w:val="1"/>
    <w:link w:val="8"/>
    <w:semiHidden/>
    <w:unhideWhenUsed/>
    <w:uiPriority w:val="99"/>
    <w:pPr>
      <w:tabs>
        <w:tab w:val="center" w:pos="4153"/>
        <w:tab w:val="right" w:pos="8306"/>
      </w:tabs>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uiPriority w:val="99"/>
    <w:rPr>
      <w:rFonts w:ascii="Tahoma" w:hAnsi="Tahoma"/>
      <w:sz w:val="18"/>
      <w:szCs w:val="18"/>
    </w:rPr>
  </w:style>
  <w:style w:type="character" w:customStyle="1" w:styleId="8">
    <w:name w:val="页脚 Char"/>
    <w:basedOn w:val="6"/>
    <w:link w:val="3"/>
    <w:semiHidden/>
    <w:uiPriority w:val="99"/>
    <w:rPr>
      <w:rFonts w:ascii="Tahoma" w:hAnsi="Tahoma"/>
      <w:sz w:val="18"/>
      <w:szCs w:val="18"/>
    </w:rPr>
  </w:style>
  <w:style w:type="paragraph" w:customStyle="1" w:styleId="9">
    <w:name w:val="设计说明2"/>
    <w:basedOn w:val="1"/>
    <w:uiPriority w:val="0"/>
    <w:pPr>
      <w:widowControl w:val="0"/>
      <w:numPr>
        <w:ilvl w:val="1"/>
        <w:numId w:val="1"/>
      </w:numPr>
      <w:tabs>
        <w:tab w:val="left" w:pos="630"/>
      </w:tabs>
      <w:adjustRightInd/>
      <w:snapToGrid/>
      <w:spacing w:before="120" w:after="120" w:line="400" w:lineRule="exact"/>
      <w:outlineLvl w:val="1"/>
    </w:pPr>
    <w:rPr>
      <w:rFonts w:ascii="新宋体" w:hAnsi="新宋体" w:eastAsia="宋体" w:cs="Times New Roman"/>
      <w:b/>
      <w:kern w:val="2"/>
      <w:sz w:val="28"/>
      <w:szCs w:val="20"/>
    </w:rPr>
  </w:style>
  <w:style w:type="character" w:customStyle="1" w:styleId="10">
    <w:name w:val="内容 Char Char"/>
    <w:link w:val="11"/>
    <w:uiPriority w:val="0"/>
    <w:rPr>
      <w:rFonts w:eastAsia="宋体"/>
      <w:kern w:val="2"/>
      <w:sz w:val="21"/>
      <w:szCs w:val="24"/>
    </w:rPr>
  </w:style>
  <w:style w:type="paragraph" w:customStyle="1" w:styleId="11">
    <w:name w:val="内容"/>
    <w:basedOn w:val="1"/>
    <w:link w:val="10"/>
    <w:uiPriority w:val="0"/>
    <w:pPr>
      <w:widowControl w:val="0"/>
      <w:adjustRightInd/>
      <w:snapToGrid/>
      <w:spacing w:after="0" w:line="480" w:lineRule="exact"/>
      <w:ind w:firstLine="200" w:firstLineChars="200"/>
      <w:jc w:val="both"/>
    </w:pPr>
    <w:rPr>
      <w:rFonts w:eastAsia="宋体" w:asciiTheme="minorHAnsi" w:hAnsiTheme="minorHAnsi"/>
      <w:kern w:val="2"/>
      <w:sz w:val="21"/>
      <w:szCs w:val="24"/>
    </w:rPr>
  </w:style>
  <w:style w:type="character" w:customStyle="1" w:styleId="12">
    <w:name w:val="批注框文本 Char"/>
    <w:basedOn w:val="6"/>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E5BD8-F7F9-419B-9226-902B3F25CEA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264</Words>
  <Characters>1509</Characters>
  <Lines>12</Lines>
  <Paragraphs>3</Paragraphs>
  <TotalTime>14</TotalTime>
  <ScaleCrop>false</ScaleCrop>
  <LinksUpToDate>false</LinksUpToDate>
  <CharactersWithSpaces>1770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2021-04-09T04:28:00Z</dcterms:created>
  <dc:creator>䲘ୗ萀ߢ袀ߢ蠀ߢ螀ߢ褀ߢ</dc:creator>
  <cp:lastModifiedBy>hul k</cp:lastModifiedBy>
  <dcterms:modified xsi:type="dcterms:W3CDTF">2021-04-23T06:21:07Z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958E1331DE60470D9C6EBA7FD6686F42</vt:lpwstr>
  </property>
</Properties>
</file>