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rPr>
        <w:t>重庆通力高速公路养护工程有限公司</w:t>
      </w:r>
    </w:p>
    <w:p>
      <w:pPr>
        <w:jc w:val="center"/>
        <w:rPr>
          <w:rFonts w:hint="default"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2022年东北营运分公司所辖高速公路路面功能性修复及预防性养护工程（奉云、奉巫、奉溪段）沥青混合料外协加工（第二次）</w:t>
      </w:r>
    </w:p>
    <w:p>
      <w:pPr>
        <w:pStyle w:val="5"/>
        <w:rPr>
          <w:rFonts w:hint="eastAsia"/>
        </w:rPr>
      </w:pPr>
    </w:p>
    <w:p>
      <w:pPr>
        <w:rPr>
          <w:rFonts w:hint="eastAsia"/>
        </w:rPr>
      </w:pPr>
    </w:p>
    <w:p>
      <w:pPr>
        <w:pStyle w:val="2"/>
        <w:rPr>
          <w:rFonts w:hint="eastAsia"/>
        </w:rPr>
      </w:pPr>
    </w:p>
    <w:p>
      <w:pPr>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val="en-US" w:eastAsia="zh-CN"/>
        </w:rPr>
        <w:t>竞争性比选</w:t>
      </w:r>
      <w:r>
        <w:rPr>
          <w:rFonts w:hint="eastAsia" w:ascii="宋体" w:hAnsi="宋体" w:cs="宋体"/>
          <w:b/>
          <w:color w:val="auto"/>
          <w:spacing w:val="20"/>
          <w:sz w:val="84"/>
          <w:szCs w:val="84"/>
          <w:highlight w:val="none"/>
        </w:rPr>
        <w:t>文件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3"/>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13"/>
        <w:spacing w:line="360" w:lineRule="auto"/>
        <w:ind w:left="99" w:leftChars="47"/>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t>月</w:t>
      </w:r>
    </w:p>
    <w:p>
      <w:pPr>
        <w:spacing w:line="400" w:lineRule="exact"/>
        <w:jc w:val="center"/>
        <w:rPr>
          <w:rFonts w:hint="eastAsia" w:ascii="宋体" w:hAnsi="宋体" w:cs="宋体"/>
          <w:b/>
          <w:color w:val="FF0000"/>
          <w:sz w:val="30"/>
          <w:szCs w:val="30"/>
          <w:highlight w:val="none"/>
          <w:lang w:eastAsia="zh-CN"/>
        </w:rPr>
      </w:pPr>
    </w:p>
    <w:p>
      <w:pPr>
        <w:spacing w:line="400" w:lineRule="exact"/>
        <w:jc w:val="center"/>
        <w:rPr>
          <w:rFonts w:hint="eastAsia" w:ascii="宋体" w:hAnsi="宋体" w:cs="宋体"/>
          <w:b/>
          <w:color w:val="auto"/>
          <w:sz w:val="30"/>
          <w:szCs w:val="30"/>
          <w:highlight w:val="none"/>
        </w:rPr>
      </w:pPr>
      <w:r>
        <w:rPr>
          <w:rFonts w:hint="eastAsia" w:ascii="宋体" w:hAnsi="宋体" w:cs="宋体"/>
          <w:b/>
          <w:color w:val="FF0000"/>
          <w:sz w:val="30"/>
          <w:szCs w:val="30"/>
          <w:highlight w:val="none"/>
          <w:lang w:eastAsia="zh-CN"/>
        </w:rPr>
        <w:t>2022年东北营运分公司所辖高速公路路面功能性修复及预防性养护工程（奉云、奉巫、奉溪段）沥青混合料外协加工（</w:t>
      </w:r>
      <w:r>
        <w:rPr>
          <w:rFonts w:hint="eastAsia" w:ascii="宋体" w:hAnsi="宋体" w:cs="宋体"/>
          <w:b/>
          <w:color w:val="FF0000"/>
          <w:sz w:val="30"/>
          <w:szCs w:val="30"/>
          <w:highlight w:val="none"/>
          <w:lang w:val="en-US" w:eastAsia="zh-CN"/>
        </w:rPr>
        <w:t>第二次）</w:t>
      </w:r>
      <w:r>
        <w:rPr>
          <w:rFonts w:hint="eastAsia" w:ascii="宋体" w:hAnsi="宋体" w:cs="宋体"/>
          <w:b/>
          <w:color w:val="auto"/>
          <w:sz w:val="30"/>
          <w:szCs w:val="30"/>
          <w:highlight w:val="none"/>
          <w:lang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hint="eastAsia" w:ascii="宋体" w:hAnsi="宋体" w:cs="宋体"/>
          <w:color w:val="auto"/>
          <w:sz w:val="24"/>
          <w:szCs w:val="24"/>
          <w:highlight w:val="none"/>
          <w:u w:val="single"/>
        </w:rPr>
      </w:pPr>
      <w:bookmarkStart w:id="0" w:name="_Toc144974487"/>
      <w:bookmarkStart w:id="1" w:name="_Toc152042295"/>
      <w:bookmarkStart w:id="2" w:name="_Toc179632536"/>
      <w:bookmarkStart w:id="3" w:name="_Toc152045519"/>
      <w:bookmarkStart w:id="4" w:name="_Toc246996166"/>
      <w:bookmarkStart w:id="5" w:name="_Toc296602410"/>
      <w:bookmarkStart w:id="6" w:name="_Toc247085680"/>
      <w:bookmarkStart w:id="7" w:name="_Toc246996909"/>
    </w:p>
    <w:bookmarkEnd w:id="0"/>
    <w:bookmarkEnd w:id="1"/>
    <w:bookmarkEnd w:id="2"/>
    <w:bookmarkEnd w:id="3"/>
    <w:bookmarkEnd w:id="4"/>
    <w:bookmarkEnd w:id="5"/>
    <w:bookmarkEnd w:id="6"/>
    <w:bookmarkEnd w:id="7"/>
    <w:p>
      <w:pPr>
        <w:wordWrap w:val="0"/>
        <w:spacing w:line="400" w:lineRule="exact"/>
        <w:ind w:firstLine="422" w:firstLineChars="200"/>
        <w:jc w:val="left"/>
        <w:rPr>
          <w:color w:val="auto"/>
          <w:szCs w:val="21"/>
          <w:highlight w:val="none"/>
        </w:rPr>
      </w:pPr>
      <w:bookmarkStart w:id="8" w:name="_Toc144974489"/>
      <w:bookmarkStart w:id="9" w:name="_Toc296602412"/>
      <w:bookmarkStart w:id="10" w:name="_Toc152045521"/>
      <w:bookmarkStart w:id="11" w:name="_Toc246996911"/>
      <w:bookmarkStart w:id="12" w:name="_Toc179632538"/>
      <w:bookmarkStart w:id="13" w:name="_Toc247085682"/>
      <w:bookmarkStart w:id="14" w:name="_Toc246996168"/>
      <w:bookmarkStart w:id="15" w:name="_Toc152042297"/>
      <w:r>
        <w:rPr>
          <w:rFonts w:hint="eastAsia"/>
          <w:b/>
          <w:bCs/>
          <w:color w:val="FF0000"/>
          <w:szCs w:val="21"/>
          <w:highlight w:val="none"/>
          <w:lang w:val="en-US" w:eastAsia="zh-CN"/>
        </w:rPr>
        <w:t>2022年东北营运分公司所辖高速公路路面功能性修复及预防性养护工程（奉云、奉巫、奉溪段）</w:t>
      </w:r>
      <w:r>
        <w:rPr>
          <w:color w:val="auto"/>
          <w:szCs w:val="21"/>
          <w:highlight w:val="none"/>
        </w:rPr>
        <w:t>准备组织实施，重庆通力高速公路养护工程有限公司计划以</w:t>
      </w:r>
      <w:r>
        <w:rPr>
          <w:rFonts w:hint="eastAsia"/>
          <w:color w:val="auto"/>
          <w:szCs w:val="21"/>
          <w:highlight w:val="none"/>
          <w:lang w:eastAsia="zh-CN"/>
        </w:rPr>
        <w:t>竞争性比选</w:t>
      </w:r>
      <w:r>
        <w:rPr>
          <w:color w:val="auto"/>
          <w:szCs w:val="21"/>
          <w:highlight w:val="none"/>
        </w:rPr>
        <w:t>方式确定</w:t>
      </w:r>
      <w:r>
        <w:rPr>
          <w:rFonts w:hint="eastAsia"/>
          <w:color w:val="auto"/>
          <w:szCs w:val="21"/>
          <w:highlight w:val="none"/>
          <w:lang w:val="en-US" w:eastAsia="zh-CN"/>
        </w:rPr>
        <w:t>沥青混合料外协加工单位</w:t>
      </w:r>
      <w:r>
        <w:rPr>
          <w:color w:val="auto"/>
          <w:szCs w:val="21"/>
          <w:highlight w:val="none"/>
        </w:rPr>
        <w:t>，具体情况如下：</w:t>
      </w:r>
    </w:p>
    <w:p>
      <w:pPr>
        <w:spacing w:line="400" w:lineRule="exact"/>
        <w:rPr>
          <w:b/>
          <w:color w:val="auto"/>
          <w:szCs w:val="21"/>
          <w:highlight w:val="none"/>
        </w:rPr>
      </w:pPr>
      <w:bookmarkStart w:id="16" w:name="_Toc179632537"/>
      <w:bookmarkStart w:id="17" w:name="_Toc152042296"/>
      <w:bookmarkStart w:id="18" w:name="_Toc246996167"/>
      <w:bookmarkStart w:id="19" w:name="_Toc246996910"/>
      <w:bookmarkStart w:id="20" w:name="_Toc296602411"/>
      <w:bookmarkStart w:id="21" w:name="_Toc152045520"/>
      <w:bookmarkStart w:id="22" w:name="_Toc247085681"/>
      <w:bookmarkStart w:id="23" w:name="_Toc144974488"/>
      <w:r>
        <w:rPr>
          <w:b/>
          <w:color w:val="auto"/>
          <w:szCs w:val="21"/>
          <w:highlight w:val="none"/>
        </w:rPr>
        <w:t>一、项目概况与</w:t>
      </w:r>
      <w:r>
        <w:rPr>
          <w:rFonts w:hint="eastAsia"/>
          <w:b/>
          <w:color w:val="auto"/>
          <w:szCs w:val="21"/>
          <w:highlight w:val="none"/>
          <w:lang w:eastAsia="zh-CN"/>
        </w:rPr>
        <w:t>竞争性比选</w:t>
      </w:r>
      <w:r>
        <w:rPr>
          <w:b/>
          <w:color w:val="auto"/>
          <w:szCs w:val="21"/>
          <w:highlight w:val="none"/>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eastAsia="宋体"/>
          <w:color w:val="auto"/>
          <w:szCs w:val="21"/>
          <w:highlight w:val="none"/>
          <w:lang w:eastAsia="zh-CN"/>
        </w:rPr>
      </w:pPr>
      <w:r>
        <w:rPr>
          <w:rFonts w:hint="eastAsia"/>
          <w:color w:val="auto"/>
          <w:szCs w:val="21"/>
          <w:highlight w:val="none"/>
        </w:rPr>
        <w:t>2022年东北营运分公司所辖高速公路路面功能性修复及预防性养护工程（奉云、奉巫、奉溪段）准备组织实施，重庆通力高速公路养护工程有限公司计划以竞争性比选方式确定沥青混合料外协加工单位</w:t>
      </w:r>
      <w:r>
        <w:rPr>
          <w:rFonts w:hint="eastAsia"/>
          <w:color w:val="auto"/>
          <w:szCs w:val="21"/>
          <w:highlight w:val="none"/>
          <w:lang w:eastAsia="zh-CN"/>
        </w:rPr>
        <w:t>。</w:t>
      </w:r>
    </w:p>
    <w:p>
      <w:pPr>
        <w:spacing w:line="400" w:lineRule="exact"/>
        <w:ind w:firstLine="420" w:firstLineChars="200"/>
        <w:rPr>
          <w:rFonts w:hint="default" w:eastAsia="宋体"/>
          <w:color w:val="FF0000"/>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1</w:t>
      </w:r>
      <w:r>
        <w:rPr>
          <w:rFonts w:hint="eastAsia"/>
          <w:color w:val="auto"/>
          <w:szCs w:val="21"/>
          <w:highlight w:val="none"/>
        </w:rPr>
        <w:t>工    期：</w:t>
      </w:r>
      <w:r>
        <w:rPr>
          <w:rFonts w:hint="eastAsia"/>
          <w:color w:val="FF0000"/>
          <w:szCs w:val="21"/>
          <w:highlight w:val="none"/>
          <w:lang w:eastAsia="zh-CN"/>
        </w:rPr>
        <w:t>项目施工开始至2022年12月31日，具体工期以业主单位及比选人工程项目实际要求（含批准延长）为准。</w:t>
      </w:r>
    </w:p>
    <w:p>
      <w:pPr>
        <w:spacing w:line="400" w:lineRule="exact"/>
        <w:ind w:firstLine="420" w:firstLineChars="200"/>
        <w:rPr>
          <w:rFonts w:hint="eastAsia"/>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lang w:eastAsia="zh-CN"/>
        </w:rPr>
        <w:t>主要工程数量：</w:t>
      </w:r>
    </w:p>
    <w:tbl>
      <w:tblPr>
        <w:tblStyle w:val="21"/>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3"/>
        <w:gridCol w:w="2170"/>
        <w:gridCol w:w="2219"/>
        <w:gridCol w:w="1337"/>
        <w:gridCol w:w="1426"/>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工程位置</w:t>
            </w: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产品名称</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暂定数量</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ind w:left="0" w:leftChars="0" w:firstLine="0" w:firstLineChars="0"/>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17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奉云、奉巫、奉溪段高速公路沿线</w:t>
            </w: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SMA-13(玄武石）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13141</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217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sz w:val="21"/>
                <w:szCs w:val="21"/>
                <w:u w:val="single"/>
                <w:lang w:val="en-US" w:eastAsia="zh-CN"/>
              </w:rPr>
            </w:pP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AC-13(玄武石）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217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sz w:val="21"/>
                <w:szCs w:val="21"/>
                <w:u w:val="single"/>
                <w:lang w:val="en-US" w:eastAsia="zh-CN"/>
              </w:rPr>
            </w:pP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AC-20C(石灰石）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3274</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217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AC-25C(石灰石）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226</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5142"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16756</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8" w:hRule="exact"/>
          <w:jc w:val="center"/>
        </w:trPr>
        <w:tc>
          <w:tcPr>
            <w:tcW w:w="9780" w:type="dxa"/>
            <w:gridSpan w:val="6"/>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备注：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项目沥青混合料出场单价为综合含税单价，工程量清单中的单价已包含为完成约定工作内容所需的一切费用：包括乙方拌和站生产沥青混合料所需的原材料费、人工费、机械使用费、燃料、临时水电费用、升温费、临时生活设施费、节假日加班费、安全措施费、保险费、税金、管理费、利润等相关费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比选人提供沥青、玄武岩、木质素纤维，其余所有材料（含:石灰岩、矿粉等）、燃油、机械设备、人工等均由竞标人提供。</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工程量清单中所列工程数量为暂定数量，不能作为最终结算与支付的依据，最终数量以比选人代表确认的实际生产的合格数量为准。</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由比选人</w:t>
            </w:r>
            <w:r>
              <w:rPr>
                <w:rFonts w:hint="eastAsia" w:ascii="宋体" w:hAnsi="宋体" w:cs="宋体"/>
                <w:sz w:val="22"/>
                <w:szCs w:val="22"/>
                <w:lang w:val="en-US" w:eastAsia="zh-CN"/>
              </w:rPr>
              <w:t>自行</w:t>
            </w:r>
            <w:r>
              <w:rPr>
                <w:rFonts w:hint="eastAsia" w:ascii="宋体" w:hAnsi="宋体" w:eastAsia="宋体" w:cs="宋体"/>
                <w:sz w:val="22"/>
                <w:szCs w:val="22"/>
                <w:lang w:val="en-US" w:eastAsia="zh-CN"/>
              </w:rPr>
              <w:t>组织沥青混合料运输。</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sz w:val="22"/>
                <w:szCs w:val="22"/>
              </w:rPr>
              <w:t>增值税</w:t>
            </w:r>
            <w:r>
              <w:rPr>
                <w:rFonts w:hint="eastAsia" w:ascii="宋体" w:hAnsi="宋体" w:eastAsia="宋体" w:cs="宋体"/>
                <w:sz w:val="22"/>
                <w:szCs w:val="22"/>
                <w:lang w:val="en-US" w:eastAsia="zh-CN"/>
              </w:rPr>
              <w:t>税率为</w:t>
            </w:r>
            <w:r>
              <w:rPr>
                <w:rFonts w:hint="eastAsia" w:ascii="宋体" w:hAnsi="宋体" w:eastAsia="宋体" w:cs="宋体"/>
                <w:color w:val="auto"/>
                <w:sz w:val="22"/>
                <w:szCs w:val="22"/>
                <w:lang w:val="en-US" w:eastAsia="zh-CN"/>
              </w:rPr>
              <w:t xml:space="preserve">13 </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w:t>
            </w:r>
          </w:p>
        </w:tc>
      </w:tr>
    </w:tbl>
    <w:p>
      <w:pPr>
        <w:spacing w:line="360" w:lineRule="exact"/>
        <w:rPr>
          <w:b/>
          <w:color w:val="auto"/>
          <w:szCs w:val="21"/>
          <w:highlight w:val="none"/>
        </w:rPr>
      </w:pPr>
      <w:r>
        <w:rPr>
          <w:b/>
          <w:color w:val="auto"/>
          <w:szCs w:val="21"/>
          <w:highlight w:val="none"/>
        </w:rPr>
        <w:t>二、</w:t>
      </w:r>
      <w:r>
        <w:rPr>
          <w:rFonts w:hint="eastAsia"/>
          <w:b/>
          <w:color w:val="auto"/>
          <w:szCs w:val="21"/>
          <w:highlight w:val="none"/>
          <w:lang w:eastAsia="zh-CN"/>
        </w:rPr>
        <w:t>比选申请</w:t>
      </w:r>
      <w:r>
        <w:rPr>
          <w:b/>
          <w:color w:val="auto"/>
          <w:szCs w:val="21"/>
          <w:highlight w:val="none"/>
        </w:rPr>
        <w:t>人资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bookmarkEnd w:id="8"/>
    <w:bookmarkEnd w:id="9"/>
    <w:bookmarkEnd w:id="10"/>
    <w:bookmarkEnd w:id="11"/>
    <w:bookmarkEnd w:id="12"/>
    <w:bookmarkEnd w:id="13"/>
    <w:bookmarkEnd w:id="14"/>
    <w:bookmarkEnd w:id="15"/>
    <w:p>
      <w:pPr>
        <w:adjustRightInd w:val="0"/>
        <w:snapToGrid w:val="0"/>
        <w:spacing w:line="460" w:lineRule="exact"/>
        <w:ind w:firstLine="210" w:firstLineChars="100"/>
        <w:rPr>
          <w:rFonts w:hint="eastAsia"/>
          <w:color w:val="FF0000"/>
          <w:szCs w:val="21"/>
          <w:highlight w:val="none"/>
          <w:lang w:val="en-US" w:eastAsia="zh-CN"/>
        </w:rPr>
      </w:pPr>
      <w:bookmarkStart w:id="24" w:name="_Toc247085683"/>
      <w:bookmarkStart w:id="25" w:name="_Toc246996912"/>
      <w:bookmarkStart w:id="26" w:name="_Toc144974490"/>
      <w:bookmarkStart w:id="27" w:name="_Toc152042298"/>
      <w:bookmarkStart w:id="28" w:name="_Toc179632539"/>
      <w:bookmarkStart w:id="29" w:name="_Toc152045522"/>
      <w:bookmarkStart w:id="30" w:name="_Toc246996169"/>
      <w:bookmarkStart w:id="31" w:name="_Toc296602413"/>
      <w:r>
        <w:rPr>
          <w:rFonts w:hint="eastAsia"/>
          <w:color w:val="FF0000"/>
          <w:szCs w:val="21"/>
          <w:highlight w:val="none"/>
        </w:rPr>
        <w:t>1</w:t>
      </w:r>
      <w:r>
        <w:rPr>
          <w:rFonts w:hint="eastAsia"/>
          <w:color w:val="FF0000"/>
          <w:szCs w:val="21"/>
          <w:highlight w:val="none"/>
          <w:lang w:eastAsia="zh-CN"/>
        </w:rPr>
        <w:t>、</w:t>
      </w:r>
      <w:r>
        <w:rPr>
          <w:rFonts w:hint="eastAsia"/>
          <w:color w:val="FF0000"/>
          <w:szCs w:val="21"/>
          <w:highlight w:val="none"/>
          <w:lang w:val="en-US" w:eastAsia="zh-CN"/>
        </w:rPr>
        <w:t>具备独立法人资格、有效的营业执照、基本账户开户许可证。</w:t>
      </w:r>
    </w:p>
    <w:p>
      <w:pPr>
        <w:adjustRightInd w:val="0"/>
        <w:snapToGrid w:val="0"/>
        <w:spacing w:line="460" w:lineRule="exact"/>
        <w:ind w:firstLine="210" w:firstLineChars="100"/>
        <w:rPr>
          <w:rFonts w:hint="default" w:ascii="宋体" w:hAnsi="宋体"/>
          <w:bCs/>
          <w:color w:val="auto"/>
          <w:sz w:val="24"/>
          <w:highlight w:val="none"/>
          <w:lang w:val="en-US"/>
        </w:rPr>
      </w:pPr>
      <w:r>
        <w:rPr>
          <w:rFonts w:hint="eastAsia"/>
          <w:color w:val="FF0000"/>
          <w:szCs w:val="21"/>
          <w:highlight w:val="none"/>
          <w:lang w:val="en-US" w:eastAsia="zh-CN"/>
        </w:rPr>
        <w:t>2、沥青混合料拌和设备为2000型及以上（提供设备购销合同)。</w:t>
      </w:r>
    </w:p>
    <w:p>
      <w:pPr>
        <w:adjustRightInd w:val="0"/>
        <w:snapToGrid w:val="0"/>
        <w:spacing w:line="460" w:lineRule="exact"/>
        <w:ind w:firstLine="315" w:firstLineChars="150"/>
        <w:rPr>
          <w:rFonts w:hint="eastAsia" w:ascii="Times New Roman" w:hAnsi="Times New Roman" w:eastAsia="宋体" w:cs="Times New Roman"/>
          <w:color w:val="FF0000"/>
          <w:szCs w:val="21"/>
          <w:highlight w:val="none"/>
          <w:lang w:val="en-US" w:eastAsia="zh-CN"/>
        </w:rPr>
      </w:pPr>
      <w:r>
        <w:rPr>
          <w:rFonts w:hint="eastAsia" w:cs="Times New Roman"/>
          <w:color w:val="FF0000"/>
          <w:szCs w:val="21"/>
          <w:highlight w:val="none"/>
          <w:lang w:val="en-US" w:eastAsia="zh-CN"/>
        </w:rPr>
        <w:t>注：</w:t>
      </w:r>
      <w:r>
        <w:rPr>
          <w:rFonts w:hint="eastAsia" w:ascii="Times New Roman" w:hAnsi="Times New Roman" w:eastAsia="宋体" w:cs="Times New Roman"/>
          <w:color w:val="FF0000"/>
          <w:szCs w:val="21"/>
          <w:highlight w:val="none"/>
          <w:lang w:val="en-US" w:eastAsia="zh-CN"/>
        </w:rPr>
        <w:t>以上材料均只需提供复印件或扫描件即可。具体要求根据实际进行设置。</w:t>
      </w:r>
    </w:p>
    <w:p>
      <w:pPr>
        <w:spacing w:line="360" w:lineRule="exact"/>
        <w:rPr>
          <w:b/>
          <w:color w:val="auto"/>
          <w:szCs w:val="21"/>
          <w:highlight w:val="none"/>
        </w:rPr>
      </w:pPr>
      <w:r>
        <w:rPr>
          <w:b/>
          <w:color w:val="auto"/>
          <w:szCs w:val="21"/>
          <w:highlight w:val="none"/>
        </w:rPr>
        <w:t>三、</w:t>
      </w:r>
      <w:r>
        <w:rPr>
          <w:rFonts w:hint="eastAsia"/>
          <w:b/>
          <w:color w:val="auto"/>
          <w:szCs w:val="21"/>
          <w:highlight w:val="none"/>
          <w:lang w:eastAsia="zh-CN"/>
        </w:rPr>
        <w:t>比选申请</w:t>
      </w:r>
      <w:r>
        <w:rPr>
          <w:b/>
          <w:color w:val="auto"/>
          <w:szCs w:val="21"/>
          <w:highlight w:val="none"/>
        </w:rPr>
        <w:t>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（1）竞标报价为全费用综合单价。</w:t>
      </w:r>
      <w:r>
        <w:rPr>
          <w:rFonts w:hint="eastAsia"/>
          <w:color w:val="auto"/>
          <w:szCs w:val="21"/>
          <w:highlight w:val="none"/>
          <w:lang w:eastAsia="zh-CN"/>
        </w:rPr>
        <w:t>比选申请人</w:t>
      </w:r>
      <w:r>
        <w:rPr>
          <w:rFonts w:hint="eastAsia"/>
          <w:color w:val="auto"/>
          <w:szCs w:val="21"/>
          <w:highlight w:val="none"/>
        </w:rPr>
        <w:t>应提供合法有效且符合</w:t>
      </w:r>
      <w:r>
        <w:rPr>
          <w:rFonts w:hint="eastAsia"/>
          <w:color w:val="auto"/>
          <w:szCs w:val="21"/>
          <w:highlight w:val="none"/>
          <w:lang w:eastAsia="zh-CN"/>
        </w:rPr>
        <w:t>比选人</w:t>
      </w:r>
      <w:r>
        <w:rPr>
          <w:rFonts w:hint="eastAsia"/>
          <w:color w:val="auto"/>
          <w:szCs w:val="21"/>
          <w:highlight w:val="none"/>
        </w:rPr>
        <w:t>要求的增值税专用发票（税率为：</w:t>
      </w:r>
      <w:r>
        <w:rPr>
          <w:rFonts w:hint="eastAsia"/>
          <w:color w:val="auto"/>
          <w:szCs w:val="21"/>
          <w:highlight w:val="none"/>
          <w:lang w:val="en-US" w:eastAsia="zh-CN"/>
        </w:rPr>
        <w:t>13</w:t>
      </w:r>
      <w:r>
        <w:rPr>
          <w:rFonts w:hint="eastAsia"/>
          <w:color w:val="auto"/>
          <w:szCs w:val="21"/>
          <w:highlight w:val="none"/>
        </w:rPr>
        <w:t>%）。因</w:t>
      </w:r>
      <w:r>
        <w:rPr>
          <w:rFonts w:hint="eastAsia"/>
          <w:color w:val="auto"/>
          <w:szCs w:val="21"/>
          <w:highlight w:val="none"/>
          <w:lang w:eastAsia="zh-CN"/>
        </w:rPr>
        <w:t>比选申请人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比选申请人</w:t>
      </w:r>
      <w:r>
        <w:rPr>
          <w:rFonts w:hint="eastAsia"/>
          <w:color w:val="auto"/>
          <w:szCs w:val="21"/>
          <w:highlight w:val="none"/>
        </w:rPr>
        <w:t>需依法向</w:t>
      </w:r>
      <w:r>
        <w:rPr>
          <w:rFonts w:hint="eastAsia"/>
          <w:color w:val="auto"/>
          <w:szCs w:val="21"/>
          <w:highlight w:val="none"/>
          <w:lang w:eastAsia="zh-CN"/>
        </w:rPr>
        <w:t>比选人</w:t>
      </w:r>
      <w:r>
        <w:rPr>
          <w:rFonts w:hint="eastAsia"/>
          <w:color w:val="auto"/>
          <w:szCs w:val="21"/>
          <w:highlight w:val="none"/>
        </w:rPr>
        <w:t>重新开具发票，并向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应按照</w:t>
      </w:r>
      <w:r>
        <w:rPr>
          <w:rFonts w:hint="eastAsia"/>
          <w:color w:val="auto"/>
          <w:szCs w:val="21"/>
          <w:highlight w:val="none"/>
          <w:lang w:eastAsia="zh-CN"/>
        </w:rPr>
        <w:t>比选人</w:t>
      </w:r>
      <w:r>
        <w:rPr>
          <w:rFonts w:hint="eastAsia"/>
          <w:color w:val="auto"/>
          <w:szCs w:val="21"/>
          <w:highlight w:val="none"/>
        </w:rPr>
        <w:t>要求，及时向</w:t>
      </w:r>
      <w:r>
        <w:rPr>
          <w:rFonts w:hint="eastAsia"/>
          <w:color w:val="auto"/>
          <w:szCs w:val="21"/>
          <w:highlight w:val="none"/>
          <w:lang w:eastAsia="zh-CN"/>
        </w:rPr>
        <w:t>比选人</w:t>
      </w:r>
      <w:r>
        <w:rPr>
          <w:rFonts w:hint="eastAsia"/>
          <w:color w:val="auto"/>
          <w:szCs w:val="21"/>
          <w:highlight w:val="none"/>
        </w:rPr>
        <w:t>开具可以抵扣税款的增值税专用发票。因</w:t>
      </w:r>
      <w:r>
        <w:rPr>
          <w:rFonts w:hint="eastAsia"/>
          <w:color w:val="auto"/>
          <w:szCs w:val="21"/>
          <w:highlight w:val="none"/>
          <w:lang w:eastAsia="zh-CN"/>
        </w:rPr>
        <w:t>比选申请人</w:t>
      </w:r>
      <w:r>
        <w:rPr>
          <w:rFonts w:hint="eastAsia"/>
          <w:color w:val="auto"/>
          <w:szCs w:val="21"/>
          <w:highlight w:val="none"/>
        </w:rPr>
        <w:t>开具发票不及时给</w:t>
      </w:r>
      <w:r>
        <w:rPr>
          <w:rFonts w:hint="eastAsia"/>
          <w:color w:val="auto"/>
          <w:szCs w:val="21"/>
          <w:highlight w:val="none"/>
          <w:lang w:eastAsia="zh-CN"/>
        </w:rPr>
        <w:t>比选人</w:t>
      </w:r>
      <w:r>
        <w:rPr>
          <w:rFonts w:hint="eastAsia"/>
          <w:color w:val="auto"/>
          <w:szCs w:val="21"/>
          <w:highlight w:val="none"/>
        </w:rPr>
        <w:t>造成无法及时认证、抵扣发票等情形的，</w:t>
      </w:r>
      <w:r>
        <w:rPr>
          <w:rFonts w:hint="eastAsia"/>
          <w:color w:val="auto"/>
          <w:szCs w:val="21"/>
          <w:highlight w:val="none"/>
          <w:lang w:eastAsia="zh-CN"/>
        </w:rPr>
        <w:t>比选申请人</w:t>
      </w:r>
      <w:r>
        <w:rPr>
          <w:rFonts w:hint="eastAsia"/>
          <w:color w:val="auto"/>
          <w:szCs w:val="21"/>
          <w:highlight w:val="none"/>
        </w:rPr>
        <w:t>需向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）报价表中的工程量为</w:t>
      </w:r>
      <w:r>
        <w:rPr>
          <w:rFonts w:hint="eastAsia"/>
          <w:color w:val="auto"/>
          <w:szCs w:val="21"/>
          <w:highlight w:val="none"/>
          <w:lang w:eastAsia="zh-CN"/>
        </w:rPr>
        <w:t>比选人</w:t>
      </w:r>
      <w:r>
        <w:rPr>
          <w:rFonts w:hint="eastAsia"/>
          <w:color w:val="auto"/>
          <w:szCs w:val="21"/>
          <w:highlight w:val="none"/>
        </w:rPr>
        <w:t>暂估量，如实际工程量与暂估量有出入，则该出入部分工程量单价按签约合同单价计量。</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）本项目最高总限价为：</w:t>
      </w:r>
      <w:r>
        <w:rPr>
          <w:rFonts w:hint="eastAsia"/>
          <w:b/>
          <w:bCs/>
          <w:color w:val="FF0000"/>
          <w:szCs w:val="21"/>
          <w:highlight w:val="none"/>
          <w:u w:val="single"/>
          <w:lang w:val="en-US" w:eastAsia="zh-CN"/>
        </w:rPr>
        <w:t>2437060元（大写：贰佰肆拾叁万柒仟零陆拾元整）</w:t>
      </w:r>
      <w:r>
        <w:rPr>
          <w:rFonts w:hint="eastAsia"/>
          <w:color w:val="auto"/>
          <w:szCs w:val="21"/>
          <w:highlight w:val="none"/>
          <w:lang w:val="en-US" w:eastAsia="zh-CN"/>
        </w:rPr>
        <w:t>。</w:t>
      </w:r>
      <w:r>
        <w:rPr>
          <w:rFonts w:hint="eastAsia"/>
          <w:color w:val="auto"/>
          <w:szCs w:val="21"/>
          <w:highlight w:val="none"/>
          <w:lang w:eastAsia="zh-CN"/>
        </w:rPr>
        <w:t>具体详见“</w:t>
      </w:r>
      <w:r>
        <w:rPr>
          <w:rFonts w:hint="eastAsia"/>
          <w:color w:val="auto"/>
          <w:szCs w:val="21"/>
          <w:highlight w:val="none"/>
        </w:rPr>
        <w:t>已标价报价清单</w:t>
      </w:r>
      <w:r>
        <w:rPr>
          <w:rFonts w:hint="eastAsia"/>
          <w:color w:val="auto"/>
          <w:szCs w:val="21"/>
          <w:highlight w:val="none"/>
          <w:lang w:eastAsia="zh-CN"/>
        </w:rPr>
        <w:t>”</w:t>
      </w:r>
      <w:r>
        <w:rPr>
          <w:rFonts w:hint="eastAsia"/>
          <w:color w:val="auto"/>
          <w:szCs w:val="21"/>
          <w:highlight w:val="none"/>
        </w:rPr>
        <w:t>。</w:t>
      </w:r>
    </w:p>
    <w:p>
      <w:pPr>
        <w:spacing w:line="360" w:lineRule="exact"/>
        <w:ind w:firstLine="422" w:firstLineChars="200"/>
        <w:outlineLvl w:val="0"/>
        <w:rPr>
          <w:rFonts w:hint="eastAsia"/>
          <w:color w:val="auto"/>
          <w:szCs w:val="21"/>
          <w:highlight w:val="none"/>
        </w:rPr>
      </w:pPr>
      <w:r>
        <w:rPr>
          <w:rFonts w:hint="eastAsia"/>
          <w:b/>
          <w:bCs/>
          <w:color w:val="auto"/>
          <w:szCs w:val="21"/>
          <w:highlight w:val="none"/>
        </w:rPr>
        <w:t>注：</w:t>
      </w:r>
      <w:r>
        <w:rPr>
          <w:rFonts w:hint="eastAsia"/>
          <w:b/>
          <w:bCs/>
          <w:color w:val="auto"/>
          <w:szCs w:val="21"/>
          <w:highlight w:val="none"/>
          <w:lang w:eastAsia="zh-CN"/>
        </w:rPr>
        <w:t>比选申请人</w:t>
      </w:r>
      <w:r>
        <w:rPr>
          <w:rFonts w:hint="eastAsia"/>
          <w:b/>
          <w:bCs/>
          <w:color w:val="auto"/>
          <w:szCs w:val="21"/>
          <w:highlight w:val="none"/>
        </w:rPr>
        <w:t>的竞标报价均不得超过</w:t>
      </w:r>
      <w:r>
        <w:rPr>
          <w:rFonts w:hint="eastAsia"/>
          <w:b/>
          <w:bCs/>
          <w:color w:val="auto"/>
          <w:szCs w:val="21"/>
          <w:highlight w:val="none"/>
          <w:lang w:eastAsia="zh-CN"/>
        </w:rPr>
        <w:t>比选人</w:t>
      </w:r>
      <w:r>
        <w:rPr>
          <w:rFonts w:hint="eastAsia"/>
          <w:b/>
          <w:bCs/>
          <w:color w:val="auto"/>
          <w:szCs w:val="21"/>
          <w:highlight w:val="none"/>
        </w:rPr>
        <w:t>公布的</w:t>
      </w:r>
      <w:r>
        <w:rPr>
          <w:rFonts w:hint="eastAsia"/>
          <w:b/>
          <w:bCs/>
          <w:color w:val="auto"/>
          <w:szCs w:val="21"/>
          <w:highlight w:val="none"/>
          <w:lang w:eastAsia="zh-CN"/>
        </w:rPr>
        <w:t>相应</w:t>
      </w:r>
      <w:r>
        <w:rPr>
          <w:rFonts w:hint="eastAsia"/>
          <w:b/>
          <w:bCs/>
          <w:color w:val="auto"/>
          <w:szCs w:val="21"/>
          <w:highlight w:val="none"/>
        </w:rPr>
        <w:t>最高限价否则均为无效竞标</w:t>
      </w:r>
      <w:r>
        <w:rPr>
          <w:rFonts w:hint="eastAsia"/>
          <w:b/>
          <w:bCs/>
          <w:color w:val="auto"/>
          <w:szCs w:val="21"/>
          <w:highlight w:val="none"/>
          <w:lang w:eastAsia="zh-CN"/>
        </w:rPr>
        <w:t>（</w:t>
      </w:r>
      <w:r>
        <w:rPr>
          <w:rFonts w:hint="eastAsia"/>
          <w:b/>
          <w:bCs/>
          <w:color w:val="auto"/>
          <w:szCs w:val="21"/>
          <w:highlight w:val="none"/>
          <w:lang w:val="en-US" w:eastAsia="zh-CN"/>
        </w:rPr>
        <w:t>如有单价限价，比选申请人所报的单价不能超过单价限价</w:t>
      </w:r>
      <w:r>
        <w:rPr>
          <w:rFonts w:hint="eastAsia"/>
          <w:b/>
          <w:bCs/>
          <w:color w:val="auto"/>
          <w:szCs w:val="21"/>
          <w:highlight w:val="none"/>
          <w:lang w:eastAsia="zh-CN"/>
        </w:rPr>
        <w:t>）</w:t>
      </w:r>
      <w:r>
        <w:rPr>
          <w:rFonts w:hint="eastAsia"/>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要求：</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、沥青混合料质量：成品质量检验不低于（JTGF40-2004）《公路沥青路面施工技术规范》、JTGE20-2011）《公路工程沥青及沥青混合料试验规程》要求及甲方级配要求及质量要求。</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、沥青：由甲方提供SBS改性沥青、70#A级沥青，乙方应提供2个标配沥青罐（每个沥青罐容量≥50吨）供甲方使用，沥青混合料运输由甲方自行负责。</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、甲方提供原材料包括：沥青、玄武岩、木质素纤维。乙方提供原材料包括：生产加工所需石灰岩碎石、所需的外掺新矿粉、石屑、机械设备、燃油、人工费用等。</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、上述材料加工单价中已包含相关税金，结算时乙方需按甲方要求提供相应的增值税专用发票，且抵扣税率为13%。</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（注：以上所有文件须加盖单位公章）</w:t>
      </w:r>
    </w:p>
    <w:p>
      <w:pPr>
        <w:spacing w:line="36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7、</w:t>
      </w:r>
      <w:r>
        <w:rPr>
          <w:rFonts w:hint="eastAsia"/>
          <w:color w:val="auto"/>
          <w:szCs w:val="21"/>
          <w:highlight w:val="none"/>
          <w:lang w:eastAsia="zh-CN"/>
        </w:rPr>
        <w:t>比选申请</w:t>
      </w:r>
      <w:r>
        <w:rPr>
          <w:color w:val="auto"/>
          <w:szCs w:val="21"/>
          <w:highlight w:val="none"/>
        </w:rPr>
        <w:t>文件的份数及编制要求</w:t>
      </w:r>
      <w:r>
        <w:rPr>
          <w:rFonts w:hint="eastAsia"/>
          <w:color w:val="auto"/>
          <w:szCs w:val="21"/>
          <w:highlight w:val="none"/>
          <w:lang w:eastAsia="zh-CN"/>
        </w:rPr>
        <w:t>：</w:t>
      </w:r>
    </w:p>
    <w:p>
      <w:pPr>
        <w:spacing w:line="360" w:lineRule="exact"/>
        <w:ind w:firstLine="420" w:firstLineChars="200"/>
        <w:rPr>
          <w:rFonts w:hint="eastAsia"/>
        </w:rPr>
      </w:pPr>
      <w:r>
        <w:rPr>
          <w:rFonts w:hint="eastAsia"/>
          <w:color w:val="auto"/>
          <w:szCs w:val="21"/>
          <w:highlight w:val="none"/>
          <w:lang w:eastAsia="zh-CN"/>
        </w:rPr>
        <w:t>比选申请</w:t>
      </w:r>
      <w:r>
        <w:rPr>
          <w:rFonts w:hint="eastAsia"/>
          <w:color w:val="auto"/>
          <w:szCs w:val="21"/>
          <w:highlight w:val="none"/>
        </w:rPr>
        <w:t>文件</w:t>
      </w:r>
      <w:r>
        <w:rPr>
          <w:rFonts w:hint="eastAsia"/>
          <w:b/>
          <w:bCs/>
          <w:color w:val="auto"/>
          <w:szCs w:val="21"/>
          <w:highlight w:val="none"/>
          <w:lang w:val="en-US" w:eastAsia="zh-CN"/>
        </w:rPr>
        <w:t>1</w:t>
      </w:r>
      <w:r>
        <w:rPr>
          <w:rFonts w:hint="eastAsia"/>
          <w:b/>
          <w:bCs/>
          <w:color w:val="auto"/>
          <w:szCs w:val="21"/>
          <w:highlight w:val="none"/>
        </w:rPr>
        <w:t>份</w:t>
      </w:r>
      <w:r>
        <w:rPr>
          <w:rFonts w:hint="eastAsia"/>
          <w:color w:val="auto"/>
          <w:szCs w:val="21"/>
          <w:highlight w:val="none"/>
        </w:rPr>
        <w:t>，</w:t>
      </w:r>
      <w:r>
        <w:rPr>
          <w:rFonts w:hint="eastAsia"/>
          <w:color w:val="auto"/>
          <w:szCs w:val="21"/>
          <w:highlight w:val="none"/>
          <w:lang w:eastAsia="zh-CN"/>
        </w:rPr>
        <w:t>比选申请</w:t>
      </w:r>
      <w:r>
        <w:rPr>
          <w:rFonts w:hint="eastAsia"/>
          <w:color w:val="auto"/>
          <w:szCs w:val="21"/>
          <w:highlight w:val="none"/>
        </w:rPr>
        <w:t>文件按</w:t>
      </w:r>
      <w:r>
        <w:rPr>
          <w:rFonts w:hint="eastAsia"/>
          <w:color w:val="auto"/>
          <w:szCs w:val="21"/>
          <w:highlight w:val="none"/>
          <w:lang w:eastAsia="zh-CN"/>
        </w:rPr>
        <w:t>竞争性比选</w:t>
      </w:r>
      <w:r>
        <w:rPr>
          <w:rFonts w:hint="eastAsia"/>
          <w:color w:val="auto"/>
          <w:szCs w:val="21"/>
          <w:highlight w:val="none"/>
        </w:rPr>
        <w:t>文件中规定格式排版。</w:t>
      </w:r>
    </w:p>
    <w:p>
      <w:pPr>
        <w:numPr>
          <w:ilvl w:val="0"/>
          <w:numId w:val="3"/>
        </w:numPr>
        <w:spacing w:line="360" w:lineRule="auto"/>
        <w:ind w:firstLine="422" w:firstLineChars="200"/>
        <w:rPr>
          <w:rFonts w:hint="eastAsia"/>
          <w:b/>
          <w:bCs/>
        </w:rPr>
      </w:pP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p>
    <w:p>
      <w:pPr>
        <w:numPr>
          <w:ilvl w:val="0"/>
          <w:numId w:val="0"/>
        </w:numPr>
        <w:spacing w:line="360" w:lineRule="auto"/>
        <w:ind w:firstLine="420" w:firstLineChars="200"/>
        <w:rPr>
          <w:rFonts w:hint="eastAsia" w:ascii="宋体" w:hAnsi="宋体"/>
          <w:bCs/>
          <w:szCs w:val="21"/>
        </w:rPr>
      </w:pPr>
      <w:r>
        <w:rPr>
          <w:rFonts w:hint="eastAsia" w:ascii="宋体" w:hAnsi="宋体" w:cs="宋体"/>
          <w:bCs/>
          <w:color w:val="auto"/>
          <w:szCs w:val="21"/>
          <w:highlight w:val="none"/>
          <w:lang w:val="en-US" w:eastAsia="zh-CN"/>
        </w:rPr>
        <w:t>4.1</w:t>
      </w:r>
      <w:r>
        <w:rPr>
          <w:rFonts w:hint="eastAsia" w:ascii="宋体" w:hAnsi="宋体"/>
          <w:bCs/>
          <w:szCs w:val="21"/>
        </w:rPr>
        <w:t>本项目采用经评审的最低价法，在满足比选文件要求的前提下，评标委员会根据综合报价从低到高的先后顺序推荐中标候选人。若在满足比选文件所有要求前提下，最低综合报价相同的时候，则进行第二轮报价。请各报价单位结合自身情况及市场行情进行报价。</w:t>
      </w:r>
    </w:p>
    <w:p>
      <w:pPr>
        <w:numPr>
          <w:ilvl w:val="0"/>
          <w:numId w:val="0"/>
        </w:numPr>
        <w:spacing w:line="360" w:lineRule="auto"/>
        <w:ind w:firstLine="422" w:firstLineChars="200"/>
        <w:rPr>
          <w:rFonts w:hint="eastAsia" w:ascii="宋体" w:hAnsi="宋体" w:cs="宋体"/>
          <w:b/>
          <w:bCs/>
          <w:lang w:eastAsia="zh-CN"/>
        </w:rPr>
      </w:pPr>
      <w:r>
        <w:rPr>
          <w:rFonts w:hint="eastAsia" w:ascii="宋体" w:hAnsi="宋体" w:eastAsia="宋体" w:cs="宋体"/>
          <w:b/>
          <w:bCs/>
          <w:lang w:val="en-US" w:eastAsia="zh-CN"/>
        </w:rPr>
        <w:t>4.2</w:t>
      </w:r>
      <w:r>
        <w:rPr>
          <w:rFonts w:hint="eastAsia" w:ascii="宋体" w:hAnsi="宋体" w:eastAsia="宋体" w:cs="宋体"/>
          <w:b/>
          <w:bCs/>
          <w:szCs w:val="21"/>
          <w:lang w:eastAsia="zh-CN"/>
        </w:rPr>
        <w:t>具体</w:t>
      </w:r>
      <w:r>
        <w:rPr>
          <w:rFonts w:hint="eastAsia" w:ascii="宋体" w:hAnsi="宋体" w:eastAsia="宋体" w:cs="宋体"/>
          <w:b/>
          <w:bCs/>
        </w:rPr>
        <w:t>评标标准按：竞价人拌合站沥青混合料出厂总报价+（比选人运输单价*拌合站距指定地点（G42沪蓉高速夔门收费站）重载运距公里数*沥青混合料预计生产量）进行评标。</w:t>
      </w:r>
    </w:p>
    <w:p>
      <w:pPr>
        <w:numPr>
          <w:ilvl w:val="0"/>
          <w:numId w:val="0"/>
        </w:numPr>
        <w:spacing w:line="360" w:lineRule="auto"/>
        <w:ind w:firstLine="422" w:firstLineChars="200"/>
        <w:rPr>
          <w:rFonts w:hint="eastAsia"/>
          <w:b/>
          <w:bCs/>
        </w:rPr>
      </w:pPr>
      <w:r>
        <w:rPr>
          <w:rFonts w:hint="eastAsia"/>
          <w:b/>
          <w:bCs/>
        </w:rPr>
        <w:t>具体评审标准详见下表</w:t>
      </w:r>
    </w:p>
    <w:tbl>
      <w:tblPr>
        <w:tblStyle w:val="21"/>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color w:val="auto"/>
                <w:szCs w:val="21"/>
                <w:highlight w:val="none"/>
                <w:lang w:val="en-US" w:eastAsia="zh-CN"/>
              </w:rPr>
              <w:t>基本账户开户许可证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lang w:eastAsia="zh-CN"/>
              </w:rPr>
              <w:t>设备型号要求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5"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b/>
                <w:color w:val="auto"/>
                <w:szCs w:val="21"/>
                <w:highlight w:val="none"/>
              </w:rPr>
            </w:pPr>
            <w:r>
              <w:rPr>
                <w:b/>
                <w:color w:val="auto"/>
                <w:szCs w:val="21"/>
                <w:highlight w:val="none"/>
              </w:rPr>
              <w:t>有下列情况之一的，做否决</w:t>
            </w:r>
            <w:r>
              <w:rPr>
                <w:rFonts w:hint="eastAsia"/>
                <w:b/>
                <w:color w:val="auto"/>
                <w:szCs w:val="21"/>
                <w:highlight w:val="none"/>
              </w:rPr>
              <w:t>竞标</w:t>
            </w:r>
            <w:r>
              <w:rPr>
                <w:b/>
                <w:color w:val="auto"/>
                <w:szCs w:val="21"/>
                <w:highlight w:val="none"/>
              </w:rPr>
              <w:t>处理。</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由同一单位或者个人编制；</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委托同一单位或者个人办理</w:t>
            </w:r>
            <w:r>
              <w:rPr>
                <w:rFonts w:hint="eastAsia"/>
                <w:color w:val="auto"/>
                <w:szCs w:val="21"/>
                <w:highlight w:val="none"/>
              </w:rPr>
              <w:t>竞标</w:t>
            </w:r>
            <w:r>
              <w:rPr>
                <w:color w:val="auto"/>
                <w:szCs w:val="21"/>
                <w:highlight w:val="none"/>
              </w:rPr>
              <w:t>事宜；</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异常一致或者</w:t>
            </w:r>
            <w:r>
              <w:rPr>
                <w:rFonts w:hint="eastAsia"/>
                <w:color w:val="auto"/>
                <w:szCs w:val="21"/>
                <w:highlight w:val="none"/>
              </w:rPr>
              <w:t>竞标报价</w:t>
            </w:r>
            <w:r>
              <w:rPr>
                <w:color w:val="auto"/>
                <w:szCs w:val="21"/>
                <w:highlight w:val="none"/>
              </w:rPr>
              <w:t>呈规律性差异</w:t>
            </w:r>
            <w:r>
              <w:rPr>
                <w:rFonts w:hint="eastAsia"/>
                <w:color w:val="auto"/>
                <w:szCs w:val="21"/>
                <w:highlight w:val="none"/>
                <w:lang w:val="en-US" w:eastAsia="zh-CN"/>
              </w:rPr>
              <w:t>或报价不具备竞争性</w:t>
            </w:r>
            <w:r>
              <w:rPr>
                <w:color w:val="auto"/>
                <w:szCs w:val="21"/>
                <w:highlight w:val="none"/>
              </w:rPr>
              <w:t>；</w:t>
            </w:r>
          </w:p>
          <w:p>
            <w:pPr>
              <w:spacing w:line="340" w:lineRule="exact"/>
              <w:rPr>
                <w:rFonts w:hint="eastAsia" w:ascii="宋体" w:hAnsi="宋体" w:cs="宋体"/>
                <w:color w:val="auto"/>
                <w:szCs w:val="21"/>
                <w:highlight w:val="none"/>
                <w:shd w:val="clear" w:color="auto" w:fill="FFFFFF"/>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color w:val="auto"/>
                <w:szCs w:val="21"/>
                <w:highlight w:val="none"/>
              </w:rPr>
            </w:pPr>
            <w:r>
              <w:rPr>
                <w:rFonts w:hint="eastAsia"/>
                <w:lang w:val="en-US" w:eastAsia="zh-CN"/>
              </w:rPr>
              <w:t xml:space="preserve">  若报名家数大于等于三家，则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2171" w:type="dxa"/>
            <w:gridSpan w:val="2"/>
            <w:noWrap w:val="0"/>
            <w:vAlign w:val="center"/>
          </w:tcPr>
          <w:p>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pStyle w:val="2"/>
        <w:rPr>
          <w:rFonts w:hint="eastAsia"/>
          <w:lang w:val="en-US" w:eastAsia="zh-CN"/>
        </w:rPr>
      </w:pPr>
    </w:p>
    <w:p>
      <w:pPr>
        <w:spacing w:line="360" w:lineRule="auto"/>
        <w:rPr>
          <w:rFonts w:hint="eastAsia"/>
          <w:b/>
          <w:bCs/>
          <w:szCs w:val="21"/>
        </w:rPr>
      </w:pPr>
      <w:r>
        <w:rPr>
          <w:rFonts w:hint="eastAsia"/>
          <w:b/>
          <w:bCs/>
          <w:szCs w:val="21"/>
          <w:lang w:val="en-US" w:eastAsia="zh-CN"/>
        </w:rPr>
        <w:t>五</w:t>
      </w:r>
      <w:r>
        <w:rPr>
          <w:rFonts w:hint="eastAsia"/>
          <w:b/>
          <w:bCs/>
          <w:szCs w:val="21"/>
        </w:rPr>
        <w:t>、履约担保</w:t>
      </w:r>
    </w:p>
    <w:p>
      <w:pPr>
        <w:spacing w:line="360" w:lineRule="auto"/>
        <w:ind w:firstLine="420" w:firstLineChars="200"/>
        <w:outlineLvl w:val="0"/>
        <w:rPr>
          <w:rFonts w:hint="eastAsia"/>
          <w:szCs w:val="21"/>
        </w:rPr>
      </w:pPr>
      <w:r>
        <w:rPr>
          <w:rFonts w:hint="eastAsia"/>
          <w:szCs w:val="21"/>
        </w:rPr>
        <w:t>1、 乙方向甲方“采用从第一次进度支付款中进行扣除的方式”缴纳履约保证金：100000元（大写:壹拾万元整）。第一次进度支付款为乙方该项目生产的合格的沥青混合料数量达到合同总量的30%时，乙方开具其全额发票，甲方从中扣除100000元作为履约保证金。</w:t>
      </w:r>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2、</w:t>
      </w:r>
      <w:r>
        <w:rPr>
          <w:rFonts w:hint="eastAsia"/>
          <w:szCs w:val="21"/>
        </w:rPr>
        <w:t>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3、</w:t>
      </w:r>
      <w:r>
        <w:rPr>
          <w:rFonts w:hint="eastAsia"/>
          <w:szCs w:val="21"/>
        </w:rPr>
        <w:t>合同有效期间，如果乙方无正当理由单方面解除、终止合同或因乙方原因导致合同无法履行的，甲方将不予退还其履约保证金。事项，在合同终止后1个月退还。</w:t>
      </w:r>
    </w:p>
    <w:p>
      <w:pPr>
        <w:spacing w:line="360" w:lineRule="exact"/>
        <w:rPr>
          <w:b/>
          <w:color w:val="auto"/>
          <w:szCs w:val="21"/>
          <w:highlight w:val="none"/>
        </w:rPr>
      </w:pPr>
      <w:r>
        <w:rPr>
          <w:rFonts w:hint="eastAsia"/>
          <w:b/>
          <w:color w:val="auto"/>
          <w:szCs w:val="21"/>
          <w:highlight w:val="none"/>
          <w:lang w:val="en-US" w:eastAsia="zh-CN"/>
        </w:rPr>
        <w:t>六</w:t>
      </w:r>
      <w:r>
        <w:rPr>
          <w:b/>
          <w:color w:val="auto"/>
          <w:szCs w:val="21"/>
          <w:highlight w:val="none"/>
        </w:rPr>
        <w:t>、</w:t>
      </w:r>
      <w:r>
        <w:rPr>
          <w:rFonts w:hint="eastAsia"/>
          <w:b/>
          <w:color w:val="auto"/>
          <w:szCs w:val="21"/>
          <w:highlight w:val="none"/>
          <w:lang w:eastAsia="zh-CN"/>
        </w:rPr>
        <w:t>竞争性比选</w:t>
      </w:r>
      <w:r>
        <w:rPr>
          <w:b/>
          <w:color w:val="auto"/>
          <w:szCs w:val="21"/>
          <w:highlight w:val="none"/>
        </w:rPr>
        <w:t>须知</w:t>
      </w:r>
    </w:p>
    <w:p>
      <w:pPr>
        <w:spacing w:line="360" w:lineRule="exact"/>
        <w:ind w:firstLine="420" w:firstLineChars="200"/>
        <w:rPr>
          <w:rFonts w:hint="eastAsia" w:ascii="宋体" w:hAnsi="宋体" w:cs="宋体"/>
          <w:color w:val="FF0000"/>
          <w:szCs w:val="21"/>
          <w:highlight w:val="yellow"/>
        </w:rPr>
      </w:pPr>
      <w:r>
        <w:rPr>
          <w:rFonts w:hint="eastAsia" w:ascii="宋体" w:hAnsi="宋体" w:cs="宋体"/>
          <w:color w:val="FF0000"/>
          <w:szCs w:val="21"/>
          <w:highlight w:val="none"/>
        </w:rPr>
        <w:t>（一）</w:t>
      </w:r>
      <w:r>
        <w:rPr>
          <w:rFonts w:hint="eastAsia" w:ascii="宋体" w:hAnsi="宋体" w:cs="宋体"/>
          <w:color w:val="FF0000"/>
          <w:szCs w:val="21"/>
        </w:rPr>
        <w:t>竞争性比选文件获取方式：凡愿意参加的潜在竞标人，从挂网日起至竞争性比选响应文件递交截止时间前，在重庆高速集团官网（</w:t>
      </w:r>
      <w:r>
        <w:rPr>
          <w:rFonts w:hint="eastAsia" w:ascii="宋体" w:hAnsi="宋体" w:cs="宋体"/>
          <w:color w:val="FF0000"/>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http://43.240.249.108:8088/PMS/）上发布的本项目竞争性比选公告中的获取方式自行下载。不管竞标人是否下载，均视为已知晓竞争性比选文件的全部内容和有关事宜。本项目不需要报名，直接投标 。</w:t>
      </w:r>
      <w:r>
        <w:commentReference w:id="0"/>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FF0000"/>
          <w:szCs w:val="21"/>
          <w:highlight w:val="none"/>
        </w:rPr>
        <w:t>（二）</w:t>
      </w:r>
      <w:r>
        <w:rPr>
          <w:rFonts w:hint="eastAsia" w:ascii="宋体" w:hAnsi="宋体" w:cs="宋体"/>
          <w:color w:val="FF0000"/>
          <w:szCs w:val="21"/>
        </w:rPr>
        <w:t>竞争性比选公告及结果公示将在重庆高速集团官网（</w:t>
      </w:r>
      <w:r>
        <w:rPr>
          <w:rFonts w:hint="eastAsia" w:ascii="宋体" w:hAnsi="宋体" w:cs="宋体"/>
          <w:color w:val="FF0000"/>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drawing>
          <wp:inline distT="0" distB="0" distL="114300" distR="114300">
            <wp:extent cx="190500" cy="142875"/>
            <wp:effectExtent l="0" t="0" r="0" b="9525"/>
            <wp:docPr id="4"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http://43.240.249.108:8088/PMS/）上发布</w:t>
      </w:r>
      <w:r>
        <w:rPr>
          <w:rFonts w:hint="eastAsia" w:ascii="宋体" w:hAnsi="宋体" w:cs="宋体"/>
          <w:color w:val="FF0000"/>
          <w:szCs w:val="21"/>
          <w:lang w:eastAsia="zh-CN"/>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文件递交截止地点：</w:t>
      </w:r>
      <w:r>
        <w:rPr>
          <w:rFonts w:hint="eastAsia" w:ascii="宋体" w:hAnsi="宋体" w:cs="宋体"/>
          <w:b/>
          <w:bCs/>
          <w:color w:val="0000FF"/>
          <w:szCs w:val="21"/>
        </w:rPr>
        <w:t>重庆通力高速公路养护工程有限公司306室（重庆市沙坪坝区梨高路沙坪坝区档案馆旁）</w:t>
      </w:r>
      <w:r>
        <w:rPr>
          <w:rFonts w:hint="eastAsia" w:ascii="宋体" w:hAnsi="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yellow"/>
          <w:lang w:eastAsia="zh-CN"/>
        </w:rPr>
      </w:pPr>
      <w:r>
        <w:rPr>
          <w:rFonts w:hint="eastAsia" w:ascii="宋体" w:hAnsi="宋体" w:cs="宋体"/>
          <w:color w:val="auto"/>
          <w:szCs w:val="21"/>
          <w:highlight w:val="none"/>
        </w:rPr>
        <w:t>（四）</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文件递交截止时间：</w:t>
      </w:r>
      <w:r>
        <w:rPr>
          <w:rFonts w:hint="eastAsia" w:ascii="宋体" w:hAnsi="宋体" w:cs="宋体"/>
          <w:color w:val="auto"/>
          <w:szCs w:val="21"/>
          <w:highlight w:val="yellow"/>
          <w:u w:val="single"/>
          <w:lang w:val="en-US" w:eastAsia="zh-CN"/>
        </w:rPr>
        <w:t>2022</w:t>
      </w:r>
      <w:r>
        <w:rPr>
          <w:rFonts w:hint="eastAsia" w:ascii="宋体" w:hAnsi="宋体" w:cs="宋体"/>
          <w:color w:val="auto"/>
          <w:szCs w:val="21"/>
          <w:highlight w:val="yellow"/>
          <w:u w:val="single"/>
        </w:rPr>
        <w:t>年</w:t>
      </w:r>
      <w:r>
        <w:rPr>
          <w:rFonts w:hint="eastAsia" w:ascii="宋体" w:hAnsi="宋体" w:cs="宋体"/>
          <w:color w:val="auto"/>
          <w:szCs w:val="21"/>
          <w:highlight w:val="yellow"/>
          <w:u w:val="single"/>
          <w:lang w:val="en-US" w:eastAsia="zh-CN"/>
        </w:rPr>
        <w:t>4</w:t>
      </w:r>
      <w:r>
        <w:rPr>
          <w:rFonts w:hint="eastAsia" w:ascii="宋体" w:hAnsi="宋体" w:cs="宋体"/>
          <w:color w:val="auto"/>
          <w:szCs w:val="21"/>
          <w:highlight w:val="yellow"/>
          <w:u w:val="single"/>
        </w:rPr>
        <w:t>月</w:t>
      </w:r>
      <w:r>
        <w:rPr>
          <w:rFonts w:hint="eastAsia" w:ascii="宋体" w:hAnsi="宋体" w:cs="宋体"/>
          <w:color w:val="auto"/>
          <w:szCs w:val="21"/>
          <w:highlight w:val="yellow"/>
          <w:u w:val="single"/>
          <w:lang w:val="en-US" w:eastAsia="zh-CN"/>
        </w:rPr>
        <w:t>29</w:t>
      </w:r>
      <w:r>
        <w:rPr>
          <w:rFonts w:hint="eastAsia" w:ascii="宋体" w:hAnsi="宋体" w:cs="宋体"/>
          <w:color w:val="auto"/>
          <w:szCs w:val="21"/>
          <w:highlight w:val="yellow"/>
          <w:u w:val="single"/>
        </w:rPr>
        <w:t>日</w:t>
      </w:r>
      <w:r>
        <w:rPr>
          <w:rFonts w:hint="eastAsia" w:ascii="宋体" w:hAnsi="宋体" w:cs="宋体"/>
          <w:color w:val="auto"/>
          <w:szCs w:val="21"/>
          <w:highlight w:val="yellow"/>
          <w:u w:val="single"/>
          <w:lang w:val="en-US" w:eastAsia="zh-CN"/>
        </w:rPr>
        <w:t>14</w:t>
      </w:r>
      <w:r>
        <w:rPr>
          <w:rFonts w:hint="eastAsia" w:ascii="宋体" w:hAnsi="宋体" w:cs="宋体"/>
          <w:color w:val="auto"/>
          <w:szCs w:val="21"/>
          <w:highlight w:val="yellow"/>
          <w:u w:val="single"/>
        </w:rPr>
        <w:t>时</w:t>
      </w:r>
      <w:r>
        <w:rPr>
          <w:rFonts w:hint="eastAsia" w:ascii="宋体" w:hAnsi="宋体" w:cs="宋体"/>
          <w:color w:val="auto"/>
          <w:szCs w:val="21"/>
          <w:highlight w:val="yellow"/>
          <w:u w:val="single"/>
          <w:lang w:val="en-US" w:eastAsia="zh-CN"/>
        </w:rPr>
        <w:t>00</w:t>
      </w:r>
      <w:r>
        <w:rPr>
          <w:rFonts w:hint="eastAsia" w:ascii="宋体" w:hAnsi="宋体" w:cs="宋体"/>
          <w:color w:val="auto"/>
          <w:szCs w:val="21"/>
          <w:highlight w:val="yellow"/>
          <w:u w:val="single"/>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val="en-US" w:eastAsia="zh-CN"/>
        </w:rPr>
        <w:t>当第一次</w:t>
      </w:r>
      <w:r>
        <w:rPr>
          <w:rFonts w:hint="eastAsia" w:ascii="宋体" w:hAnsi="宋体" w:cs="宋体"/>
          <w:color w:val="auto"/>
          <w:szCs w:val="21"/>
        </w:rPr>
        <w:t>不足三家报名时，不予开标，标书当场退回</w:t>
      </w:r>
      <w:r>
        <w:rPr>
          <w:rFonts w:hint="eastAsia" w:ascii="宋体" w:hAnsi="宋体" w:cs="宋体"/>
          <w:color w:val="auto"/>
          <w:szCs w:val="21"/>
          <w:lang w:eastAsia="zh-CN"/>
        </w:rPr>
        <w:t>；</w:t>
      </w:r>
      <w:r>
        <w:rPr>
          <w:rFonts w:hint="eastAsia" w:ascii="宋体" w:hAnsi="宋体" w:cs="宋体"/>
          <w:color w:val="auto"/>
          <w:szCs w:val="21"/>
          <w:lang w:val="en-US" w:eastAsia="zh-CN"/>
        </w:rPr>
        <w:t>第二次不足三家报名时，可按比选文件要求进行开标</w:t>
      </w:r>
      <w:r>
        <w:rPr>
          <w:rFonts w:hint="eastAsia" w:ascii="宋体" w:hAnsi="宋体" w:cs="宋体"/>
          <w:color w:val="auto"/>
          <w:szCs w:val="21"/>
        </w:rPr>
        <w:t>。</w:t>
      </w:r>
    </w:p>
    <w:p>
      <w:pPr>
        <w:spacing w:line="360" w:lineRule="exact"/>
        <w:ind w:firstLine="420" w:firstLineChars="200"/>
        <w:rPr>
          <w:rFonts w:hint="eastAsia" w:ascii="宋体" w:hAnsi="宋体" w:cs="宋体"/>
          <w:color w:val="auto"/>
          <w:sz w:val="30"/>
          <w:szCs w:val="30"/>
          <w:highlight w:val="none"/>
        </w:rPr>
      </w:pPr>
      <w:r>
        <w:rPr>
          <w:rFonts w:hint="eastAsia" w:ascii="宋体" w:hAnsi="宋体" w:cs="宋体"/>
          <w:color w:val="auto"/>
          <w:szCs w:val="21"/>
          <w:highlight w:val="none"/>
        </w:rPr>
        <w:t>（六）密封要求：</w:t>
      </w:r>
      <w:bookmarkStart w:id="35" w:name="_GoBack"/>
      <w:bookmarkEnd w:id="35"/>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按第</w:t>
      </w:r>
      <w:r>
        <w:rPr>
          <w:rFonts w:hint="eastAsia" w:ascii="宋体" w:hAnsi="宋体" w:cs="宋体"/>
          <w:b/>
          <w:bCs/>
          <w:color w:val="auto"/>
          <w:szCs w:val="21"/>
          <w:highlight w:val="none"/>
          <w:lang w:eastAsia="zh-CN"/>
        </w:rPr>
        <w:t>五</w:t>
      </w:r>
      <w:r>
        <w:rPr>
          <w:rFonts w:hint="eastAsia" w:ascii="宋体" w:hAnsi="宋体" w:cs="宋体"/>
          <w:b/>
          <w:bCs/>
          <w:color w:val="auto"/>
          <w:szCs w:val="21"/>
          <w:highlight w:val="none"/>
        </w:rPr>
        <w:t>条要求制作的</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文件，将</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文件密封到一个封套中，再在封套上写明：</w:t>
      </w:r>
    </w:p>
    <w:p>
      <w:pPr>
        <w:spacing w:line="360" w:lineRule="exact"/>
        <w:ind w:firstLine="420" w:firstLineChars="200"/>
        <w:jc w:val="center"/>
        <w:rPr>
          <w:rFonts w:hint="eastAsia" w:ascii="宋体" w:hAnsi="宋体" w:cs="宋体"/>
          <w:color w:val="auto"/>
          <w:szCs w:val="21"/>
          <w:highlight w:val="none"/>
          <w:u w:val="single"/>
        </w:rPr>
      </w:pPr>
      <w:r>
        <w:rPr>
          <w:rFonts w:hint="eastAsia" w:ascii="宋体" w:hAnsi="宋体" w:cs="宋体"/>
          <w:color w:val="FF0000"/>
          <w:szCs w:val="21"/>
          <w:highlight w:val="none"/>
          <w:u w:val="single"/>
          <w:lang w:val="en-US" w:eastAsia="zh-CN"/>
        </w:rPr>
        <w:t>2022年东北营运分公司所辖高速公路路面功能性修复及预防性养护工程（奉云、奉巫、奉溪段）沥青混合料外协加工（第二次）</w:t>
      </w:r>
      <w:r>
        <w:rPr>
          <w:rFonts w:hint="eastAsia" w:ascii="宋体" w:hAnsi="宋体" w:cs="宋体"/>
          <w:color w:val="auto"/>
          <w:szCs w:val="21"/>
          <w:highlight w:val="none"/>
          <w:u w:val="single"/>
          <w:lang w:eastAsia="zh-CN"/>
        </w:rPr>
        <w:t>比选申请</w:t>
      </w:r>
      <w:r>
        <w:rPr>
          <w:rFonts w:hint="eastAsia" w:ascii="宋体" w:hAnsi="宋体" w:cs="宋体"/>
          <w:color w:val="auto"/>
          <w:szCs w:val="21"/>
          <w:highlight w:val="none"/>
          <w:u w:val="single"/>
        </w:rPr>
        <w:t>文件</w:t>
      </w:r>
    </w:p>
    <w:p>
      <w:pPr>
        <w:spacing w:line="360" w:lineRule="exact"/>
        <w:ind w:firstLine="420" w:firstLineChars="200"/>
        <w:jc w:val="center"/>
        <w:rPr>
          <w:rFonts w:hint="eastAsia" w:ascii="宋体" w:hAnsi="宋体" w:cs="宋体"/>
          <w:color w:val="0000FF"/>
          <w:szCs w:val="21"/>
          <w:highlight w:val="yellow"/>
          <w:u w:val="single"/>
        </w:rPr>
      </w:pPr>
      <w:r>
        <w:rPr>
          <w:rFonts w:hint="eastAsia" w:ascii="宋体" w:hAnsi="宋体" w:cs="宋体"/>
          <w:color w:val="0000FF"/>
          <w:szCs w:val="21"/>
          <w:highlight w:val="yellow"/>
          <w:u w:val="single"/>
        </w:rPr>
        <w:t>在</w:t>
      </w:r>
      <w:r>
        <w:rPr>
          <w:rFonts w:hint="eastAsia" w:ascii="宋体" w:hAnsi="宋体" w:cs="宋体"/>
          <w:color w:val="0000FF"/>
          <w:szCs w:val="21"/>
          <w:highlight w:val="yellow"/>
          <w:u w:val="single"/>
          <w:lang w:val="en-US" w:eastAsia="zh-CN"/>
        </w:rPr>
        <w:t>2022</w:t>
      </w:r>
      <w:r>
        <w:rPr>
          <w:rFonts w:hint="eastAsia" w:ascii="宋体" w:hAnsi="宋体" w:cs="宋体"/>
          <w:color w:val="0000FF"/>
          <w:szCs w:val="21"/>
          <w:highlight w:val="yellow"/>
          <w:u w:val="single"/>
        </w:rPr>
        <w:t>年</w:t>
      </w:r>
      <w:r>
        <w:rPr>
          <w:rFonts w:hint="eastAsia" w:ascii="宋体" w:hAnsi="宋体" w:cs="宋体"/>
          <w:color w:val="0000FF"/>
          <w:szCs w:val="21"/>
          <w:highlight w:val="yellow"/>
          <w:u w:val="single"/>
          <w:lang w:val="en-US" w:eastAsia="zh-CN"/>
        </w:rPr>
        <w:t>4</w:t>
      </w:r>
      <w:r>
        <w:rPr>
          <w:rFonts w:hint="eastAsia" w:ascii="宋体" w:hAnsi="宋体" w:cs="宋体"/>
          <w:color w:val="0000FF"/>
          <w:szCs w:val="21"/>
          <w:highlight w:val="yellow"/>
          <w:u w:val="single"/>
        </w:rPr>
        <w:t>月</w:t>
      </w:r>
      <w:r>
        <w:rPr>
          <w:rFonts w:hint="eastAsia" w:ascii="宋体" w:hAnsi="宋体" w:cs="宋体"/>
          <w:color w:val="0000FF"/>
          <w:szCs w:val="21"/>
          <w:highlight w:val="yellow"/>
          <w:u w:val="single"/>
          <w:lang w:val="en-US" w:eastAsia="zh-CN"/>
        </w:rPr>
        <w:t>29</w:t>
      </w:r>
      <w:r>
        <w:rPr>
          <w:rFonts w:hint="eastAsia" w:ascii="宋体" w:hAnsi="宋体" w:cs="宋体"/>
          <w:color w:val="0000FF"/>
          <w:szCs w:val="21"/>
          <w:highlight w:val="yellow"/>
          <w:u w:val="single"/>
        </w:rPr>
        <w:t>日</w:t>
      </w:r>
      <w:r>
        <w:rPr>
          <w:rFonts w:hint="eastAsia" w:ascii="宋体" w:hAnsi="宋体" w:cs="宋体"/>
          <w:color w:val="0000FF"/>
          <w:szCs w:val="21"/>
          <w:highlight w:val="yellow"/>
          <w:u w:val="single"/>
          <w:lang w:val="en-US" w:eastAsia="zh-CN"/>
        </w:rPr>
        <w:t>14</w:t>
      </w:r>
      <w:r>
        <w:rPr>
          <w:rFonts w:hint="eastAsia" w:ascii="宋体" w:hAnsi="宋体" w:cs="宋体"/>
          <w:color w:val="0000FF"/>
          <w:szCs w:val="21"/>
          <w:highlight w:val="yellow"/>
          <w:u w:val="single"/>
        </w:rPr>
        <w:t>时</w:t>
      </w:r>
      <w:r>
        <w:rPr>
          <w:rFonts w:hint="eastAsia" w:ascii="宋体" w:hAnsi="宋体" w:cs="宋体"/>
          <w:color w:val="0000FF"/>
          <w:szCs w:val="21"/>
          <w:highlight w:val="yellow"/>
          <w:u w:val="single"/>
          <w:lang w:val="en-US" w:eastAsia="zh-CN"/>
        </w:rPr>
        <w:t>00</w:t>
      </w:r>
      <w:r>
        <w:rPr>
          <w:rFonts w:hint="eastAsia" w:ascii="宋体" w:hAnsi="宋体" w:cs="宋体"/>
          <w:color w:val="0000FF"/>
          <w:szCs w:val="21"/>
          <w:highlight w:val="yellow"/>
          <w:u w:val="single"/>
        </w:rPr>
        <w:t>分前不得开启</w:t>
      </w:r>
    </w:p>
    <w:p>
      <w:pPr>
        <w:spacing w:line="360" w:lineRule="exact"/>
        <w:ind w:firstLine="422" w:firstLineChars="200"/>
        <w:rPr>
          <w:rFonts w:hint="eastAsia" w:ascii="宋体" w:hAnsi="宋体" w:cs="宋体"/>
          <w:color w:val="auto"/>
          <w:szCs w:val="21"/>
          <w:highlight w:val="none"/>
        </w:rPr>
      </w:pPr>
      <w:r>
        <w:rPr>
          <w:rFonts w:hint="eastAsia" w:ascii="Times New Roman" w:hAnsi="Times New Roman" w:eastAsia="宋体" w:cs="Times New Roman"/>
          <w:b/>
          <w:bCs/>
          <w:color w:val="auto"/>
          <w:kern w:val="2"/>
          <w:sz w:val="21"/>
          <w:szCs w:val="21"/>
          <w:lang w:val="en-US" w:eastAsia="zh-CN"/>
        </w:rPr>
        <w:t>（七）特别提醒</w:t>
      </w:r>
      <w:r>
        <w:rPr>
          <w:rFonts w:hint="eastAsia" w:ascii="Times New Roman" w:hAnsi="Times New Roman" w:eastAsia="宋体" w:cs="Times New Roman"/>
          <w:b/>
          <w:bCs/>
          <w:color w:val="auto"/>
          <w:kern w:val="2"/>
          <w:sz w:val="21"/>
          <w:szCs w:val="21"/>
        </w:rPr>
        <w:t>：若</w:t>
      </w:r>
      <w:r>
        <w:rPr>
          <w:rFonts w:hint="eastAsia" w:ascii="Times New Roman" w:hAnsi="Times New Roman" w:eastAsia="宋体" w:cs="Times New Roman"/>
          <w:b/>
          <w:bCs/>
          <w:color w:val="auto"/>
          <w:kern w:val="2"/>
          <w:sz w:val="21"/>
          <w:szCs w:val="21"/>
          <w:lang w:eastAsia="zh-CN"/>
        </w:rPr>
        <w:t>比选申请人</w:t>
      </w:r>
      <w:r>
        <w:rPr>
          <w:rFonts w:hint="eastAsia" w:ascii="Times New Roman" w:hAnsi="Times New Roman" w:eastAsia="宋体" w:cs="Times New Roman"/>
          <w:b/>
          <w:bCs/>
          <w:color w:val="auto"/>
          <w:kern w:val="2"/>
          <w:sz w:val="21"/>
          <w:szCs w:val="21"/>
        </w:rPr>
        <w:t>恶</w:t>
      </w:r>
      <w:r>
        <w:rPr>
          <w:rFonts w:hint="eastAsia"/>
          <w:b/>
          <w:bCs/>
          <w:color w:val="auto"/>
          <w:kern w:val="2"/>
          <w:sz w:val="21"/>
          <w:szCs w:val="21"/>
        </w:rPr>
        <w:t>意竞标后不与按比选要求与比选人签订合同</w:t>
      </w:r>
      <w:r>
        <w:rPr>
          <w:rFonts w:hint="eastAsia"/>
          <w:b/>
          <w:bCs/>
          <w:color w:val="auto"/>
          <w:kern w:val="2"/>
          <w:sz w:val="21"/>
          <w:szCs w:val="21"/>
          <w:lang w:val="en-US" w:eastAsia="zh-CN"/>
        </w:rPr>
        <w:t>或履约</w:t>
      </w:r>
      <w:r>
        <w:rPr>
          <w:rFonts w:hint="eastAsia"/>
          <w:b/>
          <w:bCs/>
          <w:color w:val="auto"/>
          <w:kern w:val="2"/>
          <w:sz w:val="21"/>
          <w:szCs w:val="21"/>
        </w:rPr>
        <w:t>，比选人将直接将</w:t>
      </w:r>
      <w:r>
        <w:rPr>
          <w:rFonts w:hint="eastAsia" w:ascii="Times New Roman" w:hAnsi="Times New Roman" w:eastAsia="宋体" w:cs="Times New Roman"/>
          <w:b/>
          <w:bCs/>
          <w:color w:val="auto"/>
          <w:kern w:val="2"/>
          <w:sz w:val="21"/>
          <w:szCs w:val="21"/>
          <w:lang w:eastAsia="zh-CN"/>
        </w:rPr>
        <w:t>比选申请人</w:t>
      </w:r>
      <w:r>
        <w:rPr>
          <w:rFonts w:hint="eastAsia"/>
          <w:b/>
          <w:bCs/>
          <w:color w:val="auto"/>
          <w:kern w:val="2"/>
          <w:sz w:val="21"/>
          <w:szCs w:val="21"/>
        </w:rPr>
        <w:t>及其关联单位（含法人代表与委托代理人）一并拉入黑名单，不得参与通力公司所有比选项目报价。</w:t>
      </w:r>
    </w:p>
    <w:p>
      <w:pPr>
        <w:spacing w:line="360" w:lineRule="exact"/>
        <w:ind w:firstLine="420" w:firstLineChars="200"/>
        <w:rPr>
          <w:rFonts w:hint="eastAsia"/>
          <w:color w:val="auto"/>
          <w:szCs w:val="21"/>
          <w:highlight w:val="none"/>
        </w:rPr>
      </w:pPr>
      <w:r>
        <w:rPr>
          <w:rFonts w:hint="eastAsia"/>
          <w:color w:val="auto"/>
          <w:szCs w:val="21"/>
          <w:highlight w:val="none"/>
        </w:rPr>
        <w:t>（八）廉政约定：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highlight w:val="none"/>
        </w:rPr>
      </w:pPr>
      <w:r>
        <w:rPr>
          <w:rFonts w:hint="eastAsia"/>
          <w:color w:val="auto"/>
          <w:szCs w:val="21"/>
          <w:highlight w:val="none"/>
        </w:rPr>
        <w:t>（九）合同（附后）。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联系方式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：重庆通力高速公路养护工程有限公司</w:t>
      </w:r>
    </w:p>
    <w:p>
      <w:pPr>
        <w:spacing w:line="360" w:lineRule="exact"/>
        <w:ind w:firstLine="420" w:firstLineChars="200"/>
        <w:jc w:val="left"/>
        <w:rPr>
          <w:rFonts w:hint="default" w:ascii="宋体" w:hAnsi="宋体" w:eastAsia="宋体" w:cs="宋体"/>
          <w:color w:val="auto"/>
          <w:szCs w:val="21"/>
          <w:highlight w:val="yellow"/>
          <w:lang w:val="en-US" w:eastAsia="zh-CN"/>
        </w:rPr>
      </w:pPr>
      <w:r>
        <w:rPr>
          <w:rFonts w:hint="eastAsia" w:ascii="宋体" w:hAnsi="宋体" w:cs="宋体"/>
          <w:color w:val="auto"/>
          <w:szCs w:val="21"/>
          <w:highlight w:val="none"/>
        </w:rPr>
        <w:t>地址：</w:t>
      </w:r>
      <w:r>
        <w:rPr>
          <w:rFonts w:hint="eastAsia" w:ascii="宋体" w:hAnsi="宋体" w:cs="宋体"/>
          <w:b/>
          <w:bCs/>
          <w:color w:val="0000FF"/>
          <w:szCs w:val="21"/>
          <w:highlight w:val="yellow"/>
        </w:rPr>
        <w:t>重庆通力高速公路养护工程有限公司306室（重庆市沙坪坝区梨高路沙坪坝区档案馆旁）</w:t>
      </w:r>
    </w:p>
    <w:p>
      <w:pPr>
        <w:spacing w:line="36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秦老师  电话：13008306090</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2"/>
        <w:rPr>
          <w:color w:val="auto"/>
          <w:highlight w:val="none"/>
        </w:rPr>
      </w:pPr>
    </w:p>
    <w:p>
      <w:pPr>
        <w:spacing w:line="360" w:lineRule="auto"/>
        <w:jc w:val="center"/>
        <w:rPr>
          <w:rFonts w:hint="eastAsia"/>
          <w:b/>
          <w:color w:val="auto"/>
          <w:sz w:val="24"/>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color w:val="auto"/>
          <w:highlight w:val="none"/>
          <w:lang w:eastAsia="zh-CN"/>
        </w:rPr>
        <w:br w:type="page"/>
      </w:r>
      <w:r>
        <w:rPr>
          <w:rFonts w:hint="eastAsia" w:ascii="宋体" w:hAnsi="宋体" w:cs="宋体"/>
          <w:b/>
          <w:color w:val="auto"/>
          <w:sz w:val="21"/>
          <w:szCs w:val="21"/>
          <w:highlight w:val="none"/>
        </w:rPr>
        <w:t xml:space="preserve">  </w:t>
      </w: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2022年东北营运分公司所辖高速公路路面功能性修复及预防性养护工程（奉云、奉巫、奉溪段）沥青混合料外协加工</w:t>
      </w:r>
      <w:r>
        <w:rPr>
          <w:rFonts w:hint="eastAsia" w:ascii="宋体" w:hAnsi="宋体" w:eastAsia="宋体" w:cs="宋体"/>
          <w:b/>
          <w:sz w:val="28"/>
          <w:szCs w:val="28"/>
        </w:rPr>
        <w:t>合同</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甲  方：</w:t>
      </w:r>
      <w:r>
        <w:rPr>
          <w:rFonts w:hint="eastAsia" w:ascii="宋体" w:hAnsi="宋体" w:eastAsia="宋体" w:cs="宋体"/>
          <w:color w:val="auto"/>
          <w:sz w:val="24"/>
          <w:szCs w:val="24"/>
          <w:highlight w:val="none"/>
          <w:u w:val="single"/>
          <w:lang w:val="en-US" w:eastAsia="zh-CN"/>
        </w:rPr>
        <w:t>重庆通力高速公路养护工程有限公司</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 w:val="22"/>
          <w:szCs w:val="22"/>
          <w:highlight w:val="none"/>
          <w:u w:val="single"/>
          <w:lang w:val="en-US" w:eastAsia="zh-CN"/>
        </w:rPr>
        <w:t>重庆通力高速公路养护工程有限公司306室（重庆市沙坪坝区梨高路沙坪坝区档案馆旁）</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乙  方：</w:t>
      </w:r>
      <w:r>
        <w:rPr>
          <w:rFonts w:hint="eastAsia" w:ascii="宋体" w:hAnsi="宋体" w:cs="宋体"/>
          <w:color w:val="auto"/>
          <w:sz w:val="24"/>
          <w:szCs w:val="24"/>
          <w:highlight w:val="none"/>
          <w:lang w:val="en-US" w:eastAsia="zh-CN"/>
        </w:rPr>
        <w:t>XXXX</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XXXXXX</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甲方因</w:t>
      </w:r>
      <w:r>
        <w:rPr>
          <w:rFonts w:hint="eastAsia" w:ascii="宋体" w:hAnsi="宋体" w:eastAsia="宋体" w:cs="宋体"/>
          <w:b/>
          <w:sz w:val="24"/>
          <w:szCs w:val="24"/>
          <w:u w:val="single"/>
          <w:lang w:val="en-US" w:eastAsia="zh-CN"/>
        </w:rPr>
        <w:t>2022年东北营运分公司所辖高速公路路面功能性修复及预防性养护工程（奉云、奉巫、奉溪段）沥青混合料外协加工</w:t>
      </w:r>
      <w:r>
        <w:rPr>
          <w:rFonts w:hint="eastAsia" w:ascii="宋体" w:hAnsi="宋体" w:eastAsia="宋体" w:cs="宋体"/>
          <w:b w:val="0"/>
          <w:bCs w:val="0"/>
          <w:sz w:val="24"/>
          <w:szCs w:val="24"/>
          <w:u w:val="none"/>
          <w:lang w:val="en-US" w:eastAsia="zh-CN"/>
        </w:rPr>
        <w:t>沥青路面</w:t>
      </w:r>
      <w:r>
        <w:rPr>
          <w:rFonts w:hint="eastAsia" w:ascii="宋体" w:hAnsi="宋体" w:eastAsia="宋体" w:cs="宋体"/>
          <w:sz w:val="24"/>
          <w:szCs w:val="24"/>
        </w:rPr>
        <w:t>施工需要，现将</w:t>
      </w:r>
      <w:r>
        <w:rPr>
          <w:rFonts w:hint="eastAsia" w:ascii="宋体" w:hAnsi="宋体" w:eastAsia="宋体" w:cs="宋体"/>
          <w:b/>
          <w:sz w:val="24"/>
          <w:szCs w:val="24"/>
          <w:u w:val="single"/>
        </w:rPr>
        <w:t>沥青混合料</w:t>
      </w:r>
      <w:r>
        <w:rPr>
          <w:rFonts w:hint="eastAsia" w:ascii="宋体" w:hAnsi="宋体" w:eastAsia="宋体" w:cs="宋体"/>
          <w:b/>
          <w:sz w:val="24"/>
          <w:szCs w:val="24"/>
          <w:u w:val="single"/>
          <w:lang w:eastAsia="zh-CN"/>
        </w:rPr>
        <w:t>加工</w:t>
      </w:r>
      <w:r>
        <w:rPr>
          <w:rFonts w:hint="eastAsia" w:ascii="宋体" w:hAnsi="宋体" w:eastAsia="宋体" w:cs="宋体"/>
          <w:sz w:val="24"/>
          <w:szCs w:val="24"/>
        </w:rPr>
        <w:t>委托给乙方</w:t>
      </w:r>
      <w:r>
        <w:rPr>
          <w:rFonts w:hint="eastAsia" w:ascii="宋体" w:hAnsi="宋体" w:eastAsia="宋体" w:cs="宋体"/>
          <w:sz w:val="24"/>
          <w:szCs w:val="24"/>
          <w:lang w:val="en-US" w:eastAsia="zh-CN"/>
        </w:rPr>
        <w:t>实施</w:t>
      </w:r>
      <w:r>
        <w:rPr>
          <w:rFonts w:hint="eastAsia" w:ascii="宋体" w:hAnsi="宋体" w:eastAsia="宋体" w:cs="宋体"/>
          <w:sz w:val="24"/>
          <w:szCs w:val="24"/>
        </w:rPr>
        <w:t>。为明确双方的责任、权利、义务，依照《中华人民共和国民法典》及其他有关法律法规，双方在遵循平等、自愿、公正、诚信的原则基础上，经共同协商，达成一致意见，特签订本合同</w:t>
      </w:r>
      <w:r>
        <w:rPr>
          <w:rFonts w:hint="eastAsia" w:ascii="宋体" w:hAnsi="宋体" w:eastAsia="宋体" w:cs="宋体"/>
          <w:sz w:val="24"/>
          <w:szCs w:val="24"/>
          <w:lang w:eastAsia="zh-CN"/>
        </w:rPr>
        <w:t>。</w:t>
      </w:r>
    </w:p>
    <w:p>
      <w:pPr>
        <w:pStyle w:val="2"/>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一、具体内容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沥青混合料类型、单价、数量、金额：</w:t>
      </w:r>
    </w:p>
    <w:tbl>
      <w:tblPr>
        <w:tblStyle w:val="21"/>
        <w:tblW w:w="9377" w:type="dxa"/>
        <w:tblInd w:w="98" w:type="dxa"/>
        <w:tblLayout w:type="fixed"/>
        <w:tblCellMar>
          <w:top w:w="0" w:type="dxa"/>
          <w:left w:w="108" w:type="dxa"/>
          <w:bottom w:w="0" w:type="dxa"/>
          <w:right w:w="108" w:type="dxa"/>
        </w:tblCellMar>
      </w:tblPr>
      <w:tblGrid>
        <w:gridCol w:w="854"/>
        <w:gridCol w:w="2096"/>
        <w:gridCol w:w="1197"/>
        <w:gridCol w:w="1102"/>
        <w:gridCol w:w="744"/>
        <w:gridCol w:w="879"/>
        <w:gridCol w:w="1380"/>
        <w:gridCol w:w="1125"/>
      </w:tblGrid>
      <w:tr>
        <w:tblPrEx>
          <w:tblCellMar>
            <w:top w:w="0" w:type="dxa"/>
            <w:left w:w="108" w:type="dxa"/>
            <w:bottom w:w="0" w:type="dxa"/>
            <w:right w:w="108" w:type="dxa"/>
          </w:tblCellMar>
        </w:tblPrEx>
        <w:trPr>
          <w:trHeight w:val="310" w:hRule="atLeast"/>
        </w:trPr>
        <w:tc>
          <w:tcPr>
            <w:tcW w:w="9377" w:type="dxa"/>
            <w:gridSpan w:val="8"/>
            <w:tcBorders>
              <w:top w:val="nil"/>
              <w:left w:val="nil"/>
              <w:bottom w:val="single" w:color="000000" w:sz="8" w:space="0"/>
              <w:right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货币单位: 人民币 元</w:t>
            </w:r>
          </w:p>
        </w:tc>
      </w:tr>
      <w:tr>
        <w:tblPrEx>
          <w:tblCellMar>
            <w:top w:w="0" w:type="dxa"/>
            <w:left w:w="108" w:type="dxa"/>
            <w:bottom w:w="0" w:type="dxa"/>
            <w:right w:w="108" w:type="dxa"/>
          </w:tblCellMar>
        </w:tblPrEx>
        <w:trPr>
          <w:trHeight w:val="54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9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工程位置</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产品规格型号</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石材</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暂定数量</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出场单价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（元/吨）</w:t>
            </w: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金额</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1"/>
                <w:szCs w:val="21"/>
                <w:u w:val="none"/>
                <w:lang w:val="en-US" w:eastAsia="zh-CN" w:bidi="ar"/>
              </w:rPr>
              <w:t>1</w:t>
            </w:r>
          </w:p>
        </w:tc>
        <w:tc>
          <w:tcPr>
            <w:tcW w:w="209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奉云、奉巫、奉溪段高速公路沿线</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SMA-13</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玄武石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13141</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209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AC-13</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玄武石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209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AC-20C</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石灰石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3274</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1"/>
                <w:szCs w:val="21"/>
                <w:u w:val="none"/>
                <w:lang w:val="en-US" w:eastAsia="zh-CN" w:bidi="ar"/>
              </w:rPr>
              <w:t>4</w:t>
            </w:r>
          </w:p>
        </w:tc>
        <w:tc>
          <w:tcPr>
            <w:tcW w:w="209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AC-25C</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石灰石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226</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5993"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16756</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871" w:hRule="atLeast"/>
        </w:trPr>
        <w:tc>
          <w:tcPr>
            <w:tcW w:w="9377" w:type="dxa"/>
            <w:gridSpan w:val="8"/>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备注：</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沥青混合料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升温费、税金、管理费、利润等相关费用。</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2、工程量清单中所列工程数量为暂定数量，不能作为最终结算与支付的依据，最终数量以甲方代表确认的实际生产的合格数量为准。</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3、由甲方组织沥青混合料运输。</w:t>
            </w:r>
          </w:p>
          <w:p>
            <w:pPr>
              <w:keepNext w:val="0"/>
              <w:keepLines w:val="0"/>
              <w:pageBreakBefore w:val="0"/>
              <w:widowControl/>
              <w:numPr>
                <w:ilvl w:val="0"/>
                <w:numId w:val="0"/>
              </w:numPr>
              <w:kinsoku/>
              <w:wordWrap/>
              <w:overflowPunct/>
              <w:topLinePunct w:val="0"/>
              <w:autoSpaceDE/>
              <w:autoSpaceDN/>
              <w:bidi w:val="0"/>
              <w:adjustRightInd/>
              <w:snapToGrid w:val="0"/>
              <w:spacing w:line="312" w:lineRule="auto"/>
              <w:jc w:val="left"/>
              <w:textAlignment w:val="auto"/>
              <w:outlineLvl w:val="9"/>
              <w:rPr>
                <w:rFonts w:hint="eastAsia" w:ascii="宋体" w:hAnsi="宋体" w:eastAsia="宋体" w:cs="宋体"/>
                <w:i w:val="0"/>
                <w:iCs w:val="0"/>
                <w:color w:val="000000"/>
                <w:sz w:val="21"/>
                <w:szCs w:val="21"/>
                <w:u w:val="none"/>
              </w:rPr>
            </w:pPr>
            <w:r>
              <w:rPr>
                <w:rFonts w:hint="eastAsia" w:ascii="宋体" w:hAnsi="宋体" w:eastAsia="宋体" w:cs="宋体"/>
                <w:sz w:val="24"/>
                <w:szCs w:val="22"/>
                <w:lang w:val="en-US" w:eastAsia="zh-CN"/>
              </w:rPr>
              <w:t>4、</w:t>
            </w:r>
            <w:r>
              <w:rPr>
                <w:rFonts w:hint="eastAsia" w:ascii="宋体" w:hAnsi="宋体" w:eastAsia="宋体" w:cs="宋体"/>
                <w:sz w:val="24"/>
                <w:szCs w:val="22"/>
              </w:rPr>
              <w:t>增值税</w:t>
            </w:r>
            <w:r>
              <w:rPr>
                <w:rFonts w:hint="eastAsia" w:ascii="宋体" w:hAnsi="宋体" w:eastAsia="宋体" w:cs="宋体"/>
                <w:sz w:val="24"/>
                <w:szCs w:val="22"/>
                <w:lang w:val="en-US" w:eastAsia="zh-CN"/>
              </w:rPr>
              <w:t>税率为</w:t>
            </w:r>
            <w:r>
              <w:rPr>
                <w:rFonts w:hint="eastAsia" w:ascii="宋体" w:hAnsi="宋体" w:eastAsia="宋体" w:cs="宋体"/>
                <w:color w:val="auto"/>
                <w:sz w:val="24"/>
                <w:szCs w:val="22"/>
                <w:lang w:val="en-US" w:eastAsia="zh-CN"/>
              </w:rPr>
              <w:t xml:space="preserve">13 </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24"/>
          <w:lang w:val="en-US" w:eastAsia="zh-CN" w:bidi="ar-SA"/>
        </w:rPr>
        <w:t>本合同为</w:t>
      </w:r>
      <w:r>
        <w:rPr>
          <w:rFonts w:hint="eastAsia" w:ascii="宋体" w:hAnsi="宋体" w:eastAsia="宋体" w:cs="宋体"/>
          <w:b/>
          <w:bCs/>
          <w:color w:val="auto"/>
          <w:kern w:val="2"/>
          <w:sz w:val="24"/>
          <w:szCs w:val="24"/>
          <w:u w:val="single"/>
          <w:lang w:val="en-US" w:eastAsia="zh-CN" w:bidi="ar-SA"/>
        </w:rPr>
        <w:t>固定单价</w:t>
      </w:r>
      <w:r>
        <w:rPr>
          <w:rFonts w:hint="eastAsia" w:ascii="宋体" w:hAnsi="宋体" w:eastAsia="宋体" w:cs="宋体"/>
          <w:color w:val="auto"/>
          <w:kern w:val="2"/>
          <w:sz w:val="24"/>
          <w:szCs w:val="24"/>
          <w:lang w:val="en-US" w:eastAsia="zh-CN" w:bidi="ar-SA"/>
        </w:rPr>
        <w:t>合同，暂定合同总金额￥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w:t>
      </w:r>
      <w:r>
        <w:rPr>
          <w:rFonts w:hint="eastAsia" w:ascii="宋体" w:hAnsi="宋体" w:eastAsia="宋体" w:cs="宋体"/>
          <w:b/>
          <w:bCs/>
          <w:color w:val="auto"/>
          <w:kern w:val="2"/>
          <w:sz w:val="24"/>
          <w:szCs w:val="24"/>
          <w:lang w:val="en-US" w:eastAsia="zh-CN" w:bidi="ar-SA"/>
        </w:rPr>
        <w:t>大写</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lang w:val="en-US" w:eastAsia="zh-CN" w:bidi="ar-SA"/>
        </w:rPr>
        <w:t>元整）</w:t>
      </w:r>
      <w:r>
        <w:rPr>
          <w:rFonts w:hint="eastAsia" w:ascii="宋体" w:hAnsi="宋体" w:eastAsia="宋体" w:cs="宋体"/>
          <w:color w:val="auto"/>
          <w:kern w:val="2"/>
          <w:sz w:val="24"/>
          <w:szCs w:val="24"/>
          <w:lang w:val="en-US" w:eastAsia="zh-CN" w:bidi="ar-SA"/>
        </w:rPr>
        <w:t>，双方约定的合同单价已包含了全部风险范围的费用，在合同实施期间，工程量清单中的单价将不予调整。</w:t>
      </w:r>
    </w:p>
    <w:p>
      <w:pPr>
        <w:spacing w:line="44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rPr>
        <w:t>2、合同有效时间：</w:t>
      </w:r>
      <w:r>
        <w:rPr>
          <w:rFonts w:hint="eastAsia" w:ascii="宋体" w:hAnsi="宋体" w:eastAsia="宋体" w:cs="宋体"/>
          <w:b/>
          <w:sz w:val="24"/>
          <w:szCs w:val="24"/>
          <w:highlight w:val="none"/>
        </w:rPr>
        <w:t>预计自20</w:t>
      </w: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日～20</w:t>
      </w: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日。</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1.</w:t>
      </w:r>
      <w:r>
        <w:rPr>
          <w:rFonts w:hint="eastAsia" w:ascii="宋体" w:hAnsi="宋体" w:eastAsia="宋体" w:cs="宋体"/>
          <w:sz w:val="24"/>
          <w:szCs w:val="24"/>
        </w:rPr>
        <w:t>3、沥青混合料质量：成品质量检验不低于</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公路沥青路面施工技术规范》JTGF40-2004、《公路工程沥青及沥青混合料试验规程》JTGE20-2011</w:t>
      </w:r>
      <w:r>
        <w:rPr>
          <w:rFonts w:hint="eastAsia" w:ascii="宋体" w:hAnsi="宋体" w:eastAsia="宋体" w:cs="宋体"/>
          <w:sz w:val="24"/>
          <w:szCs w:val="24"/>
        </w:rPr>
        <w:t>要求及甲方级配要求</w:t>
      </w:r>
      <w:r>
        <w:rPr>
          <w:rFonts w:hint="eastAsia" w:ascii="宋体" w:hAnsi="宋体" w:eastAsia="宋体" w:cs="宋体"/>
          <w:sz w:val="24"/>
          <w:szCs w:val="24"/>
          <w:lang w:eastAsia="zh-CN"/>
        </w:rPr>
        <w:t>及质量要求</w:t>
      </w:r>
      <w:r>
        <w:rPr>
          <w:rFonts w:hint="eastAsia" w:ascii="宋体" w:hAnsi="宋体" w:eastAsia="宋体" w:cs="宋体"/>
          <w:sz w:val="24"/>
          <w:szCs w:val="24"/>
        </w:rPr>
        <w:t>。</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4、沥青：由甲方提供SBS改性沥青、70#A级沥青，乙方应提供2个标配沥青罐（每个沥青罐容量≥50吨）供甲方使用，沥青混合料运输由甲方自行负责。</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5、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6、甲方提供原材料包括：</w:t>
      </w:r>
      <w:r>
        <w:rPr>
          <w:rFonts w:hint="eastAsia" w:ascii="宋体" w:hAnsi="宋体" w:eastAsia="宋体" w:cs="宋体"/>
          <w:sz w:val="24"/>
          <w:szCs w:val="22"/>
          <w:lang w:val="en-US" w:eastAsia="zh-CN"/>
        </w:rPr>
        <w:t>沥青、玄武岩、木质素纤维</w:t>
      </w:r>
      <w:r>
        <w:rPr>
          <w:rFonts w:hint="eastAsia" w:ascii="宋体" w:hAnsi="宋体" w:eastAsia="宋体" w:cs="宋体"/>
          <w:sz w:val="24"/>
          <w:szCs w:val="24"/>
        </w:rPr>
        <w:t>。乙方提供原材料包括：生产加工</w:t>
      </w:r>
      <w:r>
        <w:rPr>
          <w:rFonts w:hint="eastAsia" w:ascii="宋体" w:hAnsi="宋体" w:eastAsia="宋体" w:cs="宋体"/>
          <w:sz w:val="24"/>
          <w:szCs w:val="24"/>
          <w:lang w:eastAsia="zh-CN"/>
        </w:rPr>
        <w:t>所需石灰岩碎石</w:t>
      </w:r>
      <w:r>
        <w:rPr>
          <w:rFonts w:hint="eastAsia" w:ascii="宋体" w:hAnsi="宋体" w:eastAsia="宋体" w:cs="宋体"/>
          <w:sz w:val="24"/>
          <w:szCs w:val="24"/>
        </w:rPr>
        <w:t>、所需的外掺新矿粉、石屑、</w:t>
      </w:r>
      <w:r>
        <w:rPr>
          <w:rFonts w:hint="eastAsia" w:ascii="宋体" w:hAnsi="宋体" w:eastAsia="宋体" w:cs="宋体"/>
          <w:sz w:val="24"/>
          <w:szCs w:val="24"/>
          <w:lang w:eastAsia="zh-CN"/>
        </w:rPr>
        <w:t>机械设备、燃油、人工费用</w:t>
      </w:r>
      <w:r>
        <w:rPr>
          <w:rFonts w:hint="eastAsia" w:ascii="宋体" w:hAnsi="宋体" w:eastAsia="宋体" w:cs="宋体"/>
          <w:sz w:val="24"/>
          <w:szCs w:val="24"/>
        </w:rPr>
        <w:t>等。</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7、上述材料加工单价中已包含相关税金，结算时乙方需按甲方要求提供相应的增值税专用发票，且抵扣税率为1</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spacing w:line="440" w:lineRule="exact"/>
        <w:ind w:left="210" w:leftChars="100" w:firstLine="360" w:firstLineChars="150"/>
        <w:jc w:val="left"/>
        <w:rPr>
          <w:rFonts w:hint="eastAsia"/>
          <w:lang w:val="en-US" w:eastAsia="zh-CN"/>
        </w:rPr>
      </w:pPr>
      <w:r>
        <w:rPr>
          <w:rFonts w:hint="eastAsia" w:ascii="宋体" w:hAnsi="宋体" w:eastAsia="宋体" w:cs="宋体"/>
          <w:sz w:val="24"/>
          <w:szCs w:val="24"/>
          <w:lang w:val="en-US" w:eastAsia="zh-CN"/>
        </w:rPr>
        <w:t>1.8、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numPr>
          <w:ilvl w:val="0"/>
          <w:numId w:val="5"/>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履约保证金</w:t>
      </w:r>
      <w:r>
        <w:rPr>
          <w:rFonts w:hint="eastAsia" w:ascii="宋体" w:hAnsi="宋体" w:eastAsia="宋体" w:cs="宋体"/>
          <w:b/>
          <w:bCs/>
          <w:sz w:val="24"/>
          <w:szCs w:val="24"/>
          <w:lang w:eastAsia="zh-CN"/>
        </w:rPr>
        <w:t>：</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1、乙方向甲方“采用从第一次进度支付款中进行扣除的方式”缴纳履约保证金：</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eastAsia="zh-CN"/>
        </w:rPr>
        <w:t>0000元（大写:壹拾万元整）。第一次进度支付款为乙方该项目生产的合格的沥青混合料数量达到合同总量的</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0%时，乙方开具其全额发票，甲方从中扣除</w:t>
      </w:r>
      <w:r>
        <w:rPr>
          <w:rFonts w:hint="eastAsia" w:ascii="宋体" w:hAnsi="宋体" w:eastAsia="宋体" w:cs="宋体"/>
          <w:b w:val="0"/>
          <w:bCs w:val="0"/>
          <w:sz w:val="24"/>
          <w:szCs w:val="24"/>
          <w:lang w:val="en-US" w:eastAsia="zh-CN"/>
        </w:rPr>
        <w:t>100</w:t>
      </w:r>
      <w:r>
        <w:rPr>
          <w:rFonts w:hint="eastAsia" w:ascii="宋体" w:hAnsi="宋体" w:eastAsia="宋体" w:cs="宋体"/>
          <w:b w:val="0"/>
          <w:bCs w:val="0"/>
          <w:sz w:val="24"/>
          <w:szCs w:val="24"/>
          <w:lang w:eastAsia="zh-CN"/>
        </w:rPr>
        <w:t>000元作为履约保证金。</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2、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3、合同有效期间，如果乙方无正当理由单方面解除、终止合同或因乙方原因导致合同无法履行的，甲方将不予退还其履约保证金。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三、计量与费用支付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1、计量：沥青混合料以乙方拌和站过磅（甲方监督）计量，双方签字为准，完工后按双方签字确认的磅单进行结算。</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本项目无预付款，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3.2.1 </w:t>
      </w:r>
      <w:r>
        <w:rPr>
          <w:rFonts w:hint="eastAsia" w:ascii="宋体" w:hAnsi="宋体" w:eastAsia="宋体" w:cs="宋体"/>
          <w:sz w:val="24"/>
          <w:szCs w:val="24"/>
        </w:rPr>
        <w:t>第一次乙方为该项目生产的合格的沥青混合料数量达到合同总量的</w:t>
      </w:r>
      <w:r>
        <w:rPr>
          <w:rFonts w:hint="eastAsia" w:ascii="宋体" w:hAnsi="宋体" w:eastAsia="宋体" w:cs="宋体"/>
          <w:sz w:val="24"/>
          <w:szCs w:val="24"/>
          <w:lang w:val="en-US" w:eastAsia="zh-CN"/>
        </w:rPr>
        <w:t>3</w:t>
      </w:r>
      <w:r>
        <w:rPr>
          <w:rFonts w:hint="eastAsia" w:ascii="宋体" w:hAnsi="宋体" w:eastAsia="宋体" w:cs="宋体"/>
          <w:sz w:val="24"/>
          <w:szCs w:val="24"/>
        </w:rPr>
        <w:t>0%时，乙方开具其全额发票，甲方从中扣除</w:t>
      </w:r>
      <w:r>
        <w:rPr>
          <w:rFonts w:hint="eastAsia" w:ascii="宋体" w:hAnsi="宋体" w:eastAsia="宋体" w:cs="宋体"/>
          <w:sz w:val="24"/>
          <w:szCs w:val="24"/>
          <w:lang w:val="en-US" w:eastAsia="zh-CN"/>
        </w:rPr>
        <w:t>10</w:t>
      </w:r>
      <w:r>
        <w:rPr>
          <w:rFonts w:hint="eastAsia" w:ascii="宋体" w:hAnsi="宋体" w:eastAsia="宋体" w:cs="宋体"/>
          <w:sz w:val="24"/>
          <w:szCs w:val="24"/>
        </w:rPr>
        <w:t>0000元作为履约保证金；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3.2.2 </w:t>
      </w:r>
      <w:r>
        <w:rPr>
          <w:rFonts w:hint="eastAsia" w:ascii="宋体" w:hAnsi="宋体" w:eastAsia="宋体" w:cs="宋体"/>
          <w:sz w:val="24"/>
          <w:szCs w:val="24"/>
        </w:rPr>
        <w:t>第二次乙方为该项目生产的合格的沥青混合料数量达到合同总量的80%时，乙方开具其全额发票；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3.2.3 </w:t>
      </w:r>
      <w:r>
        <w:rPr>
          <w:rFonts w:hint="eastAsia" w:ascii="宋体" w:hAnsi="宋体" w:eastAsia="宋体" w:cs="宋体"/>
          <w:sz w:val="24"/>
          <w:szCs w:val="24"/>
        </w:rPr>
        <w:t>第三次</w:t>
      </w:r>
      <w:r>
        <w:rPr>
          <w:rFonts w:hint="eastAsia" w:ascii="宋体" w:hAnsi="宋体" w:eastAsia="宋体" w:cs="宋体"/>
          <w:sz w:val="24"/>
          <w:szCs w:val="24"/>
          <w:lang w:eastAsia="zh-CN"/>
        </w:rPr>
        <w:t>为完工结算，</w:t>
      </w:r>
      <w:r>
        <w:rPr>
          <w:rFonts w:hint="eastAsia" w:ascii="宋体" w:hAnsi="宋体" w:eastAsia="宋体" w:cs="宋体"/>
          <w:sz w:val="24"/>
          <w:szCs w:val="24"/>
        </w:rPr>
        <w:t>乙方为该项目生产的合格的沥青混合料数量达到合同总量的100%时，乙方开具其全额发票;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3.2.4 </w:t>
      </w:r>
      <w:r>
        <w:rPr>
          <w:rFonts w:hint="eastAsia" w:ascii="宋体" w:hAnsi="宋体" w:eastAsia="宋体" w:cs="宋体"/>
          <w:sz w:val="24"/>
          <w:szCs w:val="24"/>
        </w:rPr>
        <w:t>整个工程验收合格后，甲方再无息退还</w:t>
      </w:r>
      <w:r>
        <w:rPr>
          <w:rFonts w:hint="eastAsia" w:ascii="宋体" w:hAnsi="宋体" w:eastAsia="宋体" w:cs="宋体"/>
          <w:sz w:val="24"/>
          <w:szCs w:val="24"/>
          <w:lang w:val="en-US" w:eastAsia="zh-CN"/>
        </w:rPr>
        <w:t>1</w:t>
      </w:r>
      <w:r>
        <w:rPr>
          <w:rFonts w:hint="eastAsia" w:ascii="宋体" w:hAnsi="宋体" w:eastAsia="宋体" w:cs="宋体"/>
          <w:sz w:val="24"/>
          <w:szCs w:val="24"/>
        </w:rPr>
        <w:t>0000</w:t>
      </w:r>
      <w:r>
        <w:rPr>
          <w:rFonts w:hint="eastAsia" w:ascii="宋体" w:hAnsi="宋体" w:eastAsia="宋体" w:cs="宋体"/>
          <w:sz w:val="24"/>
          <w:szCs w:val="24"/>
          <w:lang w:val="en-US" w:eastAsia="zh-CN"/>
        </w:rPr>
        <w:t>0</w:t>
      </w:r>
      <w:r>
        <w:rPr>
          <w:rFonts w:hint="eastAsia" w:ascii="宋体" w:hAnsi="宋体" w:eastAsia="宋体" w:cs="宋体"/>
          <w:sz w:val="24"/>
          <w:szCs w:val="24"/>
        </w:rPr>
        <w:t>元的履约保证金于乙方。</w:t>
      </w:r>
    </w:p>
    <w:p>
      <w:pPr>
        <w:numPr>
          <w:ilvl w:val="0"/>
          <w:numId w:val="0"/>
        </w:numPr>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 xml:space="preserve">3.2.5 </w:t>
      </w:r>
      <w:r>
        <w:rPr>
          <w:rFonts w:hint="eastAsia" w:ascii="宋体" w:hAnsi="宋体" w:eastAsia="宋体" w:cs="宋体"/>
          <w:kern w:val="0"/>
          <w:sz w:val="24"/>
          <w:szCs w:val="24"/>
        </w:rPr>
        <w:t>剩余材料处理</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工程完工后，乙方自购的剩余原材料不予以计量，乙方不得以任何理由要求甲方给予相关补偿，乙方可自行处理，甲方不承担任何费用。</w:t>
      </w:r>
    </w:p>
    <w:p>
      <w:pPr>
        <w:numPr>
          <w:ilvl w:val="0"/>
          <w:numId w:val="0"/>
        </w:numPr>
        <w:adjustRightInd w:val="0"/>
        <w:spacing w:line="48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3.2.6 </w:t>
      </w:r>
      <w:r>
        <w:rPr>
          <w:rFonts w:hint="eastAsia" w:ascii="宋体" w:hAnsi="宋体" w:eastAsia="宋体" w:cs="宋体"/>
          <w:kern w:val="0"/>
          <w:sz w:val="24"/>
          <w:szCs w:val="24"/>
          <w:lang w:val="en-US" w:eastAsia="zh-CN"/>
        </w:rPr>
        <w:t>材料损耗</w:t>
      </w:r>
    </w:p>
    <w:p>
      <w:pPr>
        <w:numPr>
          <w:ilvl w:val="0"/>
          <w:numId w:val="0"/>
        </w:numPr>
        <w:adjustRightInd w:val="0"/>
        <w:spacing w:line="480" w:lineRule="exact"/>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乙方加工的沥青混合料中由甲方提供的各类石材（各档玄武岩碎石），以甲方提供的生产配合比为依据进行计算并视不高于3%的损耗为正常损耗，由乙方负责承担超出3%损耗的各类石材（各档玄武岩碎石）的相关材料费（以甲方运到乙方场地的实际合同单价*超出部分数量），超出的相关材料费用由甲方在结算金额中直接扣回。</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乙方加工的沥青混合料中由甲方提供的沥青</w:t>
      </w:r>
      <w:r>
        <w:rPr>
          <w:rFonts w:hint="eastAsia" w:ascii="宋体" w:hAnsi="宋体" w:eastAsia="宋体" w:cs="宋体"/>
          <w:kern w:val="0"/>
          <w:sz w:val="24"/>
          <w:szCs w:val="24"/>
          <w:lang w:eastAsia="zh-CN"/>
        </w:rPr>
        <w:t>、木质素纤维</w:t>
      </w:r>
      <w:r>
        <w:rPr>
          <w:rFonts w:hint="eastAsia" w:ascii="宋体" w:hAnsi="宋体" w:eastAsia="宋体" w:cs="宋体"/>
          <w:kern w:val="0"/>
          <w:sz w:val="24"/>
          <w:szCs w:val="24"/>
        </w:rPr>
        <w:t>按甲方提供的生产配合比为依据进行计算，由乙方负责承担超出部分的相关沥青费用（以甲方运到乙方场地的实际合同单价*超出部分数量），超出部分的沥青费用由甲方在结算金额中直接扣回</w:t>
      </w:r>
      <w:r>
        <w:rPr>
          <w:rFonts w:hint="eastAsia" w:ascii="宋体" w:hAnsi="宋体" w:eastAsia="宋体" w:cs="宋体"/>
          <w:kern w:val="0"/>
          <w:sz w:val="24"/>
          <w:szCs w:val="24"/>
          <w:highlight w:val="none"/>
        </w:rPr>
        <w:t>，剩余沥青</w:t>
      </w:r>
      <w:r>
        <w:rPr>
          <w:rFonts w:hint="eastAsia" w:ascii="宋体" w:hAnsi="宋体" w:eastAsia="宋体" w:cs="宋体"/>
          <w:kern w:val="0"/>
          <w:sz w:val="24"/>
          <w:szCs w:val="24"/>
          <w:highlight w:val="none"/>
          <w:lang w:eastAsia="zh-CN"/>
        </w:rPr>
        <w:t>、玄武岩、木质素纤维</w:t>
      </w:r>
      <w:r>
        <w:rPr>
          <w:rFonts w:hint="eastAsia" w:ascii="宋体" w:hAnsi="宋体" w:eastAsia="宋体" w:cs="宋体"/>
          <w:kern w:val="0"/>
          <w:sz w:val="24"/>
          <w:szCs w:val="24"/>
          <w:highlight w:val="none"/>
        </w:rPr>
        <w:t>由</w:t>
      </w:r>
      <w:r>
        <w:rPr>
          <w:rFonts w:hint="eastAsia" w:ascii="宋体" w:hAnsi="宋体" w:eastAsia="宋体" w:cs="宋体"/>
          <w:kern w:val="0"/>
          <w:sz w:val="24"/>
          <w:szCs w:val="24"/>
        </w:rPr>
        <w:t>甲方自行运回。</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四、双方的权利和义务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4"/>
        </w:rPr>
        <w:t>甲方权利和义务：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1、在沥青混合料生产前组织应由甲方提供的沥青进场，提交地点为乙方沥青砼拌和站</w:t>
      </w:r>
      <w:r>
        <w:rPr>
          <w:rFonts w:hint="eastAsia" w:ascii="宋体" w:hAnsi="宋体" w:eastAsia="宋体" w:cs="宋体"/>
          <w:sz w:val="24"/>
          <w:szCs w:val="24"/>
          <w:lang w:eastAsia="zh-CN"/>
        </w:rPr>
        <w:t>，</w:t>
      </w:r>
      <w:r>
        <w:rPr>
          <w:rFonts w:hint="eastAsia" w:ascii="宋体" w:hAnsi="宋体" w:eastAsia="宋体" w:cs="宋体"/>
          <w:sz w:val="24"/>
          <w:szCs w:val="24"/>
        </w:rPr>
        <w:t xml:space="preserve">确保运输到场的沥青合格。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2、提前</w:t>
      </w:r>
      <w:r>
        <w:rPr>
          <w:rFonts w:hint="eastAsia" w:ascii="宋体" w:hAnsi="宋体" w:eastAsia="宋体" w:cs="宋体"/>
          <w:b/>
          <w:sz w:val="24"/>
          <w:szCs w:val="24"/>
          <w:u w:val="single"/>
        </w:rPr>
        <w:t>1</w:t>
      </w:r>
      <w:r>
        <w:rPr>
          <w:rFonts w:hint="eastAsia" w:ascii="宋体" w:hAnsi="宋体" w:eastAsia="宋体" w:cs="宋体"/>
          <w:sz w:val="24"/>
          <w:szCs w:val="24"/>
        </w:rPr>
        <w:t>个工作日以短信通知形式向乙方提供生产计划，以便乙方按产量组织生产，并保证生产的连续性；生产当日的需求由甲方项目负责人现场确定是否开机生产。</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 xml:space="preserve">3、在乙方生产沥青混合料期间，派现场管理、技术及实验人员进驻现场，负责与乙方拌和站、实验室的协调、对所有原材料进行过磅计量、试验检测以及以上各档沥青混合料的配合比调整等相关事宜。甲方派驻人员必须严格遵守乙方拌和站安全生产操作规范及有关规章制度。  </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4、在合同执行期间，若因甲方通知不及时造成生产的沥青混合料不能及时运出而产生废弃等责任由甲方承担。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5、甲方有义务对乙方出具的结算资料（加盖乙方公章）进行确认,甲方收到结算资料15个工作日内未提出异议的,视为认可该结算资料的数量和金额有效。</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6、按合同约定时间及数额支付沥青混合料生产费用。</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7、甲方支付方式按银行转账</w:t>
      </w:r>
      <w:r>
        <w:rPr>
          <w:rFonts w:hint="eastAsia" w:ascii="宋体" w:hAnsi="宋体" w:eastAsia="宋体" w:cs="宋体"/>
          <w:sz w:val="24"/>
          <w:szCs w:val="24"/>
          <w:lang w:eastAsia="zh-CN"/>
        </w:rPr>
        <w:t>支付</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4.2 </w:t>
      </w:r>
      <w:r>
        <w:rPr>
          <w:rFonts w:hint="eastAsia" w:ascii="宋体" w:hAnsi="宋体" w:eastAsia="宋体" w:cs="宋体"/>
          <w:sz w:val="24"/>
          <w:szCs w:val="24"/>
        </w:rPr>
        <w:t>乙方权利和义务：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1、乙方确保其站内各称重计量系统（含搅拌设备计量系统）在有效的标定期内均处于完好状态，并向甲方提供检测报告原件及复印件，如因乙方设备因素导致沥青混合料质量出现问题，造成的一切损失由乙方承担，并且甲方有权从支付乙方加工费中直接扣回。</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2、乙方应对整个沥青混合料的生产质量负责(包括沥青混合料出料温度、油石比及计量等应满足《公路沥青路面施工技术规范》（JTGF40-2004）要求及甲方生产级配要求)，确保沥青混合料生产质量合格。若沥青混合料双方现场鉴证抽检不合格，经双方共同认定如为乙方责任，则乙方应承担由</w:t>
      </w:r>
      <w:r>
        <w:rPr>
          <w:rFonts w:hint="eastAsia" w:ascii="宋体" w:hAnsi="宋体" w:eastAsia="宋体" w:cs="宋体"/>
          <w:sz w:val="24"/>
          <w:szCs w:val="24"/>
          <w:lang w:eastAsia="zh-CN"/>
        </w:rPr>
        <w:t>自身原因</w:t>
      </w:r>
      <w:r>
        <w:rPr>
          <w:rFonts w:hint="eastAsia" w:ascii="宋体" w:hAnsi="宋体" w:eastAsia="宋体" w:cs="宋体"/>
          <w:sz w:val="24"/>
          <w:szCs w:val="24"/>
        </w:rPr>
        <w:t>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3、生产期间，配备拌和设备操作人员2人、装载机操作人员</w:t>
      </w:r>
      <w:r>
        <w:rPr>
          <w:rFonts w:hint="eastAsia" w:ascii="宋体" w:hAnsi="宋体" w:eastAsia="宋体" w:cs="宋体"/>
          <w:sz w:val="24"/>
          <w:szCs w:val="24"/>
          <w:lang w:val="en-US" w:eastAsia="zh-CN"/>
        </w:rPr>
        <w:t>2</w:t>
      </w:r>
      <w:r>
        <w:rPr>
          <w:rFonts w:hint="eastAsia" w:ascii="宋体" w:hAnsi="宋体" w:eastAsia="宋体" w:cs="宋体"/>
          <w:sz w:val="24"/>
          <w:szCs w:val="24"/>
        </w:rPr>
        <w:t>人、设备维修人员2人及生产辅助人员3人以上，并确保设备维修保养及时，中途发生故障，务必确保在24小时内修复，且按甲方要求的时间及沥青混合料级配组织生产。</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4、保证按照甲方职责的第2条要求及时进行生产；若因其他原因，不能满足甲方需求，应提前告知甲方并协调解决。</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5、加强生产期间的安全教育和采取相应的安全措施，并自行承担生产、运输期间因拌和站或运输车辆引发的相应安全责任事故（如导热油锅炉、管道、供电线路、车辆等引发的安全责任事故）。</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4.2.</w:t>
      </w:r>
      <w:r>
        <w:rPr>
          <w:rFonts w:hint="eastAsia" w:ascii="宋体" w:hAnsi="宋体" w:eastAsia="宋体" w:cs="宋体"/>
          <w:sz w:val="24"/>
          <w:szCs w:val="24"/>
        </w:rPr>
        <w:t>6、拌和楼出现故障、停电等原因致使不能按甲方要求供料，乙方应及时告知甲方，并确保在24小时内修复（特殊故障、供电部门停电、自然灾害等不可抗力因素等除外），否则承担由此造成的一切责任。</w:t>
      </w:r>
    </w:p>
    <w:p>
      <w:pPr>
        <w:spacing w:line="44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4.2.7、生产期间，乙方若因环保方面问题造成停工整顿无法正常生产时，乙方应承担对甲方造成的人员误工、设备停滞等</w:t>
      </w:r>
      <w:r>
        <w:rPr>
          <w:rFonts w:hint="eastAsia" w:ascii="宋体" w:hAnsi="宋体" w:cs="宋体"/>
          <w:b/>
          <w:bCs/>
          <w:sz w:val="24"/>
          <w:szCs w:val="24"/>
          <w:lang w:val="en-US" w:eastAsia="zh-CN"/>
        </w:rPr>
        <w:t>每天</w:t>
      </w:r>
      <w:r>
        <w:rPr>
          <w:rFonts w:hint="eastAsia" w:ascii="宋体" w:hAnsi="宋体" w:eastAsia="宋体" w:cs="宋体"/>
          <w:b/>
          <w:bCs/>
          <w:sz w:val="24"/>
          <w:szCs w:val="24"/>
          <w:lang w:val="en-US" w:eastAsia="zh-CN"/>
        </w:rPr>
        <w:t>2万元的相应赔偿</w:t>
      </w:r>
      <w:r>
        <w:rPr>
          <w:rFonts w:hint="eastAsia" w:ascii="宋体" w:hAnsi="宋体" w:eastAsia="宋体" w:cs="宋体"/>
          <w:sz w:val="24"/>
          <w:szCs w:val="24"/>
          <w:lang w:val="en-US" w:eastAsia="zh-CN"/>
        </w:rPr>
        <w:t>，且停产时间超过三天，甲方有权中止此合同</w:t>
      </w:r>
      <w:r>
        <w:rPr>
          <w:rFonts w:hint="eastAsia" w:ascii="宋体" w:hAnsi="宋体" w:cs="宋体"/>
          <w:sz w:val="24"/>
          <w:szCs w:val="24"/>
          <w:lang w:val="en-US" w:eastAsia="zh-CN"/>
        </w:rPr>
        <w:t>。</w:t>
      </w:r>
    </w:p>
    <w:p>
      <w:pPr>
        <w:spacing w:line="440" w:lineRule="exact"/>
        <w:ind w:firstLine="480" w:firstLineChars="200"/>
        <w:rPr>
          <w:rFonts w:hint="eastAsia"/>
        </w:rPr>
      </w:pPr>
      <w:r>
        <w:rPr>
          <w:rFonts w:hint="eastAsia" w:ascii="宋体" w:hAnsi="宋体" w:eastAsia="宋体" w:cs="宋体"/>
          <w:sz w:val="24"/>
          <w:szCs w:val="24"/>
          <w:lang w:val="en-US" w:eastAsia="zh-CN"/>
        </w:rPr>
        <w:t>4.2.</w:t>
      </w:r>
      <w:r>
        <w:rPr>
          <w:rFonts w:hint="eastAsia" w:ascii="宋体" w:hAnsi="宋体" w:eastAsia="宋体" w:cs="宋体"/>
          <w:sz w:val="24"/>
          <w:szCs w:val="24"/>
        </w:rPr>
        <w:t>8、生产期间，免费提供甲方管理人员、实验检测人员及其他相关人员住宿及伙食。</w:t>
      </w:r>
    </w:p>
    <w:p>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eastAsia="宋体"/>
          <w:lang w:val="en-US" w:eastAsia="zh-CN"/>
        </w:rPr>
      </w:pPr>
      <w:r>
        <w:rPr>
          <w:rFonts w:hint="eastAsia" w:ascii="宋体" w:hAnsi="宋体" w:eastAsia="宋体" w:cs="宋体"/>
          <w:sz w:val="24"/>
          <w:szCs w:val="24"/>
          <w:lang w:val="en-US" w:eastAsia="zh-CN"/>
        </w:rPr>
        <w:t>4.2.9、</w:t>
      </w:r>
      <w:r>
        <w:rPr>
          <w:rFonts w:hint="eastAsia" w:ascii="宋体" w:hAnsi="宋体" w:eastAsia="宋体" w:cs="宋体"/>
          <w:sz w:val="24"/>
          <w:szCs w:val="24"/>
        </w:rPr>
        <w:t>在合同有效期内，乙方配合甲方按时完成生产任务，如确因自有工程项目施工需要，应于实施前与甲方协商，适时调整生产作业时间（如：调整白、夜班生产时间），确保甲方施工所需沥青混合料的及时生产，否则，乙方应承担由此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cs="宋体"/>
          <w:sz w:val="24"/>
          <w:szCs w:val="24"/>
          <w:lang w:val="en-US" w:eastAsia="zh-CN"/>
        </w:rPr>
        <w:t>10</w:t>
      </w:r>
      <w:r>
        <w:rPr>
          <w:rFonts w:hint="eastAsia" w:ascii="宋体" w:hAnsi="宋体" w:eastAsia="宋体" w:cs="宋体"/>
          <w:sz w:val="24"/>
          <w:szCs w:val="24"/>
        </w:rPr>
        <w:t>、按双方约定时间及生产数量，开据有效的发票。</w:t>
      </w:r>
    </w:p>
    <w:p>
      <w:pPr>
        <w:spacing w:line="360" w:lineRule="auto"/>
        <w:textAlignment w:val="baseline"/>
        <w:rPr>
          <w:rFonts w:hint="eastAsia" w:ascii="宋体" w:hAnsi="宋体" w:eastAsia="宋体" w:cs="宋体"/>
          <w:b/>
          <w:sz w:val="24"/>
          <w:szCs w:val="24"/>
        </w:rPr>
      </w:pPr>
    </w:p>
    <w:p>
      <w:pPr>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五、验收标准、方法</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出场材料由甲、乙双方现场代表负责初检（初检指标包括：外观颜色、外观洁净程度、表观级配等），甲方试验检测人员根据相关要求的自检频率对沥青混合料各项技术标准进行严格检测，不合格沥青混合料严禁运出乙方拌合站，若因此导致甲方影响项目工期，由此造成的损失由乙方承担。</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color w:val="000000"/>
          <w:kern w:val="0"/>
          <w:sz w:val="24"/>
          <w:szCs w:val="24"/>
        </w:rPr>
        <w:t>如在检测中发现有不合格、不满足技术要求的，乙方有争议的，</w:t>
      </w:r>
      <w:r>
        <w:rPr>
          <w:rFonts w:hint="eastAsia" w:ascii="宋体" w:hAnsi="宋体" w:eastAsia="宋体" w:cs="宋体"/>
          <w:sz w:val="24"/>
          <w:szCs w:val="24"/>
        </w:rPr>
        <w:t>可委托经甲乙双方认可的第三方检测机构进行检测，检测</w:t>
      </w:r>
      <w:r>
        <w:rPr>
          <w:rFonts w:hint="eastAsia" w:ascii="宋体" w:hAnsi="宋体" w:eastAsia="宋体" w:cs="宋体"/>
          <w:color w:val="000000"/>
          <w:kern w:val="0"/>
          <w:sz w:val="24"/>
          <w:szCs w:val="24"/>
        </w:rPr>
        <w:t>费用先由乙方垫付，最终由相应责任方承担（如合格费用由甲方支付，如不合格费用由乙方支付）。</w:t>
      </w:r>
      <w:r>
        <w:rPr>
          <w:rFonts w:hint="eastAsia" w:ascii="宋体" w:hAnsi="宋体" w:eastAsia="宋体" w:cs="宋体"/>
          <w:sz w:val="24"/>
          <w:szCs w:val="24"/>
        </w:rPr>
        <w:t>发生产品质量责任问题，乙方须承担由</w:t>
      </w:r>
      <w:r>
        <w:rPr>
          <w:rFonts w:hint="eastAsia" w:ascii="宋体" w:hAnsi="宋体" w:eastAsia="宋体" w:cs="宋体"/>
          <w:sz w:val="24"/>
          <w:szCs w:val="24"/>
          <w:lang w:eastAsia="zh-CN"/>
        </w:rPr>
        <w:t>自身原因</w:t>
      </w:r>
      <w:r>
        <w:rPr>
          <w:rFonts w:hint="eastAsia" w:ascii="宋体" w:hAnsi="宋体" w:eastAsia="宋体" w:cs="宋体"/>
          <w:sz w:val="24"/>
          <w:szCs w:val="24"/>
        </w:rPr>
        <w:t>造成的一切损失及费用。</w:t>
      </w:r>
    </w:p>
    <w:p>
      <w:pPr>
        <w:spacing w:line="360" w:lineRule="auto"/>
        <w:rPr>
          <w:rFonts w:hint="eastAsia" w:ascii="宋体" w:hAnsi="宋体" w:eastAsia="宋体" w:cs="宋体"/>
          <w:b/>
          <w:color w:val="auto"/>
          <w:sz w:val="24"/>
          <w:szCs w:val="24"/>
          <w:u w:val="none"/>
        </w:rPr>
      </w:pPr>
      <w:r>
        <w:rPr>
          <w:rFonts w:hint="eastAsia" w:ascii="宋体" w:hAnsi="宋体" w:eastAsia="宋体" w:cs="宋体"/>
          <w:b/>
          <w:bCs/>
          <w:color w:val="auto"/>
          <w:sz w:val="24"/>
          <w:szCs w:val="24"/>
          <w:u w:val="none"/>
        </w:rPr>
        <w:t>六</w:t>
      </w:r>
      <w:r>
        <w:rPr>
          <w:rFonts w:hint="eastAsia" w:ascii="宋体" w:hAnsi="宋体" w:eastAsia="宋体" w:cs="宋体"/>
          <w:color w:val="auto"/>
          <w:sz w:val="24"/>
          <w:szCs w:val="24"/>
          <w:u w:val="none"/>
        </w:rPr>
        <w:t>、</w:t>
      </w:r>
      <w:commentRangeStart w:id="1"/>
      <w:r>
        <w:rPr>
          <w:rFonts w:hint="eastAsia" w:ascii="宋体" w:hAnsi="宋体" w:eastAsia="宋体" w:cs="宋体"/>
          <w:b/>
          <w:color w:val="auto"/>
          <w:sz w:val="24"/>
          <w:szCs w:val="24"/>
          <w:u w:val="none"/>
        </w:rPr>
        <w:t>发票的开具</w:t>
      </w:r>
      <w:commentRangeEnd w:id="1"/>
      <w:r>
        <w:rPr>
          <w:rStyle w:val="25"/>
          <w:rFonts w:hint="eastAsia" w:ascii="宋体" w:hAnsi="宋体" w:eastAsia="宋体" w:cs="宋体"/>
          <w:color w:val="auto"/>
          <w:sz w:val="24"/>
          <w:szCs w:val="24"/>
          <w:u w:val="none"/>
        </w:rPr>
        <w:commentReference w:id="1"/>
      </w:r>
    </w:p>
    <w:p>
      <w:pPr>
        <w:adjustRightInd w:val="0"/>
        <w:snapToGrid w:val="0"/>
        <w:spacing w:line="440" w:lineRule="exact"/>
        <w:ind w:firstLine="405" w:firstLineChars="169"/>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1、沥青混合料加工的全额发票由乙方开具</w:t>
      </w:r>
      <w:r>
        <w:rPr>
          <w:rFonts w:hint="eastAsia" w:ascii="宋体" w:hAnsi="宋体" w:eastAsia="宋体" w:cs="宋体"/>
          <w:color w:val="auto"/>
          <w:sz w:val="24"/>
          <w:szCs w:val="24"/>
          <w:lang w:eastAsia="zh-CN"/>
        </w:rPr>
        <w:t>真实有效的</w:t>
      </w:r>
      <w:r>
        <w:rPr>
          <w:rFonts w:hint="eastAsia" w:ascii="宋体" w:hAnsi="宋体" w:eastAsia="宋体" w:cs="宋体"/>
          <w:b/>
          <w:color w:val="auto"/>
          <w:sz w:val="24"/>
          <w:szCs w:val="24"/>
        </w:rPr>
        <w:t>增值税专用发票（抵扣税率13%）</w:t>
      </w:r>
      <w:r>
        <w:rPr>
          <w:rFonts w:hint="eastAsia" w:ascii="宋体" w:hAnsi="宋体" w:eastAsia="宋体" w:cs="宋体"/>
          <w:color w:val="auto"/>
          <w:sz w:val="24"/>
          <w:szCs w:val="24"/>
        </w:rPr>
        <w:t>给甲方，发票单位名称为本合同甲乙双方全称（销售发票中已包含</w:t>
      </w:r>
      <w:r>
        <w:rPr>
          <w:rFonts w:hint="eastAsia" w:ascii="宋体" w:hAnsi="宋体" w:eastAsia="宋体" w:cs="宋体"/>
          <w:color w:val="auto"/>
          <w:sz w:val="24"/>
          <w:szCs w:val="24"/>
          <w:lang w:eastAsia="zh-CN"/>
        </w:rPr>
        <w:t>乙方所供材料</w:t>
      </w:r>
      <w:r>
        <w:rPr>
          <w:rFonts w:hint="eastAsia" w:ascii="宋体" w:hAnsi="宋体" w:eastAsia="宋体" w:cs="宋体"/>
          <w:color w:val="auto"/>
          <w:sz w:val="24"/>
          <w:szCs w:val="24"/>
        </w:rPr>
        <w:t>运输费，</w:t>
      </w:r>
      <w:r>
        <w:rPr>
          <w:rFonts w:hint="eastAsia" w:ascii="宋体" w:hAnsi="宋体" w:eastAsia="宋体" w:cs="宋体"/>
          <w:color w:val="auto"/>
          <w:sz w:val="24"/>
          <w:szCs w:val="24"/>
          <w:lang w:eastAsia="zh-CN"/>
        </w:rPr>
        <w:t>此</w:t>
      </w:r>
      <w:r>
        <w:rPr>
          <w:rFonts w:hint="eastAsia" w:ascii="宋体" w:hAnsi="宋体" w:eastAsia="宋体" w:cs="宋体"/>
          <w:color w:val="auto"/>
          <w:sz w:val="24"/>
          <w:szCs w:val="24"/>
        </w:rPr>
        <w:t>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2、乙方应按照甲方要求，及时向甲方开具可以抵扣税款的</w:t>
      </w:r>
      <w:r>
        <w:rPr>
          <w:rFonts w:hint="eastAsia" w:ascii="宋体" w:hAnsi="宋体" w:eastAsia="宋体" w:cs="宋体"/>
          <w:color w:val="auto"/>
          <w:sz w:val="24"/>
          <w:szCs w:val="24"/>
          <w:lang w:eastAsia="zh-CN"/>
        </w:rPr>
        <w:t>有效</w:t>
      </w:r>
      <w:r>
        <w:rPr>
          <w:rFonts w:hint="eastAsia" w:ascii="宋体" w:hAnsi="宋体" w:eastAsia="宋体" w:cs="宋体"/>
          <w:color w:val="auto"/>
          <w:sz w:val="24"/>
          <w:szCs w:val="24"/>
        </w:rPr>
        <w:t>增值税专用发票。因乙方开具发票不及时给甲方造成无法及时认证、抵扣发票等</w:t>
      </w:r>
      <w:r>
        <w:rPr>
          <w:rFonts w:hint="eastAsia" w:ascii="宋体" w:hAnsi="宋体" w:eastAsia="宋体" w:cs="宋体"/>
          <w:sz w:val="24"/>
          <w:szCs w:val="24"/>
        </w:rPr>
        <w:t>情形的，乙方需向甲方承担赔偿责任，包括但不限于税款、滞纳金、罚款及相关损失等。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tabs>
          <w:tab w:val="left" w:pos="5880"/>
        </w:tabs>
        <w:spacing w:line="440" w:lineRule="exact"/>
        <w:rPr>
          <w:rFonts w:hint="eastAsia" w:ascii="宋体" w:hAnsi="宋体" w:eastAsia="宋体" w:cs="宋体"/>
          <w:b/>
          <w:sz w:val="24"/>
          <w:szCs w:val="24"/>
        </w:rPr>
      </w:pPr>
      <w:r>
        <w:rPr>
          <w:rFonts w:hint="eastAsia" w:ascii="宋体" w:hAnsi="宋体" w:eastAsia="宋体" w:cs="宋体"/>
          <w:sz w:val="24"/>
          <w:szCs w:val="24"/>
        </w:rPr>
        <w:t>七</w:t>
      </w:r>
      <w:r>
        <w:rPr>
          <w:rFonts w:hint="eastAsia" w:ascii="宋体" w:hAnsi="宋体" w:eastAsia="宋体" w:cs="宋体"/>
          <w:b/>
          <w:sz w:val="24"/>
          <w:szCs w:val="24"/>
        </w:rPr>
        <w:t>、违约责任</w:t>
      </w:r>
      <w:r>
        <w:rPr>
          <w:rFonts w:hint="eastAsia" w:ascii="宋体" w:hAnsi="宋体" w:eastAsia="宋体" w:cs="宋体"/>
          <w:b/>
          <w:sz w:val="24"/>
          <w:szCs w:val="24"/>
        </w:rPr>
        <w:tab/>
      </w:r>
    </w:p>
    <w:p>
      <w:pPr>
        <w:spacing w:line="440" w:lineRule="exact"/>
        <w:ind w:firstLine="480" w:firstLineChars="200"/>
        <w:rPr>
          <w:rFonts w:hint="eastAsia" w:ascii="宋体" w:hAnsi="宋体" w:eastAsia="宋体" w:cs="宋体"/>
          <w:sz w:val="24"/>
          <w:szCs w:val="24"/>
        </w:rPr>
      </w:pPr>
      <w:commentRangeStart w:id="2"/>
      <w:r>
        <w:rPr>
          <w:rFonts w:hint="eastAsia" w:ascii="宋体" w:hAnsi="宋体" w:eastAsia="宋体" w:cs="宋体"/>
          <w:sz w:val="24"/>
          <w:szCs w:val="24"/>
        </w:rPr>
        <w:t>若任何一方违反本合同约定应履行的义务，守约方有权请求违约方立即纠正并采取补救措施，违约方拒绝纠正或采取补救措施，导致本协议无法继续履行，由违约方向守约方支付相当于协议总额</w:t>
      </w:r>
      <w:r>
        <w:rPr>
          <w:rFonts w:hint="eastAsia" w:ascii="宋体" w:hAnsi="宋体" w:eastAsia="宋体" w:cs="宋体"/>
          <w:sz w:val="24"/>
          <w:szCs w:val="24"/>
          <w:u w:val="single"/>
        </w:rPr>
        <w:t xml:space="preserve">  10 </w:t>
      </w:r>
      <w:r>
        <w:rPr>
          <w:rFonts w:hint="eastAsia" w:ascii="宋体" w:hAnsi="宋体" w:eastAsia="宋体" w:cs="宋体"/>
          <w:sz w:val="24"/>
          <w:szCs w:val="24"/>
        </w:rPr>
        <w:t>％的违约金，违约金不足以弥补守约方损失的，违约方应当继续补足赔偿。</w:t>
      </w:r>
      <w:commentRangeEnd w:id="2"/>
      <w:r>
        <w:rPr>
          <w:rFonts w:hint="eastAsia" w:ascii="宋体" w:hAnsi="宋体" w:eastAsia="宋体" w:cs="宋体"/>
          <w:sz w:val="24"/>
          <w:szCs w:val="24"/>
        </w:rPr>
        <w:commentReference w:id="2"/>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八、争议的处理</w:t>
      </w:r>
    </w:p>
    <w:p>
      <w:pPr>
        <w:pStyle w:val="11"/>
        <w:spacing w:line="440" w:lineRule="exact"/>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合同履行过程中，若出现争议，双方本着友好协商解决，若协商不成，可提请重庆仲裁委员会仲裁。</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九、</w:t>
      </w:r>
      <w:r>
        <w:rPr>
          <w:rFonts w:hint="eastAsia" w:ascii="宋体" w:hAnsi="宋体" w:eastAsia="宋体" w:cs="宋体"/>
          <w:sz w:val="24"/>
          <w:szCs w:val="24"/>
        </w:rPr>
        <w:t>合同签约地点：</w:t>
      </w:r>
      <w:r>
        <w:rPr>
          <w:rFonts w:hint="eastAsia" w:ascii="宋体" w:hAnsi="宋体" w:eastAsia="宋体" w:cs="宋体"/>
          <w:b w:val="0"/>
          <w:bCs/>
          <w:sz w:val="24"/>
          <w:szCs w:val="24"/>
          <w:u w:val="none"/>
        </w:rPr>
        <w:t>重庆市沙坪坝区梨高路沙坪坝区档案馆旁重庆市公路养护管理段三楼</w:t>
      </w:r>
      <w:r>
        <w:rPr>
          <w:rFonts w:hint="eastAsia" w:ascii="宋体" w:hAnsi="宋体" w:eastAsia="宋体" w:cs="宋体"/>
          <w:b w:val="0"/>
          <w:bCs/>
          <w:sz w:val="24"/>
          <w:szCs w:val="24"/>
          <w:u w:val="none"/>
          <w:lang w:eastAsia="zh-CN"/>
        </w:rPr>
        <w:t>。</w:t>
      </w:r>
    </w:p>
    <w:p>
      <w:pPr>
        <w:spacing w:line="440" w:lineRule="exact"/>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eastAsia="宋体" w:cs="宋体"/>
          <w:sz w:val="24"/>
          <w:szCs w:val="24"/>
        </w:rPr>
        <w:t>、本合同一式</w:t>
      </w:r>
      <w:r>
        <w:rPr>
          <w:rFonts w:hint="eastAsia" w:ascii="宋体" w:hAnsi="宋体" w:eastAsia="宋体" w:cs="宋体"/>
          <w:b/>
          <w:sz w:val="24"/>
          <w:szCs w:val="24"/>
          <w:u w:val="single"/>
        </w:rPr>
        <w:t xml:space="preserve"> 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伍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壹 </w:t>
      </w:r>
      <w:r>
        <w:rPr>
          <w:rFonts w:hint="eastAsia" w:ascii="宋体" w:hAnsi="宋体" w:eastAsia="宋体" w:cs="宋体"/>
          <w:sz w:val="24"/>
          <w:szCs w:val="24"/>
        </w:rPr>
        <w:t>份，各文本均具有同等法律效力；经双方签字盖章后生效；工程完工供料结束并结清财务手续后自动失效。</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default"/>
          <w:sz w:val="24"/>
          <w:szCs w:val="24"/>
          <w:lang w:val="en-US" w:eastAsia="zh-CN"/>
        </w:rPr>
      </w:pPr>
      <w:r>
        <w:rPr>
          <w:rFonts w:hint="eastAsia"/>
          <w:sz w:val="24"/>
          <w:szCs w:val="24"/>
          <w:lang w:val="en-US" w:eastAsia="zh-CN"/>
        </w:rPr>
        <w:t>（本页无正文）</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甲方：（盖章）</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乙方：（盖章）</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b/>
          <w:bCs/>
          <w:sz w:val="24"/>
          <w:szCs w:val="24"/>
          <w:lang w:val="en-US" w:eastAsia="zh-CN"/>
        </w:rPr>
        <w:t>重庆通力高速公路养护工程有限公司</w:t>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法定代表人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法定代表人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或授权代理人：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或授权代理人：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项目负责人：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经办人：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bidi w:val="0"/>
        <w:ind w:left="0" w:leftChars="0" w:firstLine="0" w:firstLineChars="0"/>
        <w:rPr>
          <w:rFonts w:hint="default"/>
          <w:u w:val="none"/>
          <w:lang w:val="en-US" w:eastAsia="zh-CN"/>
        </w:rPr>
      </w:pPr>
      <w:r>
        <w:rPr>
          <w:rFonts w:hint="eastAsia"/>
          <w:sz w:val="24"/>
          <w:szCs w:val="24"/>
          <w:lang w:val="en-US" w:eastAsia="zh-CN"/>
        </w:rPr>
        <w:t>签订日期：2022年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签订日期：2022年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p>
    <w:p>
      <w:pPr>
        <w:pStyle w:val="2"/>
        <w:rPr>
          <w:rFonts w:hint="default"/>
          <w:lang w:val="en-US" w:eastAsia="zh-CN"/>
        </w:rPr>
        <w:sectPr>
          <w:footerReference r:id="rId5" w:type="default"/>
          <w:pgSz w:w="11906" w:h="16838"/>
          <w:pgMar w:top="1134" w:right="1134" w:bottom="1134" w:left="1134"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p>
    <w:p>
      <w:pPr>
        <w:rPr>
          <w:rFonts w:hint="eastAsia" w:ascii="宋体" w:hAnsi="宋体" w:eastAsia="宋体" w:cs="宋体"/>
          <w:sz w:val="24"/>
          <w:szCs w:val="24"/>
          <w:lang w:val="en-US" w:eastAsia="zh-CN"/>
        </w:rPr>
      </w:pPr>
      <w:r>
        <w:rPr>
          <w:rFonts w:hint="eastAsia" w:ascii="宋体" w:hAnsi="宋体" w:eastAsia="宋体" w:cs="宋体"/>
          <w:b/>
          <w:sz w:val="21"/>
          <w:szCs w:val="21"/>
        </w:rPr>
        <w:t xml:space="preserve">附件：相关技术指标及配合组成设计： </w:t>
      </w:r>
    </w:p>
    <w:p>
      <w:pPr>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701665" cy="4405630"/>
            <wp:effectExtent l="0" t="0" r="13335" b="1397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7"/>
                    <a:stretch>
                      <a:fillRect/>
                    </a:stretch>
                  </pic:blipFill>
                  <pic:spPr>
                    <a:xfrm>
                      <a:off x="0" y="0"/>
                      <a:ext cx="5701665" cy="4405630"/>
                    </a:xfrm>
                    <a:prstGeom prst="rect">
                      <a:avLst/>
                    </a:prstGeom>
                    <a:noFill/>
                    <a:ln>
                      <a:noFill/>
                    </a:ln>
                  </pic:spPr>
                </pic:pic>
              </a:graphicData>
            </a:graphic>
          </wp:inline>
        </w:drawing>
      </w:r>
    </w:p>
    <w:p>
      <w:pPr>
        <w:spacing w:line="14" w:lineRule="auto"/>
        <w:ind w:firstLine="637" w:firstLineChars="302"/>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4305300" cy="1510665"/>
            <wp:effectExtent l="0" t="0" r="0" b="1333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8"/>
                    <a:stretch>
                      <a:fillRect/>
                    </a:stretch>
                  </pic:blipFill>
                  <pic:spPr>
                    <a:xfrm>
                      <a:off x="0" y="0"/>
                      <a:ext cx="4305300" cy="1510665"/>
                    </a:xfrm>
                    <a:prstGeom prst="rect">
                      <a:avLst/>
                    </a:prstGeom>
                    <a:noFill/>
                    <a:ln>
                      <a:noFill/>
                    </a:ln>
                  </pic:spPr>
                </pic:pic>
              </a:graphicData>
            </a:graphic>
          </wp:inline>
        </w:drawing>
      </w:r>
    </w:p>
    <w:p>
      <w:pPr>
        <w:spacing w:line="14" w:lineRule="auto"/>
        <w:ind w:firstLine="413" w:firstLineChars="196"/>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4747895" cy="1461135"/>
            <wp:effectExtent l="0" t="0" r="14605" b="571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9"/>
                    <a:stretch>
                      <a:fillRect/>
                    </a:stretch>
                  </pic:blipFill>
                  <pic:spPr>
                    <a:xfrm>
                      <a:off x="0" y="0"/>
                      <a:ext cx="4747895" cy="1461135"/>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sz w:val="21"/>
          <w:szCs w:val="21"/>
        </w:rPr>
        <w:drawing>
          <wp:inline distT="0" distB="0" distL="114300" distR="114300">
            <wp:extent cx="5793105" cy="2904490"/>
            <wp:effectExtent l="0" t="0" r="17145" b="1016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20"/>
                    <a:stretch>
                      <a:fillRect/>
                    </a:stretch>
                  </pic:blipFill>
                  <pic:spPr>
                    <a:xfrm>
                      <a:off x="0" y="0"/>
                      <a:ext cx="5793105" cy="2904490"/>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3912870" cy="3060700"/>
            <wp:effectExtent l="0" t="0" r="11430" b="635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21"/>
                    <a:stretch>
                      <a:fillRect/>
                    </a:stretch>
                  </pic:blipFill>
                  <pic:spPr>
                    <a:xfrm>
                      <a:off x="0" y="0"/>
                      <a:ext cx="3912870" cy="3060700"/>
                    </a:xfrm>
                    <a:prstGeom prst="rect">
                      <a:avLst/>
                    </a:prstGeom>
                    <a:noFill/>
                    <a:ln>
                      <a:noFill/>
                    </a:ln>
                  </pic:spPr>
                </pic:pic>
              </a:graphicData>
            </a:graphic>
          </wp:inline>
        </w:drawing>
      </w: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6259830" cy="5298440"/>
            <wp:effectExtent l="0" t="0" r="7620" b="1651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2"/>
                    <a:stretch>
                      <a:fillRect/>
                    </a:stretch>
                  </pic:blipFill>
                  <pic:spPr>
                    <a:xfrm>
                      <a:off x="0" y="0"/>
                      <a:ext cx="6259830" cy="5298440"/>
                    </a:xfrm>
                    <a:prstGeom prst="rect">
                      <a:avLst/>
                    </a:prstGeom>
                    <a:noFill/>
                    <a:ln>
                      <a:noFill/>
                    </a:ln>
                  </pic:spPr>
                </pic:pic>
              </a:graphicData>
            </a:graphic>
          </wp:inline>
        </w:drawing>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067300" cy="749300"/>
            <wp:effectExtent l="0" t="0" r="0" b="1270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3"/>
                    <a:stretch>
                      <a:fillRect/>
                    </a:stretch>
                  </pic:blipFill>
                  <pic:spPr>
                    <a:xfrm>
                      <a:off x="0" y="0"/>
                      <a:ext cx="5067300" cy="749300"/>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281930" cy="457200"/>
            <wp:effectExtent l="0" t="0" r="1397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4"/>
                    <a:stretch>
                      <a:fillRect/>
                    </a:stretch>
                  </pic:blipFill>
                  <pic:spPr>
                    <a:xfrm>
                      <a:off x="0" y="0"/>
                      <a:ext cx="5281930" cy="457200"/>
                    </a:xfrm>
                    <a:prstGeom prst="rect">
                      <a:avLst/>
                    </a:prstGeom>
                    <a:noFill/>
                    <a:ln>
                      <a:noFill/>
                    </a:ln>
                  </pic:spPr>
                </pic:pic>
              </a:graphicData>
            </a:graphic>
          </wp:inline>
        </w:drawing>
      </w:r>
    </w:p>
    <w:p>
      <w:pPr>
        <w:pStyle w:val="2"/>
        <w:rPr>
          <w:rFonts w:hint="eastAsia" w:ascii="宋体" w:hAnsi="宋体" w:eastAsia="宋体" w:cs="宋体"/>
          <w:sz w:val="24"/>
          <w:szCs w:val="24"/>
          <w:lang w:val="en-US" w:eastAsia="zh-CN"/>
        </w:rPr>
        <w:sectPr>
          <w:headerReference r:id="rId6" w:type="default"/>
          <w:footerReference r:id="rId7"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3"/>
          <w:cols w:space="720" w:num="1"/>
          <w:docGrid w:type="lines" w:linePitch="312" w:charSpace="0"/>
        </w:sectPr>
      </w:pPr>
      <w:r>
        <w:rPr>
          <w:rFonts w:hint="eastAsia" w:ascii="宋体" w:hAnsi="宋体" w:eastAsia="宋体" w:cs="宋体"/>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（奉云、奉巫、奉溪段）沥青混合料外协加工之安全</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ind w:firstLine="480"/>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sz w:val="24"/>
          <w:szCs w:val="24"/>
          <w:lang w:val="en-US" w:eastAsia="zh-CN"/>
        </w:rPr>
        <w:t>为在</w:t>
      </w:r>
      <w:r>
        <w:rPr>
          <w:rFonts w:hint="eastAsia" w:ascii="宋体" w:hAnsi="宋体" w:eastAsia="宋体" w:cs="宋体"/>
          <w:b/>
          <w:bCs/>
          <w:sz w:val="24"/>
          <w:szCs w:val="24"/>
          <w:u w:val="single"/>
          <w:lang w:val="en-US" w:eastAsia="zh-CN"/>
        </w:rPr>
        <w:t>2022年东北营运分公司所辖高速公路路面功能性修复及预防性养护工程（奉云、</w:t>
      </w:r>
    </w:p>
    <w:p>
      <w:pPr>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奉巫、奉溪段）沥青混合料外协加工</w:t>
      </w:r>
      <w:r>
        <w:rPr>
          <w:rFonts w:hint="eastAsia" w:ascii="宋体" w:hAnsi="宋体" w:eastAsia="宋体" w:cs="宋体"/>
          <w:sz w:val="24"/>
          <w:szCs w:val="24"/>
          <w:lang w:val="en-US" w:eastAsia="zh-CN"/>
        </w:rPr>
        <w:t>项目实施过程中创造安全、高效的施工环境，切实做好本次沥青混合料加工的安全管理工作，采购人</w:t>
      </w:r>
      <w:r>
        <w:rPr>
          <w:rFonts w:hint="eastAsia" w:ascii="宋体" w:hAnsi="宋体" w:eastAsia="宋体" w:cs="宋体"/>
          <w:b/>
          <w:bCs/>
          <w:sz w:val="24"/>
          <w:szCs w:val="24"/>
          <w:u w:val="single"/>
          <w:lang w:val="en-US" w:eastAsia="zh-CN"/>
        </w:rPr>
        <w:t xml:space="preserve"> 重庆通力高速公路养护工程有限公司 </w:t>
      </w:r>
      <w:r>
        <w:rPr>
          <w:rFonts w:hint="eastAsia" w:ascii="宋体" w:hAnsi="宋体" w:eastAsia="宋体" w:cs="宋体"/>
          <w:sz w:val="24"/>
          <w:szCs w:val="24"/>
          <w:lang w:val="en-US" w:eastAsia="zh-CN"/>
        </w:rPr>
        <w:t>（以下简称甲方）与加工单位</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XXXXX</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（以下简称乙方）特此签订如下安全生产合同：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甲方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1、严格遵守并贯彻执行国家有关安全生产法律法规规定，认真履行安全监督管理职责。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2、按照“安全第一、预防为主、综合治理”方针和坚持“谁主管，谁负责”的原则进行安全生产管理，生产与安全工作同时计划、布置、检查、总结和评比。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3、重要的安全设施必须坚持与主体工程“三同时”的原则，即：同时设计、审批，同时施工，同时验收，投入使用。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4、定期召开安全生产调度会，及时传达中央及地方有关安全生产的精神。</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、不定期组织人员对乙方人员和设备安全管理、安全生产行为、安全措施落实情况进行检查，监督乙方及时处理和整改发现的各种安全隐患，督促各项安全措施落到实处。</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、对乙方违反安全生产的各种违法违纪行为，有权予以制止并按照相关规定进行处理应予纠正并按照相关规定进行处罚。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、甲方的上述职责不代表甲方对乙方的合同履行行为做任何安全方面明示或暗示的保证，乙方仍应自行负责处理并自行承担合同履行过程中可能出现的一切安全事故责任与风险等。</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乙方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1、严格遵守并贯彻执行国家有关安全生产的法律法规，认真履行安全管理职责，认真执行合同中的有关安全要求。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坚持“安全第一，预防为主，综合治理”方针和“谁主管、谁负责”的原则。建立健全各项安全生产管理机构和安全生产管理制度，依照国家有关规定保证安全生产费用的投入。乙方应有组织有领导地开展安全生产活动，加强安全生产宣传教育，组织对其作业人员进行施工前和岗前的安全教育培训和安全技术交底，增强全员安全生产意识，严格遵守有关安全规定及本条款的各项规定。乙方各级生产管理人员和具体操作人员，必须熟悉和遵守有关安全规定及本条款的各项规定，做到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、建立健全安全生产责任制。从</w:t>
      </w:r>
      <w:r>
        <w:rPr>
          <w:rFonts w:hint="eastAsia" w:ascii="宋体" w:hAnsi="宋体" w:eastAsia="宋体" w:cs="宋体"/>
          <w:sz w:val="24"/>
          <w:szCs w:val="24"/>
          <w:lang w:val="en-US" w:eastAsia="zh-CN"/>
        </w:rPr>
        <w:t>拌和站</w:t>
      </w:r>
      <w:r>
        <w:rPr>
          <w:rFonts w:hint="eastAsia" w:ascii="宋体" w:hAnsi="宋体" w:eastAsia="宋体" w:cs="宋体"/>
          <w:sz w:val="24"/>
          <w:szCs w:val="24"/>
        </w:rPr>
        <w:t>的设备管理人员到操作人员、辅助人员，在管理上应做到纵向到底，一环不漏；横向到边，人人有责。</w:t>
      </w:r>
      <w:r>
        <w:rPr>
          <w:rFonts w:hint="eastAsia" w:ascii="宋体" w:hAnsi="宋体" w:eastAsia="宋体" w:cs="宋体"/>
          <w:sz w:val="24"/>
          <w:szCs w:val="24"/>
          <w:lang w:val="en-US" w:eastAsia="zh-CN"/>
        </w:rPr>
        <w:t>沥青和混合料生产</w:t>
      </w:r>
      <w:r>
        <w:rPr>
          <w:rFonts w:hint="eastAsia" w:ascii="宋体" w:hAnsi="宋体" w:eastAsia="宋体" w:cs="宋体"/>
          <w:sz w:val="24"/>
          <w:szCs w:val="24"/>
        </w:rPr>
        <w:t>现场必须配置安全人员，负责</w:t>
      </w:r>
      <w:r>
        <w:rPr>
          <w:rFonts w:hint="eastAsia" w:ascii="宋体" w:hAnsi="宋体" w:eastAsia="宋体" w:cs="宋体"/>
          <w:sz w:val="24"/>
          <w:szCs w:val="24"/>
          <w:lang w:val="en-US" w:eastAsia="zh-CN"/>
        </w:rPr>
        <w:t>生产</w:t>
      </w:r>
      <w:r>
        <w:rPr>
          <w:rFonts w:hint="eastAsia" w:ascii="宋体" w:hAnsi="宋体" w:eastAsia="宋体" w:cs="宋体"/>
          <w:sz w:val="24"/>
          <w:szCs w:val="24"/>
        </w:rPr>
        <w:t>期间操作人员的安全和治安保卫工作及预防事故的发生。</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、乙方作业人员不得违章作业、冒险作业和疲劳作业，乙方应根据施工现场实际情况，采取各种合理的预防措施，防止其作业人员发生任何违法、违禁、暴力或妨碍治安的行为。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w:t>
      </w:r>
      <w:r>
        <w:rPr>
          <w:rFonts w:hint="eastAsia" w:ascii="宋体" w:hAnsi="宋体" w:eastAsia="宋体" w:cs="宋体"/>
          <w:sz w:val="24"/>
          <w:szCs w:val="24"/>
          <w:lang w:val="en-US" w:eastAsia="zh-CN"/>
        </w:rPr>
        <w:t>生产相关</w:t>
      </w:r>
      <w:r>
        <w:rPr>
          <w:rFonts w:hint="eastAsia" w:ascii="宋体" w:hAnsi="宋体" w:eastAsia="宋体" w:cs="宋体"/>
          <w:sz w:val="24"/>
          <w:szCs w:val="24"/>
        </w:rPr>
        <w:t>人员必须接受安全技术教育及培训，熟知和遵守本岗位工种的各项安全技术操作规程，合格者方准上岗操作。特种作业人员须按国家有关规定持证上岗。乙方必须保证相关人员所持证照在合同和施工期内持续有效，</w:t>
      </w:r>
      <w:r>
        <w:rPr>
          <w:rFonts w:hint="eastAsia" w:ascii="宋体" w:hAnsi="宋体" w:eastAsia="宋体" w:cs="宋体"/>
          <w:sz w:val="24"/>
          <w:szCs w:val="24"/>
          <w:lang w:val="en-US" w:eastAsia="zh-CN"/>
        </w:rPr>
        <w:t>生产</w:t>
      </w:r>
      <w:r>
        <w:rPr>
          <w:rFonts w:hint="eastAsia" w:ascii="宋体" w:hAnsi="宋体" w:eastAsia="宋体" w:cs="宋体"/>
          <w:sz w:val="24"/>
          <w:szCs w:val="24"/>
        </w:rPr>
        <w:t>现场如出现有关人员无证操作、证照失效等的现象时，所发生的安全事故，由乙方承担一切法律责任、赔偿全部经济损失管理责任和经济损失。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、严格执行《中华人民共和国消防法》，易燃易爆的材料除应设专人专门负责管理外，还应配备足够的和有效的消防设施，并作好材料收发记录台帐，避免遗失和流失。所有</w:t>
      </w:r>
      <w:r>
        <w:rPr>
          <w:rFonts w:hint="eastAsia" w:ascii="宋体" w:hAnsi="宋体" w:eastAsia="宋体" w:cs="宋体"/>
          <w:sz w:val="24"/>
          <w:szCs w:val="24"/>
          <w:lang w:val="en-US" w:eastAsia="zh-CN"/>
        </w:rPr>
        <w:t>生产相关的</w:t>
      </w:r>
      <w:r>
        <w:rPr>
          <w:rFonts w:hint="eastAsia" w:ascii="宋体" w:hAnsi="宋体" w:eastAsia="宋体" w:cs="宋体"/>
          <w:sz w:val="24"/>
          <w:szCs w:val="24"/>
        </w:rPr>
        <w:t>作业人员应熟悉消防设备的性能和使用方法，施工场地、住宿、办公场所等还应按规定配备足够的消防设施。乙方不得将任何种类的爆炸物给予、易货或以其他方式转让给任何其他人。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、乙方负责对</w:t>
      </w:r>
      <w:r>
        <w:rPr>
          <w:rFonts w:hint="eastAsia" w:ascii="宋体" w:hAnsi="宋体" w:eastAsia="宋体" w:cs="宋体"/>
          <w:sz w:val="24"/>
          <w:szCs w:val="24"/>
          <w:lang w:val="en-US" w:eastAsia="zh-CN"/>
        </w:rPr>
        <w:t>拌合生产</w:t>
      </w:r>
      <w:r>
        <w:rPr>
          <w:rFonts w:hint="eastAsia" w:ascii="宋体" w:hAnsi="宋体" w:eastAsia="宋体" w:cs="宋体"/>
          <w:sz w:val="24"/>
          <w:szCs w:val="24"/>
        </w:rPr>
        <w:t>设备进行定期检查，保证其始终处于良好完备完好状态。不合格的机具、设备和劳动保护用品严禁使用。因违反相关规定和要求，所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、施工中采用新技术、新工艺、新设备、新材料时，必须制定相应的安全技术措施。施工现场必须具有相关的安全标志牌。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定期或不定期组织安全检查，对检查发现的安全隐患，及时整改。对甲方安全检查过程中发现的安全隐患，乙方应立即整改；在口头通知或下达整改书后，乙方应在限定时间内整改；因整改不及时或延误不到位，由此造成导致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、乙方合同单价中已包含安全责任保险费用。乙方如在工作中发生作业人员伤、亡事故，或违反安全施工，野蛮操作等造成的人员伤亡和财产损失均由乙方自行承担全部法律责任和经济责任，甲方概不负责。</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本合同有效期内，如因乙方或乙方工作人员过错给甲方造成损失，由乙方负责向甲方赔偿，甲方有权直接从乙方支付款中予以扣除。</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如因甲方或乙方违约造成安全事故，将依法按照国家有关法律法规进行处理。</w:t>
      </w:r>
    </w:p>
    <w:p>
      <w:pPr>
        <w:pStyle w:val="4"/>
        <w:pageBreakBefore w:val="0"/>
        <w:widowControl w:val="0"/>
        <w:kinsoku/>
        <w:wordWrap/>
        <w:overflowPunct/>
        <w:topLinePunct w:val="0"/>
        <w:bidi w:val="0"/>
        <w:spacing w:line="360" w:lineRule="auto"/>
        <w:textAlignment w:val="auto"/>
        <w:rPr>
          <w:rFonts w:hint="eastAsia" w:ascii="宋体" w:hAnsi="宋体" w:eastAsia="宋体" w:cs="宋体"/>
          <w:b/>
          <w:bCs w:val="0"/>
          <w:sz w:val="24"/>
          <w:szCs w:val="24"/>
        </w:rPr>
      </w:pPr>
      <w:r>
        <w:rPr>
          <w:rFonts w:hint="eastAsia" w:ascii="宋体" w:hAnsi="宋体" w:eastAsia="宋体" w:cs="宋体"/>
          <w:sz w:val="24"/>
          <w:szCs w:val="24"/>
        </w:rPr>
        <w:t>四、</w:t>
      </w:r>
      <w:r>
        <w:rPr>
          <w:rFonts w:hint="eastAsia" w:ascii="宋体" w:hAnsi="宋体" w:eastAsia="宋体" w:cs="宋体"/>
          <w:b/>
          <w:bCs w:val="0"/>
          <w:sz w:val="24"/>
          <w:szCs w:val="24"/>
        </w:rPr>
        <w:t>本合同作为《</w:t>
      </w:r>
      <w:r>
        <w:rPr>
          <w:rFonts w:hint="eastAsia" w:ascii="宋体" w:hAnsi="宋体" w:eastAsia="宋体" w:cs="宋体"/>
          <w:b/>
          <w:bCs w:val="0"/>
          <w:sz w:val="24"/>
          <w:szCs w:val="24"/>
          <w:lang w:val="en-US" w:eastAsia="zh-CN"/>
        </w:rPr>
        <w:t>2022年东北营运分公司所辖高速公路路面功能性修复及预防性养护工程（奉云、奉巫、奉溪段）沥青混合料外协加工</w:t>
      </w:r>
      <w:r>
        <w:rPr>
          <w:rFonts w:hint="eastAsia" w:ascii="宋体" w:hAnsi="宋体" w:eastAsia="宋体" w:cs="宋体"/>
          <w:b/>
          <w:bCs w:val="0"/>
          <w:sz w:val="24"/>
          <w:szCs w:val="24"/>
        </w:rPr>
        <w:t>》的附件，与</w:t>
      </w:r>
      <w:r>
        <w:rPr>
          <w:rFonts w:hint="eastAsia" w:ascii="宋体" w:hAnsi="宋体" w:eastAsia="宋体" w:cs="宋体"/>
          <w:b/>
          <w:bCs w:val="0"/>
          <w:sz w:val="24"/>
          <w:szCs w:val="24"/>
          <w:lang w:val="en-US" w:eastAsia="zh-CN"/>
        </w:rPr>
        <w:t>其</w:t>
      </w:r>
      <w:r>
        <w:rPr>
          <w:rFonts w:hint="eastAsia" w:ascii="宋体" w:hAnsi="宋体" w:eastAsia="宋体" w:cs="宋体"/>
          <w:b/>
          <w:bCs w:val="0"/>
          <w:sz w:val="24"/>
          <w:szCs w:val="24"/>
        </w:rPr>
        <w:t>具有同等的法律效力。</w:t>
      </w:r>
    </w:p>
    <w:p>
      <w:pPr>
        <w:pStyle w:val="4"/>
        <w:pageBreakBefore w:val="0"/>
        <w:widowControl w:val="0"/>
        <w:kinsoku/>
        <w:wordWrap/>
        <w:overflowPunct/>
        <w:topLinePunct w:val="0"/>
        <w:bidi w:val="0"/>
        <w:spacing w:line="360" w:lineRule="auto"/>
        <w:textAlignment w:val="auto"/>
        <w:rPr>
          <w:rFonts w:hint="eastAsia" w:ascii="宋体" w:hAnsi="宋体" w:eastAsia="宋体" w:cs="宋体"/>
          <w:b w:val="0"/>
          <w:bCs/>
          <w:sz w:val="24"/>
          <w:szCs w:val="24"/>
          <w:u w:val="single"/>
          <w:lang w:eastAsia="zh-CN"/>
        </w:rPr>
      </w:pPr>
      <w:r>
        <w:rPr>
          <w:rFonts w:hint="eastAsia" w:ascii="宋体" w:hAnsi="宋体" w:eastAsia="宋体" w:cs="宋体"/>
          <w:sz w:val="24"/>
          <w:szCs w:val="24"/>
        </w:rPr>
        <w:t>五、合同签约地：</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sz w:val="24"/>
          <w:szCs w:val="24"/>
          <w:u w:val="single"/>
        </w:rPr>
        <w:t>重庆通力高速公路养护工程有限公司306室（重庆市沙坪坝区梨高路沙坪坝区档案馆旁）</w:t>
      </w:r>
      <w:r>
        <w:rPr>
          <w:rFonts w:hint="eastAsia" w:ascii="宋体" w:hAnsi="宋体" w:cs="宋体"/>
          <w:b w:val="0"/>
          <w:bCs/>
          <w:sz w:val="24"/>
          <w:szCs w:val="24"/>
          <w:u w:val="single"/>
          <w:lang w:eastAsia="zh-CN"/>
        </w:rPr>
        <w:t>。</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w:t>
      </w:r>
      <w:r>
        <w:rPr>
          <w:rFonts w:hint="eastAsia" w:ascii="宋体" w:hAnsi="宋体" w:eastAsia="宋体" w:cs="宋体"/>
          <w:b/>
          <w:bCs w:val="0"/>
          <w:sz w:val="24"/>
          <w:szCs w:val="24"/>
        </w:rPr>
        <w:t>本合同一式</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u w:val="single"/>
          <w:lang w:eastAsia="zh-CN"/>
        </w:rPr>
        <w:t>陆</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份，招标人执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伍</w:t>
      </w:r>
      <w:r>
        <w:rPr>
          <w:rFonts w:hint="eastAsia" w:ascii="宋体" w:hAnsi="宋体" w:eastAsia="宋体" w:cs="宋体"/>
          <w:b/>
          <w:bCs w:val="0"/>
          <w:sz w:val="24"/>
          <w:szCs w:val="24"/>
          <w:u w:val="single"/>
          <w:lang w:val="en-US" w:eastAsia="zh-CN"/>
        </w:rPr>
        <w:t xml:space="preserve"> </w:t>
      </w:r>
      <w:r>
        <w:rPr>
          <w:rFonts w:hint="eastAsia" w:ascii="宋体" w:hAnsi="宋体" w:eastAsia="宋体" w:cs="宋体"/>
          <w:b/>
          <w:bCs w:val="0"/>
          <w:sz w:val="24"/>
          <w:szCs w:val="24"/>
        </w:rPr>
        <w:t>份，投标人执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壹</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份；由双方法定代表人或其授权代理人签署与加盖公章后生效，结清财务手续后自动终止。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甲方：（盖章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rPr>
      </w:pPr>
      <w:r>
        <w:rPr>
          <w:rFonts w:hint="eastAsia" w:ascii="宋体" w:hAnsi="宋体" w:eastAsia="宋体" w:cs="宋体"/>
          <w:b/>
          <w:bCs/>
          <w:sz w:val="24"/>
          <w:szCs w:val="24"/>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 xml:space="preserve">  </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法定代表人或授权代理人：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法定代表或授权代理人</w:t>
      </w:r>
      <w:r>
        <w:rPr>
          <w:rFonts w:hint="eastAsia" w:ascii="宋体" w:hAnsi="宋体" w:eastAsia="宋体" w:cs="宋体"/>
          <w:sz w:val="24"/>
          <w:szCs w:val="24"/>
          <w:lang w:eastAsia="zh-CN"/>
        </w:rPr>
        <w:t>：</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项目负责人：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经办人：</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sectPr>
          <w:footerReference r:id="rId8"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6"/>
          <w:cols w:space="720" w:num="1"/>
          <w:docGrid w:type="lines" w:linePitch="312" w:charSpace="0"/>
        </w:sectPr>
      </w:pPr>
      <w:r>
        <w:rPr>
          <w:rFonts w:hint="eastAsia" w:ascii="宋体" w:hAnsi="宋体" w:eastAsia="宋体" w:cs="宋体"/>
          <w:sz w:val="24"/>
          <w:szCs w:val="24"/>
        </w:rPr>
        <w:t>签订日期：202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签订日期：202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（奉云、奉巫、奉溪段）沥青混合料外协加工之廉政</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lang w:val="en-US" w:eastAsia="zh-CN"/>
        </w:rPr>
        <w:t xml:space="preserve">重庆通力高速公路养护工程有限公司 </w:t>
      </w:r>
      <w:r>
        <w:rPr>
          <w:rFonts w:hint="eastAsia" w:ascii="宋体" w:hAnsi="宋体" w:eastAsia="宋体" w:cs="宋体"/>
          <w:sz w:val="24"/>
          <w:szCs w:val="24"/>
          <w:lang w:val="en-US" w:eastAsia="zh-CN"/>
        </w:rPr>
        <w:t>（以下称甲方）与</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lang w:val="en-US" w:eastAsia="zh-CN"/>
        </w:rPr>
        <w:t>（以下称乙方），特订立如下合同：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一、甲乙双方的权利和义务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1、严格遵守党和国家有关法律法规及交通部的有关规定。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2、严格执行《</w:t>
      </w:r>
      <w:r>
        <w:rPr>
          <w:rFonts w:hint="eastAsia" w:ascii="宋体" w:hAnsi="宋体" w:eastAsia="宋体" w:cs="宋体"/>
          <w:b/>
          <w:bCs/>
          <w:sz w:val="24"/>
          <w:szCs w:val="24"/>
          <w:u w:val="none"/>
          <w:lang w:val="en-US" w:eastAsia="zh-CN"/>
        </w:rPr>
        <w:t>2022年东北营运分公司所辖高速公路路面功能性修复及预防性养护工程（奉云、奉巫、奉溪段）沥青混合料外协加工</w:t>
      </w:r>
      <w:r>
        <w:rPr>
          <w:rFonts w:hint="eastAsia" w:ascii="宋体" w:hAnsi="宋体" w:eastAsia="宋体" w:cs="宋体"/>
          <w:sz w:val="24"/>
          <w:szCs w:val="24"/>
        </w:rPr>
        <w:t>》的相关条款，自觉按合同办事。</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3、双方的业务活动坚持公开、公正、诚信、透明的原则（除法律认定的商业秘密和合同文件另有规定之外），不得损害国家和集体利益，违反工程建设管理规章制度。</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4、建立健全廉政制度，开展廉政教育，设立廉政告示牌，公布举报电话，监督并认真查处违法违纪行为。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5、发现对方在业务活动中有违反廉政规定的行为，有及时提醒对方纠正的权利和义务。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6、发现对方严重违反本合同义务条款的行为，有向其上级有关部门举报、建议给予处理并要求告知处理结果的权利。</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二、甲方义务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1、甲方及其工作人员不得索要或接受乙方的礼金、有价证券和贵重要物品，不得在乙方报销任何应由甲方或个人支付的费用等。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2、甲方工作人员不得参加乙方安排的宴请或可能影响公正的其他宴请和娱乐活动。不得接受乙方提供的通讯工具、交通工具和高档办公用品等。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4、甲方工作人员的配偶、子女不得从事与甲方工程有关的材料设备供应、工程分包、劳务等经济活动等。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5、甲方及其工作人员不得以任何理由向乙方推荐分包单位，不得要求乙方购买合同规定外的材料和设备。</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三、乙方义务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1、乙方不得以任何理由向甲方及其工作人员行贿或馈赠礼金、有价证券、贵重礼品。</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3、乙方不得以任何理由邀请甲方工作人员外出旅游或安排甲方工作人员参加宴请及娱乐活动。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5、乙方及其工作人员应严格按规程办事，不得为谋取私利向工作人员非法行贿，私下串通，损害甲方利益。同时依法履行向甲方承诺的上述其他廉政义务。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五、双方约定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本合同由双方或双方上级单位的纪检监察部门负责监督执行。</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六、本合同有效期为甲乙双方签署之日起至该合同终止后止。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b/>
          <w:bCs/>
          <w:sz w:val="24"/>
          <w:szCs w:val="24"/>
        </w:rPr>
        <w:t>本合同作为《</w:t>
      </w:r>
      <w:r>
        <w:rPr>
          <w:rFonts w:hint="eastAsia" w:ascii="宋体" w:hAnsi="宋体" w:eastAsia="宋体" w:cs="宋体"/>
          <w:b/>
          <w:bCs/>
          <w:sz w:val="24"/>
          <w:szCs w:val="24"/>
          <w:u w:val="none"/>
          <w:lang w:val="en-US" w:eastAsia="zh-CN"/>
        </w:rPr>
        <w:t>2022年东北营运分公司所辖高速公路路面功能性修复及预防性养护工程（奉云、奉巫、奉溪段）沥青混合料外协加工</w:t>
      </w:r>
      <w:r>
        <w:rPr>
          <w:rFonts w:hint="eastAsia" w:ascii="宋体" w:hAnsi="宋体" w:eastAsia="宋体" w:cs="宋体"/>
          <w:b/>
          <w:bCs/>
          <w:sz w:val="24"/>
          <w:szCs w:val="24"/>
        </w:rPr>
        <w:t>》的附件，具有同等的法律效力，经合同双方签署立即生效。</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八、本合同一式</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陆</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份，甲方执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伍</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份，乙方执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壹</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份；由双方法定代表人或其授权代表签署并加盖公章后生效，结清财务手续后自动终止。</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（本页无正文）</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甲方：（盖章）</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法定代表人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或授权代表：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或授权代表：</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部门负责人：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经办人：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日期：2022年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日期：2022年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pPr>
        <w:pStyle w:val="2"/>
        <w:adjustRightInd/>
        <w:spacing w:line="360" w:lineRule="exact"/>
        <w:jc w:val="both"/>
        <w:rPr>
          <w:rFonts w:hint="eastAsia"/>
          <w:color w:val="auto"/>
          <w:sz w:val="21"/>
          <w:szCs w:val="21"/>
          <w:highlight w:val="none"/>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sz w:val="28"/>
          <w:szCs w:val="28"/>
        </w:rPr>
      </w:pPr>
      <w:r>
        <w:rPr>
          <w:rFonts w:hint="eastAsia"/>
          <w:b/>
          <w:sz w:val="28"/>
          <w:szCs w:val="28"/>
        </w:rPr>
        <w:t>重庆通力高速公路养护工程有限公司</w:t>
      </w:r>
    </w:p>
    <w:p>
      <w:pPr>
        <w:adjustRightInd w:val="0"/>
        <w:snapToGrid w:val="0"/>
        <w:spacing w:line="480" w:lineRule="exact"/>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adjustRightInd w:val="0"/>
        <w:snapToGrid w:val="0"/>
        <w:spacing w:line="480" w:lineRule="exact"/>
        <w:jc w:val="center"/>
        <w:rPr>
          <w:b/>
          <w:sz w:val="36"/>
          <w:szCs w:val="36"/>
        </w:rPr>
      </w:pPr>
      <w:r>
        <w:rPr>
          <w:rFonts w:hint="eastAsia" w:ascii="宋体" w:hAnsi="宋体" w:eastAsia="宋体" w:cs="宋体"/>
          <w:b/>
          <w:sz w:val="28"/>
          <w:szCs w:val="28"/>
          <w:lang w:val="en-US" w:eastAsia="zh-CN"/>
        </w:rPr>
        <w:t>（奉云、奉巫、奉溪段）沥青混合料外协加工</w:t>
      </w:r>
      <w:r>
        <w:rPr>
          <w:rFonts w:hint="eastAsia" w:ascii="宋体" w:hAnsi="宋体" w:eastAsia="宋体" w:cs="宋体"/>
          <w:b/>
          <w:sz w:val="28"/>
          <w:szCs w:val="28"/>
        </w:rPr>
        <w:t>之环境保护合同</w:t>
      </w:r>
    </w:p>
    <w:p>
      <w:pPr>
        <w:spacing w:line="360" w:lineRule="auto"/>
        <w:ind w:firstLine="480" w:firstLineChars="200"/>
        <w:rPr>
          <w:rFonts w:hint="eastAsia"/>
          <w:sz w:val="24"/>
          <w:szCs w:val="22"/>
        </w:rPr>
      </w:pPr>
    </w:p>
    <w:p>
      <w:pPr>
        <w:spacing w:line="360" w:lineRule="auto"/>
        <w:ind w:firstLine="480" w:firstLineChars="200"/>
        <w:rPr>
          <w:sz w:val="24"/>
          <w:szCs w:val="22"/>
        </w:rPr>
      </w:pPr>
      <w:r>
        <w:rPr>
          <w:rFonts w:hint="eastAsia"/>
          <w:sz w:val="24"/>
          <w:szCs w:val="22"/>
        </w:rPr>
        <w:t>甲方：重庆通力高速公路养护工程有限公司</w:t>
      </w:r>
    </w:p>
    <w:p>
      <w:pPr>
        <w:spacing w:line="360" w:lineRule="auto"/>
        <w:ind w:firstLine="480" w:firstLineChars="200"/>
        <w:rPr>
          <w:rFonts w:hint="default" w:eastAsia="宋体"/>
          <w:sz w:val="24"/>
          <w:szCs w:val="22"/>
          <w:lang w:val="en-US" w:eastAsia="zh-CN"/>
        </w:rPr>
      </w:pPr>
      <w:r>
        <w:rPr>
          <w:rFonts w:hint="eastAsia"/>
          <w:sz w:val="24"/>
          <w:szCs w:val="22"/>
        </w:rPr>
        <w:t>乙方：</w:t>
      </w:r>
      <w:r>
        <w:rPr>
          <w:rFonts w:hint="eastAsia"/>
          <w:sz w:val="24"/>
          <w:szCs w:val="22"/>
          <w:lang w:val="en-US" w:eastAsia="zh-CN"/>
        </w:rPr>
        <w:t>XXXXXX</w:t>
      </w:r>
    </w:p>
    <w:p>
      <w:pPr>
        <w:spacing w:line="360" w:lineRule="auto"/>
        <w:ind w:firstLine="480" w:firstLineChars="200"/>
        <w:rPr>
          <w:sz w:val="24"/>
          <w:szCs w:val="22"/>
        </w:rPr>
      </w:pPr>
    </w:p>
    <w:p>
      <w:pPr>
        <w:spacing w:line="360" w:lineRule="auto"/>
        <w:ind w:firstLine="480" w:firstLineChars="200"/>
        <w:rPr>
          <w:sz w:val="24"/>
          <w:szCs w:val="22"/>
        </w:rPr>
      </w:pPr>
      <w:r>
        <w:rPr>
          <w:rFonts w:hint="eastAsia"/>
          <w:sz w:val="24"/>
          <w:szCs w:val="22"/>
        </w:rPr>
        <w:t>为在</w:t>
      </w:r>
      <w:r>
        <w:rPr>
          <w:rFonts w:hint="eastAsia"/>
          <w:b w:val="0"/>
          <w:bCs w:val="0"/>
          <w:sz w:val="24"/>
          <w:szCs w:val="22"/>
          <w:lang w:eastAsia="zh-CN"/>
        </w:rPr>
        <w:t>《</w:t>
      </w:r>
      <w:r>
        <w:rPr>
          <w:rFonts w:hint="eastAsia" w:ascii="宋体" w:hAnsi="宋体" w:eastAsia="宋体" w:cs="宋体"/>
          <w:b w:val="0"/>
          <w:bCs w:val="0"/>
          <w:sz w:val="24"/>
          <w:szCs w:val="24"/>
          <w:u w:val="none"/>
          <w:lang w:val="en-US" w:eastAsia="zh-CN"/>
        </w:rPr>
        <w:t>2022年东北营运分公司所辖高速公路路面功能性修复及预防性养护工程（奉巫、奉溪段）沥青混合料外协加工合同》</w:t>
      </w:r>
      <w:r>
        <w:rPr>
          <w:rFonts w:hint="eastAsia"/>
          <w:sz w:val="24"/>
          <w:szCs w:val="22"/>
        </w:rPr>
        <w:t>实施过程中创造良好的施工环境，切实搞好本项目的环境保护工作，甲乙双方本着平等、自愿、公平的原则，经协商一致，签订以下环境保护合同。</w:t>
      </w:r>
    </w:p>
    <w:p>
      <w:pPr>
        <w:spacing w:line="360" w:lineRule="auto"/>
        <w:ind w:firstLine="480" w:firstLineChars="200"/>
        <w:rPr>
          <w:sz w:val="24"/>
          <w:szCs w:val="22"/>
        </w:rPr>
      </w:pPr>
      <w:r>
        <w:rPr>
          <w:rFonts w:hint="eastAsia"/>
          <w:sz w:val="24"/>
          <w:szCs w:val="22"/>
        </w:rPr>
        <w:t>第1条  双方的义务</w:t>
      </w:r>
    </w:p>
    <w:p>
      <w:pPr>
        <w:spacing w:line="360" w:lineRule="auto"/>
        <w:ind w:firstLine="480" w:firstLineChars="200"/>
        <w:rPr>
          <w:sz w:val="24"/>
          <w:szCs w:val="22"/>
        </w:rPr>
      </w:pPr>
      <w:r>
        <w:rPr>
          <w:rFonts w:hint="eastAsia"/>
          <w:sz w:val="24"/>
          <w:szCs w:val="22"/>
        </w:rPr>
        <w:t>1.1严格遵守国家有关环境保护的法律法规和规章制度，包括但不限于《中华人民共和国环境保护法》、《中华人民共和国环境影响评价法》、《建设项目环境保护管理条例》、《重庆市环境保护条例》</w:t>
      </w:r>
      <w:r>
        <w:commentReference w:id="3"/>
      </w:r>
      <w:r>
        <w:rPr>
          <w:rFonts w:hint="eastAsia"/>
          <w:sz w:val="24"/>
          <w:szCs w:val="22"/>
        </w:rPr>
        <w:t>等，认真执行工程承包合同中的有关环境保护要求。</w:t>
      </w:r>
    </w:p>
    <w:p>
      <w:pPr>
        <w:spacing w:line="360" w:lineRule="auto"/>
        <w:ind w:firstLine="480" w:firstLineChars="200"/>
        <w:rPr>
          <w:sz w:val="24"/>
          <w:szCs w:val="22"/>
        </w:rPr>
      </w:pPr>
      <w:r>
        <w:rPr>
          <w:rFonts w:hint="eastAsia"/>
          <w:sz w:val="24"/>
          <w:szCs w:val="22"/>
        </w:rPr>
        <w:t>1.2 环境保护工作坚持“预防为主、防治结合、综合治理、谁污染谁治理”的原则。</w:t>
      </w:r>
    </w:p>
    <w:p>
      <w:pPr>
        <w:spacing w:line="360" w:lineRule="auto"/>
        <w:ind w:firstLine="480" w:firstLineChars="200"/>
        <w:rPr>
          <w:sz w:val="24"/>
          <w:szCs w:val="22"/>
        </w:rPr>
      </w:pPr>
      <w:r>
        <w:rPr>
          <w:rFonts w:hint="eastAsia"/>
          <w:sz w:val="24"/>
          <w:szCs w:val="22"/>
        </w:rPr>
        <w:t>第2条  甲方的权利</w:t>
      </w:r>
    </w:p>
    <w:p>
      <w:pPr>
        <w:spacing w:line="360" w:lineRule="auto"/>
        <w:ind w:firstLine="480" w:firstLineChars="200"/>
        <w:rPr>
          <w:sz w:val="24"/>
          <w:szCs w:val="22"/>
        </w:rPr>
      </w:pPr>
      <w:r>
        <w:rPr>
          <w:rFonts w:hint="eastAsia"/>
          <w:sz w:val="24"/>
          <w:szCs w:val="22"/>
        </w:rPr>
        <w:t>2.1有权要求乙方针对工程项目施工作业的具体情况制定环保措施方案，并进行审查和备案。</w:t>
      </w:r>
    </w:p>
    <w:p>
      <w:pPr>
        <w:spacing w:line="360" w:lineRule="auto"/>
        <w:ind w:firstLine="480" w:firstLineChars="200"/>
        <w:rPr>
          <w:sz w:val="24"/>
          <w:szCs w:val="22"/>
        </w:rPr>
      </w:pPr>
      <w:r>
        <w:rPr>
          <w:rFonts w:hint="eastAsia"/>
          <w:sz w:val="24"/>
          <w:szCs w:val="22"/>
        </w:rPr>
        <w:t>2.2有权组织对乙方的施工现场进行环保工作检查，督促乙方及时处理发现的各种环境污染问题。</w:t>
      </w:r>
    </w:p>
    <w:p>
      <w:pPr>
        <w:spacing w:line="360" w:lineRule="auto"/>
        <w:ind w:firstLine="480" w:firstLineChars="200"/>
        <w:rPr>
          <w:sz w:val="24"/>
          <w:szCs w:val="22"/>
        </w:rPr>
      </w:pPr>
      <w:r>
        <w:rPr>
          <w:rFonts w:hint="eastAsia"/>
          <w:sz w:val="24"/>
          <w:szCs w:val="22"/>
        </w:rPr>
        <w:t>2.3发生环境污染事故后，有权根据相关法律法规和规章制度的规定组织或参与事故的调查。</w:t>
      </w:r>
    </w:p>
    <w:p>
      <w:pPr>
        <w:spacing w:line="360" w:lineRule="auto"/>
        <w:ind w:firstLine="480" w:firstLineChars="200"/>
        <w:rPr>
          <w:sz w:val="24"/>
          <w:szCs w:val="22"/>
        </w:rPr>
      </w:pPr>
      <w:r>
        <w:rPr>
          <w:rFonts w:hint="eastAsia"/>
          <w:sz w:val="24"/>
          <w:szCs w:val="22"/>
        </w:rPr>
        <w:t>第3条  乙方的义务</w:t>
      </w:r>
    </w:p>
    <w:p>
      <w:pPr>
        <w:spacing w:line="360" w:lineRule="auto"/>
        <w:ind w:firstLine="480" w:firstLineChars="200"/>
        <w:rPr>
          <w:sz w:val="24"/>
          <w:szCs w:val="22"/>
        </w:rPr>
      </w:pPr>
      <w:r>
        <w:rPr>
          <w:rFonts w:hint="eastAsia"/>
          <w:sz w:val="24"/>
          <w:szCs w:val="22"/>
        </w:rPr>
        <w:t>3.1根据工程项目施工作业的需要，乙方应当编制环保措施方案，并报经甲方审查和备案。</w:t>
      </w:r>
    </w:p>
    <w:p>
      <w:pPr>
        <w:spacing w:line="360" w:lineRule="auto"/>
        <w:ind w:firstLine="480" w:firstLineChars="200"/>
        <w:rPr>
          <w:sz w:val="24"/>
          <w:szCs w:val="22"/>
        </w:rPr>
      </w:pPr>
      <w:r>
        <w:rPr>
          <w:rFonts w:hint="eastAsia"/>
          <w:sz w:val="24"/>
          <w:szCs w:val="22"/>
        </w:rPr>
        <w:t>3.2加强施工过程中的扬尘与噪声管控，推行公路施工、养护作业机械尾气处理，尤其在靠近城区、居民区等环境敏感区域施工，应高度重视并加强环境保护措施，降低施工对环境的影响。</w:t>
      </w:r>
    </w:p>
    <w:p>
      <w:pPr>
        <w:spacing w:line="360" w:lineRule="auto"/>
        <w:ind w:firstLine="480" w:firstLineChars="200"/>
        <w:rPr>
          <w:sz w:val="24"/>
          <w:szCs w:val="22"/>
        </w:rPr>
      </w:pPr>
      <w:r>
        <w:rPr>
          <w:rFonts w:hint="eastAsia"/>
          <w:sz w:val="24"/>
          <w:szCs w:val="22"/>
        </w:rPr>
        <w:t>3.3 在施工过程中采取有效措施加强施工现场周边水源及土壤的环境保护，不得随意倾倒施工垃圾，杜绝施工造成环境污染。</w:t>
      </w:r>
    </w:p>
    <w:p>
      <w:pPr>
        <w:spacing w:line="360" w:lineRule="auto"/>
        <w:ind w:firstLine="480" w:firstLineChars="200"/>
        <w:rPr>
          <w:sz w:val="24"/>
          <w:szCs w:val="22"/>
        </w:rPr>
      </w:pPr>
      <w:r>
        <w:rPr>
          <w:rFonts w:hint="eastAsia"/>
          <w:sz w:val="24"/>
          <w:szCs w:val="22"/>
        </w:rPr>
        <w:t>3.4施工车辆在运输及装卸过程中，必须采取封闭措施，避免材料、渣土“抛、洒、滴、漏”影响污染环境。</w:t>
      </w:r>
    </w:p>
    <w:p>
      <w:pPr>
        <w:spacing w:line="360" w:lineRule="auto"/>
        <w:ind w:firstLine="480" w:firstLineChars="200"/>
        <w:rPr>
          <w:sz w:val="24"/>
          <w:szCs w:val="22"/>
        </w:rPr>
      </w:pPr>
      <w:r>
        <w:rPr>
          <w:rFonts w:hint="eastAsia"/>
          <w:sz w:val="24"/>
          <w:szCs w:val="22"/>
        </w:rPr>
        <w:t>3.5施工机械在路面切割等作业时，必须采取喷洒水雾等措施，防止扬尘。</w:t>
      </w:r>
    </w:p>
    <w:p>
      <w:pPr>
        <w:spacing w:line="360" w:lineRule="auto"/>
        <w:ind w:firstLine="480" w:firstLineChars="200"/>
        <w:rPr>
          <w:sz w:val="24"/>
          <w:szCs w:val="22"/>
        </w:rPr>
      </w:pPr>
      <w:r>
        <w:rPr>
          <w:rFonts w:hint="eastAsia"/>
          <w:sz w:val="24"/>
          <w:szCs w:val="22"/>
        </w:rPr>
        <w:t>3.6施工中应采取相应的降噪措施和合理的作业时间安排，尽量减少对正常工作和生活的影响。</w:t>
      </w:r>
    </w:p>
    <w:p>
      <w:pPr>
        <w:spacing w:line="360" w:lineRule="auto"/>
        <w:ind w:firstLine="480" w:firstLineChars="200"/>
        <w:rPr>
          <w:sz w:val="24"/>
          <w:szCs w:val="22"/>
        </w:rPr>
      </w:pPr>
      <w:r>
        <w:rPr>
          <w:rFonts w:hint="eastAsia"/>
          <w:sz w:val="24"/>
          <w:szCs w:val="22"/>
        </w:rPr>
        <w:t>3.7施工工地离居民区较近，对超过噪声标准作业，应采取有效的噪声污染防治措施（如：夜间禁止作业、设置临时隔音墙等），并提前告知相关监管部门。</w:t>
      </w:r>
    </w:p>
    <w:p>
      <w:pPr>
        <w:spacing w:line="360" w:lineRule="auto"/>
        <w:ind w:firstLine="480" w:firstLineChars="200"/>
        <w:rPr>
          <w:sz w:val="24"/>
          <w:szCs w:val="22"/>
        </w:rPr>
      </w:pPr>
      <w:r>
        <w:rPr>
          <w:rFonts w:hint="eastAsia"/>
          <w:sz w:val="24"/>
          <w:szCs w:val="22"/>
        </w:rPr>
        <w:t>第4条  违约责任</w:t>
      </w:r>
    </w:p>
    <w:p>
      <w:pPr>
        <w:spacing w:line="360" w:lineRule="auto"/>
        <w:ind w:firstLine="480" w:firstLineChars="200"/>
        <w:rPr>
          <w:sz w:val="24"/>
          <w:szCs w:val="22"/>
        </w:rPr>
      </w:pPr>
      <w:r>
        <w:rPr>
          <w:rFonts w:hint="eastAsia"/>
          <w:sz w:val="24"/>
          <w:szCs w:val="22"/>
        </w:rPr>
        <w:t>4.1 如因乙方原因造成环境污染事故，由乙方承担由此产生的经济赔偿责任及法律责任，并按合同约定承担合同结算金额5%的违约金。</w:t>
      </w:r>
    </w:p>
    <w:p>
      <w:pPr>
        <w:spacing w:line="360" w:lineRule="auto"/>
        <w:ind w:firstLine="480" w:firstLineChars="200"/>
        <w:rPr>
          <w:sz w:val="24"/>
          <w:szCs w:val="22"/>
        </w:rPr>
      </w:pPr>
      <w:r>
        <w:rPr>
          <w:rFonts w:hint="eastAsia"/>
          <w:sz w:val="24"/>
          <w:szCs w:val="22"/>
        </w:rPr>
        <w:t>4.2若发生环境污染事故，事故的报告、调查和责任确定应当按照相关法律法规和规章制度的规定进行。</w:t>
      </w:r>
    </w:p>
    <w:p>
      <w:pPr>
        <w:spacing w:line="360" w:lineRule="auto"/>
        <w:ind w:firstLine="480" w:firstLineChars="200"/>
        <w:rPr>
          <w:sz w:val="24"/>
          <w:szCs w:val="22"/>
        </w:rPr>
      </w:pPr>
      <w:r>
        <w:rPr>
          <w:rFonts w:hint="eastAsia"/>
          <w:sz w:val="24"/>
          <w:szCs w:val="22"/>
        </w:rPr>
        <w:t>第5条  其它约定</w:t>
      </w:r>
    </w:p>
    <w:p>
      <w:pPr>
        <w:spacing w:line="360" w:lineRule="auto"/>
        <w:ind w:firstLine="480" w:firstLineChars="200"/>
        <w:rPr>
          <w:sz w:val="24"/>
          <w:szCs w:val="22"/>
        </w:rPr>
      </w:pPr>
      <w:r>
        <w:rPr>
          <w:rFonts w:hint="eastAsia"/>
          <w:sz w:val="24"/>
          <w:szCs w:val="22"/>
        </w:rPr>
        <w:t>5.1本合同作为</w:t>
      </w:r>
      <w:r>
        <w:rPr>
          <w:rFonts w:hint="eastAsia"/>
          <w:b w:val="0"/>
          <w:bCs w:val="0"/>
          <w:sz w:val="24"/>
          <w:szCs w:val="22"/>
        </w:rPr>
        <w:t>《</w:t>
      </w:r>
      <w:r>
        <w:rPr>
          <w:rFonts w:hint="eastAsia" w:ascii="宋体" w:hAnsi="宋体" w:eastAsia="宋体" w:cs="宋体"/>
          <w:b w:val="0"/>
          <w:bCs w:val="0"/>
          <w:sz w:val="24"/>
          <w:szCs w:val="24"/>
          <w:u w:val="none"/>
          <w:lang w:val="en-US" w:eastAsia="zh-CN"/>
        </w:rPr>
        <w:t>2022年东北营运分公司所辖高速公路路面功能性修复及预防性养护工程（奉云、奉巫、奉溪段）沥青混合料外协加工合同</w:t>
      </w:r>
      <w:r>
        <w:rPr>
          <w:rFonts w:hint="eastAsia"/>
          <w:b w:val="0"/>
          <w:bCs w:val="0"/>
          <w:sz w:val="24"/>
          <w:szCs w:val="22"/>
        </w:rPr>
        <w:t>》</w:t>
      </w:r>
      <w:r>
        <w:rPr>
          <w:rFonts w:hint="eastAsia"/>
          <w:sz w:val="24"/>
          <w:szCs w:val="22"/>
        </w:rPr>
        <w:t>的附件，具有同等的法律效力。</w:t>
      </w:r>
    </w:p>
    <w:p>
      <w:pPr>
        <w:spacing w:line="360" w:lineRule="auto"/>
        <w:ind w:firstLine="480" w:firstLineChars="200"/>
        <w:rPr>
          <w:sz w:val="24"/>
          <w:szCs w:val="22"/>
        </w:rPr>
      </w:pPr>
      <w:r>
        <w:rPr>
          <w:rFonts w:hint="eastAsia"/>
          <w:sz w:val="24"/>
          <w:szCs w:val="22"/>
        </w:rPr>
        <w:t>5.2本合同履行过程中发生的任何争议、纠纷，双方应通过友好协商方式解决；协商不成，按照工程承包合同中所约定的争议解决方式解决。</w:t>
      </w:r>
    </w:p>
    <w:p>
      <w:pPr>
        <w:spacing w:line="360" w:lineRule="auto"/>
        <w:ind w:firstLine="480" w:firstLineChars="200"/>
        <w:rPr>
          <w:sz w:val="24"/>
          <w:szCs w:val="22"/>
        </w:rPr>
      </w:pPr>
      <w:r>
        <w:rPr>
          <w:rFonts w:hint="eastAsia"/>
          <w:sz w:val="24"/>
          <w:szCs w:val="22"/>
        </w:rPr>
        <w:t>5.3本合同一式</w:t>
      </w:r>
      <w:r>
        <w:rPr>
          <w:rFonts w:hint="eastAsia"/>
          <w:sz w:val="24"/>
          <w:szCs w:val="22"/>
          <w:u w:val="single"/>
          <w:lang w:val="en-US" w:eastAsia="zh-CN"/>
        </w:rPr>
        <w:t xml:space="preserve"> 陆 </w:t>
      </w:r>
      <w:r>
        <w:rPr>
          <w:rFonts w:hint="eastAsia"/>
          <w:sz w:val="24"/>
          <w:szCs w:val="22"/>
        </w:rPr>
        <w:t>份，甲方执</w:t>
      </w:r>
      <w:r>
        <w:rPr>
          <w:rFonts w:hint="eastAsia"/>
          <w:sz w:val="24"/>
          <w:szCs w:val="22"/>
          <w:u w:val="single"/>
          <w:lang w:val="en-US" w:eastAsia="zh-CN"/>
        </w:rPr>
        <w:t xml:space="preserve"> 伍 </w:t>
      </w:r>
      <w:r>
        <w:rPr>
          <w:rFonts w:hint="eastAsia"/>
          <w:sz w:val="24"/>
          <w:szCs w:val="22"/>
        </w:rPr>
        <w:t>份，乙方执</w:t>
      </w:r>
      <w:r>
        <w:rPr>
          <w:rFonts w:hint="eastAsia"/>
          <w:sz w:val="24"/>
          <w:szCs w:val="22"/>
          <w:u w:val="single"/>
          <w:lang w:val="en-US" w:eastAsia="zh-CN"/>
        </w:rPr>
        <w:t xml:space="preserve"> 壹 </w:t>
      </w:r>
      <w:r>
        <w:rPr>
          <w:rFonts w:hint="eastAsia"/>
          <w:sz w:val="24"/>
          <w:szCs w:val="22"/>
        </w:rPr>
        <w:t>份。由双方法定代表人或其委托代理人签署并加盖公章后生效，全部工程完工验收后终止。</w:t>
      </w:r>
    </w:p>
    <w:p>
      <w:pPr>
        <w:spacing w:line="360" w:lineRule="auto"/>
        <w:textAlignment w:val="baseline"/>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甲方：（盖章）                          乙方：（盖章）</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重庆通力高速公路养护工程有限公司       </w:t>
      </w:r>
    </w:p>
    <w:p>
      <w:pPr>
        <w:keepNext w:val="0"/>
        <w:keepLines w:val="0"/>
        <w:pageBreakBefore w:val="0"/>
        <w:widowControl w:val="0"/>
        <w:kinsoku/>
        <w:wordWrap/>
        <w:overflowPunct/>
        <w:topLinePunct w:val="0"/>
        <w:autoSpaceDE/>
        <w:autoSpaceDN/>
        <w:bidi w:val="0"/>
        <w:adjustRightInd/>
        <w:snapToGrid w:val="0"/>
        <w:spacing w:line="384" w:lineRule="auto"/>
        <w:rPr>
          <w:rFonts w:ascii="宋体" w:hAnsi="宋体"/>
          <w:sz w:val="24"/>
        </w:rPr>
      </w:pPr>
      <w:r>
        <w:rPr>
          <w:rFonts w:hint="eastAsia" w:ascii="宋体" w:hAnsi="宋体"/>
          <w:sz w:val="24"/>
        </w:rPr>
        <w:t>法定代表人                             法定代表人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szCs w:val="20"/>
        </w:rPr>
      </w:pPr>
      <w:r>
        <w:rPr>
          <w:rFonts w:hint="eastAsia" w:ascii="宋体" w:hAnsi="宋体"/>
          <w:sz w:val="24"/>
        </w:rPr>
        <w:t>或授权代表：                           或授权代表：</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项目负责人：                           项目负责人：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经办人：                               经办人： </w:t>
      </w:r>
    </w:p>
    <w:p>
      <w:pPr>
        <w:keepNext w:val="0"/>
        <w:keepLines w:val="0"/>
        <w:pageBreakBefore w:val="0"/>
        <w:widowControl w:val="0"/>
        <w:kinsoku/>
        <w:wordWrap/>
        <w:overflowPunct/>
        <w:topLinePunct w:val="0"/>
        <w:autoSpaceDE/>
        <w:autoSpaceDN/>
        <w:bidi w:val="0"/>
        <w:adjustRightInd/>
        <w:snapToGrid w:val="0"/>
        <w:spacing w:line="384" w:lineRule="auto"/>
        <w:jc w:val="center"/>
        <w:rPr>
          <w:rFonts w:hint="eastAsia" w:ascii="宋体" w:hAnsi="宋体" w:cs="宋体"/>
          <w:b/>
          <w:color w:val="000000"/>
          <w:sz w:val="36"/>
          <w:highlight w:val="none"/>
          <w:lang w:eastAsia="zh-CN"/>
        </w:rPr>
      </w:pPr>
      <w:r>
        <w:rPr>
          <w:rFonts w:hint="eastAsia" w:ascii="宋体"/>
          <w:sz w:val="24"/>
        </w:rPr>
        <w:t>日期：</w:t>
      </w:r>
      <w:r>
        <w:rPr>
          <w:rFonts w:hint="eastAsia" w:ascii="宋体"/>
          <w:sz w:val="24"/>
          <w:lang w:val="en-US" w:eastAsia="zh-CN"/>
        </w:rPr>
        <w:t>2022</w:t>
      </w:r>
      <w:r>
        <w:rPr>
          <w:rFonts w:hint="eastAsia" w:ascii="宋体"/>
          <w:sz w:val="24"/>
        </w:rPr>
        <w:t>年   月   日                 日期：</w:t>
      </w:r>
      <w:r>
        <w:rPr>
          <w:rFonts w:hint="eastAsia" w:ascii="宋体"/>
          <w:sz w:val="24"/>
          <w:lang w:val="en-US" w:eastAsia="zh-CN"/>
        </w:rPr>
        <w:t>2022</w:t>
      </w:r>
      <w:r>
        <w:rPr>
          <w:rFonts w:hint="eastAsia" w:ascii="宋体"/>
          <w:sz w:val="24"/>
        </w:rPr>
        <w:t xml:space="preserve">年    月   日  </w:t>
      </w:r>
    </w:p>
    <w:p>
      <w:pPr>
        <w:jc w:val="center"/>
        <w:rPr>
          <w:rFonts w:hint="eastAsia" w:ascii="宋体" w:hAnsi="宋体" w:cs="宋体"/>
          <w:b/>
          <w:color w:val="auto"/>
          <w:sz w:val="36"/>
          <w:highlight w:val="none"/>
          <w:lang w:eastAsia="zh-CN"/>
        </w:rPr>
        <w:sectPr>
          <w:headerReference r:id="rId9" w:type="default"/>
          <w:footerReference r:id="rId10" w:type="default"/>
          <w:pgSz w:w="11906" w:h="16838"/>
          <w:pgMar w:top="1418" w:right="1361" w:bottom="1418" w:left="1361" w:header="851" w:footer="992" w:gutter="0"/>
          <w:pgNumType w:fmt="decimal"/>
          <w:cols w:space="720" w:num="1"/>
          <w:docGrid w:type="lines" w:linePitch="312" w:charSpace="0"/>
        </w:sectPr>
      </w:pPr>
    </w:p>
    <w:p>
      <w:pPr>
        <w:pStyle w:val="2"/>
        <w:rPr>
          <w:rFonts w:hint="eastAsia"/>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比选申请</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footerReference r:id="rId11" w:type="default"/>
          <w:pgSz w:w="11906" w:h="16838"/>
          <w:pgMar w:top="1418" w:right="1361" w:bottom="1418" w:left="1361" w:header="851" w:footer="992" w:gutter="0"/>
          <w:pgNumType w:fmt="decimal" w:start="1"/>
          <w:cols w:space="720" w:num="1"/>
          <w:docGrid w:type="lines" w:linePitch="312" w:charSpace="0"/>
        </w:sectPr>
      </w:pPr>
    </w:p>
    <w:p>
      <w:pPr>
        <w:jc w:val="center"/>
        <w:rPr>
          <w:rFonts w:hint="eastAsia" w:ascii="宋体" w:hAnsi="宋体" w:cs="宋体"/>
          <w:b/>
          <w:color w:val="auto"/>
          <w:sz w:val="40"/>
          <w:szCs w:val="44"/>
          <w:highlight w:val="none"/>
        </w:rPr>
      </w:pPr>
      <w:r>
        <w:rPr>
          <w:rFonts w:hint="eastAsia" w:ascii="宋体" w:hAnsi="宋体" w:cs="宋体"/>
          <w:b/>
          <w:color w:val="FF0000"/>
          <w:sz w:val="40"/>
          <w:szCs w:val="44"/>
          <w:highlight w:val="none"/>
          <w:u w:val="single"/>
          <w:lang w:val="en-US" w:eastAsia="zh-CN"/>
        </w:rPr>
        <w:t>2022年东北营运分公司所辖高速公路路面功能性修复及预防性养护工程（奉云、奉巫、奉溪段）沥青混合料外协加工</w:t>
      </w:r>
      <w:r>
        <w:rPr>
          <w:rFonts w:hint="eastAsia" w:ascii="宋体" w:hAnsi="宋体" w:cs="宋体"/>
          <w:b/>
          <w:color w:val="auto"/>
          <w:sz w:val="40"/>
          <w:szCs w:val="44"/>
          <w:highlight w:val="none"/>
          <w:u w:val="single"/>
          <w:lang w:eastAsia="zh-CN"/>
        </w:rPr>
        <w:t>比选申请</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比选申请</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jc w:val="center"/>
        <w:outlineLvl w:val="2"/>
        <w:rPr>
          <w:rFonts w:hint="eastAsia" w:ascii="宋体" w:hAnsi="宋体" w:cs="宋体"/>
          <w:b/>
          <w:color w:val="auto"/>
          <w:sz w:val="28"/>
          <w:szCs w:val="28"/>
          <w:highlight w:val="none"/>
        </w:rPr>
      </w:pPr>
      <w:bookmarkStart w:id="32" w:name="_Toc265510122"/>
      <w:r>
        <w:rPr>
          <w:rFonts w:hint="eastAsia" w:ascii="宋体" w:hAnsi="宋体" w:cs="宋体"/>
          <w:b/>
          <w:color w:val="auto"/>
          <w:sz w:val="28"/>
          <w:szCs w:val="28"/>
          <w:highlight w:val="none"/>
        </w:rPr>
        <w:t>一、报价书</w:t>
      </w:r>
      <w:bookmarkEnd w:id="32"/>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ascii="宋体" w:hAnsi="宋体"/>
          <w:b/>
          <w:bCs/>
          <w:color w:val="auto"/>
          <w:szCs w:val="21"/>
          <w:highlight w:val="none"/>
          <w:u w:val="single"/>
          <w:lang w:val="en-US" w:eastAsia="zh-CN"/>
        </w:rPr>
        <w:t>2022年东北营运分公司所辖高速公路路面功能性修复及预防性养护工程（奉云、奉巫、奉溪段）沥青混合料外协加工</w:t>
      </w:r>
      <w:r>
        <w:rPr>
          <w:rFonts w:hint="eastAsia"/>
          <w:color w:val="auto"/>
          <w:szCs w:val="21"/>
          <w:highlight w:val="none"/>
          <w:lang w:eastAsia="zh-CN"/>
        </w:rPr>
        <w:t>竞争性比选</w:t>
      </w:r>
      <w:r>
        <w:rPr>
          <w:color w:val="auto"/>
          <w:szCs w:val="21"/>
          <w:highlight w:val="none"/>
        </w:rPr>
        <w:t>文件的全部内容</w:t>
      </w:r>
      <w:r>
        <w:rPr>
          <w:rFonts w:hint="eastAsia"/>
          <w:color w:val="auto"/>
          <w:szCs w:val="21"/>
          <w:highlight w:val="none"/>
        </w:rPr>
        <w:t>，愿意以总报价（大写）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比选申请</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eastAsia="zh-CN"/>
        </w:rPr>
        <w:t>比选申请人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3" w:name="_Toc262547328"/>
      <w:r>
        <w:rPr>
          <w:rFonts w:hint="eastAsia"/>
          <w:b/>
          <w:color w:val="auto"/>
          <w:szCs w:val="21"/>
          <w:highlight w:val="none"/>
        </w:rPr>
        <w:t>（一）法定代表人身份证明</w:t>
      </w:r>
      <w:bookmarkEnd w:id="33"/>
    </w:p>
    <w:p>
      <w:pPr>
        <w:spacing w:line="440" w:lineRule="exact"/>
        <w:rPr>
          <w:color w:val="auto"/>
          <w:szCs w:val="21"/>
          <w:highlight w:val="none"/>
        </w:rPr>
      </w:pPr>
      <w:r>
        <w:rPr>
          <w:rFonts w:hint="eastAsia"/>
          <w:color w:val="auto"/>
          <w:szCs w:val="21"/>
          <w:highlight w:val="none"/>
          <w:lang w:eastAsia="zh-CN"/>
        </w:rPr>
        <w:t>比选申请人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比选申请人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4" w:name="_Toc262547329"/>
      <w:r>
        <w:rPr>
          <w:rFonts w:hint="eastAsia" w:ascii="宋体" w:hAnsi="宋体" w:cs="宋体"/>
          <w:b/>
          <w:color w:val="auto"/>
          <w:szCs w:val="21"/>
          <w:highlight w:val="none"/>
        </w:rPr>
        <w:t>（二）授权委托书</w:t>
      </w:r>
      <w:bookmarkEnd w:id="34"/>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b/>
          <w:bCs/>
          <w:color w:val="auto"/>
          <w:szCs w:val="21"/>
          <w:highlight w:val="none"/>
          <w:u w:val="single"/>
          <w:lang w:val="en-US" w:eastAsia="zh-CN"/>
        </w:rPr>
        <w:t xml:space="preserve">项目名称          </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w:t>
      </w:r>
      <w:r>
        <w:rPr>
          <w:rFonts w:hint="eastAsia" w:ascii="宋体" w:hAnsi="宋体" w:cs="宋体"/>
          <w:b/>
          <w:bCs/>
          <w:color w:val="auto"/>
          <w:kern w:val="0"/>
          <w:szCs w:val="21"/>
          <w:highlight w:val="none"/>
          <w:lang w:val="en-US" w:eastAsia="zh-CN"/>
        </w:rPr>
        <w:t>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tbl>
      <w:tblPr>
        <w:tblStyle w:val="21"/>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autoSpaceDE w:val="0"/>
        <w:autoSpaceDN w:val="0"/>
        <w:adjustRightInd w:val="0"/>
        <w:snapToGrid w:val="0"/>
        <w:spacing w:line="360" w:lineRule="auto"/>
        <w:jc w:val="left"/>
        <w:rPr>
          <w:rFonts w:hint="eastAsia" w:ascii="宋体" w:hAnsi="宋体" w:cs="宋体"/>
          <w:color w:val="auto"/>
          <w:kern w:val="0"/>
          <w:sz w:val="20"/>
          <w:highlight w:val="none"/>
        </w:rPr>
      </w:pPr>
    </w:p>
    <w:p>
      <w:pPr>
        <w:pStyle w:val="2"/>
        <w:rPr>
          <w:rFonts w:hint="eastAsia"/>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numPr>
          <w:ilvl w:val="0"/>
          <w:numId w:val="6"/>
        </w:numPr>
        <w:tabs>
          <w:tab w:val="left" w:pos="900"/>
          <w:tab w:val="left" w:pos="1080"/>
        </w:tabs>
        <w:spacing w:line="300" w:lineRule="auto"/>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竞争性比选响应单位有效的营业执照、基本账户开户许可证</w:t>
      </w: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rPr>
      </w:pPr>
    </w:p>
    <w:p>
      <w:pPr>
        <w:wordWrap w:val="0"/>
        <w:spacing w:line="480" w:lineRule="exact"/>
        <w:jc w:val="both"/>
        <w:rPr>
          <w:rFonts w:hint="eastAsia"/>
          <w:color w:val="auto"/>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center"/>
        <w:textAlignment w:val="auto"/>
        <w:outlineLvl w:val="0"/>
        <w:rPr>
          <w:rFonts w:hint="default" w:ascii="宋体" w:hAnsi="宋体" w:cs="宋体"/>
          <w:b/>
          <w:bCs w:val="0"/>
          <w:color w:val="000000"/>
          <w:sz w:val="24"/>
          <w:szCs w:val="20"/>
          <w:highlight w:val="none"/>
          <w:lang w:val="en-US" w:eastAsia="zh-CN"/>
        </w:rPr>
      </w:pPr>
      <w:r>
        <w:rPr>
          <w:rFonts w:hint="eastAsia" w:ascii="宋体" w:hAnsi="宋体" w:cs="宋体"/>
          <w:b/>
          <w:bCs w:val="0"/>
          <w:color w:val="000000"/>
          <w:sz w:val="24"/>
          <w:szCs w:val="20"/>
          <w:highlight w:val="none"/>
          <w:lang w:val="en-US" w:eastAsia="zh-CN"/>
        </w:rPr>
        <w:t>四、</w:t>
      </w:r>
      <w:r>
        <w:rPr>
          <w:rFonts w:hint="eastAsia" w:cs="Times New Roman"/>
          <w:b/>
          <w:bCs/>
          <w:color w:val="auto"/>
          <w:sz w:val="24"/>
          <w:szCs w:val="24"/>
          <w:highlight w:val="none"/>
          <w:lang w:val="en-US" w:eastAsia="zh-CN"/>
        </w:rPr>
        <w:t>拌和设备型号证明材料</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rPr>
          <w:rFonts w:hint="eastAsia"/>
          <w:color w:val="auto"/>
          <w:highlight w:val="none"/>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sz w:val="24"/>
          <w:szCs w:val="24"/>
        </w:rPr>
      </w:pPr>
      <w:r>
        <w:rPr>
          <w:rFonts w:hint="eastAsia" w:ascii="宋体" w:hAnsi="宋体" w:cs="宋体"/>
          <w:b/>
          <w:sz w:val="24"/>
          <w:szCs w:val="24"/>
          <w:lang w:val="en-US" w:eastAsia="zh-CN"/>
        </w:rPr>
        <w:t>五</w:t>
      </w:r>
      <w:r>
        <w:rPr>
          <w:rFonts w:hint="eastAsia" w:ascii="宋体" w:hAnsi="宋体" w:cs="宋体"/>
          <w:b/>
          <w:sz w:val="24"/>
          <w:szCs w:val="24"/>
        </w:rPr>
        <w:t>、</w:t>
      </w:r>
      <w:r>
        <w:rPr>
          <w:rFonts w:hint="eastAsia" w:ascii="宋体" w:hAnsi="宋体" w:cs="宋体"/>
          <w:b/>
          <w:sz w:val="24"/>
          <w:szCs w:val="24"/>
          <w:lang w:eastAsia="zh-CN"/>
        </w:rPr>
        <w:t>已标价</w:t>
      </w:r>
      <w:r>
        <w:rPr>
          <w:rFonts w:hint="eastAsia" w:ascii="宋体" w:hAnsi="宋体" w:cs="宋体"/>
          <w:b/>
          <w:sz w:val="24"/>
          <w:szCs w:val="24"/>
        </w:rPr>
        <w:t>报价清单</w:t>
      </w:r>
    </w:p>
    <w:tbl>
      <w:tblPr>
        <w:tblStyle w:val="21"/>
        <w:tblW w:w="14326" w:type="dxa"/>
        <w:tblInd w:w="96" w:type="dxa"/>
        <w:tblLayout w:type="fixed"/>
        <w:tblCellMar>
          <w:top w:w="0" w:type="dxa"/>
          <w:left w:w="108" w:type="dxa"/>
          <w:bottom w:w="0" w:type="dxa"/>
          <w:right w:w="108" w:type="dxa"/>
        </w:tblCellMar>
      </w:tblPr>
      <w:tblGrid>
        <w:gridCol w:w="719"/>
        <w:gridCol w:w="1980"/>
        <w:gridCol w:w="1360"/>
        <w:gridCol w:w="1210"/>
        <w:gridCol w:w="720"/>
        <w:gridCol w:w="1155"/>
        <w:gridCol w:w="1637"/>
        <w:gridCol w:w="1113"/>
        <w:gridCol w:w="1418"/>
        <w:gridCol w:w="1473"/>
        <w:gridCol w:w="1541"/>
      </w:tblGrid>
      <w:tr>
        <w:tblPrEx>
          <w:tblCellMar>
            <w:top w:w="0" w:type="dxa"/>
            <w:left w:w="108" w:type="dxa"/>
            <w:bottom w:w="0" w:type="dxa"/>
            <w:right w:w="108" w:type="dxa"/>
          </w:tblCellMar>
        </w:tblPrEx>
        <w:trPr>
          <w:trHeight w:val="310" w:hRule="atLeast"/>
        </w:trPr>
        <w:tc>
          <w:tcPr>
            <w:tcW w:w="14326" w:type="dxa"/>
            <w:gridSpan w:val="11"/>
            <w:tcBorders>
              <w:top w:val="nil"/>
              <w:left w:val="nil"/>
              <w:bottom w:val="single" w:color="000000" w:sz="8"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货币单位: 人民币 元</w:t>
            </w:r>
          </w:p>
        </w:tc>
      </w:tr>
      <w:tr>
        <w:tblPrEx>
          <w:tblCellMar>
            <w:top w:w="0" w:type="dxa"/>
            <w:left w:w="108" w:type="dxa"/>
            <w:bottom w:w="0" w:type="dxa"/>
            <w:right w:w="108" w:type="dxa"/>
          </w:tblCellMar>
        </w:tblPrEx>
        <w:trPr>
          <w:trHeight w:val="618"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工程位置</w:t>
            </w: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产品规格</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石材要求</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出场单价上限价（元/吨）</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出场单价报价（元/吨）</w:t>
            </w: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1"/>
                <w:szCs w:val="21"/>
                <w:u w:val="none"/>
                <w:lang w:val="en-US" w:eastAsia="zh-CN" w:bidi="ar"/>
              </w:rPr>
              <w:t>1</w:t>
            </w:r>
          </w:p>
        </w:tc>
        <w:tc>
          <w:tcPr>
            <w:tcW w:w="19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b/>
                <w:bCs/>
                <w:i w:val="0"/>
                <w:color w:val="000000"/>
                <w:kern w:val="0"/>
                <w:sz w:val="21"/>
                <w:szCs w:val="21"/>
                <w:u w:val="single"/>
                <w:lang w:val="en-US" w:eastAsia="zh-CN" w:bidi="ar"/>
              </w:rPr>
              <w:t>奉云、奉巫、奉溪段</w:t>
            </w:r>
            <w:r>
              <w:rPr>
                <w:rFonts w:hint="eastAsia" w:ascii="宋体" w:hAnsi="宋体" w:eastAsia="宋体" w:cs="宋体"/>
                <w:i w:val="0"/>
                <w:color w:val="000000"/>
                <w:kern w:val="0"/>
                <w:sz w:val="21"/>
                <w:szCs w:val="21"/>
                <w:u w:val="none"/>
                <w:lang w:val="en-US" w:eastAsia="zh-CN" w:bidi="ar"/>
              </w:rPr>
              <w:t>高速公路沿线</w:t>
            </w: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SMA-13</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玄武石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000000"/>
                <w:kern w:val="0"/>
                <w:sz w:val="22"/>
                <w:szCs w:val="22"/>
                <w:u w:val="none"/>
                <w:lang w:val="en-US" w:eastAsia="zh-CN" w:bidi="ar"/>
              </w:rPr>
              <w:t>13141</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135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000000"/>
                <w:kern w:val="0"/>
                <w:sz w:val="22"/>
                <w:szCs w:val="22"/>
                <w:u w:val="none"/>
                <w:lang w:val="en-US" w:eastAsia="zh-CN" w:bidi="ar"/>
              </w:rPr>
              <w:t>1774035</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98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b/>
                <w:color w:val="0000FF"/>
                <w:sz w:val="24"/>
                <w:szCs w:val="24"/>
                <w:highlight w:val="none"/>
                <w:u w:val="single"/>
                <w:lang w:val="en-US" w:eastAsia="zh-CN"/>
              </w:rPr>
            </w:pP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AC-13</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玄武石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135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15525</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8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b/>
                <w:color w:val="0000FF"/>
                <w:sz w:val="24"/>
                <w:szCs w:val="24"/>
                <w:highlight w:val="none"/>
                <w:u w:val="single"/>
                <w:lang w:val="en-US" w:eastAsia="zh-CN"/>
              </w:rPr>
            </w:pP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AC-20C</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3274</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185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605690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1"/>
                <w:szCs w:val="21"/>
                <w:u w:val="none"/>
                <w:lang w:val="en-US" w:eastAsia="zh-CN" w:bidi="ar"/>
              </w:rPr>
              <w:t>4</w:t>
            </w:r>
          </w:p>
        </w:tc>
        <w:tc>
          <w:tcPr>
            <w:tcW w:w="198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AC-25C</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石灰岩</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000000"/>
                <w:kern w:val="0"/>
                <w:sz w:val="22"/>
                <w:szCs w:val="22"/>
                <w:u w:val="none"/>
                <w:lang w:val="en-US" w:eastAsia="zh-CN" w:bidi="ar"/>
              </w:rPr>
              <w:t>226</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185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000000"/>
                <w:kern w:val="0"/>
                <w:sz w:val="22"/>
                <w:szCs w:val="22"/>
                <w:u w:val="none"/>
                <w:lang w:val="en-US" w:eastAsia="zh-CN" w:bidi="ar"/>
              </w:rPr>
              <w:t>41810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27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16756</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2437060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top"/>
          </w:tcPr>
          <w:p>
            <w:pPr>
              <w:jc w:val="both"/>
              <w:rPr>
                <w:rFonts w:hint="eastAsia" w:ascii="宋体" w:hAnsi="宋体" w:eastAsia="宋体" w:cs="宋体"/>
                <w:i w:val="0"/>
                <w:iCs w:val="0"/>
                <w:color w:val="000000"/>
                <w:sz w:val="21"/>
                <w:szCs w:val="21"/>
                <w:u w:val="none"/>
              </w:rPr>
            </w:pPr>
          </w:p>
        </w:tc>
        <w:tc>
          <w:tcPr>
            <w:tcW w:w="154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99" w:hRule="exact"/>
        </w:trPr>
        <w:tc>
          <w:tcPr>
            <w:tcW w:w="5989"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cs="Times New Roman"/>
                <w:b/>
                <w:bCs/>
                <w:sz w:val="24"/>
                <w:szCs w:val="24"/>
                <w:vertAlign w:val="baseline"/>
                <w:lang w:val="en-US" w:eastAsia="zh-CN"/>
              </w:rPr>
              <w:t>限价合计金额</w:t>
            </w:r>
          </w:p>
        </w:tc>
        <w:tc>
          <w:tcPr>
            <w:tcW w:w="6796" w:type="dxa"/>
            <w:gridSpan w:val="5"/>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b/>
                <w:bCs/>
                <w:sz w:val="24"/>
                <w:szCs w:val="24"/>
                <w:u w:val="single"/>
                <w:vertAlign w:val="baseline"/>
                <w:lang w:val="en-US" w:eastAsia="zh-CN"/>
              </w:rPr>
              <w:t>2437060</w:t>
            </w:r>
            <w:r>
              <w:rPr>
                <w:rFonts w:hint="default" w:ascii="Times New Roman" w:hAnsi="Times New Roman" w:eastAsia="宋体" w:cs="Times New Roman"/>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w:t>
            </w:r>
            <w:r>
              <w:rPr>
                <w:rFonts w:hint="default" w:ascii="Times New Roman" w:hAnsi="Times New Roman" w:eastAsia="宋体" w:cs="Times New Roman"/>
                <w:sz w:val="24"/>
                <w:szCs w:val="24"/>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大写</w:t>
            </w:r>
            <w:r>
              <w:rPr>
                <w:rFonts w:hint="default"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b/>
                <w:bCs/>
                <w:sz w:val="24"/>
                <w:szCs w:val="24"/>
                <w:u w:val="single"/>
                <w:vertAlign w:val="baseline"/>
                <w:lang w:val="en-US" w:eastAsia="zh-CN"/>
              </w:rPr>
              <w:t xml:space="preserve">贰佰肆拾叁万柒仟零陆拾 </w:t>
            </w:r>
            <w:r>
              <w:rPr>
                <w:rFonts w:hint="default" w:ascii="Times New Roman" w:hAnsi="Times New Roman" w:eastAsia="宋体" w:cs="Times New Roman"/>
                <w:b/>
                <w:bCs/>
                <w:sz w:val="24"/>
                <w:szCs w:val="24"/>
                <w:vertAlign w:val="baseline"/>
                <w:lang w:val="en-US" w:eastAsia="zh-CN"/>
              </w:rPr>
              <w:t>元整</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99" w:hRule="exact"/>
        </w:trPr>
        <w:tc>
          <w:tcPr>
            <w:tcW w:w="5989"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cs="Times New Roman"/>
                <w:b/>
                <w:bCs/>
                <w:sz w:val="24"/>
                <w:szCs w:val="24"/>
                <w:vertAlign w:val="baseline"/>
                <w:lang w:val="en-US" w:eastAsia="zh-CN"/>
              </w:rPr>
              <w:t>报价合计金额</w:t>
            </w:r>
          </w:p>
        </w:tc>
        <w:tc>
          <w:tcPr>
            <w:tcW w:w="6796" w:type="dxa"/>
            <w:gridSpan w:val="5"/>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    大写：</w:t>
            </w:r>
            <w:r>
              <w:rPr>
                <w:rFonts w:hint="default" w:ascii="Times New Roman" w:hAnsi="Times New Roman" w:eastAsia="宋体" w:cs="Times New Roman"/>
                <w:b/>
                <w:bCs/>
                <w:sz w:val="24"/>
                <w:szCs w:val="24"/>
                <w:u w:val="single"/>
                <w:vertAlign w:val="baseline"/>
                <w:lang w:val="en-US" w:eastAsia="zh-CN"/>
              </w:rPr>
              <w:t xml:space="preserve">           </w:t>
            </w:r>
            <w:r>
              <w:rPr>
                <w:rFonts w:hint="eastAsia"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元整</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120" w:hRule="atLeast"/>
        </w:trPr>
        <w:tc>
          <w:tcPr>
            <w:tcW w:w="14326" w:type="dxa"/>
            <w:gridSpan w:val="11"/>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以下信息由竞标人如实填报，作为评标使用：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1、竞标人拌和站地址：</w:t>
            </w:r>
            <w:r>
              <w:rPr>
                <w:rFonts w:hint="eastAsia" w:ascii="宋体" w:hAnsi="宋体" w:eastAsia="宋体" w:cs="宋体"/>
                <w:b/>
                <w:bCs/>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2、拌和站距离夔门收费站行驶里程：</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公里（地方道路，竞标人提供导航截图，最终以比选人复核里程为准）。     </w:t>
            </w:r>
            <w:r>
              <w:rPr>
                <w:rFonts w:hint="eastAsia" w:ascii="宋体" w:hAnsi="宋体" w:eastAsia="宋体" w:cs="宋体"/>
                <w:i w:val="0"/>
                <w:iCs w:val="0"/>
                <w:color w:val="000000"/>
                <w:kern w:val="0"/>
                <w:sz w:val="21"/>
                <w:szCs w:val="21"/>
                <w:u w:val="none"/>
                <w:lang w:val="en-US" w:eastAsia="zh-CN" w:bidi="ar"/>
              </w:rPr>
              <w:t xml:space="preserve">                                            </w:t>
            </w:r>
          </w:p>
        </w:tc>
      </w:tr>
      <w:tr>
        <w:tblPrEx>
          <w:tblCellMar>
            <w:top w:w="0" w:type="dxa"/>
            <w:left w:w="108" w:type="dxa"/>
            <w:bottom w:w="0" w:type="dxa"/>
            <w:right w:w="108" w:type="dxa"/>
          </w:tblCellMar>
        </w:tblPrEx>
        <w:trPr>
          <w:trHeight w:val="2040" w:hRule="atLeast"/>
        </w:trPr>
        <w:tc>
          <w:tcPr>
            <w:tcW w:w="14326" w:type="dxa"/>
            <w:gridSpan w:val="11"/>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sz w:val="20"/>
                <w:szCs w:val="18"/>
                <w:lang w:val="en-US" w:eastAsia="zh-CN"/>
              </w:rPr>
            </w:pPr>
            <w:r>
              <w:rPr>
                <w:rFonts w:hint="eastAsia" w:ascii="宋体" w:hAnsi="宋体" w:cs="宋体"/>
                <w:sz w:val="20"/>
                <w:szCs w:val="20"/>
                <w:shd w:val="clear" w:color="auto" w:fill="FFFFFF"/>
                <w:lang w:val="en-US" w:eastAsia="zh-CN"/>
              </w:rPr>
              <w:t>1、</w:t>
            </w:r>
            <w:r>
              <w:rPr>
                <w:rFonts w:hint="eastAsia" w:ascii="宋体" w:hAnsi="宋体" w:eastAsia="宋体" w:cs="宋体"/>
                <w:i w:val="0"/>
                <w:iCs w:val="0"/>
                <w:color w:val="000000"/>
                <w:kern w:val="0"/>
                <w:sz w:val="22"/>
                <w:szCs w:val="22"/>
                <w:u w:val="none"/>
                <w:lang w:val="en-US" w:eastAsia="zh-CN" w:bidi="ar"/>
              </w:rPr>
              <w:t>评标方式：（竞价人拌合站沥青混合料出厂总报价+（比选人运输单价*拌合站距指定地点（</w:t>
            </w:r>
            <w:r>
              <w:rPr>
                <w:rFonts w:hint="eastAsia" w:ascii="宋体" w:hAnsi="宋体" w:cs="宋体"/>
                <w:i w:val="0"/>
                <w:iCs w:val="0"/>
                <w:color w:val="000000"/>
                <w:kern w:val="0"/>
                <w:sz w:val="22"/>
                <w:szCs w:val="22"/>
                <w:u w:val="none"/>
                <w:lang w:val="en-US" w:eastAsia="zh-CN" w:bidi="ar"/>
              </w:rPr>
              <w:t>G42沪蓉高速</w:t>
            </w:r>
            <w:r>
              <w:rPr>
                <w:rFonts w:hint="eastAsia" w:ascii="宋体" w:hAnsi="宋体" w:eastAsia="宋体" w:cs="宋体"/>
                <w:i w:val="0"/>
                <w:iCs w:val="0"/>
                <w:color w:val="000000"/>
                <w:kern w:val="0"/>
                <w:sz w:val="22"/>
                <w:szCs w:val="22"/>
                <w:u w:val="none"/>
                <w:lang w:val="en-US" w:eastAsia="zh-CN" w:bidi="ar"/>
              </w:rPr>
              <w:t>夔门收费站）重载运距公里数*沥青混合料预计生产量吨位）进行评标。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以上单价为综合含税单价，工程量清单中的单价已包含为完成约定工作内容所需的一切费用：包括竞标人拌和站生产沥青混合料所需的原材料费、人工费、机械使用费、燃料、临时水电费用、临时生活设施费、节假日加班费、安全措施费、保险费、升温费、税金、管理费、利润等相关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Times New Roman" w:hAnsi="Times New Roman" w:eastAsia="宋体" w:cs="Times New Roman"/>
                <w:sz w:val="22"/>
                <w:szCs w:val="21"/>
                <w:lang w:val="en-US" w:eastAsia="zh-CN"/>
              </w:rPr>
              <w:t>比选人提供沥青、玄武岩、木质素纤维，其余所有材料（含:石灰岩、矿粉等）、燃油、机械设备、人工等均由竞标人提供</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4、工程量清单中所列工程数量为暂定数量，不能作为最终结算与支付的依据，最终数量以比选人代表确认的实际生产的合格数量为准。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5、比选人组织沥青混合料运输。</w:t>
            </w:r>
          </w:p>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6、增值税税率为13%。</w:t>
            </w:r>
          </w:p>
        </w:tc>
      </w:tr>
    </w:tbl>
    <w:p>
      <w:pPr>
        <w:spacing w:line="440" w:lineRule="exact"/>
        <w:jc w:val="center"/>
        <w:rPr>
          <w:b/>
          <w:bCs/>
          <w:color w:val="auto"/>
          <w:sz w:val="21"/>
          <w:szCs w:val="21"/>
          <w:highlight w:val="none"/>
        </w:rPr>
      </w:pPr>
      <w:r>
        <w:rPr>
          <w:rFonts w:hint="eastAsia"/>
          <w:b/>
          <w:bCs/>
          <w:color w:val="auto"/>
          <w:sz w:val="21"/>
          <w:szCs w:val="21"/>
          <w:highlight w:val="none"/>
          <w:lang w:val="en-US" w:eastAsia="zh-CN"/>
        </w:rPr>
        <w:t xml:space="preserve">                                 </w:t>
      </w:r>
      <w:r>
        <w:rPr>
          <w:rFonts w:hint="eastAsia"/>
          <w:b/>
          <w:bCs/>
          <w:color w:val="auto"/>
          <w:sz w:val="21"/>
          <w:szCs w:val="21"/>
          <w:highlight w:val="none"/>
        </w:rPr>
        <w:t>竞</w:t>
      </w:r>
      <w:r>
        <w:rPr>
          <w:b/>
          <w:bCs/>
          <w:color w:val="auto"/>
          <w:sz w:val="21"/>
          <w:szCs w:val="21"/>
          <w:highlight w:val="none"/>
        </w:rPr>
        <w:t xml:space="preserve"> 标 人</w:t>
      </w:r>
      <w:r>
        <w:rPr>
          <w:rFonts w:hint="eastAsia"/>
          <w:b/>
          <w:bCs/>
          <w:color w:val="auto"/>
          <w:sz w:val="21"/>
          <w:szCs w:val="21"/>
          <w:highlight w:val="none"/>
          <w:lang w:eastAsia="zh-CN"/>
        </w:rPr>
        <w:t>（</w:t>
      </w:r>
      <w:r>
        <w:rPr>
          <w:b/>
          <w:bCs/>
          <w:color w:val="auto"/>
          <w:sz w:val="21"/>
          <w:szCs w:val="21"/>
          <w:highlight w:val="none"/>
        </w:rPr>
        <w:t>盖单位</w:t>
      </w:r>
      <w:r>
        <w:rPr>
          <w:rFonts w:hint="eastAsia"/>
          <w:b/>
          <w:bCs/>
          <w:color w:val="auto"/>
          <w:sz w:val="21"/>
          <w:szCs w:val="21"/>
          <w:highlight w:val="none"/>
          <w:lang w:val="en-US" w:eastAsia="zh-CN"/>
        </w:rPr>
        <w:t>公</w:t>
      </w:r>
      <w:r>
        <w:rPr>
          <w:b/>
          <w:bCs/>
          <w:color w:val="auto"/>
          <w:sz w:val="21"/>
          <w:szCs w:val="21"/>
          <w:highlight w:val="none"/>
        </w:rPr>
        <w:t>章）</w:t>
      </w:r>
      <w:r>
        <w:rPr>
          <w:rFonts w:hint="eastAsia"/>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587" w:firstLineChars="2650"/>
        <w:jc w:val="center"/>
        <w:textAlignment w:val="auto"/>
        <w:rPr>
          <w:rFonts w:hint="eastAsia"/>
          <w:b/>
          <w:bCs/>
          <w:sz w:val="21"/>
          <w:szCs w:val="21"/>
        </w:rPr>
        <w:sectPr>
          <w:pgSz w:w="16838" w:h="11906" w:orient="landscape"/>
          <w:pgMar w:top="896" w:right="1440" w:bottom="896" w:left="144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b/>
          <w:bCs/>
          <w:color w:val="auto"/>
          <w:sz w:val="21"/>
          <w:szCs w:val="21"/>
          <w:highlight w:val="none"/>
        </w:rPr>
        <w:t>法定代表人或其委托代理人：</w:t>
      </w:r>
      <w:r>
        <w:rPr>
          <w:b/>
          <w:bCs/>
          <w:color w:val="auto"/>
          <w:sz w:val="21"/>
          <w:szCs w:val="21"/>
          <w:highlight w:val="none"/>
          <w:u w:val="single"/>
        </w:rPr>
        <w:t xml:space="preserve">      </w:t>
      </w:r>
      <w:r>
        <w:rPr>
          <w:rFonts w:hint="eastAsia"/>
          <w:b/>
          <w:bCs/>
          <w:color w:val="auto"/>
          <w:sz w:val="21"/>
          <w:szCs w:val="21"/>
          <w:highlight w:val="none"/>
          <w:u w:val="single"/>
        </w:rPr>
        <w:t xml:space="preserve">   </w:t>
      </w:r>
      <w:r>
        <w:rPr>
          <w:b/>
          <w:bCs/>
          <w:color w:val="auto"/>
          <w:sz w:val="21"/>
          <w:szCs w:val="21"/>
          <w:highlight w:val="none"/>
          <w:u w:val="single"/>
        </w:rPr>
        <w:t xml:space="preserve"> </w:t>
      </w:r>
      <w:r>
        <w:rPr>
          <w:b/>
          <w:bCs/>
          <w:color w:val="auto"/>
          <w:sz w:val="21"/>
          <w:szCs w:val="21"/>
          <w:highlight w:val="none"/>
        </w:rPr>
        <w:t>（签字）</w:t>
      </w:r>
    </w:p>
    <w:p>
      <w:pPr>
        <w:jc w:val="center"/>
        <w:rPr>
          <w:rFonts w:hint="default"/>
          <w:b/>
          <w:bCs/>
          <w:sz w:val="24"/>
          <w:szCs w:val="22"/>
          <w:lang w:val="en-US" w:eastAsia="zh-CN"/>
        </w:rPr>
      </w:pPr>
      <w:r>
        <w:rPr>
          <w:rFonts w:hint="eastAsia"/>
          <w:b/>
          <w:bCs/>
          <w:sz w:val="24"/>
          <w:szCs w:val="22"/>
          <w:lang w:val="en-US" w:eastAsia="zh-CN"/>
        </w:rPr>
        <w:t>六、竞标人导航截图</w:t>
      </w: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default"/>
          <w:b/>
          <w:bCs/>
          <w:sz w:val="24"/>
          <w:szCs w:val="22"/>
          <w:lang w:val="en-US" w:eastAsia="zh-CN"/>
        </w:rPr>
      </w:pPr>
      <w:r>
        <w:rPr>
          <w:rFonts w:hint="eastAsia"/>
          <w:b/>
          <w:bCs/>
          <w:sz w:val="24"/>
          <w:szCs w:val="22"/>
          <w:lang w:val="en-US" w:eastAsia="zh-CN"/>
        </w:rPr>
        <w:t>评标附件：</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lang w:val="en-US" w:eastAsia="zh-CN"/>
        </w:rPr>
        <w:t>比选人2022</w:t>
      </w:r>
      <w:r>
        <w:rPr>
          <w:rFonts w:hint="eastAsia"/>
          <w:sz w:val="24"/>
          <w:szCs w:val="24"/>
        </w:rPr>
        <w:t>年运输单价表</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rPr>
        <w:t>(此单价</w:t>
      </w:r>
      <w:r>
        <w:rPr>
          <w:rFonts w:hint="eastAsia"/>
          <w:sz w:val="24"/>
          <w:szCs w:val="24"/>
          <w:lang w:val="en-US" w:eastAsia="zh-CN"/>
        </w:rPr>
        <w:t>表用于比选</w:t>
      </w:r>
      <w:r>
        <w:rPr>
          <w:rFonts w:hint="eastAsia"/>
          <w:sz w:val="24"/>
          <w:szCs w:val="24"/>
          <w:lang w:eastAsia="zh-CN"/>
        </w:rPr>
        <w:t>人</w:t>
      </w:r>
      <w:r>
        <w:rPr>
          <w:rFonts w:hint="eastAsia"/>
          <w:sz w:val="24"/>
          <w:szCs w:val="24"/>
          <w:lang w:val="en-US" w:eastAsia="zh-CN"/>
        </w:rPr>
        <w:t>计算竞标人</w:t>
      </w:r>
      <w:r>
        <w:rPr>
          <w:rFonts w:hint="eastAsia"/>
          <w:sz w:val="24"/>
          <w:szCs w:val="24"/>
        </w:rPr>
        <w:t>拌合站至</w:t>
      </w:r>
      <w:r>
        <w:rPr>
          <w:rFonts w:hint="eastAsia"/>
          <w:sz w:val="24"/>
          <w:szCs w:val="24"/>
          <w:lang w:val="en-US" w:eastAsia="zh-CN"/>
        </w:rPr>
        <w:t>G42沪蓉高速夔门收费站的</w:t>
      </w:r>
      <w:r>
        <w:rPr>
          <w:rFonts w:hint="eastAsia"/>
          <w:sz w:val="24"/>
          <w:szCs w:val="24"/>
        </w:rPr>
        <w:t>运距费用）</w:t>
      </w:r>
    </w:p>
    <w:tbl>
      <w:tblPr>
        <w:tblStyle w:val="21"/>
        <w:tblpPr w:leftFromText="180" w:rightFromText="180" w:vertAnchor="text" w:horzAnchor="page" w:tblpXSpec="center" w:tblpY="4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550"/>
        <w:gridCol w:w="1847"/>
        <w:gridCol w:w="1533"/>
        <w:gridCol w:w="17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11" w:type="dxa"/>
            <w:noWrap w:val="0"/>
            <w:vAlign w:val="center"/>
          </w:tcPr>
          <w:p>
            <w:pPr>
              <w:spacing w:line="320" w:lineRule="exact"/>
              <w:jc w:val="center"/>
              <w:rPr>
                <w:rFonts w:ascii="宋体"/>
                <w:sz w:val="24"/>
              </w:rPr>
            </w:pPr>
            <w:r>
              <w:rPr>
                <w:rFonts w:hint="eastAsia" w:ascii="宋体"/>
                <w:sz w:val="24"/>
              </w:rPr>
              <w:t>序号</w:t>
            </w:r>
          </w:p>
        </w:tc>
        <w:tc>
          <w:tcPr>
            <w:tcW w:w="1550" w:type="dxa"/>
            <w:noWrap w:val="0"/>
            <w:vAlign w:val="center"/>
          </w:tcPr>
          <w:p>
            <w:pPr>
              <w:spacing w:line="320" w:lineRule="exact"/>
              <w:jc w:val="center"/>
              <w:rPr>
                <w:rFonts w:ascii="宋体"/>
                <w:sz w:val="24"/>
              </w:rPr>
            </w:pPr>
            <w:r>
              <w:rPr>
                <w:rFonts w:hint="eastAsia" w:ascii="宋体"/>
                <w:sz w:val="24"/>
              </w:rPr>
              <w:t>类别</w:t>
            </w:r>
          </w:p>
        </w:tc>
        <w:tc>
          <w:tcPr>
            <w:tcW w:w="1847" w:type="dxa"/>
            <w:noWrap w:val="0"/>
            <w:vAlign w:val="center"/>
          </w:tcPr>
          <w:p>
            <w:pPr>
              <w:spacing w:line="320" w:lineRule="exact"/>
              <w:ind w:firstLine="0" w:firstLineChars="0"/>
              <w:jc w:val="center"/>
              <w:rPr>
                <w:rFonts w:ascii="宋体"/>
                <w:sz w:val="24"/>
              </w:rPr>
            </w:pPr>
            <w:r>
              <w:rPr>
                <w:rFonts w:hint="eastAsia" w:ascii="宋体"/>
                <w:sz w:val="24"/>
              </w:rPr>
              <w:t>运距</w:t>
            </w:r>
          </w:p>
        </w:tc>
        <w:tc>
          <w:tcPr>
            <w:tcW w:w="1533" w:type="dxa"/>
            <w:noWrap w:val="0"/>
            <w:vAlign w:val="center"/>
          </w:tcPr>
          <w:p>
            <w:pPr>
              <w:spacing w:line="320" w:lineRule="exact"/>
              <w:jc w:val="center"/>
              <w:rPr>
                <w:rFonts w:ascii="宋体"/>
                <w:sz w:val="24"/>
              </w:rPr>
            </w:pPr>
            <w:r>
              <w:rPr>
                <w:rFonts w:hint="eastAsia" w:ascii="宋体"/>
                <w:sz w:val="24"/>
              </w:rPr>
              <w:t>单位</w:t>
            </w:r>
          </w:p>
        </w:tc>
        <w:tc>
          <w:tcPr>
            <w:tcW w:w="1700" w:type="dxa"/>
            <w:noWrap w:val="0"/>
            <w:vAlign w:val="center"/>
          </w:tcPr>
          <w:p>
            <w:pPr>
              <w:spacing w:line="320" w:lineRule="exact"/>
              <w:jc w:val="center"/>
              <w:rPr>
                <w:rFonts w:hint="default" w:ascii="宋体" w:eastAsia="宋体"/>
                <w:sz w:val="24"/>
                <w:highlight w:val="red"/>
                <w:lang w:val="en-US" w:eastAsia="zh-CN"/>
              </w:rPr>
            </w:pPr>
            <w:r>
              <w:rPr>
                <w:rFonts w:hint="eastAsia" w:ascii="宋体"/>
                <w:sz w:val="24"/>
              </w:rPr>
              <w:t>运输单价</w:t>
            </w:r>
            <w:r>
              <w:rPr>
                <w:rFonts w:hint="eastAsia" w:ascii="宋体"/>
                <w:sz w:val="24"/>
                <w:lang w:val="en-US" w:eastAsia="zh-CN"/>
              </w:rPr>
              <w:t>(元）</w:t>
            </w:r>
          </w:p>
        </w:tc>
        <w:tc>
          <w:tcPr>
            <w:tcW w:w="1440" w:type="dxa"/>
            <w:noWrap w:val="0"/>
            <w:vAlign w:val="center"/>
          </w:tcPr>
          <w:p>
            <w:pPr>
              <w:spacing w:line="32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1</w:t>
            </w:r>
          </w:p>
        </w:tc>
        <w:tc>
          <w:tcPr>
            <w:tcW w:w="1550" w:type="dxa"/>
            <w:vMerge w:val="restart"/>
            <w:noWrap w:val="0"/>
            <w:vAlign w:val="center"/>
          </w:tcPr>
          <w:p>
            <w:pPr>
              <w:spacing w:line="320" w:lineRule="exact"/>
              <w:jc w:val="center"/>
              <w:rPr>
                <w:rFonts w:ascii="宋体" w:hAnsi="Times New Roman" w:eastAsia="宋体" w:cs="Times New Roman"/>
                <w:sz w:val="24"/>
              </w:rPr>
            </w:pPr>
            <w:r>
              <w:rPr>
                <w:rFonts w:hint="eastAsia" w:ascii="宋体" w:hAnsi="Times New Roman" w:eastAsia="宋体" w:cs="Times New Roman"/>
                <w:sz w:val="24"/>
              </w:rPr>
              <w:t>沥青混合料运输</w:t>
            </w: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1-10</w:t>
            </w:r>
            <w:r>
              <w:rPr>
                <w:rFonts w:hint="eastAsia" w:ascii="宋体" w:hAnsi="Times New Roman" w:eastAsia="宋体" w:cs="Times New Roman"/>
                <w:sz w:val="24"/>
              </w:rPr>
              <w:t>公里</w:t>
            </w:r>
          </w:p>
        </w:tc>
        <w:tc>
          <w:tcPr>
            <w:tcW w:w="1533" w:type="dxa"/>
            <w:noWrap w:val="0"/>
            <w:vAlign w:val="center"/>
          </w:tcPr>
          <w:p>
            <w:pPr>
              <w:spacing w:line="320" w:lineRule="exact"/>
              <w:jc w:val="center"/>
              <w:rPr>
                <w:rFonts w:ascii="宋体"/>
                <w:sz w:val="24"/>
              </w:rPr>
            </w:pPr>
            <w:r>
              <w:rPr>
                <w:rFonts w:hint="eastAsia" w:ascii="宋体"/>
                <w:sz w:val="24"/>
              </w:rPr>
              <w:t>每吨运价</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14.21</w:t>
            </w:r>
          </w:p>
        </w:tc>
        <w:tc>
          <w:tcPr>
            <w:tcW w:w="1440" w:type="dxa"/>
            <w:vMerge w:val="restart"/>
            <w:noWrap w:val="0"/>
            <w:vAlign w:val="top"/>
          </w:tcPr>
          <w:p>
            <w:pPr>
              <w:spacing w:line="320" w:lineRule="exact"/>
              <w:jc w:val="center"/>
              <w:rPr>
                <w:rFonts w:ascii="宋体"/>
                <w:sz w:val="24"/>
              </w:rPr>
            </w:pPr>
          </w:p>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2</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11-20</w:t>
            </w:r>
            <w:r>
              <w:rPr>
                <w:rFonts w:hint="eastAsia" w:ascii="宋体" w:hAnsi="Times New Roman" w:eastAsia="宋体" w:cs="Times New Roman"/>
                <w:sz w:val="24"/>
              </w:rPr>
              <w:t>公里</w:t>
            </w:r>
          </w:p>
        </w:tc>
        <w:tc>
          <w:tcPr>
            <w:tcW w:w="1533" w:type="dxa"/>
            <w:vMerge w:val="restart"/>
            <w:noWrap w:val="0"/>
            <w:vAlign w:val="center"/>
          </w:tcPr>
          <w:p>
            <w:pPr>
              <w:spacing w:line="320" w:lineRule="exact"/>
              <w:jc w:val="center"/>
              <w:rPr>
                <w:rFonts w:ascii="宋体"/>
                <w:sz w:val="24"/>
              </w:rPr>
            </w:pPr>
            <w:r>
              <w:rPr>
                <w:rFonts w:hint="eastAsia" w:ascii="宋体"/>
                <w:sz w:val="24"/>
              </w:rPr>
              <w:t>每吨</w:t>
            </w:r>
            <w:r>
              <w:rPr>
                <w:rFonts w:hint="eastAsia" w:ascii="宋体" w:hAnsi="宋体"/>
                <w:sz w:val="24"/>
              </w:rPr>
              <w:t>·</w:t>
            </w:r>
            <w:r>
              <w:rPr>
                <w:rFonts w:hint="eastAsia" w:ascii="宋体"/>
                <w:sz w:val="24"/>
              </w:rPr>
              <w:t>每公里运价</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1.29</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3</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21-30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1.23</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4</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31-50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1.16</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5</w:t>
            </w:r>
          </w:p>
        </w:tc>
        <w:tc>
          <w:tcPr>
            <w:tcW w:w="1550" w:type="dxa"/>
            <w:vMerge w:val="continue"/>
            <w:noWrap w:val="0"/>
            <w:vAlign w:val="center"/>
          </w:tcPr>
          <w:p>
            <w:pPr>
              <w:spacing w:line="320" w:lineRule="exact"/>
              <w:jc w:val="center"/>
              <w:rPr>
                <w:rFonts w:ascii="宋体"/>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50</w:t>
            </w:r>
            <w:r>
              <w:rPr>
                <w:rFonts w:hint="eastAsia" w:ascii="宋体" w:hAnsi="Times New Roman" w:eastAsia="宋体" w:cs="Times New Roman"/>
                <w:sz w:val="24"/>
              </w:rPr>
              <w:t>公里以上</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1.05</w:t>
            </w:r>
          </w:p>
        </w:tc>
        <w:tc>
          <w:tcPr>
            <w:tcW w:w="1440" w:type="dxa"/>
            <w:vMerge w:val="continue"/>
            <w:noWrap w:val="0"/>
            <w:vAlign w:val="top"/>
          </w:tcPr>
          <w:p>
            <w:pPr>
              <w:spacing w:line="320" w:lineRule="exact"/>
              <w:jc w:val="center"/>
              <w:rPr>
                <w:rFonts w:ascii="宋体"/>
                <w:sz w:val="24"/>
              </w:rPr>
            </w:pPr>
          </w:p>
        </w:tc>
      </w:tr>
    </w:tbl>
    <w:p>
      <w:pPr>
        <w:pStyle w:val="5"/>
        <w:numPr>
          <w:ilvl w:val="0"/>
          <w:numId w:val="0"/>
        </w:numPr>
        <w:rPr>
          <w:rFonts w:hint="eastAsia"/>
          <w:sz w:val="24"/>
          <w:szCs w:val="24"/>
        </w:rPr>
      </w:pPr>
    </w:p>
    <w:p>
      <w:pPr>
        <w:rPr>
          <w:rFonts w:hint="eastAsia"/>
          <w:lang w:val="en-US" w:eastAsia="zh-CN"/>
        </w:rPr>
      </w:pPr>
    </w:p>
    <w:p>
      <w:pPr>
        <w:pStyle w:val="5"/>
        <w:numPr>
          <w:ilvl w:val="0"/>
          <w:numId w:val="0"/>
        </w:numPr>
        <w:rPr>
          <w:rFonts w:hint="eastAsia"/>
          <w:lang w:val="en-US" w:eastAsia="zh-CN"/>
        </w:rPr>
      </w:pPr>
    </w:p>
    <w:p>
      <w:pPr>
        <w:pStyle w:val="2"/>
        <w:rPr>
          <w:rFonts w:hint="eastAsia"/>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8"/>
          <w:szCs w:val="28"/>
        </w:rPr>
      </w:pPr>
    </w:p>
    <w:p>
      <w:pPr>
        <w:rPr>
          <w:rFonts w:hint="eastAsia"/>
          <w:color w:val="auto"/>
          <w:szCs w:val="22"/>
          <w:highlight w:val="none"/>
          <w:lang w:val="en-US" w:eastAsia="zh-CN"/>
        </w:rPr>
      </w:pPr>
    </w:p>
    <w:sectPr>
      <w:headerReference r:id="rId14" w:type="default"/>
      <w:pgSz w:w="11906" w:h="16838"/>
      <w:pgMar w:top="1440" w:right="1800" w:bottom="1440" w:left="1800" w:header="851"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3-04T11:44:00Z" w:initials="刘">
    <w:p w14:paraId="48230029">
      <w:pPr>
        <w:pStyle w:val="9"/>
        <w:rPr>
          <w:rFonts w:hint="eastAsia" w:eastAsia="宋体"/>
          <w:lang w:val="en-US" w:eastAsia="zh-CN"/>
        </w:rPr>
      </w:pPr>
      <w:r>
        <w:rPr>
          <w:rFonts w:hint="eastAsia"/>
          <w:lang w:val="en-US" w:eastAsia="zh-CN"/>
        </w:rPr>
        <w:t>根据实际进行填写挂网的位置</w:t>
      </w:r>
    </w:p>
  </w:comment>
  <w:comment w:id="1" w:author="罗书" w:date="2016-09-20T11:46:00Z" w:initials="l">
    <w:p w14:paraId="678418BE">
      <w:pPr>
        <w:pStyle w:val="9"/>
      </w:pPr>
      <w:r>
        <w:rPr>
          <w:rFonts w:hint="eastAsia"/>
        </w:rPr>
        <w:t>建议核实材料采购是否需像其他合同一样约定：</w:t>
      </w:r>
    </w:p>
    <w:p w14:paraId="3D6C4AE1">
      <w:pPr>
        <w:pStyle w:val="9"/>
        <w:rPr>
          <w:sz w:val="24"/>
        </w:rPr>
      </w:pPr>
      <w:r>
        <w:rPr>
          <w:rFonts w:hint="eastAsia"/>
          <w:sz w:val="24"/>
        </w:rPr>
        <w:t>“乙方应当开具合法有效的增值税专用发票（如果用于简易征收项目，为“增值税发票”），如不按相关规定开具增值税发票，造成甲方未能抵扣进项税额或造成其他相应的经济损失的，乙方应承担相应的赔偿责任。在甲方向乙方支付合同价款前，乙方应向甲方开具增值税专用发票（或增值税发票），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72AE2CD6">
      <w:pPr>
        <w:pStyle w:val="9"/>
      </w:pPr>
      <w:r>
        <w:rPr>
          <w:rFonts w:hint="eastAsia"/>
          <w:sz w:val="24"/>
        </w:rPr>
        <w:t>“本合同内容经双方同意变更的，如果涉及到合同价款等增值税专用发票记载项目发生变化的，需要作废、重开、补开、红字开具增值税专用发票的，甲乙双方需履行各自的协助义务。”</w:t>
      </w:r>
    </w:p>
  </w:comment>
  <w:comment w:id="2" w:author="Hanson" w:date="2017-07-04T17:40:00Z" w:initials="H">
    <w:p w14:paraId="5F906952">
      <w:pPr>
        <w:pStyle w:val="9"/>
      </w:pPr>
      <w:r>
        <w:rPr>
          <w:rFonts w:hint="eastAsia"/>
        </w:rPr>
        <w:t>该条款未约定具体的违约行为，请核实是否按照此前版本合同约定相应的违约责任。</w:t>
      </w:r>
    </w:p>
  </w:comment>
  <w:comment w:id="3" w:author="20201125徐阳" w:date="2020-11-25T22:23:00Z" w:initials="20201125徐">
    <w:p w14:paraId="6DF11649">
      <w:pPr>
        <w:pStyle w:val="9"/>
      </w:pPr>
      <w:r>
        <w:rPr>
          <w:rFonts w:hint="eastAsia"/>
        </w:rPr>
        <w:t>建议核实是否适用。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72AE2CD6" w15:done="0"/>
  <w15:commentEx w15:paraId="5F906952" w15:done="0"/>
  <w15:commentEx w15:paraId="6DF116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none" w:color="53181A" w:sz="0"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thickThinSmallGap" w:color="53181A" w:sz="24"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none" w:color="auto" w:sz="0" w:space="1"/>
        <w:left w:val="none" w:color="auto" w:sz="0" w:space="4"/>
        <w:bottom w:val="none" w:color="auto" w:sz="0" w:space="1"/>
        <w:right w:val="none" w:color="auto" w:sz="0" w:space="4"/>
        <w:between w:val="none" w:color="auto" w:sz="0" w:space="0"/>
      </w:pBdr>
      <w:wordWrap w:val="0"/>
      <w:topLinePunct/>
      <w:snapToGrid w:val="0"/>
      <w:spacing w:line="240" w:lineRule="auto"/>
      <w:ind w:left="0" w:leftChars="0" w:firstLine="0" w:firstLineChars="0"/>
      <w:jc w:val="both"/>
      <w:outlineLvl w:val="9"/>
      <w:rPr>
        <w:rFonts w:hint="default" w:ascii="Cambria" w:hAnsi="Cambr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11207"/>
    <w:multiLevelType w:val="singleLevel"/>
    <w:tmpl w:val="A6D11207"/>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3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27327E"/>
    <w:multiLevelType w:val="singleLevel"/>
    <w:tmpl w:val="1627327E"/>
    <w:lvl w:ilvl="0" w:tentative="0">
      <w:start w:val="4"/>
      <w:numFmt w:val="chineseCounting"/>
      <w:suff w:val="nothing"/>
      <w:lvlText w:val="%1、"/>
      <w:lvlJc w:val="left"/>
      <w:rPr>
        <w:rFonts w:hint="eastAsia"/>
      </w:r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8179DD"/>
    <w:multiLevelType w:val="singleLevel"/>
    <w:tmpl w:val="5E8179DD"/>
    <w:lvl w:ilvl="0" w:tentative="0">
      <w:start w:val="2"/>
      <w:numFmt w:val="chineseCounting"/>
      <w:suff w:val="nothing"/>
      <w:lvlText w:val="%1、"/>
      <w:lvlJc w:val="left"/>
    </w:lvl>
  </w:abstractNum>
  <w:abstractNum w:abstractNumId="5">
    <w:nsid w:val="5E818095"/>
    <w:multiLevelType w:val="singleLevel"/>
    <w:tmpl w:val="5E818095"/>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rson w15:author="罗书">
    <w15:presenceInfo w15:providerId="None" w15:userId="罗书"/>
  </w15:person>
  <w15:person w15:author="Hanson">
    <w15:presenceInfo w15:providerId="None" w15:userId="Hanson"/>
  </w15:person>
  <w15:person w15:author="20201125徐阳">
    <w15:presenceInfo w15:providerId="None" w15:userId="20201125徐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7D0F"/>
    <w:rsid w:val="00182EBD"/>
    <w:rsid w:val="001B1460"/>
    <w:rsid w:val="00353B17"/>
    <w:rsid w:val="00903959"/>
    <w:rsid w:val="00A83AD0"/>
    <w:rsid w:val="00B41975"/>
    <w:rsid w:val="00D34824"/>
    <w:rsid w:val="018A58CB"/>
    <w:rsid w:val="037E5C84"/>
    <w:rsid w:val="03802AE2"/>
    <w:rsid w:val="042A3990"/>
    <w:rsid w:val="049D49AF"/>
    <w:rsid w:val="052624B3"/>
    <w:rsid w:val="064F3E80"/>
    <w:rsid w:val="06746D22"/>
    <w:rsid w:val="089D7C92"/>
    <w:rsid w:val="09E02DF1"/>
    <w:rsid w:val="0B4A2840"/>
    <w:rsid w:val="0C535F5F"/>
    <w:rsid w:val="0D9755F8"/>
    <w:rsid w:val="0ED4453C"/>
    <w:rsid w:val="0FFA3C1C"/>
    <w:rsid w:val="10370181"/>
    <w:rsid w:val="10CB3AF5"/>
    <w:rsid w:val="1170063A"/>
    <w:rsid w:val="12154897"/>
    <w:rsid w:val="12417B75"/>
    <w:rsid w:val="12E0476B"/>
    <w:rsid w:val="12E77112"/>
    <w:rsid w:val="13806551"/>
    <w:rsid w:val="14C777C1"/>
    <w:rsid w:val="164E0DE7"/>
    <w:rsid w:val="171B6EE5"/>
    <w:rsid w:val="19125F39"/>
    <w:rsid w:val="1BDF2C69"/>
    <w:rsid w:val="1BE0460E"/>
    <w:rsid w:val="1DCF2D5F"/>
    <w:rsid w:val="1E801591"/>
    <w:rsid w:val="1F655E33"/>
    <w:rsid w:val="225A35C8"/>
    <w:rsid w:val="25262BD5"/>
    <w:rsid w:val="266B21A9"/>
    <w:rsid w:val="28115515"/>
    <w:rsid w:val="283E71A7"/>
    <w:rsid w:val="288365ED"/>
    <w:rsid w:val="296561CB"/>
    <w:rsid w:val="2A493E22"/>
    <w:rsid w:val="2BD65CAD"/>
    <w:rsid w:val="2C535729"/>
    <w:rsid w:val="2CC85EE2"/>
    <w:rsid w:val="2D3E05DB"/>
    <w:rsid w:val="2ED368F8"/>
    <w:rsid w:val="2F654DD9"/>
    <w:rsid w:val="30010C7A"/>
    <w:rsid w:val="305344C6"/>
    <w:rsid w:val="31B20DEF"/>
    <w:rsid w:val="33922181"/>
    <w:rsid w:val="34196BCE"/>
    <w:rsid w:val="34D643A8"/>
    <w:rsid w:val="36261957"/>
    <w:rsid w:val="37043239"/>
    <w:rsid w:val="37A60062"/>
    <w:rsid w:val="395F55E8"/>
    <w:rsid w:val="3A5A6066"/>
    <w:rsid w:val="3ACA1E3A"/>
    <w:rsid w:val="3AE35129"/>
    <w:rsid w:val="3BB7198D"/>
    <w:rsid w:val="3CC571DC"/>
    <w:rsid w:val="3ECA28B9"/>
    <w:rsid w:val="3FE7550C"/>
    <w:rsid w:val="42894A41"/>
    <w:rsid w:val="4419274A"/>
    <w:rsid w:val="45605CF4"/>
    <w:rsid w:val="459C4852"/>
    <w:rsid w:val="45BE6BF8"/>
    <w:rsid w:val="46D22C21"/>
    <w:rsid w:val="48DE7494"/>
    <w:rsid w:val="49396F88"/>
    <w:rsid w:val="4A794563"/>
    <w:rsid w:val="4A845C83"/>
    <w:rsid w:val="4AE90539"/>
    <w:rsid w:val="4AFB0F76"/>
    <w:rsid w:val="4CB81F75"/>
    <w:rsid w:val="4D371A30"/>
    <w:rsid w:val="4F31078C"/>
    <w:rsid w:val="4F976887"/>
    <w:rsid w:val="503264DF"/>
    <w:rsid w:val="518935FD"/>
    <w:rsid w:val="520833AB"/>
    <w:rsid w:val="520E0886"/>
    <w:rsid w:val="52412270"/>
    <w:rsid w:val="52C27FEE"/>
    <w:rsid w:val="536F5C64"/>
    <w:rsid w:val="539D0113"/>
    <w:rsid w:val="543C096C"/>
    <w:rsid w:val="55F0105B"/>
    <w:rsid w:val="58B61B08"/>
    <w:rsid w:val="5B2B06FA"/>
    <w:rsid w:val="5BD23026"/>
    <w:rsid w:val="5BF84A80"/>
    <w:rsid w:val="5D284EF1"/>
    <w:rsid w:val="5D3E2967"/>
    <w:rsid w:val="5D4C383E"/>
    <w:rsid w:val="618E6761"/>
    <w:rsid w:val="61C471B3"/>
    <w:rsid w:val="631753FD"/>
    <w:rsid w:val="63EB698C"/>
    <w:rsid w:val="6453379D"/>
    <w:rsid w:val="64D87D36"/>
    <w:rsid w:val="65051FBC"/>
    <w:rsid w:val="655149D9"/>
    <w:rsid w:val="672008BF"/>
    <w:rsid w:val="67846C92"/>
    <w:rsid w:val="67FA760C"/>
    <w:rsid w:val="690F6F65"/>
    <w:rsid w:val="6A0411D8"/>
    <w:rsid w:val="6A7D5B04"/>
    <w:rsid w:val="6AA21659"/>
    <w:rsid w:val="6B970464"/>
    <w:rsid w:val="6C3979C3"/>
    <w:rsid w:val="6C3E104B"/>
    <w:rsid w:val="70BC66A1"/>
    <w:rsid w:val="710F3379"/>
    <w:rsid w:val="7161057A"/>
    <w:rsid w:val="72FA73DA"/>
    <w:rsid w:val="73C81356"/>
    <w:rsid w:val="73FC0A2E"/>
    <w:rsid w:val="74FB3074"/>
    <w:rsid w:val="75BC5C9E"/>
    <w:rsid w:val="77311A03"/>
    <w:rsid w:val="795D5ACB"/>
    <w:rsid w:val="79A2283B"/>
    <w:rsid w:val="7B6A3F09"/>
    <w:rsid w:val="7C762007"/>
    <w:rsid w:val="7F5834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unhideWhenUsed/>
    <w:qFormat/>
    <w:uiPriority w:val="0"/>
    <w:pPr>
      <w:keepNext/>
      <w:keepLines/>
      <w:spacing w:beforeLines="0" w:beforeAutospacing="0" w:afterLines="0" w:afterAutospacing="0" w:line="480" w:lineRule="exact"/>
      <w:ind w:firstLine="0" w:firstLineChars="0"/>
      <w:jc w:val="left"/>
      <w:outlineLvl w:val="1"/>
    </w:pPr>
    <w:rPr>
      <w:rFonts w:ascii="Arial" w:hAnsi="Arial"/>
      <w:b/>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cs="Times New Roman"/>
      <w:b/>
      <w:bCs/>
      <w:color w:val="000000"/>
      <w:kern w:val="0"/>
      <w:sz w:val="28"/>
      <w:szCs w:val="28"/>
    </w:rPr>
  </w:style>
  <w:style w:type="character" w:default="1" w:styleId="23">
    <w:name w:val="Default Paragraph Font"/>
    <w:qFormat/>
    <w:uiPriority w:val="0"/>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26"/>
    <w:qFormat/>
    <w:uiPriority w:val="0"/>
    <w:rPr>
      <w:rFonts w:ascii="宋体"/>
      <w:sz w:val="18"/>
      <w:szCs w:val="18"/>
    </w:rPr>
  </w:style>
  <w:style w:type="paragraph" w:styleId="9">
    <w:name w:val="annotation text"/>
    <w:basedOn w:val="1"/>
    <w:link w:val="27"/>
    <w:unhideWhenUsed/>
    <w:qFormat/>
    <w:uiPriority w:val="99"/>
    <w:pPr>
      <w:jc w:val="left"/>
    </w:pPr>
  </w:style>
  <w:style w:type="paragraph" w:styleId="10">
    <w:name w:val="Body Text"/>
    <w:basedOn w:val="1"/>
    <w:next w:val="1"/>
    <w:qFormat/>
    <w:uiPriority w:val="0"/>
    <w:pPr>
      <w:spacing w:after="120" w:afterLines="0"/>
    </w:pPr>
  </w:style>
  <w:style w:type="paragraph" w:styleId="11">
    <w:name w:val="Body Text Indent"/>
    <w:basedOn w:val="1"/>
    <w:qFormat/>
    <w:uiPriority w:val="0"/>
    <w:pPr>
      <w:spacing w:line="700" w:lineRule="exact"/>
      <w:ind w:left="960"/>
    </w:pPr>
    <w:rPr>
      <w:sz w:val="44"/>
    </w:rPr>
  </w:style>
  <w:style w:type="paragraph" w:styleId="12">
    <w:name w:val="Plain Text"/>
    <w:basedOn w:val="1"/>
    <w:unhideWhenUsed/>
    <w:qFormat/>
    <w:uiPriority w:val="99"/>
    <w:rPr>
      <w:rFonts w:ascii="宋体" w:hAnsi="Courier New"/>
      <w:szCs w:val="21"/>
    </w:rPr>
  </w:style>
  <w:style w:type="paragraph" w:styleId="13">
    <w:name w:val="Date"/>
    <w:basedOn w:val="1"/>
    <w:next w:val="1"/>
    <w:qFormat/>
    <w:uiPriority w:val="0"/>
    <w:pPr>
      <w:ind w:left="100" w:leftChars="2500"/>
    </w:pPr>
  </w:style>
  <w:style w:type="paragraph" w:styleId="14">
    <w:name w:val="Balloon Text"/>
    <w:basedOn w:val="1"/>
    <w:link w:val="28"/>
    <w:unhideWhenUsed/>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b/>
      <w:bCs/>
      <w:caps/>
      <w:sz w:val="20"/>
    </w:rPr>
  </w:style>
  <w:style w:type="paragraph" w:styleId="18">
    <w:name w:val="Normal (Web)"/>
    <w:basedOn w:val="1"/>
    <w:unhideWhenUsed/>
    <w:qFormat/>
    <w:uiPriority w:val="99"/>
    <w:pPr>
      <w:spacing w:beforeAutospacing="1" w:afterAutospacing="1"/>
      <w:jc w:val="left"/>
    </w:pPr>
    <w:rPr>
      <w:rFonts w:cs="Times New Roman"/>
      <w:kern w:val="0"/>
      <w:sz w:val="24"/>
    </w:rPr>
  </w:style>
  <w:style w:type="paragraph" w:styleId="19">
    <w:name w:val="index 1"/>
    <w:basedOn w:val="1"/>
    <w:next w:val="1"/>
    <w:qFormat/>
    <w:uiPriority w:val="0"/>
    <w:pPr>
      <w:spacing w:line="360" w:lineRule="auto"/>
      <w:jc w:val="center"/>
    </w:pPr>
    <w:rPr>
      <w:rFonts w:ascii="宋体" w:hAnsi="Arial" w:cs="Arial"/>
      <w:b/>
      <w:color w:val="000000"/>
      <w:sz w:val="24"/>
      <w:szCs w:val="24"/>
    </w:rPr>
  </w:style>
  <w:style w:type="paragraph" w:styleId="20">
    <w:name w:val="annotation subject"/>
    <w:basedOn w:val="9"/>
    <w:next w:val="9"/>
    <w:link w:val="29"/>
    <w:unhideWhenUsed/>
    <w:qFormat/>
    <w:uiPriority w:val="99"/>
    <w:rPr>
      <w:b/>
      <w:bCs/>
    </w:rPr>
  </w:style>
  <w:style w:type="table" w:styleId="22">
    <w:name w:val="Table Grid"/>
    <w:basedOn w:val="2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unhideWhenUsed/>
    <w:qFormat/>
    <w:uiPriority w:val="99"/>
    <w:rPr>
      <w:sz w:val="21"/>
      <w:szCs w:val="21"/>
    </w:rPr>
  </w:style>
  <w:style w:type="character" w:customStyle="1" w:styleId="26">
    <w:name w:val="文档结构图 Char"/>
    <w:link w:val="8"/>
    <w:qFormat/>
    <w:uiPriority w:val="0"/>
    <w:rPr>
      <w:rFonts w:ascii="宋体"/>
      <w:kern w:val="2"/>
      <w:sz w:val="18"/>
      <w:szCs w:val="18"/>
    </w:rPr>
  </w:style>
  <w:style w:type="character" w:customStyle="1" w:styleId="27">
    <w:name w:val="批注文字 Char"/>
    <w:link w:val="9"/>
    <w:qFormat/>
    <w:uiPriority w:val="99"/>
    <w:rPr>
      <w:kern w:val="2"/>
      <w:sz w:val="21"/>
    </w:rPr>
  </w:style>
  <w:style w:type="character" w:customStyle="1" w:styleId="28">
    <w:name w:val="批注框文本 Char"/>
    <w:link w:val="14"/>
    <w:semiHidden/>
    <w:qFormat/>
    <w:uiPriority w:val="99"/>
    <w:rPr>
      <w:kern w:val="2"/>
      <w:sz w:val="18"/>
      <w:szCs w:val="18"/>
    </w:rPr>
  </w:style>
  <w:style w:type="character" w:customStyle="1" w:styleId="29">
    <w:name w:val="批注主题 Char"/>
    <w:link w:val="20"/>
    <w:semiHidden/>
    <w:qFormat/>
    <w:uiPriority w:val="99"/>
    <w:rPr>
      <w:b/>
      <w:bCs/>
      <w:kern w:val="2"/>
      <w:sz w:val="21"/>
    </w:rPr>
  </w:style>
  <w:style w:type="character" w:customStyle="1" w:styleId="30">
    <w:name w:val="占位符文本1"/>
    <w:basedOn w:val="23"/>
    <w:semiHidden/>
    <w:qFormat/>
    <w:uiPriority w:val="99"/>
    <w:rPr>
      <w:color w:val="808080"/>
    </w:rPr>
  </w:style>
  <w:style w:type="character" w:customStyle="1" w:styleId="31">
    <w:name w:val="font01"/>
    <w:qFormat/>
    <w:uiPriority w:val="0"/>
    <w:rPr>
      <w:rFonts w:hint="eastAsia" w:ascii="宋体" w:hAnsi="宋体" w:eastAsia="宋体" w:cs="宋体"/>
      <w:color w:val="000000"/>
      <w:sz w:val="22"/>
      <w:szCs w:val="22"/>
      <w:u w:val="none"/>
    </w:rPr>
  </w:style>
  <w:style w:type="paragraph" w:customStyle="1" w:styleId="32">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33">
    <w:name w:val="彩色列表 - 强调文字颜色 11"/>
    <w:basedOn w:val="1"/>
    <w:qFormat/>
    <w:uiPriority w:val="0"/>
    <w:pPr>
      <w:widowControl/>
      <w:ind w:firstLine="420"/>
    </w:pPr>
    <w:rPr>
      <w:rFonts w:ascii="Calibri" w:hAnsi="Calibri" w:cs="Calibri"/>
      <w:kern w:val="0"/>
      <w:szCs w:val="21"/>
    </w:rPr>
  </w:style>
  <w:style w:type="paragraph" w:customStyle="1" w:styleId="34">
    <w:name w:val="列出段落1"/>
    <w:basedOn w:val="1"/>
    <w:qFormat/>
    <w:uiPriority w:val="99"/>
    <w:pPr>
      <w:ind w:firstLine="420" w:firstLineChars="200"/>
    </w:pPr>
    <w:rPr>
      <w:rFonts w:ascii="Calibri" w:hAnsi="Calibri" w:cs="Calibri"/>
      <w:szCs w:val="21"/>
    </w:rPr>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33</Pages>
  <Words>15485</Words>
  <Characters>16326</Characters>
  <Lines>101</Lines>
  <Paragraphs>28</Paragraphs>
  <TotalTime>44</TotalTime>
  <ScaleCrop>false</ScaleCrop>
  <LinksUpToDate>false</LinksUpToDate>
  <CharactersWithSpaces>17906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2018-05-08T01:30:00Z</dcterms:created>
  <dc:creator>宋海涛</dc:creator>
  <cp:lastModifiedBy>依楼听风雨</cp:lastModifiedBy>
  <cp:lastPrinted>2017-05-07T03:04:00Z</cp:lastPrinted>
  <dcterms:modified xsi:type="dcterms:W3CDTF">2022-04-24T07:05:51Z</dcterms:modified>
  <dc:title>重庆高速公路集团有限公司南方营运分公司服务区保安值守服务项目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F486ED24E9894ECEABBCF90B8017A446</vt:lpwstr>
  </property>
  <property fmtid="{D5CDD505-2E9C-101B-9397-08002B2CF9AE}" pid="4" name="commondata">
    <vt:lpwstr>eyJoZGlkIjoiNzIwNzYyNWVmNzA4OWUzZjE5NzgyOTA2YjYzOGRmNjMifQ==</vt:lpwstr>
  </property>
</Properties>
</file>