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themeColor="text1"/>
          <w:szCs w:val="21"/>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bookmarkStart w:id="0" w:name="OLE_LINK4"/>
      <w:r>
        <w:rPr>
          <w:rFonts w:hint="eastAsia" w:ascii="宋体" w:hAnsi="宋体"/>
          <w:b/>
          <w:color w:val="000000" w:themeColor="text1"/>
          <w:spacing w:val="20"/>
          <w:sz w:val="72"/>
          <w:szCs w:val="72"/>
          <w:lang w:val="en-US" w:eastAsia="zh-CN"/>
          <w14:textFill>
            <w14:solidFill>
              <w14:schemeClr w14:val="tx1"/>
            </w14:solidFill>
          </w14:textFill>
        </w:rPr>
        <w:t>重庆首讯科技股份有限公司</w:t>
      </w:r>
      <w:r>
        <w:rPr>
          <w:rFonts w:hint="eastAsia" w:ascii="宋体" w:hAnsi="宋体"/>
          <w:b/>
          <w:color w:val="000000" w:themeColor="text1"/>
          <w:spacing w:val="20"/>
          <w:sz w:val="72"/>
          <w:szCs w:val="72"/>
          <w14:textFill>
            <w14:solidFill>
              <w14:schemeClr w14:val="tx1"/>
            </w14:solidFill>
          </w14:textFill>
        </w:rPr>
        <w:t>绩效薪酬设计</w:t>
      </w:r>
      <w:r>
        <w:rPr>
          <w:rFonts w:hint="eastAsia" w:ascii="宋体" w:hAnsi="宋体"/>
          <w:b/>
          <w:color w:val="000000" w:themeColor="text1"/>
          <w:spacing w:val="20"/>
          <w:sz w:val="72"/>
          <w:szCs w:val="72"/>
          <w:lang w:val="en-US" w:eastAsia="zh-CN"/>
          <w14:textFill>
            <w14:solidFill>
              <w14:schemeClr w14:val="tx1"/>
            </w14:solidFill>
          </w14:textFill>
        </w:rPr>
        <w:t>服务项目</w:t>
      </w:r>
    </w:p>
    <w:bookmarkEnd w:id="0"/>
    <w:p>
      <w:pPr>
        <w:jc w:val="center"/>
        <w:rPr>
          <w:rFonts w:ascii="宋体" w:hAnsi="宋体"/>
          <w:b/>
          <w:color w:val="000000" w:themeColor="text1"/>
          <w:spacing w:val="20"/>
          <w:sz w:val="72"/>
          <w:szCs w:val="72"/>
          <w14:textFill>
            <w14:solidFill>
              <w14:schemeClr w14:val="tx1"/>
            </w14:solidFill>
          </w14:textFill>
        </w:rPr>
      </w:pPr>
    </w:p>
    <w:p>
      <w:pPr>
        <w:rPr>
          <w:rFonts w:ascii="宋体" w:hAnsi="宋体"/>
          <w:color w:val="000000" w:themeColor="text1"/>
          <w:szCs w:val="21"/>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r>
        <w:rPr>
          <w:rFonts w:hint="eastAsia" w:ascii="宋体" w:hAnsi="宋体"/>
          <w:b/>
          <w:color w:val="000000" w:themeColor="text1"/>
          <w:spacing w:val="20"/>
          <w:sz w:val="72"/>
          <w:szCs w:val="72"/>
          <w14:textFill>
            <w14:solidFill>
              <w14:schemeClr w14:val="tx1"/>
            </w14:solidFill>
          </w14:textFill>
        </w:rPr>
        <w:t>竞争性比选文件</w:t>
      </w:r>
    </w:p>
    <w:p>
      <w:pPr>
        <w:jc w:val="center"/>
        <w:rPr>
          <w:rFonts w:ascii="宋体" w:hAnsi="宋体"/>
          <w:b/>
          <w:color w:val="000000" w:themeColor="text1"/>
          <w:spacing w:val="20"/>
          <w:sz w:val="72"/>
          <w:szCs w:val="72"/>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p>
    <w:p>
      <w:pPr>
        <w:jc w:val="center"/>
        <w:rPr>
          <w:rFonts w:ascii="宋体" w:hAnsi="宋体"/>
          <w:b/>
          <w:color w:val="000000" w:themeColor="text1"/>
          <w:spacing w:val="20"/>
          <w:sz w:val="72"/>
          <w:szCs w:val="72"/>
          <w14:textFill>
            <w14:solidFill>
              <w14:schemeClr w14:val="tx1"/>
            </w14:solidFill>
          </w14:textFill>
        </w:rPr>
      </w:pPr>
    </w:p>
    <w:p>
      <w:pPr>
        <w:pStyle w:val="10"/>
        <w:snapToGrid w:val="0"/>
        <w:ind w:firstLine="574" w:firstLineChars="150"/>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重庆首讯科技股份有限公司</w:t>
      </w:r>
    </w:p>
    <w:p>
      <w:pPr>
        <w:pStyle w:val="10"/>
        <w:snapToGrid w:val="0"/>
        <w:ind w:firstLine="574" w:firstLineChars="150"/>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202</w:t>
      </w:r>
      <w:r>
        <w:rPr>
          <w:rFonts w:ascii="宋体" w:hAnsi="宋体"/>
          <w:color w:val="000000" w:themeColor="text1"/>
          <w:sz w:val="32"/>
          <w:szCs w:val="32"/>
          <w14:textFill>
            <w14:solidFill>
              <w14:schemeClr w14:val="tx1"/>
            </w14:solidFill>
          </w14:textFill>
        </w:rPr>
        <w:t>1</w:t>
      </w:r>
      <w:r>
        <w:rPr>
          <w:rFonts w:hint="eastAsia" w:ascii="宋体" w:hAnsi="宋体"/>
          <w:color w:val="000000" w:themeColor="text1"/>
          <w:sz w:val="32"/>
          <w:szCs w:val="32"/>
          <w14:textFill>
            <w14:solidFill>
              <w14:schemeClr w14:val="tx1"/>
            </w14:solidFill>
          </w14:textFill>
        </w:rPr>
        <w:t>年</w:t>
      </w:r>
      <w:r>
        <w:rPr>
          <w:rFonts w:hint="eastAsia" w:ascii="宋体" w:hAnsi="宋体"/>
          <w:color w:val="000000" w:themeColor="text1"/>
          <w:sz w:val="32"/>
          <w:szCs w:val="32"/>
          <w:lang w:val="en-US" w:eastAsia="zh-CN"/>
          <w14:textFill>
            <w14:solidFill>
              <w14:schemeClr w14:val="tx1"/>
            </w14:solidFill>
          </w14:textFill>
        </w:rPr>
        <w:t>6</w:t>
      </w:r>
      <w:r>
        <w:rPr>
          <w:rFonts w:hint="eastAsia" w:ascii="宋体" w:hAnsi="宋体"/>
          <w:color w:val="000000" w:themeColor="text1"/>
          <w:sz w:val="32"/>
          <w:szCs w:val="32"/>
          <w14:textFill>
            <w14:solidFill>
              <w14:schemeClr w14:val="tx1"/>
            </w14:solidFill>
          </w14:textFill>
        </w:rPr>
        <w:t>月</w:t>
      </w: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sectPr>
          <w:headerReference r:id="rId3" w:type="default"/>
          <w:footerReference r:id="rId4" w:type="default"/>
          <w:pgSz w:w="11906" w:h="16838"/>
          <w:pgMar w:top="1440" w:right="1797" w:bottom="1440" w:left="1797" w:header="851" w:footer="992" w:gutter="0"/>
          <w:cols w:space="720" w:num="1"/>
          <w:docGrid w:type="linesAndChars" w:linePitch="317" w:charSpace="640"/>
        </w:sectPr>
      </w:pPr>
    </w:p>
    <w:p>
      <w:pPr>
        <w:pStyle w:val="3"/>
        <w:spacing w:before="0" w:after="0" w:line="360" w:lineRule="auto"/>
        <w:rPr>
          <w:rFonts w:hint="eastAsia" w:ascii="宋体" w:hAnsi="宋体" w:eastAsia="宋体" w:cs="宋体"/>
          <w:b/>
          <w:bCs/>
          <w:kern w:val="0"/>
          <w:sz w:val="48"/>
          <w:szCs w:val="48"/>
          <w:lang w:val="en-US" w:eastAsia="zh-CN" w:bidi="ar-SA"/>
        </w:rPr>
      </w:pPr>
      <w:r>
        <w:rPr>
          <w:rFonts w:hint="eastAsia"/>
          <w:color w:val="000000" w:themeColor="text1"/>
          <w:spacing w:val="10"/>
          <w:sz w:val="48"/>
          <w:szCs w:val="48"/>
          <w:lang w:val="en-US" w:eastAsia="zh-CN"/>
          <w14:textFill>
            <w14:solidFill>
              <w14:schemeClr w14:val="tx1"/>
            </w14:solidFill>
          </w14:textFill>
        </w:rPr>
        <w:t xml:space="preserve">第一章 </w:t>
      </w:r>
      <w:r>
        <w:rPr>
          <w:rFonts w:hint="eastAsia"/>
          <w:color w:val="000000" w:themeColor="text1"/>
          <w:spacing w:val="10"/>
          <w:sz w:val="48"/>
          <w:szCs w:val="48"/>
          <w14:textFill>
            <w14:solidFill>
              <w14:schemeClr w14:val="tx1"/>
            </w14:solidFill>
          </w14:textFill>
        </w:rPr>
        <w:t>竞争性比选公告</w:t>
      </w:r>
    </w:p>
    <w:p>
      <w:pPr>
        <w:spacing w:line="360" w:lineRule="auto"/>
        <w:ind w:firstLine="486" w:firstLineChars="200"/>
        <w:rPr>
          <w:color w:val="000000" w:themeColor="text1"/>
          <w:sz w:val="24"/>
          <w:szCs w:val="28"/>
          <w14:textFill>
            <w14:solidFill>
              <w14:schemeClr w14:val="tx1"/>
            </w14:solidFill>
          </w14:textFill>
        </w:rPr>
      </w:pPr>
    </w:p>
    <w:p>
      <w:pPr>
        <w:pStyle w:val="4"/>
        <w:spacing w:before="0" w:after="0" w:line="360" w:lineRule="auto"/>
        <w:rPr>
          <w:rFonts w:hint="eastAsia" w:ascii="宋体" w:hAnsi="宋体" w:eastAsia="宋体" w:cs="宋体"/>
        </w:rPr>
      </w:pPr>
      <w:bookmarkStart w:id="1" w:name="_Toc144974480"/>
      <w:bookmarkStart w:id="2" w:name="_Toc11329213"/>
      <w:bookmarkStart w:id="3" w:name="_Toc507319891"/>
      <w:bookmarkStart w:id="4" w:name="_Toc247085672"/>
      <w:bookmarkStart w:id="5" w:name="_Toc12048"/>
      <w:bookmarkStart w:id="6" w:name="_Toc152045512"/>
      <w:bookmarkStart w:id="7" w:name="_Toc10076"/>
      <w:bookmarkStart w:id="8" w:name="_Toc246996158"/>
      <w:bookmarkStart w:id="9" w:name="_Toc179632528"/>
      <w:bookmarkStart w:id="10" w:name="_Toc24874"/>
      <w:bookmarkStart w:id="11" w:name="_Toc246996901"/>
      <w:bookmarkStart w:id="12" w:name="_Toc6549"/>
      <w:bookmarkStart w:id="13" w:name="_Toc152042288"/>
      <w:r>
        <w:rPr>
          <w:rFonts w:hint="eastAsia" w:ascii="宋体" w:hAnsi="宋体" w:eastAsia="宋体" w:cs="宋体"/>
        </w:rPr>
        <w:t>1.比选条件</w:t>
      </w:r>
      <w:bookmarkEnd w:id="1"/>
      <w:bookmarkEnd w:id="2"/>
      <w:bookmarkEnd w:id="3"/>
      <w:bookmarkEnd w:id="4"/>
      <w:bookmarkEnd w:id="5"/>
      <w:bookmarkEnd w:id="6"/>
      <w:bookmarkEnd w:id="7"/>
      <w:bookmarkEnd w:id="8"/>
      <w:bookmarkEnd w:id="9"/>
      <w:bookmarkEnd w:id="10"/>
      <w:bookmarkEnd w:id="11"/>
      <w:bookmarkEnd w:id="12"/>
      <w:bookmarkEnd w:id="13"/>
    </w:p>
    <w:p>
      <w:pPr>
        <w:spacing w:line="360" w:lineRule="auto"/>
        <w:ind w:firstLine="486"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本竞争性比选项目</w:t>
      </w:r>
      <w:r>
        <w:rPr>
          <w:rFonts w:hint="eastAsia"/>
          <w:color w:val="000000" w:themeColor="text1"/>
          <w:sz w:val="24"/>
          <w:szCs w:val="28"/>
          <w:u w:val="single"/>
          <w14:textFill>
            <w14:solidFill>
              <w14:schemeClr w14:val="tx1"/>
            </w14:solidFill>
          </w14:textFill>
        </w:rPr>
        <w:t>重庆首讯科技股份有限公司绩效薪酬设计服务项目</w:t>
      </w:r>
      <w:r>
        <w:rPr>
          <w:rFonts w:hint="eastAsia"/>
          <w:color w:val="000000" w:themeColor="text1"/>
          <w:sz w:val="24"/>
          <w:szCs w:val="28"/>
          <w14:textFill>
            <w14:solidFill>
              <w14:schemeClr w14:val="tx1"/>
            </w14:solidFill>
          </w14:textFill>
        </w:rPr>
        <w:t>，采购人为</w:t>
      </w:r>
      <w:r>
        <w:rPr>
          <w:rFonts w:hint="eastAsia"/>
          <w:color w:val="000000" w:themeColor="text1"/>
          <w:sz w:val="24"/>
          <w:szCs w:val="28"/>
          <w:u w:val="single"/>
          <w14:textFill>
            <w14:solidFill>
              <w14:schemeClr w14:val="tx1"/>
            </w14:solidFill>
          </w14:textFill>
        </w:rPr>
        <w:t>重庆首讯科技股份有限公司</w:t>
      </w:r>
      <w:r>
        <w:rPr>
          <w:rFonts w:hint="eastAsia"/>
          <w:color w:val="000000" w:themeColor="text1"/>
          <w:sz w:val="24"/>
          <w:szCs w:val="28"/>
          <w14:textFill>
            <w14:solidFill>
              <w14:schemeClr w14:val="tx1"/>
            </w14:solidFill>
          </w14:textFill>
        </w:rPr>
        <w:t>，该项目已具备比选条件，现对该项目进行竞争性比选。</w:t>
      </w:r>
    </w:p>
    <w:p>
      <w:pPr>
        <w:pStyle w:val="4"/>
        <w:spacing w:before="0" w:after="0" w:line="360" w:lineRule="auto"/>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lang w:val="en-US" w:eastAsia="zh-CN"/>
        </w:rPr>
        <w:t>项目</w:t>
      </w:r>
      <w:r>
        <w:rPr>
          <w:rFonts w:hint="eastAsia" w:ascii="宋体" w:hAnsi="宋体" w:eastAsia="宋体" w:cs="宋体"/>
        </w:rPr>
        <w:t>概述</w:t>
      </w:r>
    </w:p>
    <w:p>
      <w:pPr>
        <w:pStyle w:val="4"/>
        <w:pageBreakBefore w:val="0"/>
        <w:widowControl w:val="0"/>
        <w:kinsoku/>
        <w:wordWrap/>
        <w:overflowPunct/>
        <w:topLinePunct w:val="0"/>
        <w:autoSpaceDE/>
        <w:autoSpaceDN/>
        <w:bidi w:val="0"/>
        <w:adjustRightInd/>
        <w:snapToGrid/>
        <w:spacing w:before="0" w:after="0" w:line="360" w:lineRule="auto"/>
        <w:ind w:left="0" w:leftChars="0" w:right="0" w:rightChars="0" w:firstLine="486" w:firstLineChars="200"/>
        <w:jc w:val="both"/>
        <w:textAlignment w:val="auto"/>
        <w:rPr>
          <w:rFonts w:hint="eastAsia" w:ascii="Times New Roman" w:hAnsi="Times New Roman"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8"/>
          <w:lang w:val="en-US" w:eastAsia="zh-CN" w:bidi="ar-SA"/>
          <w14:textFill>
            <w14:solidFill>
              <w14:schemeClr w14:val="tx1"/>
            </w14:solidFill>
          </w14:textFill>
        </w:rPr>
        <w:t>2.1服务内容：</w:t>
      </w:r>
      <w:r>
        <w:rPr>
          <w:rFonts w:hint="eastAsia" w:ascii="Times New Roman" w:hAnsi="Times New Roman" w:cs="Times New Roman"/>
          <w:b w:val="0"/>
          <w:bCs w:val="0"/>
          <w:color w:val="000000" w:themeColor="text1"/>
          <w:kern w:val="2"/>
          <w:sz w:val="24"/>
          <w:szCs w:val="28"/>
          <w:lang w:val="en-US" w:eastAsia="zh-CN" w:bidi="ar-SA"/>
          <w14:textFill>
            <w14:solidFill>
              <w14:schemeClr w14:val="tx1"/>
            </w14:solidFill>
          </w14:textFill>
        </w:rPr>
        <w:t>通过对我司现行人力及薪酬方面的制度进行解读以及对公司运行情况等进行调研、分析，制定出符合我司现行发展需求的绩效薪酬制度</w:t>
      </w:r>
      <w:r>
        <w:rPr>
          <w:rFonts w:hint="eastAsia" w:ascii="Times New Roman" w:hAnsi="Times New Roman" w:eastAsia="宋体" w:cs="Times New Roman"/>
          <w:b w:val="0"/>
          <w:bCs w:val="0"/>
          <w:color w:val="000000" w:themeColor="text1"/>
          <w:kern w:val="2"/>
          <w:sz w:val="24"/>
          <w:szCs w:val="28"/>
          <w:lang w:val="en-US" w:eastAsia="zh-CN" w:bidi="ar-SA"/>
          <w14:textFill>
            <w14:solidFill>
              <w14:schemeClr w14:val="tx1"/>
            </w14:solidFill>
          </w14:textFill>
        </w:rPr>
        <w:t>。</w:t>
      </w:r>
    </w:p>
    <w:p>
      <w:pPr>
        <w:pageBreakBefore w:val="0"/>
        <w:widowControl w:val="0"/>
        <w:numPr>
          <w:ilvl w:val="0"/>
          <w:numId w:val="0"/>
        </w:numPr>
        <w:tabs>
          <w:tab w:val="left" w:pos="3621"/>
        </w:tabs>
        <w:kinsoku/>
        <w:wordWrap/>
        <w:overflowPunct/>
        <w:topLinePunct w:val="0"/>
        <w:autoSpaceDE/>
        <w:autoSpaceDN/>
        <w:bidi w:val="0"/>
        <w:adjustRightInd/>
        <w:snapToGrid/>
        <w:spacing w:line="360" w:lineRule="auto"/>
        <w:ind w:left="0" w:leftChars="0" w:right="0" w:rightChars="0" w:firstLine="486" w:firstLineChars="200"/>
        <w:jc w:val="both"/>
        <w:textAlignment w:val="auto"/>
        <w:rPr>
          <w:rFonts w:hint="eastAsia"/>
          <w:color w:val="000000" w:themeColor="text1"/>
          <w:sz w:val="24"/>
          <w:szCs w:val="28"/>
          <w:lang w:val="en-US" w:eastAsia="zh-CN"/>
          <w14:textFill>
            <w14:solidFill>
              <w14:schemeClr w14:val="tx1"/>
            </w14:solidFill>
          </w14:textFill>
        </w:rPr>
      </w:pPr>
      <w:r>
        <w:rPr>
          <w:rFonts w:hint="eastAsia"/>
          <w:color w:val="000000" w:themeColor="text1"/>
          <w:sz w:val="24"/>
          <w:szCs w:val="28"/>
          <w:lang w:val="en-US" w:eastAsia="zh-CN"/>
          <w14:textFill>
            <w14:solidFill>
              <w14:schemeClr w14:val="tx1"/>
            </w14:solidFill>
          </w14:textFill>
        </w:rPr>
        <w:t>2.2实施地点：重庆首讯科技股份有限公司</w:t>
      </w:r>
    </w:p>
    <w:p>
      <w:pPr>
        <w:pageBreakBefore w:val="0"/>
        <w:widowControl w:val="0"/>
        <w:numPr>
          <w:ilvl w:val="0"/>
          <w:numId w:val="0"/>
        </w:numPr>
        <w:tabs>
          <w:tab w:val="left" w:pos="3621"/>
        </w:tabs>
        <w:kinsoku/>
        <w:wordWrap/>
        <w:overflowPunct/>
        <w:topLinePunct w:val="0"/>
        <w:autoSpaceDE/>
        <w:autoSpaceDN/>
        <w:bidi w:val="0"/>
        <w:adjustRightInd/>
        <w:snapToGrid/>
        <w:spacing w:line="360" w:lineRule="auto"/>
        <w:ind w:left="0" w:leftChars="0" w:right="0" w:rightChars="0" w:firstLine="486" w:firstLineChars="200"/>
        <w:jc w:val="both"/>
        <w:textAlignment w:val="auto"/>
        <w:rPr>
          <w:rFonts w:hint="eastAsia" w:ascii="Times New Roman" w:hAnsi="Times New Roman"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color w:val="000000" w:themeColor="text1"/>
          <w:sz w:val="24"/>
          <w:szCs w:val="28"/>
          <w:lang w:val="en-US" w:eastAsia="zh-CN"/>
          <w14:textFill>
            <w14:solidFill>
              <w14:schemeClr w14:val="tx1"/>
            </w14:solidFill>
          </w14:textFill>
        </w:rPr>
        <w:t>2.3实施</w:t>
      </w:r>
      <w:r>
        <w:rPr>
          <w:rFonts w:hint="eastAsia"/>
          <w:color w:val="000000" w:themeColor="text1"/>
          <w:sz w:val="24"/>
          <w:szCs w:val="28"/>
          <w14:textFill>
            <w14:solidFill>
              <w14:schemeClr w14:val="tx1"/>
            </w14:solidFill>
          </w14:textFill>
        </w:rPr>
        <w:t>期</w:t>
      </w:r>
      <w:r>
        <w:rPr>
          <w:rFonts w:hint="eastAsia"/>
          <w:color w:val="000000" w:themeColor="text1"/>
          <w:sz w:val="24"/>
          <w:szCs w:val="28"/>
          <w:lang w:eastAsia="zh-CN"/>
          <w14:textFill>
            <w14:solidFill>
              <w14:schemeClr w14:val="tx1"/>
            </w14:solidFill>
          </w14:textFill>
        </w:rPr>
        <w:t>：</w:t>
      </w:r>
      <w:r>
        <w:rPr>
          <w:rFonts w:hint="eastAsia" w:cs="Times New Roman"/>
          <w:b w:val="0"/>
          <w:bCs w:val="0"/>
          <w:color w:val="000000" w:themeColor="text1"/>
          <w:kern w:val="2"/>
          <w:sz w:val="24"/>
          <w:szCs w:val="28"/>
          <w:lang w:val="en-US" w:eastAsia="zh-CN" w:bidi="ar-SA"/>
          <w14:textFill>
            <w14:solidFill>
              <w14:schemeClr w14:val="tx1"/>
            </w14:solidFill>
          </w14:textFill>
        </w:rPr>
        <w:t>2021年9月1日前完成</w:t>
      </w:r>
      <w:r>
        <w:rPr>
          <w:rFonts w:hint="eastAsia" w:ascii="Times New Roman" w:hAnsi="Times New Roman" w:eastAsia="宋体" w:cs="Times New Roman"/>
          <w:b w:val="0"/>
          <w:bCs w:val="0"/>
          <w:color w:val="000000" w:themeColor="text1"/>
          <w:kern w:val="2"/>
          <w:sz w:val="24"/>
          <w:szCs w:val="28"/>
          <w:lang w:val="en-US" w:eastAsia="zh-CN" w:bidi="ar-SA"/>
          <w14:textFill>
            <w14:solidFill>
              <w14:schemeClr w14:val="tx1"/>
            </w14:solidFill>
          </w14:textFill>
        </w:rPr>
        <w:t>。</w:t>
      </w:r>
    </w:p>
    <w:p>
      <w:pPr>
        <w:pStyle w:val="4"/>
        <w:spacing w:before="0" w:after="0" w:line="360" w:lineRule="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报价人资格要求</w:t>
      </w:r>
    </w:p>
    <w:p>
      <w:pPr>
        <w:spacing w:line="360" w:lineRule="auto"/>
        <w:ind w:firstLine="486" w:firstLineChars="200"/>
        <w:rPr>
          <w:color w:val="000000" w:themeColor="text1"/>
          <w:sz w:val="24"/>
          <w:szCs w:val="28"/>
          <w14:textFill>
            <w14:solidFill>
              <w14:schemeClr w14:val="tx1"/>
            </w14:solidFill>
          </w14:textFill>
        </w:rPr>
      </w:pPr>
      <w:r>
        <w:rPr>
          <w:rFonts w:hint="eastAsia"/>
          <w:color w:val="000000" w:themeColor="text1"/>
          <w:sz w:val="24"/>
          <w:szCs w:val="28"/>
          <w:lang w:val="en-US" w:eastAsia="zh-CN"/>
          <w14:textFill>
            <w14:solidFill>
              <w14:schemeClr w14:val="tx1"/>
            </w14:solidFill>
          </w14:textFill>
        </w:rPr>
        <w:t>3.1资质要求</w:t>
      </w:r>
      <w:r>
        <w:rPr>
          <w:rFonts w:hint="eastAsia"/>
          <w:color w:val="000000" w:themeColor="text1"/>
          <w:sz w:val="24"/>
          <w:szCs w:val="28"/>
          <w14:textFill>
            <w14:solidFill>
              <w14:schemeClr w14:val="tx1"/>
            </w14:solidFill>
          </w14:textFill>
        </w:rPr>
        <w:t>：</w:t>
      </w:r>
    </w:p>
    <w:p>
      <w:pPr>
        <w:spacing w:line="360" w:lineRule="auto"/>
        <w:ind w:firstLine="486"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（1）</w:t>
      </w:r>
      <w:r>
        <w:rPr>
          <w:rFonts w:hint="eastAsia"/>
          <w:color w:val="000000" w:themeColor="text1"/>
          <w:sz w:val="24"/>
          <w:szCs w:val="28"/>
          <w:lang w:eastAsia="zh-CN"/>
          <w14:textFill>
            <w14:solidFill>
              <w14:schemeClr w14:val="tx1"/>
            </w14:solidFill>
          </w14:textFill>
        </w:rPr>
        <w:t>报价人</w:t>
      </w:r>
      <w:r>
        <w:rPr>
          <w:rFonts w:hint="eastAsia"/>
          <w:color w:val="000000" w:themeColor="text1"/>
          <w:sz w:val="24"/>
          <w:szCs w:val="28"/>
          <w14:textFill>
            <w14:solidFill>
              <w14:schemeClr w14:val="tx1"/>
            </w14:solidFill>
          </w14:textFill>
        </w:rPr>
        <w:t>应为中国大陆境内合法注册的独立法人，具备有效的营业执</w:t>
      </w:r>
      <w:r>
        <w:rPr>
          <w:rFonts w:hint="eastAsia"/>
          <w:color w:val="000000" w:themeColor="text1"/>
          <w:sz w:val="24"/>
          <w:szCs w:val="28"/>
          <w:highlight w:val="none"/>
          <w14:textFill>
            <w14:solidFill>
              <w14:schemeClr w14:val="tx1"/>
            </w14:solidFill>
          </w14:textFill>
        </w:rPr>
        <w:t>照或事业单位法人证书；</w:t>
      </w:r>
    </w:p>
    <w:p>
      <w:pPr>
        <w:spacing w:line="360" w:lineRule="auto"/>
        <w:ind w:firstLine="486" w:firstLineChars="200"/>
        <w:rPr>
          <w:rFonts w:hint="eastAsia"/>
          <w:color w:val="000000" w:themeColor="text1"/>
          <w:sz w:val="24"/>
          <w:szCs w:val="28"/>
          <w:lang w:val="en-US" w:eastAsia="zh-CN"/>
          <w14:textFill>
            <w14:solidFill>
              <w14:schemeClr w14:val="tx1"/>
            </w14:solidFill>
          </w14:textFill>
        </w:rPr>
      </w:pPr>
      <w:r>
        <w:rPr>
          <w:rFonts w:hint="eastAsia"/>
          <w:color w:val="000000" w:themeColor="text1"/>
          <w:sz w:val="24"/>
          <w:szCs w:val="28"/>
          <w:lang w:val="en-US" w:eastAsia="zh-CN"/>
          <w14:textFill>
            <w14:solidFill>
              <w14:schemeClr w14:val="tx1"/>
            </w14:solidFill>
          </w14:textFill>
        </w:rPr>
        <w:t>（2）信誉良好：在国家企业信用信息公示系统（http://www.gsxt.gov.cn/）中未被列入严重违法失信企业名单（黑名单）信息；在“信用中国”网站（http://www.creditchina.gov.cn/）中未被列入失信惩戒执行人名单。</w:t>
      </w:r>
    </w:p>
    <w:p>
      <w:pPr>
        <w:spacing w:line="360" w:lineRule="auto"/>
        <w:ind w:firstLine="486" w:firstLineChars="200"/>
        <w:rPr>
          <w:rFonts w:hint="eastAsia"/>
          <w:color w:val="000000" w:themeColor="text1"/>
          <w:sz w:val="24"/>
          <w:szCs w:val="28"/>
          <w:lang w:val="en-US" w:eastAsia="zh-CN"/>
          <w14:textFill>
            <w14:solidFill>
              <w14:schemeClr w14:val="tx1"/>
            </w14:solidFill>
          </w14:textFill>
        </w:rPr>
      </w:pPr>
      <w:r>
        <w:rPr>
          <w:rFonts w:hint="eastAsia"/>
          <w:color w:val="000000" w:themeColor="text1"/>
          <w:sz w:val="24"/>
          <w:szCs w:val="28"/>
          <w:lang w:val="en-US" w:eastAsia="zh-CN"/>
          <w14:textFill>
            <w14:solidFill>
              <w14:schemeClr w14:val="tx1"/>
            </w14:solidFill>
          </w14:textFill>
        </w:rPr>
        <w:t>（3）2019年1月1日至投标截止日具有至少1项类似人力资源</w:t>
      </w:r>
      <w:r>
        <w:rPr>
          <w:rFonts w:hint="eastAsia"/>
          <w:color w:val="000000" w:themeColor="text1"/>
          <w:sz w:val="24"/>
          <w:szCs w:val="28"/>
          <w14:textFill>
            <w14:solidFill>
              <w14:schemeClr w14:val="tx1"/>
            </w14:solidFill>
          </w14:textFill>
        </w:rPr>
        <w:t>服务</w:t>
      </w:r>
      <w:r>
        <w:rPr>
          <w:rFonts w:hint="eastAsia"/>
          <w:color w:val="000000" w:themeColor="text1"/>
          <w:sz w:val="24"/>
          <w:szCs w:val="28"/>
          <w:lang w:val="en-US" w:eastAsia="zh-CN"/>
          <w14:textFill>
            <w14:solidFill>
              <w14:schemeClr w14:val="tx1"/>
            </w14:solidFill>
          </w14:textFill>
        </w:rPr>
        <w:t>类</w:t>
      </w:r>
      <w:r>
        <w:rPr>
          <w:rFonts w:hint="eastAsia"/>
          <w:color w:val="000000" w:themeColor="text1"/>
          <w:sz w:val="24"/>
          <w:szCs w:val="28"/>
          <w14:textFill>
            <w14:solidFill>
              <w14:schemeClr w14:val="tx1"/>
            </w14:solidFill>
          </w14:textFill>
        </w:rPr>
        <w:t>项目</w:t>
      </w:r>
      <w:r>
        <w:rPr>
          <w:rFonts w:hint="eastAsia"/>
          <w:color w:val="000000" w:themeColor="text1"/>
          <w:sz w:val="24"/>
          <w:szCs w:val="28"/>
          <w:lang w:val="en-US" w:eastAsia="zh-CN"/>
          <w14:textFill>
            <w14:solidFill>
              <w14:schemeClr w14:val="tx1"/>
            </w14:solidFill>
          </w14:textFill>
        </w:rPr>
        <w:t>业绩。</w:t>
      </w:r>
    </w:p>
    <w:p>
      <w:pPr>
        <w:spacing w:line="360" w:lineRule="auto"/>
        <w:ind w:firstLine="486" w:firstLineChars="200"/>
        <w:rPr>
          <w:rFonts w:hint="eastAsia"/>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3.2 本次比选不接受联合体报价。</w:t>
      </w:r>
    </w:p>
    <w:p>
      <w:pPr>
        <w:spacing w:line="360" w:lineRule="auto"/>
        <w:ind w:firstLine="486" w:firstLineChars="200"/>
        <w:rPr>
          <w:rFonts w:hint="eastAsia"/>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rPr>
      </w:pPr>
      <w:bookmarkStart w:id="14" w:name="_Toc17662"/>
      <w:bookmarkStart w:id="15" w:name="_Toc14361"/>
      <w:bookmarkStart w:id="16" w:name="_Toc12460"/>
      <w:bookmarkStart w:id="17" w:name="_Toc11329216"/>
      <w:bookmarkStart w:id="18" w:name="_Toc507319894"/>
      <w:bookmarkStart w:id="19" w:name="_Toc25619"/>
      <w:r>
        <w:rPr>
          <w:rFonts w:hint="eastAsia" w:ascii="宋体" w:hAnsi="宋体" w:eastAsia="宋体" w:cs="宋体"/>
        </w:rPr>
        <w:t>4. 比选文件的获取</w:t>
      </w:r>
      <w:bookmarkEnd w:id="14"/>
      <w:bookmarkEnd w:id="15"/>
      <w:bookmarkEnd w:id="16"/>
      <w:bookmarkEnd w:id="17"/>
      <w:bookmarkEnd w:id="18"/>
      <w:bookmarkEnd w:id="19"/>
    </w:p>
    <w:p>
      <w:pPr>
        <w:spacing w:line="360" w:lineRule="auto"/>
        <w:ind w:firstLine="420" w:firstLineChars="200"/>
        <w:rPr>
          <w:rFonts w:hint="eastAsia" w:ascii="宋体" w:hAnsi="宋体"/>
          <w:szCs w:val="21"/>
          <w:highlight w:val="none"/>
        </w:rPr>
      </w:pPr>
      <w:bookmarkStart w:id="20" w:name="_Toc247085676"/>
      <w:bookmarkStart w:id="21" w:name="_Toc246996905"/>
      <w:bookmarkStart w:id="22" w:name="_Toc246996162"/>
      <w:bookmarkStart w:id="23" w:name="_Toc507319895"/>
      <w:bookmarkStart w:id="24" w:name="_Toc152042292"/>
      <w:bookmarkStart w:id="25" w:name="_Toc179632532"/>
      <w:bookmarkStart w:id="26" w:name="_Toc11329217"/>
      <w:bookmarkStart w:id="27" w:name="_Toc152045516"/>
      <w:bookmarkStart w:id="28" w:name="_Toc144974484"/>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ascii="宋体" w:hAnsi="宋体" w:cs="Times New Roman"/>
          <w:szCs w:val="21"/>
          <w:highlight w:val="none"/>
        </w:rPr>
        <w:t>，</w:t>
      </w:r>
      <w:r>
        <w:rPr>
          <w:rFonts w:hint="eastAsia" w:ascii="宋体" w:hAnsi="宋体" w:cs="Times New Roman"/>
          <w:szCs w:val="21"/>
          <w:highlight w:val="none"/>
          <w:lang w:val="en-US" w:eastAsia="zh-CN"/>
        </w:rPr>
        <w:t>在</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21</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 xml:space="preserve"> 6</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9 </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Times New Roman"/>
          <w:szCs w:val="21"/>
          <w:highlight w:val="none"/>
          <w:u w:val="single"/>
          <w:lang w:val="en-US" w:eastAsia="zh-CN"/>
        </w:rPr>
        <w:t>10:00</w:t>
      </w:r>
      <w:r>
        <w:rPr>
          <w:rFonts w:hint="eastAsia" w:ascii="宋体" w:hAnsi="宋体" w:cs="Times New Roman"/>
          <w:szCs w:val="21"/>
          <w:highlight w:val="none"/>
          <w:lang w:val="en-US" w:eastAsia="zh-CN"/>
        </w:rPr>
        <w:t>前在重庆高速集团官网</w:t>
      </w:r>
      <w:r>
        <w:rPr>
          <w:rFonts w:hint="eastAsia" w:ascii="宋体" w:hAnsi="宋体" w:cs="Times New Roman"/>
          <w:szCs w:val="21"/>
          <w:highlight w:val="none"/>
        </w:rPr>
        <w:t>上</w:t>
      </w:r>
      <w:r>
        <w:rPr>
          <w:rFonts w:hint="eastAsia" w:ascii="宋体" w:hAnsi="宋体" w:cs="Times New Roman"/>
          <w:szCs w:val="21"/>
          <w:highlight w:val="none"/>
          <w:lang w:val="en-US" w:eastAsia="zh-CN"/>
        </w:rPr>
        <w:t>获取比选文件</w:t>
      </w:r>
      <w:r>
        <w:rPr>
          <w:rFonts w:hint="eastAsia" w:ascii="宋体" w:hAnsi="宋体" w:cs="Times New Roman"/>
          <w:szCs w:val="21"/>
          <w:highlight w:val="none"/>
        </w:rPr>
        <w:t>，各报价人</w:t>
      </w:r>
      <w:r>
        <w:rPr>
          <w:rFonts w:hint="eastAsia" w:ascii="宋体" w:hAnsi="宋体"/>
          <w:szCs w:val="21"/>
          <w:highlight w:val="none"/>
        </w:rPr>
        <w:t>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bookmarkStart w:id="29" w:name="_Toc31493"/>
      <w:bookmarkStart w:id="30" w:name="_Toc16686"/>
      <w:bookmarkStart w:id="31" w:name="_Toc6426"/>
      <w:bookmarkStart w:id="32" w:name="_Toc9131"/>
      <w:r>
        <w:rPr>
          <w:rFonts w:hint="eastAsia" w:ascii="宋体" w:hAnsi="宋体" w:eastAsia="宋体" w:cs="宋体"/>
          <w:highlight w:val="none"/>
        </w:rPr>
        <w:t>5. 竞争性比选响应文件的递交</w:t>
      </w:r>
      <w:bookmarkEnd w:id="20"/>
      <w:bookmarkEnd w:id="21"/>
      <w:bookmarkEnd w:id="22"/>
      <w:bookmarkEnd w:id="23"/>
      <w:bookmarkEnd w:id="24"/>
      <w:bookmarkEnd w:id="25"/>
      <w:bookmarkEnd w:id="26"/>
      <w:bookmarkEnd w:id="27"/>
      <w:bookmarkEnd w:id="28"/>
      <w:r>
        <w:rPr>
          <w:rFonts w:hint="eastAsia" w:ascii="宋体" w:hAnsi="宋体" w:eastAsia="宋体" w:cs="宋体"/>
          <w:highlight w:val="none"/>
        </w:rPr>
        <w:t>及相关事宜</w:t>
      </w:r>
      <w:bookmarkEnd w:id="29"/>
      <w:bookmarkEnd w:id="30"/>
      <w:bookmarkEnd w:id="31"/>
      <w:bookmarkEnd w:id="32"/>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6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9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rPr>
        <w:t>5.2报价</w:t>
      </w:r>
      <w:r>
        <w:rPr>
          <w:rFonts w:hint="eastAsia" w:ascii="宋体" w:hAnsi="宋体" w:cs="宋体"/>
          <w:szCs w:val="21"/>
          <w:lang w:val="en-US" w:eastAsia="zh-CN"/>
        </w:rPr>
        <w:t>的递交</w:t>
      </w:r>
      <w:r>
        <w:rPr>
          <w:rFonts w:hint="eastAsia" w:ascii="宋体" w:hAnsi="宋体" w:cs="宋体"/>
          <w:szCs w:val="21"/>
        </w:rPr>
        <w:t>：</w:t>
      </w:r>
      <w:r>
        <w:rPr>
          <w:rFonts w:hint="eastAsia" w:ascii="宋体" w:hAnsi="宋体" w:cs="宋体"/>
          <w:szCs w:val="21"/>
          <w:highlight w:val="none"/>
          <w:lang w:val="en-US" w:eastAsia="zh-CN"/>
        </w:rPr>
        <w:t>重庆市南岸区四公里内环入口200米处重庆首讯科技大楼</w:t>
      </w:r>
    </w:p>
    <w:p>
      <w:pPr>
        <w:tabs>
          <w:tab w:val="left" w:pos="360"/>
        </w:tabs>
        <w:spacing w:line="400" w:lineRule="exact"/>
        <w:ind w:firstLine="420" w:firstLineChars="200"/>
        <w:rPr>
          <w:rFonts w:hint="eastAsia" w:ascii="宋体" w:hAnsi="宋体" w:cs="宋体"/>
          <w:szCs w:val="21"/>
        </w:rPr>
      </w:pPr>
      <w:r>
        <w:rPr>
          <w:rFonts w:hint="eastAsia" w:ascii="宋体" w:hAnsi="宋体" w:cs="宋体"/>
          <w:szCs w:val="21"/>
        </w:rPr>
        <w:t>5.</w:t>
      </w:r>
      <w:r>
        <w:rPr>
          <w:rFonts w:hint="eastAsia" w:ascii="宋体" w:hAnsi="宋体" w:cs="宋体"/>
          <w:szCs w:val="21"/>
          <w:lang w:val="en-US" w:eastAsia="zh-CN"/>
        </w:rPr>
        <w:t>3</w:t>
      </w:r>
      <w:r>
        <w:rPr>
          <w:rFonts w:ascii="宋体" w:hAnsi="宋体" w:cs="宋体"/>
          <w:szCs w:val="21"/>
        </w:rPr>
        <w:t>采购人不组织工程现场踏勘，不召开报价预备会。</w:t>
      </w:r>
    </w:p>
    <w:p>
      <w:pPr>
        <w:pStyle w:val="4"/>
        <w:spacing w:before="120" w:after="0" w:line="400" w:lineRule="exact"/>
        <w:rPr>
          <w:rFonts w:hint="eastAsia" w:ascii="宋体" w:hAnsi="宋体" w:eastAsia="宋体" w:cs="宋体"/>
        </w:rPr>
      </w:pPr>
      <w:bookmarkStart w:id="33" w:name="_Toc152042293"/>
      <w:bookmarkStart w:id="34" w:name="_Toc144974485"/>
      <w:bookmarkStart w:id="35" w:name="_Toc11329219"/>
      <w:bookmarkStart w:id="36" w:name="_Toc246996907"/>
      <w:bookmarkStart w:id="37" w:name="_Toc152045517"/>
      <w:bookmarkStart w:id="38" w:name="_Toc246996164"/>
      <w:bookmarkStart w:id="39" w:name="_Toc507319897"/>
      <w:bookmarkStart w:id="40" w:name="_Toc179632534"/>
      <w:bookmarkStart w:id="41" w:name="_Toc393"/>
      <w:bookmarkStart w:id="42" w:name="_Toc247085678"/>
      <w:bookmarkStart w:id="43" w:name="_Toc18402"/>
      <w:bookmarkStart w:id="44" w:name="_Toc21615"/>
      <w:bookmarkStart w:id="45" w:name="_Toc3341"/>
      <w:r>
        <w:rPr>
          <w:rFonts w:hint="eastAsia" w:ascii="宋体" w:hAnsi="宋体" w:eastAsia="宋体" w:cs="宋体"/>
          <w:lang w:val="en-US" w:eastAsia="zh-CN"/>
        </w:rPr>
        <w:t>6</w:t>
      </w:r>
      <w:r>
        <w:rPr>
          <w:rFonts w:hint="eastAsia" w:ascii="宋体" w:hAnsi="宋体" w:eastAsia="宋体" w:cs="宋体"/>
        </w:rPr>
        <w:t>. 联系方式</w:t>
      </w:r>
      <w:bookmarkEnd w:id="33"/>
      <w:bookmarkEnd w:id="34"/>
      <w:bookmarkEnd w:id="35"/>
      <w:bookmarkEnd w:id="36"/>
      <w:bookmarkEnd w:id="37"/>
      <w:bookmarkEnd w:id="38"/>
      <w:bookmarkEnd w:id="39"/>
      <w:bookmarkEnd w:id="40"/>
      <w:bookmarkEnd w:id="41"/>
      <w:bookmarkEnd w:id="42"/>
      <w:bookmarkEnd w:id="43"/>
      <w:bookmarkEnd w:id="44"/>
      <w:bookmarkEnd w:id="45"/>
    </w:p>
    <w:tbl>
      <w:tblPr>
        <w:tblStyle w:val="19"/>
        <w:tblW w:w="9628" w:type="dxa"/>
        <w:tblInd w:w="0" w:type="dxa"/>
        <w:tblLayout w:type="fixed"/>
        <w:tblCellMar>
          <w:top w:w="0" w:type="dxa"/>
          <w:left w:w="108" w:type="dxa"/>
          <w:bottom w:w="0" w:type="dxa"/>
          <w:right w:w="108" w:type="dxa"/>
        </w:tblCellMar>
      </w:tblPr>
      <w:tblGrid>
        <w:gridCol w:w="8213"/>
        <w:gridCol w:w="1415"/>
      </w:tblGrid>
      <w:tr>
        <w:tblPrEx>
          <w:tblLayout w:type="fixed"/>
          <w:tblCellMar>
            <w:top w:w="0" w:type="dxa"/>
            <w:left w:w="108" w:type="dxa"/>
            <w:bottom w:w="0" w:type="dxa"/>
            <w:right w:w="108" w:type="dxa"/>
          </w:tblCellMar>
        </w:tblPrEx>
        <w:trPr>
          <w:trHeight w:val="470" w:hRule="atLeast"/>
        </w:trPr>
        <w:tc>
          <w:tcPr>
            <w:tcW w:w="8213" w:type="dxa"/>
            <w:vAlign w:val="center"/>
          </w:tcPr>
          <w:p>
            <w:pPr>
              <w:pStyle w:val="29"/>
              <w:spacing w:before="0" w:beforeAutospacing="0" w:after="0" w:afterAutospacing="0" w:line="400" w:lineRule="exact"/>
              <w:ind w:firstLine="420" w:firstLineChars="200"/>
              <w:jc w:val="both"/>
              <w:rPr>
                <w:rFonts w:hint="eastAsia"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29"/>
              <w:spacing w:before="0" w:beforeAutospacing="0" w:after="0" w:afterAutospacing="0" w:line="400" w:lineRule="exact"/>
              <w:ind w:firstLine="420" w:firstLineChars="200"/>
              <w:jc w:val="both"/>
              <w:rPr>
                <w:rFonts w:hint="eastAsia" w:ascii="宋体" w:hAnsi="宋体" w:cs="宋体"/>
                <w:kern w:val="2"/>
                <w:sz w:val="21"/>
                <w:szCs w:val="21"/>
              </w:rPr>
            </w:pPr>
          </w:p>
        </w:tc>
      </w:tr>
      <w:tr>
        <w:tblPrEx>
          <w:tblLayout w:type="fixed"/>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rPr>
            </w:pPr>
            <w:r>
              <w:rPr>
                <w:rFonts w:hint="eastAsia" w:ascii="宋体" w:hAnsi="宋体" w:cs="宋体"/>
                <w:szCs w:val="21"/>
              </w:rPr>
              <w:t>地址：重庆市南岸区四公里内环入口高速集团首讯科技大楼</w:t>
            </w:r>
          </w:p>
        </w:tc>
        <w:tc>
          <w:tcPr>
            <w:tcW w:w="1415" w:type="dxa"/>
            <w:vAlign w:val="center"/>
          </w:tcPr>
          <w:p>
            <w:pPr>
              <w:spacing w:line="400" w:lineRule="exact"/>
              <w:ind w:firstLine="420" w:firstLineChars="200"/>
              <w:rPr>
                <w:rFonts w:hint="eastAsia" w:ascii="宋体" w:hAnsi="宋体" w:cs="宋体"/>
                <w:szCs w:val="21"/>
              </w:rPr>
            </w:pPr>
          </w:p>
        </w:tc>
      </w:tr>
      <w:tr>
        <w:tblPrEx>
          <w:tblLayout w:type="fixed"/>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联系人：</w:t>
            </w:r>
            <w:r>
              <w:rPr>
                <w:rFonts w:hint="eastAsia" w:ascii="宋体" w:hAnsi="宋体" w:cs="宋体"/>
                <w:szCs w:val="21"/>
                <w:lang w:val="en-US" w:eastAsia="zh-CN"/>
              </w:rPr>
              <w:t>蒋老师</w:t>
            </w:r>
          </w:p>
        </w:tc>
        <w:tc>
          <w:tcPr>
            <w:tcW w:w="1415" w:type="dxa"/>
            <w:vAlign w:val="center"/>
          </w:tcPr>
          <w:p>
            <w:pPr>
              <w:spacing w:line="400" w:lineRule="exact"/>
              <w:ind w:firstLine="420" w:firstLineChars="200"/>
              <w:rPr>
                <w:rFonts w:hint="eastAsia" w:ascii="宋体" w:hAnsi="宋体" w:cs="宋体"/>
                <w:szCs w:val="21"/>
              </w:rPr>
            </w:pPr>
          </w:p>
        </w:tc>
      </w:tr>
      <w:tr>
        <w:tblPrEx>
          <w:tblLayout w:type="fixed"/>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hint="default"/>
                <w:lang w:val="en-US"/>
              </w:rPr>
            </w:pPr>
            <w:r>
              <w:rPr>
                <w:rFonts w:hint="eastAsia" w:ascii="宋体" w:hAnsi="宋体" w:cs="宋体"/>
                <w:szCs w:val="21"/>
              </w:rPr>
              <w:t>电 话</w:t>
            </w:r>
            <w:r>
              <w:rPr>
                <w:rFonts w:hint="eastAsia" w:ascii="宋体" w:hAnsi="宋体" w:cs="宋体"/>
                <w:szCs w:val="21"/>
                <w:lang w:eastAsia="zh-CN"/>
              </w:rPr>
              <w:t>：</w:t>
            </w:r>
            <w:r>
              <w:rPr>
                <w:rFonts w:hint="eastAsia" w:ascii="宋体" w:hAnsi="宋体"/>
                <w:color w:val="000000" w:themeColor="text1"/>
                <w:sz w:val="24"/>
                <w:lang w:val="en-US" w:eastAsia="zh-CN"/>
                <w14:textFill>
                  <w14:solidFill>
                    <w14:schemeClr w14:val="tx1"/>
                  </w14:solidFill>
                </w14:textFill>
              </w:rPr>
              <w:t>17783017837</w:t>
            </w:r>
            <w:r>
              <w:rPr>
                <w:rFonts w:hint="eastAsia" w:ascii="宋体" w:hAnsi="宋体"/>
                <w:color w:val="000000" w:themeColor="text1"/>
                <w:sz w:val="24"/>
                <w14:textFill>
                  <w14:solidFill>
                    <w14:schemeClr w14:val="tx1"/>
                  </w14:solidFill>
                </w14:textFill>
              </w:rPr>
              <w:t xml:space="preserve">   </w:t>
            </w:r>
          </w:p>
        </w:tc>
        <w:tc>
          <w:tcPr>
            <w:tcW w:w="1415" w:type="dxa"/>
            <w:vAlign w:val="center"/>
          </w:tcPr>
          <w:p>
            <w:pPr>
              <w:spacing w:line="400" w:lineRule="exact"/>
              <w:ind w:firstLine="420" w:firstLineChars="200"/>
              <w:rPr>
                <w:rFonts w:hint="eastAsia" w:ascii="宋体" w:hAnsi="宋体" w:cs="宋体"/>
                <w:szCs w:val="21"/>
              </w:rPr>
            </w:pPr>
          </w:p>
        </w:tc>
      </w:tr>
    </w:tbl>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9"/>
      </w:pPr>
    </w:p>
    <w:p/>
    <w:p>
      <w:pPr>
        <w:pStyle w:val="9"/>
      </w:pPr>
    </w:p>
    <w:p/>
    <w:p>
      <w:pPr>
        <w:pStyle w:val="9"/>
      </w:pPr>
    </w:p>
    <w:p/>
    <w:p>
      <w:pPr>
        <w:pStyle w:val="9"/>
      </w:pPr>
    </w:p>
    <w:p/>
    <w:p>
      <w:pPr>
        <w:pStyle w:val="9"/>
      </w:pPr>
    </w:p>
    <w:p/>
    <w:p>
      <w:pPr>
        <w:pStyle w:val="3"/>
        <w:numPr>
          <w:ilvl w:val="0"/>
          <w:numId w:val="1"/>
        </w:numPr>
        <w:spacing w:before="0" w:after="0" w:line="360" w:lineRule="auto"/>
        <w:rPr>
          <w:rFonts w:hint="eastAsia"/>
          <w:color w:val="000000" w:themeColor="text1"/>
          <w:spacing w:val="10"/>
          <w:sz w:val="48"/>
          <w:szCs w:val="48"/>
          <w:lang w:val="en-US" w:eastAsia="zh-CN"/>
          <w14:textFill>
            <w14:solidFill>
              <w14:schemeClr w14:val="tx1"/>
            </w14:solidFill>
          </w14:textFill>
        </w:rPr>
      </w:pPr>
      <w:r>
        <w:rPr>
          <w:rFonts w:hint="eastAsia"/>
          <w:color w:val="000000" w:themeColor="text1"/>
          <w:spacing w:val="10"/>
          <w:sz w:val="48"/>
          <w:szCs w:val="48"/>
          <w:lang w:val="en-US" w:eastAsia="zh-CN"/>
          <w14:textFill>
            <w14:solidFill>
              <w14:schemeClr w14:val="tx1"/>
            </w14:solidFill>
          </w14:textFill>
        </w:rPr>
        <w:t>报价人须知</w:t>
      </w:r>
    </w:p>
    <w:p>
      <w:pPr>
        <w:numPr>
          <w:ilvl w:val="0"/>
          <w:numId w:val="0"/>
        </w:numPr>
        <w:rPr>
          <w:rFonts w:hint="eastAsia"/>
          <w:lang w:val="en-US" w:eastAsia="zh-CN"/>
        </w:rPr>
      </w:pPr>
    </w:p>
    <w:p>
      <w:pPr>
        <w:pStyle w:val="4"/>
        <w:pageBreakBefore w:val="0"/>
        <w:widowControl w:val="0"/>
        <w:kinsoku/>
        <w:wordWrap/>
        <w:overflowPunct/>
        <w:topLinePunct w:val="0"/>
        <w:autoSpaceDE/>
        <w:autoSpaceDN/>
        <w:bidi w:val="0"/>
        <w:adjustRightInd/>
        <w:snapToGrid/>
        <w:spacing w:before="0" w:after="0" w:line="360" w:lineRule="auto"/>
        <w:ind w:left="0" w:leftChars="0" w:right="0" w:rightChars="0" w:firstLine="486" w:firstLineChars="200"/>
        <w:jc w:val="both"/>
        <w:textAlignment w:val="auto"/>
        <w:rPr>
          <w:rFonts w:hint="eastAsia" w:ascii="Times New Roman" w:hAnsi="Times New Roman" w:eastAsia="宋体" w:cs="Times New Roman"/>
          <w:b w:val="0"/>
          <w:bCs w:val="0"/>
          <w:color w:val="000000" w:themeColor="text1"/>
          <w:kern w:val="2"/>
          <w:sz w:val="24"/>
          <w:szCs w:val="28"/>
          <w:lang w:val="en-US" w:eastAsia="zh-CN" w:bidi="ar-SA"/>
          <w14:textFill>
            <w14:solidFill>
              <w14:schemeClr w14:val="tx1"/>
            </w14:solidFill>
          </w14:textFill>
        </w:rPr>
      </w:pPr>
      <w:r>
        <w:rPr>
          <w:rFonts w:hint="eastAsia" w:ascii="宋体" w:hAnsi="宋体" w:eastAsia="宋体" w:cs="宋体"/>
          <w:sz w:val="24"/>
          <w:szCs w:val="24"/>
          <w:lang w:val="en-US" w:eastAsia="zh-CN"/>
        </w:rPr>
        <w:t>1.</w:t>
      </w:r>
      <w:r>
        <w:rPr>
          <w:rFonts w:hint="eastAsia" w:ascii="宋体" w:hAnsi="宋体" w:eastAsia="宋体" w:cs="宋体"/>
          <w:sz w:val="24"/>
          <w:szCs w:val="24"/>
        </w:rPr>
        <w:t>服务</w:t>
      </w:r>
      <w:r>
        <w:rPr>
          <w:rFonts w:hint="eastAsia" w:ascii="宋体" w:hAnsi="宋体" w:eastAsia="宋体" w:cs="宋体"/>
          <w:sz w:val="24"/>
          <w:szCs w:val="24"/>
          <w:lang w:val="en-US" w:eastAsia="zh-CN"/>
        </w:rPr>
        <w:t>内容</w:t>
      </w:r>
      <w:r>
        <w:rPr>
          <w:rFonts w:hint="eastAsia" w:ascii="宋体" w:hAnsi="宋体" w:cs="宋体"/>
          <w:sz w:val="24"/>
          <w:szCs w:val="24"/>
          <w:lang w:val="en-US" w:eastAsia="zh-CN"/>
        </w:rPr>
        <w:t>：</w:t>
      </w:r>
      <w:r>
        <w:rPr>
          <w:rFonts w:hint="eastAsia" w:ascii="Times New Roman" w:hAnsi="Times New Roman" w:cs="Times New Roman"/>
          <w:b w:val="0"/>
          <w:bCs w:val="0"/>
          <w:color w:val="000000" w:themeColor="text1"/>
          <w:kern w:val="2"/>
          <w:sz w:val="24"/>
          <w:szCs w:val="28"/>
          <w:lang w:val="en-US" w:eastAsia="zh-CN" w:bidi="ar-SA"/>
          <w14:textFill>
            <w14:solidFill>
              <w14:schemeClr w14:val="tx1"/>
            </w14:solidFill>
          </w14:textFill>
        </w:rPr>
        <w:t>通过对我司现行人力及薪酬方面的制度进行解读以及对公司运行情况等进行调研、分析，制定出符合我司现行发展需求的绩效薪酬制度</w:t>
      </w:r>
      <w:r>
        <w:rPr>
          <w:rFonts w:hint="eastAsia" w:ascii="Times New Roman" w:hAnsi="Times New Roman" w:eastAsia="宋体" w:cs="Times New Roman"/>
          <w:b w:val="0"/>
          <w:bCs w:val="0"/>
          <w:color w:val="000000" w:themeColor="text1"/>
          <w:kern w:val="2"/>
          <w:sz w:val="24"/>
          <w:szCs w:val="28"/>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ascii="宋体" w:hAnsi="宋体" w:eastAsia="宋体" w:cs="宋体"/>
          <w:sz w:val="24"/>
          <w:szCs w:val="24"/>
        </w:rPr>
      </w:pPr>
      <w:r>
        <w:rPr>
          <w:rFonts w:hint="eastAsia" w:ascii="宋体" w:hAnsi="宋体" w:cs="宋体"/>
          <w:b/>
          <w:bCs/>
          <w:sz w:val="24"/>
          <w:szCs w:val="24"/>
          <w:lang w:val="en-US" w:eastAsia="zh-CN"/>
        </w:rPr>
        <w:t>1.1</w:t>
      </w:r>
      <w:r>
        <w:rPr>
          <w:rFonts w:hint="eastAsia" w:ascii="宋体" w:hAnsi="宋体" w:eastAsia="宋体" w:cs="宋体"/>
          <w:b/>
          <w:bCs/>
          <w:sz w:val="24"/>
          <w:szCs w:val="24"/>
          <w:lang w:val="en-US" w:eastAsia="zh-CN"/>
        </w:rPr>
        <w:t>绩效薪酬体系改革目标：</w:t>
      </w:r>
      <w:r>
        <w:rPr>
          <w:rFonts w:ascii="宋体" w:hAnsi="宋体" w:eastAsia="宋体" w:cs="宋体"/>
          <w:sz w:val="24"/>
          <w:szCs w:val="24"/>
        </w:rPr>
        <w:t>从企业战略出发，在明确组织体系的基础上，通过内部岗位职责梳理、岗位职级搭建与薪酬水平、薪酬结构调整，明确业绩考核结果与薪酬和晋升的关系，从而提高人力资源管理制度的激励作用。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宋体" w:hAnsi="宋体" w:eastAsia="宋体" w:cs="宋体"/>
          <w:sz w:val="24"/>
          <w:szCs w:val="24"/>
          <w:lang w:val="en-US" w:eastAsia="zh-CN"/>
        </w:rPr>
      </w:pPr>
      <w:r>
        <w:rPr>
          <w:rFonts w:hint="eastAsia" w:ascii="宋体" w:hAnsi="宋体" w:cs="宋体"/>
          <w:b/>
          <w:bCs/>
          <w:sz w:val="24"/>
          <w:szCs w:val="24"/>
          <w:lang w:val="en-US" w:eastAsia="zh-CN"/>
        </w:rPr>
        <w:t>1.2</w:t>
      </w:r>
      <w:r>
        <w:rPr>
          <w:rFonts w:hint="eastAsia" w:ascii="宋体" w:hAnsi="宋体" w:eastAsia="宋体" w:cs="宋体"/>
          <w:b/>
          <w:bCs/>
          <w:sz w:val="24"/>
          <w:szCs w:val="24"/>
          <w:lang w:val="en-US" w:eastAsia="zh-CN"/>
        </w:rPr>
        <w:t>绩效薪酬体系改革具体工作要求：</w:t>
      </w:r>
      <w:r>
        <w:rPr>
          <w:rFonts w:hint="eastAsia" w:ascii="宋体" w:hAnsi="宋体" w:eastAsia="宋体" w:cs="宋体"/>
          <w:sz w:val="24"/>
          <w:szCs w:val="24"/>
          <w:lang w:val="en-US" w:eastAsia="zh-CN"/>
        </w:rPr>
        <w:t>（1）根据我方提供的组织机构及岗位设置、现行薪酬管理制度、部门考核指标等资料及我方薪酬改革目标，对本项目进行初步评估；（2）到我司进行实地调研，了解公司各个机构及岗位具体工作和薪酬情况、公司未来发展发向以及岗位、薪酬激励制度与公司发展目标契合度等情况；（3）针对调研情况</w:t>
      </w:r>
      <w:r>
        <w:rPr>
          <w:rFonts w:ascii="宋体" w:hAnsi="宋体" w:eastAsia="宋体" w:cs="宋体"/>
          <w:sz w:val="24"/>
          <w:szCs w:val="24"/>
        </w:rPr>
        <w:t>设计绩效薪酬体系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4）根据我方意见对设计的绩效薪酬体系进行调整。</w:t>
      </w:r>
    </w:p>
    <w:p>
      <w:pPr>
        <w:pStyle w:val="2"/>
        <w:rPr>
          <w:rFonts w:hint="eastAsia"/>
          <w:lang w:val="en-US"/>
        </w:rPr>
      </w:pPr>
      <w:r>
        <w:rPr>
          <w:rFonts w:hint="eastAsia" w:ascii="宋体" w:hAnsi="宋体" w:cs="宋体"/>
          <w:sz w:val="24"/>
          <w:szCs w:val="24"/>
          <w:lang w:val="en-US" w:eastAsia="zh-CN"/>
        </w:rPr>
        <w:t xml:space="preserve">  </w:t>
      </w:r>
      <w:r>
        <w:rPr>
          <w:rFonts w:hint="eastAsia" w:ascii="宋体" w:hAnsi="宋体" w:eastAsia="宋体" w:cs="宋体"/>
          <w:b/>
          <w:bCs/>
          <w:kern w:val="2"/>
          <w:sz w:val="24"/>
          <w:szCs w:val="24"/>
          <w:lang w:val="en-US" w:eastAsia="zh-CN" w:bidi="ar-SA"/>
        </w:rPr>
        <w:t xml:space="preserve">  2.</w:t>
      </w:r>
      <w:r>
        <w:rPr>
          <w:rFonts w:hint="eastAsia" w:ascii="宋体" w:hAnsi="宋体" w:eastAsia="宋体" w:cs="宋体"/>
          <w:b w:val="0"/>
          <w:bCs w:val="0"/>
          <w:kern w:val="2"/>
          <w:sz w:val="24"/>
          <w:szCs w:val="24"/>
          <w:lang w:val="en-US" w:eastAsia="zh-CN" w:bidi="ar-SA"/>
        </w:rPr>
        <w:t>报价人</w:t>
      </w:r>
      <w:r>
        <w:rPr>
          <w:rFonts w:hint="eastAsia" w:ascii="宋体" w:hAnsi="宋体" w:cs="宋体"/>
          <w:sz w:val="24"/>
          <w:szCs w:val="24"/>
          <w:lang w:val="en-US" w:eastAsia="zh-CN"/>
        </w:rPr>
        <w:t>不能拒绝执行竞争性比选文件服务内容范围内的工作。</w:t>
      </w:r>
    </w:p>
    <w:p>
      <w:pPr>
        <w:numPr>
          <w:ilvl w:val="0"/>
          <w:numId w:val="0"/>
        </w:numPr>
        <w:spacing w:line="360" w:lineRule="auto"/>
        <w:ind w:firstLine="488"/>
        <w:rPr>
          <w:rFonts w:hint="eastAsia" w:ascii="宋体" w:hAnsi="宋体" w:eastAsia="宋体" w:cs="宋体"/>
          <w:sz w:val="24"/>
          <w:szCs w:val="24"/>
          <w:lang w:val="en-US" w:eastAsia="zh-CN"/>
        </w:rPr>
      </w:pPr>
      <w:r>
        <w:rPr>
          <w:rFonts w:hint="eastAsia" w:ascii="宋体" w:hAnsi="宋体" w:cs="宋体"/>
          <w:b/>
          <w:bCs/>
          <w:sz w:val="24"/>
          <w:szCs w:val="24"/>
          <w:lang w:val="en-US" w:eastAsia="zh-CN"/>
        </w:rPr>
        <w:t>3.服务费：</w:t>
      </w:r>
      <w:r>
        <w:rPr>
          <w:rFonts w:hint="eastAsia" w:ascii="宋体" w:hAnsi="宋体" w:eastAsia="宋体" w:cs="宋体"/>
          <w:sz w:val="24"/>
          <w:szCs w:val="24"/>
          <w:lang w:val="en-US" w:eastAsia="zh-CN"/>
        </w:rPr>
        <w:t>本次</w:t>
      </w:r>
      <w:r>
        <w:rPr>
          <w:rFonts w:ascii="宋体" w:hAnsi="宋体" w:eastAsia="宋体" w:cs="宋体"/>
          <w:sz w:val="24"/>
          <w:szCs w:val="24"/>
        </w:rPr>
        <w:t>绩效薪酬体系设计</w:t>
      </w:r>
      <w:r>
        <w:rPr>
          <w:rFonts w:hint="eastAsia" w:ascii="宋体" w:hAnsi="宋体" w:eastAsia="宋体" w:cs="宋体"/>
          <w:sz w:val="24"/>
          <w:szCs w:val="24"/>
          <w:lang w:val="en-US" w:eastAsia="zh-CN"/>
        </w:rPr>
        <w:t>服务费为总价包干费用，包括但不限于为完成我司</w:t>
      </w:r>
      <w:r>
        <w:rPr>
          <w:rFonts w:ascii="宋体" w:hAnsi="宋体" w:eastAsia="宋体" w:cs="宋体"/>
          <w:sz w:val="24"/>
          <w:szCs w:val="24"/>
        </w:rPr>
        <w:t>绩效薪酬体系设计</w:t>
      </w:r>
      <w:r>
        <w:rPr>
          <w:rFonts w:hint="eastAsia" w:ascii="宋体" w:hAnsi="宋体" w:eastAsia="宋体" w:cs="宋体"/>
          <w:sz w:val="24"/>
          <w:szCs w:val="24"/>
          <w:lang w:val="en-US" w:eastAsia="zh-CN"/>
        </w:rPr>
        <w:t>服务所需的</w:t>
      </w:r>
      <w:r>
        <w:rPr>
          <w:rFonts w:hint="eastAsia" w:ascii="宋体" w:hAnsi="宋体" w:cs="宋体"/>
          <w:sz w:val="24"/>
          <w:szCs w:val="24"/>
          <w:lang w:val="en-US" w:eastAsia="zh-CN"/>
        </w:rPr>
        <w:t>劳务费、</w:t>
      </w:r>
      <w:r>
        <w:rPr>
          <w:rFonts w:hint="eastAsia" w:ascii="宋体" w:hAnsi="宋体" w:eastAsia="宋体" w:cs="宋体"/>
          <w:sz w:val="24"/>
          <w:szCs w:val="24"/>
          <w:lang w:val="en-US" w:eastAsia="zh-CN"/>
        </w:rPr>
        <w:t>差旅费、交通费、服务费、</w:t>
      </w:r>
      <w:r>
        <w:rPr>
          <w:rFonts w:hint="eastAsia" w:ascii="宋体" w:hAnsi="宋体" w:cs="宋体"/>
          <w:sz w:val="24"/>
          <w:szCs w:val="24"/>
          <w:lang w:val="en-US" w:eastAsia="zh-CN"/>
        </w:rPr>
        <w:t>办公费、</w:t>
      </w:r>
      <w:r>
        <w:rPr>
          <w:rFonts w:hint="eastAsia" w:ascii="宋体" w:hAnsi="宋体" w:eastAsia="宋体" w:cs="宋体"/>
          <w:sz w:val="24"/>
          <w:szCs w:val="24"/>
          <w:lang w:val="en-US" w:eastAsia="zh-CN"/>
        </w:rPr>
        <w:t>税</w:t>
      </w:r>
      <w:r>
        <w:rPr>
          <w:rFonts w:hint="eastAsia" w:ascii="宋体" w:hAnsi="宋体" w:cs="宋体"/>
          <w:sz w:val="24"/>
          <w:szCs w:val="24"/>
          <w:lang w:val="en-US" w:eastAsia="zh-CN"/>
        </w:rPr>
        <w:t>费</w:t>
      </w:r>
      <w:r>
        <w:rPr>
          <w:rFonts w:hint="eastAsia" w:ascii="宋体" w:hAnsi="宋体" w:eastAsia="宋体" w:cs="宋体"/>
          <w:sz w:val="24"/>
          <w:szCs w:val="24"/>
          <w:lang w:val="en-US" w:eastAsia="zh-CN"/>
        </w:rPr>
        <w:t>等</w:t>
      </w:r>
      <w:r>
        <w:rPr>
          <w:rFonts w:hint="eastAsia" w:ascii="宋体" w:hAnsi="宋体" w:cs="宋体"/>
          <w:sz w:val="24"/>
          <w:szCs w:val="24"/>
          <w:lang w:val="en-US" w:eastAsia="zh-CN"/>
        </w:rPr>
        <w:t>本竞争性比选文件所明示或暗示的</w:t>
      </w:r>
      <w:r>
        <w:rPr>
          <w:rFonts w:hint="eastAsia" w:ascii="宋体" w:hAnsi="宋体" w:eastAsia="宋体" w:cs="宋体"/>
          <w:sz w:val="24"/>
          <w:szCs w:val="24"/>
          <w:lang w:val="en-US" w:eastAsia="zh-CN"/>
        </w:rPr>
        <w:t>一切相关费用。</w:t>
      </w:r>
    </w:p>
    <w:p>
      <w:pPr>
        <w:numPr>
          <w:ilvl w:val="0"/>
          <w:numId w:val="0"/>
        </w:numPr>
        <w:spacing w:line="360" w:lineRule="auto"/>
        <w:ind w:firstLine="488"/>
        <w:rPr>
          <w:rFonts w:hint="eastAsia" w:ascii="宋体" w:hAnsi="宋体" w:eastAsia="宋体" w:cs="宋体"/>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若报价人在投标报价时有漏报、缺项的情况发生，采购人视为报价人已充分理解询价文件要求，漏报、漏项部分已计入投标报价之中，一旦中标，费用不予调整。</w:t>
      </w:r>
    </w:p>
    <w:p>
      <w:pPr>
        <w:numPr>
          <w:ilvl w:val="0"/>
          <w:numId w:val="0"/>
        </w:numPr>
        <w:spacing w:line="360" w:lineRule="auto"/>
        <w:ind w:firstLine="488"/>
        <w:rPr>
          <w:rFonts w:hint="eastAsia" w:ascii="宋体" w:hAnsi="宋体" w:eastAsia="宋体" w:cs="宋体"/>
          <w:sz w:val="24"/>
          <w:szCs w:val="24"/>
          <w:lang w:val="en-US" w:eastAsia="zh-CN"/>
        </w:rPr>
      </w:pP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报价清单中各项金额均以人民币（元）结算。</w:t>
      </w:r>
    </w:p>
    <w:p>
      <w:pPr>
        <w:pStyle w:val="4"/>
        <w:pageBreakBefore w:val="0"/>
        <w:widowControl w:val="0"/>
        <w:kinsoku/>
        <w:wordWrap/>
        <w:overflowPunct/>
        <w:topLinePunct w:val="0"/>
        <w:autoSpaceDE/>
        <w:autoSpaceDN/>
        <w:bidi w:val="0"/>
        <w:adjustRightInd/>
        <w:snapToGrid/>
        <w:spacing w:before="0" w:after="0" w:line="360" w:lineRule="auto"/>
        <w:ind w:left="0" w:leftChars="0" w:right="0" w:rightChars="0" w:firstLine="486"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cs="宋体"/>
          <w:b/>
          <w:bCs/>
          <w:sz w:val="24"/>
          <w:szCs w:val="24"/>
          <w:highlight w:val="none"/>
          <w:lang w:val="en-US" w:eastAsia="zh-CN"/>
        </w:rPr>
        <w:t>6.</w:t>
      </w:r>
      <w:r>
        <w:rPr>
          <w:rFonts w:hint="eastAsia" w:ascii="宋体" w:hAnsi="宋体" w:eastAsia="宋体" w:cs="宋体"/>
          <w:b/>
          <w:bCs/>
          <w:sz w:val="24"/>
          <w:szCs w:val="24"/>
          <w:highlight w:val="none"/>
          <w:lang w:val="en-US" w:eastAsia="zh-CN"/>
        </w:rPr>
        <w:t>支付方式：</w:t>
      </w:r>
      <w:r>
        <w:rPr>
          <w:rFonts w:hint="eastAsia" w:ascii="宋体" w:hAnsi="宋体" w:eastAsia="宋体" w:cs="宋体"/>
          <w:b w:val="0"/>
          <w:bCs w:val="0"/>
          <w:kern w:val="2"/>
          <w:sz w:val="24"/>
          <w:szCs w:val="24"/>
          <w:highlight w:val="none"/>
          <w:lang w:val="en-US" w:eastAsia="zh-CN" w:bidi="ar-SA"/>
        </w:rPr>
        <w:t>合同签订完成，支付合同额的30%作为预付款；报价人完成本项目实施团队的组建及准备工作，到现场进行调研前支付合同额的40%，报价人提交完成经采购人审核合格的绩效薪酬体系建设文件后支付合同价款的30%。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7.本项目最高限价200000.00元</w:t>
      </w:r>
      <w:r>
        <w:rPr>
          <w:rFonts w:hint="eastAsia" w:ascii="宋体" w:hAnsi="宋体" w:cs="宋体"/>
          <w:b w:val="0"/>
          <w:bCs w:val="0"/>
          <w:sz w:val="24"/>
          <w:szCs w:val="24"/>
          <w:lang w:val="en-US" w:eastAsia="zh-CN"/>
        </w:rPr>
        <w:t>。报价人总价报价均不得高于采购人发布的最高限价，否则其竞争性比选响应文件视为重大偏差，竞争性比选响应文件将按否决报价处理。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8.保密条款：</w:t>
      </w:r>
      <w:r>
        <w:rPr>
          <w:rFonts w:hint="eastAsia" w:ascii="宋体" w:hAnsi="宋体" w:cs="宋体"/>
          <w:b w:val="0"/>
          <w:bCs w:val="0"/>
          <w:sz w:val="24"/>
          <w:szCs w:val="24"/>
          <w:lang w:val="en-US" w:eastAsia="zh-CN"/>
        </w:rPr>
        <w:t>在报价人实施或参与本项目中，对获取到的重庆首讯科技有限公司提供的制度文件及生产资料以及提交的最终成功等有保密义务。未经采购人书面许可，报价人不得对任何第三方透露本项目任何信息。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9.</w:t>
      </w:r>
      <w:r>
        <w:rPr>
          <w:rFonts w:hint="eastAsia" w:ascii="宋体" w:hAnsi="宋体" w:cs="宋体"/>
          <w:b w:val="0"/>
          <w:bCs w:val="0"/>
          <w:sz w:val="24"/>
          <w:szCs w:val="24"/>
          <w:lang w:val="en-US" w:eastAsia="zh-CN"/>
        </w:rPr>
        <w:t>本次询价结果仅作为本项目实施单位选择的依据之一，甲方有权根据实际情况决定最终结果。</w:t>
      </w:r>
    </w:p>
    <w:p>
      <w:pPr>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6"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10.资格要求：详见附录</w:t>
      </w:r>
    </w:p>
    <w:p>
      <w:pPr>
        <w:pStyle w:val="4"/>
        <w:jc w:val="center"/>
        <w:rPr>
          <w:rFonts w:hint="eastAsia" w:ascii="宋体" w:hAnsi="宋体" w:eastAsia="宋体" w:cs="宋体"/>
          <w:sz w:val="24"/>
          <w:szCs w:val="24"/>
        </w:rPr>
      </w:pPr>
      <w:bookmarkStart w:id="46" w:name="_Toc17532"/>
      <w:bookmarkStart w:id="47" w:name="_Toc31095"/>
      <w:bookmarkStart w:id="48" w:name="_Toc11284"/>
      <w:bookmarkStart w:id="49" w:name="_Toc11329222"/>
      <w:bookmarkStart w:id="50" w:name="_Toc30198"/>
      <w:r>
        <w:rPr>
          <w:rFonts w:hint="eastAsia" w:ascii="宋体" w:hAnsi="宋体" w:eastAsia="宋体" w:cs="宋体"/>
          <w:sz w:val="24"/>
          <w:szCs w:val="24"/>
        </w:rPr>
        <w:t>附录1  资格审查条件</w:t>
      </w:r>
      <w:bookmarkEnd w:id="46"/>
      <w:bookmarkEnd w:id="47"/>
      <w:bookmarkEnd w:id="48"/>
      <w:bookmarkEnd w:id="49"/>
      <w:bookmarkEnd w:id="50"/>
    </w:p>
    <w:tbl>
      <w:tblPr>
        <w:tblStyle w:val="19"/>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hint="eastAsia" w:ascii="宋体" w:hAnsi="宋体" w:cs="宋体"/>
                <w:szCs w:val="21"/>
              </w:rPr>
            </w:pPr>
            <w:r>
              <w:rPr>
                <w:rFonts w:hint="eastAsia" w:ascii="宋体" w:hAnsi="宋体" w:cs="宋体"/>
                <w:szCs w:val="21"/>
                <w:lang w:val="en-US" w:eastAsia="zh-CN"/>
              </w:rPr>
              <w:t>安全服务提供商</w:t>
            </w:r>
            <w:r>
              <w:rPr>
                <w:rFonts w:hint="eastAsia" w:ascii="宋体" w:hAnsi="宋体" w:cs="宋体"/>
                <w:szCs w:val="21"/>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108"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（1）报价人应为中国大陆境内合法注册的独立企业法人或事业法人，具备有效的营业执照或事业单位法人证书；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（2）信誉良好：在国家企业信用信息公示系统（http://www.gsxt.gov.cn/）中未被列入严重违法失信企业名单（黑名单）信息；在“信用中国”网站（http://www.creditchina.gov.cn/）中未被列入失信惩戒执行人名单。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宋体"/>
                <w:lang w:val="en-US" w:eastAsia="zh-CN"/>
              </w:rPr>
            </w:pPr>
            <w:r>
              <w:rPr>
                <w:rFonts w:hint="eastAsia" w:asciiTheme="minorEastAsia" w:hAnsiTheme="minorEastAsia" w:eastAsiaTheme="minorEastAsia" w:cstheme="minorEastAsia"/>
                <w:sz w:val="24"/>
                <w:szCs w:val="24"/>
                <w:lang w:val="en-US" w:eastAsia="zh-CN"/>
              </w:rPr>
              <w:t>（3）2019年1月1日至投标截止日具有至少1项类似绩效薪酬设计服务类项目业绩。</w:t>
            </w:r>
          </w:p>
        </w:tc>
      </w:tr>
    </w:tbl>
    <w:p>
      <w:pPr>
        <w:spacing w:line="440" w:lineRule="exact"/>
        <w:ind w:firstLine="420" w:firstLineChars="200"/>
        <w:rPr>
          <w:rFonts w:hint="eastAsia" w:asciiTheme="minorEastAsia" w:hAnsiTheme="minorEastAsia" w:eastAsiaTheme="minorEastAsia" w:cstheme="minorEastAsia"/>
          <w:b/>
          <w:bCs/>
          <w:caps/>
          <w:kern w:val="2"/>
          <w:sz w:val="22"/>
          <w:szCs w:val="22"/>
          <w:lang w:val="en-US" w:eastAsia="zh-CN" w:bidi="ar-SA"/>
        </w:rPr>
      </w:pPr>
      <w:r>
        <w:rPr>
          <w:rFonts w:hint="eastAsia" w:asciiTheme="minorEastAsia" w:hAnsiTheme="minorEastAsia" w:eastAsiaTheme="minorEastAsia" w:cstheme="minorEastAsia"/>
          <w:b/>
          <w:bCs/>
          <w:caps/>
          <w:kern w:val="2"/>
          <w:sz w:val="22"/>
          <w:szCs w:val="22"/>
          <w:lang w:val="en-US" w:eastAsia="zh-CN" w:bidi="ar-SA"/>
        </w:rPr>
        <w:t>注：须提供营业执照或事业单位法人证书，信誉网站查询结果截图，类似业绩合同扫描件，并加盖单位公章。</w:t>
      </w:r>
      <w:bookmarkStart w:id="51" w:name="_Toc1778"/>
      <w:bookmarkStart w:id="52" w:name="_Toc17235"/>
      <w:bookmarkStart w:id="53" w:name="_Toc30995"/>
      <w:bookmarkStart w:id="54" w:name="_Toc11329223"/>
      <w:bookmarkStart w:id="55" w:name="_Toc19627"/>
    </w:p>
    <w:bookmarkEnd w:id="51"/>
    <w:bookmarkEnd w:id="52"/>
    <w:bookmarkEnd w:id="53"/>
    <w:bookmarkEnd w:id="54"/>
    <w:bookmarkEnd w:id="55"/>
    <w:p>
      <w:pPr>
        <w:pStyle w:val="2"/>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26" w:firstLineChars="200"/>
        <w:textAlignment w:val="auto"/>
        <w:rPr>
          <w:rFonts w:hint="eastAsia"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若参与本次竞争性比选的单位不足3家，则本次竞争性比选失败，采购人有权邀请报价较低的报价人进行谈判以确定本项目的实施单位。</w:t>
      </w:r>
    </w:p>
    <w:p>
      <w:pPr>
        <w:pStyle w:val="2"/>
        <w:numPr>
          <w:ilvl w:val="0"/>
          <w:numId w:val="0"/>
        </w:numPr>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6"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12.竞争性比选文件需加盖报价人的公章</w:t>
      </w:r>
      <w:r>
        <w:rPr>
          <w:rFonts w:hint="eastAsia" w:ascii="宋体" w:hAnsi="宋体"/>
          <w:color w:val="000000" w:themeColor="text1"/>
          <w:sz w:val="24"/>
          <w:highlight w:val="none"/>
          <w14:textFill>
            <w14:solidFill>
              <w14:schemeClr w14:val="tx1"/>
            </w14:solidFill>
          </w14:textFill>
        </w:rPr>
        <w:t>，竞争性比选响应文件</w:t>
      </w:r>
      <w:r>
        <w:rPr>
          <w:rFonts w:hint="eastAsia" w:ascii="宋体" w:hAnsi="宋体"/>
          <w:b/>
          <w:bCs/>
          <w:color w:val="000000" w:themeColor="text1"/>
          <w:sz w:val="24"/>
          <w:highlight w:val="none"/>
          <w14:textFill>
            <w14:solidFill>
              <w14:schemeClr w14:val="tx1"/>
            </w14:solidFill>
          </w14:textFill>
        </w:rPr>
        <w:t>提交正本1份，副本2份，</w:t>
      </w:r>
      <w:r>
        <w:rPr>
          <w:rFonts w:hint="eastAsia" w:ascii="宋体" w:hAnsi="宋体"/>
          <w:color w:val="000000" w:themeColor="text1"/>
          <w:sz w:val="24"/>
          <w:highlight w:val="none"/>
          <w14:textFill>
            <w14:solidFill>
              <w14:schemeClr w14:val="tx1"/>
            </w14:solidFill>
          </w14:textFill>
        </w:rPr>
        <w:t>副本可为正本的复印件，竞争性比选响应文件需装订成册；报价人应提供竞争性比选响应文件</w:t>
      </w:r>
      <w:r>
        <w:rPr>
          <w:rFonts w:hint="eastAsia" w:ascii="宋体" w:hAnsi="宋体"/>
          <w:b/>
          <w:bCs/>
          <w:color w:val="000000" w:themeColor="text1"/>
          <w:sz w:val="24"/>
          <w:highlight w:val="none"/>
          <w14:textFill>
            <w14:solidFill>
              <w14:schemeClr w14:val="tx1"/>
            </w14:solidFill>
          </w14:textFill>
        </w:rPr>
        <w:t>电子文件1份</w:t>
      </w:r>
      <w:r>
        <w:rPr>
          <w:rFonts w:hint="eastAsia" w:ascii="宋体" w:hAnsi="宋体"/>
          <w:color w:val="000000" w:themeColor="text1"/>
          <w:sz w:val="24"/>
          <w:highlight w:val="none"/>
          <w14:textFill>
            <w14:solidFill>
              <w14:schemeClr w14:val="tx1"/>
            </w14:solidFill>
          </w14:textFill>
        </w:rPr>
        <w:t>（U盘1份，电子文件内容须包括竞争性比选响应文件全部内容）。当电子文件与纸质版竞争性比选响应文件不一致时，以纸质版竞争性比选响应文件为准，当正本与副本不一致时，以正本为准。</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26"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13.</w:t>
      </w:r>
      <w:r>
        <w:rPr>
          <w:rFonts w:hint="eastAsia" w:ascii="宋体" w:hAnsi="宋体"/>
          <w:color w:val="000000" w:themeColor="text1"/>
          <w:sz w:val="24"/>
          <w:szCs w:val="24"/>
          <w:highlight w:val="none"/>
          <w14:textFill>
            <w14:solidFill>
              <w14:schemeClr w14:val="tx1"/>
            </w14:solidFill>
          </w14:textFill>
        </w:rPr>
        <w:t>本次竞争性比选响应文件的组成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6"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竞争性比选响应声明书、法定代表人身份证明和法定代表人授权委托书、报价一览表、资格要求材料、承诺书、报价人认为需要提供的其他相关文件（注：以上所有文件均须加盖报价人的公章）。</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26"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14.</w:t>
      </w:r>
      <w:r>
        <w:rPr>
          <w:rFonts w:hint="eastAsia" w:ascii="宋体" w:hAnsi="宋体"/>
          <w:color w:val="000000" w:themeColor="text1"/>
          <w:sz w:val="24"/>
          <w:szCs w:val="24"/>
          <w:highlight w:val="none"/>
          <w14:textFill>
            <w14:solidFill>
              <w14:schemeClr w14:val="tx1"/>
            </w14:solidFill>
          </w14:textFill>
        </w:rPr>
        <w:t>密封要求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6"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竞争性比选响应文件密封到一个封袋中，在封套上写明：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6" w:firstLineChars="200"/>
        <w:textAlignment w:val="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重庆首讯科技股份有限公司绩效薪酬设计服务项目竞争性比选响应文件</w:t>
      </w:r>
    </w:p>
    <w:p>
      <w:pPr>
        <w:keepNext w:val="0"/>
        <w:keepLines w:val="0"/>
        <w:pageBreakBefore w:val="0"/>
        <w:widowControl w:val="0"/>
        <w:kinsoku/>
        <w:wordWrap/>
        <w:overflowPunct/>
        <w:topLinePunct w:val="0"/>
        <w:autoSpaceDE/>
        <w:autoSpaceDN/>
        <w:bidi w:val="0"/>
        <w:adjustRightInd/>
        <w:snapToGrid/>
        <w:spacing w:line="360" w:lineRule="auto"/>
        <w:ind w:left="426" w:leftChars="200" w:right="0" w:rightChars="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在202</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日1</w:t>
      </w:r>
      <w:r>
        <w:rPr>
          <w:rFonts w:hint="eastAsia" w:ascii="宋体" w:hAnsi="宋体"/>
          <w:color w:val="000000" w:themeColor="text1"/>
          <w:sz w:val="24"/>
          <w:highlight w:val="none"/>
          <w:lang w:val="en-US" w:eastAsia="zh-CN"/>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0时前不得开启</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6"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15.</w:t>
      </w:r>
      <w:r>
        <w:rPr>
          <w:rFonts w:hint="eastAsia" w:ascii="宋体" w:hAnsi="宋体"/>
          <w:color w:val="000000" w:themeColor="text1"/>
          <w:sz w:val="24"/>
          <w:szCs w:val="24"/>
          <w:highlight w:val="none"/>
          <w14:textFill>
            <w14:solidFill>
              <w14:schemeClr w14:val="tx1"/>
            </w14:solidFill>
          </w14:textFill>
        </w:rPr>
        <w:t>竞争性</w:t>
      </w:r>
      <w:r>
        <w:rPr>
          <w:rFonts w:ascii="宋体" w:hAnsi="宋体"/>
          <w:color w:val="000000" w:themeColor="text1"/>
          <w:sz w:val="24"/>
          <w:szCs w:val="24"/>
          <w:highlight w:val="none"/>
          <w14:textFill>
            <w14:solidFill>
              <w14:schemeClr w14:val="tx1"/>
            </w14:solidFill>
          </w14:textFill>
        </w:rPr>
        <w:t>比选响应文件的递交</w:t>
      </w:r>
    </w:p>
    <w:p>
      <w:pPr>
        <w:keepNext w:val="0"/>
        <w:keepLines w:val="0"/>
        <w:pageBreakBefore w:val="0"/>
        <w:widowControl w:val="0"/>
        <w:kinsoku/>
        <w:wordWrap/>
        <w:overflowPunct/>
        <w:topLinePunct w:val="0"/>
        <w:autoSpaceDE/>
        <w:autoSpaceDN/>
        <w:bidi w:val="0"/>
        <w:adjustRightInd/>
        <w:snapToGrid/>
        <w:spacing w:line="360" w:lineRule="auto"/>
        <w:ind w:left="426" w:leftChars="200" w:right="0" w:rightChars="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报价截止时间和开标时间：2021年</w:t>
      </w:r>
      <w:r>
        <w:rPr>
          <w:rFonts w:hint="eastAsia" w:ascii="宋体" w:hAnsi="宋体"/>
          <w:color w:val="000000" w:themeColor="text1"/>
          <w:sz w:val="24"/>
          <w:highlight w:val="none"/>
          <w:u w:val="single"/>
          <w:lang w:val="en-US" w:eastAsia="zh-CN"/>
          <w14:textFill>
            <w14:solidFill>
              <w14:schemeClr w14:val="tx1"/>
            </w14:solidFill>
          </w14:textFill>
        </w:rPr>
        <w:t>6</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9</w:t>
      </w:r>
      <w:r>
        <w:rPr>
          <w:rFonts w:ascii="宋体" w:hAnsi="宋体"/>
          <w:color w:val="000000" w:themeColor="text1"/>
          <w:sz w:val="24"/>
          <w:highlight w:val="none"/>
          <w14:textFill>
            <w14:solidFill>
              <w14:schemeClr w14:val="tx1"/>
            </w14:solidFill>
          </w14:textFill>
        </w:rPr>
        <w:t>日1</w:t>
      </w:r>
      <w:r>
        <w:rPr>
          <w:rFonts w:hint="eastAsia" w:ascii="宋体" w:hAnsi="宋体"/>
          <w:color w:val="000000" w:themeColor="text1"/>
          <w:sz w:val="24"/>
          <w:highlight w:val="none"/>
          <w:lang w:val="en-US" w:eastAsia="zh-CN"/>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0</w:t>
      </w:r>
      <w:r>
        <w:rPr>
          <w:rFonts w:ascii="宋体" w:hAnsi="宋体"/>
          <w:color w:val="000000" w:themeColor="text1"/>
          <w:sz w:val="24"/>
          <w:highlight w:val="none"/>
          <w14:textFill>
            <w14:solidFill>
              <w14:schemeClr w14:val="tx1"/>
            </w14:solidFill>
          </w14:textFill>
        </w:rPr>
        <w:t>分（北京时间）。</w:t>
      </w:r>
    </w:p>
    <w:p>
      <w:pPr>
        <w:keepNext w:val="0"/>
        <w:keepLines w:val="0"/>
        <w:pageBreakBefore w:val="0"/>
        <w:widowControl w:val="0"/>
        <w:kinsoku/>
        <w:wordWrap/>
        <w:overflowPunct/>
        <w:topLinePunct w:val="0"/>
        <w:autoSpaceDE/>
        <w:autoSpaceDN/>
        <w:bidi w:val="0"/>
        <w:adjustRightInd/>
        <w:snapToGrid/>
        <w:spacing w:line="360" w:lineRule="auto"/>
        <w:ind w:left="426" w:leftChars="200" w:right="0" w:rightChars="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报价地点和开标地点：</w:t>
      </w:r>
      <w:r>
        <w:rPr>
          <w:rFonts w:hint="eastAsia" w:ascii="宋体" w:hAnsi="宋体"/>
          <w:color w:val="000000" w:themeColor="text1"/>
          <w:sz w:val="24"/>
          <w:highlight w:val="none"/>
          <w14:textFill>
            <w14:solidFill>
              <w14:schemeClr w14:val="tx1"/>
            </w14:solidFill>
          </w14:textFill>
        </w:rPr>
        <w:t>重庆市南岸区四公里内环入口200米处重庆首讯科技大楼</w:t>
      </w:r>
      <w:r>
        <w:rPr>
          <w:rFonts w:hint="eastAsia" w:ascii="宋体" w:hAnsi="宋体"/>
          <w:color w:val="000000" w:themeColor="text1"/>
          <w:sz w:val="24"/>
          <w:highlight w:val="none"/>
          <w:lang w:val="en-US" w:eastAsia="zh-CN"/>
          <w14:textFill>
            <w14:solidFill>
              <w14:schemeClr w14:val="tx1"/>
            </w14:solidFill>
          </w14:textFill>
        </w:rPr>
        <w:t>三楼310会议室</w:t>
      </w:r>
    </w:p>
    <w:p>
      <w:pPr>
        <w:keepNext w:val="0"/>
        <w:keepLines w:val="0"/>
        <w:pageBreakBefore w:val="0"/>
        <w:widowControl w:val="0"/>
        <w:kinsoku/>
        <w:wordWrap/>
        <w:overflowPunct/>
        <w:topLinePunct w:val="0"/>
        <w:autoSpaceDE/>
        <w:autoSpaceDN/>
        <w:bidi w:val="0"/>
        <w:adjustRightInd/>
        <w:snapToGrid/>
        <w:spacing w:line="360" w:lineRule="auto"/>
        <w:ind w:left="426" w:leftChars="200" w:right="0" w:rightChars="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逾期送达，或未送达指定地点，或未密封的竞争性比选响应文件，采购人不予受理。</w:t>
      </w:r>
    </w:p>
    <w:p>
      <w:pPr>
        <w:keepNext w:val="0"/>
        <w:keepLines w:val="0"/>
        <w:pageBreakBefore w:val="0"/>
        <w:widowControl w:val="0"/>
        <w:kinsoku/>
        <w:wordWrap/>
        <w:overflowPunct/>
        <w:topLinePunct w:val="0"/>
        <w:autoSpaceDE/>
        <w:autoSpaceDN/>
        <w:bidi w:val="0"/>
        <w:adjustRightInd/>
        <w:snapToGrid/>
        <w:spacing w:line="360" w:lineRule="auto"/>
        <w:ind w:left="426" w:leftChars="200" w:right="0" w:rightChars="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文件递交方式：现场递交或邮寄，若采用现场递交方式需在投标截止当天将文件送达并参与现场开标；若采用邮寄方式需用EMS邮寄至重庆市南岸区四公里重庆首讯科技股份有限公司，否则采购人有权拒收，采用邮寄方式的报价人默认认可采购人的开标结果，不得由此提出任何质疑。</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16.</w:t>
      </w:r>
      <w:r>
        <w:rPr>
          <w:rFonts w:hint="eastAsia" w:ascii="宋体" w:hAnsi="宋体"/>
          <w:color w:val="000000" w:themeColor="text1"/>
          <w:sz w:val="24"/>
          <w:szCs w:val="24"/>
          <w:highlight w:val="none"/>
          <w14:textFill>
            <w14:solidFill>
              <w14:schemeClr w14:val="tx1"/>
            </w14:solidFill>
          </w14:textFill>
        </w:rPr>
        <w:t>联系方式</w:t>
      </w:r>
    </w:p>
    <w:p>
      <w:pPr>
        <w:keepNext w:val="0"/>
        <w:keepLines w:val="0"/>
        <w:pageBreakBefore w:val="0"/>
        <w:widowControl w:val="0"/>
        <w:kinsoku/>
        <w:wordWrap/>
        <w:overflowPunct/>
        <w:topLinePunct w:val="0"/>
        <w:autoSpaceDE/>
        <w:autoSpaceDN/>
        <w:bidi w:val="0"/>
        <w:adjustRightInd/>
        <w:snapToGrid/>
        <w:spacing w:line="360" w:lineRule="auto"/>
        <w:ind w:left="426" w:leftChars="200" w:right="0" w:rightChars="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w:t>
      </w:r>
      <w:r>
        <w:rPr>
          <w:rFonts w:hint="eastAsia" w:ascii="宋体" w:hAnsi="宋体"/>
          <w:color w:val="000000" w:themeColor="text1"/>
          <w:sz w:val="24"/>
          <w:highlight w:val="none"/>
          <w:lang w:val="en-US" w:eastAsia="zh-CN"/>
          <w14:textFill>
            <w14:solidFill>
              <w14:schemeClr w14:val="tx1"/>
            </w14:solidFill>
          </w14:textFill>
        </w:rPr>
        <w:t>蒋老师</w:t>
      </w:r>
      <w:r>
        <w:rPr>
          <w:rFonts w:hint="eastAsia" w:ascii="宋体" w:hAnsi="宋体"/>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426" w:leftChars="200" w:right="0" w:rightChars="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lang w:val="en-US" w:eastAsia="zh-CN"/>
          <w14:textFill>
            <w14:solidFill>
              <w14:schemeClr w14:val="tx1"/>
            </w14:solidFill>
          </w14:textFill>
        </w:rPr>
        <w:t>17783017837</w:t>
      </w:r>
      <w:r>
        <w:rPr>
          <w:rFonts w:hint="eastAsia" w:ascii="宋体" w:hAnsi="宋体"/>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426" w:leftChars="200" w:right="0" w:rightChars="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监督电话：02389021335  </w:t>
      </w:r>
    </w:p>
    <w:p>
      <w:pPr>
        <w:keepNext w:val="0"/>
        <w:keepLines w:val="0"/>
        <w:pageBreakBefore w:val="0"/>
        <w:widowControl w:val="0"/>
        <w:kinsoku/>
        <w:wordWrap/>
        <w:overflowPunct/>
        <w:topLinePunct w:val="0"/>
        <w:autoSpaceDE/>
        <w:autoSpaceDN/>
        <w:bidi w:val="0"/>
        <w:adjustRightInd/>
        <w:snapToGrid/>
        <w:spacing w:line="360" w:lineRule="auto"/>
        <w:ind w:left="426" w:leftChars="200" w:right="0" w:right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地址：庆市南岸区四公里内环入口200米处重庆首讯科技大</w:t>
      </w:r>
      <w:r>
        <w:rPr>
          <w:rFonts w:hint="eastAsia" w:ascii="宋体" w:hAnsi="宋体"/>
          <w:color w:val="000000" w:themeColor="text1"/>
          <w:sz w:val="24"/>
          <w14:textFill>
            <w14:solidFill>
              <w14:schemeClr w14:val="tx1"/>
            </w14:solidFill>
          </w14:textFill>
        </w:rPr>
        <w:t>楼</w:t>
      </w:r>
    </w:p>
    <w:p>
      <w:pPr>
        <w:pStyle w:val="5"/>
      </w:pPr>
    </w:p>
    <w:p>
      <w:pPr>
        <w:jc w:val="cente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jc w:val="both"/>
        <w:rPr>
          <w:rFonts w:hint="eastAsia" w:ascii="宋体" w:hAnsi="宋体" w:eastAsia="宋体" w:cs="宋体"/>
          <w:smallCaps/>
          <w:kern w:val="2"/>
          <w:sz w:val="48"/>
          <w:szCs w:val="48"/>
          <w:lang w:val="en-US" w:eastAsia="zh-CN" w:bidi="ar-SA"/>
        </w:rPr>
      </w:pPr>
    </w:p>
    <w:p>
      <w:pPr>
        <w:jc w:val="center"/>
        <w:rPr>
          <w:rFonts w:hint="eastAsia"/>
          <w:b/>
          <w:bCs/>
          <w:sz w:val="48"/>
          <w:szCs w:val="48"/>
        </w:rPr>
      </w:pPr>
      <w:r>
        <w:rPr>
          <w:rFonts w:hint="eastAsia" w:ascii="宋体" w:hAnsi="宋体" w:eastAsia="宋体" w:cs="宋体"/>
          <w:b/>
          <w:bCs/>
          <w:smallCaps/>
          <w:kern w:val="2"/>
          <w:sz w:val="48"/>
          <w:szCs w:val="48"/>
          <w:lang w:val="en-US" w:eastAsia="zh-CN" w:bidi="ar-SA"/>
        </w:rPr>
        <w:t>第三章 评标办法（</w:t>
      </w:r>
      <w:r>
        <w:rPr>
          <w:rFonts w:hint="eastAsia" w:ascii="宋体" w:hAnsi="宋体" w:cs="宋体"/>
          <w:b/>
          <w:bCs/>
          <w:smallCaps/>
          <w:kern w:val="2"/>
          <w:sz w:val="48"/>
          <w:szCs w:val="48"/>
          <w:lang w:val="en-US" w:eastAsia="zh-CN" w:bidi="ar-SA"/>
        </w:rPr>
        <w:t>综合评估法</w:t>
      </w:r>
      <w:r>
        <w:rPr>
          <w:rFonts w:hint="eastAsia" w:ascii="宋体" w:hAnsi="宋体" w:eastAsia="宋体" w:cs="宋体"/>
          <w:b/>
          <w:bCs/>
          <w:smallCaps/>
          <w:kern w:val="2"/>
          <w:sz w:val="48"/>
          <w:szCs w:val="48"/>
          <w:lang w:val="en-US" w:eastAsia="zh-CN" w:bidi="ar-SA"/>
        </w:rPr>
        <w:t>）</w:t>
      </w:r>
    </w:p>
    <w:p>
      <w:pPr>
        <w:spacing w:line="360" w:lineRule="auto"/>
        <w:rPr>
          <w:rFonts w:hint="eastAsia"/>
          <w:b/>
          <w:bCs/>
          <w:color w:val="000000" w:themeColor="text1"/>
          <w:sz w:val="24"/>
          <w:szCs w:val="28"/>
          <w14:textFill>
            <w14:solidFill>
              <w14:schemeClr w14:val="tx1"/>
            </w14:solidFill>
          </w14:textFill>
        </w:rPr>
      </w:pPr>
    </w:p>
    <w:p>
      <w:pPr>
        <w:spacing w:line="360" w:lineRule="auto"/>
        <w:rPr>
          <w:rFonts w:hint="eastAsia"/>
          <w:b/>
          <w:bCs/>
          <w:color w:val="000000" w:themeColor="text1"/>
          <w:sz w:val="24"/>
          <w:szCs w:val="28"/>
          <w14:textFill>
            <w14:solidFill>
              <w14:schemeClr w14:val="tx1"/>
            </w14:solidFill>
          </w14:textFill>
        </w:rPr>
      </w:pPr>
      <w:r>
        <w:rPr>
          <w:rFonts w:hint="eastAsia"/>
          <w:b/>
          <w:bCs/>
          <w:color w:val="000000" w:themeColor="text1"/>
          <w:sz w:val="24"/>
          <w:szCs w:val="28"/>
          <w14:textFill>
            <w14:solidFill>
              <w14:schemeClr w14:val="tx1"/>
            </w14:solidFill>
          </w14:textFill>
        </w:rPr>
        <w:t>本项目采用综合</w:t>
      </w:r>
      <w:r>
        <w:rPr>
          <w:rFonts w:hint="eastAsia"/>
          <w:b/>
          <w:bCs/>
          <w:color w:val="000000" w:themeColor="text1"/>
          <w:sz w:val="24"/>
          <w:szCs w:val="28"/>
          <w:lang w:val="en-US" w:eastAsia="zh-CN"/>
          <w14:textFill>
            <w14:solidFill>
              <w14:schemeClr w14:val="tx1"/>
            </w14:solidFill>
          </w14:textFill>
        </w:rPr>
        <w:t>评估</w:t>
      </w:r>
      <w:r>
        <w:rPr>
          <w:rFonts w:hint="eastAsia"/>
          <w:b/>
          <w:bCs/>
          <w:color w:val="000000" w:themeColor="text1"/>
          <w:sz w:val="24"/>
          <w:szCs w:val="28"/>
          <w14:textFill>
            <w14:solidFill>
              <w14:schemeClr w14:val="tx1"/>
            </w14:solidFill>
          </w14:textFill>
        </w:rPr>
        <w:t>法进行评标。</w:t>
      </w:r>
    </w:p>
    <w:p>
      <w:pPr>
        <w:pStyle w:val="2"/>
        <w:rPr>
          <w:rFonts w:hint="eastAsia"/>
        </w:rPr>
      </w:pP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377"/>
        <w:gridCol w:w="352"/>
        <w:gridCol w:w="767"/>
        <w:gridCol w:w="493"/>
        <w:gridCol w:w="1084"/>
        <w:gridCol w:w="4379"/>
        <w:gridCol w:w="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hint="eastAsia" w:ascii="宋体" w:hAnsi="宋体" w:cs="宋体"/>
                <w:b/>
                <w:kern w:val="0"/>
              </w:rPr>
            </w:pPr>
            <w:r>
              <w:rPr>
                <w:rFonts w:hint="eastAsia" w:ascii="宋体" w:hAnsi="宋体" w:cs="宋体"/>
                <w:b/>
                <w:kern w:val="0"/>
              </w:rPr>
              <w:t>条款号</w:t>
            </w:r>
          </w:p>
        </w:tc>
        <w:tc>
          <w:tcPr>
            <w:tcW w:w="1496" w:type="dxa"/>
            <w:gridSpan w:val="3"/>
            <w:vAlign w:val="center"/>
          </w:tcPr>
          <w:p>
            <w:pPr>
              <w:snapToGrid w:val="0"/>
              <w:spacing w:line="400" w:lineRule="exact"/>
              <w:jc w:val="center"/>
              <w:rPr>
                <w:rFonts w:hint="eastAsia" w:ascii="宋体" w:hAnsi="宋体" w:cs="宋体"/>
                <w:b/>
                <w:kern w:val="0"/>
              </w:rPr>
            </w:pPr>
            <w:r>
              <w:rPr>
                <w:rFonts w:hint="eastAsia" w:ascii="宋体" w:hAnsi="宋体" w:cs="宋体"/>
                <w:b/>
                <w:kern w:val="0"/>
              </w:rPr>
              <w:t>条款名称</w:t>
            </w:r>
          </w:p>
        </w:tc>
        <w:tc>
          <w:tcPr>
            <w:tcW w:w="6004" w:type="dxa"/>
            <w:gridSpan w:val="4"/>
            <w:vAlign w:val="center"/>
          </w:tcPr>
          <w:p>
            <w:pPr>
              <w:snapToGrid w:val="0"/>
              <w:spacing w:line="400" w:lineRule="exact"/>
              <w:jc w:val="center"/>
              <w:rPr>
                <w:rFonts w:hint="eastAsia" w:ascii="宋体" w:hAnsi="宋体" w:cs="宋体"/>
                <w:b/>
                <w:kern w:val="0"/>
              </w:rPr>
            </w:pPr>
            <w:r>
              <w:rPr>
                <w:rFonts w:hint="eastAsia" w:ascii="宋体" w:hAnsi="宋体" w:cs="宋体"/>
                <w:b/>
                <w:kern w:val="0"/>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hint="eastAsia" w:ascii="宋体" w:hAnsi="宋体" w:cs="宋体"/>
                <w:b/>
                <w:kern w:val="0"/>
              </w:rPr>
            </w:pPr>
            <w:r>
              <w:rPr>
                <w:rFonts w:hint="eastAsia" w:ascii="宋体" w:hAnsi="宋体" w:cs="宋体"/>
                <w:b/>
                <w:kern w:val="0"/>
              </w:rPr>
              <w:t>1</w:t>
            </w:r>
          </w:p>
        </w:tc>
        <w:tc>
          <w:tcPr>
            <w:tcW w:w="7500" w:type="dxa"/>
            <w:gridSpan w:val="7"/>
            <w:vAlign w:val="center"/>
          </w:tcPr>
          <w:p>
            <w:pPr>
              <w:snapToGrid w:val="0"/>
              <w:spacing w:line="400" w:lineRule="exact"/>
              <w:jc w:val="center"/>
              <w:rPr>
                <w:rFonts w:hint="eastAsia" w:ascii="宋体" w:hAnsi="宋体" w:cs="宋体"/>
                <w:b/>
                <w:kern w:val="0"/>
              </w:rPr>
            </w:pPr>
            <w:r>
              <w:rPr>
                <w:rFonts w:hint="eastAsia" w:ascii="宋体" w:hAnsi="宋体" w:cs="宋体"/>
                <w:b/>
                <w:kern w:val="0"/>
              </w:rPr>
              <w:t>如出现得分(精确到小数点后两位)相等时，按以下原则确定第一中标候选人：</w:t>
            </w:r>
          </w:p>
          <w:p>
            <w:pPr>
              <w:snapToGrid w:val="0"/>
              <w:spacing w:line="400" w:lineRule="exact"/>
              <w:rPr>
                <w:rFonts w:hint="eastAsia" w:ascii="宋体" w:hAnsi="宋体" w:cs="宋体"/>
                <w:b/>
                <w:kern w:val="0"/>
              </w:rPr>
            </w:pPr>
            <w:r>
              <w:rPr>
                <w:rFonts w:hint="eastAsia" w:ascii="宋体" w:hAnsi="宋体" w:cs="宋体"/>
                <w:b/>
                <w:kern w:val="0"/>
              </w:rPr>
              <w:t>（1）以评标价低的</w:t>
            </w:r>
            <w:r>
              <w:rPr>
                <w:rFonts w:hint="eastAsia" w:ascii="宋体" w:hAnsi="宋体" w:cs="宋体"/>
                <w:b/>
                <w:kern w:val="0"/>
                <w:lang w:eastAsia="zh-CN"/>
              </w:rPr>
              <w:t>报价人</w:t>
            </w:r>
            <w:r>
              <w:rPr>
                <w:rFonts w:hint="eastAsia" w:ascii="宋体" w:hAnsi="宋体" w:cs="宋体"/>
                <w:b/>
                <w:kern w:val="0"/>
              </w:rPr>
              <w:t>优先；</w:t>
            </w:r>
          </w:p>
          <w:p>
            <w:pPr>
              <w:snapToGrid w:val="0"/>
              <w:spacing w:line="400" w:lineRule="exact"/>
              <w:rPr>
                <w:rFonts w:hint="eastAsia" w:ascii="宋体" w:hAnsi="宋体" w:cs="宋体"/>
                <w:b/>
                <w:kern w:val="0"/>
              </w:rPr>
            </w:pPr>
            <w:r>
              <w:rPr>
                <w:rFonts w:hint="eastAsia" w:ascii="宋体" w:hAnsi="宋体" w:cs="宋体"/>
                <w:b/>
                <w:kern w:val="0"/>
                <w:highlight w:val="none"/>
              </w:rPr>
              <w:t>（2）如评标价也相</w:t>
            </w:r>
            <w:r>
              <w:rPr>
                <w:rFonts w:hint="eastAsia" w:ascii="宋体" w:hAnsi="宋体" w:cs="宋体"/>
                <w:b/>
                <w:kern w:val="0"/>
              </w:rPr>
              <w:t>同时，以技术得分较高的</w:t>
            </w:r>
            <w:r>
              <w:rPr>
                <w:rFonts w:hint="eastAsia" w:ascii="宋体" w:hAnsi="宋体" w:cs="宋体"/>
                <w:b/>
                <w:kern w:val="0"/>
                <w:lang w:eastAsia="zh-CN"/>
              </w:rPr>
              <w:t>报价人</w:t>
            </w:r>
            <w:r>
              <w:rPr>
                <w:rFonts w:hint="eastAsia" w:ascii="宋体" w:hAnsi="宋体" w:cs="宋体"/>
                <w:b/>
                <w:kern w:val="0"/>
              </w:rPr>
              <w:t>优先；</w:t>
            </w:r>
          </w:p>
          <w:p>
            <w:pPr>
              <w:snapToGrid w:val="0"/>
              <w:spacing w:line="400" w:lineRule="exact"/>
              <w:rPr>
                <w:rFonts w:ascii="宋体" w:hAnsi="宋体" w:cs="宋体"/>
                <w:b/>
                <w:kern w:val="0"/>
              </w:rPr>
            </w:pPr>
            <w:r>
              <w:rPr>
                <w:rFonts w:hint="eastAsia" w:ascii="宋体" w:hAnsi="宋体" w:cs="宋体"/>
                <w:b/>
                <w:kern w:val="0"/>
              </w:rPr>
              <w:t>（3）如技术得分也相同时，以商务得分高的优先；</w:t>
            </w:r>
          </w:p>
          <w:p>
            <w:pPr>
              <w:pStyle w:val="9"/>
              <w:rPr>
                <w:rFonts w:hint="eastAsia"/>
              </w:rPr>
            </w:pPr>
            <w:r>
              <w:rPr>
                <w:rFonts w:hint="eastAsia"/>
                <w:b/>
                <w:bCs/>
              </w:rPr>
              <w:t>（4）</w:t>
            </w:r>
            <w:r>
              <w:rPr>
                <w:rFonts w:ascii="宋体" w:hAnsi="宋体" w:cs="宋体"/>
                <w:b/>
              </w:rPr>
              <w:t>如商务得分也</w:t>
            </w:r>
            <w:r>
              <w:rPr>
                <w:rFonts w:hint="eastAsia" w:ascii="宋体" w:hAnsi="宋体" w:cs="宋体"/>
                <w:b/>
              </w:rPr>
              <w:t>相</w:t>
            </w:r>
            <w:r>
              <w:rPr>
                <w:rFonts w:ascii="宋体" w:hAnsi="宋体" w:cs="宋体"/>
                <w:b/>
              </w:rPr>
              <w:t>同时，</w:t>
            </w:r>
            <w:r>
              <w:rPr>
                <w:rFonts w:hint="eastAsia" w:ascii="宋体" w:hAnsi="宋体" w:cs="宋体"/>
                <w:b/>
              </w:rPr>
              <w:t>由评标委员会投票决定。</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ascii="宋体" w:hAnsi="宋体" w:cs="宋体"/>
                <w:b/>
                <w:kern w:val="0"/>
              </w:rPr>
            </w:pPr>
            <w:r>
              <w:rPr>
                <w:rFonts w:hint="eastAsia" w:ascii="宋体" w:hAnsi="宋体" w:cs="宋体"/>
                <w:b/>
                <w:kern w:val="0"/>
              </w:rPr>
              <w:t>条款号</w:t>
            </w:r>
          </w:p>
        </w:tc>
        <w:tc>
          <w:tcPr>
            <w:tcW w:w="1989" w:type="dxa"/>
            <w:gridSpan w:val="4"/>
            <w:vAlign w:val="center"/>
          </w:tcPr>
          <w:p>
            <w:pPr>
              <w:snapToGrid w:val="0"/>
              <w:spacing w:line="400" w:lineRule="exact"/>
              <w:jc w:val="center"/>
              <w:rPr>
                <w:rFonts w:ascii="宋体" w:hAnsi="宋体" w:cs="宋体"/>
                <w:b/>
                <w:kern w:val="0"/>
              </w:rPr>
            </w:pPr>
            <w:r>
              <w:rPr>
                <w:rFonts w:hint="eastAsia" w:ascii="宋体" w:hAnsi="宋体" w:cs="宋体"/>
                <w:b/>
                <w:kern w:val="0"/>
              </w:rPr>
              <w:t>评审因素</w:t>
            </w:r>
          </w:p>
        </w:tc>
        <w:tc>
          <w:tcPr>
            <w:tcW w:w="5511" w:type="dxa"/>
            <w:gridSpan w:val="3"/>
            <w:vAlign w:val="center"/>
          </w:tcPr>
          <w:p>
            <w:pPr>
              <w:snapToGrid w:val="0"/>
              <w:spacing w:line="400" w:lineRule="exact"/>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565" w:hRule="atLeast"/>
        </w:trPr>
        <w:tc>
          <w:tcPr>
            <w:tcW w:w="1022" w:type="dxa"/>
            <w:vMerge w:val="restart"/>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2.1.1</w:t>
            </w:r>
          </w:p>
        </w:tc>
        <w:tc>
          <w:tcPr>
            <w:tcW w:w="377" w:type="dxa"/>
            <w:vMerge w:val="restart"/>
            <w:textDirection w:val="tbRlV"/>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lang w:eastAsia="zh-CN"/>
              </w:rPr>
            </w:pPr>
            <w:bookmarkStart w:id="56" w:name="OLE_LINK5"/>
            <w:r>
              <w:rPr>
                <w:rFonts w:hint="eastAsia" w:asciiTheme="minorEastAsia" w:hAnsiTheme="minorEastAsia" w:eastAsiaTheme="minorEastAsia" w:cstheme="minorEastAsia"/>
                <w:kern w:val="0"/>
                <w:sz w:val="21"/>
                <w:szCs w:val="21"/>
                <w:lang w:val="en-US" w:eastAsia="zh-CN"/>
              </w:rPr>
              <w:t>资格评审</w:t>
            </w:r>
            <w:bookmarkEnd w:id="56"/>
          </w:p>
        </w:tc>
        <w:tc>
          <w:tcPr>
            <w:tcW w:w="1612" w:type="dxa"/>
            <w:gridSpan w:val="3"/>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bookmarkStart w:id="57" w:name="OLE_LINK7"/>
            <w:r>
              <w:rPr>
                <w:rFonts w:hint="eastAsia" w:asciiTheme="minorEastAsia" w:hAnsiTheme="minorEastAsia" w:eastAsiaTheme="minorEastAsia" w:cstheme="minorEastAsia"/>
                <w:kern w:val="0"/>
                <w:sz w:val="21"/>
                <w:szCs w:val="21"/>
                <w:lang w:eastAsia="zh-CN"/>
              </w:rPr>
              <w:t>报价人</w:t>
            </w:r>
            <w:r>
              <w:rPr>
                <w:rFonts w:hint="eastAsia" w:asciiTheme="minorEastAsia" w:hAnsiTheme="minorEastAsia" w:eastAsiaTheme="minorEastAsia" w:cstheme="minorEastAsia"/>
                <w:kern w:val="0"/>
                <w:sz w:val="21"/>
                <w:szCs w:val="21"/>
              </w:rPr>
              <w:t>名称</w:t>
            </w:r>
            <w:bookmarkEnd w:id="57"/>
          </w:p>
        </w:tc>
        <w:tc>
          <w:tcPr>
            <w:tcW w:w="5463" w:type="dxa"/>
            <w:gridSpan w:val="2"/>
            <w:vAlign w:val="center"/>
          </w:tcPr>
          <w:p>
            <w:pPr>
              <w:pStyle w:val="31"/>
              <w:pageBreakBefore w:val="0"/>
              <w:kinsoku/>
              <w:overflowPunct/>
              <w:topLinePunct w:val="0"/>
              <w:bidi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70" w:hRule="atLeast"/>
        </w:trPr>
        <w:tc>
          <w:tcPr>
            <w:tcW w:w="1022" w:type="dxa"/>
            <w:vMerge w:val="continue"/>
            <w:vAlign w:val="top"/>
          </w:tcPr>
          <w:p>
            <w:pPr>
              <w:pageBreakBefore w:val="0"/>
              <w:kinsoku/>
              <w:overflowPunct/>
              <w:topLinePunct w:val="0"/>
              <w:bidi w:val="0"/>
              <w:snapToGrid w:val="0"/>
              <w:spacing w:line="400" w:lineRule="exact"/>
              <w:rPr>
                <w:rFonts w:hint="eastAsia" w:asciiTheme="minorEastAsia" w:hAnsiTheme="minorEastAsia" w:eastAsiaTheme="minorEastAsia" w:cstheme="minorEastAsia"/>
                <w:sz w:val="21"/>
                <w:szCs w:val="21"/>
              </w:rPr>
            </w:pPr>
          </w:p>
        </w:tc>
        <w:tc>
          <w:tcPr>
            <w:tcW w:w="377" w:type="dxa"/>
            <w:vMerge w:val="continue"/>
            <w:vAlign w:val="top"/>
          </w:tcPr>
          <w:p>
            <w:pPr>
              <w:pageBreakBefore w:val="0"/>
              <w:kinsoku/>
              <w:overflowPunct/>
              <w:topLinePunct w:val="0"/>
              <w:bidi w:val="0"/>
              <w:snapToGrid w:val="0"/>
              <w:spacing w:line="400" w:lineRule="exact"/>
              <w:rPr>
                <w:rFonts w:hint="eastAsia" w:asciiTheme="minorEastAsia" w:hAnsiTheme="minorEastAsia" w:eastAsiaTheme="minorEastAsia" w:cstheme="minorEastAsia"/>
                <w:sz w:val="21"/>
                <w:szCs w:val="21"/>
              </w:rPr>
            </w:pPr>
          </w:p>
        </w:tc>
        <w:tc>
          <w:tcPr>
            <w:tcW w:w="1612" w:type="dxa"/>
            <w:gridSpan w:val="3"/>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bookmarkStart w:id="58" w:name="OLE_LINK8"/>
            <w:r>
              <w:rPr>
                <w:rFonts w:hint="eastAsia" w:asciiTheme="minorEastAsia" w:hAnsiTheme="minorEastAsia" w:eastAsiaTheme="minorEastAsia" w:cstheme="minorEastAsia"/>
                <w:kern w:val="0"/>
                <w:sz w:val="21"/>
                <w:szCs w:val="21"/>
                <w:lang w:val="en-US" w:eastAsia="zh-CN"/>
              </w:rPr>
              <w:t>报价</w:t>
            </w:r>
            <w:r>
              <w:rPr>
                <w:rFonts w:hint="eastAsia" w:asciiTheme="minorEastAsia" w:hAnsiTheme="minorEastAsia" w:eastAsiaTheme="minorEastAsia" w:cstheme="minorEastAsia"/>
                <w:kern w:val="0"/>
                <w:sz w:val="21"/>
                <w:szCs w:val="21"/>
              </w:rPr>
              <w:t>文件签字盖章</w:t>
            </w:r>
            <w:bookmarkEnd w:id="58"/>
          </w:p>
        </w:tc>
        <w:tc>
          <w:tcPr>
            <w:tcW w:w="5463" w:type="dxa"/>
            <w:gridSpan w:val="2"/>
            <w:vAlign w:val="center"/>
          </w:tcPr>
          <w:p>
            <w:pPr>
              <w:pStyle w:val="31"/>
              <w:pageBreakBefore w:val="0"/>
              <w:kinsoku/>
              <w:overflowPunct/>
              <w:topLinePunct w:val="0"/>
              <w:bidi w:val="0"/>
              <w:spacing w:line="400" w:lineRule="exact"/>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有法定代表人或其委托代理人签字（或盖章）、加盖单位公章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700" w:hRule="atLeast"/>
        </w:trPr>
        <w:tc>
          <w:tcPr>
            <w:tcW w:w="1022" w:type="dxa"/>
            <w:vMerge w:val="continue"/>
            <w:vAlign w:val="top"/>
          </w:tcPr>
          <w:p>
            <w:pPr>
              <w:pageBreakBefore w:val="0"/>
              <w:kinsoku/>
              <w:overflowPunct/>
              <w:topLinePunct w:val="0"/>
              <w:bidi w:val="0"/>
              <w:snapToGrid w:val="0"/>
              <w:spacing w:line="400" w:lineRule="exact"/>
              <w:rPr>
                <w:rFonts w:hint="eastAsia" w:asciiTheme="minorEastAsia" w:hAnsiTheme="minorEastAsia" w:eastAsiaTheme="minorEastAsia" w:cstheme="minorEastAsia"/>
                <w:sz w:val="21"/>
                <w:szCs w:val="21"/>
              </w:rPr>
            </w:pPr>
          </w:p>
        </w:tc>
        <w:tc>
          <w:tcPr>
            <w:tcW w:w="377" w:type="dxa"/>
            <w:vMerge w:val="continue"/>
            <w:vAlign w:val="top"/>
          </w:tcPr>
          <w:p>
            <w:pPr>
              <w:pageBreakBefore w:val="0"/>
              <w:kinsoku/>
              <w:overflowPunct/>
              <w:topLinePunct w:val="0"/>
              <w:bidi w:val="0"/>
              <w:snapToGrid w:val="0"/>
              <w:spacing w:line="400" w:lineRule="exact"/>
              <w:rPr>
                <w:rFonts w:hint="eastAsia" w:asciiTheme="minorEastAsia" w:hAnsiTheme="minorEastAsia" w:eastAsiaTheme="minorEastAsia" w:cstheme="minorEastAsia"/>
                <w:sz w:val="21"/>
                <w:szCs w:val="21"/>
              </w:rPr>
            </w:pPr>
          </w:p>
        </w:tc>
        <w:tc>
          <w:tcPr>
            <w:tcW w:w="1612" w:type="dxa"/>
            <w:gridSpan w:val="3"/>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bookmarkStart w:id="59" w:name="OLE_LINK10"/>
            <w:r>
              <w:rPr>
                <w:rFonts w:hint="eastAsia" w:asciiTheme="minorEastAsia" w:hAnsiTheme="minorEastAsia" w:eastAsiaTheme="minorEastAsia" w:cstheme="minorEastAsia"/>
                <w:kern w:val="0"/>
                <w:sz w:val="21"/>
                <w:szCs w:val="21"/>
              </w:rPr>
              <w:t>报价唯一</w:t>
            </w:r>
            <w:bookmarkEnd w:id="59"/>
          </w:p>
        </w:tc>
        <w:tc>
          <w:tcPr>
            <w:tcW w:w="5463" w:type="dxa"/>
            <w:gridSpan w:val="2"/>
            <w:vAlign w:val="center"/>
          </w:tcPr>
          <w:p>
            <w:pPr>
              <w:pStyle w:val="31"/>
              <w:pageBreakBefore w:val="0"/>
              <w:kinsoku/>
              <w:overflowPunct/>
              <w:topLinePunct w:val="0"/>
              <w:bidi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685" w:hRule="atLeast"/>
        </w:trPr>
        <w:tc>
          <w:tcPr>
            <w:tcW w:w="1022" w:type="dxa"/>
            <w:vMerge w:val="continue"/>
            <w:vAlign w:val="top"/>
          </w:tcPr>
          <w:p>
            <w:pPr>
              <w:pageBreakBefore w:val="0"/>
              <w:kinsoku/>
              <w:overflowPunct/>
              <w:topLinePunct w:val="0"/>
              <w:bidi w:val="0"/>
              <w:snapToGrid w:val="0"/>
              <w:spacing w:line="400" w:lineRule="exact"/>
              <w:rPr>
                <w:rFonts w:hint="eastAsia" w:asciiTheme="minorEastAsia" w:hAnsiTheme="minorEastAsia" w:eastAsiaTheme="minorEastAsia" w:cstheme="minorEastAsia"/>
                <w:sz w:val="21"/>
                <w:szCs w:val="21"/>
              </w:rPr>
            </w:pPr>
          </w:p>
        </w:tc>
        <w:tc>
          <w:tcPr>
            <w:tcW w:w="377" w:type="dxa"/>
            <w:vMerge w:val="continue"/>
            <w:vAlign w:val="top"/>
          </w:tcPr>
          <w:p>
            <w:pPr>
              <w:pageBreakBefore w:val="0"/>
              <w:kinsoku/>
              <w:overflowPunct/>
              <w:topLinePunct w:val="0"/>
              <w:bidi w:val="0"/>
              <w:snapToGrid w:val="0"/>
              <w:spacing w:line="400" w:lineRule="exact"/>
              <w:rPr>
                <w:rFonts w:hint="eastAsia" w:asciiTheme="minorEastAsia" w:hAnsiTheme="minorEastAsia" w:eastAsiaTheme="minorEastAsia" w:cstheme="minorEastAsia"/>
                <w:sz w:val="21"/>
                <w:szCs w:val="21"/>
              </w:rPr>
            </w:pPr>
          </w:p>
        </w:tc>
        <w:tc>
          <w:tcPr>
            <w:tcW w:w="1612" w:type="dxa"/>
            <w:gridSpan w:val="3"/>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bookmarkStart w:id="60" w:name="OLE_LINK11"/>
            <w:r>
              <w:rPr>
                <w:rFonts w:hint="eastAsia" w:asciiTheme="minorEastAsia" w:hAnsiTheme="minorEastAsia" w:eastAsiaTheme="minorEastAsia" w:cstheme="minorEastAsia"/>
                <w:kern w:val="0"/>
                <w:sz w:val="21"/>
                <w:szCs w:val="21"/>
              </w:rPr>
              <w:t>投标文件的签署</w:t>
            </w:r>
            <w:bookmarkEnd w:id="60"/>
          </w:p>
        </w:tc>
        <w:tc>
          <w:tcPr>
            <w:tcW w:w="5463" w:type="dxa"/>
            <w:gridSpan w:val="2"/>
            <w:vAlign w:val="center"/>
          </w:tcPr>
          <w:p>
            <w:pPr>
              <w:pStyle w:val="31"/>
              <w:pageBreakBefore w:val="0"/>
              <w:kinsoku/>
              <w:overflowPunct/>
              <w:topLinePunct w:val="0"/>
              <w:bidi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投标文件上法定代表人或其授权代理人的签字（或盖章）齐全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903" w:hRule="atLeast"/>
        </w:trPr>
        <w:tc>
          <w:tcPr>
            <w:tcW w:w="1022" w:type="dxa"/>
            <w:vMerge w:val="continue"/>
            <w:vAlign w:val="top"/>
          </w:tcPr>
          <w:p>
            <w:pPr>
              <w:pageBreakBefore w:val="0"/>
              <w:kinsoku/>
              <w:overflowPunct/>
              <w:topLinePunct w:val="0"/>
              <w:bidi w:val="0"/>
              <w:snapToGrid w:val="0"/>
              <w:spacing w:line="400" w:lineRule="exact"/>
              <w:rPr>
                <w:rFonts w:hint="eastAsia" w:asciiTheme="minorEastAsia" w:hAnsiTheme="minorEastAsia" w:eastAsiaTheme="minorEastAsia" w:cstheme="minorEastAsia"/>
                <w:sz w:val="21"/>
                <w:szCs w:val="21"/>
              </w:rPr>
            </w:pPr>
          </w:p>
        </w:tc>
        <w:tc>
          <w:tcPr>
            <w:tcW w:w="377" w:type="dxa"/>
            <w:vMerge w:val="continue"/>
            <w:vAlign w:val="top"/>
          </w:tcPr>
          <w:p>
            <w:pPr>
              <w:pageBreakBefore w:val="0"/>
              <w:kinsoku/>
              <w:overflowPunct/>
              <w:topLinePunct w:val="0"/>
              <w:bidi w:val="0"/>
              <w:snapToGrid w:val="0"/>
              <w:spacing w:line="400" w:lineRule="exact"/>
              <w:rPr>
                <w:rFonts w:hint="eastAsia" w:asciiTheme="minorEastAsia" w:hAnsiTheme="minorEastAsia" w:eastAsiaTheme="minorEastAsia" w:cstheme="minorEastAsia"/>
                <w:sz w:val="21"/>
                <w:szCs w:val="21"/>
              </w:rPr>
            </w:pPr>
          </w:p>
        </w:tc>
        <w:tc>
          <w:tcPr>
            <w:tcW w:w="1612" w:type="dxa"/>
            <w:gridSpan w:val="3"/>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bookmarkStart w:id="61" w:name="OLE_LINK12"/>
            <w:r>
              <w:rPr>
                <w:rFonts w:hint="eastAsia" w:asciiTheme="minorEastAsia" w:hAnsiTheme="minorEastAsia" w:eastAsiaTheme="minorEastAsia" w:cstheme="minorEastAsia"/>
                <w:kern w:val="0"/>
                <w:sz w:val="21"/>
                <w:szCs w:val="21"/>
              </w:rPr>
              <w:t>委托代理人</w:t>
            </w:r>
            <w:bookmarkEnd w:id="61"/>
          </w:p>
        </w:tc>
        <w:tc>
          <w:tcPr>
            <w:tcW w:w="5463" w:type="dxa"/>
            <w:gridSpan w:val="2"/>
            <w:vAlign w:val="center"/>
          </w:tcPr>
          <w:p>
            <w:pPr>
              <w:pStyle w:val="31"/>
              <w:pageBreakBefore w:val="0"/>
              <w:kinsoku/>
              <w:overflowPunct/>
              <w:topLinePunct w:val="0"/>
              <w:bidi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报价人</w:t>
            </w:r>
            <w:r>
              <w:rPr>
                <w:rFonts w:hint="eastAsia" w:asciiTheme="minorEastAsia" w:hAnsiTheme="minorEastAsia" w:eastAsiaTheme="minorEastAsia" w:cstheme="minorEastAsia"/>
                <w:sz w:val="21"/>
                <w:szCs w:val="21"/>
              </w:rPr>
              <w:t>法定代表人的委托代理人有法定代表人签署的授权委托书，且其授权委托书符合招标文件规定的格式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850" w:hRule="atLeast"/>
        </w:trPr>
        <w:tc>
          <w:tcPr>
            <w:tcW w:w="1022" w:type="dxa"/>
            <w:vMerge w:val="restart"/>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2.1.2</w:t>
            </w:r>
          </w:p>
        </w:tc>
        <w:tc>
          <w:tcPr>
            <w:tcW w:w="377" w:type="dxa"/>
            <w:vMerge w:val="continue"/>
            <w:textDirection w:val="tbRlV"/>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p>
        </w:tc>
        <w:tc>
          <w:tcPr>
            <w:tcW w:w="1612" w:type="dxa"/>
            <w:gridSpan w:val="3"/>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bookmarkStart w:id="62" w:name="OLE_LINK6"/>
            <w:r>
              <w:rPr>
                <w:rFonts w:hint="eastAsia" w:asciiTheme="minorEastAsia" w:hAnsiTheme="minorEastAsia" w:eastAsiaTheme="minorEastAsia" w:cstheme="minorEastAsia"/>
                <w:kern w:val="0"/>
                <w:sz w:val="21"/>
                <w:szCs w:val="21"/>
              </w:rPr>
              <w:t>营业执照</w:t>
            </w:r>
            <w:bookmarkEnd w:id="62"/>
            <w:r>
              <w:rPr>
                <w:rFonts w:hint="eastAsia" w:asciiTheme="minorEastAsia" w:hAnsiTheme="minorEastAsia" w:eastAsiaTheme="minorEastAsia" w:cstheme="minorEastAsia"/>
                <w:kern w:val="0"/>
                <w:sz w:val="21"/>
                <w:szCs w:val="21"/>
                <w:lang w:val="en-US" w:eastAsia="zh-CN"/>
              </w:rPr>
              <w:t>或事业单位法人证书</w:t>
            </w:r>
          </w:p>
        </w:tc>
        <w:tc>
          <w:tcPr>
            <w:tcW w:w="5463" w:type="dxa"/>
            <w:gridSpan w:val="2"/>
            <w:vAlign w:val="center"/>
          </w:tcPr>
          <w:p>
            <w:pPr>
              <w:pStyle w:val="31"/>
              <w:pageBreakBefore w:val="0"/>
              <w:kinsoku/>
              <w:overflowPunct/>
              <w:topLinePunct w:val="0"/>
              <w:bidi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具有有效的营业执照</w:t>
            </w:r>
            <w:r>
              <w:rPr>
                <w:rFonts w:hint="eastAsia" w:asciiTheme="minorEastAsia" w:hAnsiTheme="minorEastAsia" w:eastAsiaTheme="minorEastAsia" w:cstheme="minorEastAsia"/>
                <w:sz w:val="21"/>
                <w:szCs w:val="21"/>
                <w:lang w:val="en-US" w:eastAsia="zh-CN"/>
              </w:rPr>
              <w:t>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623" w:hRule="atLeast"/>
        </w:trPr>
        <w:tc>
          <w:tcPr>
            <w:tcW w:w="1022" w:type="dxa"/>
            <w:vMerge w:val="continue"/>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p>
        </w:tc>
        <w:tc>
          <w:tcPr>
            <w:tcW w:w="377" w:type="dxa"/>
            <w:vMerge w:val="continue"/>
            <w:textDirection w:val="tbRlV"/>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p>
        </w:tc>
        <w:tc>
          <w:tcPr>
            <w:tcW w:w="1612" w:type="dxa"/>
            <w:gridSpan w:val="3"/>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bookmarkStart w:id="63" w:name="OLE_LINK13"/>
            <w:r>
              <w:rPr>
                <w:rFonts w:hint="eastAsia" w:asciiTheme="minorEastAsia" w:hAnsiTheme="minorEastAsia" w:eastAsiaTheme="minorEastAsia" w:cstheme="minorEastAsia"/>
                <w:kern w:val="0"/>
                <w:sz w:val="21"/>
                <w:szCs w:val="21"/>
                <w:lang w:val="en-US" w:eastAsia="zh-CN"/>
              </w:rPr>
              <w:t>其他</w:t>
            </w:r>
            <w:r>
              <w:rPr>
                <w:rFonts w:hint="eastAsia" w:asciiTheme="minorEastAsia" w:hAnsiTheme="minorEastAsia" w:eastAsiaTheme="minorEastAsia" w:cstheme="minorEastAsia"/>
                <w:kern w:val="0"/>
                <w:sz w:val="21"/>
                <w:szCs w:val="21"/>
              </w:rPr>
              <w:t>要求</w:t>
            </w:r>
            <w:bookmarkEnd w:id="63"/>
          </w:p>
        </w:tc>
        <w:tc>
          <w:tcPr>
            <w:tcW w:w="5463" w:type="dxa"/>
            <w:gridSpan w:val="2"/>
            <w:vAlign w:val="center"/>
          </w:tcPr>
          <w:p>
            <w:pPr>
              <w:pStyle w:val="31"/>
              <w:pageBreakBefore w:val="0"/>
              <w:kinsoku/>
              <w:overflowPunct/>
              <w:topLinePunct w:val="0"/>
              <w:bidi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bookmarkStart w:id="64" w:name="OLE_LINK9"/>
            <w:r>
              <w:rPr>
                <w:rFonts w:hint="eastAsia" w:asciiTheme="minorEastAsia" w:hAnsiTheme="minorEastAsia" w:eastAsiaTheme="minorEastAsia" w:cstheme="minorEastAsia"/>
                <w:sz w:val="21"/>
                <w:szCs w:val="21"/>
              </w:rPr>
              <w:t>第二章“</w:t>
            </w:r>
            <w:r>
              <w:rPr>
                <w:rFonts w:hint="eastAsia" w:asciiTheme="minorEastAsia" w:hAnsiTheme="minorEastAsia" w:eastAsiaTheme="minorEastAsia" w:cstheme="minorEastAsia"/>
                <w:sz w:val="21"/>
                <w:szCs w:val="21"/>
                <w:lang w:eastAsia="zh-CN"/>
              </w:rPr>
              <w:t>报价人</w:t>
            </w:r>
            <w:r>
              <w:rPr>
                <w:rFonts w:hint="eastAsia" w:asciiTheme="minorEastAsia" w:hAnsiTheme="minorEastAsia" w:eastAsiaTheme="minorEastAsia" w:cstheme="minorEastAsia"/>
                <w:sz w:val="21"/>
                <w:szCs w:val="21"/>
              </w:rPr>
              <w:t>须知”规定</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1258" w:hRule="atLeast"/>
        </w:trPr>
        <w:tc>
          <w:tcPr>
            <w:tcW w:w="1022" w:type="dxa"/>
            <w:vAlign w:val="center"/>
          </w:tcPr>
          <w:p>
            <w:pPr>
              <w:pageBreakBefore w:val="0"/>
              <w:kinsoku/>
              <w:overflowPunct/>
              <w:topLinePunct w:val="0"/>
              <w:bidi w:val="0"/>
              <w:spacing w:line="4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2.2.1</w:t>
            </w:r>
          </w:p>
        </w:tc>
        <w:tc>
          <w:tcPr>
            <w:tcW w:w="1989" w:type="dxa"/>
            <w:gridSpan w:val="4"/>
            <w:vAlign w:val="center"/>
          </w:tcPr>
          <w:p>
            <w:pPr>
              <w:pageBreakBefore w:val="0"/>
              <w:tabs>
                <w:tab w:val="left" w:pos="1875"/>
              </w:tabs>
              <w:kinsoku/>
              <w:overflowPunct/>
              <w:topLinePunct w:val="0"/>
              <w:bidi w:val="0"/>
              <w:spacing w:line="4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分值构成 (总分1OO分)</w:t>
            </w:r>
          </w:p>
        </w:tc>
        <w:tc>
          <w:tcPr>
            <w:tcW w:w="5463" w:type="dxa"/>
            <w:gridSpan w:val="2"/>
            <w:vAlign w:val="top"/>
          </w:tcPr>
          <w:p>
            <w:pPr>
              <w:pStyle w:val="31"/>
              <w:pageBreakBefore w:val="0"/>
              <w:kinsoku/>
              <w:overflowPunct/>
              <w:topLinePunct w:val="0"/>
              <w:bidi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投标报价</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0分；</w:t>
            </w:r>
          </w:p>
          <w:p>
            <w:pPr>
              <w:pStyle w:val="31"/>
              <w:pageBreakBefore w:val="0"/>
              <w:kinsoku/>
              <w:overflowPunct/>
              <w:topLinePunct w:val="0"/>
              <w:bidi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商务部分</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分；</w:t>
            </w:r>
          </w:p>
          <w:p>
            <w:pPr>
              <w:pStyle w:val="31"/>
              <w:pageBreakBefore w:val="0"/>
              <w:kinsoku/>
              <w:overflowPunct/>
              <w:topLinePunct w:val="0"/>
              <w:bidi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技术部分</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313" w:hRule="atLeast"/>
        </w:trPr>
        <w:tc>
          <w:tcPr>
            <w:tcW w:w="1022" w:type="dxa"/>
            <w:vAlign w:val="center"/>
          </w:tcPr>
          <w:p>
            <w:pPr>
              <w:pageBreakBefore w:val="0"/>
              <w:kinsoku/>
              <w:overflowPunct/>
              <w:topLinePunct w:val="0"/>
              <w:bidi w:val="0"/>
              <w:spacing w:line="4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2.2.2</w:t>
            </w:r>
          </w:p>
        </w:tc>
        <w:tc>
          <w:tcPr>
            <w:tcW w:w="1989" w:type="dxa"/>
            <w:gridSpan w:val="4"/>
            <w:vAlign w:val="center"/>
          </w:tcPr>
          <w:p>
            <w:pPr>
              <w:pageBreakBefore w:val="0"/>
              <w:kinsoku/>
              <w:overflowPunct/>
              <w:topLinePunct w:val="0"/>
              <w:bidi w:val="0"/>
              <w:spacing w:line="400" w:lineRule="exact"/>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报价</w:t>
            </w:r>
          </w:p>
        </w:tc>
        <w:tc>
          <w:tcPr>
            <w:tcW w:w="5463" w:type="dxa"/>
            <w:gridSpan w:val="2"/>
            <w:vAlign w:val="top"/>
          </w:tcPr>
          <w:p>
            <w:pPr>
              <w:keepNext w:val="0"/>
              <w:keepLines w:val="0"/>
              <w:pageBreakBefore w:val="0"/>
              <w:widowControl w:val="0"/>
              <w:kinsoku/>
              <w:wordWrap w:val="0"/>
              <w:overflowPunct/>
              <w:topLinePunct w:val="0"/>
              <w:autoSpaceDE/>
              <w:autoSpaceDN/>
              <w:bidi w:val="0"/>
              <w:adjustRightInd w:val="0"/>
              <w:snapToGrid w:val="0"/>
              <w:spacing w:line="400" w:lineRule="exact"/>
              <w:ind w:left="0" w:leftChars="0" w:right="0" w:rightChars="0" w:firstLine="426" w:firstLineChars="200"/>
              <w:jc w:val="both"/>
              <w:textAlignment w:val="auto"/>
              <w:outlineLvl w:val="9"/>
              <w:rPr>
                <w:rFonts w:hint="eastAsia" w:asciiTheme="minorEastAsia" w:hAnsiTheme="minorEastAsia" w:eastAsiaTheme="minorEastAsia" w:cstheme="minorEastAsia"/>
                <w:sz w:val="21"/>
                <w:szCs w:val="21"/>
                <w:lang w:eastAsia="zh-CN"/>
              </w:rPr>
            </w:pPr>
            <w:bookmarkStart w:id="65" w:name="OLE_LINK3"/>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满足招标文件要求，有效的投标报价的平均值为评标基准价</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val="0"/>
              <w:overflowPunct/>
              <w:topLinePunct w:val="0"/>
              <w:autoSpaceDE/>
              <w:autoSpaceDN/>
              <w:bidi w:val="0"/>
              <w:adjustRightInd w:val="0"/>
              <w:snapToGrid w:val="0"/>
              <w:spacing w:line="400" w:lineRule="exact"/>
              <w:ind w:left="0" w:leftChars="0" w:right="0" w:rightChars="0" w:firstLine="426" w:firstLineChars="200"/>
              <w:jc w:val="both"/>
              <w:textAlignment w:val="auto"/>
              <w:outlineLvl w:val="9"/>
              <w:rPr>
                <w:rFonts w:hint="eastAsia" w:asciiTheme="minorEastAsia" w:hAnsiTheme="minorEastAsia" w:eastAsiaTheme="minorEastAsia" w:cstheme="minorEastAsia"/>
                <w:sz w:val="21"/>
                <w:szCs w:val="21"/>
                <w:lang w:val="en-US" w:eastAsia="zh-CN"/>
              </w:rPr>
            </w:pPr>
            <w:bookmarkStart w:id="66" w:name="OLE_LINK2"/>
            <w:r>
              <w:rPr>
                <w:rFonts w:hint="eastAsia" w:asciiTheme="minorEastAsia" w:hAnsiTheme="minorEastAsia" w:eastAsiaTheme="minorEastAsia" w:cstheme="minorEastAsia"/>
                <w:sz w:val="21"/>
                <w:szCs w:val="21"/>
                <w:lang w:val="en-US" w:eastAsia="zh-CN"/>
              </w:rPr>
              <w:t>2.偏差率</w:t>
            </w:r>
            <w:bookmarkEnd w:id="66"/>
            <w:r>
              <w:rPr>
                <w:rFonts w:hint="eastAsia" w:asciiTheme="minorEastAsia" w:hAnsiTheme="minorEastAsia" w:eastAsiaTheme="minorEastAsia" w:cstheme="minorEastAsia"/>
                <w:sz w:val="21"/>
                <w:szCs w:val="21"/>
                <w:lang w:val="en-US" w:eastAsia="zh-CN"/>
              </w:rPr>
              <w:t>=100%×（报价人报价－评标基准价）/评标基准价。</w:t>
            </w:r>
          </w:p>
          <w:p>
            <w:pPr>
              <w:pStyle w:val="31"/>
              <w:keepNext w:val="0"/>
              <w:keepLines w:val="0"/>
              <w:pageBreakBefore w:val="0"/>
              <w:widowControl w:val="0"/>
              <w:kinsoku/>
              <w:overflowPunct/>
              <w:topLinePunct w:val="0"/>
              <w:autoSpaceDE/>
              <w:autoSpaceDN/>
              <w:bidi w:val="0"/>
              <w:spacing w:line="400" w:lineRule="exact"/>
              <w:ind w:left="0" w:leftChars="0" w:right="0" w:rightChars="0" w:firstLine="426"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经评审的有效投标报价与评标基准价相比</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等于基准价的得50分，每增加1%扣</w:t>
            </w: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每减少1%扣0.</w:t>
            </w: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分，扣完为止。</w:t>
            </w:r>
            <w:bookmarkEnd w:id="65"/>
          </w:p>
          <w:p>
            <w:pPr>
              <w:pStyle w:val="31"/>
              <w:keepNext w:val="0"/>
              <w:keepLines w:val="0"/>
              <w:pageBreakBefore w:val="0"/>
              <w:widowControl w:val="0"/>
              <w:kinsoku/>
              <w:overflowPunct/>
              <w:topLinePunct w:val="0"/>
              <w:autoSpaceDE/>
              <w:autoSpaceDN/>
              <w:bidi w:val="0"/>
              <w:spacing w:line="400" w:lineRule="exact"/>
              <w:ind w:left="0" w:leftChars="0" w:right="0" w:rightChars="0" w:firstLine="426"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2280" w:hRule="atLeast"/>
        </w:trPr>
        <w:tc>
          <w:tcPr>
            <w:tcW w:w="1022" w:type="dxa"/>
            <w:vMerge w:val="restart"/>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2.2.3</w:t>
            </w:r>
          </w:p>
        </w:tc>
        <w:tc>
          <w:tcPr>
            <w:tcW w:w="729" w:type="dxa"/>
            <w:gridSpan w:val="2"/>
            <w:vMerge w:val="restart"/>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商务部分评分标准（20分）</w:t>
            </w:r>
          </w:p>
        </w:tc>
        <w:tc>
          <w:tcPr>
            <w:tcW w:w="1260" w:type="dxa"/>
            <w:gridSpan w:val="2"/>
            <w:textDirection w:val="lrTb"/>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sz w:val="21"/>
                <w:szCs w:val="21"/>
                <w:shd w:val="clear" w:color="FFFFFF" w:fill="auto"/>
                <w:lang w:val="en-US" w:eastAsia="zh-CN"/>
              </w:rPr>
            </w:pPr>
            <w:r>
              <w:rPr>
                <w:rFonts w:hint="eastAsia" w:asciiTheme="minorEastAsia" w:hAnsiTheme="minorEastAsia" w:eastAsiaTheme="minorEastAsia" w:cstheme="minorEastAsia"/>
                <w:sz w:val="21"/>
                <w:szCs w:val="21"/>
                <w:shd w:val="clear" w:color="FFFFFF" w:fill="auto"/>
                <w:lang w:val="en-US" w:eastAsia="zh-CN"/>
              </w:rPr>
              <w:t>项目团队（10分）</w:t>
            </w:r>
          </w:p>
        </w:tc>
        <w:tc>
          <w:tcPr>
            <w:tcW w:w="5463" w:type="dxa"/>
            <w:gridSpan w:val="2"/>
            <w:vAlign w:val="center"/>
          </w:tcPr>
          <w:p>
            <w:pPr>
              <w:pStyle w:val="8"/>
              <w:keepNext w:val="0"/>
              <w:keepLines w:val="0"/>
              <w:pageBreakBefore w:val="0"/>
              <w:widowControl w:val="0"/>
              <w:numPr>
                <w:ilvl w:val="0"/>
                <w:numId w:val="3"/>
              </w:numPr>
              <w:kinsoku/>
              <w:wordWrap/>
              <w:overflowPunct/>
              <w:topLinePunct w:val="0"/>
              <w:autoSpaceDE/>
              <w:autoSpaceDN/>
              <w:bidi w:val="0"/>
              <w:adjustRightInd w:val="0"/>
              <w:snapToGrid/>
              <w:spacing w:after="120" w:afterLines="0" w:line="400" w:lineRule="exact"/>
              <w:ind w:left="0" w:leftChars="0" w:right="0" w:rightChars="0" w:firstLine="0" w:firstLineChars="0"/>
              <w:jc w:val="both"/>
              <w:textAlignment w:val="baseline"/>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项目团队成员至少5人，人员不足，该项不得分。</w:t>
            </w:r>
          </w:p>
          <w:p>
            <w:pPr>
              <w:pStyle w:val="8"/>
              <w:keepNext w:val="0"/>
              <w:keepLines w:val="0"/>
              <w:pageBreakBefore w:val="0"/>
              <w:widowControl w:val="0"/>
              <w:numPr>
                <w:ilvl w:val="0"/>
                <w:numId w:val="3"/>
              </w:numPr>
              <w:kinsoku/>
              <w:wordWrap/>
              <w:overflowPunct/>
              <w:topLinePunct w:val="0"/>
              <w:autoSpaceDE/>
              <w:autoSpaceDN/>
              <w:bidi w:val="0"/>
              <w:adjustRightInd w:val="0"/>
              <w:snapToGrid/>
              <w:spacing w:after="120" w:afterLines="0" w:line="400" w:lineRule="exact"/>
              <w:ind w:left="0" w:leftChars="0" w:right="0" w:rightChars="0" w:firstLine="0" w:firstLineChars="0"/>
              <w:jc w:val="both"/>
              <w:textAlignment w:val="baseline"/>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若团队成员中每增加一个管理学类专业研究生及以上学历加2分，满分4分。</w:t>
            </w:r>
          </w:p>
          <w:p>
            <w:pPr>
              <w:pStyle w:val="8"/>
              <w:keepNext w:val="0"/>
              <w:keepLines w:val="0"/>
              <w:pageBreakBefore w:val="0"/>
              <w:widowControl w:val="0"/>
              <w:numPr>
                <w:ilvl w:val="0"/>
                <w:numId w:val="3"/>
              </w:numPr>
              <w:kinsoku/>
              <w:wordWrap/>
              <w:overflowPunct/>
              <w:topLinePunct w:val="0"/>
              <w:autoSpaceDE/>
              <w:autoSpaceDN/>
              <w:bidi w:val="0"/>
              <w:adjustRightInd w:val="0"/>
              <w:snapToGrid/>
              <w:spacing w:after="120" w:afterLines="0" w:line="400" w:lineRule="exact"/>
              <w:ind w:left="0" w:leftChars="0" w:right="0" w:rightChars="0" w:firstLine="0" w:firstLineChars="0"/>
              <w:jc w:val="both"/>
              <w:textAlignment w:val="baseline"/>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团队负责人有人才学或管理学类专家或者为中国人才研究会理事或为中国人力资源开发研究会理事，得2分，满分2。</w:t>
            </w:r>
          </w:p>
          <w:p>
            <w:pPr>
              <w:pStyle w:val="8"/>
              <w:keepNext w:val="0"/>
              <w:keepLines w:val="0"/>
              <w:pageBreakBefore w:val="0"/>
              <w:widowControl w:val="0"/>
              <w:numPr>
                <w:ilvl w:val="0"/>
                <w:numId w:val="3"/>
              </w:numPr>
              <w:kinsoku/>
              <w:wordWrap/>
              <w:overflowPunct/>
              <w:topLinePunct w:val="0"/>
              <w:autoSpaceDE/>
              <w:autoSpaceDN/>
              <w:bidi w:val="0"/>
              <w:adjustRightInd w:val="0"/>
              <w:snapToGrid/>
              <w:spacing w:after="120" w:afterLines="0" w:line="400" w:lineRule="exact"/>
              <w:ind w:left="0" w:leftChars="0" w:right="0" w:rightChars="0" w:firstLine="0" w:firstLineChars="0"/>
              <w:jc w:val="both"/>
              <w:textAlignment w:val="baseline"/>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团队负责人每有一个人力资源类服务业绩加2分，每增加一个绩效薪酬服务类业绩加2.5分，满分4分。</w:t>
            </w:r>
          </w:p>
          <w:p>
            <w:pPr>
              <w:pStyle w:val="8"/>
              <w:keepNext w:val="0"/>
              <w:keepLines w:val="0"/>
              <w:pageBreakBefore w:val="0"/>
              <w:widowControl w:val="0"/>
              <w:kinsoku/>
              <w:wordWrap/>
              <w:overflowPunct/>
              <w:topLinePunct w:val="0"/>
              <w:autoSpaceDE/>
              <w:autoSpaceDN/>
              <w:bidi w:val="0"/>
              <w:adjustRightInd w:val="0"/>
              <w:snapToGrid/>
              <w:spacing w:after="120" w:afterLines="0" w:line="400" w:lineRule="exact"/>
              <w:ind w:left="0" w:leftChars="0" w:right="0" w:rightChars="0" w:firstLine="426" w:firstLineChars="200"/>
              <w:jc w:val="both"/>
              <w:textAlignment w:val="baseline"/>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注：需</w:t>
            </w:r>
            <w:r>
              <w:rPr>
                <w:rFonts w:hint="eastAsia" w:asciiTheme="minorEastAsia" w:hAnsiTheme="minorEastAsia" w:eastAsiaTheme="minorEastAsia" w:cstheme="minorEastAsia"/>
                <w:b/>
                <w:bCs/>
                <w:sz w:val="21"/>
                <w:szCs w:val="21"/>
              </w:rPr>
              <w:t>提供相关证书的复印件</w:t>
            </w:r>
            <w:r>
              <w:rPr>
                <w:rFonts w:hint="eastAsia" w:asciiTheme="minorEastAsia" w:hAnsiTheme="minorEastAsia" w:eastAsiaTheme="minorEastAsia" w:cstheme="minorEastAsia"/>
                <w:b/>
                <w:bCs/>
                <w:sz w:val="21"/>
                <w:szCs w:val="21"/>
                <w:lang w:val="en-US" w:eastAsia="zh-CN"/>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90" w:hRule="atLeast"/>
        </w:trPr>
        <w:tc>
          <w:tcPr>
            <w:tcW w:w="1022" w:type="dxa"/>
            <w:vMerge w:val="continue"/>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p>
        </w:tc>
        <w:tc>
          <w:tcPr>
            <w:tcW w:w="729" w:type="dxa"/>
            <w:gridSpan w:val="2"/>
            <w:vMerge w:val="continue"/>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sz w:val="21"/>
                <w:szCs w:val="21"/>
              </w:rPr>
            </w:pPr>
          </w:p>
        </w:tc>
        <w:tc>
          <w:tcPr>
            <w:tcW w:w="1260" w:type="dxa"/>
            <w:gridSpan w:val="2"/>
            <w:vAlign w:val="center"/>
          </w:tcPr>
          <w:p>
            <w:pPr>
              <w:pageBreakBefore w:val="0"/>
              <w:kinsoku/>
              <w:overflowPunct/>
              <w:topLinePunct w:val="0"/>
              <w:bidi w:val="0"/>
              <w:snapToGrid w:val="0"/>
              <w:spacing w:line="400" w:lineRule="exact"/>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报价人业绩（10分）</w:t>
            </w:r>
          </w:p>
        </w:tc>
        <w:tc>
          <w:tcPr>
            <w:tcW w:w="5463" w:type="dxa"/>
            <w:gridSpan w:val="2"/>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spacing w:after="120" w:afterLines="0" w:line="400" w:lineRule="exact"/>
              <w:ind w:left="0" w:leftChars="0" w:right="0" w:rightChars="0" w:firstLine="426" w:firstLineChars="200"/>
              <w:jc w:val="both"/>
              <w:textAlignment w:val="baseline"/>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1.满足资格要求2019年1月1日至投标截止日具有至少1项类似人力资源服务类类项目业绩，得4分。</w:t>
            </w:r>
          </w:p>
          <w:p>
            <w:pPr>
              <w:pStyle w:val="8"/>
              <w:keepNext w:val="0"/>
              <w:keepLines w:val="0"/>
              <w:pageBreakBefore w:val="0"/>
              <w:widowControl w:val="0"/>
              <w:numPr>
                <w:ilvl w:val="0"/>
                <w:numId w:val="0"/>
              </w:numPr>
              <w:kinsoku/>
              <w:wordWrap/>
              <w:overflowPunct/>
              <w:topLinePunct w:val="0"/>
              <w:autoSpaceDE/>
              <w:autoSpaceDN/>
              <w:bidi w:val="0"/>
              <w:adjustRightInd w:val="0"/>
              <w:snapToGrid/>
              <w:spacing w:after="120" w:afterLines="0" w:line="400" w:lineRule="exact"/>
              <w:ind w:left="0" w:leftChars="0" w:right="0" w:rightChars="0" w:firstLine="426" w:firstLineChars="200"/>
              <w:jc w:val="both"/>
              <w:textAlignment w:val="baseline"/>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2.2019年1月1日至投标截止时间每增加1个绩效薪酬服务类业绩加2.5分，每增加1个人力资源类服务业绩加2分，满分6分。</w:t>
            </w:r>
          </w:p>
          <w:p>
            <w:pPr>
              <w:pStyle w:val="5"/>
              <w:keepNext/>
              <w:keepLines/>
              <w:pageBreakBefore w:val="0"/>
              <w:widowControl w:val="0"/>
              <w:kinsoku/>
              <w:wordWrap/>
              <w:overflowPunct/>
              <w:topLinePunct w:val="0"/>
              <w:autoSpaceDE/>
              <w:autoSpaceDN/>
              <w:bidi w:val="0"/>
              <w:adjustRightInd/>
              <w:snapToGrid/>
              <w:spacing w:before="0" w:after="0" w:line="400" w:lineRule="exact"/>
              <w:ind w:right="0" w:rightChars="0"/>
              <w:jc w:val="both"/>
              <w:textAlignment w:val="auto"/>
              <w:outlineLvl w:val="3"/>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注：需提供以上业绩合同扫描件并加盖公章</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90" w:hRule="atLeast"/>
        </w:trPr>
        <w:tc>
          <w:tcPr>
            <w:tcW w:w="1022" w:type="dxa"/>
            <w:vMerge w:val="restart"/>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2.2.4</w:t>
            </w:r>
          </w:p>
        </w:tc>
        <w:tc>
          <w:tcPr>
            <w:tcW w:w="729" w:type="dxa"/>
            <w:gridSpan w:val="2"/>
            <w:vMerge w:val="restart"/>
            <w:textDirection w:val="tbLrV"/>
            <w:vAlign w:val="center"/>
          </w:tcPr>
          <w:p>
            <w:pPr>
              <w:pageBreakBefore w:val="0"/>
              <w:kinsoku/>
              <w:overflowPunct/>
              <w:topLinePunct w:val="0"/>
              <w:bidi w:val="0"/>
              <w:snapToGrid w:val="0"/>
              <w:spacing w:line="400" w:lineRule="exact"/>
              <w:ind w:left="113" w:right="11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部分评分标准（</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0分）</w:t>
            </w:r>
          </w:p>
        </w:tc>
        <w:tc>
          <w:tcPr>
            <w:tcW w:w="1260" w:type="dxa"/>
            <w:gridSpan w:val="2"/>
            <w:textDirection w:val="lrTb"/>
            <w:vAlign w:val="center"/>
          </w:tcPr>
          <w:p>
            <w:pPr>
              <w:pageBreakBefore w:val="0"/>
              <w:widowControl/>
              <w:kinsoku/>
              <w:overflowPunct/>
              <w:topLinePunct w:val="0"/>
              <w:bidi w:val="0"/>
              <w:spacing w:before="156" w:line="400" w:lineRule="exact"/>
              <w:jc w:val="left"/>
              <w:rPr>
                <w:rFonts w:hint="eastAsia" w:asciiTheme="minorEastAsia" w:hAnsiTheme="minorEastAsia" w:eastAsiaTheme="minorEastAsia" w:cstheme="minorEastAsia"/>
                <w:sz w:val="21"/>
                <w:szCs w:val="21"/>
                <w:lang w:val="en-US" w:eastAsia="zh-CN"/>
              </w:rPr>
            </w:pPr>
            <w:bookmarkStart w:id="67" w:name="OLE_LINK16"/>
            <w:r>
              <w:rPr>
                <w:rFonts w:ascii="宋体" w:hAnsi="宋体" w:eastAsia="宋体" w:cs="宋体"/>
                <w:sz w:val="24"/>
                <w:szCs w:val="24"/>
              </w:rPr>
              <w:t>前期调研</w:t>
            </w:r>
            <w:r>
              <w:rPr>
                <w:rFonts w:hint="eastAsia" w:ascii="宋体" w:hAnsi="宋体" w:cs="宋体"/>
                <w:sz w:val="24"/>
                <w:szCs w:val="24"/>
                <w:lang w:val="en-US" w:eastAsia="zh-CN"/>
              </w:rPr>
              <w:t>方案</w:t>
            </w:r>
            <w:r>
              <w:rPr>
                <w:rFonts w:hint="eastAsia" w:asciiTheme="minorEastAsia" w:hAnsiTheme="minorEastAsia" w:eastAsiaTheme="minorEastAsia" w:cstheme="minorEastAsia"/>
                <w:sz w:val="21"/>
                <w:szCs w:val="21"/>
                <w:lang w:val="en-US" w:eastAsia="zh-CN"/>
              </w:rPr>
              <w:t>（8分）</w:t>
            </w:r>
            <w:bookmarkEnd w:id="67"/>
          </w:p>
        </w:tc>
        <w:tc>
          <w:tcPr>
            <w:tcW w:w="5463" w:type="dxa"/>
            <w:gridSpan w:val="2"/>
            <w:textDirection w:val="lrTb"/>
            <w:vAlign w:val="top"/>
          </w:tcPr>
          <w:p>
            <w:pPr>
              <w:pageBreakBefore w:val="0"/>
              <w:kinsoku/>
              <w:overflowPunct/>
              <w:topLinePunct w:val="0"/>
              <w:bidi w:val="0"/>
              <w:spacing w:before="156" w:line="400" w:lineRule="exact"/>
              <w:ind w:firstLine="48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方案完整性：</w:t>
            </w:r>
            <w:r>
              <w:rPr>
                <w:rFonts w:hint="eastAsia" w:asciiTheme="minorEastAsia" w:hAnsiTheme="minorEastAsia" w:eastAsiaTheme="minorEastAsia" w:cstheme="minorEastAsia"/>
                <w:sz w:val="21"/>
                <w:szCs w:val="21"/>
                <w:lang w:eastAsia="zh-CN"/>
              </w:rPr>
              <w:t>报价人</w:t>
            </w:r>
            <w:r>
              <w:rPr>
                <w:rFonts w:hint="eastAsia" w:asciiTheme="minorEastAsia" w:hAnsiTheme="minorEastAsia" w:eastAsiaTheme="minorEastAsia" w:cstheme="minorEastAsia"/>
                <w:sz w:val="21"/>
                <w:szCs w:val="21"/>
                <w:lang w:val="en-US" w:eastAsia="zh-CN"/>
              </w:rPr>
              <w:t>前期调研方案</w:t>
            </w:r>
            <w:r>
              <w:rPr>
                <w:rFonts w:hint="eastAsia" w:asciiTheme="minorEastAsia" w:hAnsiTheme="minorEastAsia" w:eastAsiaTheme="minorEastAsia" w:cstheme="minorEastAsia"/>
                <w:sz w:val="21"/>
                <w:szCs w:val="21"/>
              </w:rPr>
              <w:t>完整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目标明确，</w:t>
            </w:r>
            <w:r>
              <w:rPr>
                <w:rFonts w:hint="eastAsia" w:asciiTheme="minorEastAsia" w:hAnsiTheme="minorEastAsia" w:eastAsiaTheme="minorEastAsia" w:cstheme="minorEastAsia"/>
                <w:sz w:val="21"/>
                <w:szCs w:val="21"/>
              </w:rPr>
              <w:t>可完全覆盖</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rPr>
              <w:t>要求，对</w:t>
            </w:r>
            <w:r>
              <w:rPr>
                <w:rFonts w:hint="eastAsia" w:asciiTheme="minorEastAsia" w:hAnsiTheme="minorEastAsia" w:eastAsiaTheme="minorEastAsia" w:cstheme="minorEastAsia"/>
                <w:sz w:val="21"/>
                <w:szCs w:val="21"/>
                <w:lang w:val="en-US" w:eastAsia="zh-CN"/>
              </w:rPr>
              <w:t>本项目</w:t>
            </w:r>
            <w:r>
              <w:rPr>
                <w:rFonts w:hint="eastAsia" w:asciiTheme="minorEastAsia" w:hAnsiTheme="minorEastAsia" w:eastAsiaTheme="minorEastAsia" w:cstheme="minorEastAsia"/>
                <w:sz w:val="21"/>
                <w:szCs w:val="21"/>
              </w:rPr>
              <w:t>业务有较深的理解，能够站在</w:t>
            </w:r>
            <w:r>
              <w:rPr>
                <w:rFonts w:hint="eastAsia" w:asciiTheme="minorEastAsia" w:hAnsiTheme="minorEastAsia" w:eastAsiaTheme="minorEastAsia" w:cstheme="minorEastAsia"/>
                <w:sz w:val="21"/>
                <w:szCs w:val="21"/>
                <w:lang w:val="en-US" w:eastAsia="zh-CN"/>
              </w:rPr>
              <w:t>采购</w:t>
            </w:r>
            <w:r>
              <w:rPr>
                <w:rFonts w:hint="eastAsia" w:asciiTheme="minorEastAsia" w:hAnsiTheme="minorEastAsia" w:eastAsiaTheme="minorEastAsia" w:cstheme="minorEastAsia"/>
                <w:sz w:val="21"/>
                <w:szCs w:val="21"/>
              </w:rPr>
              <w:t>人角度合理规划工作定位</w:t>
            </w:r>
            <w:r>
              <w:rPr>
                <w:rFonts w:hint="eastAsia" w:asciiTheme="minorEastAsia" w:hAnsiTheme="minorEastAsia" w:eastAsiaTheme="minorEastAsia" w:cstheme="minorEastAsia"/>
                <w:sz w:val="21"/>
                <w:szCs w:val="21"/>
                <w:lang w:eastAsia="zh-CN"/>
              </w:rPr>
              <w:t>。</w:t>
            </w:r>
          </w:p>
          <w:p>
            <w:pPr>
              <w:pageBreakBefore w:val="0"/>
              <w:kinsoku/>
              <w:overflowPunct/>
              <w:topLinePunct w:val="0"/>
              <w:bidi w:val="0"/>
              <w:spacing w:before="156" w:line="400" w:lineRule="exact"/>
              <w:ind w:firstLine="480" w:firstLineChars="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sz w:val="21"/>
                <w:szCs w:val="21"/>
              </w:rPr>
              <w:t>综合比较打分：</w:t>
            </w:r>
            <w:r>
              <w:rPr>
                <w:rFonts w:hint="eastAsia" w:asciiTheme="minorEastAsia" w:hAnsiTheme="minorEastAsia" w:eastAsiaTheme="minorEastAsia" w:cstheme="minorEastAsia"/>
                <w:sz w:val="21"/>
                <w:szCs w:val="21"/>
                <w:lang w:val="en-US" w:eastAsia="zh-CN"/>
              </w:rPr>
              <w:t>方案描述清晰、完整，内容细致得8-6.4分，方案描述较清晰、较完整，较内容细致得6.4-5.6分；方案描述不够清晰，不够完整得5.6-4.8分</w:t>
            </w:r>
            <w:r>
              <w:rPr>
                <w:rFonts w:hint="eastAsia" w:asciiTheme="minorEastAsia" w:hAnsiTheme="minorEastAsia" w:eastAsiaTheme="minorEastAsia" w:cs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90" w:hRule="atLeast"/>
        </w:trPr>
        <w:tc>
          <w:tcPr>
            <w:tcW w:w="1022" w:type="dxa"/>
            <w:vMerge w:val="continue"/>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kern w:val="0"/>
                <w:sz w:val="21"/>
                <w:szCs w:val="21"/>
              </w:rPr>
            </w:pPr>
          </w:p>
        </w:tc>
        <w:tc>
          <w:tcPr>
            <w:tcW w:w="729" w:type="dxa"/>
            <w:gridSpan w:val="2"/>
            <w:vMerge w:val="continue"/>
            <w:vAlign w:val="center"/>
          </w:tcPr>
          <w:p>
            <w:pPr>
              <w:pageBreakBefore w:val="0"/>
              <w:kinsoku/>
              <w:overflowPunct/>
              <w:topLinePunct w:val="0"/>
              <w:bidi w:val="0"/>
              <w:snapToGrid w:val="0"/>
              <w:spacing w:line="400" w:lineRule="exact"/>
              <w:jc w:val="center"/>
              <w:rPr>
                <w:rFonts w:hint="eastAsia" w:asciiTheme="minorEastAsia" w:hAnsiTheme="minorEastAsia" w:eastAsiaTheme="minorEastAsia" w:cstheme="minorEastAsia"/>
                <w:sz w:val="21"/>
                <w:szCs w:val="21"/>
              </w:rPr>
            </w:pPr>
          </w:p>
        </w:tc>
        <w:tc>
          <w:tcPr>
            <w:tcW w:w="1260" w:type="dxa"/>
            <w:gridSpan w:val="2"/>
            <w:textDirection w:val="lrTb"/>
            <w:vAlign w:val="center"/>
          </w:tcPr>
          <w:p>
            <w:pPr>
              <w:pageBreakBefore w:val="0"/>
              <w:widowControl/>
              <w:kinsoku/>
              <w:overflowPunct/>
              <w:topLinePunct w:val="0"/>
              <w:bidi w:val="0"/>
              <w:spacing w:before="156" w:line="400" w:lineRule="exact"/>
              <w:jc w:val="left"/>
              <w:rPr>
                <w:rFonts w:hint="eastAsia" w:asciiTheme="minorEastAsia" w:hAnsiTheme="minorEastAsia" w:eastAsiaTheme="minorEastAsia" w:cstheme="minorEastAsia"/>
                <w:sz w:val="21"/>
                <w:szCs w:val="21"/>
                <w:highlight w:val="none"/>
                <w:lang w:val="en-US" w:eastAsia="zh-CN"/>
              </w:rPr>
            </w:pPr>
            <w:bookmarkStart w:id="68" w:name="OLE_LINK17"/>
            <w:r>
              <w:rPr>
                <w:rFonts w:ascii="宋体" w:hAnsi="宋体" w:eastAsia="宋体" w:cs="宋体"/>
                <w:sz w:val="24"/>
                <w:szCs w:val="24"/>
                <w:highlight w:val="none"/>
              </w:rPr>
              <w:t>绩效薪酬体系设计</w:t>
            </w:r>
            <w:r>
              <w:rPr>
                <w:rFonts w:hint="eastAsia" w:ascii="宋体" w:hAnsi="宋体" w:cs="宋体"/>
                <w:sz w:val="24"/>
                <w:szCs w:val="24"/>
                <w:highlight w:val="none"/>
                <w:lang w:val="en-US" w:eastAsia="zh-CN"/>
              </w:rPr>
              <w:t>方案</w:t>
            </w:r>
            <w:r>
              <w:rPr>
                <w:rFonts w:hint="eastAsia" w:asciiTheme="minorEastAsia" w:hAnsiTheme="minorEastAsia" w:eastAsiaTheme="minorEastAsia" w:cstheme="minorEastAsia"/>
                <w:sz w:val="21"/>
                <w:szCs w:val="21"/>
                <w:highlight w:val="none"/>
                <w:lang w:val="en-US" w:eastAsia="zh-CN"/>
              </w:rPr>
              <w:t>（12分）</w:t>
            </w:r>
            <w:bookmarkEnd w:id="68"/>
          </w:p>
        </w:tc>
        <w:tc>
          <w:tcPr>
            <w:tcW w:w="5463" w:type="dxa"/>
            <w:gridSpan w:val="2"/>
            <w:textDirection w:val="lrTb"/>
            <w:vAlign w:val="center"/>
          </w:tcPr>
          <w:p>
            <w:pPr>
              <w:pStyle w:val="27"/>
              <w:keepNext w:val="0"/>
              <w:keepLines w:val="0"/>
              <w:pageBreakBefore w:val="0"/>
              <w:widowControl w:val="0"/>
              <w:kinsoku/>
              <w:wordWrap/>
              <w:overflowPunct/>
              <w:topLinePunct w:val="0"/>
              <w:autoSpaceDE/>
              <w:autoSpaceDN/>
              <w:bidi w:val="0"/>
              <w:adjustRightInd w:val="0"/>
              <w:snapToGrid w:val="0"/>
              <w:spacing w:before="160" w:beforeLines="50" w:line="400" w:lineRule="exact"/>
              <w:ind w:left="0" w:leftChars="0" w:right="0" w:rightChars="0" w:firstLine="426" w:firstLineChars="200"/>
              <w:jc w:val="left"/>
              <w:textAlignment w:val="auto"/>
              <w:outlineLvl w:val="9"/>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绩效薪酬体系设计</w:t>
            </w:r>
            <w:r>
              <w:rPr>
                <w:rFonts w:hint="eastAsia" w:asciiTheme="minorEastAsia" w:hAnsiTheme="minorEastAsia" w:eastAsiaTheme="minorEastAsia" w:cstheme="minorEastAsia"/>
                <w:kern w:val="0"/>
                <w:sz w:val="21"/>
                <w:szCs w:val="21"/>
                <w:highlight w:val="none"/>
                <w:lang w:val="en-US" w:eastAsia="zh-CN"/>
              </w:rPr>
              <w:t>方案</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en-US" w:eastAsia="zh-CN"/>
              </w:rPr>
              <w:t>方案描述的</w:t>
            </w:r>
            <w:r>
              <w:rPr>
                <w:rFonts w:hint="eastAsia" w:asciiTheme="minorEastAsia" w:hAnsiTheme="minorEastAsia" w:eastAsiaTheme="minorEastAsia" w:cstheme="minorEastAsia"/>
                <w:kern w:val="0"/>
                <w:sz w:val="21"/>
                <w:szCs w:val="21"/>
                <w:highlight w:val="none"/>
              </w:rPr>
              <w:t>工作方法</w:t>
            </w:r>
            <w:r>
              <w:rPr>
                <w:rFonts w:hint="eastAsia" w:asciiTheme="minorEastAsia" w:hAnsiTheme="minorEastAsia" w:eastAsiaTheme="minorEastAsia" w:cstheme="minorEastAsia"/>
                <w:kern w:val="0"/>
                <w:sz w:val="21"/>
                <w:szCs w:val="21"/>
                <w:highlight w:val="none"/>
                <w:lang w:val="en-US" w:eastAsia="zh-CN"/>
              </w:rPr>
              <w:t>逻辑清晰，工作</w:t>
            </w:r>
            <w:r>
              <w:rPr>
                <w:rFonts w:hint="eastAsia" w:asciiTheme="minorEastAsia" w:hAnsiTheme="minorEastAsia" w:eastAsiaTheme="minorEastAsia" w:cstheme="minorEastAsia"/>
                <w:kern w:val="0"/>
                <w:sz w:val="21"/>
                <w:szCs w:val="21"/>
                <w:highlight w:val="none"/>
              </w:rPr>
              <w:t>流程</w:t>
            </w:r>
            <w:r>
              <w:rPr>
                <w:rFonts w:hint="eastAsia" w:asciiTheme="minorEastAsia" w:hAnsiTheme="minorEastAsia" w:eastAsiaTheme="minorEastAsia" w:cstheme="minorEastAsia"/>
                <w:kern w:val="0"/>
                <w:sz w:val="21"/>
                <w:szCs w:val="21"/>
                <w:highlight w:val="none"/>
                <w:lang w:val="en-US" w:eastAsia="zh-CN"/>
              </w:rPr>
              <w:t>明确</w:t>
            </w:r>
            <w:r>
              <w:rPr>
                <w:rFonts w:hint="eastAsia" w:asciiTheme="minorEastAsia" w:hAnsiTheme="minorEastAsia" w:eastAsiaTheme="minorEastAsia" w:cstheme="minorEastAsia"/>
                <w:kern w:val="0"/>
                <w:sz w:val="21"/>
                <w:szCs w:val="21"/>
                <w:highlight w:val="none"/>
              </w:rPr>
              <w:t>、可操作性强</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对本项目而言，具有较高的实现价值</w:t>
            </w:r>
            <w:r>
              <w:rPr>
                <w:rFonts w:hint="eastAsia" w:asciiTheme="minorEastAsia" w:hAnsiTheme="minorEastAsia" w:eastAsiaTheme="minorEastAsia" w:cstheme="minorEastAsia"/>
                <w:kern w:val="0"/>
                <w:sz w:val="21"/>
                <w:szCs w:val="21"/>
                <w:highlight w:val="none"/>
                <w:lang w:eastAsia="zh-CN"/>
              </w:rPr>
              <w:t>。</w:t>
            </w:r>
          </w:p>
          <w:p>
            <w:pPr>
              <w:pStyle w:val="27"/>
              <w:keepNext w:val="0"/>
              <w:keepLines w:val="0"/>
              <w:pageBreakBefore w:val="0"/>
              <w:widowControl w:val="0"/>
              <w:kinsoku/>
              <w:wordWrap/>
              <w:overflowPunct/>
              <w:topLinePunct w:val="0"/>
              <w:autoSpaceDE/>
              <w:autoSpaceDN/>
              <w:bidi w:val="0"/>
              <w:adjustRightInd w:val="0"/>
              <w:snapToGrid w:val="0"/>
              <w:spacing w:before="160" w:beforeLines="50" w:line="400" w:lineRule="exact"/>
              <w:ind w:left="0" w:leftChars="0" w:right="0" w:rightChars="0" w:firstLine="426" w:firstLineChars="200"/>
              <w:jc w:val="left"/>
              <w:textAlignment w:val="auto"/>
              <w:outlineLvl w:val="9"/>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综合比较打分：</w:t>
            </w:r>
            <w:r>
              <w:rPr>
                <w:rFonts w:hint="eastAsia" w:asciiTheme="minorEastAsia" w:hAnsiTheme="minorEastAsia" w:eastAsiaTheme="minorEastAsia" w:cstheme="minorEastAsia"/>
                <w:sz w:val="21"/>
                <w:szCs w:val="21"/>
                <w:highlight w:val="none"/>
                <w:lang w:val="en-US" w:eastAsia="zh-CN"/>
              </w:rPr>
              <w:t>方案描述清晰、完整，可操作性强得12-9.6分，方案描述较清晰、较完整，可操作性较强得9.6-8.4分；方案描述不够清晰，不够完整得8.4-7.2分</w:t>
            </w:r>
            <w:r>
              <w:rPr>
                <w:rFonts w:hint="eastAsia" w:asciiTheme="minorEastAsia" w:hAnsiTheme="minorEastAsia" w:eastAsiaTheme="minorEastAsia" w:cstheme="minor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331" w:hRule="atLeast"/>
        </w:trPr>
        <w:tc>
          <w:tcPr>
            <w:tcW w:w="1022" w:type="dxa"/>
            <w:tcBorders>
              <w:bottom w:val="single" w:color="auto" w:sz="4" w:space="0"/>
            </w:tcBorders>
            <w:vAlign w:val="top"/>
          </w:tcPr>
          <w:p>
            <w:pPr>
              <w:pageBreakBefore w:val="0"/>
              <w:kinsoku/>
              <w:overflowPunct/>
              <w:topLinePunct w:val="0"/>
              <w:bidi w:val="0"/>
              <w:spacing w:line="4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条款号</w:t>
            </w:r>
          </w:p>
        </w:tc>
        <w:tc>
          <w:tcPr>
            <w:tcW w:w="7452" w:type="dxa"/>
            <w:gridSpan w:val="6"/>
            <w:vAlign w:val="center"/>
          </w:tcPr>
          <w:p>
            <w:pPr>
              <w:pageBreakBefore w:val="0"/>
              <w:kinsoku/>
              <w:overflowPunct/>
              <w:topLinePunct w:val="0"/>
              <w:bidi w:val="0"/>
              <w:spacing w:line="400" w:lineRule="exact"/>
              <w:jc w:val="center"/>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b/>
                <w:kern w:val="0"/>
                <w:sz w:val="21"/>
                <w:szCs w:val="21"/>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1859" w:hRule="atLeast"/>
        </w:trPr>
        <w:tc>
          <w:tcPr>
            <w:tcW w:w="1022" w:type="dxa"/>
            <w:vAlign w:val="center"/>
          </w:tcPr>
          <w:p>
            <w:pPr>
              <w:pageBreakBefore w:val="0"/>
              <w:kinsoku/>
              <w:overflowPunct/>
              <w:topLinePunct w:val="0"/>
              <w:bidi w:val="0"/>
              <w:spacing w:line="4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3.1</w:t>
            </w:r>
          </w:p>
        </w:tc>
        <w:tc>
          <w:tcPr>
            <w:tcW w:w="1496" w:type="dxa"/>
            <w:gridSpan w:val="3"/>
            <w:textDirection w:val="tbRlV"/>
            <w:vAlign w:val="center"/>
          </w:tcPr>
          <w:p>
            <w:pPr>
              <w:pageBreakBefore w:val="0"/>
              <w:kinsoku/>
              <w:overflowPunct/>
              <w:topLinePunct w:val="0"/>
              <w:bidi w:val="0"/>
              <w:spacing w:line="400" w:lineRule="exact"/>
              <w:ind w:left="113" w:right="11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评标程序</w:t>
            </w:r>
          </w:p>
        </w:tc>
        <w:tc>
          <w:tcPr>
            <w:tcW w:w="5956" w:type="dxa"/>
            <w:gridSpan w:val="3"/>
            <w:vAlign w:val="top"/>
          </w:tcPr>
          <w:p>
            <w:pPr>
              <w:pageBreakBefore w:val="0"/>
              <w:kinsoku/>
              <w:wordWrap w:val="0"/>
              <w:overflowPunct/>
              <w:topLinePunct w:val="0"/>
              <w:bidi w:val="0"/>
              <w:adjustRightInd w:val="0"/>
              <w:snapToGrid w:val="0"/>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1.初步评审前，按规定对投标报价有算术性错误的进行算术性错误修正，并对所有报价人递交的竞争性比选响应文件进行初步评审（形式、资格、响应评审）。</w:t>
            </w:r>
          </w:p>
          <w:p>
            <w:pPr>
              <w:pageBreakBefore w:val="0"/>
              <w:kinsoku/>
              <w:wordWrap w:val="0"/>
              <w:overflowPunct/>
              <w:topLinePunct w:val="0"/>
              <w:bidi w:val="0"/>
              <w:adjustRightInd w:val="0"/>
              <w:snapToGrid w:val="0"/>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2.初步评审合格的才进行详细评审。</w:t>
            </w:r>
          </w:p>
          <w:p>
            <w:pPr>
              <w:pageBreakBefore w:val="0"/>
              <w:kinsoku/>
              <w:wordWrap w:val="0"/>
              <w:overflowPunct/>
              <w:topLinePunct w:val="0"/>
              <w:bidi w:val="0"/>
              <w:adjustRightInd w:val="0"/>
              <w:snapToGrid w:val="0"/>
              <w:spacing w:line="400" w:lineRule="exact"/>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sz w:val="21"/>
                <w:szCs w:val="21"/>
              </w:rPr>
              <w:t>3.根据综合得分由高至低进行排序，推荐1家合格的中标候选人。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2518" w:type="dxa"/>
            <w:gridSpan w:val="4"/>
            <w:vAlign w:val="center"/>
          </w:tcPr>
          <w:p>
            <w:pPr>
              <w:pageBreakBefore w:val="0"/>
              <w:kinsoku/>
              <w:overflowPunct/>
              <w:topLinePunct w:val="0"/>
              <w:bidi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3.2.3</w:t>
            </w:r>
          </w:p>
        </w:tc>
        <w:tc>
          <w:tcPr>
            <w:tcW w:w="1577" w:type="dxa"/>
            <w:gridSpan w:val="2"/>
            <w:vAlign w:val="center"/>
          </w:tcPr>
          <w:p>
            <w:pPr>
              <w:pageBreakBefore w:val="0"/>
              <w:kinsoku/>
              <w:overflowPunct/>
              <w:topLinePunct w:val="0"/>
              <w:bidi w:val="0"/>
              <w:adjustRightInd w:val="0"/>
              <w:snapToGri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报价人</w:t>
            </w:r>
            <w:r>
              <w:rPr>
                <w:rFonts w:hint="eastAsia" w:asciiTheme="minorEastAsia" w:hAnsiTheme="minorEastAsia" w:eastAsiaTheme="minorEastAsia" w:cstheme="minorEastAsia"/>
                <w:sz w:val="21"/>
                <w:szCs w:val="21"/>
              </w:rPr>
              <w:t>得分</w:t>
            </w:r>
          </w:p>
        </w:tc>
        <w:tc>
          <w:tcPr>
            <w:tcW w:w="4427" w:type="dxa"/>
            <w:gridSpan w:val="2"/>
            <w:vAlign w:val="center"/>
          </w:tcPr>
          <w:p>
            <w:pPr>
              <w:pStyle w:val="31"/>
              <w:pageBreakBefore w:val="0"/>
              <w:kinsoku/>
              <w:overflowPunct/>
              <w:topLinePunct w:val="0"/>
              <w:bidi w:val="0"/>
              <w:spacing w:line="400" w:lineRule="exact"/>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报价人</w:t>
            </w:r>
            <w:r>
              <w:rPr>
                <w:rFonts w:hint="eastAsia" w:asciiTheme="minorEastAsia" w:hAnsiTheme="minorEastAsia" w:eastAsiaTheme="minorEastAsia" w:cstheme="minorEastAsia"/>
                <w:sz w:val="21"/>
                <w:szCs w:val="21"/>
              </w:rPr>
              <w:t>得分=A+B+C，对通过初步评审的</w:t>
            </w:r>
            <w:r>
              <w:rPr>
                <w:rFonts w:hint="eastAsia" w:asciiTheme="minorEastAsia" w:hAnsiTheme="minorEastAsia" w:eastAsiaTheme="minorEastAsia" w:cstheme="minorEastAsia"/>
                <w:sz w:val="21"/>
                <w:szCs w:val="21"/>
                <w:lang w:eastAsia="zh-CN"/>
              </w:rPr>
              <w:t>报价人</w:t>
            </w:r>
            <w:r>
              <w:rPr>
                <w:rFonts w:hint="eastAsia" w:asciiTheme="minorEastAsia" w:hAnsiTheme="minorEastAsia" w:eastAsiaTheme="minorEastAsia" w:cstheme="minorEastAsia"/>
                <w:sz w:val="21"/>
                <w:szCs w:val="21"/>
              </w:rPr>
              <w:t>按照投标总得</w:t>
            </w:r>
            <w:r>
              <w:rPr>
                <w:rFonts w:hint="eastAsia" w:asciiTheme="minorEastAsia" w:hAnsiTheme="minorEastAsia" w:eastAsiaTheme="minorEastAsia" w:cstheme="minorEastAsia"/>
                <w:color w:val="auto"/>
                <w:sz w:val="21"/>
                <w:szCs w:val="21"/>
                <w:highlight w:val="none"/>
              </w:rPr>
              <w:t>分（商务+技术+报价）得</w:t>
            </w:r>
            <w:r>
              <w:rPr>
                <w:rFonts w:hint="eastAsia" w:asciiTheme="minorEastAsia" w:hAnsiTheme="minorEastAsia" w:eastAsiaTheme="minorEastAsia" w:cstheme="minorEastAsia"/>
                <w:sz w:val="21"/>
                <w:szCs w:val="21"/>
              </w:rPr>
              <w:t>分由从高到低的先后顺序推荐1名中标候选人。</w:t>
            </w:r>
            <w:r>
              <w:rPr>
                <w:rFonts w:hint="eastAsia" w:asciiTheme="minorEastAsia" w:hAnsiTheme="minorEastAsia" w:eastAsiaTheme="minorEastAsia" w:cstheme="minorEastAsia"/>
                <w:sz w:val="21"/>
                <w:szCs w:val="21"/>
                <w:lang w:val="en-US" w:eastAsia="zh-CN"/>
              </w:rPr>
              <w:t>保留2位小数。</w:t>
            </w:r>
          </w:p>
        </w:tc>
      </w:tr>
    </w:tbl>
    <w:p>
      <w:pPr>
        <w:pStyle w:val="2"/>
        <w:pageBreakBefore w:val="0"/>
        <w:kinsoku/>
        <w:overflowPunct/>
        <w:topLinePunct w:val="0"/>
        <w:bidi w:val="0"/>
        <w:spacing w:line="400" w:lineRule="exact"/>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综合评分法，是指投标文件满足招标文件全部实质性要求且按照评审因素的量化指标评审得分最高的</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报价人</w:t>
      </w:r>
      <w:r>
        <w:rPr>
          <w:rFonts w:hint="eastAsia" w:asciiTheme="minorEastAsia" w:hAnsiTheme="minorEastAsia" w:eastAsiaTheme="minorEastAsia" w:cstheme="minorEastAsia"/>
          <w:color w:val="000000" w:themeColor="text1"/>
          <w:sz w:val="24"/>
          <w:szCs w:val="28"/>
          <w14:textFill>
            <w14:solidFill>
              <w14:schemeClr w14:val="tx1"/>
            </w14:solidFill>
          </w14:textFill>
        </w:rPr>
        <w:t>为中标候选人的评标方法。</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报价人</w:t>
      </w:r>
      <w:r>
        <w:rPr>
          <w:rFonts w:hint="eastAsia" w:asciiTheme="minorEastAsia" w:hAnsiTheme="minorEastAsia" w:eastAsiaTheme="minorEastAsia" w:cstheme="minorEastAsia"/>
          <w:color w:val="000000" w:themeColor="text1"/>
          <w:sz w:val="24"/>
          <w:szCs w:val="28"/>
          <w14:textFill>
            <w14:solidFill>
              <w14:schemeClr w14:val="tx1"/>
            </w14:solidFill>
          </w14:textFill>
        </w:rPr>
        <w:t>总得分为价格、商务、技术等评定因素分别按照相应权重值计算分项得分后相加，满分为100分。</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6" w:firstLineChars="200"/>
        <w:jc w:val="both"/>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（一）符合性审查</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6" w:firstLineChars="200"/>
        <w:jc w:val="both"/>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评标委员会应当对符合资格的</w:t>
      </w:r>
      <w:r>
        <w:rPr>
          <w:rFonts w:hint="eastAsia" w:asciiTheme="minorEastAsia" w:hAnsiTheme="minorEastAsia" w:eastAsiaTheme="minorEastAsia" w:cstheme="minorEastAsia"/>
          <w:kern w:val="0"/>
          <w:sz w:val="24"/>
          <w:lang w:eastAsia="zh-CN"/>
        </w:rPr>
        <w:t>报价人</w:t>
      </w:r>
      <w:r>
        <w:rPr>
          <w:rFonts w:hint="eastAsia" w:asciiTheme="minorEastAsia" w:hAnsiTheme="minorEastAsia" w:eastAsiaTheme="minorEastAsia" w:cstheme="minorEastAsia"/>
          <w:kern w:val="0"/>
          <w:sz w:val="24"/>
        </w:rPr>
        <w:t>的投标文件进行符合性审查，以确定其是否满足招标文件的实质性要求。</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（二）澄清有关问题。对投标文件中含义不明确、同类问题表述不一致或者有明显文字和计算错误的内容，评标委员会可以书面形式（应当由评标委员会成员签字）要求</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作出必要澄清、说明或者纠正。</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的澄清、说明或者补正应当采用书面形式，由其法定代表人授权代表签字，其澄清的内容不得超出投标文件的范围或者改变投标文件的实质性内容。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（三）比较与评价。按招标文件中规定的评标方法和标准，对资格审查和符合性审查合格的投标文件进行商务和技术评估。</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评标委员会各成员独立对每个有效</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（通过资格审查、符合性审查的</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）的投标文件进行评价、打分，然后由评标委员会对各成员打分情况进行核查及复核，个别成员对同一</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同一评分项的打分偏离较大的，应对</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的投标文件进行再次核对，确属打分有误的，应及时进行修正。</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复核后，评标委员会汇总每个</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每项评分因素的得分。</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（四）推荐中标候选人名单。</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按评审后得分由高到低的排列顺序推荐综合得分排名</w:t>
      </w:r>
      <w:r>
        <w:rPr>
          <w:rFonts w:hint="eastAsia" w:asciiTheme="minorEastAsia" w:hAnsiTheme="minorEastAsia" w:eastAsiaTheme="minorEastAsia" w:cstheme="minorEastAsia"/>
          <w:sz w:val="24"/>
          <w:lang w:val="en-US" w:eastAsia="zh-CN"/>
        </w:rPr>
        <w:t>第一</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为本项目中标候选人。</w:t>
      </w:r>
    </w:p>
    <w:p>
      <w:pPr>
        <w:pStyle w:val="2"/>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六、无效投标条款</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或其投标文件出现下列情况之一者，应为无效投标：</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（一）投标文件未按招标文件要求签署、盖章的；</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（二）不具备招标文件中规定的资格要求的；</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（三）报价超过招标文件中规定的预算金额或者最高限价的；</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（四）投标文件含有采购人不能接受的附加条件的；</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串通投标的；</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组成联合体投标的；</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（七）法律、法规和招标文件规定的其他无效情形。</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七、废标条款</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评标委员会评审时出现以下情况之一的，应予废标：</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（一）符合专业条件的</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或者对招标文件作实质响应的</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不足三家的；</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w:t>
      </w:r>
      <w:r>
        <w:rPr>
          <w:rFonts w:hint="eastAsia" w:asciiTheme="minorEastAsia" w:hAnsiTheme="minorEastAsia" w:eastAsiaTheme="minorEastAsia" w:cstheme="minorEastAsia"/>
          <w:sz w:val="24"/>
          <w:lang w:eastAsia="zh-CN"/>
        </w:rPr>
        <w:t>报价人</w:t>
      </w:r>
      <w:r>
        <w:rPr>
          <w:rFonts w:hint="eastAsia" w:asciiTheme="minorEastAsia" w:hAnsiTheme="minorEastAsia" w:eastAsiaTheme="minorEastAsia" w:cstheme="minorEastAsia"/>
          <w:sz w:val="24"/>
        </w:rPr>
        <w:t>的报价均超过了采购预算，采购人不能支付的；</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（三）出现影响采购公正的违法、违规行为的；</w:t>
      </w:r>
    </w:p>
    <w:p>
      <w:pPr>
        <w:keepNext w:val="0"/>
        <w:keepLines w:val="0"/>
        <w:pageBreakBefore w:val="0"/>
        <w:widowControl w:val="0"/>
        <w:kinsoku/>
        <w:wordWrap/>
        <w:overflowPunct/>
        <w:topLinePunct w:val="0"/>
        <w:autoSpaceDE/>
        <w:autoSpaceDN/>
        <w:bidi w:val="0"/>
        <w:adjustRightInd/>
        <w:spacing w:line="360" w:lineRule="auto"/>
        <w:ind w:right="0" w:rightChars="0" w:firstLine="486" w:firstLineChars="200"/>
        <w:jc w:val="both"/>
        <w:textAlignment w:val="auto"/>
        <w:outlineLvl w:val="9"/>
        <w:rPr>
          <w:rFonts w:hint="eastAsia" w:asciiTheme="majorEastAsia" w:hAnsiTheme="majorEastAsia" w:eastAsiaTheme="majorEastAsia" w:cstheme="majorEastAsia"/>
          <w:color w:val="000000" w:themeColor="text1"/>
          <w:sz w:val="48"/>
          <w:szCs w:val="48"/>
          <w:lang w:val="en-US" w:eastAsia="zh-CN"/>
          <w14:textFill>
            <w14:solidFill>
              <w14:schemeClr w14:val="tx1"/>
            </w14:solidFill>
          </w14:textFill>
        </w:rPr>
      </w:pPr>
      <w:r>
        <w:rPr>
          <w:rFonts w:hint="eastAsia" w:asciiTheme="minorEastAsia" w:hAnsiTheme="minorEastAsia" w:eastAsiaTheme="minorEastAsia" w:cstheme="minorEastAsia"/>
          <w:sz w:val="24"/>
        </w:rPr>
        <w:t>（四）因重大变故，采购任务取消的。</w:t>
      </w:r>
    </w:p>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outlineLvl w:val="9"/>
        <w:rPr>
          <w:rFonts w:hint="eastAsia" w:asciiTheme="majorEastAsia" w:hAnsiTheme="majorEastAsia" w:eastAsiaTheme="majorEastAsia" w:cstheme="majorEastAsia"/>
          <w:b/>
          <w:bCs/>
          <w:color w:val="000000" w:themeColor="text1"/>
          <w:sz w:val="48"/>
          <w:szCs w:val="4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outlineLvl w:val="9"/>
        <w:rPr>
          <w:rFonts w:hint="eastAsia" w:asciiTheme="majorEastAsia" w:hAnsiTheme="majorEastAsia" w:eastAsiaTheme="majorEastAsia" w:cstheme="majorEastAsia"/>
          <w:b/>
          <w:bCs/>
          <w:color w:val="000000" w:themeColor="text1"/>
          <w:sz w:val="48"/>
          <w:szCs w:val="48"/>
          <w:lang w:val="en-US" w:eastAsia="zh-CN"/>
          <w14:textFill>
            <w14:solidFill>
              <w14:schemeClr w14:val="tx1"/>
            </w14:solidFill>
          </w14:textFill>
        </w:rPr>
      </w:pPr>
    </w:p>
    <w:p>
      <w:pPr>
        <w:pStyle w:val="2"/>
        <w:rPr>
          <w:rFonts w:hint="eastAsia" w:asciiTheme="majorEastAsia" w:hAnsiTheme="majorEastAsia" w:eastAsiaTheme="majorEastAsia" w:cstheme="majorEastAsia"/>
          <w:b/>
          <w:bCs/>
          <w:color w:val="000000" w:themeColor="text1"/>
          <w:sz w:val="48"/>
          <w:szCs w:val="48"/>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48"/>
          <w:szCs w:val="48"/>
          <w:lang w:val="en-US" w:eastAsia="zh-CN"/>
          <w14:textFill>
            <w14:solidFill>
              <w14:schemeClr w14:val="tx1"/>
            </w14:solidFill>
          </w14:textFill>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pacing w:line="360" w:lineRule="auto"/>
        <w:ind w:right="0" w:rightChars="0"/>
        <w:jc w:val="both"/>
        <w:textAlignment w:val="auto"/>
        <w:outlineLvl w:val="9"/>
        <w:rPr>
          <w:rFonts w:hint="eastAsia" w:asciiTheme="majorEastAsia" w:hAnsiTheme="majorEastAsia" w:eastAsiaTheme="majorEastAsia" w:cstheme="majorEastAsia"/>
          <w:b/>
          <w:bCs/>
          <w:color w:val="000000" w:themeColor="text1"/>
          <w:sz w:val="48"/>
          <w:szCs w:val="4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outlineLvl w:val="9"/>
        <w:rPr>
          <w:rFonts w:hint="eastAsia" w:asciiTheme="majorEastAsia" w:hAnsiTheme="majorEastAsia" w:eastAsiaTheme="majorEastAsia" w:cstheme="majorEastAsia"/>
          <w:b/>
          <w:bCs/>
          <w:color w:val="000000" w:themeColor="text1"/>
          <w:sz w:val="48"/>
          <w:szCs w:val="4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8"/>
          <w:szCs w:val="48"/>
          <w:lang w:val="en-US" w:eastAsia="zh-CN"/>
          <w14:textFill>
            <w14:solidFill>
              <w14:schemeClr w14:val="tx1"/>
            </w14:solidFill>
          </w14:textFill>
        </w:rPr>
        <w:t>第四章  投标报价</w:t>
      </w:r>
    </w:p>
    <w:p>
      <w:pPr>
        <w:pStyle w:val="5"/>
        <w:rPr>
          <w:rFonts w:hint="eastAsia"/>
          <w:lang w:val="en-US" w:eastAsia="zh-CN"/>
        </w:rPr>
      </w:pPr>
      <w:r>
        <w:rPr>
          <w:rFonts w:hint="eastAsia" w:ascii="宋体" w:hAnsi="宋体"/>
          <w:color w:val="000000" w:themeColor="text1"/>
          <w:sz w:val="24"/>
          <w:szCs w:val="24"/>
          <w:lang w:val="en-US" w:eastAsia="zh-CN"/>
          <w14:textFill>
            <w14:solidFill>
              <w14:schemeClr w14:val="tx1"/>
            </w14:solidFill>
          </w14:textFill>
        </w:rPr>
        <w:t xml:space="preserve">    1.报价说明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8"/>
          <w14:textFill>
            <w14:solidFill>
              <w14:schemeClr w14:val="tx1"/>
            </w14:solidFill>
          </w14:textFill>
        </w:rPr>
        <w:t>本次报价须为人民币报价，包含但不限于完成本项目所需的员工工资、社会保险（五险）、劳保福利、税费、加班费、配送费、交通费、节假日慰问费等所有服务产生的一切费用（</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报价人</w:t>
      </w:r>
      <w:r>
        <w:rPr>
          <w:rFonts w:hint="eastAsia" w:asciiTheme="minorEastAsia" w:hAnsiTheme="minorEastAsia" w:eastAsiaTheme="minorEastAsia" w:cstheme="minorEastAsia"/>
          <w:color w:val="000000" w:themeColor="text1"/>
          <w:sz w:val="24"/>
          <w:szCs w:val="28"/>
          <w14:textFill>
            <w14:solidFill>
              <w14:schemeClr w14:val="tx1"/>
            </w14:solidFill>
          </w14:textFill>
        </w:rPr>
        <w:t>若有漏项，则被认为此项费用已包含在总报价中）。因中标人自身原因造成漏报、少报皆由其自行承担责任，</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8"/>
          <w14:textFill>
            <w14:solidFill>
              <w14:schemeClr w14:val="tx1"/>
            </w14:solidFill>
          </w14:textFill>
        </w:rPr>
        <w:t>不再补偿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（2）报价人在分项报价表中填报的综合单价承包到现场所产生的路费、差旅费等。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（3）报价有算术错误的，评审小组按以下原则对报价进行修正，修正的价格经报价人书面确认后具有约束力。报价人不接受修正价格的，其报价应当予以否决。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①竞争性比选响应文件中的大写金额与小写金额不一致的，以大写金额为准；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②总价金额与依据单价计算出的结果不一致的，以单价金额为准修正总价，但单价金额小数点有明显错误的除外。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（4）实际采购数量以采购人最终需求数量为准</w:t>
      </w:r>
      <w:r>
        <w:rPr>
          <w:rFonts w:hint="eastAsia" w:asciiTheme="minorEastAsia" w:hAnsiTheme="minorEastAsia" w:eastAsiaTheme="minorEastAsia" w:cstheme="minorEastAsia"/>
          <w:b/>
          <w:color w:val="000000" w:themeColor="text1"/>
          <w:sz w:val="24"/>
          <w:szCs w:val="28"/>
          <w14:textFill>
            <w14:solidFill>
              <w14:schemeClr w14:val="tx1"/>
            </w14:solidFill>
          </w14:textFill>
        </w:rPr>
        <w:t>，</w:t>
      </w:r>
      <w:r>
        <w:rPr>
          <w:rFonts w:hint="eastAsia" w:asciiTheme="minorEastAsia" w:hAnsiTheme="minorEastAsia" w:eastAsiaTheme="minorEastAsia" w:cstheme="minorEastAsia"/>
          <w:color w:val="000000" w:themeColor="text1"/>
          <w:sz w:val="24"/>
          <w:szCs w:val="28"/>
          <w14:textFill>
            <w14:solidFill>
              <w14:schemeClr w14:val="tx1"/>
            </w14:solidFill>
          </w14:textFill>
        </w:rPr>
        <w:t>报价清单中单价在合同执行过程中保持固定不变，报价人不得以实际采购数量的变化提出调整合同单价。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（5）报价清单中各项金额均以人民币（元）结算。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both"/>
        <w:textAlignment w:val="auto"/>
        <w:outlineLvl w:val="9"/>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（6）需缴纳的一切税费均由报价单位承担，所有税费均由</w:t>
      </w:r>
      <w:r>
        <w:rPr>
          <w:rFonts w:hint="eastAsia" w:asciiTheme="minorEastAsia" w:hAnsiTheme="minorEastAsia" w:eastAsiaTheme="minorEastAsia" w:cstheme="minorEastAsia"/>
          <w:color w:val="000000" w:themeColor="text1"/>
          <w:sz w:val="24"/>
          <w:szCs w:val="28"/>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8"/>
          <w14:textFill>
            <w14:solidFill>
              <w14:schemeClr w14:val="tx1"/>
            </w14:solidFill>
          </w14:textFill>
        </w:rPr>
        <w:t>单位自行缴纳；</w:t>
      </w:r>
    </w:p>
    <w:p>
      <w:pP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2.报价一览表</w:t>
      </w:r>
    </w:p>
    <w:tbl>
      <w:tblPr>
        <w:tblStyle w:val="20"/>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465"/>
        <w:gridCol w:w="1539"/>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3"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序号</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项目名称</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报价（元）</w:t>
            </w:r>
          </w:p>
        </w:tc>
        <w:tc>
          <w:tcPr>
            <w:tcW w:w="378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1</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imes New Roman" w:hAnsi="Times New Roman" w:cs="Times New Roman"/>
                <w:b w:val="0"/>
                <w:bCs w:val="0"/>
                <w:color w:val="000000" w:themeColor="text1"/>
                <w:kern w:val="2"/>
                <w:sz w:val="24"/>
                <w:szCs w:val="28"/>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4"/>
                <w:szCs w:val="28"/>
                <w:lang w:val="en-US" w:eastAsia="zh-CN" w:bidi="ar-SA"/>
                <w14:textFill>
                  <w14:solidFill>
                    <w14:schemeClr w14:val="tx1"/>
                  </w14:solidFill>
                </w14:textFill>
              </w:rPr>
              <w:t>重庆首讯科技股份有限公司绩效薪酬设计服务项目</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p>
        </w:tc>
        <w:tc>
          <w:tcPr>
            <w:tcW w:w="378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4"/>
                <w:szCs w:val="28"/>
                <w:lang w:val="en-US" w:eastAsia="zh-CN" w:bidi="ar-SA"/>
                <w14:textFill>
                  <w14:solidFill>
                    <w14:schemeClr w14:val="tx1"/>
                  </w14:solidFill>
                </w14:textFill>
              </w:rPr>
              <w:t>通过对我司现行人力及薪酬方面的制度进行解读以及对公司运行情况等进行调研、分析，制定出符合我司现行发展需求的绩效薪酬制度</w:t>
            </w:r>
            <w:r>
              <w:rPr>
                <w:rFonts w:hint="eastAsia" w:asciiTheme="minorEastAsia" w:hAnsiTheme="minorEastAsia" w:eastAsiaTheme="minorEastAsia" w:cstheme="minorEastAsia"/>
                <w:kern w:val="2"/>
                <w:sz w:val="24"/>
                <w:szCs w:val="28"/>
                <w:highlight w:val="none"/>
                <w:lang w:val="en-US" w:eastAsia="zh-CN" w:bidi="ar-SA"/>
              </w:rPr>
              <w:t>，详见第二章报价人须知1.服务内容。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2</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4"/>
                <w:szCs w:val="28"/>
                <w:highlight w:val="none"/>
                <w:lang w:val="en-US" w:eastAsia="zh-CN"/>
              </w:rPr>
            </w:pPr>
            <w:r>
              <w:rPr>
                <w:rFonts w:hint="eastAsia" w:asciiTheme="minorEastAsia" w:hAnsiTheme="minorEastAsia" w:eastAsiaTheme="minorEastAsia" w:cstheme="minorEastAsia"/>
                <w:sz w:val="24"/>
                <w:szCs w:val="28"/>
                <w:highlight w:val="none"/>
                <w:lang w:val="en-US" w:eastAsia="zh-CN"/>
              </w:rPr>
              <w:t>合计（元）</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p>
        </w:tc>
        <w:tc>
          <w:tcPr>
            <w:tcW w:w="378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p>
        </w:tc>
      </w:tr>
    </w:tbl>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numPr>
          <w:ilvl w:val="0"/>
          <w:numId w:val="0"/>
        </w:numPr>
        <w:jc w:val="center"/>
        <w:rPr>
          <w:rFonts w:hint="eastAsia"/>
          <w:b/>
          <w:bCs/>
          <w:sz w:val="48"/>
          <w:szCs w:val="48"/>
          <w:lang w:val="en-US" w:eastAsia="zh-CN"/>
        </w:rPr>
      </w:pPr>
      <w:r>
        <w:rPr>
          <w:rFonts w:hint="eastAsia"/>
          <w:b/>
          <w:bCs/>
          <w:sz w:val="48"/>
          <w:szCs w:val="48"/>
          <w:lang w:val="en-US" w:eastAsia="zh-CN"/>
        </w:rPr>
        <w:t>第五章  技术标准和要求</w:t>
      </w:r>
    </w:p>
    <w:p>
      <w:pPr>
        <w:pStyle w:val="4"/>
        <w:spacing w:before="120" w:after="0" w:line="400" w:lineRule="exact"/>
        <w:rPr>
          <w:rFonts w:hint="eastAsia" w:ascii="宋体" w:hAnsi="宋体" w:eastAsia="宋体" w:cs="宋体"/>
          <w:b w:val="0"/>
          <w:bCs w:val="0"/>
          <w:sz w:val="24"/>
          <w:szCs w:val="24"/>
          <w:lang w:val="en-US"/>
        </w:rPr>
      </w:pPr>
      <w:r>
        <w:rPr>
          <w:rFonts w:hint="eastAsia"/>
          <w:b w:val="0"/>
          <w:bCs w:val="0"/>
          <w:sz w:val="24"/>
          <w:szCs w:val="32"/>
          <w:lang w:val="en-US" w:eastAsia="zh-CN"/>
        </w:rPr>
        <w:t>详见第二章报价人须知。</w:t>
      </w:r>
    </w:p>
    <w:p>
      <w:pPr>
        <w:rPr>
          <w:rFonts w:hint="eastAsia"/>
          <w:sz w:val="24"/>
          <w:szCs w:val="32"/>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numPr>
          <w:ilvl w:val="0"/>
          <w:numId w:val="0"/>
        </w:numPr>
        <w:rPr>
          <w:rFonts w:hint="eastAsia" w:ascii="宋体" w:hAnsi="宋体" w:eastAsia="宋体" w:cs="宋体"/>
          <w:smallCaps/>
          <w:kern w:val="2"/>
          <w:szCs w:val="20"/>
          <w:lang w:val="en-US" w:eastAsia="zh-CN" w:bidi="ar-SA"/>
        </w:rPr>
      </w:pPr>
    </w:p>
    <w:p>
      <w:pPr>
        <w:numPr>
          <w:ilvl w:val="0"/>
          <w:numId w:val="0"/>
        </w:numPr>
        <w:jc w:val="center"/>
        <w:rPr>
          <w:rFonts w:hint="eastAsia" w:asciiTheme="majorEastAsia" w:hAnsiTheme="majorEastAsia" w:eastAsiaTheme="majorEastAsia" w:cstheme="majorEastAsia"/>
          <w:b/>
          <w:bCs/>
          <w:sz w:val="52"/>
          <w:szCs w:val="52"/>
          <w:lang w:val="en-US" w:eastAsia="zh-CN"/>
        </w:rPr>
      </w:pPr>
      <w:r>
        <w:rPr>
          <w:rFonts w:hint="eastAsia" w:asciiTheme="majorEastAsia" w:hAnsiTheme="majorEastAsia" w:eastAsiaTheme="majorEastAsia" w:cstheme="majorEastAsia"/>
          <w:b/>
          <w:bCs/>
          <w:smallCaps/>
          <w:kern w:val="2"/>
          <w:sz w:val="52"/>
          <w:szCs w:val="52"/>
          <w:lang w:val="en-US" w:eastAsia="zh-CN" w:bidi="ar-SA"/>
        </w:rPr>
        <w:t>第六章  竞争性比选响应文件格式</w:t>
      </w: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center"/>
        <w:rPr>
          <w:rFonts w:hint="eastAsia"/>
          <w:b/>
          <w:color w:val="000000" w:themeColor="text1"/>
          <w:sz w:val="24"/>
          <w14:textFill>
            <w14:solidFill>
              <w14:schemeClr w14:val="tx1"/>
            </w14:solidFill>
          </w14:textFill>
        </w:rPr>
      </w:pPr>
    </w:p>
    <w:p>
      <w:pPr>
        <w:jc w:val="both"/>
        <w:rPr>
          <w:rFonts w:hint="eastAsia"/>
          <w:b/>
          <w:color w:val="000000" w:themeColor="text1"/>
          <w:sz w:val="24"/>
          <w14:textFill>
            <w14:solidFill>
              <w14:schemeClr w14:val="tx1"/>
            </w14:solidFill>
          </w14:textFill>
        </w:rPr>
      </w:pPr>
    </w:p>
    <w:p>
      <w:pPr>
        <w:pStyle w:val="2"/>
        <w:rPr>
          <w:rFonts w:hint="eastAsia"/>
        </w:rPr>
      </w:pPr>
    </w:p>
    <w:p>
      <w:pPr>
        <w:jc w:val="center"/>
        <w:rPr>
          <w:rFonts w:hint="eastAsia"/>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参考格式</w:t>
      </w: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竞争性比选响应文件封面</w:t>
      </w:r>
    </w:p>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（以下内容为示例）</w:t>
      </w:r>
    </w:p>
    <w:p>
      <w:pPr>
        <w:jc w:val="center"/>
        <w:rPr>
          <w:b/>
          <w:color w:val="000000" w:themeColor="text1"/>
          <w:sz w:val="24"/>
          <w14:textFill>
            <w14:solidFill>
              <w14:schemeClr w14:val="tx1"/>
            </w14:solidFill>
          </w14:textFill>
        </w:rPr>
      </w:pPr>
    </w:p>
    <w:p>
      <w:pPr>
        <w:jc w:val="righ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w:t>
      </w:r>
      <w:r>
        <w:rPr>
          <w:rFonts w:hint="eastAsia"/>
          <w:b/>
          <w:color w:val="000000" w:themeColor="text1"/>
          <w:sz w:val="40"/>
          <w14:textFill>
            <w14:solidFill>
              <w14:schemeClr w14:val="tx1"/>
            </w14:solidFill>
          </w14:textFill>
        </w:rPr>
        <w:t>（正本或副本）</w:t>
      </w:r>
    </w:p>
    <w:p>
      <w:pPr>
        <w:jc w:val="right"/>
        <w:rPr>
          <w:b/>
          <w:color w:val="000000" w:themeColor="text1"/>
          <w:sz w:val="24"/>
          <w14:textFill>
            <w14:solidFill>
              <w14:schemeClr w14:val="tx1"/>
            </w14:solidFill>
          </w14:textFill>
        </w:rPr>
      </w:pPr>
    </w:p>
    <w:p>
      <w:pPr>
        <w:jc w:val="right"/>
        <w:rPr>
          <w:b/>
          <w:color w:val="000000" w:themeColor="text1"/>
          <w:sz w:val="24"/>
          <w14:textFill>
            <w14:solidFill>
              <w14:schemeClr w14:val="tx1"/>
            </w14:solidFill>
          </w14:textFill>
        </w:rPr>
      </w:pPr>
    </w:p>
    <w:p>
      <w:pPr>
        <w:jc w:val="right"/>
        <w:rPr>
          <w:b/>
          <w:color w:val="000000" w:themeColor="text1"/>
          <w:sz w:val="24"/>
          <w14:textFill>
            <w14:solidFill>
              <w14:schemeClr w14:val="tx1"/>
            </w14:solidFill>
          </w14:textFill>
        </w:rPr>
      </w:pPr>
    </w:p>
    <w:p>
      <w:pPr>
        <w:jc w:val="center"/>
        <w:rPr>
          <w:rFonts w:hint="eastAsia"/>
          <w:b/>
          <w:color w:val="000000" w:themeColor="text1"/>
          <w:sz w:val="52"/>
          <w:szCs w:val="52"/>
          <w14:textFill>
            <w14:solidFill>
              <w14:schemeClr w14:val="tx1"/>
            </w14:solidFill>
          </w14:textFill>
        </w:rPr>
      </w:pPr>
      <w:r>
        <w:rPr>
          <w:rFonts w:hint="eastAsia"/>
          <w:b/>
          <w:color w:val="000000" w:themeColor="text1"/>
          <w:sz w:val="52"/>
          <w:szCs w:val="52"/>
          <w14:textFill>
            <w14:solidFill>
              <w14:schemeClr w14:val="tx1"/>
            </w14:solidFill>
          </w14:textFill>
        </w:rPr>
        <w:t>重庆首讯科技股份有限公司绩效薪酬设计服务项目</w:t>
      </w:r>
    </w:p>
    <w:p>
      <w:pPr>
        <w:jc w:val="center"/>
        <w:rPr>
          <w:b/>
          <w:color w:val="000000" w:themeColor="text1"/>
          <w:sz w:val="52"/>
          <w:szCs w:val="52"/>
          <w14:textFill>
            <w14:solidFill>
              <w14:schemeClr w14:val="tx1"/>
            </w14:solidFill>
          </w14:textFill>
        </w:rPr>
      </w:pPr>
      <w:r>
        <w:rPr>
          <w:rFonts w:hint="eastAsia"/>
          <w:b/>
          <w:color w:val="000000" w:themeColor="text1"/>
          <w:sz w:val="52"/>
          <w:szCs w:val="52"/>
          <w14:textFill>
            <w14:solidFill>
              <w14:schemeClr w14:val="tx1"/>
            </w14:solidFill>
          </w14:textFill>
        </w:rPr>
        <w:t>竞争性比选响应文件</w:t>
      </w: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u w:val="single"/>
          <w14:textFill>
            <w14:solidFill>
              <w14:schemeClr w14:val="tx1"/>
            </w14:solidFill>
          </w14:textFill>
        </w:rPr>
      </w:pPr>
      <w:r>
        <w:rPr>
          <w:rFonts w:hint="eastAsia"/>
          <w:color w:val="000000" w:themeColor="text1"/>
          <w:sz w:val="32"/>
          <w:szCs w:val="32"/>
          <w:u w:val="single"/>
          <w14:textFill>
            <w14:solidFill>
              <w14:schemeClr w14:val="tx1"/>
            </w14:solidFill>
          </w14:textFill>
        </w:rPr>
        <w:t>报价人名称全称（盖单位公章）</w:t>
      </w:r>
    </w:p>
    <w:p>
      <w:pPr>
        <w:pStyle w:val="10"/>
        <w:snapToGrid w:val="0"/>
        <w:ind w:firstLine="574" w:firstLineChars="150"/>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202</w:t>
      </w:r>
      <w:r>
        <w:rPr>
          <w:rFonts w:ascii="宋体" w:hAnsi="宋体"/>
          <w:color w:val="000000" w:themeColor="text1"/>
          <w:sz w:val="32"/>
          <w:szCs w:val="32"/>
          <w14:textFill>
            <w14:solidFill>
              <w14:schemeClr w14:val="tx1"/>
            </w14:solidFill>
          </w14:textFill>
        </w:rPr>
        <w:t>1</w:t>
      </w:r>
      <w:r>
        <w:rPr>
          <w:rFonts w:hint="eastAsia" w:ascii="宋体" w:hAnsi="宋体"/>
          <w:color w:val="000000" w:themeColor="text1"/>
          <w:sz w:val="32"/>
          <w:szCs w:val="32"/>
          <w14:textFill>
            <w14:solidFill>
              <w14:schemeClr w14:val="tx1"/>
            </w14:solidFill>
          </w14:textFill>
        </w:rPr>
        <w:t>年</w:t>
      </w:r>
      <w:r>
        <w:rPr>
          <w:rFonts w:hint="eastAsia" w:ascii="宋体" w:hAnsi="宋体"/>
          <w:color w:val="000000" w:themeColor="text1"/>
          <w:sz w:val="32"/>
          <w:szCs w:val="32"/>
          <w:lang w:val="en-US" w:eastAsia="zh-CN"/>
          <w14:textFill>
            <w14:solidFill>
              <w14:schemeClr w14:val="tx1"/>
            </w14:solidFill>
          </w14:textFill>
        </w:rPr>
        <w:t>6</w:t>
      </w:r>
      <w:r>
        <w:rPr>
          <w:rFonts w:hint="eastAsia" w:ascii="宋体" w:hAnsi="宋体"/>
          <w:color w:val="000000" w:themeColor="text1"/>
          <w:sz w:val="32"/>
          <w:szCs w:val="32"/>
          <w14:textFill>
            <w14:solidFill>
              <w14:schemeClr w14:val="tx1"/>
            </w14:solidFill>
          </w14:textFill>
        </w:rPr>
        <w:t>月</w:t>
      </w:r>
    </w:p>
    <w:p>
      <w:pPr>
        <w:pStyle w:val="16"/>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color w:val="000000" w:themeColor="text1"/>
          <w14:textFill>
            <w14:solidFill>
              <w14:schemeClr w14:val="tx1"/>
            </w14:solidFill>
          </w14:textFill>
        </w:rPr>
        <w:t>一、竞争性比选响应声明书</w:t>
      </w:r>
    </w:p>
    <w:p>
      <w:pPr>
        <w:tabs>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r>
        <w:rPr>
          <w:rFonts w:hint="eastAsia" w:ascii="Arial" w:hAnsi="Arial" w:cs="Arial"/>
          <w:b/>
          <w:color w:val="000000" w:themeColor="text1"/>
          <w:sz w:val="24"/>
          <w14:textFill>
            <w14:solidFill>
              <w14:schemeClr w14:val="tx1"/>
            </w14:solidFill>
          </w14:textFill>
        </w:rPr>
        <w:t>致：</w:t>
      </w:r>
      <w:r>
        <w:rPr>
          <w:rFonts w:hint="eastAsia" w:ascii="Arial" w:hAnsi="Arial" w:cs="Arial"/>
          <w:b/>
          <w:bCs/>
          <w:color w:val="000000" w:themeColor="text1"/>
          <w:sz w:val="24"/>
          <w:u w:val="single"/>
          <w14:textFill>
            <w14:solidFill>
              <w14:schemeClr w14:val="tx1"/>
            </w14:solidFill>
          </w14:textFill>
        </w:rPr>
        <w:t>重庆首讯科技股份有限公司</w:t>
      </w:r>
    </w:p>
    <w:p>
      <w:pPr>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w:t>
      </w:r>
      <w:r>
        <w:rPr>
          <w:rFonts w:hint="eastAsia" w:ascii="宋体" w:hAnsi="宋体"/>
          <w:color w:val="000000" w:themeColor="text1"/>
          <w:sz w:val="24"/>
          <w:u w:val="single"/>
          <w14:textFill>
            <w14:solidFill>
              <w14:schemeClr w14:val="tx1"/>
            </w14:solidFill>
          </w14:textFill>
        </w:rPr>
        <w:t>重庆首讯科技股份有限公司绩效薪酬设计服务项目</w:t>
      </w:r>
      <w:r>
        <w:rPr>
          <w:rFonts w:hint="eastAsia" w:ascii="Arial" w:hAnsi="Arial" w:cs="Arial"/>
          <w:color w:val="000000" w:themeColor="text1"/>
          <w:sz w:val="24"/>
          <w14:textFill>
            <w14:solidFill>
              <w14:schemeClr w14:val="tx1"/>
            </w14:solidFill>
          </w14:textFill>
        </w:rPr>
        <w:t>竞争性比选文件要求，签字代表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经正式授权并代表报价人</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（报价人名称、地址）</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提交以下文件正本一份、副本两份和电子文件1份。</w:t>
      </w:r>
    </w:p>
    <w:p>
      <w:pPr>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我方愿以人民币：              元（大写              元）</w:t>
      </w:r>
      <w:r>
        <w:rPr>
          <w:rFonts w:hint="eastAsia" w:ascii="Arial" w:hAnsi="Arial" w:cs="Arial"/>
          <w:color w:val="000000" w:themeColor="text1"/>
          <w:sz w:val="24"/>
          <w14:textFill>
            <w14:solidFill>
              <w14:schemeClr w14:val="tx1"/>
            </w14:solidFill>
          </w14:textFill>
        </w:rPr>
        <w:t>的总报价（含增值税</w:t>
      </w:r>
      <w:r>
        <w:rPr>
          <w:rFonts w:hint="eastAsia" w:ascii="Arial" w:hAnsi="Arial" w:cs="Arial"/>
          <w:color w:val="000000" w:themeColor="text1"/>
          <w:sz w:val="24"/>
          <w:lang w:val="en-US" w:eastAsia="zh-CN"/>
          <w14:textFill>
            <w14:solidFill>
              <w14:schemeClr w14:val="tx1"/>
            </w14:solidFill>
          </w14:textFill>
        </w:rPr>
        <w:t>6%</w:t>
      </w:r>
      <w:r>
        <w:rPr>
          <w:rFonts w:hint="eastAsia" w:ascii="Arial" w:hAnsi="Arial" w:cs="Arial"/>
          <w:color w:val="000000" w:themeColor="text1"/>
          <w:sz w:val="24"/>
          <w14:textFill>
            <w14:solidFill>
              <w14:schemeClr w14:val="tx1"/>
            </w14:solidFill>
          </w14:textFill>
        </w:rPr>
        <w:t>），按照竞争性比选文件的要求，承担本次竞争性比选文件要求的设备及售后服务。</w:t>
      </w:r>
    </w:p>
    <w:p>
      <w:pPr>
        <w:tabs>
          <w:tab w:val="left" w:pos="540"/>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pPr>
        <w:tabs>
          <w:tab w:val="left" w:pos="540"/>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、报价人将按竞争性比选文件规定履行合同责任和义务。</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、报价人已详细审查全部竞争性比选文件，包括修改文件（如有的话）以及全部参考资料和相关附件。我们完全理解并同意放弃对这方面有不明及误解的权利。</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3、报价人同意提供采购人可能要求的与其竞争性比选响应文件有关的一切数据或资料。</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4、与本竞争性比选响应有关的一切正式往来通讯请寄：</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报价人法定代表人或授权代表人（签字）：</w:t>
      </w:r>
      <w:r>
        <w:rPr>
          <w:rFonts w:ascii="Arial" w:hAnsi="Arial" w:cs="Arial"/>
          <w:b/>
          <w:color w:val="000000" w:themeColor="text1"/>
          <w:sz w:val="24"/>
          <w:u w:val="single"/>
          <w14:textFill>
            <w14:solidFill>
              <w14:schemeClr w14:val="tx1"/>
            </w14:solidFill>
          </w14:textFill>
        </w:rPr>
        <w:t xml:space="preserve">               </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报价人法定代表人或授权代表人职务：</w:t>
      </w:r>
      <w:r>
        <w:rPr>
          <w:rFonts w:ascii="Arial" w:hAnsi="Arial" w:cs="Arial"/>
          <w:b/>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报价人名称（加盖公章）：</w:t>
      </w:r>
      <w:r>
        <w:rPr>
          <w:rFonts w:ascii="Arial" w:hAnsi="Arial" w:cs="Arial"/>
          <w:b/>
          <w:color w:val="000000" w:themeColor="text1"/>
          <w:sz w:val="24"/>
          <w14:textFill>
            <w14:solidFill>
              <w14:schemeClr w14:val="tx1"/>
            </w14:solidFill>
          </w14:textFill>
        </w:rPr>
        <w:t xml:space="preserve">  </w:t>
      </w:r>
      <w:r>
        <w:rPr>
          <w:rFonts w:ascii="Arial" w:hAnsi="Arial" w:cs="Arial"/>
          <w:b/>
          <w:color w:val="000000" w:themeColor="text1"/>
          <w:sz w:val="24"/>
          <w:u w:val="single"/>
          <w14:textFill>
            <w14:solidFill>
              <w14:schemeClr w14:val="tx1"/>
            </w14:solidFill>
          </w14:textFill>
        </w:rPr>
        <w:t xml:space="preserve"> </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p>
    <w:p>
      <w:pPr>
        <w:tabs>
          <w:tab w:val="left" w:pos="900"/>
        </w:tabs>
        <w:spacing w:line="300" w:lineRule="auto"/>
        <w:rPr>
          <w:rFonts w:ascii="Arial" w:hAnsi="Arial" w:cs="Arial"/>
          <w:color w:val="000000" w:themeColor="text1"/>
          <w:sz w:val="24"/>
          <w14:textFill>
            <w14:solidFill>
              <w14:schemeClr w14:val="tx1"/>
            </w14:solidFill>
          </w14:textFill>
        </w:rPr>
      </w:pPr>
    </w:p>
    <w:p>
      <w:pPr>
        <w:pStyle w:val="10"/>
        <w:snapToGrid w:val="0"/>
        <w:jc w:val="left"/>
        <w:rPr>
          <w:rFonts w:ascii="宋体" w:hAnsi="宋体"/>
          <w:color w:val="000000" w:themeColor="text1"/>
          <w14:textFill>
            <w14:solidFill>
              <w14:schemeClr w14:val="tx1"/>
            </w14:solidFill>
          </w14:textFill>
        </w:rPr>
      </w:pPr>
      <w:bookmarkStart w:id="69" w:name="_Toc491883232"/>
    </w:p>
    <w:p>
      <w:pPr>
        <w:pStyle w:val="1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bCs w:val="0"/>
          <w:color w:val="000000" w:themeColor="text1"/>
          <w14:textFill>
            <w14:solidFill>
              <w14:schemeClr w14:val="tx1"/>
            </w14:solidFill>
          </w14:textFill>
        </w:rPr>
        <w:t>二</w:t>
      </w:r>
      <w:r>
        <w:rPr>
          <w:rFonts w:ascii="宋体" w:hAnsi="宋体"/>
          <w:bCs w:val="0"/>
          <w:color w:val="000000" w:themeColor="text1"/>
          <w14:textFill>
            <w14:solidFill>
              <w14:schemeClr w14:val="tx1"/>
            </w14:solidFill>
          </w14:textFill>
        </w:rPr>
        <w:t>、</w:t>
      </w:r>
      <w:r>
        <w:rPr>
          <w:rFonts w:hint="eastAsia" w:ascii="宋体" w:hAnsi="宋体"/>
          <w:bCs w:val="0"/>
          <w:color w:val="000000" w:themeColor="text1"/>
          <w14:textFill>
            <w14:solidFill>
              <w14:schemeClr w14:val="tx1"/>
            </w14:solidFill>
          </w14:textFill>
        </w:rPr>
        <w:t>法定代表人身份证明和法定代表人授权委托书</w:t>
      </w:r>
    </w:p>
    <w:p>
      <w:pPr>
        <w:pStyle w:val="4"/>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w:t>
      </w:r>
      <w:r>
        <w:rPr>
          <w:rFonts w:ascii="宋体" w:hAnsi="宋体"/>
          <w:color w:val="000000" w:themeColor="text1"/>
          <w:sz w:val="28"/>
          <w:szCs w:val="28"/>
          <w14:textFill>
            <w14:solidFill>
              <w14:schemeClr w14:val="tx1"/>
            </w14:solidFill>
          </w14:textFill>
        </w:rPr>
        <w:t>法定代表人身份证明</w:t>
      </w:r>
      <w:bookmarkEnd w:id="69"/>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报价人名称：</w:t>
      </w:r>
      <w:r>
        <w:rPr>
          <w:rFonts w:ascii="宋体" w:hAnsi="宋体"/>
          <w:color w:val="000000" w:themeColor="text1"/>
          <w:sz w:val="24"/>
          <w:u w:val="single"/>
          <w14:textFill>
            <w14:solidFill>
              <w14:schemeClr w14:val="tx1"/>
            </w14:solidFill>
          </w14:textFill>
        </w:rPr>
        <w:t xml:space="preserve">                        </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姓名：</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性别：</w:t>
      </w:r>
      <w:bookmarkStart w:id="70" w:name="_Toc369531698"/>
      <w:bookmarkStart w:id="71" w:name="_Toc27897"/>
      <w:bookmarkStart w:id="72" w:name="_Toc352691662"/>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年</w:t>
      </w:r>
      <w:bookmarkEnd w:id="70"/>
      <w:bookmarkEnd w:id="71"/>
      <w:bookmarkEnd w:id="72"/>
      <w:r>
        <w:rPr>
          <w:rFonts w:ascii="宋体" w:hAnsi="宋体"/>
          <w:color w:val="000000" w:themeColor="text1"/>
          <w:sz w:val="24"/>
          <w14:textFill>
            <w14:solidFill>
              <w14:schemeClr w14:val="tx1"/>
            </w14:solidFill>
          </w14:textFill>
        </w:rPr>
        <w:t>龄</w:t>
      </w:r>
      <w:bookmarkStart w:id="73" w:name="_Toc352691663"/>
      <w:bookmarkStart w:id="74" w:name="_Toc152045789"/>
      <w:bookmarkStart w:id="75" w:name="_Toc384308377"/>
      <w:bookmarkStart w:id="76" w:name="_Toc144974858"/>
      <w:bookmarkStart w:id="77" w:name="_Toc369531699"/>
      <w:bookmarkStart w:id="78" w:name="_Toc247527829"/>
      <w:bookmarkStart w:id="79" w:name="_Toc152042578"/>
      <w:bookmarkStart w:id="80" w:name="_Toc300835211"/>
      <w:bookmarkStart w:id="81" w:name="_Toc15573"/>
      <w:bookmarkStart w:id="82" w:name="_Toc247514248"/>
      <w:bookmarkStart w:id="83" w:name="_Toc361508754"/>
      <w:r>
        <w:rPr>
          <w:rFonts w:ascii="宋体" w:hAnsi="宋体"/>
          <w:color w:val="000000" w:themeColor="text1"/>
          <w:sz w:val="24"/>
          <w14:textFill>
            <w14:solidFill>
              <w14:schemeClr w14:val="tx1"/>
            </w14:solidFill>
          </w14:textFill>
        </w:rPr>
        <w:t>：</w:t>
      </w:r>
      <w:bookmarkEnd w:id="73"/>
      <w:bookmarkEnd w:id="74"/>
      <w:bookmarkEnd w:id="75"/>
      <w:bookmarkEnd w:id="76"/>
      <w:bookmarkEnd w:id="77"/>
      <w:bookmarkEnd w:id="78"/>
      <w:bookmarkEnd w:id="79"/>
      <w:bookmarkEnd w:id="80"/>
      <w:bookmarkEnd w:id="81"/>
      <w:bookmarkEnd w:id="82"/>
      <w:bookmarkEnd w:id="83"/>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职务：</w:t>
      </w:r>
      <w:r>
        <w:rPr>
          <w:rFonts w:ascii="宋体" w:hAnsi="宋体"/>
          <w:color w:val="000000" w:themeColor="text1"/>
          <w:sz w:val="24"/>
          <w:u w:val="single"/>
          <w14:textFill>
            <w14:solidFill>
              <w14:schemeClr w14:val="tx1"/>
            </w14:solidFill>
          </w14:textFill>
        </w:rPr>
        <w:t xml:space="preserve">        </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系</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（报价人名称）的法定代表人。</w:t>
      </w:r>
    </w:p>
    <w:p>
      <w:pPr>
        <w:spacing w:line="440" w:lineRule="exact"/>
        <w:ind w:firstLine="486"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特此证明。</w:t>
      </w: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附：法定代表人身份证复印件。</w:t>
      </w: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报价人：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盖</w:t>
      </w:r>
      <w:r>
        <w:rPr>
          <w:rFonts w:ascii="宋体" w:hAnsi="宋体"/>
          <w:color w:val="000000" w:themeColor="text1"/>
          <w:sz w:val="24"/>
          <w14:textFill>
            <w14:solidFill>
              <w14:schemeClr w14:val="tx1"/>
            </w14:solidFill>
          </w14:textFill>
        </w:rPr>
        <w:t>单位</w:t>
      </w:r>
      <w:r>
        <w:rPr>
          <w:rFonts w:hint="eastAsia" w:ascii="宋体" w:hAnsi="宋体"/>
          <w:color w:val="000000" w:themeColor="text1"/>
          <w:sz w:val="24"/>
          <w14:textFill>
            <w14:solidFill>
              <w14:schemeClr w14:val="tx1"/>
            </w14:solidFill>
          </w14:textFill>
        </w:rPr>
        <w:t>鲜</w:t>
      </w:r>
      <w:r>
        <w:rPr>
          <w:rFonts w:ascii="宋体" w:hAnsi="宋体"/>
          <w:color w:val="000000" w:themeColor="text1"/>
          <w:sz w:val="24"/>
          <w14:textFill>
            <w14:solidFill>
              <w14:schemeClr w14:val="tx1"/>
            </w14:solidFill>
          </w14:textFill>
        </w:rPr>
        <w:t>公章）</w:t>
      </w:r>
    </w:p>
    <w:p>
      <w:pPr>
        <w:spacing w:line="440" w:lineRule="exact"/>
        <w:rPr>
          <w:rFonts w:ascii="宋体" w:hAnsi="宋体"/>
          <w:color w:val="000000" w:themeColor="text1"/>
          <w:sz w:val="24"/>
          <w14:textFill>
            <w14:solidFill>
              <w14:schemeClr w14:val="tx1"/>
            </w14:solidFill>
          </w14:textFill>
        </w:rPr>
      </w:pPr>
    </w:p>
    <w:p>
      <w:pPr>
        <w:spacing w:line="440" w:lineRule="exact"/>
        <w:ind w:firstLine="5346" w:firstLineChars="2200"/>
        <w:rPr>
          <w:rFonts w:ascii="宋体" w:hAnsi="宋体"/>
          <w:color w:val="000000" w:themeColor="text1"/>
          <w:sz w:val="24"/>
          <w14:textFill>
            <w14:solidFill>
              <w14:schemeClr w14:val="tx1"/>
            </w14:solidFill>
          </w14:textFill>
        </w:rPr>
      </w:pP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日</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注：本身份证明需由报价人加盖单位</w:t>
      </w:r>
      <w:r>
        <w:rPr>
          <w:rFonts w:hint="eastAsia" w:ascii="宋体" w:hAnsi="宋体"/>
          <w:color w:val="000000" w:themeColor="text1"/>
          <w:sz w:val="24"/>
          <w14:textFill>
            <w14:solidFill>
              <w14:schemeClr w14:val="tx1"/>
            </w14:solidFill>
          </w14:textFill>
        </w:rPr>
        <w:t>鲜</w:t>
      </w:r>
      <w:r>
        <w:rPr>
          <w:rFonts w:ascii="宋体" w:hAnsi="宋体"/>
          <w:color w:val="000000" w:themeColor="text1"/>
          <w:sz w:val="24"/>
          <w14:textFill>
            <w14:solidFill>
              <w14:schemeClr w14:val="tx1"/>
            </w14:solidFill>
          </w14:textFill>
        </w:rPr>
        <w:t>公章。</w:t>
      </w:r>
    </w:p>
    <w:p>
      <w:pPr>
        <w:spacing w:line="440" w:lineRule="exact"/>
        <w:rPr>
          <w:rFonts w:ascii="宋体" w:hAnsi="宋体"/>
          <w:color w:val="000000" w:themeColor="text1"/>
          <w:sz w:val="20"/>
          <w14:textFill>
            <w14:solidFill>
              <w14:schemeClr w14:val="tx1"/>
            </w14:solidFill>
          </w14:textFill>
        </w:rPr>
      </w:pPr>
    </w:p>
    <w:p>
      <w:pPr>
        <w:spacing w:line="20" w:lineRule="exact"/>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br w:type="page"/>
      </w:r>
    </w:p>
    <w:p>
      <w:pPr>
        <w:pStyle w:val="4"/>
        <w:jc w:val="center"/>
        <w:rPr>
          <w:rFonts w:ascii="宋体" w:hAnsi="宋体"/>
          <w:color w:val="000000" w:themeColor="text1"/>
          <w:sz w:val="28"/>
          <w:szCs w:val="28"/>
          <w14:textFill>
            <w14:solidFill>
              <w14:schemeClr w14:val="tx1"/>
            </w14:solidFill>
          </w14:textFill>
        </w:rPr>
      </w:pPr>
      <w:bookmarkStart w:id="84" w:name="_Toc491883233"/>
      <w:r>
        <w:rPr>
          <w:rFonts w:hint="eastAsia" w:ascii="宋体" w:hAnsi="宋体"/>
          <w:color w:val="000000" w:themeColor="text1"/>
          <w:sz w:val="28"/>
          <w:szCs w:val="28"/>
          <w14:textFill>
            <w14:solidFill>
              <w14:schemeClr w14:val="tx1"/>
            </w14:solidFill>
          </w14:textFill>
        </w:rPr>
        <w:t>（二）</w:t>
      </w:r>
      <w:bookmarkEnd w:id="84"/>
      <w:r>
        <w:rPr>
          <w:rFonts w:hint="eastAsia" w:ascii="宋体" w:hAnsi="宋体"/>
          <w:color w:val="000000" w:themeColor="text1"/>
          <w:sz w:val="28"/>
          <w:szCs w:val="28"/>
          <w14:textFill>
            <w14:solidFill>
              <w14:schemeClr w14:val="tx1"/>
            </w14:solidFill>
          </w14:textFill>
        </w:rPr>
        <w:t>法定代表人授权委托书</w:t>
      </w:r>
    </w:p>
    <w:p>
      <w:pPr>
        <w:spacing w:line="440" w:lineRule="exact"/>
        <w:rPr>
          <w:rFonts w:ascii="宋体" w:hAnsi="宋体"/>
          <w:color w:val="000000" w:themeColor="text1"/>
          <w14:textFill>
            <w14:solidFill>
              <w14:schemeClr w14:val="tx1"/>
            </w14:solidFill>
          </w14:textFill>
        </w:rPr>
      </w:pPr>
    </w:p>
    <w:p>
      <w:pPr>
        <w:topLinePunct/>
        <w:spacing w:line="440" w:lineRule="exact"/>
        <w:ind w:firstLine="486"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（姓名）系</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（报价人名称）的法定代表人，现委托</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（姓名）为我方代理人。代理人根据授权，以我方名义签署、澄清确认、递交、撤回、修改</w:t>
      </w:r>
      <w:r>
        <w:rPr>
          <w:rFonts w:hint="eastAsia" w:ascii="宋体" w:hAnsi="宋体"/>
          <w:color w:val="000000" w:themeColor="text1"/>
          <w:sz w:val="24"/>
          <w:u w:val="single"/>
          <w14:textFill>
            <w14:solidFill>
              <w14:schemeClr w14:val="tx1"/>
            </w14:solidFill>
          </w14:textFill>
        </w:rPr>
        <w:t>重庆首讯科技股份有限公司绩效薪酬设计服务项目</w:t>
      </w:r>
      <w:r>
        <w:rPr>
          <w:rFonts w:ascii="宋体" w:hAnsi="宋体"/>
          <w:color w:val="000000" w:themeColor="text1"/>
          <w:sz w:val="24"/>
          <w14:textFill>
            <w14:solidFill>
              <w14:schemeClr w14:val="tx1"/>
            </w14:solidFill>
          </w14:textFill>
        </w:rPr>
        <w:t>竞争性比选响应文件、签订合同和处理有关事宜，其法律后果由我方承担。</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委托期限：</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pPr>
        <w:spacing w:line="440" w:lineRule="exact"/>
        <w:ind w:firstLine="486"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代理人无转委托权。</w:t>
      </w:r>
    </w:p>
    <w:p>
      <w:pPr>
        <w:spacing w:line="440" w:lineRule="exact"/>
        <w:ind w:firstLine="486" w:firstLineChars="200"/>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附：法定代表人身份证复印件及委托代理人身份证复印件</w:t>
      </w:r>
    </w:p>
    <w:p>
      <w:pPr>
        <w:spacing w:line="440" w:lineRule="exact"/>
        <w:rPr>
          <w:rFonts w:ascii="宋体" w:hAnsi="宋体"/>
          <w:color w:val="000000" w:themeColor="text1"/>
          <w:sz w:val="24"/>
          <w14:textFill>
            <w14:solidFill>
              <w14:schemeClr w14:val="tx1"/>
            </w14:solidFill>
          </w14:textFill>
        </w:rPr>
      </w:pPr>
    </w:p>
    <w:p>
      <w:pPr>
        <w:pStyle w:val="2"/>
      </w:pPr>
    </w:p>
    <w:p>
      <w:pPr>
        <w:spacing w:line="440" w:lineRule="exact"/>
        <w:ind w:firstLine="3114" w:firstLineChars="12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  价</w:t>
      </w:r>
      <w:r>
        <w:rPr>
          <w:rFonts w:ascii="宋体" w:hAnsi="宋体"/>
          <w:color w:val="000000" w:themeColor="text1"/>
          <w:sz w:val="24"/>
          <w14:textFill>
            <w14:solidFill>
              <w14:schemeClr w14:val="tx1"/>
            </w14:solidFill>
          </w14:textFill>
        </w:rPr>
        <w:t xml:space="preserve">  人：</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盖</w:t>
      </w:r>
      <w:r>
        <w:rPr>
          <w:rFonts w:ascii="宋体" w:hAnsi="宋体"/>
          <w:color w:val="000000" w:themeColor="text1"/>
          <w:sz w:val="24"/>
          <w14:textFill>
            <w14:solidFill>
              <w14:schemeClr w14:val="tx1"/>
            </w14:solidFill>
          </w14:textFill>
        </w:rPr>
        <w:t>单位</w:t>
      </w:r>
      <w:r>
        <w:rPr>
          <w:rFonts w:hint="eastAsia" w:ascii="宋体" w:hAnsi="宋体"/>
          <w:color w:val="000000" w:themeColor="text1"/>
          <w:sz w:val="24"/>
          <w14:textFill>
            <w14:solidFill>
              <w14:schemeClr w14:val="tx1"/>
            </w14:solidFill>
          </w14:textFill>
        </w:rPr>
        <w:t>鲜</w:t>
      </w:r>
      <w:r>
        <w:rPr>
          <w:rFonts w:ascii="宋体" w:hAnsi="宋体"/>
          <w:color w:val="000000" w:themeColor="text1"/>
          <w:sz w:val="24"/>
          <w14:textFill>
            <w14:solidFill>
              <w14:schemeClr w14:val="tx1"/>
            </w14:solidFill>
          </w14:textFill>
        </w:rPr>
        <w:t>公章）</w:t>
      </w:r>
    </w:p>
    <w:p>
      <w:pPr>
        <w:spacing w:line="440" w:lineRule="exact"/>
        <w:ind w:firstLine="3112" w:firstLineChars="1281"/>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法定代表人：</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14:textFill>
            <w14:solidFill>
              <w14:schemeClr w14:val="tx1"/>
            </w14:solidFill>
          </w14:textFill>
        </w:rPr>
        <w:t>（签字</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pPr>
        <w:spacing w:line="440" w:lineRule="exact"/>
        <w:ind w:firstLine="3114" w:firstLineChars="1282"/>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身份证号码：</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p>
    <w:p>
      <w:pPr>
        <w:spacing w:line="440" w:lineRule="exact"/>
        <w:ind w:firstLine="3114" w:firstLineChars="1282"/>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委托代理人：</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（签字）</w:t>
      </w:r>
    </w:p>
    <w:p>
      <w:pPr>
        <w:spacing w:line="440" w:lineRule="exact"/>
        <w:ind w:firstLine="3114" w:firstLineChars="1282"/>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身份证号码：</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p>
    <w:p>
      <w:pPr>
        <w:spacing w:line="440" w:lineRule="exact"/>
        <w:ind w:firstLine="3114" w:firstLineChars="1282"/>
        <w:rPr>
          <w:rFonts w:ascii="宋体" w:hAnsi="宋体"/>
          <w:color w:val="000000" w:themeColor="text1"/>
          <w:sz w:val="24"/>
          <w14:textFill>
            <w14:solidFill>
              <w14:schemeClr w14:val="tx1"/>
            </w14:solidFill>
          </w14:textFill>
        </w:rPr>
      </w:pPr>
    </w:p>
    <w:p>
      <w:pPr>
        <w:spacing w:line="440" w:lineRule="exact"/>
        <w:ind w:firstLine="4693" w:firstLineChars="1932"/>
        <w:jc w:val="right"/>
        <w:rPr>
          <w:rFonts w:ascii="宋体" w:hAnsi="宋体"/>
          <w:color w:val="000000" w:themeColor="text1"/>
          <w:sz w:val="24"/>
          <w14:textFill>
            <w14:solidFill>
              <w14:schemeClr w14:val="tx1"/>
            </w14:solidFill>
          </w14:textFill>
        </w:rPr>
      </w:pP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日</w:t>
      </w:r>
    </w:p>
    <w:p>
      <w:pPr>
        <w:rPr>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注：本授权委托书需由报价人加盖单位</w:t>
      </w:r>
      <w:r>
        <w:rPr>
          <w:rFonts w:hint="eastAsia" w:ascii="宋体" w:hAnsi="宋体"/>
          <w:bCs/>
          <w:color w:val="000000" w:themeColor="text1"/>
          <w:sz w:val="24"/>
          <w14:textFill>
            <w14:solidFill>
              <w14:schemeClr w14:val="tx1"/>
            </w14:solidFill>
          </w14:textFill>
        </w:rPr>
        <w:t>鲜</w:t>
      </w:r>
      <w:r>
        <w:rPr>
          <w:rFonts w:ascii="宋体" w:hAnsi="宋体"/>
          <w:bCs/>
          <w:color w:val="000000" w:themeColor="text1"/>
          <w:sz w:val="24"/>
          <w14:textFill>
            <w14:solidFill>
              <w14:schemeClr w14:val="tx1"/>
            </w14:solidFill>
          </w14:textFill>
        </w:rPr>
        <w:t>公章并由其法定代表人和委托代理人签字。</w:t>
      </w:r>
    </w:p>
    <w:p>
      <w:pPr>
        <w:pStyle w:val="16"/>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color w:val="000000" w:themeColor="text1"/>
          <w14:textFill>
            <w14:solidFill>
              <w14:schemeClr w14:val="tx1"/>
            </w14:solidFill>
          </w14:textFill>
        </w:rPr>
        <w:t>三、报价一览表</w:t>
      </w:r>
    </w:p>
    <w:p>
      <w:pPr>
        <w:pStyle w:val="15"/>
        <w:ind w:firstLine="486" w:firstLineChars="20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重庆首讯科技股份有限公司：</w:t>
      </w:r>
    </w:p>
    <w:p>
      <w:pPr>
        <w:spacing w:line="360" w:lineRule="auto"/>
        <w:ind w:firstLine="486"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在研究了竞争性比选文件中所有文件后，我司对</w:t>
      </w:r>
      <w:r>
        <w:rPr>
          <w:rFonts w:hint="eastAsia" w:ascii="宋体" w:hAnsi="宋体"/>
          <w:color w:val="000000" w:themeColor="text1"/>
          <w:sz w:val="24"/>
          <w:u w:val="single"/>
          <w14:textFill>
            <w14:solidFill>
              <w14:schemeClr w14:val="tx1"/>
            </w14:solidFill>
          </w14:textFill>
        </w:rPr>
        <w:t>重庆首讯科技股份有限公司绩效薪酬设计服务项目</w:t>
      </w:r>
      <w:r>
        <w:rPr>
          <w:rFonts w:hint="eastAsia" w:ascii="宋体" w:hAnsi="宋体"/>
          <w:color w:val="000000" w:themeColor="text1"/>
          <w:sz w:val="24"/>
          <w14:textFill>
            <w14:solidFill>
              <w14:schemeClr w14:val="tx1"/>
            </w14:solidFill>
          </w14:textFill>
        </w:rPr>
        <w:t>竞争性比选响应报价如下：</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报价一览表</w:t>
      </w:r>
    </w:p>
    <w:tbl>
      <w:tblPr>
        <w:tblStyle w:val="20"/>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465"/>
        <w:gridCol w:w="1539"/>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序号</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项目名称</w:t>
            </w:r>
            <w:bookmarkStart w:id="86" w:name="_GoBack"/>
            <w:bookmarkEnd w:id="86"/>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报价（元）</w:t>
            </w:r>
          </w:p>
        </w:tc>
        <w:tc>
          <w:tcPr>
            <w:tcW w:w="378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1</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imes New Roman" w:hAnsi="Times New Roman" w:cs="Times New Roman"/>
                <w:b w:val="0"/>
                <w:bCs w:val="0"/>
                <w:color w:val="000000" w:themeColor="text1"/>
                <w:kern w:val="2"/>
                <w:sz w:val="24"/>
                <w:szCs w:val="28"/>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4"/>
                <w:szCs w:val="28"/>
                <w:lang w:val="en-US" w:eastAsia="zh-CN" w:bidi="ar-SA"/>
                <w14:textFill>
                  <w14:solidFill>
                    <w14:schemeClr w14:val="tx1"/>
                  </w14:solidFill>
                </w14:textFill>
              </w:rPr>
              <w:t>重庆首讯科技股份有限公司绩效薪酬设计服务项目</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p>
        </w:tc>
        <w:tc>
          <w:tcPr>
            <w:tcW w:w="378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4"/>
                <w:szCs w:val="28"/>
                <w:lang w:val="en-US" w:eastAsia="zh-CN" w:bidi="ar-SA"/>
                <w14:textFill>
                  <w14:solidFill>
                    <w14:schemeClr w14:val="tx1"/>
                  </w14:solidFill>
                </w14:textFill>
              </w:rPr>
              <w:t>通过对我司现行人力及薪酬方面的制度进行解读以及对公司运行情况等进行调研、分析，制定出符合我司现行发展需求的绩效薪酬制度</w:t>
            </w:r>
            <w:r>
              <w:rPr>
                <w:rFonts w:hint="eastAsia" w:asciiTheme="minorEastAsia" w:hAnsiTheme="minorEastAsia" w:eastAsiaTheme="minorEastAsia" w:cstheme="minorEastAsia"/>
                <w:kern w:val="2"/>
                <w:sz w:val="24"/>
                <w:szCs w:val="28"/>
                <w:highlight w:val="none"/>
                <w:lang w:val="en-US" w:eastAsia="zh-CN" w:bidi="ar-SA"/>
              </w:rPr>
              <w:t>，详见第二章报价人须知1.服务内容。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t>2</w:t>
            </w:r>
          </w:p>
        </w:tc>
        <w:tc>
          <w:tcPr>
            <w:tcW w:w="346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4"/>
                <w:szCs w:val="28"/>
                <w:highlight w:val="none"/>
                <w:lang w:val="en-US" w:eastAsia="zh-CN"/>
              </w:rPr>
            </w:pPr>
            <w:r>
              <w:rPr>
                <w:rFonts w:hint="eastAsia" w:asciiTheme="minorEastAsia" w:hAnsiTheme="minorEastAsia" w:eastAsiaTheme="minorEastAsia" w:cstheme="minorEastAsia"/>
                <w:sz w:val="24"/>
                <w:szCs w:val="28"/>
                <w:highlight w:val="none"/>
                <w:lang w:val="en-US" w:eastAsia="zh-CN"/>
              </w:rPr>
              <w:t>合计（元）</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p>
        </w:tc>
        <w:tc>
          <w:tcPr>
            <w:tcW w:w="378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24"/>
                <w:highlight w:val="none"/>
                <w:vertAlign w:val="baseline"/>
                <w:lang w:val="en-US" w:eastAsia="zh-CN"/>
                <w14:textFill>
                  <w14:solidFill>
                    <w14:schemeClr w14:val="tx1"/>
                  </w14:solidFill>
                </w14:textFill>
              </w:rPr>
            </w:pPr>
          </w:p>
        </w:tc>
      </w:tr>
    </w:tbl>
    <w:p>
      <w:pPr>
        <w:pStyle w:val="2"/>
        <w:rPr>
          <w:rFonts w:hint="eastAsia"/>
          <w:lang w:val="en-US" w:eastAsia="zh-CN"/>
        </w:rPr>
      </w:pPr>
    </w:p>
    <w:p>
      <w:pPr>
        <w:pStyle w:val="9"/>
        <w:rPr>
          <w:rFonts w:hint="eastAsia" w:ascii="宋体" w:hAnsi="宋体"/>
          <w:color w:val="000000" w:themeColor="text1"/>
          <w:sz w:val="24"/>
          <w14:textFill>
            <w14:solidFill>
              <w14:schemeClr w14:val="tx1"/>
            </w14:solidFill>
          </w14:textFill>
        </w:rPr>
      </w:pPr>
    </w:p>
    <w:p/>
    <w:p>
      <w:pPr>
        <w:spacing w:line="360" w:lineRule="auto"/>
        <w:ind w:firstLine="486" w:firstLineChars="200"/>
        <w:jc w:val="left"/>
        <w:rPr>
          <w:rFonts w:ascii="宋体" w:hAnsi="宋体"/>
          <w:color w:val="000000" w:themeColor="text1"/>
          <w:sz w:val="24"/>
          <w14:textFill>
            <w14:solidFill>
              <w14:schemeClr w14:val="tx1"/>
            </w14:solidFill>
          </w14:textFill>
        </w:rPr>
      </w:pP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p>
    <w:p>
      <w:pPr>
        <w:tabs>
          <w:tab w:val="left" w:pos="900"/>
        </w:tabs>
        <w:spacing w:line="360" w:lineRule="auto"/>
        <w:ind w:firstLine="486" w:firstLineChars="200"/>
        <w:rPr>
          <w:rFonts w:ascii="Arial" w:hAnsi="Arial" w:cs="Arial"/>
          <w:color w:val="000000" w:themeColor="text1"/>
          <w:sz w:val="24"/>
          <w:u w:val="single"/>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报价人名称（加盖公章）：</w:t>
      </w:r>
      <w:r>
        <w:rPr>
          <w:rFonts w:ascii="Arial" w:hAnsi="Arial" w:cs="Arial"/>
          <w:b/>
          <w:color w:val="000000" w:themeColor="text1"/>
          <w:sz w:val="24"/>
          <w:u w:val="single"/>
          <w14:textFill>
            <w14:solidFill>
              <w14:schemeClr w14:val="tx1"/>
            </w14:solidFill>
          </w14:textFill>
        </w:rPr>
        <w:t xml:space="preserve"> </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6"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报价人法定代表人或授权代表人（签字）：</w:t>
      </w:r>
      <w:r>
        <w:rPr>
          <w:rFonts w:ascii="Arial" w:hAnsi="Arial" w:cs="Arial"/>
          <w:b/>
          <w:color w:val="000000" w:themeColor="text1"/>
          <w:sz w:val="24"/>
          <w:u w:val="single"/>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pStyle w:val="16"/>
        <w:rPr>
          <w:b w:val="0"/>
          <w:color w:val="000000" w:themeColor="text1"/>
          <w:sz w:val="24"/>
          <w14:textFill>
            <w14:solidFill>
              <w14:schemeClr w14:val="tx1"/>
            </w14:solidFill>
          </w14:textFill>
        </w:rPr>
      </w:pPr>
      <w:r>
        <w:rPr>
          <w:b w:val="0"/>
          <w:color w:val="000000" w:themeColor="text1"/>
          <w:sz w:val="24"/>
          <w14:textFill>
            <w14:solidFill>
              <w14:schemeClr w14:val="tx1"/>
            </w14:solidFill>
          </w14:textFill>
        </w:rPr>
        <w:br w:type="page"/>
      </w:r>
    </w:p>
    <w:p>
      <w:pPr>
        <w:widowControl/>
        <w:jc w:val="center"/>
        <w:rPr>
          <w:rFonts w:hint="eastAsia" w:ascii="Cambria" w:hAnsi="Cambria" w:eastAsia="宋体" w:cs="Times New Roman"/>
          <w:b/>
          <w:bCs/>
          <w:color w:val="000000" w:themeColor="text1"/>
          <w:kern w:val="2"/>
          <w:sz w:val="32"/>
          <w:szCs w:val="32"/>
          <w:lang w:val="en-US" w:eastAsia="zh-CN" w:bidi="ar-SA"/>
          <w14:textFill>
            <w14:solidFill>
              <w14:schemeClr w14:val="tx1"/>
            </w14:solidFill>
          </w14:textFill>
        </w:rPr>
      </w:pPr>
      <w:r>
        <w:rPr>
          <w:rFonts w:hint="eastAsia" w:ascii="Cambria" w:hAnsi="Cambria" w:eastAsia="宋体" w:cs="Times New Roman"/>
          <w:b/>
          <w:bCs/>
          <w:color w:val="000000" w:themeColor="text1"/>
          <w:kern w:val="2"/>
          <w:sz w:val="32"/>
          <w:szCs w:val="32"/>
          <w:lang w:val="en-US" w:eastAsia="zh-CN" w:bidi="ar-SA"/>
          <w14:textFill>
            <w14:solidFill>
              <w14:schemeClr w14:val="tx1"/>
            </w14:solidFill>
          </w14:textFill>
        </w:rPr>
        <w:t>四、资格要求材料</w:t>
      </w:r>
    </w:p>
    <w:p>
      <w:pPr>
        <w:spacing w:line="360" w:lineRule="auto"/>
        <w:rPr>
          <w:rFonts w:hint="eastAsia" w:ascii="宋体" w:hAnsi="宋体" w:eastAsia="宋体" w:cs="宋体"/>
          <w:color w:val="000000" w:themeColor="text1"/>
          <w:sz w:val="24"/>
          <w:szCs w:val="28"/>
          <w:lang w:val="en-US"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8"/>
          <w:lang w:eastAsia="zh-CN"/>
          <w14:textFill>
            <w14:solidFill>
              <w14:schemeClr w14:val="tx1"/>
            </w14:solidFill>
          </w14:textFill>
        </w:rPr>
      </w:pPr>
      <w:r>
        <w:rPr>
          <w:rFonts w:hint="eastAsia" w:ascii="宋体" w:hAnsi="宋体" w:cs="宋体"/>
          <w:b/>
          <w:bCs/>
          <w:color w:val="000000" w:themeColor="text1"/>
          <w:sz w:val="24"/>
          <w:szCs w:val="28"/>
          <w:lang w:eastAsia="zh-CN"/>
          <w14:textFill>
            <w14:solidFill>
              <w14:schemeClr w14:val="tx1"/>
            </w14:solidFill>
          </w14:textFill>
        </w:rPr>
        <w:t>（</w:t>
      </w:r>
      <w:r>
        <w:rPr>
          <w:rFonts w:hint="eastAsia" w:ascii="宋体" w:hAnsi="宋体" w:cs="宋体"/>
          <w:b/>
          <w:bCs/>
          <w:color w:val="000000" w:themeColor="text1"/>
          <w:sz w:val="24"/>
          <w:szCs w:val="28"/>
          <w:lang w:val="en-US" w:eastAsia="zh-CN"/>
          <w14:textFill>
            <w14:solidFill>
              <w14:schemeClr w14:val="tx1"/>
            </w14:solidFill>
          </w14:textFill>
        </w:rPr>
        <w:t>一）资格条件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6"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（1）报价人应为中国大陆境内合法注册的独立企业法人或事业法人，具备有效的营业执照或事业单位法人证书；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6"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（2）信誉良好：在国家企业信用信息公示系统（http://www.gsxt.gov.cn/）中未被列入严重违法失信企业名单（黑名单）信息；在“信用中国”网站（http://www.creditchina.gov.cn/）中未被列入失信惩戒执行人名单。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6"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（3）2019年1月1日至投标截止日具有至少1项类似人力资源服务类项目业绩。</w:t>
      </w:r>
    </w:p>
    <w:p>
      <w:pPr>
        <w:pStyle w:val="2"/>
        <w:rPr>
          <w:rFonts w:hint="eastAsia"/>
          <w:lang w:val="en-US" w:eastAsia="zh-CN"/>
        </w:rPr>
      </w:pPr>
    </w:p>
    <w:p>
      <w:pPr>
        <w:spacing w:line="360" w:lineRule="auto"/>
        <w:ind w:firstLine="486" w:firstLineChars="200"/>
        <w:rPr>
          <w:rFonts w:hint="eastAsia" w:ascii="宋体" w:hAnsi="宋体" w:cs="宋体"/>
          <w:b/>
          <w:bCs/>
          <w:color w:val="000000" w:themeColor="text1"/>
          <w:sz w:val="24"/>
          <w:szCs w:val="28"/>
          <w:lang w:val="en-US" w:eastAsia="zh-CN"/>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注：</w:t>
      </w:r>
      <w:r>
        <w:rPr>
          <w:rFonts w:hint="eastAsia" w:asciiTheme="minorEastAsia" w:hAnsiTheme="minorEastAsia" w:eastAsiaTheme="minorEastAsia" w:cstheme="minorEastAsia"/>
          <w:b/>
          <w:bCs/>
          <w:caps/>
          <w:kern w:val="2"/>
          <w:sz w:val="22"/>
          <w:szCs w:val="22"/>
          <w:lang w:val="en-US" w:eastAsia="zh-CN" w:bidi="ar-SA"/>
        </w:rPr>
        <w:t>须提供营业执照或事业单位法人证书，信誉网站查询结果截图，类似业绩合同扫描件，并加盖单位公章。</w:t>
      </w:r>
    </w:p>
    <w:p>
      <w:pPr>
        <w:pStyle w:val="5"/>
        <w:rPr>
          <w:rFonts w:hint="eastAsia" w:ascii="宋体" w:hAnsi="宋体" w:cs="宋体"/>
          <w:b/>
          <w:bCs/>
          <w:color w:val="000000" w:themeColor="text1"/>
          <w:sz w:val="24"/>
          <w:szCs w:val="28"/>
          <w:lang w:val="en-US" w:eastAsia="zh-CN"/>
          <w14:textFill>
            <w14:solidFill>
              <w14:schemeClr w14:val="tx1"/>
            </w14:solidFill>
          </w14:textFill>
        </w:rPr>
      </w:pPr>
    </w:p>
    <w:p>
      <w:pPr>
        <w:rPr>
          <w:rFonts w:hint="eastAsia" w:ascii="宋体" w:hAnsi="宋体" w:cs="宋体"/>
          <w:b/>
          <w:bCs/>
          <w:color w:val="000000" w:themeColor="text1"/>
          <w:sz w:val="24"/>
          <w:szCs w:val="28"/>
          <w:lang w:val="en-US" w:eastAsia="zh-CN"/>
          <w14:textFill>
            <w14:solidFill>
              <w14:schemeClr w14:val="tx1"/>
            </w14:solidFill>
          </w14:textFill>
        </w:rPr>
      </w:pPr>
    </w:p>
    <w:p>
      <w:pPr>
        <w:pStyle w:val="5"/>
        <w:rPr>
          <w:rFonts w:hint="eastAsia" w:ascii="宋体" w:hAnsi="宋体" w:cs="宋体"/>
          <w:b/>
          <w:bCs/>
          <w:color w:val="000000" w:themeColor="text1"/>
          <w:sz w:val="24"/>
          <w:szCs w:val="28"/>
          <w:lang w:val="en-US" w:eastAsia="zh-CN"/>
          <w14:textFill>
            <w14:solidFill>
              <w14:schemeClr w14:val="tx1"/>
            </w14:solidFill>
          </w14:textFill>
        </w:rPr>
      </w:pPr>
    </w:p>
    <w:p>
      <w:pPr>
        <w:rPr>
          <w:rFonts w:hint="eastAsia" w:ascii="宋体" w:hAnsi="宋体" w:cs="宋体"/>
          <w:b/>
          <w:bCs/>
          <w:color w:val="000000" w:themeColor="text1"/>
          <w:sz w:val="24"/>
          <w:szCs w:val="28"/>
          <w:lang w:val="en-US" w:eastAsia="zh-CN"/>
          <w14:textFill>
            <w14:solidFill>
              <w14:schemeClr w14:val="tx1"/>
            </w14:solidFill>
          </w14:textFill>
        </w:rPr>
      </w:pPr>
    </w:p>
    <w:p>
      <w:pPr>
        <w:pStyle w:val="5"/>
        <w:rPr>
          <w:rFonts w:hint="eastAsia" w:ascii="宋体" w:hAnsi="宋体" w:cs="宋体"/>
          <w:b/>
          <w:bCs/>
          <w:color w:val="000000" w:themeColor="text1"/>
          <w:sz w:val="24"/>
          <w:szCs w:val="28"/>
          <w:lang w:val="en-US" w:eastAsia="zh-CN"/>
          <w14:textFill>
            <w14:solidFill>
              <w14:schemeClr w14:val="tx1"/>
            </w14:solidFill>
          </w14:textFill>
        </w:rPr>
      </w:pPr>
    </w:p>
    <w:p>
      <w:pPr>
        <w:rPr>
          <w:rFonts w:hint="eastAsia" w:ascii="宋体" w:hAnsi="宋体" w:cs="宋体"/>
          <w:b/>
          <w:bCs/>
          <w:color w:val="000000" w:themeColor="text1"/>
          <w:sz w:val="24"/>
          <w:szCs w:val="28"/>
          <w:lang w:val="en-US" w:eastAsia="zh-CN"/>
          <w14:textFill>
            <w14:solidFill>
              <w14:schemeClr w14:val="tx1"/>
            </w14:solidFill>
          </w14:textFill>
        </w:rPr>
      </w:pPr>
    </w:p>
    <w:p>
      <w:pPr>
        <w:pStyle w:val="5"/>
        <w:rPr>
          <w:rFonts w:hint="eastAsia" w:ascii="宋体" w:hAnsi="宋体" w:cs="宋体"/>
          <w:b/>
          <w:bCs/>
          <w:color w:val="000000" w:themeColor="text1"/>
          <w:sz w:val="24"/>
          <w:szCs w:val="28"/>
          <w:lang w:val="en-US" w:eastAsia="zh-CN"/>
          <w14:textFill>
            <w14:solidFill>
              <w14:schemeClr w14:val="tx1"/>
            </w14:solidFill>
          </w14:textFill>
        </w:rPr>
      </w:pPr>
    </w:p>
    <w:p>
      <w:pPr>
        <w:rPr>
          <w:rFonts w:hint="eastAsia" w:ascii="宋体" w:hAnsi="宋体" w:cs="宋体"/>
          <w:b/>
          <w:bCs/>
          <w:color w:val="000000" w:themeColor="text1"/>
          <w:sz w:val="24"/>
          <w:szCs w:val="28"/>
          <w:lang w:val="en-US" w:eastAsia="zh-CN"/>
          <w14:textFill>
            <w14:solidFill>
              <w14:schemeClr w14:val="tx1"/>
            </w14:solidFill>
          </w14:textFill>
        </w:rPr>
      </w:pPr>
    </w:p>
    <w:p>
      <w:pPr>
        <w:pStyle w:val="5"/>
        <w:rPr>
          <w:rFonts w:hint="eastAsia" w:ascii="宋体" w:hAnsi="宋体" w:cs="宋体"/>
          <w:b/>
          <w:bCs/>
          <w:color w:val="000000" w:themeColor="text1"/>
          <w:sz w:val="24"/>
          <w:szCs w:val="28"/>
          <w:lang w:val="en-US" w:eastAsia="zh-CN"/>
          <w14:textFill>
            <w14:solidFill>
              <w14:schemeClr w14:val="tx1"/>
            </w14:solidFill>
          </w14:textFill>
        </w:rPr>
      </w:pPr>
    </w:p>
    <w:p>
      <w:pPr>
        <w:rPr>
          <w:rFonts w:hint="eastAsia" w:ascii="宋体" w:hAnsi="宋体" w:cs="宋体"/>
          <w:b/>
          <w:bCs/>
          <w:color w:val="000000" w:themeColor="text1"/>
          <w:sz w:val="24"/>
          <w:szCs w:val="28"/>
          <w:lang w:val="en-US" w:eastAsia="zh-CN"/>
          <w14:textFill>
            <w14:solidFill>
              <w14:schemeClr w14:val="tx1"/>
            </w14:solidFill>
          </w14:textFill>
        </w:rPr>
      </w:pPr>
    </w:p>
    <w:p>
      <w:pPr>
        <w:pStyle w:val="2"/>
        <w:rPr>
          <w:rFonts w:hint="eastAsia" w:ascii="宋体" w:hAnsi="宋体" w:cs="宋体"/>
          <w:b/>
          <w:bCs/>
          <w:color w:val="000000" w:themeColor="text1"/>
          <w:sz w:val="24"/>
          <w:szCs w:val="28"/>
          <w:lang w:val="en-US" w:eastAsia="zh-CN"/>
          <w14:textFill>
            <w14:solidFill>
              <w14:schemeClr w14:val="tx1"/>
            </w14:solidFill>
          </w14:textFill>
        </w:rPr>
      </w:pPr>
    </w:p>
    <w:p>
      <w:pPr>
        <w:rPr>
          <w:rFonts w:hint="eastAsia" w:ascii="宋体" w:hAnsi="宋体" w:cs="宋体"/>
          <w:b/>
          <w:bCs/>
          <w:color w:val="000000" w:themeColor="text1"/>
          <w:sz w:val="24"/>
          <w:szCs w:val="28"/>
          <w:lang w:val="en-US" w:eastAsia="zh-CN"/>
          <w14:textFill>
            <w14:solidFill>
              <w14:schemeClr w14:val="tx1"/>
            </w14:solidFill>
          </w14:textFill>
        </w:rPr>
      </w:pPr>
    </w:p>
    <w:p>
      <w:pPr>
        <w:pStyle w:val="2"/>
        <w:rPr>
          <w:rFonts w:hint="eastAsia"/>
          <w:lang w:val="en-US" w:eastAsia="zh-CN"/>
        </w:rPr>
      </w:pPr>
    </w:p>
    <w:p>
      <w:pPr>
        <w:pStyle w:val="2"/>
        <w:rPr>
          <w:rFonts w:hint="eastAsia" w:ascii="宋体" w:hAnsi="宋体" w:cs="宋体"/>
          <w:b/>
          <w:bCs/>
          <w:color w:val="000000" w:themeColor="text1"/>
          <w:sz w:val="24"/>
          <w:szCs w:val="28"/>
          <w:lang w:val="en-US" w:eastAsia="zh-CN"/>
          <w14:textFill>
            <w14:solidFill>
              <w14:schemeClr w14:val="tx1"/>
            </w14:solidFill>
          </w14:textFill>
        </w:rPr>
      </w:pPr>
    </w:p>
    <w:p>
      <w:pPr>
        <w:rPr>
          <w:rFonts w:hint="eastAsia"/>
          <w:lang w:val="en-US" w:eastAsia="zh-CN"/>
        </w:rPr>
      </w:pPr>
    </w:p>
    <w:p>
      <w:pPr>
        <w:jc w:val="center"/>
        <w:rPr>
          <w:rFonts w:hint="eastAsia" w:ascii="宋体" w:hAnsi="宋体" w:cs="宋体"/>
          <w:b/>
          <w:bCs/>
          <w:color w:val="000000" w:themeColor="text1"/>
          <w:sz w:val="24"/>
          <w:szCs w:val="28"/>
          <w:lang w:val="en-US" w:eastAsia="zh-CN"/>
          <w14:textFill>
            <w14:solidFill>
              <w14:schemeClr w14:val="tx1"/>
            </w14:solidFill>
          </w14:textFill>
        </w:rPr>
      </w:pPr>
    </w:p>
    <w:p>
      <w:pPr>
        <w:spacing w:line="360" w:lineRule="auto"/>
        <w:jc w:val="center"/>
        <w:rPr>
          <w:rFonts w:hint="eastAsia" w:ascii="宋体" w:hAnsi="宋体" w:cs="宋体"/>
          <w:b/>
          <w:bCs/>
          <w:color w:val="000000" w:themeColor="text1"/>
          <w:sz w:val="24"/>
          <w:szCs w:val="28"/>
          <w:lang w:val="en-US" w:eastAsia="zh-CN"/>
          <w14:textFill>
            <w14:solidFill>
              <w14:schemeClr w14:val="tx1"/>
            </w14:solidFill>
          </w14:textFill>
        </w:rPr>
      </w:pPr>
      <w:r>
        <w:rPr>
          <w:rFonts w:hint="eastAsia" w:ascii="宋体" w:hAnsi="宋体" w:cs="宋体"/>
          <w:b/>
          <w:bCs/>
          <w:color w:val="000000" w:themeColor="text1"/>
          <w:sz w:val="24"/>
          <w:szCs w:val="28"/>
          <w:lang w:val="en-US" w:eastAsia="zh-CN"/>
          <w14:textFill>
            <w14:solidFill>
              <w14:schemeClr w14:val="tx1"/>
            </w14:solidFill>
          </w14:textFill>
        </w:rPr>
        <w:t>（二）商务及技术评分资料</w:t>
      </w:r>
    </w:p>
    <w:p>
      <w:pPr>
        <w:spacing w:line="360" w:lineRule="auto"/>
        <w:jc w:val="center"/>
        <w:outlineLvl w:val="2"/>
        <w:rPr>
          <w:rFonts w:hint="eastAsia"/>
          <w:b/>
          <w:sz w:val="24"/>
          <w:szCs w:val="24"/>
        </w:rPr>
      </w:pPr>
      <w:bookmarkStart w:id="85" w:name="OLE_LINK34"/>
      <w:r>
        <w:rPr>
          <w:rFonts w:hint="eastAsia"/>
          <w:bCs/>
          <w:sz w:val="24"/>
          <w:szCs w:val="24"/>
        </w:rPr>
        <w:t>商务</w:t>
      </w:r>
      <w:r>
        <w:rPr>
          <w:rFonts w:hint="eastAsia"/>
          <w:bCs/>
          <w:sz w:val="24"/>
          <w:szCs w:val="24"/>
          <w:lang w:val="en-US" w:eastAsia="zh-CN"/>
        </w:rPr>
        <w:t>及技术</w:t>
      </w:r>
      <w:r>
        <w:rPr>
          <w:rFonts w:hint="eastAsia"/>
          <w:bCs/>
          <w:sz w:val="24"/>
          <w:szCs w:val="24"/>
        </w:rPr>
        <w:t>部分</w:t>
      </w:r>
      <w:bookmarkEnd w:id="85"/>
      <w:r>
        <w:rPr>
          <w:rFonts w:hint="eastAsia"/>
          <w:bCs/>
          <w:sz w:val="24"/>
          <w:szCs w:val="24"/>
        </w:rPr>
        <w:t>资料目录</w:t>
      </w:r>
    </w:p>
    <w:tbl>
      <w:tblPr>
        <w:tblStyle w:val="19"/>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519"/>
        <w:gridCol w:w="3030"/>
        <w:gridCol w:w="28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23" w:type="dxa"/>
            <w:vAlign w:val="center"/>
          </w:tcPr>
          <w:p>
            <w:pPr>
              <w:pStyle w:val="33"/>
              <w:spacing w:line="360" w:lineRule="auto"/>
              <w:jc w:val="center"/>
              <w:rPr>
                <w:rFonts w:hint="eastAsia"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519" w:type="dxa"/>
            <w:vAlign w:val="center"/>
          </w:tcPr>
          <w:p>
            <w:pPr>
              <w:pStyle w:val="33"/>
              <w:spacing w:line="360" w:lineRule="auto"/>
              <w:jc w:val="center"/>
              <w:rPr>
                <w:rFonts w:hint="eastAsia"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3030" w:type="dxa"/>
            <w:vAlign w:val="center"/>
          </w:tcPr>
          <w:p>
            <w:pPr>
              <w:pStyle w:val="33"/>
              <w:spacing w:line="360" w:lineRule="auto"/>
              <w:jc w:val="center"/>
              <w:rPr>
                <w:rFonts w:hint="eastAsia"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2895" w:type="dxa"/>
            <w:vAlign w:val="center"/>
          </w:tcPr>
          <w:p>
            <w:pPr>
              <w:pStyle w:val="33"/>
              <w:spacing w:line="360" w:lineRule="auto"/>
              <w:jc w:val="center"/>
              <w:rPr>
                <w:rFonts w:hint="eastAsia"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证明材料名称</w:t>
            </w:r>
          </w:p>
        </w:tc>
        <w:tc>
          <w:tcPr>
            <w:tcW w:w="1194" w:type="dxa"/>
            <w:vAlign w:val="center"/>
          </w:tcPr>
          <w:p>
            <w:pPr>
              <w:pStyle w:val="33"/>
              <w:spacing w:line="360" w:lineRule="auto"/>
              <w:jc w:val="center"/>
              <w:rPr>
                <w:rFonts w:hint="eastAsia"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证明材料对应编号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623" w:type="dxa"/>
            <w:vAlign w:val="top"/>
          </w:tcPr>
          <w:p>
            <w:pPr>
              <w:snapToGrid w:val="0"/>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519" w:type="dxa"/>
            <w:vAlign w:val="top"/>
          </w:tcPr>
          <w:p>
            <w:pPr>
              <w:spacing w:line="360" w:lineRule="auto"/>
              <w:jc w:val="center"/>
              <w:outlineLvl w:val="2"/>
              <w:rPr>
                <w:rFonts w:hint="eastAsia" w:asciiTheme="minorEastAsia" w:hAnsiTheme="minorEastAsia" w:eastAsiaTheme="minorEastAsia" w:cstheme="minorEastAsia"/>
                <w:b/>
                <w:sz w:val="18"/>
                <w:szCs w:val="18"/>
              </w:rPr>
            </w:pPr>
          </w:p>
        </w:tc>
        <w:tc>
          <w:tcPr>
            <w:tcW w:w="3030" w:type="dxa"/>
            <w:vAlign w:val="top"/>
          </w:tcPr>
          <w:p>
            <w:pPr>
              <w:spacing w:line="360" w:lineRule="auto"/>
              <w:jc w:val="center"/>
              <w:outlineLvl w:val="2"/>
              <w:rPr>
                <w:rFonts w:hint="eastAsia" w:asciiTheme="minorEastAsia" w:hAnsiTheme="minorEastAsia" w:eastAsiaTheme="minorEastAsia" w:cstheme="minorEastAsia"/>
                <w:b/>
                <w:sz w:val="18"/>
                <w:szCs w:val="18"/>
              </w:rPr>
            </w:pPr>
          </w:p>
        </w:tc>
        <w:tc>
          <w:tcPr>
            <w:tcW w:w="2895" w:type="dxa"/>
            <w:vAlign w:val="top"/>
          </w:tcPr>
          <w:p>
            <w:pPr>
              <w:spacing w:line="360" w:lineRule="auto"/>
              <w:jc w:val="center"/>
              <w:outlineLvl w:val="2"/>
              <w:rPr>
                <w:rFonts w:hint="eastAsia" w:asciiTheme="minorEastAsia" w:hAnsiTheme="minorEastAsia" w:eastAsiaTheme="minorEastAsia" w:cstheme="minorEastAsia"/>
                <w:b/>
                <w:sz w:val="18"/>
                <w:szCs w:val="18"/>
              </w:rPr>
            </w:pPr>
          </w:p>
        </w:tc>
        <w:tc>
          <w:tcPr>
            <w:tcW w:w="1194" w:type="dxa"/>
            <w:vAlign w:val="top"/>
          </w:tcPr>
          <w:p>
            <w:pPr>
              <w:spacing w:line="360" w:lineRule="auto"/>
              <w:jc w:val="center"/>
              <w:outlineLvl w:val="2"/>
              <w:rPr>
                <w:rFonts w:hint="eastAsia"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 w:type="dxa"/>
            <w:vAlign w:val="center"/>
          </w:tcPr>
          <w:p>
            <w:pPr>
              <w:snapToGrid w:val="0"/>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519" w:type="dxa"/>
            <w:vAlign w:val="center"/>
          </w:tcPr>
          <w:p>
            <w:pPr>
              <w:snapToGrid w:val="0"/>
              <w:spacing w:line="400" w:lineRule="exact"/>
              <w:jc w:val="center"/>
              <w:rPr>
                <w:rFonts w:hint="eastAsia" w:asciiTheme="minorEastAsia" w:hAnsiTheme="minorEastAsia" w:eastAsiaTheme="minorEastAsia" w:cstheme="minorEastAsia"/>
                <w:b/>
                <w:sz w:val="18"/>
                <w:szCs w:val="18"/>
                <w:lang w:eastAsia="zh-CN"/>
              </w:rPr>
            </w:pPr>
            <w:r>
              <w:rPr>
                <w:rFonts w:hint="eastAsia" w:asciiTheme="minorEastAsia" w:hAnsiTheme="minorEastAsia" w:eastAsiaTheme="minorEastAsia" w:cstheme="minorEastAsia"/>
                <w:sz w:val="18"/>
                <w:szCs w:val="18"/>
                <w:lang w:val="en-US" w:eastAsia="zh-CN"/>
              </w:rPr>
              <w:t>项目团队</w:t>
            </w:r>
          </w:p>
        </w:tc>
        <w:tc>
          <w:tcPr>
            <w:tcW w:w="3030" w:type="dxa"/>
            <w:vAlign w:val="center"/>
          </w:tcPr>
          <w:p>
            <w:pPr>
              <w:snapToGrid w:val="0"/>
              <w:spacing w:line="40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每增加1个人力资源类服务业绩</w:t>
            </w:r>
          </w:p>
        </w:tc>
        <w:tc>
          <w:tcPr>
            <w:tcW w:w="2895" w:type="dxa"/>
            <w:vAlign w:val="center"/>
          </w:tcPr>
          <w:p>
            <w:pPr>
              <w:snapToGrid w:val="0"/>
              <w:spacing w:line="40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证书复印件</w:t>
            </w:r>
          </w:p>
        </w:tc>
        <w:tc>
          <w:tcPr>
            <w:tcW w:w="1194" w:type="dxa"/>
            <w:vAlign w:val="center"/>
          </w:tcPr>
          <w:p>
            <w:pPr>
              <w:snapToGrid w:val="0"/>
              <w:spacing w:line="40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证明材料1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top"/>
          </w:tcPr>
          <w:p>
            <w:pPr>
              <w:spacing w:line="360" w:lineRule="auto"/>
              <w:jc w:val="center"/>
              <w:outlineLvl w:val="2"/>
              <w:rPr>
                <w:rFonts w:hint="eastAsia"/>
                <w:b/>
                <w:sz w:val="28"/>
                <w:szCs w:val="28"/>
              </w:rPr>
            </w:pPr>
          </w:p>
        </w:tc>
        <w:tc>
          <w:tcPr>
            <w:tcW w:w="1519" w:type="dxa"/>
            <w:vAlign w:val="top"/>
          </w:tcPr>
          <w:p>
            <w:pPr>
              <w:spacing w:line="360" w:lineRule="auto"/>
              <w:jc w:val="center"/>
              <w:outlineLvl w:val="2"/>
              <w:rPr>
                <w:rFonts w:hint="eastAsia"/>
                <w:b/>
                <w:sz w:val="28"/>
                <w:szCs w:val="28"/>
              </w:rPr>
            </w:pPr>
          </w:p>
        </w:tc>
        <w:tc>
          <w:tcPr>
            <w:tcW w:w="3030" w:type="dxa"/>
            <w:vAlign w:val="top"/>
          </w:tcPr>
          <w:p>
            <w:pPr>
              <w:spacing w:line="360" w:lineRule="auto"/>
              <w:jc w:val="center"/>
              <w:outlineLvl w:val="2"/>
              <w:rPr>
                <w:rFonts w:hint="eastAsia"/>
                <w:b/>
                <w:sz w:val="28"/>
                <w:szCs w:val="28"/>
              </w:rPr>
            </w:pPr>
          </w:p>
        </w:tc>
        <w:tc>
          <w:tcPr>
            <w:tcW w:w="2895" w:type="dxa"/>
            <w:vAlign w:val="top"/>
          </w:tcPr>
          <w:p>
            <w:pPr>
              <w:spacing w:line="360" w:lineRule="auto"/>
              <w:jc w:val="center"/>
              <w:outlineLvl w:val="2"/>
              <w:rPr>
                <w:rFonts w:hint="eastAsia"/>
                <w:b/>
                <w:sz w:val="28"/>
                <w:szCs w:val="28"/>
              </w:rPr>
            </w:pPr>
          </w:p>
        </w:tc>
        <w:tc>
          <w:tcPr>
            <w:tcW w:w="1194" w:type="dxa"/>
            <w:vAlign w:val="top"/>
          </w:tcPr>
          <w:p>
            <w:pPr>
              <w:spacing w:line="360" w:lineRule="auto"/>
              <w:jc w:val="center"/>
              <w:outlineLvl w:val="2"/>
              <w:rPr>
                <w:rFonts w:hint="eastAsia"/>
                <w:b/>
                <w:sz w:val="28"/>
                <w:szCs w:val="28"/>
              </w:rPr>
            </w:pPr>
          </w:p>
        </w:tc>
      </w:tr>
    </w:tbl>
    <w:p>
      <w:pPr>
        <w:spacing w:line="360" w:lineRule="auto"/>
        <w:jc w:val="center"/>
        <w:outlineLvl w:val="2"/>
        <w:rPr>
          <w:rFonts w:hint="eastAsia"/>
          <w:b/>
          <w:sz w:val="28"/>
          <w:szCs w:val="28"/>
        </w:rPr>
      </w:pPr>
    </w:p>
    <w:p>
      <w:pPr>
        <w:pStyle w:val="9"/>
        <w:rPr>
          <w:rFonts w:hint="eastAsia"/>
        </w:rPr>
      </w:pPr>
    </w:p>
    <w:p>
      <w:pPr>
        <w:rPr>
          <w:rFonts w:hint="eastAsia"/>
        </w:rPr>
      </w:pPr>
    </w:p>
    <w:p>
      <w:pPr>
        <w:pStyle w:val="9"/>
        <w:rPr>
          <w:rFonts w:hint="eastAsia"/>
        </w:rPr>
      </w:pPr>
    </w:p>
    <w:p>
      <w:pPr>
        <w:rPr>
          <w:rFonts w:hint="eastAsia"/>
        </w:rPr>
      </w:pPr>
    </w:p>
    <w:p>
      <w:pPr>
        <w:pStyle w:val="9"/>
        <w:rPr>
          <w:rFonts w:hint="eastAsia"/>
        </w:rPr>
      </w:pPr>
    </w:p>
    <w:p>
      <w:pPr>
        <w:rPr>
          <w:rFonts w:hint="eastAsia"/>
        </w:rPr>
      </w:pPr>
    </w:p>
    <w:p>
      <w:pPr>
        <w:pStyle w:val="5"/>
        <w:jc w:val="center"/>
        <w:rPr>
          <w:rFonts w:hint="eastAsia"/>
          <w:sz w:val="24"/>
          <w:szCs w:val="24"/>
          <w:lang w:val="en-US" w:eastAsia="zh-CN"/>
        </w:rPr>
      </w:pPr>
      <w:r>
        <w:rPr>
          <w:rFonts w:hint="eastAsia"/>
          <w:sz w:val="24"/>
          <w:szCs w:val="24"/>
          <w:lang w:val="en-US" w:eastAsia="zh-CN"/>
        </w:rPr>
        <w:t>（三）技术方案</w:t>
      </w:r>
    </w:p>
    <w:p>
      <w:pPr>
        <w:rPr>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pStyle w:val="16"/>
        <w:jc w:val="both"/>
        <w:rPr>
          <w:rFonts w:hint="eastAsia"/>
          <w:color w:val="000000" w:themeColor="text1"/>
          <w14:textFill>
            <w14:solidFill>
              <w14:schemeClr w14:val="tx1"/>
            </w14:solidFill>
          </w14:textFill>
        </w:rPr>
      </w:pPr>
    </w:p>
    <w:p>
      <w:pPr>
        <w:spacing w:line="360" w:lineRule="auto"/>
        <w:ind w:firstLine="486" w:firstLineChars="200"/>
        <w:jc w:val="center"/>
        <w:rPr>
          <w:color w:val="000000" w:themeColor="text1"/>
          <w14:textFill>
            <w14:solidFill>
              <w14:schemeClr w14:val="tx1"/>
            </w14:solidFill>
          </w14:textFill>
        </w:rPr>
      </w:pPr>
      <w:r>
        <w:rPr>
          <w:rFonts w:ascii="宋体" w:hAnsi="宋体" w:cs="宋体"/>
          <w:color w:val="000000" w:themeColor="text1"/>
          <w:sz w:val="24"/>
          <w:szCs w:val="28"/>
          <w14:textFill>
            <w14:solidFill>
              <w14:schemeClr w14:val="tx1"/>
            </w14:solidFill>
          </w14:textFill>
        </w:rPr>
        <w:br w:type="page"/>
      </w:r>
    </w:p>
    <w:p>
      <w:pPr>
        <w:pStyle w:val="16"/>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五</w:t>
      </w:r>
      <w:r>
        <w:rPr>
          <w:rFonts w:hint="eastAsia"/>
          <w:color w:val="000000" w:themeColor="text1"/>
          <w14:textFill>
            <w14:solidFill>
              <w14:schemeClr w14:val="tx1"/>
            </w14:solidFill>
          </w14:textFill>
        </w:rPr>
        <w:t>、其他材料</w:t>
      </w:r>
    </w:p>
    <w:p>
      <w:pPr>
        <w:spacing w:line="360" w:lineRule="auto"/>
        <w:ind w:firstLine="486" w:firstLineChars="200"/>
        <w:rPr>
          <w:rFonts w:hint="eastAsia" w:ascii="宋体" w:hAnsi="宋体" w:eastAsia="宋体" w:cs="宋体"/>
          <w:color w:val="000000" w:themeColor="text1"/>
          <w:sz w:val="24"/>
          <w:szCs w:val="28"/>
          <w:lang w:val="en-US" w:eastAsia="zh-CN"/>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如有</w:t>
      </w:r>
    </w:p>
    <w:p/>
    <w:sectPr>
      <w:footerReference r:id="rId5" w:type="default"/>
      <w:pgSz w:w="11906" w:h="16838"/>
      <w:pgMar w:top="1440" w:right="1274" w:bottom="1440" w:left="1418" w:header="851" w:footer="992" w:gutter="0"/>
      <w:pgNumType w:start="1"/>
      <w:cols w:space="720" w:num="1"/>
      <w:docGrid w:type="linesAndChars" w:linePitch="317"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309000000000000"/>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libri">
    <w:panose1 w:val="020F0502020204030204"/>
    <w:charset w:val="86"/>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roma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smartSimSun">
    <w:altName w:val="宋体"/>
    <w:panose1 w:val="02010600030101010101"/>
    <w:charset w:val="86"/>
    <w:family w:val="auto"/>
    <w:pitch w:val="default"/>
    <w:sig w:usb0="00000000" w:usb1="00000000" w:usb2="00000010" w:usb3="00000000" w:csb0="00040001" w:csb1="00000000"/>
  </w:font>
  <w:font w:name="宋体 (正文)">
    <w:altName w:val="宋体"/>
    <w:panose1 w:val="00000000000000000000"/>
    <w:charset w:val="86"/>
    <w:family w:val="roman"/>
    <w:pitch w:val="default"/>
    <w:sig w:usb0="00000000" w:usb1="00000000" w:usb2="0000001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Helvetica"/>
    <w:panose1 w:val="00000000000000000000"/>
    <w:charset w:val="00"/>
    <w:family w:val="auto"/>
    <w:pitch w:val="default"/>
    <w:sig w:usb0="00000000" w:usb1="00000000" w:usb2="00000000" w:usb3="00000000" w:csb0="00000000" w:csb1="0000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b/>
        <w:sz w:val="21"/>
      </w:rPr>
    </w:pPr>
    <w:r>
      <w:rPr>
        <w:b/>
        <w:sz w:val="21"/>
      </w:rPr>
      <w:fldChar w:fldCharType="begin"/>
    </w:r>
    <w:r>
      <w:rPr>
        <w:b/>
        <w:sz w:val="21"/>
      </w:rPr>
      <w:instrText xml:space="preserve">PAGE   \* MERGEFORMAT</w:instrText>
    </w:r>
    <w:r>
      <w:rPr>
        <w:b/>
        <w:sz w:val="21"/>
      </w:rPr>
      <w:fldChar w:fldCharType="separate"/>
    </w:r>
    <w:r>
      <w:rPr>
        <w:b/>
        <w:sz w:val="21"/>
        <w:lang w:val="zh-CN"/>
      </w:rPr>
      <w:t>22</w:t>
    </w:r>
    <w:r>
      <w:rPr>
        <w:b/>
        <w:sz w:val="21"/>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37B11"/>
    <w:multiLevelType w:val="singleLevel"/>
    <w:tmpl w:val="60A37B11"/>
    <w:lvl w:ilvl="0" w:tentative="0">
      <w:start w:val="2"/>
      <w:numFmt w:val="chineseCounting"/>
      <w:suff w:val="space"/>
      <w:lvlText w:val="第%1章"/>
      <w:lvlJc w:val="left"/>
    </w:lvl>
  </w:abstractNum>
  <w:abstractNum w:abstractNumId="1">
    <w:nsid w:val="60A3881F"/>
    <w:multiLevelType w:val="singleLevel"/>
    <w:tmpl w:val="60A3881F"/>
    <w:lvl w:ilvl="0" w:tentative="0">
      <w:start w:val="1"/>
      <w:numFmt w:val="decimal"/>
      <w:suff w:val="nothing"/>
      <w:lvlText w:val="%1."/>
      <w:lvlJc w:val="left"/>
    </w:lvl>
  </w:abstractNum>
  <w:abstractNum w:abstractNumId="2">
    <w:nsid w:val="60B7027D"/>
    <w:multiLevelType w:val="singleLevel"/>
    <w:tmpl w:val="60B7027D"/>
    <w:lvl w:ilvl="0" w:tentative="0">
      <w:start w:val="1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D3"/>
    <w:rsid w:val="00047E3E"/>
    <w:rsid w:val="001137F5"/>
    <w:rsid w:val="00187D20"/>
    <w:rsid w:val="001973FC"/>
    <w:rsid w:val="001B6AF8"/>
    <w:rsid w:val="00296769"/>
    <w:rsid w:val="002C1A46"/>
    <w:rsid w:val="003A1210"/>
    <w:rsid w:val="003B2144"/>
    <w:rsid w:val="00502CE7"/>
    <w:rsid w:val="005073F6"/>
    <w:rsid w:val="00565EB0"/>
    <w:rsid w:val="0058789F"/>
    <w:rsid w:val="006229F7"/>
    <w:rsid w:val="00660430"/>
    <w:rsid w:val="00665E55"/>
    <w:rsid w:val="00673AD8"/>
    <w:rsid w:val="006B4543"/>
    <w:rsid w:val="006F406B"/>
    <w:rsid w:val="006F5778"/>
    <w:rsid w:val="00760315"/>
    <w:rsid w:val="007D089F"/>
    <w:rsid w:val="008549CD"/>
    <w:rsid w:val="00890980"/>
    <w:rsid w:val="009000AB"/>
    <w:rsid w:val="00983ED2"/>
    <w:rsid w:val="0099629E"/>
    <w:rsid w:val="009E1361"/>
    <w:rsid w:val="00A05D9C"/>
    <w:rsid w:val="00A84E00"/>
    <w:rsid w:val="00A8782D"/>
    <w:rsid w:val="00AB5FD3"/>
    <w:rsid w:val="00AC0A12"/>
    <w:rsid w:val="00AE2114"/>
    <w:rsid w:val="00AF63F7"/>
    <w:rsid w:val="00B3615B"/>
    <w:rsid w:val="00B56F1C"/>
    <w:rsid w:val="00B631FA"/>
    <w:rsid w:val="00BC20A9"/>
    <w:rsid w:val="00BD087D"/>
    <w:rsid w:val="00D67598"/>
    <w:rsid w:val="00D710E8"/>
    <w:rsid w:val="00E54177"/>
    <w:rsid w:val="00E77200"/>
    <w:rsid w:val="00E7781A"/>
    <w:rsid w:val="00EB71B9"/>
    <w:rsid w:val="00F839ED"/>
    <w:rsid w:val="01FE761B"/>
    <w:rsid w:val="02F9047E"/>
    <w:rsid w:val="048727E8"/>
    <w:rsid w:val="05267384"/>
    <w:rsid w:val="060B1092"/>
    <w:rsid w:val="068565C2"/>
    <w:rsid w:val="09273780"/>
    <w:rsid w:val="09EE04B8"/>
    <w:rsid w:val="0B1C0A69"/>
    <w:rsid w:val="0BC5061B"/>
    <w:rsid w:val="0D8E3DEF"/>
    <w:rsid w:val="13940417"/>
    <w:rsid w:val="13B14B48"/>
    <w:rsid w:val="143B5FD6"/>
    <w:rsid w:val="14C37206"/>
    <w:rsid w:val="15177C44"/>
    <w:rsid w:val="16F33879"/>
    <w:rsid w:val="1B4E610F"/>
    <w:rsid w:val="1B534B8F"/>
    <w:rsid w:val="1CEB4526"/>
    <w:rsid w:val="1DA6688B"/>
    <w:rsid w:val="1DF9071A"/>
    <w:rsid w:val="1E7B4662"/>
    <w:rsid w:val="20206B99"/>
    <w:rsid w:val="202C579E"/>
    <w:rsid w:val="207254F7"/>
    <w:rsid w:val="214B061E"/>
    <w:rsid w:val="22E8783A"/>
    <w:rsid w:val="26461C8B"/>
    <w:rsid w:val="26E57A3C"/>
    <w:rsid w:val="27224189"/>
    <w:rsid w:val="283B0463"/>
    <w:rsid w:val="28944033"/>
    <w:rsid w:val="2CA75C5D"/>
    <w:rsid w:val="2DC75262"/>
    <w:rsid w:val="2E0E3741"/>
    <w:rsid w:val="316E6F45"/>
    <w:rsid w:val="31BE68A9"/>
    <w:rsid w:val="324F64A1"/>
    <w:rsid w:val="32F90E42"/>
    <w:rsid w:val="346557FB"/>
    <w:rsid w:val="374D2FAB"/>
    <w:rsid w:val="37BA600D"/>
    <w:rsid w:val="3861785A"/>
    <w:rsid w:val="3E6732EE"/>
    <w:rsid w:val="3F602707"/>
    <w:rsid w:val="40230264"/>
    <w:rsid w:val="417E161D"/>
    <w:rsid w:val="42911529"/>
    <w:rsid w:val="46A541AB"/>
    <w:rsid w:val="4705133B"/>
    <w:rsid w:val="47DF71F6"/>
    <w:rsid w:val="4C415AE8"/>
    <w:rsid w:val="4E681D8A"/>
    <w:rsid w:val="4EA6046E"/>
    <w:rsid w:val="51944F62"/>
    <w:rsid w:val="54A40F04"/>
    <w:rsid w:val="560F3282"/>
    <w:rsid w:val="567A5B33"/>
    <w:rsid w:val="57A018D0"/>
    <w:rsid w:val="5AAC1011"/>
    <w:rsid w:val="5CA371A4"/>
    <w:rsid w:val="5D496ADA"/>
    <w:rsid w:val="5D560EC4"/>
    <w:rsid w:val="5DAD1709"/>
    <w:rsid w:val="5E97143B"/>
    <w:rsid w:val="60E81E47"/>
    <w:rsid w:val="61F213D3"/>
    <w:rsid w:val="63243396"/>
    <w:rsid w:val="64C814CF"/>
    <w:rsid w:val="6B250AE6"/>
    <w:rsid w:val="6CD5065E"/>
    <w:rsid w:val="6D342A32"/>
    <w:rsid w:val="6E8369E8"/>
    <w:rsid w:val="6F0E3290"/>
    <w:rsid w:val="737A42CF"/>
    <w:rsid w:val="74EA624F"/>
    <w:rsid w:val="755A2E50"/>
    <w:rsid w:val="756D1B58"/>
    <w:rsid w:val="77CD74C6"/>
    <w:rsid w:val="79176F93"/>
    <w:rsid w:val="7A34563D"/>
    <w:rsid w:val="7A8916E4"/>
    <w:rsid w:val="7AAD1B2A"/>
    <w:rsid w:val="7AF30E31"/>
    <w:rsid w:val="7B9759EE"/>
    <w:rsid w:val="7EFD7CA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pacing w:before="120" w:after="360" w:line="720" w:lineRule="atLeast"/>
      <w:jc w:val="center"/>
      <w:textAlignment w:val="baseline"/>
      <w:outlineLvl w:val="0"/>
    </w:pPr>
    <w:rPr>
      <w:b/>
      <w:kern w:val="0"/>
      <w:sz w:val="28"/>
      <w:szCs w:val="20"/>
    </w:rPr>
  </w:style>
  <w:style w:type="paragraph" w:styleId="4">
    <w:name w:val="heading 2"/>
    <w:basedOn w:val="1"/>
    <w:next w:val="1"/>
    <w:qFormat/>
    <w:uiPriority w:val="0"/>
    <w:pPr>
      <w:keepNext/>
      <w:keepLines/>
      <w:spacing w:before="260" w:after="260" w:line="412" w:lineRule="auto"/>
      <w:outlineLvl w:val="1"/>
    </w:pPr>
    <w:rPr>
      <w:rFonts w:ascii="Cambria" w:hAnsi="Cambria"/>
      <w:b/>
      <w:bCs/>
      <w:kern w:val="0"/>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6">
    <w:name w:val="annotation subject"/>
    <w:basedOn w:val="7"/>
    <w:next w:val="7"/>
    <w:link w:val="25"/>
    <w:qFormat/>
    <w:uiPriority w:val="0"/>
    <w:rPr>
      <w:b/>
      <w:bCs/>
    </w:rPr>
  </w:style>
  <w:style w:type="paragraph" w:styleId="7">
    <w:name w:val="annotation text"/>
    <w:basedOn w:val="1"/>
    <w:link w:val="24"/>
    <w:qFormat/>
    <w:uiPriority w:val="0"/>
    <w:pPr>
      <w:jc w:val="left"/>
    </w:pPr>
  </w:style>
  <w:style w:type="paragraph" w:styleId="8">
    <w:name w:val="Body Text First Indent"/>
    <w:basedOn w:val="9"/>
    <w:qFormat/>
    <w:uiPriority w:val="0"/>
    <w:pPr>
      <w:adjustRightInd w:val="0"/>
      <w:spacing w:line="275" w:lineRule="atLeast"/>
      <w:ind w:firstLine="420"/>
      <w:textAlignment w:val="baseline"/>
    </w:pPr>
    <w:rPr>
      <w:rFonts w:ascii="宋体" w:eastAsia="楷体_GB2312"/>
      <w:sz w:val="24"/>
      <w:szCs w:val="20"/>
    </w:rPr>
  </w:style>
  <w:style w:type="paragraph" w:styleId="9">
    <w:name w:val="Body Text"/>
    <w:basedOn w:val="1"/>
    <w:next w:val="1"/>
    <w:qFormat/>
    <w:uiPriority w:val="0"/>
    <w:pPr>
      <w:spacing w:after="120" w:afterLines="0"/>
    </w:pPr>
    <w:rPr>
      <w:kern w:val="2"/>
      <w:sz w:val="21"/>
      <w:szCs w:val="24"/>
      <w:lang w:bidi="ar-SA"/>
    </w:rPr>
  </w:style>
  <w:style w:type="paragraph" w:styleId="10">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11">
    <w:name w:val="Body Text Indent 2"/>
    <w:basedOn w:val="1"/>
    <w:qFormat/>
    <w:uiPriority w:val="0"/>
    <w:pPr>
      <w:widowControl/>
      <w:spacing w:line="480" w:lineRule="auto"/>
      <w:ind w:firstLine="560"/>
      <w:jc w:val="left"/>
    </w:pPr>
    <w:rPr>
      <w:sz w:val="28"/>
      <w:szCs w:val="24"/>
      <w:lang w:bidi="ar-SA"/>
    </w:rPr>
  </w:style>
  <w:style w:type="paragraph" w:styleId="12">
    <w:name w:val="Balloon Text"/>
    <w:basedOn w:val="1"/>
    <w:link w:val="26"/>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index 1"/>
    <w:basedOn w:val="1"/>
    <w:next w:val="1"/>
    <w:semiHidden/>
    <w:qFormat/>
    <w:uiPriority w:val="0"/>
    <w:pPr>
      <w:spacing w:line="360" w:lineRule="auto"/>
      <w:jc w:val="center"/>
    </w:pPr>
    <w:rPr>
      <w:rFonts w:ascii="宋体" w:hAnsi="Arial" w:cs="Arial"/>
      <w:b/>
      <w:color w:val="000000"/>
      <w:sz w:val="24"/>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character" w:styleId="18">
    <w:name w:val="annotation reference"/>
    <w:qFormat/>
    <w:uiPriority w:val="99"/>
    <w:rPr>
      <w:rFonts w:cs="Times New Roman"/>
      <w:sz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1">
    <w:name w:val="List Paragraph"/>
    <w:basedOn w:val="1"/>
    <w:qFormat/>
    <w:uiPriority w:val="99"/>
    <w:pPr>
      <w:ind w:firstLine="420" w:firstLineChars="200"/>
    </w:pPr>
    <w:rPr>
      <w:rFonts w:asciiTheme="minorHAnsi" w:hAnsiTheme="minorHAnsi" w:eastAsiaTheme="minorEastAsia" w:cstheme="minorBidi"/>
    </w:rPr>
  </w:style>
  <w:style w:type="paragraph" w:customStyle="1" w:styleId="2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3">
    <w:name w:val="Normal Paragraph"/>
    <w:basedOn w:val="1"/>
    <w:qFormat/>
    <w:uiPriority w:val="0"/>
    <w:pPr>
      <w:widowControl/>
      <w:spacing w:before="120"/>
      <w:ind w:firstLine="425"/>
    </w:pPr>
    <w:rPr>
      <w:kern w:val="0"/>
      <w:sz w:val="24"/>
    </w:rPr>
  </w:style>
  <w:style w:type="character" w:customStyle="1" w:styleId="24">
    <w:name w:val="批注文字 字符"/>
    <w:basedOn w:val="17"/>
    <w:link w:val="7"/>
    <w:qFormat/>
    <w:uiPriority w:val="0"/>
    <w:rPr>
      <w:kern w:val="2"/>
      <w:sz w:val="21"/>
      <w:szCs w:val="24"/>
    </w:rPr>
  </w:style>
  <w:style w:type="character" w:customStyle="1" w:styleId="25">
    <w:name w:val="批注主题 字符"/>
    <w:basedOn w:val="24"/>
    <w:link w:val="6"/>
    <w:qFormat/>
    <w:uiPriority w:val="0"/>
    <w:rPr>
      <w:b/>
      <w:bCs/>
      <w:kern w:val="2"/>
      <w:sz w:val="21"/>
      <w:szCs w:val="24"/>
    </w:rPr>
  </w:style>
  <w:style w:type="character" w:customStyle="1" w:styleId="26">
    <w:name w:val="批注框文本 字符"/>
    <w:basedOn w:val="17"/>
    <w:link w:val="12"/>
    <w:qFormat/>
    <w:uiPriority w:val="0"/>
    <w:rPr>
      <w:kern w:val="2"/>
      <w:sz w:val="18"/>
      <w:szCs w:val="18"/>
    </w:rPr>
  </w:style>
  <w:style w:type="paragraph" w:customStyle="1" w:styleId="27">
    <w:name w:val="符号列表"/>
    <w:basedOn w:val="1"/>
    <w:next w:val="21"/>
    <w:link w:val="28"/>
    <w:qFormat/>
    <w:uiPriority w:val="34"/>
    <w:pPr>
      <w:spacing w:beforeLines="50"/>
      <w:ind w:firstLine="420" w:firstLineChars="200"/>
    </w:pPr>
    <w:rPr>
      <w:rFonts w:ascii="Calibri" w:hAnsi="Calibri"/>
      <w:sz w:val="24"/>
      <w:szCs w:val="22"/>
      <w:lang w:val="zh-CN" w:eastAsia="zh-CN"/>
    </w:rPr>
  </w:style>
  <w:style w:type="character" w:customStyle="1" w:styleId="28">
    <w:name w:val="列出段落 Char"/>
    <w:link w:val="27"/>
    <w:qFormat/>
    <w:uiPriority w:val="34"/>
    <w:rPr>
      <w:rFonts w:ascii="Calibri" w:hAnsi="Calibri"/>
      <w:kern w:val="2"/>
      <w:sz w:val="24"/>
      <w:szCs w:val="22"/>
    </w:rPr>
  </w:style>
  <w:style w:type="paragraph" w:customStyle="1" w:styleId="29">
    <w:name w:val="font10"/>
    <w:basedOn w:val="1"/>
    <w:qFormat/>
    <w:uiPriority w:val="0"/>
    <w:pPr>
      <w:widowControl/>
      <w:spacing w:before="100" w:beforeAutospacing="1" w:after="100" w:afterAutospacing="1"/>
      <w:jc w:val="left"/>
    </w:pPr>
    <w:rPr>
      <w:kern w:val="0"/>
      <w:sz w:val="28"/>
      <w:szCs w:val="28"/>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表格内正文，无编号"/>
    <w:basedOn w:val="1"/>
    <w:qFormat/>
    <w:uiPriority w:val="0"/>
    <w:pPr>
      <w:spacing w:line="400" w:lineRule="exact"/>
      <w:ind w:firstLine="643" w:firstLineChars="200"/>
    </w:pPr>
    <w:rPr>
      <w:rFonts w:ascii="Times New Roman" w:hAnsi="Times New Roman" w:eastAsia="宋体"/>
    </w:rPr>
  </w:style>
  <w:style w:type="character" w:customStyle="1" w:styleId="32">
    <w:name w:val="font21"/>
    <w:qFormat/>
    <w:uiPriority w:val="0"/>
    <w:rPr>
      <w:rFonts w:hint="eastAsia" w:ascii="宋体" w:hAnsi="宋体" w:eastAsia="宋体" w:cs="宋体"/>
      <w:color w:val="000000"/>
      <w:sz w:val="21"/>
      <w:szCs w:val="21"/>
      <w:u w:val="none"/>
    </w:rPr>
  </w:style>
  <w:style w:type="paragraph" w:customStyle="1" w:styleId="33">
    <w:name w:val="表体"/>
    <w:basedOn w:val="1"/>
    <w:next w:val="1"/>
    <w:qFormat/>
    <w:uiPriority w:val="0"/>
    <w:pPr>
      <w:snapToGrid w:val="0"/>
      <w:spacing w:line="0" w:lineRule="atLeast"/>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311A5-D091-4D50-B68C-388AA9917048}">
  <ds:schemaRefs/>
</ds:datastoreItem>
</file>

<file path=docProps/app.xml><?xml version="1.0" encoding="utf-8"?>
<Properties xmlns="http://schemas.openxmlformats.org/officeDocument/2006/extended-properties" xmlns:vt="http://schemas.openxmlformats.org/officeDocument/2006/docPropsVTypes">
  <Template>Normal</Template>
  <Pages>22</Pages>
  <Words>1608</Words>
  <Characters>9170</Characters>
  <Lines>76</Lines>
  <Paragraphs>21</Paragraphs>
  <ScaleCrop>false</ScaleCrop>
  <LinksUpToDate>false</LinksUpToDate>
  <CharactersWithSpaces>10757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2020-03-16T02:08:00Z</dcterms:created>
  <dc:creator>admin</dc:creator>
  <cp:lastModifiedBy>蒋淇</cp:lastModifiedBy>
  <cp:lastPrinted>2021-04-07T04:07:00Z</cp:lastPrinted>
  <dcterms:modified xsi:type="dcterms:W3CDTF">2021-06-02T03:35:25Z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6CBCD4C056E44C3F9D2F3BE5581C30D2</vt:lpwstr>
  </property>
</Properties>
</file>