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11" w:right="0" w:hanging="11"/>
        <w:jc w:val="center"/>
        <w:rPr>
          <w:rFonts w:hint="default" w:ascii="Arial" w:hAnsi="Arial" w:cs="Arial"/>
          <w:sz w:val="18"/>
          <w:szCs w:val="18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首讯</w:t>
      </w:r>
      <w:r>
        <w:rPr>
          <w:rFonts w:hint="default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公司“</w:t>
      </w: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重庆首讯科技股份有限公司绩效薪酬设计服务项目（第二次）</w:t>
      </w:r>
      <w:r>
        <w:rPr>
          <w:rFonts w:hint="default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公开竞争性比选</w:t>
      </w:r>
      <w:r>
        <w:rPr>
          <w:rFonts w:hint="default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cs="Arial"/>
          <w:caps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cs="Arial"/>
          <w:caps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一、评标情况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首讯公司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重庆首讯科技股份有限公司绩效薪酬设计服务项目（第二次）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公开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竞争性比选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采用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最低价评分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法，经评标小组评审，结果如下：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1、中标候选人基本情况：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第一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中标候选</w:t>
      </w:r>
      <w:r>
        <w:rPr>
          <w:rFonts w:hint="default" w:ascii="Arial" w:hAnsi="Arial" w:cs="Arial"/>
          <w:kern w:val="0"/>
          <w:sz w:val="24"/>
          <w:szCs w:val="24"/>
          <w:lang w:val="en-US" w:eastAsia="zh-CN" w:bidi="ar"/>
        </w:rPr>
        <w:t>人：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中企联合（北京）人力资源管理中心</w:t>
      </w:r>
      <w:r>
        <w:rPr>
          <w:rFonts w:hint="default" w:ascii="Arial" w:hAnsi="Arial" w:cs="Arial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投标报价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：185000.00元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2、中标候选人响应招标文件要求的资格能力条件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第一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中标候选人：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中企联合（北京）人力资源管理中心，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满足竞价文件资质要求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   023-86331380  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三、</w:t>
      </w:r>
      <w:r>
        <w:rPr>
          <w:rStyle w:val="3"/>
          <w:rFonts w:hint="eastAsia" w:ascii="Arial" w:hAnsi="Arial" w:cs="Arial"/>
          <w:b/>
          <w:caps/>
          <w:kern w:val="0"/>
          <w:sz w:val="24"/>
          <w:szCs w:val="24"/>
          <w:lang w:val="en-US" w:eastAsia="zh-CN" w:bidi="ar"/>
        </w:rPr>
        <w:t>信息公示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重庆高速集团官网（http://www.cegc.com.cn/gw/newsInfoMenu.html?id=42&amp;key=2）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重庆高速公路集团有限公司招投标管理平台（http://43.240.249.108:8088）上发布。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四、监督部门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纪律检查室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重庆市南岸区内环入口200处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联 系 人：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蒋淇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电 话：023-8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6325023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       </w:t>
      </w:r>
    </w:p>
    <w:p/>
    <w:p>
      <w:pPr>
        <w:tabs>
          <w:tab w:val="left" w:pos="96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085D"/>
    <w:rsid w:val="7BB60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2021-07-05T01:49:00Z</dcterms:created>
  <dc:creator>付冰卿</dc:creator>
  <cp:lastModifiedBy>付冰卿</cp:lastModifiedBy>
  <dcterms:modified xsi:type="dcterms:W3CDTF">2021-07-05T01:49:51Z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