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rPr>
      </w:pPr>
      <w:r>
        <w:rPr>
          <w:rFonts w:hint="eastAsia" w:ascii="宋体" w:hAnsi="宋体" w:cs="宋体"/>
          <w:b/>
          <w:sz w:val="48"/>
          <w:szCs w:val="48"/>
        </w:rPr>
        <w:t xml:space="preserve">渝蓉高速公路2022年路面维修处治工程 </w:t>
      </w:r>
    </w:p>
    <w:p>
      <w:pPr>
        <w:jc w:val="center"/>
        <w:rPr>
          <w:rFonts w:hint="eastAsia" w:ascii="宋体" w:hAnsi="宋体" w:eastAsia="宋体" w:cs="宋体"/>
          <w:b/>
          <w:sz w:val="48"/>
          <w:szCs w:val="48"/>
          <w:lang w:val="en-US" w:eastAsia="zh-CN"/>
        </w:rPr>
      </w:pPr>
      <w:r>
        <w:rPr>
          <w:rFonts w:hint="eastAsia" w:ascii="宋体" w:hAnsi="宋体" w:cs="宋体"/>
          <w:b/>
          <w:sz w:val="48"/>
          <w:szCs w:val="48"/>
        </w:rPr>
        <w:t>高黏度改性剂采购</w:t>
      </w:r>
      <w:r>
        <w:rPr>
          <w:rFonts w:hint="eastAsia" w:ascii="宋体" w:hAnsi="宋体" w:cs="宋体"/>
          <w:b/>
          <w:sz w:val="48"/>
          <w:szCs w:val="48"/>
          <w:lang w:val="en-US" w:eastAsia="zh-CN"/>
        </w:rPr>
        <w:t>第二次</w:t>
      </w:r>
    </w:p>
    <w:p>
      <w:pPr>
        <w:jc w:val="center"/>
        <w:rPr>
          <w:rFonts w:hint="eastAsia" w:ascii="宋体" w:hAnsi="宋体" w:cs="宋体"/>
          <w:b/>
          <w:spacing w:val="20"/>
          <w:sz w:val="72"/>
          <w:szCs w:val="72"/>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13"/>
        <w:rPr>
          <w:rFonts w:hint="eastAsia"/>
          <w:color w:val="auto"/>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4"/>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4"/>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2022年 8 月</w:t>
      </w:r>
    </w:p>
    <w:p>
      <w:pPr>
        <w:rPr>
          <w:rFonts w:hint="eastAsia"/>
        </w:rPr>
      </w:pPr>
    </w:p>
    <w:p>
      <w:pPr>
        <w:pStyle w:val="13"/>
        <w:rPr>
          <w:rFonts w:hint="eastAsia"/>
          <w:color w:val="auto"/>
        </w:rPr>
      </w:pPr>
    </w:p>
    <w:p>
      <w:pPr>
        <w:pStyle w:val="13"/>
        <w:rPr>
          <w:rFonts w:hint="eastAsia"/>
          <w:color w:val="auto"/>
        </w:rPr>
      </w:pPr>
    </w:p>
    <w:p>
      <w:pPr>
        <w:pStyle w:val="13"/>
        <w:rPr>
          <w:rFonts w:hint="eastAsia"/>
          <w:color w:val="auto"/>
        </w:rPr>
      </w:pPr>
      <w:r>
        <w:rPr>
          <w:rFonts w:hint="eastAsia"/>
          <w:color w:val="auto"/>
        </w:rPr>
        <w:br w:type="page"/>
      </w:r>
    </w:p>
    <w:p>
      <w:pPr>
        <w:spacing w:line="400" w:lineRule="exact"/>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spacing w:line="400" w:lineRule="exact"/>
        <w:jc w:val="center"/>
        <w:rPr>
          <w:rFonts w:hint="eastAsia" w:ascii="宋体" w:hAnsi="宋体" w:eastAsia="宋体" w:cs="宋体"/>
          <w:b/>
          <w:sz w:val="30"/>
          <w:szCs w:val="30"/>
          <w:lang w:val="en-US" w:eastAsia="zh-CN"/>
        </w:rPr>
      </w:pPr>
      <w:r>
        <w:rPr>
          <w:rFonts w:hint="eastAsia" w:ascii="宋体" w:hAnsi="宋体" w:cs="宋体"/>
          <w:b/>
          <w:sz w:val="30"/>
          <w:szCs w:val="30"/>
          <w:lang w:eastAsia="zh-CN"/>
        </w:rPr>
        <w:t>渝蓉高速公路2022年路面维修处治工程高黏度改性剂采购第二次</w:t>
      </w:r>
    </w:p>
    <w:p>
      <w:pPr>
        <w:spacing w:line="400" w:lineRule="exact"/>
        <w:jc w:val="center"/>
        <w:rPr>
          <w:rFonts w:hint="eastAsia"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hint="eastAsia" w:ascii="宋体" w:hAnsi="宋体" w:cs="宋体"/>
          <w:sz w:val="24"/>
          <w:szCs w:val="24"/>
          <w:u w:val="single"/>
        </w:rPr>
      </w:pPr>
      <w:bookmarkStart w:id="0" w:name="_Toc179632536"/>
      <w:bookmarkStart w:id="1" w:name="_Toc144974487"/>
      <w:bookmarkStart w:id="2" w:name="_Toc296602410"/>
      <w:bookmarkStart w:id="3" w:name="_Toc246996909"/>
      <w:bookmarkStart w:id="4" w:name="_Toc247085680"/>
      <w:bookmarkStart w:id="5" w:name="_Toc246996166"/>
      <w:bookmarkStart w:id="6" w:name="_Toc152045519"/>
      <w:bookmarkStart w:id="7" w:name="_Toc152042295"/>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152045521"/>
      <w:bookmarkStart w:id="9" w:name="_Toc152042297"/>
      <w:bookmarkStart w:id="10" w:name="_Toc179632538"/>
      <w:bookmarkStart w:id="11" w:name="_Toc247085682"/>
      <w:bookmarkStart w:id="12" w:name="_Toc144974489"/>
      <w:bookmarkStart w:id="13" w:name="_Toc246996168"/>
      <w:bookmarkStart w:id="14" w:name="_Toc246996911"/>
      <w:bookmarkStart w:id="15" w:name="_Toc296602412"/>
      <w:r>
        <w:rPr>
          <w:szCs w:val="21"/>
        </w:rPr>
        <w:t>本项目</w:t>
      </w:r>
      <w:r>
        <w:rPr>
          <w:rFonts w:hint="eastAsia"/>
          <w:b/>
          <w:bCs/>
          <w:szCs w:val="21"/>
          <w:lang w:eastAsia="zh-CN"/>
        </w:rPr>
        <w:t>渝蓉高速公路2022年路面维修处治工程高黏度改性剂采购第二次</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152042296"/>
      <w:bookmarkStart w:id="17" w:name="_Toc246996167"/>
      <w:bookmarkStart w:id="18" w:name="_Toc144974488"/>
      <w:bookmarkStart w:id="19" w:name="_Toc179632537"/>
      <w:bookmarkStart w:id="20" w:name="_Toc246996910"/>
      <w:bookmarkStart w:id="21" w:name="_Toc247085681"/>
      <w:bookmarkStart w:id="22" w:name="_Toc296602411"/>
      <w:bookmarkStart w:id="23" w:name="_Toc15204552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lang w:eastAsia="zh-CN"/>
        </w:rPr>
        <w:t>渝蓉高速公路2022年路面维修处治工程高黏度改性剂采购</w:t>
      </w:r>
      <w:r>
        <w:rPr>
          <w:rFonts w:hint="eastAsia"/>
          <w:b/>
          <w:bCs/>
          <w:szCs w:val="21"/>
        </w:rPr>
        <w:t>项目</w:t>
      </w:r>
    </w:p>
    <w:p>
      <w:pPr>
        <w:spacing w:line="400" w:lineRule="exact"/>
        <w:ind w:firstLine="420" w:firstLineChars="200"/>
        <w:rPr>
          <w:rFonts w:hint="eastAsia"/>
          <w:szCs w:val="21"/>
        </w:rPr>
      </w:pPr>
      <w:r>
        <w:rPr>
          <w:rFonts w:hint="eastAsia"/>
          <w:szCs w:val="21"/>
        </w:rPr>
        <w:t>1.1采购情况：排水路面专用高黏度改性剂</w:t>
      </w:r>
    </w:p>
    <w:p>
      <w:pPr>
        <w:spacing w:line="400" w:lineRule="exact"/>
        <w:ind w:firstLine="420" w:firstLineChars="200"/>
        <w:rPr>
          <w:rFonts w:hint="eastAsia"/>
          <w:szCs w:val="21"/>
        </w:rPr>
      </w:pPr>
      <w:r>
        <w:rPr>
          <w:rFonts w:hint="eastAsia"/>
          <w:szCs w:val="21"/>
        </w:rPr>
        <w:t>1.2交货地点：北碚西山坪拌和站（渝合高速进城方向西山坪隧道出口右侧）</w:t>
      </w:r>
    </w:p>
    <w:p>
      <w:pPr>
        <w:spacing w:line="400" w:lineRule="exact"/>
        <w:ind w:firstLine="420" w:firstLineChars="200"/>
        <w:rPr>
          <w:rFonts w:hint="eastAsia"/>
          <w:szCs w:val="21"/>
        </w:rPr>
      </w:pPr>
      <w:r>
        <w:rPr>
          <w:rFonts w:hint="eastAsia"/>
          <w:szCs w:val="21"/>
        </w:rPr>
        <w:t>1.3交货期：</w:t>
      </w:r>
      <w:r>
        <w:rPr>
          <w:rFonts w:hint="eastAsia" w:ascii="宋体" w:hAnsi="宋体" w:cs="宋体"/>
          <w:kern w:val="0"/>
          <w:szCs w:val="21"/>
        </w:rPr>
        <w:t>合同签订之日起至2022年12月31日，交货时间比选人另行通知。</w:t>
      </w:r>
    </w:p>
    <w:p>
      <w:pPr>
        <w:spacing w:line="400" w:lineRule="exact"/>
        <w:ind w:firstLine="420" w:firstLineChars="200"/>
        <w:rPr>
          <w:rFonts w:hint="eastAsia"/>
          <w:szCs w:val="21"/>
        </w:rPr>
      </w:pPr>
      <w:r>
        <w:rPr>
          <w:rFonts w:hint="eastAsia"/>
          <w:szCs w:val="21"/>
        </w:rPr>
        <w:t>1.4主要工程数量：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977"/>
        <w:gridCol w:w="1573"/>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20" w:type="dxa"/>
            <w:tcBorders>
              <w:top w:val="single" w:color="auto" w:sz="4" w:space="0"/>
              <w:left w:val="single" w:color="auto" w:sz="4" w:space="0"/>
              <w:right w:val="single" w:color="auto" w:sz="4" w:space="0"/>
            </w:tcBorders>
            <w:noWrap w:val="0"/>
            <w:vAlign w:val="center"/>
          </w:tcPr>
          <w:p>
            <w:pPr>
              <w:widowControl/>
              <w:shd w:val="clear" w:color="auto" w:fill="FFFFFF"/>
              <w:jc w:val="center"/>
              <w:rPr>
                <w:rFonts w:hint="eastAsia" w:ascii="宋体" w:hAnsi="宋体" w:cs="宋体"/>
                <w:bCs/>
                <w:kern w:val="0"/>
                <w:szCs w:val="21"/>
              </w:rPr>
            </w:pPr>
            <w:r>
              <w:rPr>
                <w:rFonts w:hint="eastAsia" w:ascii="宋体" w:hAnsi="宋体" w:cs="宋体"/>
                <w:bCs/>
                <w:kern w:val="0"/>
                <w:szCs w:val="21"/>
              </w:rPr>
              <w:t>序号</w:t>
            </w:r>
          </w:p>
        </w:tc>
        <w:tc>
          <w:tcPr>
            <w:tcW w:w="2977" w:type="dxa"/>
            <w:tcBorders>
              <w:top w:val="single" w:color="auto" w:sz="4" w:space="0"/>
              <w:left w:val="single" w:color="auto" w:sz="4" w:space="0"/>
              <w:right w:val="single" w:color="auto" w:sz="4" w:space="0"/>
            </w:tcBorders>
            <w:noWrap w:val="0"/>
            <w:vAlign w:val="center"/>
          </w:tcPr>
          <w:p>
            <w:pPr>
              <w:widowControl/>
              <w:shd w:val="clear" w:color="auto" w:fill="FFFFFF"/>
              <w:jc w:val="center"/>
              <w:rPr>
                <w:rFonts w:ascii="宋体" w:hAnsi="宋体" w:cs="宋体"/>
                <w:bCs/>
                <w:kern w:val="0"/>
                <w:szCs w:val="21"/>
              </w:rPr>
            </w:pPr>
            <w:r>
              <w:rPr>
                <w:rFonts w:hint="eastAsia" w:ascii="宋体" w:hAnsi="宋体" w:cs="宋体"/>
                <w:bCs/>
                <w:kern w:val="0"/>
                <w:szCs w:val="21"/>
              </w:rPr>
              <w:t>采购规格型号</w:t>
            </w:r>
          </w:p>
        </w:tc>
        <w:tc>
          <w:tcPr>
            <w:tcW w:w="1573" w:type="dxa"/>
            <w:tcBorders>
              <w:top w:val="single" w:color="auto" w:sz="4" w:space="0"/>
              <w:left w:val="single" w:color="auto" w:sz="4" w:space="0"/>
              <w:right w:val="single" w:color="auto" w:sz="4" w:space="0"/>
            </w:tcBorders>
            <w:noWrap w:val="0"/>
            <w:vAlign w:val="center"/>
          </w:tcPr>
          <w:p>
            <w:pPr>
              <w:widowControl/>
              <w:shd w:val="clear" w:color="auto" w:fill="FFFFFF"/>
              <w:jc w:val="center"/>
              <w:rPr>
                <w:rFonts w:hint="eastAsia" w:ascii="宋体" w:hAnsi="宋体" w:cs="宋体"/>
                <w:bCs/>
                <w:kern w:val="0"/>
                <w:szCs w:val="21"/>
              </w:rPr>
            </w:pPr>
            <w:r>
              <w:rPr>
                <w:rFonts w:hint="eastAsia" w:ascii="宋体" w:hAnsi="宋体" w:cs="宋体"/>
                <w:bCs/>
                <w:kern w:val="0"/>
                <w:szCs w:val="21"/>
              </w:rPr>
              <w:t>暂估数量</w:t>
            </w:r>
          </w:p>
        </w:tc>
        <w:tc>
          <w:tcPr>
            <w:tcW w:w="3313" w:type="dxa"/>
            <w:tcBorders>
              <w:top w:val="single" w:color="auto" w:sz="4" w:space="0"/>
              <w:left w:val="single" w:color="auto" w:sz="4" w:space="0"/>
              <w:right w:val="single" w:color="auto" w:sz="4" w:space="0"/>
            </w:tcBorders>
            <w:noWrap w:val="0"/>
            <w:vAlign w:val="center"/>
          </w:tcPr>
          <w:p>
            <w:pPr>
              <w:shd w:val="clear" w:color="auto" w:fill="FFFFFF"/>
              <w:jc w:val="center"/>
              <w:rPr>
                <w:rFonts w:hint="eastAsia" w:ascii="宋体" w:hAnsi="宋体" w:cs="宋体"/>
                <w:bCs/>
                <w:kern w:val="0"/>
                <w:szCs w:val="21"/>
              </w:rPr>
            </w:pPr>
            <w:r>
              <w:rPr>
                <w:rFonts w:hint="eastAsia" w:ascii="宋体" w:hAnsi="宋体" w:cs="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cs="宋体"/>
                <w:kern w:val="0"/>
                <w:szCs w:val="21"/>
              </w:rPr>
            </w:pPr>
            <w:r>
              <w:rPr>
                <w:rFonts w:hint="eastAsia" w:ascii="宋体" w:hAnsi="宋体" w:cs="宋体"/>
                <w:kern w:val="0"/>
                <w:szCs w:val="21"/>
              </w:rPr>
              <w:t>1</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cs="宋体"/>
                <w:kern w:val="0"/>
                <w:szCs w:val="21"/>
              </w:rPr>
            </w:pPr>
            <w:r>
              <w:rPr>
                <w:rFonts w:hint="eastAsia"/>
                <w:szCs w:val="21"/>
              </w:rPr>
              <w:t>高黏度改性剂</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ascii="宋体" w:hAnsi="宋体" w:cs="宋体"/>
                <w:kern w:val="0"/>
                <w:szCs w:val="21"/>
              </w:rPr>
            </w:pPr>
            <w:r>
              <w:rPr>
                <w:rFonts w:hint="eastAsia" w:ascii="宋体" w:hAnsi="宋体" w:cs="宋体"/>
                <w:kern w:val="0"/>
                <w:szCs w:val="21"/>
              </w:rPr>
              <w:t>12吨</w:t>
            </w:r>
          </w:p>
        </w:tc>
        <w:tc>
          <w:tcPr>
            <w:tcW w:w="3313" w:type="dxa"/>
            <w:tcBorders>
              <w:top w:val="single" w:color="auto" w:sz="4" w:space="0"/>
              <w:left w:val="single" w:color="auto" w:sz="4" w:space="0"/>
              <w:right w:val="single" w:color="auto" w:sz="4" w:space="0"/>
            </w:tcBorders>
            <w:noWrap w:val="0"/>
            <w:vAlign w:val="center"/>
          </w:tcPr>
          <w:p>
            <w:pPr>
              <w:shd w:val="clear" w:color="auto" w:fill="FFFFFF"/>
              <w:spacing w:line="420" w:lineRule="exact"/>
              <w:jc w:val="center"/>
              <w:rPr>
                <w:rFonts w:ascii="宋体" w:hAnsi="宋体" w:cs="宋体"/>
                <w:kern w:val="0"/>
                <w:szCs w:val="21"/>
              </w:rPr>
            </w:pPr>
            <w:r>
              <w:rPr>
                <w:rFonts w:hint="eastAsia" w:ascii="宋体" w:hAnsi="宋体" w:cs="宋体"/>
                <w:kern w:val="0"/>
                <w:szCs w:val="21"/>
                <w:lang w:bidi="ar"/>
              </w:rPr>
              <w:t>含技术服务</w:t>
            </w:r>
          </w:p>
        </w:tc>
      </w:tr>
    </w:tbl>
    <w:p>
      <w:pPr>
        <w:spacing w:line="360" w:lineRule="exact"/>
        <w:rPr>
          <w:b/>
          <w:szCs w:val="21"/>
        </w:rPr>
      </w:pPr>
      <w:r>
        <w:rPr>
          <w:b/>
          <w:szCs w:val="21"/>
        </w:rPr>
        <w:t>二、</w:t>
      </w:r>
      <w:r>
        <w:rPr>
          <w:rFonts w:hint="eastAsia"/>
          <w:b/>
          <w:szCs w:val="21"/>
        </w:rPr>
        <w:t>比选申请</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keepNext w:val="0"/>
        <w:keepLines w:val="0"/>
        <w:widowControl/>
        <w:suppressLineNumbers w:val="0"/>
        <w:pBdr>
          <w:left w:val="none" w:color="auto" w:sz="0" w:space="0"/>
          <w:right w:val="none" w:color="auto" w:sz="0" w:space="0"/>
        </w:pBdr>
        <w:ind w:left="0" w:firstLine="480" w:firstLineChars="200"/>
        <w:jc w:val="left"/>
        <w:rPr>
          <w:rFonts w:hint="default" w:eastAsia="宋体"/>
          <w:szCs w:val="21"/>
          <w:lang w:val="en-US" w:eastAsia="zh-CN"/>
        </w:rPr>
      </w:pPr>
      <w:bookmarkStart w:id="24" w:name="_Toc296602413"/>
      <w:bookmarkStart w:id="25" w:name="_Toc144974490"/>
      <w:bookmarkStart w:id="26" w:name="_Toc246996169"/>
      <w:bookmarkStart w:id="27" w:name="_Toc152042298"/>
      <w:bookmarkStart w:id="28" w:name="_Toc179632539"/>
      <w:bookmarkStart w:id="29" w:name="_Toc152045522"/>
      <w:bookmarkStart w:id="30" w:name="_Toc246996912"/>
      <w:bookmarkStart w:id="31" w:name="_Toc247085683"/>
      <w:r>
        <w:rPr>
          <w:rFonts w:hint="eastAsia" w:ascii="宋体" w:hAnsi="宋体" w:cs="宋体"/>
          <w:kern w:val="0"/>
          <w:sz w:val="24"/>
          <w:szCs w:val="24"/>
          <w:lang w:val="en-US" w:eastAsia="zh-CN" w:bidi="ar"/>
        </w:rPr>
        <w:t>具体要求如下：</w:t>
      </w:r>
    </w:p>
    <w:p>
      <w:pPr>
        <w:spacing w:line="360" w:lineRule="auto"/>
        <w:ind w:firstLine="420" w:firstLineChars="200"/>
        <w:outlineLvl w:val="0"/>
        <w:rPr>
          <w:rFonts w:hint="default" w:ascii="宋体" w:hAnsi="宋体" w:eastAsia="宋体" w:cs="宋体"/>
          <w:color w:val="FF0000"/>
          <w:szCs w:val="21"/>
          <w:highlight w:val="none"/>
          <w:lang w:val="en-US" w:eastAsia="zh-CN"/>
        </w:rPr>
      </w:pPr>
      <w:r>
        <w:rPr>
          <w:rFonts w:hint="eastAsia"/>
          <w:color w:val="FF0000"/>
          <w:szCs w:val="21"/>
          <w:highlight w:val="none"/>
        </w:rPr>
        <w:t>（1）资质要求：</w:t>
      </w:r>
      <w:r>
        <w:rPr>
          <w:rFonts w:ascii="Arial" w:hAnsi="Arial" w:eastAsia="Arial" w:cs="Arial"/>
          <w:i w:val="0"/>
          <w:iCs w:val="0"/>
          <w:caps w:val="0"/>
          <w:color w:val="333333"/>
          <w:spacing w:val="0"/>
          <w:sz w:val="21"/>
          <w:szCs w:val="21"/>
          <w:shd w:val="clear" w:fill="FFFFFF"/>
        </w:rPr>
        <w:t>具备独立法人资格、有效的营业执照的生产厂商或供应商</w:t>
      </w:r>
      <w:r>
        <w:rPr>
          <w:rFonts w:hint="eastAsia" w:ascii="宋体" w:hAnsi="宋体" w:cs="宋体"/>
          <w:b/>
          <w:bCs/>
          <w:color w:val="FF0000"/>
          <w:szCs w:val="21"/>
          <w:highlight w:val="none"/>
          <w:lang w:val="en-US" w:eastAsia="zh-CN"/>
        </w:rPr>
        <w:t>。</w:t>
      </w:r>
    </w:p>
    <w:p>
      <w:pPr>
        <w:spacing w:line="360" w:lineRule="auto"/>
        <w:ind w:firstLine="420" w:firstLineChars="200"/>
        <w:outlineLvl w:val="0"/>
        <w:rPr>
          <w:rFonts w:hint="eastAsia" w:eastAsia="宋体"/>
          <w:color w:val="FF0000"/>
          <w:szCs w:val="21"/>
          <w:lang w:eastAsia="zh-CN"/>
        </w:rPr>
      </w:pPr>
      <w:r>
        <w:rPr>
          <w:rFonts w:hint="eastAsia"/>
          <w:color w:val="FF0000"/>
          <w:szCs w:val="21"/>
        </w:rPr>
        <w:t>（2）业绩要求：</w:t>
      </w:r>
      <w:r>
        <w:rPr>
          <w:rFonts w:hint="eastAsia" w:ascii="宋体" w:hAnsi="宋体" w:cs="宋体"/>
          <w:color w:val="FF0000"/>
          <w:szCs w:val="21"/>
        </w:rPr>
        <w:t>投标人</w:t>
      </w:r>
      <w:r>
        <w:rPr>
          <w:rFonts w:hint="eastAsia" w:ascii="宋体" w:hAnsi="宋体" w:cs="宋体"/>
          <w:color w:val="FF0000"/>
          <w:szCs w:val="21"/>
          <w:lang w:val="en-US" w:eastAsia="zh-CN"/>
        </w:rPr>
        <w:t>参选</w:t>
      </w:r>
      <w:r>
        <w:rPr>
          <w:rFonts w:hint="eastAsia"/>
          <w:szCs w:val="21"/>
        </w:rPr>
        <w:t>高黏度改性剂</w:t>
      </w:r>
      <w:r>
        <w:rPr>
          <w:rFonts w:hint="eastAsia" w:ascii="宋体" w:hAnsi="宋体" w:cs="宋体"/>
          <w:color w:val="FF0000"/>
          <w:szCs w:val="21"/>
          <w:lang w:val="en-US" w:eastAsia="zh-CN"/>
        </w:rPr>
        <w:t>品牌需满足</w:t>
      </w:r>
      <w:r>
        <w:rPr>
          <w:rFonts w:hint="eastAsia" w:ascii="宋体" w:hAnsi="宋体" w:cs="宋体"/>
          <w:color w:val="FF0000"/>
          <w:szCs w:val="21"/>
        </w:rPr>
        <w:t>中国境内近</w:t>
      </w:r>
      <w:r>
        <w:rPr>
          <w:rFonts w:hint="eastAsia" w:ascii="宋体" w:hAnsi="宋体" w:cs="宋体"/>
          <w:color w:val="FF0000"/>
          <w:szCs w:val="21"/>
          <w:highlight w:val="none"/>
          <w:lang w:val="en-US" w:eastAsia="zh-CN"/>
        </w:rPr>
        <w:t>5</w:t>
      </w:r>
      <w:r>
        <w:rPr>
          <w:rFonts w:hint="eastAsia" w:ascii="宋体" w:hAnsi="宋体" w:cs="宋体"/>
          <w:color w:val="FF0000"/>
          <w:szCs w:val="21"/>
        </w:rPr>
        <w:t>年内累计销售业绩不少于</w:t>
      </w:r>
      <w:r>
        <w:rPr>
          <w:rFonts w:hint="eastAsia" w:ascii="宋体" w:hAnsi="宋体" w:cs="宋体"/>
          <w:color w:val="FF0000"/>
          <w:szCs w:val="21"/>
          <w:lang w:val="en-US" w:eastAsia="zh-CN"/>
        </w:rPr>
        <w:t>20</w:t>
      </w:r>
      <w:r>
        <w:rPr>
          <w:rFonts w:hint="eastAsia" w:ascii="宋体" w:hAnsi="宋体" w:cs="宋体"/>
          <w:color w:val="FF0000"/>
          <w:szCs w:val="21"/>
        </w:rPr>
        <w:t>吨</w:t>
      </w:r>
      <w:r>
        <w:rPr>
          <w:rFonts w:hint="eastAsia" w:ascii="宋体" w:hAnsi="宋体" w:cs="宋体"/>
          <w:color w:val="FF0000"/>
          <w:szCs w:val="21"/>
          <w:lang w:eastAsia="zh-CN"/>
        </w:rPr>
        <w:t>，</w:t>
      </w:r>
      <w:r>
        <w:rPr>
          <w:rFonts w:hint="eastAsia" w:ascii="宋体" w:hAnsi="宋体" w:cs="宋体"/>
          <w:color w:val="FF0000"/>
          <w:szCs w:val="21"/>
        </w:rPr>
        <w:t>3个及以上高速公路应用项目，且已使用</w:t>
      </w:r>
      <w:r>
        <w:rPr>
          <w:rFonts w:hint="eastAsia" w:ascii="宋体" w:hAnsi="宋体" w:cs="宋体"/>
          <w:color w:val="FF0000"/>
          <w:szCs w:val="21"/>
          <w:highlight w:val="none"/>
          <w:lang w:val="en-US" w:eastAsia="zh-CN"/>
        </w:rPr>
        <w:t>2</w:t>
      </w:r>
      <w:r>
        <w:rPr>
          <w:rFonts w:hint="eastAsia" w:ascii="宋体" w:hAnsi="宋体" w:cs="宋体"/>
          <w:color w:val="FF0000"/>
          <w:szCs w:val="21"/>
        </w:rPr>
        <w:t>年以上</w:t>
      </w:r>
      <w:r>
        <w:rPr>
          <w:rFonts w:hint="eastAsia" w:ascii="宋体" w:hAnsi="宋体" w:cs="宋体"/>
          <w:color w:val="FF0000"/>
          <w:szCs w:val="21"/>
          <w:lang w:val="en-US" w:eastAsia="zh-CN"/>
        </w:rPr>
        <w:t>的销售业绩。</w:t>
      </w:r>
      <w:r>
        <w:rPr>
          <w:rFonts w:hint="eastAsia" w:ascii="宋体" w:hAnsi="宋体" w:cs="宋体"/>
          <w:color w:val="FF0000"/>
          <w:szCs w:val="21"/>
          <w:lang w:eastAsia="zh-CN"/>
        </w:rPr>
        <w:t>销售业绩以该品牌合同累加量为准（需提供相关合同复印件）</w:t>
      </w:r>
    </w:p>
    <w:p>
      <w:pPr>
        <w:adjustRightInd w:val="0"/>
        <w:snapToGrid w:val="0"/>
        <w:spacing w:line="460" w:lineRule="exact"/>
        <w:ind w:firstLine="315" w:firstLineChars="150"/>
        <w:rPr>
          <w:rFonts w:ascii="宋体" w:hAnsi="宋体" w:cs="宋体"/>
          <w:color w:val="auto"/>
          <w:szCs w:val="21"/>
          <w:highlight w:val="none"/>
        </w:rPr>
      </w:pPr>
      <w:r>
        <w:rPr>
          <w:rFonts w:hint="eastAsia"/>
          <w:color w:val="000000"/>
          <w:szCs w:val="21"/>
        </w:rPr>
        <w:t>（3）</w:t>
      </w:r>
      <w:r>
        <w:rPr>
          <w:rFonts w:hint="eastAsia" w:ascii="宋体" w:hAnsi="宋体" w:cs="宋体"/>
          <w:color w:val="000000"/>
          <w:szCs w:val="21"/>
        </w:rPr>
        <w:t>投标人需配备</w:t>
      </w:r>
      <w:r>
        <w:rPr>
          <w:rFonts w:hint="eastAsia" w:ascii="宋体" w:hAnsi="宋体" w:cs="宋体"/>
          <w:color w:val="auto"/>
          <w:szCs w:val="21"/>
          <w:highlight w:val="none"/>
          <w:lang w:val="en-US" w:eastAsia="zh-CN"/>
        </w:rPr>
        <w:t>Superpave</w:t>
      </w:r>
      <w:r>
        <w:rPr>
          <w:rFonts w:hint="eastAsia" w:ascii="宋体" w:hAnsi="宋体" w:cs="宋体"/>
          <w:color w:val="auto"/>
          <w:szCs w:val="21"/>
          <w:highlight w:val="none"/>
        </w:rPr>
        <w:t>全套试验设备</w:t>
      </w:r>
      <w:r>
        <w:rPr>
          <w:rFonts w:hint="eastAsia" w:ascii="宋体" w:hAnsi="宋体" w:cs="宋体"/>
          <w:color w:val="auto"/>
          <w:szCs w:val="21"/>
        </w:rPr>
        <w:t>及高低温交变实验室，保证设备状态良好可完成相应检测试验（比选方进行考察</w:t>
      </w:r>
      <w:r>
        <w:rPr>
          <w:rFonts w:hint="eastAsia" w:ascii="宋体" w:hAnsi="宋体" w:cs="宋体"/>
          <w:color w:val="auto"/>
          <w:szCs w:val="21"/>
          <w:highlight w:val="none"/>
        </w:rPr>
        <w:t>）。</w:t>
      </w:r>
    </w:p>
    <w:p>
      <w:pPr>
        <w:adjustRightInd w:val="0"/>
        <w:snapToGrid w:val="0"/>
        <w:spacing w:line="460" w:lineRule="exact"/>
        <w:ind w:firstLine="315" w:firstLineChars="150"/>
        <w:rPr>
          <w:rFonts w:hint="eastAsia"/>
          <w:color w:val="FF0000"/>
          <w:szCs w:val="21"/>
        </w:rPr>
      </w:pPr>
      <w:r>
        <w:rPr>
          <w:rFonts w:hint="eastAsia" w:ascii="宋体" w:hAnsi="宋体" w:cs="宋体"/>
          <w:szCs w:val="21"/>
        </w:rPr>
        <w:t>（4）</w:t>
      </w:r>
      <w:r>
        <w:rPr>
          <w:rFonts w:hint="eastAsia" w:ascii="宋体" w:hAnsi="宋体" w:cs="宋体"/>
          <w:szCs w:val="21"/>
          <w:u w:val="none"/>
        </w:rPr>
        <w:t>提供高黏度改性剂产品合格证</w:t>
      </w:r>
      <w:r>
        <w:rPr>
          <w:rFonts w:hint="eastAsia" w:ascii="宋体" w:hAnsi="宋体" w:cs="宋体"/>
          <w:szCs w:val="21"/>
          <w:u w:val="none"/>
          <w:lang w:eastAsia="zh-CN"/>
        </w:rPr>
        <w:t>（</w:t>
      </w:r>
      <w:r>
        <w:rPr>
          <w:rFonts w:hint="eastAsia" w:ascii="宋体" w:hAnsi="宋体" w:cs="宋体"/>
          <w:szCs w:val="21"/>
          <w:u w:val="none"/>
          <w:lang w:val="en-US" w:eastAsia="zh-CN"/>
        </w:rPr>
        <w:t>比选时提供</w:t>
      </w:r>
      <w:r>
        <w:rPr>
          <w:rFonts w:hint="eastAsia" w:ascii="宋体" w:hAnsi="宋体" w:cs="宋体"/>
          <w:szCs w:val="21"/>
          <w:u w:val="none"/>
          <w:lang w:eastAsia="zh-CN"/>
        </w:rPr>
        <w:t>）</w:t>
      </w:r>
      <w:r>
        <w:rPr>
          <w:rFonts w:hint="eastAsia" w:ascii="宋体" w:hAnsi="宋体" w:cs="宋体"/>
          <w:szCs w:val="21"/>
          <w:u w:val="none"/>
        </w:rPr>
        <w:t>和添加高黏度改性剂后的高黏度改性沥青检测报告（含60℃动力粘度指标）</w:t>
      </w:r>
      <w:r>
        <w:rPr>
          <w:rFonts w:hint="eastAsia" w:ascii="宋体" w:hAnsi="宋体" w:cs="宋体"/>
          <w:szCs w:val="21"/>
          <w:u w:val="none"/>
          <w:lang w:eastAsia="zh-CN"/>
        </w:rPr>
        <w:t>（</w:t>
      </w:r>
      <w:r>
        <w:rPr>
          <w:rFonts w:hint="eastAsia" w:ascii="宋体" w:hAnsi="宋体" w:cs="宋体"/>
          <w:szCs w:val="21"/>
          <w:u w:val="none"/>
          <w:lang w:val="en-US" w:eastAsia="zh-CN"/>
        </w:rPr>
        <w:t>中选后提供，具体时间以比选人要求为准</w:t>
      </w:r>
      <w:r>
        <w:rPr>
          <w:rFonts w:hint="eastAsia" w:ascii="宋体" w:hAnsi="宋体" w:cs="宋体"/>
          <w:szCs w:val="21"/>
          <w:u w:val="none"/>
          <w:lang w:eastAsia="zh-CN"/>
        </w:rPr>
        <w:t>）</w:t>
      </w:r>
      <w:r>
        <w:rPr>
          <w:rFonts w:hint="eastAsia" w:ascii="宋体" w:hAnsi="宋体" w:cs="宋体"/>
          <w:szCs w:val="21"/>
          <w:u w:val="none"/>
        </w:rPr>
        <w:t>，</w:t>
      </w:r>
      <w:r>
        <w:rPr>
          <w:rFonts w:hint="eastAsia" w:ascii="宋体" w:hAnsi="宋体" w:cs="宋体"/>
          <w:szCs w:val="21"/>
        </w:rPr>
        <w:t>高黏度改性剂质量应符合JT/T860.1-2013《沥青混合料改性添加剂》要求，且不低于国家相关技术标准。</w:t>
      </w:r>
    </w:p>
    <w:p>
      <w:pPr>
        <w:spacing w:line="360" w:lineRule="exact"/>
        <w:rPr>
          <w:b/>
          <w:szCs w:val="21"/>
        </w:rPr>
      </w:pPr>
      <w:r>
        <w:rPr>
          <w:b/>
          <w:szCs w:val="21"/>
        </w:rPr>
        <w:t>三、</w:t>
      </w:r>
      <w:r>
        <w:rPr>
          <w:rFonts w:hint="eastAsia"/>
          <w:b/>
          <w:szCs w:val="21"/>
        </w:rPr>
        <w:t>比选申请</w:t>
      </w:r>
      <w:r>
        <w:rPr>
          <w:b/>
          <w:szCs w:val="21"/>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（1）竞标报价为全费用综合单价。比选申请人应提供合法有效且符合比选人要求的增值税专用发票（税率为：</w:t>
      </w:r>
      <w:r>
        <w:rPr>
          <w:rFonts w:hint="eastAsia"/>
          <w:szCs w:val="21"/>
          <w:u w:val="single"/>
        </w:rPr>
        <w:t xml:space="preserve"> 13 </w:t>
      </w:r>
      <w:r>
        <w:rPr>
          <w:rFonts w:hint="eastAsia"/>
          <w:szCs w:val="21"/>
        </w:rPr>
        <w:t>%）。因比选申请人开具的发票不规范、不合法或涉嫌虚开发票引起税务问题的，比选申请人需依法向比选人重新开具发票，并向比选人承担赔偿责任，包括但不限于税款、滞纳金、罚款及相关损失等。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（2）报价表中的工程量为比选人暂估量，如实际工程量与暂估量有出入，则该出入部分工程量单价按签约合同单价计量。</w:t>
      </w:r>
    </w:p>
    <w:p>
      <w:pPr>
        <w:spacing w:line="360" w:lineRule="exact"/>
        <w:ind w:firstLine="420" w:firstLineChars="200"/>
        <w:outlineLvl w:val="0"/>
        <w:rPr>
          <w:rFonts w:hint="eastAsia"/>
          <w:szCs w:val="21"/>
        </w:rPr>
      </w:pPr>
      <w:r>
        <w:rPr>
          <w:rFonts w:hint="eastAsia"/>
          <w:szCs w:val="21"/>
        </w:rPr>
        <w:t>（3）本项目最高总限价为：</w:t>
      </w:r>
      <w:r>
        <w:rPr>
          <w:rFonts w:hint="eastAsia"/>
          <w:szCs w:val="21"/>
          <w:u w:val="single"/>
        </w:rPr>
        <w:t>480000</w:t>
      </w:r>
      <w:r>
        <w:rPr>
          <w:rFonts w:hint="eastAsia"/>
          <w:szCs w:val="21"/>
        </w:rPr>
        <w:t>元（大写：</w:t>
      </w:r>
      <w:r>
        <w:rPr>
          <w:rFonts w:hint="eastAsia"/>
          <w:szCs w:val="21"/>
          <w:u w:val="single"/>
        </w:rPr>
        <w:t>肆拾捌万元整</w:t>
      </w:r>
      <w:r>
        <w:rPr>
          <w:rFonts w:hint="eastAsia"/>
          <w:szCs w:val="21"/>
        </w:rPr>
        <w:t>），具体详见“已标价报价清单”。</w:t>
      </w:r>
    </w:p>
    <w:p>
      <w:pPr>
        <w:spacing w:line="360" w:lineRule="exact"/>
        <w:ind w:firstLine="420" w:firstLineChars="200"/>
        <w:outlineLvl w:val="0"/>
        <w:rPr>
          <w:rFonts w:hint="eastAsia"/>
          <w:szCs w:val="21"/>
        </w:rPr>
      </w:pPr>
      <w:r>
        <w:rPr>
          <w:rFonts w:hint="eastAsia"/>
          <w:szCs w:val="21"/>
        </w:rPr>
        <w:t>注：比选申请人的竞标报价均不得超过比选人公布的相应最高限价否则均为无效竞标（如有单价限价，比选申请人所报的单价不能超过单价限价）。</w:t>
      </w:r>
    </w:p>
    <w:p>
      <w:pPr>
        <w:spacing w:line="360" w:lineRule="exact"/>
        <w:ind w:firstLine="420" w:firstLineChars="200"/>
        <w:rPr>
          <w:rFonts w:hint="eastAsia"/>
          <w:szCs w:val="21"/>
        </w:rPr>
      </w:pPr>
      <w:r>
        <w:rPr>
          <w:rFonts w:hint="eastAsia"/>
          <w:szCs w:val="21"/>
        </w:rPr>
        <w:t>2、货物或服务的要求：</w:t>
      </w:r>
    </w:p>
    <w:p>
      <w:pPr>
        <w:spacing w:line="360" w:lineRule="exact"/>
        <w:ind w:firstLine="420" w:firstLineChars="200"/>
        <w:rPr>
          <w:rFonts w:hint="eastAsia"/>
          <w:szCs w:val="21"/>
        </w:rPr>
      </w:pPr>
      <w:r>
        <w:rPr>
          <w:rFonts w:hint="eastAsia"/>
          <w:szCs w:val="21"/>
        </w:rPr>
        <w:t>（1）质量要求：</w:t>
      </w:r>
    </w:p>
    <w:p>
      <w:pPr>
        <w:spacing w:line="360" w:lineRule="exact"/>
        <w:ind w:firstLine="420" w:firstLineChars="200"/>
        <w:rPr>
          <w:rFonts w:hint="eastAsia" w:ascii="宋体" w:hAnsi="宋体" w:cs="宋体"/>
          <w:szCs w:val="21"/>
        </w:rPr>
      </w:pPr>
      <w:r>
        <w:rPr>
          <w:rFonts w:ascii="Calibri" w:hAnsi="Calibri" w:cs="Calibri"/>
          <w:szCs w:val="21"/>
        </w:rPr>
        <w:t>①</w:t>
      </w:r>
      <w:r>
        <w:rPr>
          <w:rFonts w:hint="eastAsia" w:ascii="宋体" w:hAnsi="宋体" w:cs="宋体"/>
          <w:szCs w:val="21"/>
        </w:rPr>
        <w:t>竞标人提供的</w:t>
      </w:r>
      <w:r>
        <w:rPr>
          <w:rFonts w:hint="eastAsia" w:ascii="宋体" w:hAnsi="宋体" w:cs="宋体"/>
          <w:szCs w:val="21"/>
          <w:lang w:val="en-GB"/>
        </w:rPr>
        <w:t>高黏度改性剂，质量检验不低于国家相关技术标准及</w:t>
      </w:r>
      <w:r>
        <w:rPr>
          <w:rFonts w:hint="eastAsia" w:ascii="宋体" w:hAnsi="宋体" w:cs="宋体"/>
          <w:szCs w:val="21"/>
        </w:rPr>
        <w:t>比选人</w:t>
      </w:r>
      <w:r>
        <w:rPr>
          <w:rFonts w:hint="eastAsia" w:ascii="宋体" w:hAnsi="宋体" w:cs="宋体"/>
          <w:szCs w:val="21"/>
          <w:lang w:val="en-GB"/>
        </w:rPr>
        <w:t>设计文件要求。</w:t>
      </w:r>
      <w:r>
        <w:rPr>
          <w:rFonts w:hint="eastAsia" w:ascii="宋体" w:hAnsi="宋体" w:cs="宋体"/>
          <w:szCs w:val="21"/>
        </w:rPr>
        <w:t>因产品质量导致的全部损失及后果责任均由竞标人承担。</w:t>
      </w:r>
    </w:p>
    <w:p>
      <w:pPr>
        <w:pStyle w:val="2"/>
        <w:ind w:firstLine="420" w:firstLineChars="200"/>
        <w:rPr>
          <w:rFonts w:hint="eastAsia"/>
        </w:rPr>
      </w:pPr>
      <w:r>
        <w:rPr>
          <w:rFonts w:ascii="Calibri" w:hAnsi="Calibri" w:cs="Calibri"/>
        </w:rPr>
        <w:t>②</w:t>
      </w:r>
      <w:r>
        <w:rPr>
          <w:rFonts w:hint="eastAsia" w:ascii="宋体" w:hAnsi="宋体" w:cs="宋体"/>
          <w:szCs w:val="21"/>
        </w:rPr>
        <w:t>投标人须提供高黏度改性剂产品合格证和添加高黏度改性剂后的高黏度改性沥青检测报告（含60℃动力粘度指标），高黏度改性剂质量应符合JT/T860.1-2013《沥青混合料改性添加剂》要求，且不低于国家相关技术标准。</w:t>
      </w:r>
      <w:r>
        <w:rPr>
          <w:rFonts w:hint="eastAsia"/>
        </w:rPr>
        <w:t>技术标准及要求满足以下指标：</w:t>
      </w:r>
    </w:p>
    <w:p>
      <w:pPr>
        <w:jc w:val="center"/>
      </w:pPr>
      <w:r>
        <w:t>排水沥青路面专用</w:t>
      </w:r>
      <w:r>
        <w:rPr>
          <w:rFonts w:hint="eastAsia"/>
        </w:rPr>
        <w:t>高黏度改性剂</w:t>
      </w:r>
      <w:r>
        <w:t>要求</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2092"/>
        <w:gridCol w:w="267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82" w:type="pct"/>
            <w:noWrap w:val="0"/>
            <w:vAlign w:val="center"/>
          </w:tcPr>
          <w:p>
            <w:pPr>
              <w:jc w:val="center"/>
            </w:pPr>
            <w:r>
              <w:t>指标</w:t>
            </w:r>
          </w:p>
        </w:tc>
        <w:tc>
          <w:tcPr>
            <w:tcW w:w="1113" w:type="pct"/>
            <w:noWrap w:val="0"/>
            <w:vAlign w:val="center"/>
          </w:tcPr>
          <w:p>
            <w:pPr>
              <w:jc w:val="center"/>
            </w:pPr>
            <w:r>
              <w:t>单位</w:t>
            </w:r>
          </w:p>
        </w:tc>
        <w:tc>
          <w:tcPr>
            <w:tcW w:w="1423" w:type="pct"/>
            <w:noWrap w:val="0"/>
            <w:vAlign w:val="center"/>
          </w:tcPr>
          <w:p>
            <w:pPr>
              <w:jc w:val="center"/>
            </w:pPr>
            <w:r>
              <w:t>技术要求</w:t>
            </w:r>
          </w:p>
        </w:tc>
        <w:tc>
          <w:tcPr>
            <w:tcW w:w="1081" w:type="pct"/>
            <w:noWrap w:val="0"/>
            <w:vAlign w:val="center"/>
          </w:tcPr>
          <w:p>
            <w:pPr>
              <w:jc w:val="center"/>
            </w:pPr>
            <w: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82" w:type="pct"/>
            <w:noWrap w:val="0"/>
            <w:vAlign w:val="center"/>
          </w:tcPr>
          <w:p>
            <w:pPr>
              <w:jc w:val="center"/>
            </w:pPr>
            <w:r>
              <w:t>外观</w:t>
            </w:r>
          </w:p>
        </w:tc>
        <w:tc>
          <w:tcPr>
            <w:tcW w:w="1113" w:type="pct"/>
            <w:noWrap w:val="0"/>
            <w:vAlign w:val="center"/>
          </w:tcPr>
          <w:p>
            <w:pPr>
              <w:jc w:val="center"/>
            </w:pPr>
            <w:r>
              <w:t>-</w:t>
            </w:r>
          </w:p>
        </w:tc>
        <w:tc>
          <w:tcPr>
            <w:tcW w:w="1423" w:type="pct"/>
            <w:noWrap w:val="0"/>
            <w:vAlign w:val="center"/>
          </w:tcPr>
          <w:p>
            <w:pPr>
              <w:jc w:val="center"/>
            </w:pPr>
            <w:r>
              <w:t>颗粒状，均匀、饱满（以样品为准）</w:t>
            </w:r>
          </w:p>
        </w:tc>
        <w:tc>
          <w:tcPr>
            <w:tcW w:w="1081" w:type="pct"/>
            <w:noWrap w:val="0"/>
            <w:vAlign w:val="center"/>
          </w:tcPr>
          <w:p>
            <w:pPr>
              <w:jc w:val="center"/>
            </w:pPr>
            <w:r>
              <w:t>JT 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pct"/>
            <w:noWrap w:val="0"/>
            <w:vAlign w:val="center"/>
          </w:tcPr>
          <w:p>
            <w:pPr>
              <w:jc w:val="center"/>
            </w:pPr>
            <w:r>
              <w:t>单粒颗粒质量，不大于*</w:t>
            </w:r>
          </w:p>
        </w:tc>
        <w:tc>
          <w:tcPr>
            <w:tcW w:w="1113" w:type="pct"/>
            <w:noWrap w:val="0"/>
            <w:vAlign w:val="center"/>
          </w:tcPr>
          <w:p>
            <w:pPr>
              <w:jc w:val="center"/>
            </w:pPr>
            <w:r>
              <w:t>g</w:t>
            </w:r>
          </w:p>
        </w:tc>
        <w:tc>
          <w:tcPr>
            <w:tcW w:w="1423" w:type="pct"/>
            <w:noWrap w:val="0"/>
            <w:vAlign w:val="center"/>
          </w:tcPr>
          <w:p>
            <w:pPr>
              <w:jc w:val="center"/>
            </w:pPr>
            <w:r>
              <w:t>0.03</w:t>
            </w:r>
          </w:p>
        </w:tc>
        <w:tc>
          <w:tcPr>
            <w:tcW w:w="1081" w:type="pct"/>
            <w:noWrap w:val="0"/>
            <w:vAlign w:val="center"/>
          </w:tcPr>
          <w:p>
            <w:pPr>
              <w:jc w:val="center"/>
            </w:pPr>
            <w:r>
              <w:t>JT 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pct"/>
            <w:noWrap w:val="0"/>
            <w:vAlign w:val="center"/>
          </w:tcPr>
          <w:p>
            <w:pPr>
              <w:jc w:val="center"/>
            </w:pPr>
            <w:r>
              <w:t>相对密度</w:t>
            </w:r>
          </w:p>
        </w:tc>
        <w:tc>
          <w:tcPr>
            <w:tcW w:w="1113" w:type="pct"/>
            <w:noWrap w:val="0"/>
            <w:vAlign w:val="center"/>
          </w:tcPr>
          <w:p>
            <w:pPr>
              <w:jc w:val="center"/>
            </w:pPr>
            <w:r>
              <w:t>-</w:t>
            </w:r>
          </w:p>
        </w:tc>
        <w:tc>
          <w:tcPr>
            <w:tcW w:w="1423" w:type="pct"/>
            <w:noWrap w:val="0"/>
            <w:vAlign w:val="center"/>
          </w:tcPr>
          <w:p>
            <w:pPr>
              <w:jc w:val="center"/>
            </w:pPr>
            <w:r>
              <w:t>0.90~1.00</w:t>
            </w:r>
          </w:p>
        </w:tc>
        <w:tc>
          <w:tcPr>
            <w:tcW w:w="1081" w:type="pct"/>
            <w:noWrap w:val="0"/>
            <w:vAlign w:val="center"/>
          </w:tcPr>
          <w:p>
            <w:pPr>
              <w:jc w:val="center"/>
            </w:pPr>
            <w:r>
              <w:t>JT 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pct"/>
            <w:noWrap w:val="0"/>
            <w:vAlign w:val="center"/>
          </w:tcPr>
          <w:p>
            <w:pPr>
              <w:jc w:val="center"/>
            </w:pPr>
            <w:r>
              <w:t>熔融指数，不</w:t>
            </w:r>
            <w:r>
              <w:rPr>
                <w:rFonts w:hint="eastAsia"/>
                <w:highlight w:val="red"/>
                <w:lang w:val="en-US" w:eastAsia="zh-CN"/>
              </w:rPr>
              <w:t>小</w:t>
            </w:r>
            <w:r>
              <w:t>于*</w:t>
            </w:r>
          </w:p>
        </w:tc>
        <w:tc>
          <w:tcPr>
            <w:tcW w:w="1113" w:type="pct"/>
            <w:noWrap w:val="0"/>
            <w:vAlign w:val="center"/>
          </w:tcPr>
          <w:p>
            <w:pPr>
              <w:jc w:val="center"/>
            </w:pPr>
            <w:r>
              <w:t>g/10min</w:t>
            </w:r>
          </w:p>
        </w:tc>
        <w:tc>
          <w:tcPr>
            <w:tcW w:w="1423" w:type="pct"/>
            <w:noWrap w:val="0"/>
            <w:vAlign w:val="center"/>
          </w:tcPr>
          <w:p>
            <w:pPr>
              <w:jc w:val="center"/>
            </w:pPr>
            <w:r>
              <w:t>2.0</w:t>
            </w:r>
          </w:p>
        </w:tc>
        <w:tc>
          <w:tcPr>
            <w:tcW w:w="1081" w:type="pct"/>
            <w:noWrap w:val="0"/>
            <w:vAlign w:val="center"/>
          </w:tcPr>
          <w:p>
            <w:pPr>
              <w:jc w:val="center"/>
            </w:pPr>
            <w:r>
              <w:t>JT 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pct"/>
            <w:noWrap w:val="0"/>
            <w:vAlign w:val="center"/>
          </w:tcPr>
          <w:p>
            <w:pPr>
              <w:jc w:val="center"/>
            </w:pPr>
            <w:r>
              <w:t>灰分，不大于</w:t>
            </w:r>
          </w:p>
        </w:tc>
        <w:tc>
          <w:tcPr>
            <w:tcW w:w="1113" w:type="pct"/>
            <w:noWrap w:val="0"/>
            <w:vAlign w:val="center"/>
          </w:tcPr>
          <w:p>
            <w:pPr>
              <w:jc w:val="center"/>
            </w:pPr>
            <w:r>
              <w:t>%</w:t>
            </w:r>
          </w:p>
        </w:tc>
        <w:tc>
          <w:tcPr>
            <w:tcW w:w="1423" w:type="pct"/>
            <w:noWrap w:val="0"/>
            <w:vAlign w:val="center"/>
          </w:tcPr>
          <w:p>
            <w:pPr>
              <w:jc w:val="center"/>
            </w:pPr>
            <w:r>
              <w:t>2</w:t>
            </w:r>
          </w:p>
        </w:tc>
        <w:tc>
          <w:tcPr>
            <w:tcW w:w="1081" w:type="pct"/>
            <w:noWrap w:val="0"/>
            <w:vAlign w:val="center"/>
          </w:tcPr>
          <w:p>
            <w:pPr>
              <w:jc w:val="center"/>
            </w:pPr>
            <w:r>
              <w:t>JT T860.2</w:t>
            </w:r>
          </w:p>
        </w:tc>
      </w:tr>
    </w:tbl>
    <w:p/>
    <w:p>
      <w:pPr>
        <w:jc w:val="center"/>
      </w:pPr>
      <w:r>
        <w:rPr>
          <w:rFonts w:hint="eastAsia"/>
        </w:rPr>
        <w:t>高黏度</w:t>
      </w:r>
      <w:r>
        <w:t>改性沥青性能指标</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328"/>
        <w:gridCol w:w="1241"/>
        <w:gridCol w:w="1917"/>
        <w:gridCol w:w="19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blHeader/>
          <w:jc w:val="center"/>
        </w:trPr>
        <w:tc>
          <w:tcPr>
            <w:tcW w:w="2303" w:type="pct"/>
            <w:noWrap w:val="0"/>
            <w:vAlign w:val="center"/>
          </w:tcPr>
          <w:p>
            <w:r>
              <w:t>指标</w:t>
            </w:r>
          </w:p>
        </w:tc>
        <w:tc>
          <w:tcPr>
            <w:tcW w:w="660" w:type="pct"/>
            <w:noWrap w:val="0"/>
            <w:vAlign w:val="center"/>
          </w:tcPr>
          <w:p>
            <w:r>
              <w:t>单位</w:t>
            </w:r>
          </w:p>
        </w:tc>
        <w:tc>
          <w:tcPr>
            <w:tcW w:w="1018" w:type="pct"/>
            <w:noWrap w:val="0"/>
            <w:vAlign w:val="center"/>
          </w:tcPr>
          <w:p>
            <w:r>
              <w:t>技术要求</w:t>
            </w:r>
          </w:p>
        </w:tc>
        <w:tc>
          <w:tcPr>
            <w:tcW w:w="1016" w:type="pct"/>
            <w:noWrap w:val="0"/>
            <w:vAlign w:val="center"/>
          </w:tcPr>
          <w:p>
            <w:r>
              <w:t>实验方法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针入度（25℃，100g，5s），不小于</w:t>
            </w:r>
          </w:p>
        </w:tc>
        <w:tc>
          <w:tcPr>
            <w:tcW w:w="660" w:type="pct"/>
            <w:noWrap w:val="0"/>
            <w:vAlign w:val="center"/>
          </w:tcPr>
          <w:p>
            <w:r>
              <w:t>0.1mm</w:t>
            </w:r>
          </w:p>
        </w:tc>
        <w:tc>
          <w:tcPr>
            <w:tcW w:w="1018" w:type="pct"/>
            <w:noWrap w:val="0"/>
            <w:vAlign w:val="center"/>
          </w:tcPr>
          <w:p>
            <w:r>
              <w:t>40</w:t>
            </w:r>
          </w:p>
        </w:tc>
        <w:tc>
          <w:tcPr>
            <w:tcW w:w="1016" w:type="pct"/>
            <w:vMerge w:val="restart"/>
            <w:noWrap w:val="0"/>
            <w:vAlign w:val="center"/>
          </w:tcPr>
          <w:p>
            <w:r>
              <w:t>《公路工程沥青及沥青混合料试验规程》JTG E20-2011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软化点（TR&amp;B），不小于</w:t>
            </w:r>
          </w:p>
        </w:tc>
        <w:tc>
          <w:tcPr>
            <w:tcW w:w="660" w:type="pct"/>
            <w:noWrap w:val="0"/>
            <w:vAlign w:val="center"/>
          </w:tcPr>
          <w:p>
            <w:r>
              <w:t>℃</w:t>
            </w:r>
          </w:p>
        </w:tc>
        <w:tc>
          <w:tcPr>
            <w:tcW w:w="1018" w:type="pct"/>
            <w:noWrap w:val="0"/>
            <w:vAlign w:val="center"/>
          </w:tcPr>
          <w:p>
            <w:r>
              <w:rPr>
                <w:rFonts w:hint="eastAsia"/>
              </w:rPr>
              <w:t>8</w:t>
            </w:r>
            <w:r>
              <w:t>0</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延度（5℃，5cm/min），不小于</w:t>
            </w:r>
          </w:p>
        </w:tc>
        <w:tc>
          <w:tcPr>
            <w:tcW w:w="660" w:type="pct"/>
            <w:noWrap w:val="0"/>
            <w:vAlign w:val="center"/>
          </w:tcPr>
          <w:p>
            <w:r>
              <w:t>cm</w:t>
            </w:r>
          </w:p>
        </w:tc>
        <w:tc>
          <w:tcPr>
            <w:tcW w:w="1018" w:type="pct"/>
            <w:noWrap w:val="0"/>
            <w:vAlign w:val="center"/>
          </w:tcPr>
          <w:p>
            <w:r>
              <w:t>30</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溶解度，不小于</w:t>
            </w:r>
          </w:p>
        </w:tc>
        <w:tc>
          <w:tcPr>
            <w:tcW w:w="660" w:type="pct"/>
            <w:noWrap w:val="0"/>
            <w:vAlign w:val="center"/>
          </w:tcPr>
          <w:p>
            <w:r>
              <w:t>%</w:t>
            </w:r>
          </w:p>
        </w:tc>
        <w:tc>
          <w:tcPr>
            <w:tcW w:w="1018" w:type="pct"/>
            <w:noWrap w:val="0"/>
            <w:vAlign w:val="center"/>
          </w:tcPr>
          <w:p>
            <w:r>
              <w:t>99</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运动粘度（170℃），不大于</w:t>
            </w:r>
          </w:p>
        </w:tc>
        <w:tc>
          <w:tcPr>
            <w:tcW w:w="660" w:type="pct"/>
            <w:noWrap w:val="0"/>
            <w:vAlign w:val="center"/>
          </w:tcPr>
          <w:p>
            <w:r>
              <w:t>Pa·s</w:t>
            </w:r>
          </w:p>
        </w:tc>
        <w:tc>
          <w:tcPr>
            <w:tcW w:w="1018" w:type="pct"/>
            <w:noWrap w:val="0"/>
            <w:vAlign w:val="center"/>
          </w:tcPr>
          <w:p>
            <w:r>
              <w:t>3</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动力粘度（60℃），不小于</w:t>
            </w:r>
          </w:p>
        </w:tc>
        <w:tc>
          <w:tcPr>
            <w:tcW w:w="660" w:type="pct"/>
            <w:noWrap w:val="0"/>
            <w:vAlign w:val="center"/>
          </w:tcPr>
          <w:p>
            <w:r>
              <w:t>Pa·s</w:t>
            </w:r>
          </w:p>
        </w:tc>
        <w:tc>
          <w:tcPr>
            <w:tcW w:w="1018" w:type="pct"/>
            <w:noWrap w:val="0"/>
            <w:vAlign w:val="center"/>
          </w:tcPr>
          <w:p>
            <w:r>
              <w:rPr>
                <w:rFonts w:hint="eastAsia"/>
              </w:rPr>
              <w:t>50000</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rPr>
                <w:rFonts w:hint="eastAsia"/>
              </w:rPr>
              <w:t>黏</w:t>
            </w:r>
            <w:r>
              <w:t>韧性（25℃），不小于</w:t>
            </w:r>
          </w:p>
        </w:tc>
        <w:tc>
          <w:tcPr>
            <w:tcW w:w="660" w:type="pct"/>
            <w:noWrap w:val="0"/>
            <w:vAlign w:val="center"/>
          </w:tcPr>
          <w:p>
            <w:r>
              <w:t>N·m</w:t>
            </w:r>
          </w:p>
        </w:tc>
        <w:tc>
          <w:tcPr>
            <w:tcW w:w="1018" w:type="pct"/>
            <w:noWrap w:val="0"/>
            <w:vAlign w:val="center"/>
          </w:tcPr>
          <w:p>
            <w:r>
              <w:t>25</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弹性恢复（25℃），不小于</w:t>
            </w:r>
          </w:p>
        </w:tc>
        <w:tc>
          <w:tcPr>
            <w:tcW w:w="660" w:type="pct"/>
            <w:noWrap w:val="0"/>
            <w:vAlign w:val="center"/>
          </w:tcPr>
          <w:p>
            <w:r>
              <w:t>%</w:t>
            </w:r>
          </w:p>
        </w:tc>
        <w:tc>
          <w:tcPr>
            <w:tcW w:w="1018" w:type="pct"/>
            <w:noWrap w:val="0"/>
            <w:vAlign w:val="center"/>
          </w:tcPr>
          <w:p>
            <w:r>
              <w:t>95</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贮存稳定性离析，48h软化点差，不大于</w:t>
            </w:r>
          </w:p>
        </w:tc>
        <w:tc>
          <w:tcPr>
            <w:tcW w:w="660" w:type="pct"/>
            <w:noWrap w:val="0"/>
            <w:vAlign w:val="center"/>
          </w:tcPr>
          <w:p>
            <w:r>
              <w:t>℃</w:t>
            </w:r>
          </w:p>
        </w:tc>
        <w:tc>
          <w:tcPr>
            <w:tcW w:w="1018" w:type="pct"/>
            <w:noWrap w:val="0"/>
            <w:vAlign w:val="center"/>
          </w:tcPr>
          <w:p>
            <w:r>
              <w:t>2.</w:t>
            </w:r>
            <w:r>
              <w:rPr>
                <w:rFonts w:hint="eastAsia"/>
              </w:rPr>
              <w:t>5</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闪点，不小于</w:t>
            </w:r>
          </w:p>
        </w:tc>
        <w:tc>
          <w:tcPr>
            <w:tcW w:w="660" w:type="pct"/>
            <w:noWrap w:val="0"/>
            <w:vAlign w:val="center"/>
          </w:tcPr>
          <w:p>
            <w:r>
              <w:t>℃</w:t>
            </w:r>
          </w:p>
        </w:tc>
        <w:tc>
          <w:tcPr>
            <w:tcW w:w="1018" w:type="pct"/>
            <w:noWrap w:val="0"/>
            <w:vAlign w:val="center"/>
          </w:tcPr>
          <w:p>
            <w:r>
              <w:t>230</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相对密度（25℃）</w:t>
            </w:r>
          </w:p>
        </w:tc>
        <w:tc>
          <w:tcPr>
            <w:tcW w:w="660" w:type="pct"/>
            <w:noWrap w:val="0"/>
            <w:vAlign w:val="center"/>
          </w:tcPr>
          <w:p>
            <w:r>
              <w:t>-</w:t>
            </w:r>
          </w:p>
        </w:tc>
        <w:tc>
          <w:tcPr>
            <w:tcW w:w="1018" w:type="pct"/>
            <w:noWrap w:val="0"/>
            <w:vAlign w:val="center"/>
          </w:tcPr>
          <w:p>
            <w:r>
              <w:t>实测记录</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3983" w:type="pct"/>
            <w:gridSpan w:val="3"/>
            <w:noWrap w:val="0"/>
            <w:vAlign w:val="center"/>
          </w:tcPr>
          <w:p>
            <w:r>
              <w:t>RTFOT后残留物</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质量变化，不大于</w:t>
            </w:r>
          </w:p>
        </w:tc>
        <w:tc>
          <w:tcPr>
            <w:tcW w:w="660" w:type="pct"/>
            <w:noWrap w:val="0"/>
            <w:vAlign w:val="center"/>
          </w:tcPr>
          <w:p>
            <w:r>
              <w:t>%</w:t>
            </w:r>
          </w:p>
        </w:tc>
        <w:tc>
          <w:tcPr>
            <w:tcW w:w="1018" w:type="pct"/>
            <w:noWrap w:val="0"/>
            <w:vAlign w:val="center"/>
          </w:tcPr>
          <w:p>
            <w:r>
              <w:t>±1.0</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残留针入度比（25℃），不小于</w:t>
            </w:r>
          </w:p>
        </w:tc>
        <w:tc>
          <w:tcPr>
            <w:tcW w:w="660" w:type="pct"/>
            <w:noWrap w:val="0"/>
            <w:vAlign w:val="center"/>
          </w:tcPr>
          <w:p>
            <w:r>
              <w:t>%</w:t>
            </w:r>
          </w:p>
        </w:tc>
        <w:tc>
          <w:tcPr>
            <w:tcW w:w="1018" w:type="pct"/>
            <w:noWrap w:val="0"/>
            <w:vAlign w:val="center"/>
          </w:tcPr>
          <w:p>
            <w:r>
              <w:t>65</w:t>
            </w:r>
          </w:p>
        </w:tc>
        <w:tc>
          <w:tcPr>
            <w:tcW w:w="1016" w:type="pct"/>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r>
              <w:t>残留延度（5℃），不小于</w:t>
            </w:r>
          </w:p>
        </w:tc>
        <w:tc>
          <w:tcPr>
            <w:tcW w:w="660" w:type="pct"/>
            <w:noWrap w:val="0"/>
            <w:vAlign w:val="center"/>
          </w:tcPr>
          <w:p>
            <w:r>
              <w:t>cm</w:t>
            </w:r>
          </w:p>
        </w:tc>
        <w:tc>
          <w:tcPr>
            <w:tcW w:w="1018" w:type="pct"/>
            <w:noWrap w:val="0"/>
            <w:vAlign w:val="center"/>
          </w:tcPr>
          <w:p>
            <w:r>
              <w:t>20</w:t>
            </w:r>
          </w:p>
        </w:tc>
        <w:tc>
          <w:tcPr>
            <w:tcW w:w="1016" w:type="pct"/>
            <w:vMerge w:val="continue"/>
            <w:noWrap w:val="0"/>
            <w:vAlign w:val="center"/>
          </w:tcPr>
          <w:p/>
        </w:tc>
      </w:tr>
    </w:tbl>
    <w:p>
      <w:pPr>
        <w:rPr>
          <w:rFonts w:hint="eastAsia"/>
        </w:rPr>
      </w:pPr>
      <w:r>
        <w:t>注：贮存稳定性离析适用于混溶式</w:t>
      </w:r>
      <w:r>
        <w:rPr>
          <w:rFonts w:hint="eastAsia"/>
        </w:rPr>
        <w:t>高黏度</w:t>
      </w:r>
      <w:r>
        <w:t>度改性沥青。</w:t>
      </w:r>
    </w:p>
    <w:p>
      <w:pPr>
        <w:spacing w:line="360" w:lineRule="exact"/>
        <w:ind w:firstLine="420" w:firstLineChars="200"/>
        <w:rPr>
          <w:szCs w:val="21"/>
        </w:rPr>
      </w:pPr>
      <w:r>
        <w:rPr>
          <w:rFonts w:hint="eastAsia"/>
          <w:szCs w:val="21"/>
        </w:rPr>
        <w:t>（2）材料运输：</w:t>
      </w:r>
      <w:r>
        <w:rPr>
          <w:rFonts w:hint="eastAsia" w:ascii="宋体" w:hAnsi="宋体" w:cs="宋体"/>
          <w:bCs/>
          <w:szCs w:val="21"/>
        </w:rPr>
        <w:t>本竞争性比选文件约定的材料价格为比选人指定位置的到场单价，材料运输（包括装卸及整齐堆放）的安全由竞标人负责，因材料运输超限等引起的全部后果、责任均由竞标人承担。竞标人保证安全、及时供货，比选人不承担由此造成的安全责任及相应费用。</w:t>
      </w:r>
    </w:p>
    <w:p>
      <w:pPr>
        <w:spacing w:line="360" w:lineRule="exact"/>
        <w:ind w:firstLine="420" w:firstLineChars="200"/>
        <w:rPr>
          <w:szCs w:val="21"/>
        </w:rPr>
      </w:pPr>
      <w:r>
        <w:rPr>
          <w:rFonts w:hint="eastAsia"/>
          <w:szCs w:val="21"/>
        </w:rPr>
        <w:t>3、质保期：一年。</w:t>
      </w:r>
    </w:p>
    <w:p>
      <w:pPr>
        <w:spacing w:line="360" w:lineRule="exact"/>
        <w:ind w:firstLine="420" w:firstLineChars="200"/>
        <w:rPr>
          <w:szCs w:val="21"/>
        </w:rPr>
      </w:pPr>
      <w:r>
        <w:rPr>
          <w:rFonts w:hint="eastAsia"/>
          <w:szCs w:val="21"/>
        </w:rPr>
        <w:t>4、</w:t>
      </w:r>
      <w:r>
        <w:rPr>
          <w:szCs w:val="21"/>
        </w:rPr>
        <w:t>本次</w:t>
      </w:r>
      <w:r>
        <w:rPr>
          <w:rFonts w:hint="eastAsia"/>
          <w:szCs w:val="21"/>
        </w:rPr>
        <w:t>比选申请</w:t>
      </w:r>
      <w:r>
        <w:rPr>
          <w:szCs w:val="21"/>
        </w:rPr>
        <w:t>文件的组成：</w:t>
      </w:r>
    </w:p>
    <w:p>
      <w:pPr>
        <w:spacing w:line="360" w:lineRule="auto"/>
        <w:ind w:firstLine="210" w:firstLineChars="100"/>
        <w:rPr>
          <w:rFonts w:hint="eastAsia" w:ascii="宋体" w:hAnsi="宋体" w:cs="宋体"/>
          <w:szCs w:val="21"/>
        </w:rPr>
      </w:pPr>
      <w:r>
        <w:rPr>
          <w:rFonts w:hint="eastAsia" w:ascii="宋体" w:hAnsi="宋体" w:cs="宋体"/>
          <w:szCs w:val="21"/>
        </w:rPr>
        <w:t>（1）报价书；</w:t>
      </w:r>
    </w:p>
    <w:p>
      <w:pPr>
        <w:spacing w:line="360" w:lineRule="auto"/>
        <w:ind w:firstLine="210" w:firstLineChars="100"/>
        <w:rPr>
          <w:rFonts w:hint="eastAsia" w:ascii="宋体" w:hAnsi="宋体" w:cs="宋体"/>
          <w:szCs w:val="21"/>
        </w:rPr>
      </w:pPr>
      <w:r>
        <w:rPr>
          <w:rFonts w:hint="eastAsia" w:ascii="宋体" w:hAnsi="宋体" w:cs="宋体"/>
          <w:szCs w:val="21"/>
        </w:rPr>
        <w:t>（2）法定代表人身份证明及授权委托书；</w:t>
      </w:r>
    </w:p>
    <w:p>
      <w:pPr>
        <w:spacing w:line="360" w:lineRule="auto"/>
        <w:ind w:firstLine="210" w:firstLineChars="100"/>
        <w:rPr>
          <w:rFonts w:hint="eastAsia" w:ascii="宋体" w:hAnsi="宋体" w:cs="宋体"/>
          <w:szCs w:val="21"/>
        </w:rPr>
      </w:pPr>
      <w:r>
        <w:rPr>
          <w:rFonts w:hint="eastAsia" w:ascii="宋体" w:hAnsi="宋体" w:cs="宋体"/>
          <w:szCs w:val="21"/>
        </w:rPr>
        <w:t>（3）比选申请单位有效的营业执照、业绩证明材料</w:t>
      </w:r>
      <w:r>
        <w:rPr>
          <w:rFonts w:hint="eastAsia" w:ascii="宋体" w:hAnsi="宋体" w:cs="宋体"/>
          <w:szCs w:val="21"/>
          <w:lang w:eastAsia="zh-CN"/>
        </w:rPr>
        <w:t>（</w:t>
      </w:r>
      <w:r>
        <w:rPr>
          <w:rFonts w:hint="eastAsia" w:ascii="宋体" w:hAnsi="宋体" w:cs="宋体"/>
          <w:szCs w:val="21"/>
          <w:lang w:val="en-US" w:eastAsia="zh-CN"/>
        </w:rPr>
        <w:t>业绩证明需提供相关合同复印件</w:t>
      </w:r>
      <w:r>
        <w:rPr>
          <w:rFonts w:hint="eastAsia" w:ascii="宋体" w:hAnsi="宋体" w:cs="宋体"/>
          <w:szCs w:val="21"/>
          <w:lang w:eastAsia="zh-CN"/>
        </w:rPr>
        <w:t>）</w:t>
      </w:r>
      <w:r>
        <w:rPr>
          <w:rFonts w:hint="eastAsia" w:ascii="宋体" w:hAnsi="宋体" w:cs="宋体"/>
          <w:szCs w:val="21"/>
        </w:rPr>
        <w:t>；</w:t>
      </w:r>
    </w:p>
    <w:p>
      <w:pPr>
        <w:spacing w:line="360" w:lineRule="auto"/>
        <w:ind w:firstLine="210" w:firstLineChars="100"/>
        <w:rPr>
          <w:rFonts w:hint="eastAsia" w:ascii="宋体" w:hAnsi="宋体" w:cs="宋体"/>
          <w:szCs w:val="21"/>
        </w:rPr>
      </w:pPr>
      <w:r>
        <w:rPr>
          <w:rFonts w:hint="eastAsia" w:ascii="宋体" w:hAnsi="宋体" w:cs="宋体"/>
          <w:szCs w:val="21"/>
        </w:rPr>
        <w:t>（4）高黏度改性剂产品合格证；</w:t>
      </w:r>
    </w:p>
    <w:p>
      <w:pPr>
        <w:spacing w:line="360" w:lineRule="auto"/>
        <w:ind w:firstLine="210" w:firstLineChars="100"/>
        <w:rPr>
          <w:rFonts w:hint="eastAsia" w:ascii="宋体" w:hAnsi="宋体" w:cs="宋体"/>
          <w:szCs w:val="21"/>
        </w:rPr>
      </w:pPr>
      <w:r>
        <w:rPr>
          <w:rFonts w:hint="eastAsia" w:ascii="宋体" w:hAnsi="宋体" w:cs="宋体"/>
          <w:szCs w:val="21"/>
        </w:rPr>
        <w:t>（5）比选申请单位自行承诺部分；</w:t>
      </w:r>
    </w:p>
    <w:p>
      <w:pPr>
        <w:spacing w:line="360" w:lineRule="auto"/>
        <w:ind w:firstLine="210" w:firstLineChars="100"/>
        <w:rPr>
          <w:rFonts w:hint="eastAsia"/>
        </w:rPr>
      </w:pPr>
      <w:r>
        <w:rPr>
          <w:rFonts w:hint="eastAsia" w:ascii="宋体" w:hAnsi="宋体" w:cs="宋体"/>
          <w:szCs w:val="21"/>
        </w:rPr>
        <w:t>（6）已标价报价清单。</w:t>
      </w:r>
    </w:p>
    <w:p>
      <w:pPr>
        <w:spacing w:line="360" w:lineRule="exact"/>
        <w:ind w:firstLine="422" w:firstLineChars="200"/>
        <w:rPr>
          <w:rFonts w:hint="eastAsia"/>
          <w:b/>
          <w:bCs/>
          <w:szCs w:val="21"/>
        </w:rPr>
      </w:pPr>
      <w:r>
        <w:rPr>
          <w:rFonts w:hint="eastAsia"/>
          <w:b/>
          <w:bCs/>
          <w:szCs w:val="21"/>
        </w:rPr>
        <w:t>（注：以上所有文件须加盖单位公章）</w:t>
      </w:r>
    </w:p>
    <w:p>
      <w:pPr>
        <w:spacing w:line="360" w:lineRule="exact"/>
        <w:ind w:firstLine="420" w:firstLineChars="200"/>
        <w:rPr>
          <w:rFonts w:hint="eastAsia"/>
          <w:szCs w:val="21"/>
        </w:rPr>
      </w:pPr>
      <w:r>
        <w:rPr>
          <w:rFonts w:hint="eastAsia"/>
          <w:szCs w:val="21"/>
        </w:rPr>
        <w:t>5、比选申请</w:t>
      </w:r>
      <w:r>
        <w:rPr>
          <w:szCs w:val="21"/>
        </w:rPr>
        <w:t>文件的份数及编制要求</w:t>
      </w:r>
      <w:r>
        <w:rPr>
          <w:rFonts w:hint="eastAsia"/>
          <w:szCs w:val="21"/>
        </w:rPr>
        <w:t>：</w:t>
      </w:r>
    </w:p>
    <w:p>
      <w:pPr>
        <w:spacing w:line="360" w:lineRule="exact"/>
        <w:ind w:firstLine="420" w:firstLineChars="200"/>
        <w:rPr>
          <w:rFonts w:hint="eastAsia"/>
          <w:szCs w:val="21"/>
        </w:rPr>
      </w:pPr>
      <w:r>
        <w:rPr>
          <w:rFonts w:hint="eastAsia"/>
          <w:szCs w:val="21"/>
        </w:rPr>
        <w:t>比选申请文件</w:t>
      </w:r>
      <w:r>
        <w:rPr>
          <w:rFonts w:hint="eastAsia"/>
          <w:b/>
          <w:bCs/>
          <w:szCs w:val="21"/>
        </w:rPr>
        <w:t>1份</w:t>
      </w:r>
      <w:r>
        <w:rPr>
          <w:rFonts w:hint="eastAsia"/>
          <w:szCs w:val="21"/>
        </w:rPr>
        <w:t>，比选申请文件按竞争性比选文件中规定格式排版。</w:t>
      </w:r>
    </w:p>
    <w:p>
      <w:pPr>
        <w:spacing w:line="360" w:lineRule="auto"/>
        <w:ind w:firstLine="422" w:firstLineChars="200"/>
        <w:rPr>
          <w:rFonts w:hint="eastAsia" w:ascii="宋体" w:hAnsi="宋体" w:cs="宋体"/>
          <w:b/>
          <w:szCs w:val="21"/>
        </w:rPr>
      </w:pPr>
      <w:r>
        <w:rPr>
          <w:rFonts w:hint="eastAsia" w:ascii="宋体" w:hAnsi="宋体" w:cs="宋体"/>
          <w:b/>
          <w:szCs w:val="21"/>
        </w:rPr>
        <w:t>四、评标办法</w:t>
      </w:r>
      <w:r>
        <w:rPr>
          <w:rFonts w:hint="eastAsia" w:ascii="宋体" w:hAnsi="宋体" w:cs="宋体"/>
          <w:bCs/>
          <w:szCs w:val="21"/>
        </w:rPr>
        <w:t>（</w:t>
      </w:r>
      <w:r>
        <w:rPr>
          <w:rFonts w:hint="eastAsia" w:ascii="宋体" w:hAnsi="宋体"/>
          <w:bCs/>
          <w:szCs w:val="21"/>
        </w:rPr>
        <w:t>本项目采用经评审的最低价法</w:t>
      </w:r>
      <w:r>
        <w:rPr>
          <w:rFonts w:hint="eastAsia" w:ascii="宋体" w:hAnsi="宋体" w:cs="宋体"/>
          <w:bCs/>
          <w:szCs w:val="21"/>
        </w:rPr>
        <w:t>）：</w:t>
      </w:r>
      <w:r>
        <w:rPr>
          <w:rFonts w:hint="eastAsia" w:ascii="宋体" w:hAnsi="宋体"/>
          <w:bCs/>
          <w:szCs w:val="21"/>
        </w:rPr>
        <w:t>本项目采用经评审的最低投</w:t>
      </w:r>
      <w:r>
        <w:rPr>
          <w:rFonts w:hint="eastAsia"/>
          <w:szCs w:val="21"/>
        </w:rPr>
        <w:t>标价法，在满足比选文件要求的前提下，评标委员会报价</w:t>
      </w:r>
      <w:r>
        <w:t>从</w:t>
      </w:r>
      <w:r>
        <w:rPr>
          <w:rFonts w:hint="eastAsia"/>
        </w:rPr>
        <w:t>低</w:t>
      </w:r>
      <w:r>
        <w:t>到</w:t>
      </w:r>
      <w:r>
        <w:rPr>
          <w:rFonts w:hint="eastAsia"/>
        </w:rPr>
        <w:t>高</w:t>
      </w:r>
      <w:r>
        <w:t>的先后顺序</w:t>
      </w:r>
      <w:r>
        <w:rPr>
          <w:rFonts w:hint="eastAsia"/>
          <w:szCs w:val="21"/>
        </w:rPr>
        <w:t>推荐中标候选人。若在满足比选文件所有要求前提下，最低报价相同时，</w:t>
      </w:r>
      <w:r>
        <w:rPr>
          <w:rFonts w:hint="eastAsia" w:ascii="宋体" w:hAnsi="宋体" w:cs="宋体"/>
          <w:b/>
          <w:bCs/>
          <w:snapToGrid w:val="0"/>
          <w:kern w:val="0"/>
        </w:rPr>
        <w:t>进行第二轮报价</w:t>
      </w:r>
      <w:r>
        <w:t>。</w:t>
      </w:r>
      <w:r>
        <w:rPr>
          <w:rFonts w:hint="eastAsia"/>
        </w:rPr>
        <w:t>请各报价单位结合自身情况及市场行情进行报价。</w:t>
      </w:r>
      <w:r>
        <w:rPr>
          <w:rFonts w:hint="eastAsia"/>
          <w:b/>
          <w:bCs/>
        </w:rPr>
        <w:t>具体评审标准详见下表。</w:t>
      </w:r>
    </w:p>
    <w:tbl>
      <w:tblPr>
        <w:tblStyle w:val="8"/>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Cs w:val="21"/>
                <w:shd w:val="clear" w:color="auto" w:fill="FFFFFF"/>
              </w:rPr>
            </w:pPr>
            <w:r>
              <w:rPr>
                <w:rFonts w:hint="eastAsia" w:ascii="宋体" w:hAnsi="宋体" w:cs="宋体"/>
                <w:szCs w:val="21"/>
                <w:shd w:val="clear" w:color="auto" w:fill="FFFFFF"/>
              </w:rPr>
              <w:t>比选申请人名称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Cs w:val="21"/>
                <w:shd w:val="clear" w:color="auto" w:fill="FFFFFF"/>
              </w:rPr>
            </w:pPr>
            <w:r>
              <w:rPr>
                <w:rFonts w:hint="eastAsia" w:ascii="宋体" w:hAnsi="宋体" w:cs="宋体"/>
                <w:szCs w:val="21"/>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Cs w:val="21"/>
                <w:shd w:val="clear" w:color="auto" w:fill="FFFFFF"/>
              </w:rPr>
            </w:pPr>
            <w:r>
              <w:rPr>
                <w:rFonts w:hint="eastAsia" w:ascii="宋体" w:hAnsi="宋体" w:cs="宋体"/>
                <w:szCs w:val="21"/>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Cs w:val="21"/>
                <w:shd w:val="clear" w:color="auto" w:fill="FFFFFF"/>
              </w:rPr>
            </w:pPr>
            <w:r>
              <w:rPr>
                <w:rFonts w:hint="eastAsia" w:ascii="宋体" w:hAnsi="宋体" w:cs="宋体"/>
                <w:szCs w:val="21"/>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1.1.2</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Cs w:val="21"/>
                <w:shd w:val="clear" w:color="auto" w:fill="FFFFFF"/>
              </w:rPr>
            </w:pPr>
            <w:r>
              <w:rPr>
                <w:rFonts w:hint="eastAsia" w:ascii="宋体" w:hAnsi="宋体" w:cs="宋体"/>
                <w:szCs w:val="21"/>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Cs w:val="21"/>
                <w:shd w:val="clear" w:color="auto" w:fill="FFFFFF"/>
              </w:rPr>
            </w:pPr>
            <w:r>
              <w:rPr>
                <w:rFonts w:hint="eastAsia" w:ascii="宋体" w:hAnsi="宋体" w:cs="宋体"/>
                <w:szCs w:val="21"/>
                <w:shd w:val="clear" w:color="auto" w:fill="FFFFFF"/>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Cs w:val="21"/>
                <w:shd w:val="clear" w:color="auto" w:fill="FFFFFF"/>
              </w:rPr>
            </w:pPr>
            <w:r>
              <w:rPr>
                <w:rFonts w:hint="eastAsia" w:ascii="宋体" w:hAnsi="宋体" w:cs="宋体"/>
                <w:szCs w:val="21"/>
                <w:shd w:val="clear" w:color="auto" w:fill="FFFFFF"/>
              </w:rPr>
              <w:t>竞标报价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bottom w:val="single" w:color="auto" w:sz="4" w:space="0"/>
              <w:right w:val="single" w:color="auto" w:sz="4" w:space="0"/>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bottom w:val="single" w:color="auto" w:sz="4" w:space="0"/>
              <w:right w:val="single" w:color="auto" w:sz="4" w:space="0"/>
            </w:tcBorders>
            <w:noWrap w:val="0"/>
            <w:vAlign w:val="center"/>
          </w:tcPr>
          <w:p>
            <w:pPr>
              <w:spacing w:line="340" w:lineRule="exact"/>
              <w:jc w:val="center"/>
              <w:rPr>
                <w:rFonts w:hint="eastAsia"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试验设备证明材料</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注：条款1.1.1、1.1.2均为强制性要求，比选申请人如不满足，按否决投标处理。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szCs w:val="21"/>
              </w:rPr>
            </w:pPr>
            <w:r>
              <w:rPr>
                <w:b/>
                <w:szCs w:val="21"/>
              </w:rPr>
              <w:t>有下列情况之一的，做否决</w:t>
            </w:r>
            <w:r>
              <w:rPr>
                <w:rFonts w:hint="eastAsia"/>
                <w:b/>
                <w:szCs w:val="21"/>
              </w:rPr>
              <w:t>竞标</w:t>
            </w:r>
            <w:r>
              <w:rPr>
                <w:b/>
                <w:szCs w:val="21"/>
              </w:rPr>
              <w:t>处理。</w:t>
            </w:r>
          </w:p>
          <w:p>
            <w:pPr>
              <w:numPr>
                <w:ilvl w:val="0"/>
                <w:numId w:val="1"/>
              </w:numPr>
              <w:spacing w:line="4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由同一单位或者个人编制；</w:t>
            </w:r>
          </w:p>
          <w:p>
            <w:pPr>
              <w:numPr>
                <w:ilvl w:val="0"/>
                <w:numId w:val="1"/>
              </w:numPr>
              <w:spacing w:line="400" w:lineRule="exact"/>
              <w:ind w:left="0"/>
              <w:rPr>
                <w:szCs w:val="21"/>
              </w:rPr>
            </w:pPr>
            <w:r>
              <w:rPr>
                <w:szCs w:val="21"/>
              </w:rPr>
              <w:t>不同</w:t>
            </w:r>
            <w:r>
              <w:rPr>
                <w:rFonts w:hint="eastAsia"/>
                <w:szCs w:val="21"/>
              </w:rPr>
              <w:t>比选申请人</w:t>
            </w:r>
            <w:r>
              <w:rPr>
                <w:szCs w:val="21"/>
              </w:rPr>
              <w:t>委托同一单位或者个人办理</w:t>
            </w:r>
            <w:r>
              <w:rPr>
                <w:rFonts w:hint="eastAsia"/>
                <w:szCs w:val="21"/>
              </w:rPr>
              <w:t>竞标</w:t>
            </w:r>
            <w:r>
              <w:rPr>
                <w:szCs w:val="21"/>
              </w:rPr>
              <w:t>事宜；</w:t>
            </w:r>
          </w:p>
          <w:p>
            <w:pPr>
              <w:numPr>
                <w:ilvl w:val="0"/>
                <w:numId w:val="1"/>
              </w:numPr>
              <w:spacing w:line="4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载明的项目管理成员为同一人；</w:t>
            </w:r>
          </w:p>
          <w:p>
            <w:pPr>
              <w:numPr>
                <w:ilvl w:val="0"/>
                <w:numId w:val="1"/>
              </w:numPr>
              <w:spacing w:line="4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异常一致或者</w:t>
            </w:r>
            <w:r>
              <w:rPr>
                <w:rFonts w:hint="eastAsia"/>
                <w:szCs w:val="21"/>
              </w:rPr>
              <w:t>竞标报价</w:t>
            </w:r>
            <w:r>
              <w:rPr>
                <w:szCs w:val="21"/>
              </w:rPr>
              <w:t>呈规律性差异</w:t>
            </w:r>
            <w:r>
              <w:rPr>
                <w:rFonts w:hint="eastAsia"/>
                <w:szCs w:val="21"/>
              </w:rPr>
              <w:t>或报价不具备竞争性</w:t>
            </w:r>
            <w:r>
              <w:rPr>
                <w:szCs w:val="21"/>
              </w:rPr>
              <w:t>；</w:t>
            </w:r>
          </w:p>
          <w:p>
            <w:pPr>
              <w:spacing w:line="340" w:lineRule="exact"/>
              <w:rPr>
                <w:rFonts w:hint="eastAsia" w:ascii="宋体" w:hAnsi="宋体" w:cs="宋体"/>
                <w:szCs w:val="21"/>
                <w:shd w:val="clear" w:color="auto" w:fill="FFFFFF"/>
              </w:rPr>
            </w:pPr>
            <w:r>
              <w:rPr>
                <w:szCs w:val="21"/>
              </w:rPr>
              <w:t>不同</w:t>
            </w:r>
            <w:r>
              <w:rPr>
                <w:rFonts w:hint="eastAsia"/>
                <w:szCs w:val="21"/>
              </w:rPr>
              <w:t>比选申请人</w:t>
            </w:r>
            <w:r>
              <w:rPr>
                <w:szCs w:val="21"/>
              </w:rPr>
              <w:t>的</w:t>
            </w:r>
            <w:r>
              <w:rPr>
                <w:rFonts w:hint="eastAsia"/>
                <w:szCs w:val="21"/>
              </w:rPr>
              <w:t>比选申请文件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kern w:val="0"/>
                <w:szCs w:val="21"/>
              </w:rPr>
            </w:pPr>
            <w:r>
              <w:rPr>
                <w:rFonts w:hint="eastAsia"/>
                <w:szCs w:val="21"/>
              </w:rPr>
              <w:t>成交候</w:t>
            </w:r>
            <w:r>
              <w:rPr>
                <w:szCs w:val="21"/>
              </w:rPr>
              <w:t>选人</w:t>
            </w:r>
            <w:r>
              <w:rPr>
                <w:rFonts w:hint="eastAsia"/>
                <w:szCs w:val="21"/>
              </w:rPr>
              <w:t>推荐</w:t>
            </w:r>
          </w:p>
        </w:tc>
        <w:tc>
          <w:tcPr>
            <w:tcW w:w="7398" w:type="dxa"/>
            <w:gridSpan w:val="2"/>
            <w:noWrap w:val="0"/>
            <w:vAlign w:val="center"/>
          </w:tcPr>
          <w:p>
            <w:pPr>
              <w:spacing w:line="400" w:lineRule="exact"/>
              <w:rPr>
                <w:rFonts w:hint="eastAsia"/>
                <w:szCs w:val="21"/>
              </w:rPr>
            </w:pPr>
            <w:r>
              <w:rPr>
                <w:rFonts w:hint="eastAsia"/>
              </w:rPr>
              <w:t xml:space="preserve">  若各标段报名家数大于等于三家，则</w:t>
            </w:r>
            <w:r>
              <w:rPr>
                <w:rFonts w:hint="eastAsia"/>
                <w:szCs w:val="21"/>
              </w:rPr>
              <w:t>经评审合格的候选人按价格由低到高的先后顺序推荐3名中标候选人；若评审合格的候选人不足3名（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szCs w:val="21"/>
              </w:rPr>
            </w:pPr>
            <w:r>
              <w:rPr>
                <w:rFonts w:hint="eastAsia" w:ascii="宋体" w:hAnsi="宋体"/>
                <w:szCs w:val="21"/>
              </w:rPr>
              <w:t>报价算术错误修正</w:t>
            </w:r>
          </w:p>
        </w:tc>
        <w:tc>
          <w:tcPr>
            <w:tcW w:w="7398" w:type="dxa"/>
            <w:gridSpan w:val="2"/>
            <w:noWrap w:val="0"/>
            <w:vAlign w:val="center"/>
          </w:tcPr>
          <w:p>
            <w:pPr>
              <w:spacing w:line="400" w:lineRule="exact"/>
              <w:rPr>
                <w:rFonts w:hint="eastAsia"/>
              </w:rPr>
            </w:pPr>
            <w:r>
              <w:rPr>
                <w:rFonts w:hint="eastAsia"/>
              </w:rPr>
              <w:t xml:space="preserve">    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szCs w:val="21"/>
              </w:rPr>
            </w:pPr>
            <w:r>
              <w:rPr>
                <w:rFonts w:hint="eastAsia" w:ascii="宋体" w:hAnsi="宋体"/>
                <w:szCs w:val="21"/>
              </w:rPr>
              <w:t>澄清</w:t>
            </w:r>
          </w:p>
        </w:tc>
        <w:tc>
          <w:tcPr>
            <w:tcW w:w="7398" w:type="dxa"/>
            <w:gridSpan w:val="2"/>
            <w:noWrap w:val="0"/>
            <w:vAlign w:val="center"/>
          </w:tcPr>
          <w:p>
            <w:pPr>
              <w:spacing w:line="400" w:lineRule="exact"/>
              <w:rPr>
                <w:rFonts w:hint="eastAsia"/>
              </w:rPr>
            </w:pPr>
            <w:r>
              <w:rPr>
                <w:rFonts w:hint="eastAsia"/>
              </w:rPr>
              <w:t xml:space="preserve">    在评标过程中，评审小组可以要求投标人对所提交投标文件中不明确的内容进行书面澄清或说明，或者对细微偏差进行补正。评标委员会不接受投标人主动提出的澄清、说明或补正。</w:t>
            </w:r>
          </w:p>
        </w:tc>
      </w:tr>
    </w:tbl>
    <w:p>
      <w:pPr>
        <w:spacing w:line="360" w:lineRule="auto"/>
        <w:rPr>
          <w:rFonts w:hint="eastAsia"/>
          <w:b/>
          <w:bCs/>
          <w:szCs w:val="21"/>
        </w:rPr>
      </w:pPr>
      <w:r>
        <w:rPr>
          <w:rFonts w:hint="eastAsia"/>
          <w:b/>
          <w:bCs/>
          <w:szCs w:val="21"/>
        </w:rPr>
        <w:t>五、履约担保</w:t>
      </w:r>
    </w:p>
    <w:p>
      <w:pPr>
        <w:spacing w:line="360" w:lineRule="auto"/>
        <w:ind w:firstLine="420" w:firstLineChars="200"/>
        <w:outlineLvl w:val="0"/>
        <w:rPr>
          <w:rFonts w:hint="eastAsia"/>
          <w:szCs w:val="21"/>
        </w:rPr>
      </w:pPr>
      <w:r>
        <w:rPr>
          <w:rFonts w:hint="eastAsia"/>
          <w:szCs w:val="21"/>
        </w:rPr>
        <w:t>本合同无履约保证金。</w:t>
      </w:r>
    </w:p>
    <w:p>
      <w:pPr>
        <w:spacing w:line="360" w:lineRule="auto"/>
      </w:pPr>
      <w:r>
        <w:rPr>
          <w:rFonts w:hint="eastAsia"/>
          <w:b/>
          <w:bCs/>
          <w:szCs w:val="21"/>
        </w:rPr>
        <w:t>六、低价风险担保</w:t>
      </w:r>
    </w:p>
    <w:p>
      <w:pPr>
        <w:spacing w:line="360" w:lineRule="auto"/>
        <w:ind w:firstLine="420" w:firstLineChars="200"/>
        <w:outlineLvl w:val="0"/>
        <w:rPr>
          <w:rFonts w:hint="eastAsia"/>
          <w:szCs w:val="21"/>
        </w:rPr>
      </w:pPr>
      <w:r>
        <w:rPr>
          <w:rFonts w:hint="eastAsia"/>
          <w:szCs w:val="21"/>
          <w:highlight w:val="yellow"/>
        </w:rPr>
        <w:t>本合同无低价风险担保。</w:t>
      </w:r>
    </w:p>
    <w:p>
      <w:pPr>
        <w:spacing w:line="360" w:lineRule="exact"/>
        <w:rPr>
          <w:b/>
          <w:szCs w:val="21"/>
        </w:rPr>
      </w:pPr>
      <w:r>
        <w:rPr>
          <w:rFonts w:hint="eastAsia"/>
          <w:b/>
          <w:szCs w:val="21"/>
        </w:rPr>
        <w:t>七</w:t>
      </w:r>
      <w:r>
        <w:rPr>
          <w:b/>
          <w:szCs w:val="21"/>
        </w:rPr>
        <w:t>、</w:t>
      </w:r>
      <w:r>
        <w:rPr>
          <w:rFonts w:hint="eastAsia"/>
          <w:b/>
          <w:szCs w:val="21"/>
        </w:rPr>
        <w:t>竞争性比选</w:t>
      </w:r>
      <w:r>
        <w:rPr>
          <w:b/>
          <w:szCs w:val="21"/>
        </w:rPr>
        <w:t>须知</w:t>
      </w:r>
    </w:p>
    <w:p>
      <w:pPr>
        <w:spacing w:line="360" w:lineRule="exact"/>
        <w:ind w:firstLine="420" w:firstLineChars="200"/>
        <w:rPr>
          <w:rFonts w:hint="eastAsia" w:ascii="宋体" w:hAnsi="宋体" w:cs="宋体"/>
          <w:color w:val="FF0000"/>
          <w:szCs w:val="21"/>
          <w:highlight w:val="yellow"/>
        </w:rPr>
      </w:pPr>
      <w:r>
        <w:rPr>
          <w:rFonts w:hint="eastAsia" w:ascii="宋体" w:hAnsi="宋体" w:cs="宋体"/>
          <w:color w:val="FF0000"/>
          <w:szCs w:val="21"/>
        </w:rPr>
        <w:t>（一）竞争性比选文件获取方式：凡愿意参加的潜在竞标人，从挂网日起至竞争性比选响应文件递交截止时间前，在重庆高速集团官网（</w:t>
      </w:r>
      <w:r>
        <w:rPr>
          <w:rFonts w:hint="eastAsia" w:ascii="宋体" w:hAnsi="宋体" w:cs="宋体"/>
          <w:color w:val="FF0000"/>
          <w:szCs w:val="21"/>
        </w:rPr>
        <w:fldChar w:fldCharType="begin"/>
      </w:r>
      <w:r>
        <w:rPr>
          <w:color w:val="FF0000"/>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FF0000"/>
          <w:szCs w:val="21"/>
        </w:rPr>
        <w:fldChar w:fldCharType="separate"/>
      </w:r>
      <w:r>
        <w:rPr>
          <w:rFonts w:hint="eastAsia" w:ascii="宋体" w:hAnsi="宋体" w:cs="宋体"/>
          <w:color w:val="FF0000"/>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fldChar w:fldCharType="begin"/>
      </w:r>
      <w:r>
        <w:rPr>
          <w:color w:val="FF0000"/>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FF0000"/>
          <w:szCs w:val="21"/>
        </w:rPr>
        <w:fldChar w:fldCharType="separate"/>
      </w:r>
      <w:r>
        <w:rPr>
          <w:rFonts w:hint="eastAsia" w:ascii="宋体" w:hAnsi="宋体" w:cs="宋体"/>
          <w:color w:val="FF000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hint="eastAsia" w:ascii="宋体" w:hAnsi="宋体" w:cs="宋体"/>
          <w:color w:val="FF0000"/>
          <w:szCs w:val="21"/>
        </w:rPr>
      </w:pPr>
      <w:r>
        <w:rPr>
          <w:rFonts w:hint="eastAsia" w:ascii="宋体" w:hAnsi="宋体" w:cs="宋体"/>
          <w:color w:val="FF0000"/>
          <w:szCs w:val="21"/>
        </w:rPr>
        <w:t>（二）竞争性比选公告及结果公示将在重庆高速集团官网（</w:t>
      </w:r>
      <w:r>
        <w:rPr>
          <w:rFonts w:hint="eastAsia" w:ascii="宋体" w:hAnsi="宋体" w:cs="宋体"/>
          <w:color w:val="FF0000"/>
          <w:szCs w:val="21"/>
        </w:rPr>
        <w:fldChar w:fldCharType="begin"/>
      </w:r>
      <w:r>
        <w:rPr>
          <w:color w:val="FF0000"/>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FF0000"/>
          <w:szCs w:val="21"/>
        </w:rPr>
        <w:fldChar w:fldCharType="separate"/>
      </w:r>
      <w:r>
        <w:rPr>
          <w:rFonts w:hint="eastAsia" w:ascii="宋体" w:hAnsi="宋体" w:cs="宋体"/>
          <w:color w:val="FF0000"/>
          <w:szCs w:val="21"/>
        </w:rPr>
        <w:drawing>
          <wp:inline distT="0" distB="0" distL="114300" distR="114300">
            <wp:extent cx="190500" cy="142875"/>
            <wp:effectExtent l="0" t="0" r="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fldChar w:fldCharType="begin"/>
      </w:r>
      <w:r>
        <w:rPr>
          <w:color w:val="FF0000"/>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color w:val="FF0000"/>
          <w:szCs w:val="21"/>
        </w:rPr>
        <w:fldChar w:fldCharType="separate"/>
      </w:r>
      <w:r>
        <w:rPr>
          <w:rFonts w:hint="eastAsia" w:ascii="宋体" w:hAnsi="宋体" w:cs="宋体"/>
          <w:color w:val="FF0000"/>
          <w:szCs w:val="21"/>
        </w:rPr>
        <w:drawing>
          <wp:inline distT="0" distB="0" distL="114300" distR="114300">
            <wp:extent cx="190500" cy="142875"/>
            <wp:effectExtent l="0" t="0" r="0" b="9525"/>
            <wp:docPr id="2"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http://43.240.249.108:8088/PMS/）上发布。</w:t>
      </w:r>
    </w:p>
    <w:p>
      <w:pPr>
        <w:spacing w:line="360" w:lineRule="exact"/>
        <w:ind w:firstLine="420" w:firstLineChars="200"/>
        <w:rPr>
          <w:rFonts w:hint="eastAsia" w:ascii="宋体" w:hAnsi="宋体" w:cs="宋体"/>
          <w:szCs w:val="21"/>
        </w:rPr>
      </w:pPr>
      <w:r>
        <w:rPr>
          <w:rFonts w:hint="eastAsia" w:ascii="宋体" w:hAnsi="宋体" w:cs="宋体"/>
          <w:szCs w:val="21"/>
        </w:rPr>
        <w:t>（三）比选申请文件递交截止地点：</w:t>
      </w:r>
      <w:r>
        <w:rPr>
          <w:rFonts w:hint="eastAsia" w:ascii="宋体" w:hAnsi="宋体" w:cs="宋体"/>
          <w:b/>
          <w:bCs/>
          <w:color w:val="0000FF"/>
          <w:szCs w:val="21"/>
        </w:rPr>
        <w:t>重庆通力高速公路养护工程有限公司306室</w:t>
      </w:r>
      <w:r>
        <w:rPr>
          <w:rFonts w:hint="eastAsia" w:ascii="宋体" w:hAnsi="宋体" w:cs="宋体"/>
          <w:color w:val="0000FF"/>
          <w:szCs w:val="21"/>
        </w:rPr>
        <w:t>（重庆市沙坪坝区梨高路4号重庆市公路养护管理段三楼）</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（四）比选申请文件递交截止时间：</w:t>
      </w:r>
      <w:r>
        <w:rPr>
          <w:rFonts w:hint="eastAsia" w:ascii="宋体" w:hAnsi="宋体" w:cs="宋体"/>
          <w:szCs w:val="21"/>
          <w:lang w:val="en-US" w:eastAsia="zh-CN"/>
        </w:rPr>
        <w:t>2022</w:t>
      </w:r>
      <w:r>
        <w:rPr>
          <w:rFonts w:hint="eastAsia" w:ascii="宋体" w:hAnsi="宋体" w:cs="宋体"/>
          <w:szCs w:val="21"/>
        </w:rPr>
        <w:t>年</w:t>
      </w:r>
      <w:r>
        <w:rPr>
          <w:rFonts w:hint="eastAsia" w:ascii="宋体" w:hAnsi="宋体" w:cs="宋体"/>
          <w:szCs w:val="21"/>
          <w:u w:val="single"/>
          <w:lang w:eastAsia="zh-CN"/>
        </w:rPr>
        <w:t xml:space="preserve">8月   </w:t>
      </w:r>
      <w:r>
        <w:rPr>
          <w:rFonts w:hint="eastAsia" w:ascii="宋体" w:hAnsi="宋体" w:cs="宋体"/>
          <w:szCs w:val="21"/>
          <w:u w:val="single"/>
          <w:lang w:val="en-US" w:eastAsia="zh-CN"/>
        </w:rPr>
        <w:t>15</w:t>
      </w:r>
      <w:r>
        <w:rPr>
          <w:rFonts w:hint="eastAsia" w:ascii="宋体" w:hAnsi="宋体" w:cs="宋体"/>
          <w:szCs w:val="21"/>
          <w:u w:val="single"/>
          <w:lang w:eastAsia="zh-CN"/>
        </w:rPr>
        <w:t xml:space="preserve">   日</w:t>
      </w:r>
      <w:r>
        <w:rPr>
          <w:rFonts w:hint="eastAsia" w:ascii="宋体" w:hAnsi="宋体" w:cs="宋体"/>
          <w:szCs w:val="21"/>
        </w:rPr>
        <w:t>上午</w:t>
      </w:r>
      <w:r>
        <w:rPr>
          <w:rFonts w:hint="eastAsia" w:ascii="宋体" w:hAnsi="宋体" w:cs="宋体"/>
          <w:szCs w:val="21"/>
          <w:u w:val="single"/>
        </w:rPr>
        <w:t>10</w:t>
      </w:r>
      <w:r>
        <w:rPr>
          <w:rFonts w:hint="eastAsia" w:ascii="宋体" w:hAnsi="宋体" w:cs="宋体"/>
          <w:szCs w:val="21"/>
        </w:rPr>
        <w:t>时</w:t>
      </w:r>
      <w:r>
        <w:rPr>
          <w:rFonts w:hint="eastAsia" w:ascii="宋体" w:hAnsi="宋体" w:cs="宋体"/>
          <w:szCs w:val="21"/>
          <w:u w:val="single"/>
          <w:lang w:val="en-US" w:eastAsia="zh-CN"/>
        </w:rPr>
        <w:t>3</w:t>
      </w:r>
      <w:r>
        <w:rPr>
          <w:rFonts w:hint="eastAsia" w:ascii="宋体" w:hAnsi="宋体" w:cs="宋体"/>
          <w:szCs w:val="21"/>
          <w:u w:val="single"/>
        </w:rPr>
        <w:t>0</w:t>
      </w:r>
      <w:r>
        <w:rPr>
          <w:rFonts w:hint="eastAsia" w:ascii="宋体" w:hAnsi="宋体" w:cs="宋体"/>
          <w:szCs w:val="21"/>
        </w:rPr>
        <w:t>分。</w:t>
      </w:r>
    </w:p>
    <w:p>
      <w:pPr>
        <w:spacing w:line="360" w:lineRule="exact"/>
        <w:ind w:firstLine="420" w:firstLineChars="200"/>
        <w:rPr>
          <w:rFonts w:hint="eastAsia" w:ascii="宋体" w:hAnsi="宋体" w:cs="宋体"/>
          <w:szCs w:val="21"/>
        </w:rPr>
      </w:pPr>
      <w:r>
        <w:rPr>
          <w:rFonts w:hint="eastAsia" w:ascii="宋体" w:hAnsi="宋体" w:cs="宋体"/>
          <w:szCs w:val="21"/>
        </w:rPr>
        <w:t>（五）比选申请人应根据本次竞争性比选的具体要求，编制规范的比选申请文件（比选申请文件，要求填写规范，密封完好并在封口处加盖公章，所有比选申请文件均只能作一次性提交，提交后不得更改）。当第一次不足三家报名时，不予开标，标书当场退回；第二次不足三家报名时，可按比选文件要求进行开标。</w:t>
      </w:r>
    </w:p>
    <w:p>
      <w:pPr>
        <w:spacing w:line="360" w:lineRule="exact"/>
        <w:ind w:firstLine="420" w:firstLineChars="200"/>
        <w:rPr>
          <w:rFonts w:hint="eastAsia" w:ascii="宋体" w:hAnsi="宋体" w:cs="宋体"/>
          <w:szCs w:val="21"/>
        </w:rPr>
      </w:pPr>
      <w:r>
        <w:rPr>
          <w:rFonts w:hint="eastAsia" w:ascii="宋体" w:hAnsi="宋体" w:cs="宋体"/>
          <w:szCs w:val="21"/>
        </w:rPr>
        <w:t>（六）密封要求：</w:t>
      </w:r>
    </w:p>
    <w:p>
      <w:pPr>
        <w:spacing w:line="360" w:lineRule="exact"/>
        <w:ind w:firstLine="422" w:firstLineChars="200"/>
        <w:rPr>
          <w:rFonts w:hint="eastAsia" w:ascii="宋体" w:hAnsi="宋体" w:cs="宋体"/>
          <w:b/>
          <w:bCs/>
          <w:szCs w:val="21"/>
        </w:rPr>
      </w:pPr>
      <w:r>
        <w:rPr>
          <w:rFonts w:hint="eastAsia" w:ascii="宋体" w:hAnsi="宋体" w:cs="宋体"/>
          <w:b/>
          <w:bCs/>
          <w:szCs w:val="21"/>
        </w:rPr>
        <w:t>按第五条要求制作的比选申请文件，将比选申请文件密封到一个封套中，再在封套上写明：</w:t>
      </w:r>
    </w:p>
    <w:p>
      <w:pPr>
        <w:spacing w:line="360" w:lineRule="exact"/>
        <w:ind w:firstLine="420" w:firstLineChars="200"/>
        <w:jc w:val="center"/>
        <w:rPr>
          <w:rFonts w:hint="eastAsia" w:ascii="宋体" w:hAnsi="宋体" w:cs="宋体"/>
          <w:szCs w:val="21"/>
          <w:u w:val="single"/>
        </w:rPr>
      </w:pPr>
      <w:r>
        <w:rPr>
          <w:rFonts w:hint="eastAsia" w:ascii="宋体" w:hAnsi="宋体" w:cs="宋体"/>
          <w:szCs w:val="21"/>
          <w:u w:val="single"/>
          <w:lang w:eastAsia="zh-CN"/>
        </w:rPr>
        <w:t>渝蓉高速公路2022年路面维修处治工程高黏度改性剂采购第二次</w:t>
      </w:r>
      <w:r>
        <w:rPr>
          <w:rFonts w:hint="eastAsia" w:ascii="宋体" w:hAnsi="宋体" w:cs="宋体"/>
          <w:szCs w:val="21"/>
          <w:u w:val="single"/>
        </w:rPr>
        <w:t>比选申请文件</w:t>
      </w:r>
    </w:p>
    <w:p>
      <w:pPr>
        <w:spacing w:line="360" w:lineRule="exact"/>
        <w:ind w:firstLine="420" w:firstLineChars="200"/>
        <w:jc w:val="center"/>
        <w:rPr>
          <w:rFonts w:hint="eastAsia" w:ascii="宋体" w:hAnsi="宋体" w:cs="宋体"/>
          <w:szCs w:val="21"/>
          <w:u w:val="single"/>
        </w:rPr>
      </w:pPr>
      <w:r>
        <w:rPr>
          <w:rFonts w:hint="eastAsia" w:ascii="宋体" w:hAnsi="宋体" w:cs="宋体"/>
          <w:szCs w:val="21"/>
          <w:u w:val="single"/>
        </w:rPr>
        <w:t xml:space="preserve">在 </w:t>
      </w:r>
      <w:r>
        <w:rPr>
          <w:rFonts w:hint="eastAsia" w:ascii="宋体" w:hAnsi="宋体" w:cs="宋体"/>
          <w:szCs w:val="21"/>
          <w:u w:val="single"/>
          <w:lang w:val="en-US" w:eastAsia="zh-CN"/>
        </w:rPr>
        <w:t>2022</w:t>
      </w:r>
      <w:r>
        <w:rPr>
          <w:rFonts w:hint="eastAsia" w:ascii="宋体" w:hAnsi="宋体" w:cs="宋体"/>
          <w:szCs w:val="21"/>
          <w:u w:val="single"/>
        </w:rPr>
        <w:t xml:space="preserve"> 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 xml:space="preserve">15  日 </w:t>
      </w:r>
      <w:r>
        <w:rPr>
          <w:rFonts w:hint="eastAsia" w:ascii="宋体" w:hAnsi="宋体" w:cs="宋体"/>
          <w:szCs w:val="21"/>
          <w:u w:val="non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上午10时</w:t>
      </w:r>
      <w:r>
        <w:rPr>
          <w:rFonts w:hint="eastAsia" w:ascii="宋体" w:hAnsi="宋体" w:cs="宋体"/>
          <w:szCs w:val="21"/>
          <w:u w:val="single"/>
          <w:lang w:val="en-US" w:eastAsia="zh-CN"/>
        </w:rPr>
        <w:t>3</w:t>
      </w:r>
      <w:r>
        <w:rPr>
          <w:rFonts w:hint="eastAsia" w:ascii="宋体" w:hAnsi="宋体" w:cs="宋体"/>
          <w:szCs w:val="21"/>
          <w:u w:val="single"/>
        </w:rPr>
        <w:t>0分前不得开启</w:t>
      </w:r>
    </w:p>
    <w:p>
      <w:pPr>
        <w:spacing w:line="360" w:lineRule="exact"/>
        <w:ind w:firstLine="422" w:firstLineChars="200"/>
        <w:rPr>
          <w:rFonts w:hint="eastAsia" w:ascii="宋体" w:hAnsi="宋体" w:cs="宋体"/>
          <w:szCs w:val="21"/>
        </w:rPr>
      </w:pPr>
      <w:r>
        <w:rPr>
          <w:rFonts w:hint="eastAsia"/>
          <w:b/>
          <w:bCs/>
          <w:szCs w:val="21"/>
        </w:rPr>
        <w:t>（七）特别提醒：若比选申请人恶意竞标后不与按比选要求与比选人签订合同或履约，比选人将直接将比选申请人及其关联单位（含法人代表与委托代理人）一并拉入黑名单，不得参与通力公司所有比选项目报价。</w:t>
      </w:r>
    </w:p>
    <w:p>
      <w:pPr>
        <w:spacing w:line="360" w:lineRule="exact"/>
        <w:ind w:firstLine="420" w:firstLineChars="200"/>
        <w:rPr>
          <w:rFonts w:hint="eastAsia"/>
          <w:szCs w:val="21"/>
        </w:rPr>
      </w:pPr>
      <w:r>
        <w:rPr>
          <w:rFonts w:hint="eastAsia"/>
          <w:szCs w:val="21"/>
        </w:rPr>
        <w:t>（八）廉政约定：</w:t>
      </w:r>
    </w:p>
    <w:p>
      <w:pPr>
        <w:spacing w:line="360" w:lineRule="exact"/>
        <w:ind w:firstLine="420" w:firstLineChars="200"/>
        <w:rPr>
          <w:rFonts w:hint="eastAsia"/>
          <w:szCs w:val="21"/>
        </w:rPr>
      </w:pPr>
      <w:r>
        <w:rPr>
          <w:rFonts w:hint="eastAsia"/>
          <w:szCs w:val="21"/>
        </w:rPr>
        <w:t>为杜绝商业贿赂现象，共同营造公平、公正的竞争环境，敬请各比选申请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eastAsia"/>
          <w:szCs w:val="21"/>
        </w:rPr>
      </w:pPr>
      <w:r>
        <w:rPr>
          <w:rFonts w:hint="eastAsia"/>
          <w:szCs w:val="21"/>
        </w:rPr>
        <w:t>举报部门：纪律检查室</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举报电话：023-89187977</w:t>
      </w:r>
    </w:p>
    <w:p>
      <w:pPr>
        <w:spacing w:line="360" w:lineRule="exact"/>
        <w:ind w:firstLine="420" w:firstLineChars="200"/>
        <w:rPr>
          <w:rFonts w:hint="eastAsia" w:ascii="宋体" w:hAnsi="宋体" w:cs="宋体"/>
          <w:szCs w:val="21"/>
        </w:rPr>
      </w:pPr>
      <w:r>
        <w:rPr>
          <w:rFonts w:hint="eastAsia" w:ascii="宋体" w:hAnsi="宋体" w:cs="宋体"/>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szCs w:val="21"/>
        </w:rPr>
      </w:pPr>
      <w:r>
        <w:rPr>
          <w:rFonts w:hint="eastAsia"/>
          <w:szCs w:val="21"/>
        </w:rPr>
        <w:t>（九）合同（附后）。</w:t>
      </w:r>
    </w:p>
    <w:p>
      <w:pPr>
        <w:spacing w:line="360" w:lineRule="exact"/>
        <w:ind w:firstLine="420" w:firstLineChars="200"/>
        <w:jc w:val="left"/>
        <w:rPr>
          <w:rFonts w:hint="eastAsia" w:ascii="宋体" w:hAnsi="宋体" w:cs="宋体"/>
          <w:szCs w:val="21"/>
        </w:rPr>
      </w:pPr>
      <w:r>
        <w:rPr>
          <w:rFonts w:hint="eastAsia" w:ascii="宋体" w:hAnsi="宋体" w:cs="宋体"/>
          <w:szCs w:val="21"/>
        </w:rPr>
        <w:t>（十）比选人联系方式</w:t>
      </w:r>
    </w:p>
    <w:p>
      <w:pPr>
        <w:spacing w:line="360" w:lineRule="exact"/>
        <w:ind w:firstLine="420" w:firstLineChars="200"/>
        <w:jc w:val="left"/>
        <w:rPr>
          <w:rFonts w:hint="eastAsia" w:ascii="宋体" w:hAnsi="宋体" w:cs="宋体"/>
          <w:szCs w:val="21"/>
        </w:rPr>
      </w:pPr>
      <w:r>
        <w:rPr>
          <w:rFonts w:hint="eastAsia" w:ascii="宋体" w:hAnsi="宋体" w:cs="宋体"/>
          <w:szCs w:val="21"/>
        </w:rPr>
        <w:t>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w:t>
      </w:r>
      <w:r>
        <w:rPr>
          <w:rFonts w:hint="eastAsia" w:ascii="宋体" w:hAnsi="宋体" w:cs="宋体"/>
          <w:b/>
          <w:bCs/>
          <w:color w:val="0000FF"/>
          <w:szCs w:val="21"/>
        </w:rPr>
        <w:t>重庆通力高速公路养护工程有限公司306室</w:t>
      </w:r>
      <w:r>
        <w:rPr>
          <w:rFonts w:hint="eastAsia" w:ascii="宋体" w:hAnsi="宋体" w:cs="宋体"/>
          <w:color w:val="0000FF"/>
          <w:szCs w:val="21"/>
        </w:rPr>
        <w:t>（重庆市沙坪坝区梨高路4号公路养护管理段三楼）</w:t>
      </w:r>
    </w:p>
    <w:p>
      <w:pPr>
        <w:spacing w:line="360" w:lineRule="auto"/>
        <w:ind w:firstLine="420" w:firstLineChars="200"/>
        <w:rPr>
          <w:rFonts w:ascii="宋体" w:hAnsi="宋体"/>
          <w:szCs w:val="21"/>
        </w:rPr>
      </w:pPr>
      <w:r>
        <w:rPr>
          <w:rFonts w:hint="eastAsia" w:ascii="宋体" w:hAnsi="宋体" w:cs="宋体"/>
          <w:szCs w:val="21"/>
        </w:rPr>
        <w:t>联系人：</w:t>
      </w:r>
      <w:r>
        <w:rPr>
          <w:rFonts w:hint="eastAsia" w:ascii="宋体" w:hAnsi="宋体"/>
          <w:snapToGrid w:val="0"/>
          <w:kern w:val="0"/>
          <w:szCs w:val="21"/>
        </w:rPr>
        <w:t>王老师  电话：</w:t>
      </w:r>
      <w:r>
        <w:rPr>
          <w:rFonts w:hint="eastAsia" w:ascii="宋体" w:hAnsi="宋体" w:cs="宋体"/>
          <w:szCs w:val="21"/>
        </w:rPr>
        <w:t>13101223093</w:t>
      </w:r>
      <w:r>
        <w:rPr>
          <w:rFonts w:hint="eastAsia" w:ascii="宋体" w:hAnsi="宋体" w:cs="宋体"/>
          <w:szCs w:val="21"/>
          <w:lang w:eastAsia="zh-CN"/>
        </w:rPr>
        <w:t>（</w:t>
      </w:r>
      <w:r>
        <w:rPr>
          <w:rFonts w:hint="eastAsia" w:ascii="宋体" w:hAnsi="宋体" w:cs="宋体"/>
          <w:szCs w:val="21"/>
          <w:lang w:val="en-US" w:eastAsia="zh-CN"/>
        </w:rPr>
        <w:t>首选</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rPr>
        <w:t>刘老师      电话：023-88563373</w:t>
      </w:r>
    </w:p>
    <w:p>
      <w:pPr>
        <w:spacing w:line="360" w:lineRule="auto"/>
        <w:rPr>
          <w:rFonts w:ascii="宋体" w:hAnsi="宋体"/>
          <w:szCs w:val="21"/>
        </w:rPr>
      </w:pPr>
    </w:p>
    <w:p>
      <w:pPr>
        <w:pStyle w:val="2"/>
        <w:rPr>
          <w:rFonts w:ascii="宋体" w:hAnsi="宋体"/>
          <w:szCs w:val="21"/>
        </w:rPr>
      </w:pPr>
    </w:p>
    <w:p>
      <w:bookmarkStart w:id="35" w:name="_GoBack"/>
      <w:bookmarkEnd w:id="35"/>
    </w:p>
    <w:p>
      <w:pPr>
        <w:spacing w:line="360" w:lineRule="auto"/>
        <w:rPr>
          <w:rFonts w:ascii="宋体" w:hAnsi="宋体"/>
          <w:szCs w:val="21"/>
        </w:rPr>
      </w:pPr>
    </w:p>
    <w:p>
      <w:pPr>
        <w:pStyle w:val="13"/>
        <w:rPr>
          <w:color w:val="auto"/>
        </w:rPr>
      </w:pPr>
    </w:p>
    <w:p>
      <w:pPr>
        <w:spacing w:line="360" w:lineRule="auto"/>
        <w:jc w:val="center"/>
        <w:rPr>
          <w:rFonts w:hint="eastAsia"/>
          <w:b/>
          <w:sz w:val="24"/>
          <w:szCs w:val="21"/>
        </w:rPr>
      </w:pPr>
    </w:p>
    <w:p>
      <w:pPr>
        <w:pStyle w:val="2"/>
        <w:rPr>
          <w:rFonts w:hint="eastAsia"/>
          <w:b/>
          <w:sz w:val="24"/>
          <w:szCs w:val="21"/>
        </w:rPr>
      </w:pPr>
    </w:p>
    <w:p>
      <w:pPr>
        <w:rPr>
          <w:rFonts w:hint="eastAsia"/>
        </w:rPr>
      </w:pPr>
    </w:p>
    <w:p/>
    <w:p>
      <w:pPr>
        <w:pStyle w:val="2"/>
        <w:rPr>
          <w:rFonts w:hint="eastAsia"/>
        </w:rPr>
      </w:pPr>
    </w:p>
    <w:p>
      <w:pPr>
        <w:pStyle w:val="2"/>
        <w:rPr>
          <w:rFonts w:hint="eastAsia"/>
          <w:b/>
          <w:sz w:val="24"/>
          <w:szCs w:val="21"/>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lang w:eastAsia="zh-CN"/>
        </w:rPr>
        <w:t>渝蓉高速公路2022年路面维修处治工程高黏度改性剂采购</w:t>
      </w:r>
      <w:r>
        <w:rPr>
          <w:rFonts w:hint="eastAsia" w:ascii="宋体" w:hAnsi="宋体" w:cs="宋体"/>
          <w:b/>
          <w:sz w:val="32"/>
          <w:szCs w:val="32"/>
        </w:rPr>
        <w:t>合同</w:t>
      </w:r>
    </w:p>
    <w:p>
      <w:pPr>
        <w:spacing w:line="360" w:lineRule="auto"/>
        <w:textAlignment w:val="baseline"/>
        <w:rPr>
          <w:sz w:val="28"/>
          <w:szCs w:val="28"/>
        </w:rPr>
      </w:pPr>
      <w:r>
        <w:rPr>
          <w:rFonts w:hint="eastAsia"/>
          <w:sz w:val="28"/>
          <w:szCs w:val="28"/>
        </w:rPr>
        <w:t>甲方：</w:t>
      </w:r>
      <w:r>
        <w:rPr>
          <w:rFonts w:hint="eastAsia"/>
          <w:sz w:val="28"/>
          <w:szCs w:val="28"/>
          <w:u w:val="single"/>
        </w:rPr>
        <w:t>重庆通力高速公路养护工程有限公司</w:t>
      </w:r>
      <w:r>
        <w:rPr>
          <w:rFonts w:hint="eastAsia"/>
          <w:sz w:val="28"/>
          <w:szCs w:val="28"/>
        </w:rPr>
        <w:t xml:space="preserve">      </w:t>
      </w:r>
      <w:r>
        <w:rPr>
          <w:rFonts w:hint="eastAsia"/>
          <w:sz w:val="24"/>
          <w:szCs w:val="24"/>
        </w:rPr>
        <w:t>（以下简称甲方）</w:t>
      </w:r>
    </w:p>
    <w:p>
      <w:pPr>
        <w:spacing w:line="360" w:lineRule="auto"/>
        <w:textAlignment w:val="baseline"/>
        <w:rPr>
          <w:sz w:val="28"/>
          <w:szCs w:val="28"/>
        </w:rPr>
      </w:pPr>
      <w:r>
        <w:rPr>
          <w:rFonts w:hint="eastAsia"/>
          <w:sz w:val="28"/>
          <w:szCs w:val="28"/>
        </w:rPr>
        <w:t>乙方：</w:t>
      </w:r>
      <w:r>
        <w:rPr>
          <w:rFonts w:hint="eastAsia"/>
          <w:sz w:val="28"/>
          <w:szCs w:val="28"/>
          <w:u w:val="single"/>
        </w:rPr>
        <w:t xml:space="preserve">                                </w:t>
      </w:r>
      <w:r>
        <w:rPr>
          <w:rFonts w:hint="eastAsia"/>
          <w:sz w:val="28"/>
          <w:szCs w:val="28"/>
        </w:rPr>
        <w:t xml:space="preserve">      </w:t>
      </w:r>
      <w:r>
        <w:rPr>
          <w:rFonts w:hint="eastAsia"/>
          <w:sz w:val="24"/>
          <w:szCs w:val="24"/>
        </w:rPr>
        <w:t>（以下简称乙方）</w:t>
      </w:r>
      <w:r>
        <w:rPr>
          <w:rFonts w:hint="eastAsia"/>
          <w:sz w:val="28"/>
          <w:szCs w:val="28"/>
        </w:rPr>
        <w:t xml:space="preserve">           </w:t>
      </w:r>
    </w:p>
    <w:p>
      <w:pPr>
        <w:spacing w:line="480" w:lineRule="exact"/>
        <w:ind w:firstLine="480"/>
        <w:textAlignment w:val="baseline"/>
        <w:rPr>
          <w:rFonts w:hint="eastAsia"/>
          <w:sz w:val="28"/>
          <w:szCs w:val="28"/>
        </w:rPr>
      </w:pPr>
      <w:r>
        <w:rPr>
          <w:rFonts w:hint="eastAsia"/>
          <w:sz w:val="28"/>
          <w:szCs w:val="28"/>
        </w:rPr>
        <w:t>甲方因</w:t>
      </w:r>
      <w:r>
        <w:rPr>
          <w:rFonts w:hint="eastAsia" w:ascii="宋体" w:hAnsi="宋体"/>
          <w:b/>
          <w:sz w:val="28"/>
          <w:szCs w:val="28"/>
          <w:u w:val="single"/>
        </w:rPr>
        <w:t xml:space="preserve"> 渝蓉高速公路2022年路面维修处治工程</w:t>
      </w:r>
      <w:r>
        <w:rPr>
          <w:rFonts w:hint="eastAsia" w:ascii="宋体" w:hAnsi="宋体" w:cs="宋体"/>
          <w:sz w:val="28"/>
          <w:szCs w:val="28"/>
        </w:rPr>
        <w:t>施工需要</w:t>
      </w:r>
      <w:r>
        <w:rPr>
          <w:rFonts w:hint="eastAsia"/>
          <w:sz w:val="28"/>
          <w:szCs w:val="28"/>
        </w:rPr>
        <w:t>，</w:t>
      </w:r>
      <w:r>
        <w:rPr>
          <w:rFonts w:hint="eastAsia" w:ascii="宋体" w:hAnsi="宋体"/>
          <w:sz w:val="24"/>
          <w:szCs w:val="24"/>
        </w:rPr>
        <w:t>协议向乙方购买</w:t>
      </w:r>
      <w:r>
        <w:rPr>
          <w:rFonts w:hint="eastAsia" w:ascii="宋体" w:hAnsi="宋体"/>
          <w:b/>
          <w:sz w:val="24"/>
          <w:szCs w:val="24"/>
          <w:u w:val="single"/>
        </w:rPr>
        <w:t>排水沥青路面专用高黏度改性剂</w:t>
      </w:r>
      <w:r>
        <w:rPr>
          <w:rFonts w:hint="eastAsia" w:ascii="宋体" w:hAnsi="宋体"/>
          <w:sz w:val="24"/>
          <w:szCs w:val="24"/>
        </w:rPr>
        <w:t>一批</w:t>
      </w:r>
      <w:r>
        <w:rPr>
          <w:rFonts w:hint="eastAsia" w:ascii="宋体" w:hAnsi="宋体"/>
          <w:sz w:val="28"/>
          <w:szCs w:val="28"/>
        </w:rPr>
        <w:t>。为明确双方的责任，依照《中华人民共和国民法典》及相关法律、法规，结合具体情况，经双方协商一致，特签订本协议。</w:t>
      </w:r>
    </w:p>
    <w:p>
      <w:pPr>
        <w:spacing w:line="440" w:lineRule="exact"/>
        <w:rPr>
          <w:rFonts w:hint="eastAsia" w:ascii="宋体" w:hAnsi="宋体"/>
          <w:b/>
          <w:sz w:val="24"/>
          <w:szCs w:val="24"/>
        </w:rPr>
      </w:pPr>
      <w:r>
        <w:rPr>
          <w:rFonts w:hint="eastAsia" w:ascii="宋体" w:hAnsi="宋体"/>
          <w:b/>
          <w:sz w:val="24"/>
          <w:szCs w:val="24"/>
        </w:rPr>
        <w:t>一、具体内容</w:t>
      </w:r>
    </w:p>
    <w:p>
      <w:pPr>
        <w:jc w:val="left"/>
        <w:rPr>
          <w:rFonts w:hint="eastAsia" w:ascii="宋体" w:hAnsi="宋体"/>
          <w:b/>
          <w:sz w:val="28"/>
          <w:szCs w:val="28"/>
        </w:rPr>
      </w:pPr>
      <w:r>
        <w:rPr>
          <w:rFonts w:hint="eastAsia" w:ascii="宋体" w:hAnsi="宋体"/>
          <w:sz w:val="28"/>
          <w:szCs w:val="28"/>
        </w:rPr>
        <w:t xml:space="preserve">    1、高黏度改性剂单价、数量、金额：</w:t>
      </w:r>
      <w:r>
        <w:rPr>
          <w:rFonts w:hint="eastAsia"/>
          <w:sz w:val="28"/>
          <w:szCs w:val="28"/>
        </w:rPr>
        <w:t xml:space="preserve">       </w:t>
      </w:r>
    </w:p>
    <w:p>
      <w:pPr>
        <w:jc w:val="center"/>
        <w:rPr>
          <w:rFonts w:hint="eastAsia" w:ascii="宋体" w:hAnsi="宋体"/>
          <w:b/>
          <w:sz w:val="28"/>
          <w:szCs w:val="28"/>
        </w:rPr>
      </w:pPr>
      <w:r>
        <w:rPr>
          <w:rFonts w:hint="eastAsia" w:ascii="宋体" w:hAnsi="宋体"/>
          <w:b/>
          <w:sz w:val="28"/>
          <w:szCs w:val="28"/>
          <w:u w:val="single"/>
        </w:rPr>
        <w:t>高黏度改性剂</w:t>
      </w:r>
      <w:r>
        <w:rPr>
          <w:rFonts w:hint="eastAsia" w:ascii="宋体" w:hAnsi="宋体"/>
          <w:b/>
          <w:sz w:val="28"/>
          <w:szCs w:val="28"/>
        </w:rPr>
        <w:t>采购数量及单价清单</w:t>
      </w:r>
    </w:p>
    <w:tbl>
      <w:tblPr>
        <w:tblStyle w:val="8"/>
        <w:tblW w:w="4996" w:type="pct"/>
        <w:tblInd w:w="0" w:type="dxa"/>
        <w:tblLayout w:type="autofit"/>
        <w:tblCellMar>
          <w:top w:w="0" w:type="dxa"/>
          <w:left w:w="108" w:type="dxa"/>
          <w:bottom w:w="0" w:type="dxa"/>
          <w:right w:w="108" w:type="dxa"/>
        </w:tblCellMar>
      </w:tblPr>
      <w:tblGrid>
        <w:gridCol w:w="590"/>
        <w:gridCol w:w="1088"/>
        <w:gridCol w:w="1095"/>
        <w:gridCol w:w="872"/>
        <w:gridCol w:w="872"/>
        <w:gridCol w:w="1454"/>
        <w:gridCol w:w="1257"/>
        <w:gridCol w:w="2164"/>
      </w:tblGrid>
      <w:tr>
        <w:tblPrEx>
          <w:tblCellMar>
            <w:top w:w="0" w:type="dxa"/>
            <w:left w:w="108" w:type="dxa"/>
            <w:bottom w:w="0" w:type="dxa"/>
            <w:right w:w="108" w:type="dxa"/>
          </w:tblCellMar>
        </w:tblPrEx>
        <w:trPr>
          <w:trHeight w:val="820" w:hRule="atLeast"/>
        </w:trPr>
        <w:tc>
          <w:tcPr>
            <w:tcW w:w="3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产品名称</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规格型号</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到场含税单价（元）</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总价（元）</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518" w:hRule="atLeast"/>
        </w:trPr>
        <w:tc>
          <w:tcPr>
            <w:tcW w:w="3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高黏度改性剂</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吨</w:t>
            </w:r>
          </w:p>
        </w:tc>
        <w:tc>
          <w:tcPr>
            <w:tcW w:w="464" w:type="pct"/>
            <w:tcBorders>
              <w:top w:val="single" w:color="000000" w:sz="4" w:space="0"/>
              <w:left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color w:val="FF0000"/>
                <w:kern w:val="0"/>
                <w:sz w:val="18"/>
                <w:szCs w:val="18"/>
              </w:rPr>
              <w:t>12</w:t>
            </w:r>
          </w:p>
        </w:tc>
        <w:tc>
          <w:tcPr>
            <w:tcW w:w="774" w:type="pc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69" w:type="pc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51"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含技术服务</w:t>
            </w:r>
          </w:p>
        </w:tc>
      </w:tr>
      <w:tr>
        <w:tblPrEx>
          <w:tblCellMar>
            <w:top w:w="0" w:type="dxa"/>
            <w:left w:w="108" w:type="dxa"/>
            <w:bottom w:w="0" w:type="dxa"/>
            <w:right w:w="108" w:type="dxa"/>
          </w:tblCellMar>
        </w:tblPrEx>
        <w:trPr>
          <w:trHeight w:val="540" w:hRule="atLeast"/>
        </w:trPr>
        <w:tc>
          <w:tcPr>
            <w:tcW w:w="8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4106"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小写：</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元         大写：</w:t>
            </w:r>
            <w:r>
              <w:rPr>
                <w:rStyle w:val="14"/>
                <w:sz w:val="21"/>
                <w:szCs w:val="21"/>
                <w:lang w:bidi="ar"/>
              </w:rPr>
              <w:t xml:space="preserve">                        </w:t>
            </w:r>
            <w:r>
              <w:rPr>
                <w:rStyle w:val="15"/>
                <w:sz w:val="21"/>
                <w:szCs w:val="21"/>
                <w:lang w:bidi="ar"/>
              </w:rPr>
              <w:t xml:space="preserve">元整        </w:t>
            </w:r>
          </w:p>
        </w:tc>
      </w:tr>
    </w:tbl>
    <w:p>
      <w:pPr>
        <w:spacing w:line="480" w:lineRule="exact"/>
        <w:ind w:firstLine="480"/>
        <w:textAlignment w:val="baseline"/>
        <w:rPr>
          <w:rFonts w:hint="eastAsia"/>
          <w:sz w:val="24"/>
          <w:szCs w:val="24"/>
        </w:rPr>
      </w:pPr>
      <w:r>
        <w:rPr>
          <w:rFonts w:hint="eastAsia"/>
          <w:sz w:val="24"/>
          <w:szCs w:val="24"/>
        </w:rPr>
        <w:t>（本合同为综合单价合同，具体数量以甲方代表确认的实际到货合格数量为准。此价格为含税到货价，已包含产品包装、运输、装卸、保险、税金、利润以及保修服务等所有可能产生的费用）。</w:t>
      </w:r>
    </w:p>
    <w:p>
      <w:pPr>
        <w:spacing w:line="480" w:lineRule="exact"/>
        <w:ind w:firstLine="480"/>
        <w:textAlignment w:val="baseline"/>
        <w:rPr>
          <w:rFonts w:hint="eastAsia"/>
          <w:sz w:val="24"/>
          <w:szCs w:val="24"/>
        </w:rPr>
      </w:pPr>
      <w:r>
        <w:rPr>
          <w:rFonts w:hint="eastAsia"/>
          <w:sz w:val="24"/>
          <w:szCs w:val="24"/>
        </w:rPr>
        <w:t>1、具体采购数量由甲方每次通过书面文件、微信、短信、邮件、传真或其他方式向乙方发送订单，乙方接到甲方订单后</w:t>
      </w:r>
      <w:r>
        <w:rPr>
          <w:rFonts w:hint="eastAsia"/>
          <w:color w:val="FF0000"/>
          <w:sz w:val="24"/>
          <w:szCs w:val="24"/>
        </w:rPr>
        <w:t>3日</w:t>
      </w:r>
      <w:r>
        <w:rPr>
          <w:rFonts w:hint="eastAsia"/>
          <w:sz w:val="24"/>
          <w:szCs w:val="24"/>
        </w:rPr>
        <w:t>内配送至甲方指定地点。</w:t>
      </w:r>
    </w:p>
    <w:p>
      <w:pPr>
        <w:spacing w:line="480" w:lineRule="exact"/>
        <w:ind w:firstLine="480"/>
        <w:textAlignment w:val="baseline"/>
        <w:rPr>
          <w:rFonts w:hint="eastAsia"/>
          <w:sz w:val="24"/>
          <w:szCs w:val="24"/>
        </w:rPr>
      </w:pPr>
      <w:r>
        <w:rPr>
          <w:rFonts w:hint="eastAsia"/>
          <w:sz w:val="24"/>
          <w:szCs w:val="24"/>
        </w:rPr>
        <w:t xml:space="preserve"> 2、甲乙双方同意在本合同有效期内，乙方不得因市场行情、原材料价格上涨等因素要求上调单价。</w:t>
      </w:r>
    </w:p>
    <w:p>
      <w:pPr>
        <w:spacing w:line="480" w:lineRule="exact"/>
        <w:ind w:firstLine="480"/>
        <w:textAlignment w:val="baseline"/>
        <w:rPr>
          <w:rFonts w:hint="eastAsia"/>
          <w:sz w:val="24"/>
          <w:szCs w:val="24"/>
        </w:rPr>
      </w:pPr>
      <w:r>
        <w:rPr>
          <w:rFonts w:hint="eastAsia"/>
          <w:sz w:val="24"/>
          <w:szCs w:val="24"/>
        </w:rPr>
        <w:t xml:space="preserve"> 3、合同期内，甲方以书面、传真、微信、短信、邮件等方式向乙方发出订货通知，乙方应在收到订货通知后</w:t>
      </w:r>
      <w:r>
        <w:rPr>
          <w:rFonts w:hint="eastAsia"/>
          <w:color w:val="FF0000"/>
          <w:sz w:val="24"/>
          <w:szCs w:val="24"/>
        </w:rPr>
        <w:t>2小时</w:t>
      </w:r>
      <w:r>
        <w:rPr>
          <w:rFonts w:hint="eastAsia"/>
          <w:sz w:val="24"/>
          <w:szCs w:val="24"/>
        </w:rPr>
        <w:t>内及时确认答复；乙方逾期没有回复的，同样视为收到订货通知且应按本合同约定时间将产品送至甲方指定地点。</w:t>
      </w:r>
    </w:p>
    <w:p>
      <w:pPr>
        <w:spacing w:line="480" w:lineRule="exact"/>
        <w:ind w:firstLine="480"/>
        <w:textAlignment w:val="baseline"/>
        <w:rPr>
          <w:rFonts w:hint="eastAsia"/>
          <w:sz w:val="24"/>
          <w:szCs w:val="24"/>
        </w:rPr>
      </w:pPr>
      <w:r>
        <w:rPr>
          <w:rFonts w:hint="eastAsia"/>
          <w:sz w:val="24"/>
          <w:szCs w:val="24"/>
        </w:rPr>
        <w:t>4、乙方指定经办人：____________（身份证号码：                       ；联系电话：_______________；/邮箱：_______________；/微信：              ；/传真：              ；联系地址：                    ）全权代表乙方负责处理本合同项下各项事务，包括但不限于接收订单、与甲方沟通供货事宜、办理结算等，甲方向本条约定的联系方式发送订单，视为乙方已收到。</w:t>
      </w:r>
    </w:p>
    <w:p>
      <w:pPr>
        <w:spacing w:line="480" w:lineRule="exact"/>
        <w:ind w:firstLine="480"/>
        <w:textAlignment w:val="baseline"/>
        <w:rPr>
          <w:rFonts w:hint="eastAsia"/>
          <w:sz w:val="24"/>
          <w:szCs w:val="24"/>
        </w:rPr>
      </w:pPr>
      <w:r>
        <w:rPr>
          <w:rFonts w:hint="eastAsia"/>
          <w:sz w:val="24"/>
          <w:szCs w:val="24"/>
        </w:rPr>
        <w:t>5、如甲方在发出订货通知后，确因客观原因需要变更交货时间、数量的，甲方提前1天通知乙方，乙方按照变更后的时间、数量交货。</w:t>
      </w:r>
    </w:p>
    <w:p>
      <w:pPr>
        <w:spacing w:line="480" w:lineRule="exact"/>
        <w:ind w:firstLine="480"/>
        <w:textAlignment w:val="baseline"/>
        <w:rPr>
          <w:rFonts w:hint="eastAsia"/>
        </w:rPr>
      </w:pPr>
      <w:r>
        <w:rPr>
          <w:rFonts w:hint="eastAsia"/>
          <w:sz w:val="24"/>
          <w:szCs w:val="24"/>
        </w:rPr>
        <w:t>6、合同最终结算数量应以实际发生的并经验收后合格的数量为准。</w:t>
      </w:r>
    </w:p>
    <w:p>
      <w:pPr>
        <w:spacing w:line="360" w:lineRule="auto"/>
        <w:rPr>
          <w:b/>
          <w:sz w:val="24"/>
          <w:szCs w:val="24"/>
        </w:rPr>
      </w:pPr>
      <w:r>
        <w:rPr>
          <w:rFonts w:hint="eastAsia"/>
          <w:b/>
          <w:sz w:val="24"/>
          <w:szCs w:val="24"/>
        </w:rPr>
        <w:t>二、质量要求、技术标准</w:t>
      </w:r>
    </w:p>
    <w:p>
      <w:pPr>
        <w:spacing w:line="360" w:lineRule="auto"/>
        <w:ind w:firstLine="480"/>
        <w:rPr>
          <w:rFonts w:ascii="宋体" w:hAnsi="宋体"/>
          <w:sz w:val="24"/>
          <w:szCs w:val="24"/>
        </w:rPr>
      </w:pPr>
      <w:r>
        <w:rPr>
          <w:rFonts w:hint="eastAsia" w:ascii="宋体" w:hAnsi="宋体"/>
          <w:sz w:val="24"/>
          <w:szCs w:val="24"/>
        </w:rPr>
        <w:t>1、乙方提供的</w:t>
      </w:r>
      <w:r>
        <w:rPr>
          <w:rFonts w:hint="eastAsia" w:ascii="宋体" w:hAnsi="宋体"/>
          <w:sz w:val="24"/>
          <w:szCs w:val="24"/>
          <w:lang w:val="en-GB"/>
        </w:rPr>
        <w:t>高黏度改性剂，质量检验不低于国家相关技术标准及甲方设计文件要求。</w:t>
      </w:r>
      <w:r>
        <w:rPr>
          <w:rFonts w:hint="eastAsia" w:ascii="宋体" w:hAnsi="宋体"/>
          <w:sz w:val="24"/>
          <w:szCs w:val="24"/>
        </w:rPr>
        <w:t>因产品质量导致的全部损失及后果责任均由乙方承担。</w:t>
      </w:r>
    </w:p>
    <w:p>
      <w:pPr>
        <w:spacing w:line="348" w:lineRule="auto"/>
        <w:jc w:val="left"/>
        <w:textAlignment w:val="baseline"/>
        <w:rPr>
          <w:rFonts w:ascii="宋体" w:hAnsi="宋体" w:cs="宋体"/>
          <w:sz w:val="24"/>
          <w:szCs w:val="24"/>
        </w:rPr>
      </w:pPr>
      <w:r>
        <w:rPr>
          <w:rFonts w:hint="eastAsia" w:ascii="宋体" w:hAnsi="宋体"/>
          <w:sz w:val="24"/>
          <w:szCs w:val="24"/>
        </w:rPr>
        <w:t xml:space="preserve">    2、乙方须</w:t>
      </w:r>
      <w:r>
        <w:rPr>
          <w:rFonts w:hint="eastAsia" w:ascii="宋体" w:hAnsi="宋体" w:cs="宋体"/>
          <w:sz w:val="24"/>
          <w:szCs w:val="24"/>
        </w:rPr>
        <w:t>提供高黏度改性剂产品合格证及质量检验报告单。技术标准及要求满足以下指标：</w:t>
      </w:r>
    </w:p>
    <w:p>
      <w:pPr>
        <w:spacing w:line="360" w:lineRule="auto"/>
        <w:ind w:firstLine="420" w:firstLineChars="200"/>
        <w:jc w:val="center"/>
        <w:rPr>
          <w:szCs w:val="21"/>
        </w:rPr>
      </w:pPr>
      <w:r>
        <w:rPr>
          <w:rFonts w:hint="eastAsia"/>
          <w:szCs w:val="21"/>
        </w:rPr>
        <w:t>排水沥青路面专用高黏度改性剂要求</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2092"/>
        <w:gridCol w:w="267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82" w:type="pct"/>
            <w:noWrap w:val="0"/>
            <w:vAlign w:val="center"/>
          </w:tcPr>
          <w:p>
            <w:pPr>
              <w:spacing w:line="360" w:lineRule="auto"/>
              <w:jc w:val="center"/>
              <w:textAlignment w:val="baseline"/>
              <w:rPr>
                <w:szCs w:val="21"/>
              </w:rPr>
            </w:pPr>
            <w:r>
              <w:rPr>
                <w:szCs w:val="21"/>
              </w:rPr>
              <w:t>指标</w:t>
            </w:r>
          </w:p>
        </w:tc>
        <w:tc>
          <w:tcPr>
            <w:tcW w:w="1113" w:type="pct"/>
            <w:noWrap w:val="0"/>
            <w:vAlign w:val="center"/>
          </w:tcPr>
          <w:p>
            <w:pPr>
              <w:spacing w:line="360" w:lineRule="auto"/>
              <w:jc w:val="center"/>
              <w:textAlignment w:val="baseline"/>
              <w:rPr>
                <w:szCs w:val="21"/>
              </w:rPr>
            </w:pPr>
            <w:r>
              <w:rPr>
                <w:szCs w:val="21"/>
              </w:rPr>
              <w:t>单位</w:t>
            </w:r>
          </w:p>
        </w:tc>
        <w:tc>
          <w:tcPr>
            <w:tcW w:w="1423" w:type="pct"/>
            <w:noWrap w:val="0"/>
            <w:vAlign w:val="center"/>
          </w:tcPr>
          <w:p>
            <w:pPr>
              <w:spacing w:line="360" w:lineRule="auto"/>
              <w:jc w:val="center"/>
              <w:textAlignment w:val="baseline"/>
              <w:rPr>
                <w:szCs w:val="21"/>
              </w:rPr>
            </w:pPr>
            <w:r>
              <w:rPr>
                <w:szCs w:val="21"/>
              </w:rPr>
              <w:t>技术要求</w:t>
            </w:r>
          </w:p>
        </w:tc>
        <w:tc>
          <w:tcPr>
            <w:tcW w:w="1081" w:type="pct"/>
            <w:noWrap w:val="0"/>
            <w:vAlign w:val="center"/>
          </w:tcPr>
          <w:p>
            <w:pPr>
              <w:spacing w:line="360" w:lineRule="auto"/>
              <w:jc w:val="center"/>
              <w:textAlignment w:val="baseline"/>
              <w:rPr>
                <w:szCs w:val="21"/>
              </w:rPr>
            </w:pPr>
            <w:r>
              <w:rPr>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82" w:type="pct"/>
            <w:noWrap w:val="0"/>
            <w:vAlign w:val="center"/>
          </w:tcPr>
          <w:p>
            <w:pPr>
              <w:spacing w:line="360" w:lineRule="auto"/>
              <w:jc w:val="center"/>
              <w:textAlignment w:val="baseline"/>
              <w:rPr>
                <w:szCs w:val="21"/>
              </w:rPr>
            </w:pPr>
            <w:r>
              <w:rPr>
                <w:szCs w:val="21"/>
              </w:rPr>
              <w:t>外观</w:t>
            </w:r>
          </w:p>
        </w:tc>
        <w:tc>
          <w:tcPr>
            <w:tcW w:w="1113" w:type="pct"/>
            <w:noWrap w:val="0"/>
            <w:vAlign w:val="center"/>
          </w:tcPr>
          <w:p>
            <w:pPr>
              <w:spacing w:line="360" w:lineRule="auto"/>
              <w:jc w:val="center"/>
              <w:textAlignment w:val="baseline"/>
              <w:rPr>
                <w:szCs w:val="21"/>
              </w:rPr>
            </w:pPr>
            <w:r>
              <w:rPr>
                <w:szCs w:val="21"/>
              </w:rPr>
              <w:t>-</w:t>
            </w:r>
          </w:p>
        </w:tc>
        <w:tc>
          <w:tcPr>
            <w:tcW w:w="1423" w:type="pct"/>
            <w:noWrap w:val="0"/>
            <w:vAlign w:val="center"/>
          </w:tcPr>
          <w:p>
            <w:pPr>
              <w:spacing w:line="360" w:lineRule="auto"/>
              <w:jc w:val="center"/>
              <w:textAlignment w:val="baseline"/>
              <w:rPr>
                <w:szCs w:val="21"/>
              </w:rPr>
            </w:pPr>
            <w:r>
              <w:rPr>
                <w:szCs w:val="21"/>
              </w:rPr>
              <w:t>颗粒状，均匀、饱满</w:t>
            </w:r>
            <w:r>
              <w:rPr>
                <w:rFonts w:hint="eastAsia"/>
                <w:szCs w:val="21"/>
              </w:rPr>
              <w:t>（以样品为准）</w:t>
            </w:r>
          </w:p>
        </w:tc>
        <w:tc>
          <w:tcPr>
            <w:tcW w:w="1081" w:type="pct"/>
            <w:noWrap w:val="0"/>
            <w:vAlign w:val="center"/>
          </w:tcPr>
          <w:p>
            <w:pPr>
              <w:spacing w:line="360" w:lineRule="auto"/>
              <w:jc w:val="center"/>
              <w:textAlignment w:val="baseline"/>
              <w:rPr>
                <w:szCs w:val="21"/>
              </w:rPr>
            </w:pPr>
            <w:r>
              <w:rPr>
                <w:szCs w:val="21"/>
              </w:rPr>
              <w:t>JT 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82" w:type="pct"/>
            <w:noWrap w:val="0"/>
            <w:vAlign w:val="center"/>
          </w:tcPr>
          <w:p>
            <w:pPr>
              <w:spacing w:line="360" w:lineRule="auto"/>
              <w:jc w:val="center"/>
              <w:textAlignment w:val="baseline"/>
              <w:rPr>
                <w:szCs w:val="21"/>
              </w:rPr>
            </w:pPr>
            <w:r>
              <w:rPr>
                <w:szCs w:val="21"/>
              </w:rPr>
              <w:t>单粒颗粒质量，不大于*</w:t>
            </w:r>
          </w:p>
        </w:tc>
        <w:tc>
          <w:tcPr>
            <w:tcW w:w="1113" w:type="pct"/>
            <w:noWrap w:val="0"/>
            <w:vAlign w:val="center"/>
          </w:tcPr>
          <w:p>
            <w:pPr>
              <w:spacing w:line="360" w:lineRule="auto"/>
              <w:jc w:val="center"/>
              <w:textAlignment w:val="baseline"/>
              <w:rPr>
                <w:szCs w:val="21"/>
              </w:rPr>
            </w:pPr>
            <w:r>
              <w:rPr>
                <w:szCs w:val="21"/>
              </w:rPr>
              <w:t>g</w:t>
            </w:r>
          </w:p>
        </w:tc>
        <w:tc>
          <w:tcPr>
            <w:tcW w:w="1423" w:type="pct"/>
            <w:noWrap w:val="0"/>
            <w:vAlign w:val="center"/>
          </w:tcPr>
          <w:p>
            <w:pPr>
              <w:spacing w:line="360" w:lineRule="auto"/>
              <w:jc w:val="center"/>
              <w:textAlignment w:val="baseline"/>
              <w:rPr>
                <w:szCs w:val="21"/>
              </w:rPr>
            </w:pPr>
            <w:r>
              <w:rPr>
                <w:szCs w:val="21"/>
              </w:rPr>
              <w:t>0.03</w:t>
            </w:r>
          </w:p>
        </w:tc>
        <w:tc>
          <w:tcPr>
            <w:tcW w:w="1081" w:type="pct"/>
            <w:noWrap w:val="0"/>
            <w:vAlign w:val="center"/>
          </w:tcPr>
          <w:p>
            <w:pPr>
              <w:spacing w:line="360" w:lineRule="auto"/>
              <w:jc w:val="center"/>
              <w:textAlignment w:val="baseline"/>
              <w:rPr>
                <w:szCs w:val="21"/>
              </w:rPr>
            </w:pPr>
            <w:r>
              <w:rPr>
                <w:szCs w:val="21"/>
              </w:rPr>
              <w:t>JT 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pct"/>
            <w:noWrap w:val="0"/>
            <w:vAlign w:val="center"/>
          </w:tcPr>
          <w:p>
            <w:pPr>
              <w:spacing w:line="360" w:lineRule="auto"/>
              <w:jc w:val="center"/>
              <w:textAlignment w:val="baseline"/>
              <w:rPr>
                <w:szCs w:val="21"/>
              </w:rPr>
            </w:pPr>
            <w:r>
              <w:rPr>
                <w:szCs w:val="21"/>
              </w:rPr>
              <w:t>相对密度</w:t>
            </w:r>
          </w:p>
        </w:tc>
        <w:tc>
          <w:tcPr>
            <w:tcW w:w="1113" w:type="pct"/>
            <w:noWrap w:val="0"/>
            <w:vAlign w:val="center"/>
          </w:tcPr>
          <w:p>
            <w:pPr>
              <w:spacing w:line="360" w:lineRule="auto"/>
              <w:jc w:val="center"/>
              <w:textAlignment w:val="baseline"/>
              <w:rPr>
                <w:szCs w:val="21"/>
              </w:rPr>
            </w:pPr>
            <w:r>
              <w:rPr>
                <w:szCs w:val="21"/>
              </w:rPr>
              <w:t>-</w:t>
            </w:r>
          </w:p>
        </w:tc>
        <w:tc>
          <w:tcPr>
            <w:tcW w:w="1423" w:type="pct"/>
            <w:noWrap w:val="0"/>
            <w:vAlign w:val="center"/>
          </w:tcPr>
          <w:p>
            <w:pPr>
              <w:spacing w:line="360" w:lineRule="auto"/>
              <w:jc w:val="center"/>
              <w:textAlignment w:val="baseline"/>
              <w:rPr>
                <w:szCs w:val="21"/>
              </w:rPr>
            </w:pPr>
            <w:r>
              <w:rPr>
                <w:szCs w:val="21"/>
              </w:rPr>
              <w:t>0.90~1.00</w:t>
            </w:r>
          </w:p>
        </w:tc>
        <w:tc>
          <w:tcPr>
            <w:tcW w:w="1081" w:type="pct"/>
            <w:noWrap w:val="0"/>
            <w:vAlign w:val="center"/>
          </w:tcPr>
          <w:p>
            <w:pPr>
              <w:spacing w:line="360" w:lineRule="auto"/>
              <w:jc w:val="center"/>
              <w:textAlignment w:val="baseline"/>
              <w:rPr>
                <w:szCs w:val="21"/>
              </w:rPr>
            </w:pPr>
            <w:r>
              <w:rPr>
                <w:szCs w:val="21"/>
              </w:rPr>
              <w:t>JT 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pct"/>
            <w:noWrap w:val="0"/>
            <w:vAlign w:val="center"/>
          </w:tcPr>
          <w:p>
            <w:pPr>
              <w:spacing w:line="360" w:lineRule="auto"/>
              <w:jc w:val="center"/>
              <w:textAlignment w:val="baseline"/>
              <w:rPr>
                <w:szCs w:val="21"/>
              </w:rPr>
            </w:pPr>
            <w:r>
              <w:rPr>
                <w:szCs w:val="21"/>
              </w:rPr>
              <w:t>熔融指数，不大于*</w:t>
            </w:r>
          </w:p>
        </w:tc>
        <w:tc>
          <w:tcPr>
            <w:tcW w:w="1113" w:type="pct"/>
            <w:noWrap w:val="0"/>
            <w:vAlign w:val="center"/>
          </w:tcPr>
          <w:p>
            <w:pPr>
              <w:spacing w:line="360" w:lineRule="auto"/>
              <w:jc w:val="center"/>
              <w:textAlignment w:val="baseline"/>
              <w:rPr>
                <w:szCs w:val="21"/>
              </w:rPr>
            </w:pPr>
            <w:r>
              <w:rPr>
                <w:szCs w:val="21"/>
              </w:rPr>
              <w:t>g/10min</w:t>
            </w:r>
          </w:p>
        </w:tc>
        <w:tc>
          <w:tcPr>
            <w:tcW w:w="1423" w:type="pct"/>
            <w:noWrap w:val="0"/>
            <w:vAlign w:val="center"/>
          </w:tcPr>
          <w:p>
            <w:pPr>
              <w:spacing w:line="360" w:lineRule="auto"/>
              <w:jc w:val="center"/>
              <w:textAlignment w:val="baseline"/>
              <w:rPr>
                <w:szCs w:val="21"/>
              </w:rPr>
            </w:pPr>
            <w:r>
              <w:rPr>
                <w:szCs w:val="21"/>
              </w:rPr>
              <w:t>2.0</w:t>
            </w:r>
          </w:p>
        </w:tc>
        <w:tc>
          <w:tcPr>
            <w:tcW w:w="1081" w:type="pct"/>
            <w:noWrap w:val="0"/>
            <w:vAlign w:val="center"/>
          </w:tcPr>
          <w:p>
            <w:pPr>
              <w:spacing w:line="360" w:lineRule="auto"/>
              <w:jc w:val="center"/>
              <w:textAlignment w:val="baseline"/>
              <w:rPr>
                <w:szCs w:val="21"/>
              </w:rPr>
            </w:pPr>
            <w:r>
              <w:rPr>
                <w:szCs w:val="21"/>
              </w:rPr>
              <w:t>JT T860.2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pct"/>
            <w:noWrap w:val="0"/>
            <w:vAlign w:val="center"/>
          </w:tcPr>
          <w:p>
            <w:pPr>
              <w:spacing w:line="360" w:lineRule="auto"/>
              <w:jc w:val="center"/>
              <w:textAlignment w:val="baseline"/>
              <w:rPr>
                <w:szCs w:val="21"/>
              </w:rPr>
            </w:pPr>
            <w:r>
              <w:rPr>
                <w:szCs w:val="21"/>
              </w:rPr>
              <w:t>灰分，不大于</w:t>
            </w:r>
          </w:p>
        </w:tc>
        <w:tc>
          <w:tcPr>
            <w:tcW w:w="1113" w:type="pct"/>
            <w:noWrap w:val="0"/>
            <w:vAlign w:val="center"/>
          </w:tcPr>
          <w:p>
            <w:pPr>
              <w:spacing w:line="360" w:lineRule="auto"/>
              <w:jc w:val="center"/>
              <w:textAlignment w:val="baseline"/>
              <w:rPr>
                <w:szCs w:val="21"/>
              </w:rPr>
            </w:pPr>
            <w:r>
              <w:rPr>
                <w:szCs w:val="21"/>
              </w:rPr>
              <w:t>%</w:t>
            </w:r>
          </w:p>
        </w:tc>
        <w:tc>
          <w:tcPr>
            <w:tcW w:w="1423" w:type="pct"/>
            <w:noWrap w:val="0"/>
            <w:vAlign w:val="center"/>
          </w:tcPr>
          <w:p>
            <w:pPr>
              <w:spacing w:line="360" w:lineRule="auto"/>
              <w:jc w:val="center"/>
              <w:textAlignment w:val="baseline"/>
              <w:rPr>
                <w:szCs w:val="21"/>
              </w:rPr>
            </w:pPr>
            <w:r>
              <w:rPr>
                <w:szCs w:val="21"/>
              </w:rPr>
              <w:t>2</w:t>
            </w:r>
          </w:p>
        </w:tc>
        <w:tc>
          <w:tcPr>
            <w:tcW w:w="1081" w:type="pct"/>
            <w:noWrap w:val="0"/>
            <w:vAlign w:val="center"/>
          </w:tcPr>
          <w:p>
            <w:pPr>
              <w:spacing w:line="360" w:lineRule="auto"/>
              <w:jc w:val="center"/>
              <w:textAlignment w:val="baseline"/>
              <w:rPr>
                <w:szCs w:val="21"/>
              </w:rPr>
            </w:pPr>
            <w:r>
              <w:rPr>
                <w:szCs w:val="21"/>
              </w:rPr>
              <w:t>JT T860.2</w:t>
            </w:r>
          </w:p>
        </w:tc>
      </w:tr>
    </w:tbl>
    <w:p>
      <w:pPr>
        <w:spacing w:line="360" w:lineRule="auto"/>
        <w:jc w:val="center"/>
      </w:pPr>
    </w:p>
    <w:p>
      <w:pPr>
        <w:spacing w:line="360" w:lineRule="auto"/>
        <w:jc w:val="center"/>
      </w:pPr>
      <w:r>
        <w:rPr>
          <w:rFonts w:hint="eastAsia"/>
        </w:rPr>
        <w:t>高黏度改性沥青性能指标</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329"/>
        <w:gridCol w:w="1242"/>
        <w:gridCol w:w="1915"/>
        <w:gridCol w:w="19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blHeader/>
          <w:jc w:val="center"/>
        </w:trPr>
        <w:tc>
          <w:tcPr>
            <w:tcW w:w="2303" w:type="pct"/>
            <w:noWrap w:val="0"/>
            <w:vAlign w:val="center"/>
          </w:tcPr>
          <w:p>
            <w:pPr>
              <w:jc w:val="center"/>
              <w:rPr>
                <w:szCs w:val="21"/>
              </w:rPr>
            </w:pPr>
            <w:r>
              <w:rPr>
                <w:szCs w:val="21"/>
              </w:rPr>
              <w:t>指标</w:t>
            </w:r>
          </w:p>
        </w:tc>
        <w:tc>
          <w:tcPr>
            <w:tcW w:w="661" w:type="pct"/>
            <w:noWrap w:val="0"/>
            <w:vAlign w:val="center"/>
          </w:tcPr>
          <w:p>
            <w:pPr>
              <w:jc w:val="center"/>
              <w:rPr>
                <w:szCs w:val="21"/>
              </w:rPr>
            </w:pPr>
            <w:r>
              <w:rPr>
                <w:szCs w:val="21"/>
              </w:rPr>
              <w:t>单位</w:t>
            </w:r>
          </w:p>
        </w:tc>
        <w:tc>
          <w:tcPr>
            <w:tcW w:w="1017" w:type="pct"/>
            <w:noWrap w:val="0"/>
            <w:vAlign w:val="center"/>
          </w:tcPr>
          <w:p>
            <w:pPr>
              <w:jc w:val="center"/>
              <w:rPr>
                <w:szCs w:val="21"/>
              </w:rPr>
            </w:pPr>
            <w:r>
              <w:rPr>
                <w:rFonts w:hint="eastAsia"/>
                <w:szCs w:val="21"/>
              </w:rPr>
              <w:t>技术要求</w:t>
            </w:r>
          </w:p>
        </w:tc>
        <w:tc>
          <w:tcPr>
            <w:tcW w:w="1016" w:type="pct"/>
            <w:noWrap w:val="0"/>
            <w:vAlign w:val="center"/>
          </w:tcPr>
          <w:p>
            <w:pPr>
              <w:jc w:val="center"/>
              <w:rPr>
                <w:szCs w:val="21"/>
              </w:rPr>
            </w:pPr>
            <w:r>
              <w:rPr>
                <w:rFonts w:hint="eastAsia"/>
              </w:rPr>
              <w:t>实验方法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针入度（25℃，100g，5s），不小于</w:t>
            </w:r>
          </w:p>
        </w:tc>
        <w:tc>
          <w:tcPr>
            <w:tcW w:w="661" w:type="pct"/>
            <w:noWrap w:val="0"/>
            <w:vAlign w:val="center"/>
          </w:tcPr>
          <w:p>
            <w:pPr>
              <w:jc w:val="center"/>
              <w:rPr>
                <w:szCs w:val="21"/>
              </w:rPr>
            </w:pPr>
            <w:r>
              <w:rPr>
                <w:szCs w:val="21"/>
              </w:rPr>
              <w:t>0.1mm</w:t>
            </w:r>
          </w:p>
        </w:tc>
        <w:tc>
          <w:tcPr>
            <w:tcW w:w="1915" w:type="dxa"/>
            <w:noWrap w:val="0"/>
            <w:vAlign w:val="center"/>
          </w:tcPr>
          <w:p>
            <w:pPr>
              <w:jc w:val="center"/>
              <w:rPr>
                <w:szCs w:val="21"/>
              </w:rPr>
            </w:pPr>
            <w:r>
              <w:t>40</w:t>
            </w:r>
          </w:p>
        </w:tc>
        <w:tc>
          <w:tcPr>
            <w:tcW w:w="1016" w:type="pct"/>
            <w:vMerge w:val="restart"/>
            <w:noWrap w:val="0"/>
            <w:vAlign w:val="center"/>
          </w:tcPr>
          <w:p>
            <w:pPr>
              <w:jc w:val="center"/>
              <w:rPr>
                <w:szCs w:val="21"/>
              </w:rPr>
            </w:pPr>
            <w:r>
              <w:rPr>
                <w:rFonts w:hint="eastAsia"/>
              </w:rPr>
              <w:t>《公路工程沥青及沥青混合料试验规程》JTG E20-2011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软化点（T</w:t>
            </w:r>
            <w:r>
              <w:rPr>
                <w:szCs w:val="21"/>
                <w:vertAlign w:val="subscript"/>
              </w:rPr>
              <w:t>R&amp;B</w:t>
            </w:r>
            <w:r>
              <w:rPr>
                <w:szCs w:val="21"/>
              </w:rPr>
              <w:t>）</w:t>
            </w:r>
            <w:r>
              <w:rPr>
                <w:rFonts w:hint="eastAsia"/>
                <w:szCs w:val="21"/>
              </w:rPr>
              <w:t>，</w:t>
            </w:r>
            <w:r>
              <w:rPr>
                <w:szCs w:val="21"/>
              </w:rPr>
              <w:t>不小于</w:t>
            </w:r>
          </w:p>
        </w:tc>
        <w:tc>
          <w:tcPr>
            <w:tcW w:w="661" w:type="pct"/>
            <w:noWrap w:val="0"/>
            <w:vAlign w:val="center"/>
          </w:tcPr>
          <w:p>
            <w:pPr>
              <w:jc w:val="center"/>
              <w:rPr>
                <w:szCs w:val="21"/>
              </w:rPr>
            </w:pPr>
            <w:r>
              <w:rPr>
                <w:szCs w:val="21"/>
              </w:rPr>
              <w:t>℃</w:t>
            </w:r>
          </w:p>
        </w:tc>
        <w:tc>
          <w:tcPr>
            <w:tcW w:w="1915" w:type="dxa"/>
            <w:noWrap w:val="0"/>
            <w:vAlign w:val="center"/>
          </w:tcPr>
          <w:p>
            <w:pPr>
              <w:jc w:val="center"/>
              <w:rPr>
                <w:szCs w:val="21"/>
              </w:rPr>
            </w:pPr>
            <w:r>
              <w:rPr>
                <w:rFonts w:hint="eastAsia"/>
              </w:rPr>
              <w:t>8</w:t>
            </w:r>
            <w:r>
              <w:t>0</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延度（5</w:t>
            </w:r>
            <w:r>
              <w:rPr>
                <w:rFonts w:hint="eastAsia" w:ascii="宋体" w:hAnsi="宋体" w:cs="宋体"/>
                <w:szCs w:val="21"/>
              </w:rPr>
              <w:t>℃</w:t>
            </w:r>
            <w:r>
              <w:rPr>
                <w:szCs w:val="21"/>
              </w:rPr>
              <w:t>，5cm/min）</w:t>
            </w:r>
            <w:r>
              <w:rPr>
                <w:rFonts w:hint="eastAsia"/>
                <w:szCs w:val="21"/>
              </w:rPr>
              <w:t>，</w:t>
            </w:r>
            <w:r>
              <w:rPr>
                <w:szCs w:val="21"/>
              </w:rPr>
              <w:t>不小于</w:t>
            </w:r>
          </w:p>
        </w:tc>
        <w:tc>
          <w:tcPr>
            <w:tcW w:w="661" w:type="pct"/>
            <w:noWrap w:val="0"/>
            <w:vAlign w:val="center"/>
          </w:tcPr>
          <w:p>
            <w:pPr>
              <w:jc w:val="center"/>
              <w:rPr>
                <w:szCs w:val="21"/>
              </w:rPr>
            </w:pPr>
            <w:r>
              <w:rPr>
                <w:szCs w:val="21"/>
              </w:rPr>
              <w:t>cm</w:t>
            </w:r>
          </w:p>
        </w:tc>
        <w:tc>
          <w:tcPr>
            <w:tcW w:w="1915" w:type="dxa"/>
            <w:noWrap w:val="0"/>
            <w:vAlign w:val="center"/>
          </w:tcPr>
          <w:p>
            <w:pPr>
              <w:jc w:val="center"/>
              <w:rPr>
                <w:szCs w:val="21"/>
              </w:rPr>
            </w:pPr>
            <w:r>
              <w:t>30</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溶解度</w:t>
            </w:r>
            <w:r>
              <w:rPr>
                <w:rFonts w:hint="eastAsia"/>
                <w:szCs w:val="21"/>
              </w:rPr>
              <w:t>，</w:t>
            </w:r>
            <w:r>
              <w:rPr>
                <w:szCs w:val="21"/>
              </w:rPr>
              <w:t>不小于</w:t>
            </w:r>
          </w:p>
        </w:tc>
        <w:tc>
          <w:tcPr>
            <w:tcW w:w="661" w:type="pct"/>
            <w:noWrap w:val="0"/>
            <w:vAlign w:val="center"/>
          </w:tcPr>
          <w:p>
            <w:pPr>
              <w:jc w:val="center"/>
              <w:rPr>
                <w:szCs w:val="21"/>
              </w:rPr>
            </w:pPr>
            <w:r>
              <w:rPr>
                <w:szCs w:val="21"/>
              </w:rPr>
              <w:t>%</w:t>
            </w:r>
          </w:p>
        </w:tc>
        <w:tc>
          <w:tcPr>
            <w:tcW w:w="1915" w:type="dxa"/>
            <w:noWrap w:val="0"/>
            <w:vAlign w:val="center"/>
          </w:tcPr>
          <w:p>
            <w:pPr>
              <w:jc w:val="center"/>
              <w:rPr>
                <w:szCs w:val="21"/>
              </w:rPr>
            </w:pPr>
            <w:r>
              <w:t>99</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rFonts w:hint="eastAsia"/>
                <w:szCs w:val="21"/>
              </w:rPr>
              <w:t>运</w:t>
            </w:r>
            <w:r>
              <w:rPr>
                <w:szCs w:val="21"/>
              </w:rPr>
              <w:t>动粘度（</w:t>
            </w:r>
            <w:r>
              <w:rPr>
                <w:rFonts w:hint="eastAsia"/>
                <w:szCs w:val="21"/>
              </w:rPr>
              <w:t>170℃</w:t>
            </w:r>
            <w:r>
              <w:rPr>
                <w:szCs w:val="21"/>
              </w:rPr>
              <w:t>）</w:t>
            </w:r>
            <w:r>
              <w:rPr>
                <w:rFonts w:hint="eastAsia"/>
                <w:szCs w:val="21"/>
              </w:rPr>
              <w:t>，</w:t>
            </w:r>
            <w:r>
              <w:rPr>
                <w:szCs w:val="21"/>
              </w:rPr>
              <w:t>不大于</w:t>
            </w:r>
          </w:p>
        </w:tc>
        <w:tc>
          <w:tcPr>
            <w:tcW w:w="661" w:type="pct"/>
            <w:noWrap w:val="0"/>
            <w:vAlign w:val="center"/>
          </w:tcPr>
          <w:p>
            <w:pPr>
              <w:jc w:val="center"/>
              <w:rPr>
                <w:szCs w:val="21"/>
              </w:rPr>
            </w:pPr>
            <w:r>
              <w:rPr>
                <w:szCs w:val="21"/>
              </w:rPr>
              <w:t>Pa·s</w:t>
            </w:r>
          </w:p>
        </w:tc>
        <w:tc>
          <w:tcPr>
            <w:tcW w:w="1915" w:type="dxa"/>
            <w:noWrap w:val="0"/>
            <w:vAlign w:val="center"/>
          </w:tcPr>
          <w:p>
            <w:pPr>
              <w:jc w:val="center"/>
              <w:rPr>
                <w:szCs w:val="21"/>
              </w:rPr>
            </w:pPr>
            <w:r>
              <w:t>3</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动力粘度（60℃），不小于</w:t>
            </w:r>
          </w:p>
        </w:tc>
        <w:tc>
          <w:tcPr>
            <w:tcW w:w="661" w:type="pct"/>
            <w:noWrap w:val="0"/>
            <w:vAlign w:val="center"/>
          </w:tcPr>
          <w:p>
            <w:pPr>
              <w:jc w:val="center"/>
              <w:rPr>
                <w:szCs w:val="21"/>
              </w:rPr>
            </w:pPr>
            <w:r>
              <w:rPr>
                <w:szCs w:val="21"/>
              </w:rPr>
              <w:t>Pa·s</w:t>
            </w:r>
          </w:p>
        </w:tc>
        <w:tc>
          <w:tcPr>
            <w:tcW w:w="1915" w:type="dxa"/>
            <w:noWrap w:val="0"/>
            <w:vAlign w:val="center"/>
          </w:tcPr>
          <w:p>
            <w:pPr>
              <w:jc w:val="center"/>
              <w:rPr>
                <w:szCs w:val="21"/>
              </w:rPr>
            </w:pPr>
            <w:r>
              <w:rPr>
                <w:rFonts w:hint="eastAsia"/>
              </w:rPr>
              <w:t>50000</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粘韧性（25℃），不小于</w:t>
            </w:r>
          </w:p>
        </w:tc>
        <w:tc>
          <w:tcPr>
            <w:tcW w:w="661" w:type="pct"/>
            <w:noWrap w:val="0"/>
            <w:vAlign w:val="center"/>
          </w:tcPr>
          <w:p>
            <w:pPr>
              <w:jc w:val="center"/>
              <w:rPr>
                <w:szCs w:val="21"/>
              </w:rPr>
            </w:pPr>
            <w:r>
              <w:rPr>
                <w:szCs w:val="21"/>
              </w:rPr>
              <w:t>N·m</w:t>
            </w:r>
          </w:p>
        </w:tc>
        <w:tc>
          <w:tcPr>
            <w:tcW w:w="1915" w:type="dxa"/>
            <w:noWrap w:val="0"/>
            <w:vAlign w:val="center"/>
          </w:tcPr>
          <w:p>
            <w:pPr>
              <w:jc w:val="center"/>
              <w:rPr>
                <w:szCs w:val="21"/>
              </w:rPr>
            </w:pPr>
            <w:r>
              <w:t>25</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弹性恢复（25℃），不小于</w:t>
            </w:r>
          </w:p>
        </w:tc>
        <w:tc>
          <w:tcPr>
            <w:tcW w:w="661" w:type="pct"/>
            <w:noWrap w:val="0"/>
            <w:vAlign w:val="center"/>
          </w:tcPr>
          <w:p>
            <w:pPr>
              <w:jc w:val="center"/>
              <w:rPr>
                <w:szCs w:val="21"/>
              </w:rPr>
            </w:pPr>
            <w:r>
              <w:rPr>
                <w:szCs w:val="21"/>
              </w:rPr>
              <w:t>%</w:t>
            </w:r>
          </w:p>
        </w:tc>
        <w:tc>
          <w:tcPr>
            <w:tcW w:w="1915" w:type="dxa"/>
            <w:noWrap w:val="0"/>
            <w:vAlign w:val="center"/>
          </w:tcPr>
          <w:p>
            <w:pPr>
              <w:jc w:val="center"/>
              <w:rPr>
                <w:szCs w:val="21"/>
              </w:rPr>
            </w:pPr>
            <w:r>
              <w:t>95</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贮存稳定性离析，48h软化点差，不大于</w:t>
            </w:r>
          </w:p>
        </w:tc>
        <w:tc>
          <w:tcPr>
            <w:tcW w:w="661" w:type="pct"/>
            <w:noWrap w:val="0"/>
            <w:vAlign w:val="center"/>
          </w:tcPr>
          <w:p>
            <w:pPr>
              <w:jc w:val="center"/>
              <w:rPr>
                <w:szCs w:val="21"/>
              </w:rPr>
            </w:pPr>
            <w:r>
              <w:rPr>
                <w:szCs w:val="21"/>
              </w:rPr>
              <w:t>℃</w:t>
            </w:r>
          </w:p>
        </w:tc>
        <w:tc>
          <w:tcPr>
            <w:tcW w:w="1915" w:type="dxa"/>
            <w:noWrap w:val="0"/>
            <w:vAlign w:val="center"/>
          </w:tcPr>
          <w:p>
            <w:pPr>
              <w:jc w:val="center"/>
              <w:rPr>
                <w:szCs w:val="21"/>
              </w:rPr>
            </w:pPr>
            <w:r>
              <w:t>2.</w:t>
            </w:r>
            <w:r>
              <w:rPr>
                <w:rFonts w:hint="eastAsia"/>
              </w:rPr>
              <w:t>5</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闪点，不小于</w:t>
            </w:r>
          </w:p>
        </w:tc>
        <w:tc>
          <w:tcPr>
            <w:tcW w:w="661" w:type="pct"/>
            <w:noWrap w:val="0"/>
            <w:vAlign w:val="center"/>
          </w:tcPr>
          <w:p>
            <w:pPr>
              <w:jc w:val="center"/>
              <w:rPr>
                <w:szCs w:val="21"/>
              </w:rPr>
            </w:pPr>
            <w:r>
              <w:rPr>
                <w:szCs w:val="21"/>
              </w:rPr>
              <w:t>℃</w:t>
            </w:r>
          </w:p>
        </w:tc>
        <w:tc>
          <w:tcPr>
            <w:tcW w:w="1915" w:type="dxa"/>
            <w:noWrap w:val="0"/>
            <w:vAlign w:val="center"/>
          </w:tcPr>
          <w:p>
            <w:pPr>
              <w:jc w:val="center"/>
              <w:rPr>
                <w:szCs w:val="21"/>
              </w:rPr>
            </w:pPr>
            <w:r>
              <w:t>230</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相对密度</w:t>
            </w:r>
            <w:r>
              <w:rPr>
                <w:rFonts w:hint="eastAsia"/>
                <w:szCs w:val="21"/>
              </w:rPr>
              <w:t>（</w:t>
            </w:r>
            <w:r>
              <w:rPr>
                <w:szCs w:val="21"/>
              </w:rPr>
              <w:t>25</w:t>
            </w:r>
            <w:r>
              <w:rPr>
                <w:rFonts w:hint="eastAsia" w:ascii="宋体" w:hAnsi="宋体" w:cs="宋体"/>
                <w:szCs w:val="21"/>
              </w:rPr>
              <w:t>℃</w:t>
            </w:r>
            <w:r>
              <w:rPr>
                <w:rFonts w:hint="eastAsia"/>
                <w:szCs w:val="21"/>
              </w:rPr>
              <w:t>）</w:t>
            </w:r>
          </w:p>
        </w:tc>
        <w:tc>
          <w:tcPr>
            <w:tcW w:w="661" w:type="pct"/>
            <w:noWrap w:val="0"/>
            <w:vAlign w:val="center"/>
          </w:tcPr>
          <w:p>
            <w:pPr>
              <w:jc w:val="center"/>
              <w:rPr>
                <w:szCs w:val="21"/>
              </w:rPr>
            </w:pPr>
            <w:r>
              <w:rPr>
                <w:szCs w:val="21"/>
              </w:rPr>
              <w:t>-</w:t>
            </w:r>
          </w:p>
        </w:tc>
        <w:tc>
          <w:tcPr>
            <w:tcW w:w="1017" w:type="pct"/>
            <w:noWrap w:val="0"/>
            <w:vAlign w:val="center"/>
          </w:tcPr>
          <w:p>
            <w:pPr>
              <w:jc w:val="center"/>
              <w:rPr>
                <w:szCs w:val="21"/>
              </w:rPr>
            </w:pPr>
            <w:r>
              <w:rPr>
                <w:szCs w:val="21"/>
              </w:rPr>
              <w:t>实测记录</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3983" w:type="pct"/>
            <w:gridSpan w:val="3"/>
            <w:noWrap w:val="0"/>
            <w:vAlign w:val="center"/>
          </w:tcPr>
          <w:p>
            <w:pPr>
              <w:jc w:val="center"/>
              <w:rPr>
                <w:szCs w:val="21"/>
              </w:rPr>
            </w:pPr>
            <w:r>
              <w:rPr>
                <w:szCs w:val="21"/>
              </w:rPr>
              <w:t>RTFOT后残留物</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质量变化，不大于</w:t>
            </w:r>
          </w:p>
        </w:tc>
        <w:tc>
          <w:tcPr>
            <w:tcW w:w="661" w:type="pct"/>
            <w:noWrap w:val="0"/>
            <w:vAlign w:val="center"/>
          </w:tcPr>
          <w:p>
            <w:pPr>
              <w:jc w:val="center"/>
              <w:rPr>
                <w:szCs w:val="21"/>
              </w:rPr>
            </w:pPr>
            <w:r>
              <w:rPr>
                <w:szCs w:val="21"/>
              </w:rPr>
              <w:t>%</w:t>
            </w:r>
          </w:p>
        </w:tc>
        <w:tc>
          <w:tcPr>
            <w:tcW w:w="1017" w:type="pct"/>
            <w:noWrap w:val="0"/>
            <w:vAlign w:val="center"/>
          </w:tcPr>
          <w:p>
            <w:pPr>
              <w:jc w:val="center"/>
              <w:rPr>
                <w:szCs w:val="21"/>
              </w:rPr>
            </w:pPr>
            <w:r>
              <w:rPr>
                <w:szCs w:val="21"/>
              </w:rPr>
              <w:t>±</w:t>
            </w:r>
            <w:r>
              <w:rPr>
                <w:rFonts w:hint="eastAsia"/>
                <w:szCs w:val="21"/>
              </w:rPr>
              <w:t>1.0</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残留针入度比</w:t>
            </w:r>
            <w:r>
              <w:rPr>
                <w:rFonts w:hint="eastAsia"/>
                <w:szCs w:val="21"/>
              </w:rPr>
              <w:t>（</w:t>
            </w:r>
            <w:r>
              <w:rPr>
                <w:szCs w:val="21"/>
              </w:rPr>
              <w:t>25</w:t>
            </w:r>
            <w:r>
              <w:rPr>
                <w:rFonts w:hint="eastAsia" w:ascii="宋体" w:hAnsi="宋体" w:cs="宋体"/>
                <w:szCs w:val="21"/>
              </w:rPr>
              <w:t>℃</w:t>
            </w:r>
            <w:r>
              <w:rPr>
                <w:rFonts w:hint="eastAsia"/>
                <w:szCs w:val="21"/>
              </w:rPr>
              <w:t>）</w:t>
            </w:r>
            <w:r>
              <w:rPr>
                <w:szCs w:val="21"/>
              </w:rPr>
              <w:t>，不小于</w:t>
            </w:r>
          </w:p>
        </w:tc>
        <w:tc>
          <w:tcPr>
            <w:tcW w:w="661" w:type="pct"/>
            <w:noWrap w:val="0"/>
            <w:vAlign w:val="center"/>
          </w:tcPr>
          <w:p>
            <w:pPr>
              <w:jc w:val="center"/>
              <w:rPr>
                <w:szCs w:val="21"/>
              </w:rPr>
            </w:pPr>
            <w:r>
              <w:rPr>
                <w:szCs w:val="21"/>
              </w:rPr>
              <w:t>%</w:t>
            </w:r>
          </w:p>
        </w:tc>
        <w:tc>
          <w:tcPr>
            <w:tcW w:w="1017" w:type="pct"/>
            <w:noWrap w:val="0"/>
            <w:vAlign w:val="center"/>
          </w:tcPr>
          <w:p>
            <w:pPr>
              <w:jc w:val="center"/>
              <w:rPr>
                <w:szCs w:val="21"/>
              </w:rPr>
            </w:pPr>
            <w:r>
              <w:rPr>
                <w:rFonts w:hint="eastAsia"/>
                <w:szCs w:val="21"/>
              </w:rPr>
              <w:t>65</w:t>
            </w:r>
          </w:p>
        </w:tc>
        <w:tc>
          <w:tcPr>
            <w:tcW w:w="1016" w:type="pct"/>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303" w:type="pct"/>
            <w:noWrap w:val="0"/>
            <w:vAlign w:val="center"/>
          </w:tcPr>
          <w:p>
            <w:pPr>
              <w:jc w:val="center"/>
              <w:rPr>
                <w:szCs w:val="21"/>
              </w:rPr>
            </w:pPr>
            <w:r>
              <w:rPr>
                <w:szCs w:val="21"/>
              </w:rPr>
              <w:t>残留延度</w:t>
            </w:r>
            <w:r>
              <w:rPr>
                <w:rFonts w:hint="eastAsia"/>
                <w:szCs w:val="21"/>
              </w:rPr>
              <w:t>（</w:t>
            </w:r>
            <w:r>
              <w:rPr>
                <w:szCs w:val="21"/>
              </w:rPr>
              <w:t>5</w:t>
            </w:r>
            <w:r>
              <w:rPr>
                <w:rFonts w:hint="eastAsia" w:ascii="宋体" w:hAnsi="宋体" w:cs="宋体"/>
                <w:szCs w:val="21"/>
              </w:rPr>
              <w:t>℃</w:t>
            </w:r>
            <w:r>
              <w:rPr>
                <w:rFonts w:hint="eastAsia"/>
                <w:szCs w:val="21"/>
              </w:rPr>
              <w:t>）</w:t>
            </w:r>
            <w:r>
              <w:rPr>
                <w:szCs w:val="21"/>
              </w:rPr>
              <w:t>，不小于</w:t>
            </w:r>
          </w:p>
        </w:tc>
        <w:tc>
          <w:tcPr>
            <w:tcW w:w="661" w:type="pct"/>
            <w:noWrap w:val="0"/>
            <w:vAlign w:val="center"/>
          </w:tcPr>
          <w:p>
            <w:pPr>
              <w:jc w:val="center"/>
              <w:rPr>
                <w:szCs w:val="21"/>
              </w:rPr>
            </w:pPr>
            <w:r>
              <w:rPr>
                <w:szCs w:val="21"/>
              </w:rPr>
              <w:t>cm</w:t>
            </w:r>
          </w:p>
        </w:tc>
        <w:tc>
          <w:tcPr>
            <w:tcW w:w="1017" w:type="pct"/>
            <w:noWrap w:val="0"/>
            <w:vAlign w:val="center"/>
          </w:tcPr>
          <w:p>
            <w:pPr>
              <w:jc w:val="center"/>
              <w:rPr>
                <w:szCs w:val="21"/>
              </w:rPr>
            </w:pPr>
            <w:r>
              <w:rPr>
                <w:rFonts w:hint="eastAsia"/>
                <w:szCs w:val="21"/>
              </w:rPr>
              <w:t>20</w:t>
            </w:r>
          </w:p>
        </w:tc>
        <w:tc>
          <w:tcPr>
            <w:tcW w:w="1016" w:type="pct"/>
            <w:vMerge w:val="continue"/>
            <w:noWrap w:val="0"/>
            <w:vAlign w:val="center"/>
          </w:tcPr>
          <w:p>
            <w:pPr>
              <w:jc w:val="center"/>
              <w:rPr>
                <w:szCs w:val="21"/>
              </w:rPr>
            </w:pPr>
          </w:p>
        </w:tc>
      </w:tr>
    </w:tbl>
    <w:p>
      <w:r>
        <w:rPr>
          <w:rFonts w:hint="eastAsia"/>
          <w:szCs w:val="21"/>
        </w:rPr>
        <w:t>注：贮存稳定性离析适用于混溶式高黏度度改性沥青。</w:t>
      </w:r>
    </w:p>
    <w:p>
      <w:pPr>
        <w:spacing w:line="360" w:lineRule="auto"/>
        <w:textAlignment w:val="baseline"/>
        <w:rPr>
          <w:b/>
          <w:sz w:val="24"/>
          <w:szCs w:val="24"/>
        </w:rPr>
      </w:pPr>
      <w:r>
        <w:rPr>
          <w:rFonts w:hint="eastAsia"/>
          <w:b/>
          <w:sz w:val="24"/>
          <w:szCs w:val="24"/>
        </w:rPr>
        <w:t>三、交（提）货地点、方式</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甲方所采购的排水沥青路面专用高黏度改性剂，由乙方以汽车运至甲方指定位置：北碚西山坪拌合站（渝合高速进城方向西山坪隧道出口右侧）。涉及危化品运输的，运输车辆必须具备“危化品运输许可证”，甲方不承担由此造成的安全责任及相应费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2、包装须按甲方要求执行，如甲方无特殊要求则按国家有关规定或采用适宜运输与保证质量的包装，包装符合安全、环保、卫生标准。因包装不善造成的产品毁损、灭失，由乙方承担责任。</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3、乙方应对产品进行有效、安全的包装，应做到防雨、防潮湿、防震等保护措施，确保产品能够安全无损的运抵交货地点。</w:t>
      </w:r>
    </w:p>
    <w:p>
      <w:pPr>
        <w:spacing w:line="360" w:lineRule="auto"/>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卸及整齐堆放）的安全由乙方负责，因超限等引起的一切后果及责任均由乙方自行承担。乙方必须保证安全、及时、足额供货；涉及危化品运输的，运输车辆必须具备“危化品运输许可证”，否则，由此造成的一切后果责任及相应费用由乙方承担，与甲方无关。</w:t>
      </w:r>
    </w:p>
    <w:p>
      <w:pPr>
        <w:spacing w:line="440" w:lineRule="exact"/>
        <w:rPr>
          <w:rFonts w:hint="eastAsia" w:ascii="宋体" w:hAnsi="宋体" w:cs="宋体"/>
          <w:b/>
          <w:bCs/>
          <w:sz w:val="24"/>
          <w:szCs w:val="24"/>
        </w:rPr>
      </w:pPr>
      <w:r>
        <w:rPr>
          <w:rFonts w:hint="eastAsia" w:ascii="宋体" w:hAnsi="宋体" w:cs="宋体"/>
          <w:b/>
          <w:bCs/>
          <w:sz w:val="24"/>
          <w:szCs w:val="24"/>
        </w:rPr>
        <w:t>五、货物所有权</w:t>
      </w:r>
    </w:p>
    <w:p>
      <w:pPr>
        <w:spacing w:line="440" w:lineRule="exact"/>
        <w:ind w:firstLine="480" w:firstLineChars="200"/>
        <w:rPr>
          <w:rFonts w:hint="eastAsia"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合格后由甲方承担（货物由乙方保管的除外）。</w:t>
      </w:r>
    </w:p>
    <w:p>
      <w:pPr>
        <w:spacing w:line="440" w:lineRule="exact"/>
        <w:rPr>
          <w:rFonts w:hint="eastAsia" w:ascii="宋体" w:hAnsi="宋体" w:cs="宋体"/>
          <w:b/>
          <w:bCs/>
          <w:sz w:val="24"/>
          <w:szCs w:val="24"/>
        </w:rPr>
      </w:pPr>
      <w:r>
        <w:rPr>
          <w:rFonts w:hint="eastAsia" w:ascii="宋体" w:hAnsi="宋体" w:cs="宋体"/>
          <w:b/>
          <w:bCs/>
          <w:sz w:val="24"/>
          <w:szCs w:val="24"/>
        </w:rPr>
        <w:t>六、计量方法</w:t>
      </w:r>
    </w:p>
    <w:p>
      <w:pPr>
        <w:spacing w:line="440" w:lineRule="exact"/>
        <w:ind w:firstLine="480" w:firstLineChars="200"/>
        <w:rPr>
          <w:rFonts w:hint="eastAsia" w:ascii="宋体" w:hAnsi="宋体"/>
          <w:sz w:val="24"/>
        </w:rPr>
      </w:pPr>
      <w:r>
        <w:rPr>
          <w:rFonts w:hint="eastAsia" w:ascii="宋体" w:hAnsi="宋体"/>
          <w:sz w:val="24"/>
        </w:rPr>
        <w:t xml:space="preserve">1、以甲方现场过磅计量为准，乙方提供的出厂计量单作为参考。乙方如对甲方计量结果有异议，双方应现场协商解决，事后甲方不予认可。 </w:t>
      </w:r>
    </w:p>
    <w:p>
      <w:pPr>
        <w:spacing w:line="440" w:lineRule="exact"/>
        <w:ind w:firstLine="480" w:firstLineChars="200"/>
        <w:rPr>
          <w:rFonts w:hint="eastAsia" w:ascii="宋体" w:hAnsi="宋体"/>
          <w:sz w:val="24"/>
        </w:rPr>
      </w:pPr>
      <w:r>
        <w:rPr>
          <w:rFonts w:hint="eastAsia" w:ascii="宋体" w:hAnsi="宋体"/>
          <w:sz w:val="24"/>
        </w:rPr>
        <w:t>2、磅差在±3‰以内为合理磅差，超过±3‰甲乙双方应协商解决。</w:t>
      </w:r>
    </w:p>
    <w:p>
      <w:pPr>
        <w:spacing w:line="360" w:lineRule="auto"/>
        <w:textAlignment w:val="baseline"/>
        <w:rPr>
          <w:b/>
          <w:sz w:val="24"/>
          <w:szCs w:val="24"/>
        </w:rPr>
      </w:pPr>
      <w:r>
        <w:rPr>
          <w:rFonts w:hint="eastAsia"/>
          <w:b/>
          <w:sz w:val="24"/>
          <w:szCs w:val="24"/>
        </w:rPr>
        <w:t>七、验收标准、方法</w:t>
      </w:r>
    </w:p>
    <w:p>
      <w:pPr>
        <w:spacing w:line="440" w:lineRule="exact"/>
        <w:ind w:firstLine="480" w:firstLineChars="200"/>
        <w:rPr>
          <w:rFonts w:hint="eastAsia" w:ascii="宋体" w:hAnsi="宋体"/>
          <w:sz w:val="24"/>
        </w:rPr>
      </w:pPr>
      <w:r>
        <w:rPr>
          <w:rFonts w:hint="eastAsia" w:ascii="宋体" w:hAnsi="宋体"/>
          <w:sz w:val="24"/>
        </w:rPr>
        <w:t>1、乙方应严格执行供货周期，保质、保量的完成产品供应。在每批次产品到达指定地点后，甲方组织进行验收，乙方应予配合。甲方在验收过程中发现产品规格、材质、质量、包装、数量不符合合同约定的，甲方有权拒收，要求乙方无条件更换、补足；但乙方的交货期限并不因此延长，由此造成迟延交货的，乙方仍应按合同约定承担相应违约责任。</w:t>
      </w:r>
    </w:p>
    <w:p>
      <w:pPr>
        <w:spacing w:line="440" w:lineRule="exact"/>
        <w:ind w:firstLine="480" w:firstLineChars="200"/>
        <w:rPr>
          <w:rFonts w:hint="eastAsia" w:ascii="宋体" w:hAnsi="宋体"/>
          <w:sz w:val="24"/>
        </w:rPr>
      </w:pPr>
      <w:r>
        <w:rPr>
          <w:rFonts w:hint="eastAsia" w:ascii="宋体" w:hAnsi="宋体"/>
          <w:sz w:val="24"/>
        </w:rPr>
        <w:t>2、初验后发现质量问题的（包括但不限于不合格、不满足技术要求等），乙方应在接到甲方通知后无条件退货，因此产生的全部责任，包括工期影响等，均由乙方承担。若乙方对于甲方提出的质量问题有异议的，在无条件退货的同时，可委托经甲乙双方认可的第三方检测机构进行检测，费用先由乙方垫付，最终由相应责任方承担（如合格费用由甲方支付，如不合格费用由乙方支付）。发生产品质量责任问题，乙方须承担由此造成的一切损失及费用。</w:t>
      </w:r>
    </w:p>
    <w:p>
      <w:pPr>
        <w:spacing w:line="440" w:lineRule="exact"/>
        <w:ind w:firstLine="480" w:firstLineChars="200"/>
        <w:rPr>
          <w:rFonts w:hint="eastAsia" w:ascii="宋体" w:hAnsi="宋体"/>
          <w:sz w:val="24"/>
        </w:rPr>
      </w:pPr>
      <w:r>
        <w:rPr>
          <w:rFonts w:hint="eastAsia" w:ascii="宋体" w:hAnsi="宋体"/>
          <w:sz w:val="24"/>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spacing w:line="440" w:lineRule="exact"/>
        <w:ind w:firstLine="480" w:firstLineChars="200"/>
        <w:rPr>
          <w:rFonts w:hint="eastAsia" w:ascii="宋体" w:hAnsi="宋体"/>
          <w:sz w:val="24"/>
        </w:rPr>
      </w:pPr>
      <w:r>
        <w:rPr>
          <w:rFonts w:hint="eastAsia" w:ascii="宋体" w:hAnsi="宋体"/>
          <w:sz w:val="24"/>
        </w:rPr>
        <w:t>4、如本合同采购的产品因其自身特点导致甲方无法在验收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spacing w:line="360" w:lineRule="auto"/>
        <w:rPr>
          <w:b/>
          <w:sz w:val="24"/>
          <w:szCs w:val="24"/>
        </w:rPr>
      </w:pPr>
      <w:r>
        <w:rPr>
          <w:rFonts w:hint="eastAsia"/>
          <w:b/>
          <w:sz w:val="24"/>
          <w:szCs w:val="24"/>
        </w:rPr>
        <w:t>八、发票的开具</w:t>
      </w:r>
    </w:p>
    <w:p>
      <w:pPr>
        <w:adjustRightInd w:val="0"/>
        <w:snapToGrid w:val="0"/>
        <w:spacing w:line="520" w:lineRule="exact"/>
        <w:ind w:firstLine="405" w:firstLineChars="169"/>
        <w:textAlignment w:val="baseline"/>
        <w:rPr>
          <w:rFonts w:hint="eastAsia"/>
          <w:sz w:val="24"/>
          <w:szCs w:val="24"/>
        </w:rPr>
      </w:pPr>
      <w:r>
        <w:rPr>
          <w:rFonts w:hint="eastAsia"/>
          <w:sz w:val="24"/>
          <w:szCs w:val="24"/>
        </w:rPr>
        <w:t xml:space="preserve"> 1、高黏度改性剂产品销售全额发票由乙方开具</w:t>
      </w:r>
      <w:r>
        <w:rPr>
          <w:rFonts w:hint="eastAsia"/>
          <w:b/>
          <w:sz w:val="24"/>
          <w:szCs w:val="24"/>
        </w:rPr>
        <w:t>增值税专用发票（抵扣税率</w:t>
      </w:r>
      <w:r>
        <w:rPr>
          <w:rFonts w:hint="eastAsia"/>
          <w:b/>
          <w:sz w:val="24"/>
          <w:szCs w:val="24"/>
          <w:u w:val="single"/>
        </w:rPr>
        <w:t xml:space="preserve">  13 </w:t>
      </w:r>
      <w:r>
        <w:rPr>
          <w:rFonts w:hint="eastAsia"/>
          <w:b/>
          <w:sz w:val="24"/>
          <w:szCs w:val="24"/>
        </w:rPr>
        <w:t>%）</w:t>
      </w:r>
      <w:r>
        <w:rPr>
          <w:rFonts w:hint="eastAsia"/>
          <w:sz w:val="24"/>
          <w:szCs w:val="24"/>
        </w:rPr>
        <w:t>给甲方，发票单位名称为本合同甲乙双方全称（</w:t>
      </w:r>
      <w:r>
        <w:rPr>
          <w:rFonts w:hint="eastAsia"/>
          <w:b/>
          <w:bCs/>
          <w:sz w:val="24"/>
          <w:szCs w:val="24"/>
        </w:rPr>
        <w:t>销售发票中已包含运输费，运输费不再单独开具发票，该发票必须足额合法有效且符合甲方的要求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hint="eastAsia"/>
          <w:sz w:val="24"/>
          <w:szCs w:val="24"/>
        </w:rPr>
      </w:pPr>
      <w:r>
        <w:rPr>
          <w:rFonts w:hint="eastAsia"/>
          <w:sz w:val="24"/>
          <w:szCs w:val="24"/>
        </w:rPr>
        <w:t xml:space="preserve"> 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 xml:space="preserve"> 3、本合同内容经双方同意变更的，如果涉及到合同价款等增值税专用发票记载项目发生变化的，需要作废、重开、补开、红字开具增值税专用发票的，甲乙双方需履行各自的协助义务。</w:t>
      </w:r>
    </w:p>
    <w:p>
      <w:pPr>
        <w:spacing w:line="400" w:lineRule="atLeast"/>
        <w:ind w:firstLine="480"/>
        <w:rPr>
          <w:rFonts w:hint="eastAsia"/>
          <w:sz w:val="24"/>
        </w:rPr>
      </w:pPr>
      <w:r>
        <w:rPr>
          <w:rFonts w:hint="eastAsia"/>
          <w:sz w:val="24"/>
          <w:szCs w:val="24"/>
        </w:rPr>
        <w:t>4、</w:t>
      </w:r>
      <w:r>
        <w:rPr>
          <w:rFonts w:hint="eastAsia"/>
          <w:sz w:val="24"/>
        </w:rPr>
        <w:t>合同生效后，因合同双方纳税人身份、纳税方式或因相关法律法规变动导致的增值税税率的变化，应遵循相关税收政策的要求，对合同价格及增值税税额进行调整。</w:t>
      </w:r>
    </w:p>
    <w:p>
      <w:pPr>
        <w:spacing w:line="360" w:lineRule="auto"/>
        <w:textAlignment w:val="baseline"/>
        <w:rPr>
          <w:b/>
          <w:sz w:val="24"/>
          <w:szCs w:val="24"/>
        </w:rPr>
      </w:pPr>
      <w:r>
        <w:rPr>
          <w:rFonts w:hint="eastAsia"/>
          <w:b/>
          <w:sz w:val="24"/>
          <w:szCs w:val="24"/>
        </w:rPr>
        <w:t>九、结算方式及期限</w:t>
      </w:r>
    </w:p>
    <w:p>
      <w:pPr>
        <w:adjustRightInd w:val="0"/>
        <w:snapToGrid w:val="0"/>
        <w:spacing w:line="520" w:lineRule="exact"/>
        <w:ind w:firstLine="405" w:firstLineChars="169"/>
        <w:textAlignment w:val="baseline"/>
        <w:rPr>
          <w:rFonts w:hint="eastAsia"/>
          <w:sz w:val="24"/>
          <w:szCs w:val="24"/>
        </w:rPr>
      </w:pPr>
      <w:r>
        <w:rPr>
          <w:rFonts w:hint="eastAsia"/>
          <w:sz w:val="24"/>
          <w:szCs w:val="24"/>
        </w:rPr>
        <w:t>按月结算；结算金额=当月已对账的实际收货数量×合同单价。乙方向甲方提供有效发票及供货凭证，甲方自费用清单（按甲方代表实际验收的合格数量和材料合同单价计算）及发票送达之日起二十个工作日内（每月25日至次月5日不办理支付，时间相应顺延）以银行转账方式支付给乙方。乙方迟延提供发票和相关结算资料的，甲方的付款期限相应顺延。</w:t>
      </w:r>
    </w:p>
    <w:p>
      <w:pPr>
        <w:spacing w:line="360" w:lineRule="auto"/>
        <w:rPr>
          <w:b/>
          <w:sz w:val="24"/>
          <w:szCs w:val="24"/>
        </w:rPr>
      </w:pPr>
      <w:r>
        <w:rPr>
          <w:rFonts w:hint="eastAsia"/>
          <w:b/>
          <w:sz w:val="24"/>
          <w:szCs w:val="24"/>
        </w:rPr>
        <w:t>十、</w:t>
      </w:r>
      <w:r>
        <w:rPr>
          <w:rFonts w:hint="eastAsia"/>
          <w:b/>
          <w:sz w:val="24"/>
          <w:szCs w:val="24"/>
          <w:lang w:val="en-US" w:eastAsia="zh-CN"/>
        </w:rPr>
        <w:t>质保期/</w:t>
      </w:r>
      <w:r>
        <w:rPr>
          <w:rFonts w:hint="eastAsia"/>
          <w:b/>
          <w:sz w:val="24"/>
          <w:szCs w:val="24"/>
        </w:rPr>
        <w:t>质保</w:t>
      </w:r>
      <w:r>
        <w:rPr>
          <w:rFonts w:hint="eastAsia"/>
          <w:b/>
          <w:sz w:val="24"/>
          <w:szCs w:val="24"/>
          <w:lang w:val="en-US" w:eastAsia="zh-CN"/>
        </w:rPr>
        <w:t>金、</w:t>
      </w:r>
      <w:r>
        <w:rPr>
          <w:rFonts w:hint="eastAsia"/>
          <w:b/>
          <w:sz w:val="24"/>
          <w:szCs w:val="24"/>
        </w:rPr>
        <w:t>履约保证金</w:t>
      </w:r>
    </w:p>
    <w:p>
      <w:pPr>
        <w:spacing w:line="360" w:lineRule="auto"/>
        <w:ind w:firstLine="480" w:firstLineChars="200"/>
        <w:rPr>
          <w:rFonts w:hint="eastAsia"/>
          <w:sz w:val="24"/>
          <w:szCs w:val="24"/>
          <w:lang w:eastAsia="zh-CN"/>
        </w:rPr>
      </w:pPr>
      <w:r>
        <w:rPr>
          <w:rFonts w:hint="eastAsia"/>
          <w:sz w:val="24"/>
          <w:szCs w:val="24"/>
          <w:lang w:val="en-US" w:eastAsia="zh-CN"/>
        </w:rPr>
        <w:t>合同</w:t>
      </w:r>
      <w:r>
        <w:rPr>
          <w:rFonts w:hint="eastAsia"/>
          <w:sz w:val="24"/>
          <w:szCs w:val="24"/>
        </w:rPr>
        <w:t>质保期一年。</w:t>
      </w:r>
      <w:r>
        <w:rPr>
          <w:rFonts w:hint="eastAsia"/>
          <w:sz w:val="24"/>
          <w:szCs w:val="24"/>
          <w:lang w:val="en-US" w:eastAsia="zh-CN"/>
        </w:rPr>
        <w:t>质保金为合同签约金额的</w:t>
      </w:r>
      <w:r>
        <w:rPr>
          <w:rFonts w:hint="eastAsia"/>
          <w:sz w:val="24"/>
          <w:szCs w:val="24"/>
          <w:u w:val="single"/>
          <w:lang w:val="en-US" w:eastAsia="zh-CN"/>
        </w:rPr>
        <w:t>5%</w:t>
      </w:r>
      <w:r>
        <w:rPr>
          <w:rFonts w:hint="eastAsia"/>
          <w:sz w:val="24"/>
          <w:szCs w:val="24"/>
          <w:u w:val="none"/>
          <w:lang w:val="en-US" w:eastAsia="zh-CN"/>
        </w:rPr>
        <w:t>。</w:t>
      </w:r>
      <w:r>
        <w:rPr>
          <w:rFonts w:hint="eastAsia"/>
          <w:sz w:val="24"/>
          <w:szCs w:val="24"/>
          <w:lang w:val="en-US" w:eastAsia="zh-CN"/>
        </w:rPr>
        <w:t>在第一次结算材料款中扣除。</w:t>
      </w:r>
      <w:r>
        <w:rPr>
          <w:rFonts w:hint="eastAsia"/>
          <w:sz w:val="24"/>
          <w:szCs w:val="24"/>
        </w:rPr>
        <w:t>质保期满后</w:t>
      </w:r>
      <w:r>
        <w:rPr>
          <w:rFonts w:hint="eastAsia"/>
          <w:sz w:val="24"/>
          <w:szCs w:val="24"/>
          <w:lang w:eastAsia="zh-CN"/>
        </w:rPr>
        <w:t>。</w:t>
      </w:r>
      <w:r>
        <w:rPr>
          <w:rFonts w:hint="eastAsia"/>
          <w:sz w:val="24"/>
          <w:szCs w:val="24"/>
          <w:lang w:val="en-US" w:eastAsia="zh-CN"/>
        </w:rPr>
        <w:t>经甲方验收合格出具验收单，乙方可申请甲方</w:t>
      </w:r>
      <w:r>
        <w:rPr>
          <w:rFonts w:hint="eastAsia"/>
          <w:sz w:val="24"/>
          <w:szCs w:val="24"/>
        </w:rPr>
        <w:t>支付剩余</w:t>
      </w:r>
      <w:r>
        <w:rPr>
          <w:rFonts w:hint="eastAsia"/>
          <w:sz w:val="24"/>
          <w:szCs w:val="24"/>
          <w:u w:val="single"/>
          <w:lang w:val="en-US" w:eastAsia="zh-CN"/>
        </w:rPr>
        <w:t>5</w:t>
      </w:r>
      <w:r>
        <w:rPr>
          <w:rFonts w:hint="eastAsia"/>
          <w:sz w:val="24"/>
          <w:szCs w:val="24"/>
          <w:u w:val="single"/>
        </w:rPr>
        <w:t>%</w:t>
      </w:r>
      <w:r>
        <w:rPr>
          <w:rFonts w:hint="eastAsia"/>
          <w:sz w:val="24"/>
          <w:szCs w:val="24"/>
        </w:rPr>
        <w:t>的质保金</w:t>
      </w:r>
      <w:r>
        <w:rPr>
          <w:rFonts w:hint="eastAsia"/>
          <w:sz w:val="24"/>
          <w:szCs w:val="24"/>
          <w:lang w:eastAsia="zh-CN"/>
        </w:rPr>
        <w:t>；</w:t>
      </w:r>
    </w:p>
    <w:p>
      <w:pPr>
        <w:spacing w:line="360" w:lineRule="auto"/>
        <w:ind w:firstLine="480" w:firstLineChars="200"/>
        <w:rPr>
          <w:rFonts w:hint="default" w:eastAsia="宋体"/>
          <w:sz w:val="24"/>
          <w:szCs w:val="24"/>
          <w:lang w:val="en-US" w:eastAsia="zh-CN"/>
        </w:rPr>
      </w:pPr>
      <w:r>
        <w:rPr>
          <w:rFonts w:hint="eastAsia"/>
          <w:sz w:val="24"/>
          <w:szCs w:val="24"/>
          <w:lang w:val="en-US" w:eastAsia="zh-CN"/>
        </w:rPr>
        <w:t>本合同</w:t>
      </w:r>
      <w:r>
        <w:rPr>
          <w:rFonts w:hint="eastAsia"/>
          <w:sz w:val="24"/>
          <w:szCs w:val="24"/>
        </w:rPr>
        <w:t>无履约保证金。</w:t>
      </w:r>
    </w:p>
    <w:p>
      <w:pPr>
        <w:spacing w:line="360" w:lineRule="auto"/>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1、乙方必须保证供货质量，若因材料质量原因导致的一切损失皆由乙方负责。若出现材料质量事故的，按</w:t>
      </w:r>
      <w:r>
        <w:rPr>
          <w:rFonts w:hint="eastAsia" w:ascii="宋体" w:hAnsi="宋体"/>
          <w:b/>
          <w:sz w:val="24"/>
          <w:szCs w:val="24"/>
          <w:u w:val="single"/>
        </w:rPr>
        <w:t>贰万元/次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w:t>
      </w:r>
      <w:r>
        <w:rPr>
          <w:rFonts w:hint="eastAsia" w:ascii="宋体"/>
          <w:sz w:val="24"/>
        </w:rPr>
        <w:t>，要求乙方赔偿甲方全部损失</w:t>
      </w:r>
      <w:r>
        <w:rPr>
          <w:rFonts w:hint="eastAsia" w:ascii="宋体"/>
          <w:sz w:val="24"/>
          <w:szCs w:val="24"/>
        </w:rPr>
        <w:t>。</w:t>
      </w:r>
    </w:p>
    <w:p>
      <w:pPr>
        <w:spacing w:line="360" w:lineRule="auto"/>
        <w:ind w:firstLine="480" w:firstLineChars="200"/>
        <w:rPr>
          <w:rFonts w:hint="eastAsia" w:ascii="宋体"/>
          <w:sz w:val="24"/>
          <w:szCs w:val="24"/>
        </w:rPr>
      </w:pPr>
      <w:r>
        <w:rPr>
          <w:rFonts w:hint="eastAsia" w:ascii="宋体"/>
          <w:sz w:val="24"/>
          <w:szCs w:val="24"/>
        </w:rPr>
        <w:t>2、</w:t>
      </w:r>
      <w:r>
        <w:rPr>
          <w:rFonts w:hint="eastAsia" w:ascii="宋体" w:hAnsi="宋体"/>
          <w:sz w:val="24"/>
          <w:szCs w:val="24"/>
        </w:rPr>
        <w:t>乙方材料的供应量、送货时间必须满足甲方通知要求和甲方施工进度要求，否则，按</w:t>
      </w:r>
      <w:r>
        <w:rPr>
          <w:rFonts w:hint="eastAsia" w:ascii="宋体" w:hAnsi="宋体"/>
          <w:b/>
          <w:color w:val="FF0000"/>
          <w:sz w:val="24"/>
          <w:szCs w:val="24"/>
          <w:u w:val="single"/>
        </w:rPr>
        <w:t>壹万元/天</w:t>
      </w:r>
      <w:r>
        <w:rPr>
          <w:rFonts w:hint="eastAsia" w:ascii="宋体" w:hAnsi="宋体"/>
          <w:sz w:val="24"/>
          <w:szCs w:val="24"/>
        </w:rPr>
        <w:t>的标准向甲方支付违约金；</w:t>
      </w:r>
      <w:r>
        <w:rPr>
          <w:rFonts w:hint="eastAsia" w:ascii="宋体"/>
          <w:sz w:val="24"/>
          <w:szCs w:val="24"/>
        </w:rPr>
        <w:t>逾期超过</w:t>
      </w:r>
      <w:r>
        <w:rPr>
          <w:rFonts w:hint="eastAsia" w:ascii="宋体"/>
          <w:color w:val="FF0000"/>
          <w:sz w:val="24"/>
          <w:szCs w:val="24"/>
          <w:u w:val="single"/>
        </w:rPr>
        <w:t>3日</w:t>
      </w:r>
      <w:r>
        <w:rPr>
          <w:rFonts w:hint="eastAsia" w:ascii="宋体"/>
          <w:sz w:val="24"/>
          <w:szCs w:val="24"/>
        </w:rPr>
        <w:t>的，甲方有权要求乙方支付合同总金额</w:t>
      </w:r>
      <w:r>
        <w:rPr>
          <w:rFonts w:hint="eastAsia" w:ascii="宋体"/>
          <w:b/>
          <w:bCs/>
          <w:color w:val="FF0000"/>
          <w:sz w:val="24"/>
          <w:szCs w:val="24"/>
          <w:u w:val="single"/>
        </w:rPr>
        <w:t>30%</w:t>
      </w:r>
      <w:r>
        <w:rPr>
          <w:rFonts w:hint="eastAsia" w:ascii="宋体"/>
          <w:sz w:val="24"/>
          <w:szCs w:val="24"/>
        </w:rPr>
        <w:t>的违约金，并赔偿甲方全部损失，另有权单方解除合同。</w:t>
      </w:r>
    </w:p>
    <w:p>
      <w:pPr>
        <w:spacing w:line="360" w:lineRule="auto"/>
        <w:ind w:firstLine="480" w:firstLineChars="200"/>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r>
        <w:rPr>
          <w:rFonts w:hint="eastAsia" w:ascii="宋体" w:hAnsi="宋体"/>
          <w:b/>
          <w:color w:val="FF0000"/>
          <w:sz w:val="24"/>
          <w:szCs w:val="24"/>
          <w:u w:val="single"/>
        </w:rPr>
        <w:t>壹万元/天（次）</w:t>
      </w:r>
      <w:r>
        <w:rPr>
          <w:rFonts w:hint="eastAsia" w:ascii="宋体" w:hAnsi="宋体"/>
          <w:sz w:val="24"/>
          <w:szCs w:val="24"/>
        </w:rPr>
        <w:t>的标准向甲方支付违约金；迟延超过</w:t>
      </w:r>
      <w:r>
        <w:rPr>
          <w:rFonts w:hint="eastAsia" w:ascii="宋体" w:hAnsi="宋体"/>
          <w:color w:val="FF0000"/>
          <w:sz w:val="24"/>
          <w:szCs w:val="24"/>
          <w:u w:val="single"/>
        </w:rPr>
        <w:t>3天</w:t>
      </w:r>
      <w:r>
        <w:rPr>
          <w:rFonts w:hint="eastAsia" w:ascii="宋体"/>
          <w:color w:val="FF0000"/>
          <w:sz w:val="24"/>
          <w:szCs w:val="24"/>
          <w:u w:val="single"/>
        </w:rPr>
        <w:t>（次）</w:t>
      </w:r>
      <w:r>
        <w:rPr>
          <w:rFonts w:hint="eastAsia" w:ascii="宋体" w:hAnsi="宋体"/>
          <w:sz w:val="24"/>
          <w:szCs w:val="24"/>
        </w:rPr>
        <w:t>的</w:t>
      </w:r>
      <w:r>
        <w:rPr>
          <w:rFonts w:hint="eastAsia" w:ascii="宋体"/>
          <w:sz w:val="24"/>
          <w:szCs w:val="24"/>
        </w:rPr>
        <w:t>，甲方有权要求乙方支付合同总金额</w:t>
      </w:r>
      <w:r>
        <w:rPr>
          <w:rFonts w:hint="eastAsia" w:ascii="宋体"/>
          <w:b/>
          <w:bCs/>
          <w:color w:val="FF0000"/>
          <w:sz w:val="24"/>
          <w:szCs w:val="24"/>
          <w:u w:val="single"/>
        </w:rPr>
        <w:t>30%</w:t>
      </w:r>
      <w:r>
        <w:rPr>
          <w:rFonts w:hint="eastAsia" w:ascii="宋体"/>
          <w:sz w:val="24"/>
          <w:szCs w:val="24"/>
        </w:rPr>
        <w:t>的违约金，并赔偿甲方全部损失，另有权单方解除合同。</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4、乙方应保证供应货物不得存在任何权利瑕疵或侵犯任何第三人合法权益（包括知识产权），否则，甲方有权要求乙方赔偿甲方全部损失，另有权单方解除合同。</w:t>
      </w:r>
    </w:p>
    <w:p>
      <w:pPr>
        <w:spacing w:line="360" w:lineRule="auto"/>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spacing w:line="360" w:lineRule="auto"/>
        <w:textAlignment w:val="baseline"/>
        <w:rPr>
          <w:b/>
          <w:sz w:val="24"/>
          <w:szCs w:val="24"/>
        </w:rPr>
      </w:pPr>
      <w:r>
        <w:rPr>
          <w:rFonts w:hint="eastAsia"/>
          <w:b/>
          <w:sz w:val="24"/>
          <w:szCs w:val="24"/>
        </w:rPr>
        <w:t>十二、其它约定事项</w:t>
      </w:r>
    </w:p>
    <w:p>
      <w:pPr>
        <w:spacing w:line="360" w:lineRule="auto"/>
        <w:ind w:firstLine="480" w:firstLineChars="200"/>
        <w:textAlignment w:val="baseline"/>
        <w:rPr>
          <w:rFonts w:hint="eastAsia"/>
          <w:sz w:val="24"/>
          <w:szCs w:val="24"/>
        </w:rPr>
      </w:pPr>
      <w:r>
        <w:rPr>
          <w:rFonts w:hint="eastAsia"/>
          <w:sz w:val="24"/>
          <w:szCs w:val="24"/>
        </w:rPr>
        <w:t>1、在实际供货中，可能会因施工调整、质量等原因对供货数量和时间进行调整，会导致乙方在实际供货中数量发生变化，最终数量以甲方代表确认的实际到货合格数量为准。期间乙方不得以供应数量和时间有变化要求进行单价变更。</w:t>
      </w:r>
    </w:p>
    <w:p>
      <w:pPr>
        <w:spacing w:line="360" w:lineRule="auto"/>
        <w:ind w:firstLine="480" w:firstLineChars="200"/>
        <w:textAlignment w:val="baseline"/>
        <w:rPr>
          <w:rFonts w:hint="eastAsia"/>
          <w:sz w:val="24"/>
          <w:szCs w:val="24"/>
        </w:rPr>
      </w:pPr>
      <w:r>
        <w:rPr>
          <w:rFonts w:hint="eastAsia"/>
          <w:sz w:val="24"/>
          <w:szCs w:val="24"/>
        </w:rPr>
        <w:t>2、甲方的比选文件及乙方的报价文件作为本合同的附件，具有同等法律效力，若有不一致或矛盾之处，以本合同条款为准。</w:t>
      </w:r>
    </w:p>
    <w:p>
      <w:pPr>
        <w:spacing w:line="360" w:lineRule="auto"/>
        <w:ind w:firstLine="480" w:firstLineChars="200"/>
        <w:textAlignment w:val="baseline"/>
        <w:rPr>
          <w:rFonts w:hint="eastAsia"/>
          <w:sz w:val="24"/>
          <w:szCs w:val="24"/>
        </w:rPr>
      </w:pPr>
      <w:r>
        <w:rPr>
          <w:rFonts w:hint="eastAsia"/>
          <w:sz w:val="24"/>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spacing w:line="360" w:lineRule="auto"/>
        <w:textAlignment w:val="baseline"/>
        <w:rPr>
          <w:sz w:val="24"/>
          <w:szCs w:val="24"/>
        </w:rPr>
      </w:pPr>
      <w:r>
        <w:rPr>
          <w:rFonts w:hint="eastAsia"/>
          <w:b/>
          <w:sz w:val="24"/>
          <w:szCs w:val="24"/>
        </w:rPr>
        <w:t>十三、本合同有效期</w:t>
      </w:r>
      <w:r>
        <w:rPr>
          <w:rFonts w:hint="eastAsia" w:ascii="宋体" w:hAnsi="宋体"/>
          <w:sz w:val="24"/>
          <w:szCs w:val="24"/>
        </w:rPr>
        <w:t>：</w:t>
      </w:r>
      <w:r>
        <w:rPr>
          <w:rFonts w:hint="eastAsia" w:ascii="宋体" w:hAnsi="宋体"/>
          <w:color w:val="FF0000"/>
          <w:sz w:val="24"/>
          <w:szCs w:val="24"/>
        </w:rPr>
        <w:t>本合同签订之日起</w:t>
      </w:r>
      <w:r>
        <w:rPr>
          <w:rFonts w:hint="eastAsia" w:ascii="宋体" w:hAnsi="宋体"/>
          <w:b/>
          <w:color w:val="FF0000"/>
          <w:sz w:val="24"/>
          <w:szCs w:val="24"/>
        </w:rPr>
        <w:t>至2022年12月31日</w:t>
      </w:r>
    </w:p>
    <w:p>
      <w:pPr>
        <w:spacing w:line="360" w:lineRule="auto"/>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textAlignment w:val="baseline"/>
        <w:rPr>
          <w:sz w:val="24"/>
          <w:szCs w:val="24"/>
        </w:rPr>
      </w:pPr>
      <w:r>
        <w:rPr>
          <w:rFonts w:hint="eastAsia"/>
          <w:b/>
          <w:sz w:val="24"/>
          <w:szCs w:val="24"/>
        </w:rPr>
        <w:t>十五、合同签订点</w:t>
      </w:r>
      <w:r>
        <w:rPr>
          <w:rFonts w:hint="eastAsia"/>
          <w:sz w:val="24"/>
          <w:szCs w:val="24"/>
        </w:rPr>
        <w:t>：重庆市沙坪坝区天梨路。</w:t>
      </w:r>
    </w:p>
    <w:p>
      <w:pPr>
        <w:spacing w:line="360" w:lineRule="auto"/>
        <w:textAlignment w:val="baseline"/>
        <w:rPr>
          <w:rFonts w:hint="eastAsia"/>
        </w:rPr>
      </w:pPr>
      <w:r>
        <w:rPr>
          <w:rFonts w:hint="eastAsia"/>
          <w:b/>
          <w:sz w:val="24"/>
          <w:szCs w:val="24"/>
        </w:rPr>
        <w:t>十六、</w:t>
      </w:r>
      <w:r>
        <w:rPr>
          <w:rFonts w:hint="eastAsia"/>
          <w:sz w:val="24"/>
          <w:szCs w:val="24"/>
        </w:rPr>
        <w:t>本合同一式</w:t>
      </w:r>
      <w:r>
        <w:rPr>
          <w:rFonts w:hint="eastAsia"/>
          <w:b/>
          <w:sz w:val="24"/>
          <w:szCs w:val="24"/>
          <w:u w:val="single"/>
        </w:rPr>
        <w:t>柒</w:t>
      </w:r>
      <w:r>
        <w:rPr>
          <w:rFonts w:hint="eastAsia"/>
          <w:sz w:val="24"/>
          <w:szCs w:val="24"/>
        </w:rPr>
        <w:t>份，甲方执</w:t>
      </w:r>
      <w:r>
        <w:rPr>
          <w:rFonts w:hint="eastAsia"/>
          <w:b/>
          <w:sz w:val="24"/>
          <w:szCs w:val="24"/>
          <w:u w:val="single"/>
        </w:rPr>
        <w:t>伍</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spacing w:line="440" w:lineRule="exact"/>
        <w:rPr>
          <w:rFonts w:hint="eastAsia"/>
        </w:rPr>
      </w:pPr>
      <w:r>
        <w:rPr>
          <w:rFonts w:hint="eastAsia"/>
        </w:rPr>
        <w:t>（以下无内容）</w:t>
      </w:r>
    </w:p>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sz w:val="24"/>
          <w:szCs w:val="24"/>
        </w:rPr>
        <w:t>甲 方                                乙 方</w:t>
      </w:r>
    </w:p>
    <w:p>
      <w:pPr>
        <w:rPr>
          <w:rFonts w:hint="eastAsia" w:ascii="宋体" w:hAnsi="宋体" w:cs="宋体"/>
          <w:sz w:val="24"/>
          <w:szCs w:val="24"/>
        </w:rPr>
      </w:pPr>
      <w:r>
        <w:rPr>
          <w:rFonts w:hint="eastAsia" w:ascii="宋体" w:hAnsi="宋体" w:cs="宋体"/>
          <w:sz w:val="24"/>
          <w:szCs w:val="24"/>
        </w:rPr>
        <w:t xml:space="preserve">单位名称（章）：重庆通力高速公路     单位名称（章）： </w:t>
      </w:r>
    </w:p>
    <w:p>
      <w:pPr>
        <w:spacing w:line="440" w:lineRule="exact"/>
        <w:ind w:left="6480" w:hanging="6480" w:hangingChars="2700"/>
        <w:rPr>
          <w:rFonts w:hint="eastAsia" w:ascii="宋体" w:hAnsi="宋体" w:cs="宋体"/>
          <w:sz w:val="24"/>
          <w:szCs w:val="24"/>
        </w:rPr>
      </w:pPr>
      <w:r>
        <w:rPr>
          <w:rFonts w:hint="eastAsia" w:ascii="宋体" w:hAnsi="宋体" w:cs="宋体"/>
          <w:sz w:val="24"/>
          <w:szCs w:val="24"/>
        </w:rPr>
        <w:t xml:space="preserve">　            　养护工程有限公司　　　　　　　　　　　                                                           </w:t>
      </w:r>
    </w:p>
    <w:p>
      <w:pPr>
        <w:spacing w:line="440" w:lineRule="exact"/>
        <w:rPr>
          <w:rFonts w:hint="eastAsia" w:ascii="宋体" w:hAnsi="宋体" w:cs="宋体"/>
          <w:sz w:val="24"/>
          <w:szCs w:val="24"/>
        </w:rPr>
      </w:pPr>
      <w:r>
        <w:rPr>
          <w:rFonts w:hint="eastAsia" w:ascii="宋体" w:hAnsi="宋体" w:cs="宋体"/>
          <w:sz w:val="24"/>
          <w:szCs w:val="24"/>
        </w:rPr>
        <w:t>法定代表人                             法定代表人</w:t>
      </w:r>
    </w:p>
    <w:p>
      <w:pPr>
        <w:spacing w:line="440" w:lineRule="exact"/>
        <w:rPr>
          <w:rFonts w:hint="eastAsia" w:ascii="宋体" w:hAnsi="宋体" w:cs="宋体"/>
          <w:sz w:val="24"/>
          <w:szCs w:val="24"/>
        </w:rPr>
      </w:pPr>
      <w:r>
        <w:rPr>
          <w:rFonts w:hint="eastAsia" w:ascii="宋体" w:hAnsi="宋体" w:cs="宋体"/>
          <w:sz w:val="24"/>
          <w:szCs w:val="24"/>
        </w:rPr>
        <w:t>或委托代理人：                         或委托代理人：</w:t>
      </w:r>
    </w:p>
    <w:p>
      <w:pPr>
        <w:spacing w:line="440" w:lineRule="exact"/>
        <w:rPr>
          <w:rFonts w:hint="eastAsia" w:ascii="宋体" w:hAnsi="宋体" w:cs="宋体"/>
          <w:sz w:val="24"/>
          <w:szCs w:val="24"/>
        </w:rPr>
      </w:pPr>
      <w:r>
        <w:rPr>
          <w:rFonts w:hint="eastAsia" w:ascii="宋体" w:hAnsi="宋体" w:cs="宋体"/>
          <w:sz w:val="24"/>
          <w:szCs w:val="24"/>
        </w:rPr>
        <w:t>部门负责人：                           部门负责人：</w:t>
      </w:r>
    </w:p>
    <w:p>
      <w:pPr>
        <w:spacing w:line="440" w:lineRule="exact"/>
        <w:rPr>
          <w:rFonts w:hint="eastAsia" w:ascii="宋体" w:hAnsi="宋体" w:cs="宋体"/>
          <w:sz w:val="24"/>
          <w:szCs w:val="24"/>
        </w:rPr>
      </w:pPr>
      <w:r>
        <w:rPr>
          <w:rFonts w:hint="eastAsia" w:ascii="宋体" w:hAnsi="宋体" w:cs="宋体"/>
          <w:sz w:val="24"/>
          <w:szCs w:val="24"/>
        </w:rPr>
        <w:t>经办人：                               经办人：</w:t>
      </w:r>
    </w:p>
    <w:p>
      <w:pPr>
        <w:shd w:val="clear" w:color="auto" w:fill="FFFFFF"/>
        <w:spacing w:line="400" w:lineRule="exact"/>
        <w:rPr>
          <w:rFonts w:hint="eastAsia" w:ascii="宋体" w:hAnsi="宋体" w:cs="宋体"/>
          <w:sz w:val="24"/>
          <w:szCs w:val="24"/>
        </w:rPr>
      </w:pPr>
    </w:p>
    <w:p>
      <w:pPr>
        <w:spacing w:line="360" w:lineRule="auto"/>
        <w:ind w:left="-619" w:leftChars="-295" w:right="-92" w:rightChars="-44" w:firstLine="463" w:firstLineChars="193"/>
        <w:jc w:val="center"/>
        <w:rPr>
          <w:rFonts w:hint="eastAsia" w:ascii="宋体" w:hAnsi="宋体" w:cs="宋体"/>
          <w:b/>
          <w:sz w:val="32"/>
          <w:szCs w:val="32"/>
        </w:rPr>
      </w:pPr>
      <w:r>
        <w:rPr>
          <w:rFonts w:hint="eastAsia" w:ascii="宋体" w:hAnsi="宋体" w:cs="宋体"/>
          <w:sz w:val="24"/>
          <w:szCs w:val="24"/>
        </w:rPr>
        <w:t xml:space="preserve">签约时间： 2022年   月    日   　　   签约时间：2022年   月    日                    </w:t>
      </w:r>
      <w:r>
        <w:rPr>
          <w:rFonts w:hint="eastAsia"/>
        </w:rPr>
        <w:br w:type="page"/>
      </w:r>
      <w:r>
        <w:rPr>
          <w:rFonts w:hint="eastAsia" w:ascii="宋体" w:hAnsi="宋体" w:cs="宋体"/>
          <w:b/>
          <w:sz w:val="32"/>
          <w:szCs w:val="32"/>
        </w:rPr>
        <w:t>重庆通力高速公路养护工程有限公司</w:t>
      </w:r>
    </w:p>
    <w:p>
      <w:pPr>
        <w:spacing w:line="360" w:lineRule="auto"/>
        <w:ind w:left="567"/>
        <w:rPr>
          <w:rFonts w:hint="eastAsia" w:ascii="宋体" w:hAnsi="宋体" w:cs="宋体"/>
          <w:b/>
          <w:sz w:val="32"/>
          <w:szCs w:val="32"/>
        </w:rPr>
      </w:pPr>
      <w:r>
        <w:rPr>
          <w:rFonts w:hint="eastAsia" w:ascii="宋体" w:hAnsi="宋体" w:cs="宋体"/>
          <w:b/>
          <w:sz w:val="32"/>
          <w:szCs w:val="32"/>
        </w:rPr>
        <w:t>渝蓉高速公路2022年路面维修处治工程高黏度改性剂</w:t>
      </w:r>
    </w:p>
    <w:p>
      <w:pPr>
        <w:spacing w:line="360" w:lineRule="auto"/>
        <w:ind w:left="567" w:firstLine="2249" w:firstLineChars="700"/>
        <w:rPr>
          <w:rFonts w:hint="eastAsia"/>
        </w:rPr>
      </w:pPr>
      <w:r>
        <w:rPr>
          <w:rFonts w:hint="eastAsia" w:ascii="宋体" w:hAnsi="宋体" w:cs="宋体"/>
          <w:b/>
          <w:sz w:val="32"/>
          <w:szCs w:val="32"/>
        </w:rPr>
        <w:t>采购合同之廉政合同</w:t>
      </w:r>
    </w:p>
    <w:p>
      <w:pPr>
        <w:spacing w:line="440" w:lineRule="exact"/>
        <w:ind w:firstLine="480" w:firstLineChars="200"/>
        <w:textAlignment w:val="baseline"/>
        <w:rPr>
          <w:rFonts w:hint="eastAsia" w:ascii="宋体" w:hAnsi="宋体" w:cs="宋体"/>
          <w:sz w:val="24"/>
          <w:szCs w:val="24"/>
        </w:rPr>
      </w:pPr>
      <w:r>
        <w:rPr>
          <w:rFonts w:hint="eastAsia" w:ascii="宋体" w:hAnsi="宋体" w:cs="宋体"/>
          <w:sz w:val="24"/>
          <w:szCs w:val="24"/>
        </w:rPr>
        <w:t>根据交通部《关于在交通基础设施建设中加强廉政建设的若干意见》和《关于在交通基础设施建设中推行廉政协议的通知》以及有关工程建设、廉政建设的规定，为做好工程建设中的党风廉政建设，保证工程建设高效优质，保证资金的安全和有效使用及投资效益，</w:t>
      </w:r>
      <w:r>
        <w:rPr>
          <w:rFonts w:hint="eastAsia" w:ascii="宋体" w:hAnsi="宋体" w:cs="宋体"/>
          <w:b/>
          <w:sz w:val="24"/>
          <w:szCs w:val="24"/>
          <w:u w:val="single"/>
        </w:rPr>
        <w:t>重庆通力高速公路养护工程有限公司</w:t>
      </w:r>
      <w:r>
        <w:rPr>
          <w:rFonts w:hint="eastAsia" w:ascii="宋体" w:hAnsi="宋体" w:cs="宋体"/>
          <w:sz w:val="24"/>
          <w:szCs w:val="24"/>
        </w:rPr>
        <w:t>（以下称甲方）与</w:t>
      </w:r>
      <w:r>
        <w:rPr>
          <w:rFonts w:hint="eastAsia" w:ascii="宋体" w:hAnsi="宋体" w:cs="宋体"/>
          <w:b/>
          <w:bCs/>
          <w:sz w:val="24"/>
          <w:szCs w:val="24"/>
          <w:u w:val="single"/>
        </w:rPr>
        <w:t xml:space="preserve">                    </w:t>
      </w:r>
      <w:r>
        <w:rPr>
          <w:rFonts w:hint="eastAsia" w:ascii="宋体" w:hAnsi="宋体" w:cs="宋体"/>
          <w:sz w:val="24"/>
          <w:szCs w:val="24"/>
        </w:rPr>
        <w:t>（以下称乙方），特订立如下协议。</w:t>
      </w:r>
    </w:p>
    <w:p>
      <w:pPr>
        <w:spacing w:line="440" w:lineRule="exact"/>
        <w:rPr>
          <w:rFonts w:hint="eastAsia" w:ascii="宋体" w:hAnsi="宋体" w:cs="宋体"/>
          <w:b/>
          <w:sz w:val="24"/>
          <w:szCs w:val="24"/>
        </w:rPr>
      </w:pPr>
      <w:r>
        <w:rPr>
          <w:rFonts w:hint="eastAsia" w:ascii="宋体" w:hAnsi="宋体" w:cs="宋体"/>
          <w:b/>
          <w:sz w:val="24"/>
          <w:szCs w:val="24"/>
        </w:rPr>
        <w:t>第一条   甲乙双方的权利和义务</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（一）严格遵守党和国家有关法律法规及交通部的有关规定。</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（二）严格执行《</w:t>
      </w:r>
      <w:r>
        <w:rPr>
          <w:rFonts w:hint="eastAsia" w:ascii="宋体" w:hAnsi="宋体" w:cs="宋体"/>
          <w:sz w:val="24"/>
          <w:szCs w:val="24"/>
          <w:lang w:eastAsia="zh-CN"/>
        </w:rPr>
        <w:t>渝蓉高速公路2022年路面维修处治工程高黏度改性剂采购第二次</w:t>
      </w:r>
      <w:r>
        <w:rPr>
          <w:rFonts w:hint="eastAsia" w:ascii="宋体" w:hAnsi="宋体" w:cs="宋体"/>
          <w:sz w:val="24"/>
          <w:szCs w:val="24"/>
        </w:rPr>
        <w:t>》的相关条款，自觉按合同办事。</w:t>
      </w:r>
    </w:p>
    <w:p>
      <w:pPr>
        <w:pStyle w:val="3"/>
        <w:spacing w:line="440" w:lineRule="exact"/>
        <w:ind w:left="0" w:firstLine="240" w:firstLineChars="100"/>
        <w:rPr>
          <w:rFonts w:hint="eastAsia" w:ascii="宋体" w:hAnsi="宋体" w:cs="宋体"/>
          <w:sz w:val="24"/>
          <w:szCs w:val="24"/>
        </w:rPr>
      </w:pPr>
      <w:r>
        <w:rPr>
          <w:rFonts w:hint="eastAsia" w:ascii="宋体" w:hAnsi="宋体" w:cs="宋体"/>
          <w:sz w:val="24"/>
          <w:szCs w:val="24"/>
        </w:rPr>
        <w:t>（三）双方的业务活动坚持公开、公正、诚信、透明的原则（除法律认定的商业秘密和协议文件另有规定之外），不得损害国家和集体利益，违反工程建设管理规章制度。</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（四）建立健全廉政制度，开展廉政教育，设立廉政告示牌，公布举报电话，监督并认真查处违法违纪行为。</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（五）发现对方在业务活动中有违反廉政规定的行为，有及时提醒对方纠正的权利和义务。</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（六）发现对方严重违反本协议义务条款的行为，有向其上级有关部门举报、建议给予处理并要求告知处理结果的权利。</w:t>
      </w:r>
    </w:p>
    <w:p>
      <w:pPr>
        <w:spacing w:line="440" w:lineRule="exact"/>
        <w:rPr>
          <w:rFonts w:hint="eastAsia" w:ascii="宋体" w:hAnsi="宋体" w:cs="宋体"/>
          <w:b/>
          <w:sz w:val="24"/>
          <w:szCs w:val="24"/>
        </w:rPr>
      </w:pPr>
      <w:r>
        <w:rPr>
          <w:rFonts w:hint="eastAsia" w:ascii="宋体" w:hAnsi="宋体" w:cs="宋体"/>
          <w:b/>
          <w:sz w:val="24"/>
          <w:szCs w:val="24"/>
        </w:rPr>
        <w:t>第二条  甲方义务</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（一）甲方及其工作人员不得索要或接受乙方的礼金、有价证券和贵重要物品，不得在乙方报销任何应由甲方或个人支付的费用等。</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（二）甲方工作人员不得参加乙方安排的宴请或可能影响公正的其他宴请和娱乐活动。不得接受乙方提供的通讯工具、交通工具和高档办公用品等。</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（三）甲方及其工作人员不得要求或者接受乙方为其住房装修、婚丧嫁娶活动、配偶子女的工作安排以及出国出境、旅游等提供方便等。</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（四）甲方工作人员的配偶、子女不得从事与甲方工程有关的材料设备供应、工程分包、劳务等经济活动等。</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（五）甲方及其工作人员不得以任何理由向乙方推荐分包单位，不得要求乙方购买协议规定外的材料和设备。</w:t>
      </w:r>
    </w:p>
    <w:p>
      <w:pPr>
        <w:spacing w:line="440" w:lineRule="exact"/>
        <w:rPr>
          <w:rFonts w:hint="eastAsia" w:ascii="宋体" w:hAnsi="宋体" w:cs="宋体"/>
          <w:b/>
          <w:sz w:val="24"/>
          <w:szCs w:val="24"/>
        </w:rPr>
      </w:pPr>
      <w:r>
        <w:rPr>
          <w:rFonts w:hint="eastAsia" w:ascii="宋体" w:hAnsi="宋体" w:cs="宋体"/>
          <w:b/>
          <w:sz w:val="24"/>
          <w:szCs w:val="24"/>
        </w:rPr>
        <w:t>第三条  乙方义务</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（一）乙方不得以任何理由向甲方及其工作人员行贿或馈赠礼金、有价证券、贵重礼品。</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（二）乙方不得以任何名义为甲方及其工作人员报销应由甲方单位或个人支付的任何费用。</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（三）乙方不得以任何理由邀请甲方工作人员外出旅游或安排甲方工作人员参加宴请及娱乐活动。</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（四）乙方不得为甲方单位和个人购置或提供通讯工具、交通工具和高档办公用品等。</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（五）乙方及其工作人员应严格按规程办事，不得为谋取私利向工作人员非法行贿，私下串通，损害甲方利益。同时依法履行向甲方承诺的上述其他廉政义务。</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六）乙方如果发现甲方工作人员有违反廉政规定的行为，应向甲方组织或上级单位举报。甲方均不得找任何借口对乙方进行报复。甲方对举报属实或严格遵守廉政协议的乙方，在同等条件下给予承接后续工程的优先邀请投标权。</w:t>
      </w:r>
    </w:p>
    <w:p>
      <w:pPr>
        <w:spacing w:line="440" w:lineRule="exact"/>
        <w:rPr>
          <w:rFonts w:hint="eastAsia" w:ascii="宋体" w:hAnsi="宋体" w:cs="宋体"/>
          <w:b/>
          <w:sz w:val="24"/>
          <w:szCs w:val="24"/>
        </w:rPr>
      </w:pPr>
    </w:p>
    <w:p>
      <w:pPr>
        <w:spacing w:line="440" w:lineRule="exact"/>
        <w:rPr>
          <w:rFonts w:hint="eastAsia" w:ascii="宋体" w:hAnsi="宋体" w:cs="宋体"/>
          <w:b/>
          <w:sz w:val="24"/>
          <w:szCs w:val="24"/>
        </w:rPr>
      </w:pPr>
      <w:r>
        <w:rPr>
          <w:rFonts w:hint="eastAsia" w:ascii="宋体" w:hAnsi="宋体" w:cs="宋体"/>
          <w:b/>
          <w:sz w:val="24"/>
          <w:szCs w:val="24"/>
        </w:rPr>
        <w:t>第四条  违约责任</w:t>
      </w:r>
    </w:p>
    <w:p>
      <w:pPr>
        <w:spacing w:line="440" w:lineRule="exact"/>
        <w:ind w:firstLine="120" w:firstLineChars="50"/>
        <w:rPr>
          <w:rFonts w:hint="eastAsia" w:ascii="宋体" w:hAnsi="宋体" w:cs="宋体"/>
          <w:sz w:val="24"/>
          <w:szCs w:val="24"/>
        </w:rPr>
      </w:pPr>
      <w:r>
        <w:rPr>
          <w:rFonts w:hint="eastAsia" w:ascii="宋体" w:hAnsi="宋体" w:cs="宋体"/>
          <w:sz w:val="24"/>
          <w:szCs w:val="24"/>
        </w:rPr>
        <w:t>（一）甲方及其工作人员违反本协议第一、二条，按管理权限，依据有关规定给予党纪、政纪或组织处理；涉嫌犯罪的，移交司法机关追究刑事责任；给乙方单位造成经济损失的，应予以赔偿。</w:t>
      </w:r>
    </w:p>
    <w:p>
      <w:pPr>
        <w:spacing w:line="440" w:lineRule="exact"/>
        <w:ind w:firstLine="120" w:firstLineChars="50"/>
        <w:rPr>
          <w:rFonts w:hint="eastAsia"/>
        </w:rPr>
      </w:pPr>
      <w:r>
        <w:rPr>
          <w:rFonts w:hint="eastAsia" w:ascii="宋体" w:hAnsi="宋体" w:cs="宋体"/>
          <w:sz w:val="24"/>
          <w:szCs w:val="24"/>
        </w:rPr>
        <w:t>（二）乙方及其工作人员违反本协议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40" w:lineRule="exact"/>
        <w:rPr>
          <w:rFonts w:hint="eastAsia" w:ascii="宋体" w:hAnsi="宋体" w:cs="宋体"/>
          <w:b/>
          <w:sz w:val="24"/>
          <w:szCs w:val="24"/>
        </w:rPr>
      </w:pPr>
      <w:r>
        <w:rPr>
          <w:rFonts w:hint="eastAsia" w:ascii="宋体" w:hAnsi="宋体" w:cs="宋体"/>
          <w:b/>
          <w:sz w:val="24"/>
          <w:szCs w:val="24"/>
        </w:rPr>
        <w:t xml:space="preserve">第五条　双方约定 </w:t>
      </w:r>
      <w:r>
        <w:rPr>
          <w:rFonts w:hint="eastAsia" w:ascii="宋体" w:hAnsi="宋体" w:cs="宋体"/>
          <w:sz w:val="24"/>
          <w:szCs w:val="24"/>
        </w:rPr>
        <w:t>本协议由双方或双方上级单位的纪检监察部门负责监督执行。</w:t>
      </w:r>
    </w:p>
    <w:p>
      <w:pPr>
        <w:spacing w:line="440" w:lineRule="exact"/>
        <w:rPr>
          <w:rFonts w:hint="eastAsia" w:ascii="宋体" w:hAnsi="宋体" w:cs="宋体"/>
          <w:b/>
          <w:sz w:val="24"/>
          <w:szCs w:val="24"/>
        </w:rPr>
      </w:pPr>
      <w:r>
        <w:rPr>
          <w:rFonts w:hint="eastAsia" w:ascii="宋体" w:hAnsi="宋体" w:cs="宋体"/>
          <w:b/>
          <w:sz w:val="24"/>
          <w:szCs w:val="24"/>
        </w:rPr>
        <w:t xml:space="preserve">第六条  反商业贿赂条款 </w:t>
      </w:r>
    </w:p>
    <w:p>
      <w:pPr>
        <w:spacing w:line="440" w:lineRule="exact"/>
        <w:rPr>
          <w:rFonts w:hint="eastAsia" w:ascii="宋体" w:hAnsi="宋体" w:cs="宋体"/>
          <w:b/>
          <w:sz w:val="24"/>
          <w:szCs w:val="24"/>
        </w:rPr>
      </w:pPr>
      <w:r>
        <w:rPr>
          <w:rFonts w:hint="eastAsia" w:ascii="宋体" w:hAnsi="宋体" w:cs="宋体"/>
          <w:b/>
          <w:sz w:val="24"/>
          <w:szCs w:val="24"/>
        </w:rPr>
        <w:t>本条款是本合同之必备条款，与本合同具有同等法律效力，甲乙丙各方签署合同之当事人认真阅读本条款，同意签订并遵守如下反商业贿赂条款：</w:t>
      </w:r>
    </w:p>
    <w:p>
      <w:pPr>
        <w:spacing w:line="440" w:lineRule="exact"/>
        <w:rPr>
          <w:rFonts w:hint="eastAsia" w:ascii="宋体" w:hAnsi="宋体" w:cs="宋体"/>
          <w:b/>
          <w:sz w:val="24"/>
          <w:szCs w:val="24"/>
        </w:rPr>
      </w:pPr>
      <w:r>
        <w:rPr>
          <w:rFonts w:hint="eastAsia" w:ascii="宋体" w:hAnsi="宋体" w:cs="宋体"/>
          <w:b/>
          <w:sz w:val="24"/>
          <w:szCs w:val="24"/>
        </w:rPr>
        <w:t>1.各方都清楚并愿意严格遵守中华人民共和国反商业贿赂的法律规定，各方都清楚任何形式的贿赂和贪渎行为都将触犯法律，并将受到法律的严惩。</w:t>
      </w:r>
    </w:p>
    <w:p>
      <w:pPr>
        <w:spacing w:line="440" w:lineRule="exact"/>
        <w:rPr>
          <w:rFonts w:hint="eastAsia" w:ascii="宋体" w:hAnsi="宋体" w:cs="宋体"/>
          <w:b/>
          <w:sz w:val="24"/>
          <w:szCs w:val="24"/>
        </w:rPr>
      </w:pPr>
      <w:r>
        <w:rPr>
          <w:rFonts w:hint="eastAsia" w:ascii="宋体" w:hAnsi="宋体" w:cs="宋体"/>
          <w:b/>
          <w:sz w:val="24"/>
          <w:szCs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440" w:lineRule="exact"/>
        <w:rPr>
          <w:rFonts w:hint="eastAsia" w:ascii="宋体" w:hAnsi="宋体" w:cs="宋体"/>
          <w:b/>
          <w:sz w:val="24"/>
          <w:szCs w:val="24"/>
        </w:rPr>
      </w:pPr>
      <w:r>
        <w:rPr>
          <w:rFonts w:hint="eastAsia" w:ascii="宋体" w:hAnsi="宋体" w:cs="宋体"/>
          <w:b/>
          <w:sz w:val="24"/>
          <w:szCs w:val="24"/>
        </w:rPr>
        <w:t>3.各方严格禁止其经办人员的任何商业贿赂行为。各方经办人发生本条第1.2款所列示的任何一种行为，都是违反各方公司制度的，都将受到各方制度和国家法律的惩处。</w:t>
      </w:r>
    </w:p>
    <w:p>
      <w:pPr>
        <w:spacing w:line="440" w:lineRule="exact"/>
        <w:rPr>
          <w:rFonts w:hint="eastAsia" w:ascii="宋体" w:hAnsi="宋体" w:cs="宋体"/>
          <w:b/>
          <w:sz w:val="24"/>
          <w:szCs w:val="24"/>
        </w:rPr>
      </w:pPr>
      <w:r>
        <w:rPr>
          <w:rFonts w:hint="eastAsia" w:ascii="宋体" w:hAnsi="宋体" w:cs="宋体"/>
          <w:b/>
          <w:sz w:val="24"/>
          <w:szCs w:val="24"/>
        </w:rPr>
        <w:t>4.各方郑重提示：各方反对各方或各方的经办人员为了本合同之目的与本合同以外的任何第各方发生本条款第1.2款所列示的任何一种行为，该等行为都是违反国家法律的行为，并将受到国家法律的惩处。</w:t>
      </w:r>
    </w:p>
    <w:p>
      <w:pPr>
        <w:spacing w:line="440" w:lineRule="exact"/>
        <w:rPr>
          <w:rFonts w:hint="eastAsia" w:ascii="宋体" w:hAnsi="宋体" w:cs="宋体"/>
          <w:b/>
          <w:sz w:val="24"/>
          <w:szCs w:val="24"/>
        </w:rPr>
      </w:pPr>
      <w:r>
        <w:rPr>
          <w:rFonts w:hint="eastAsia" w:ascii="宋体" w:hAnsi="宋体" w:cs="宋体"/>
          <w:b/>
          <w:sz w:val="24"/>
          <w:szCs w:val="24"/>
        </w:rPr>
        <w:t>5.如因一方或一方经办人违反上述第2款、第3款、第4款之规定，给其他方造成损失的，应承担损害赔偿责任。</w:t>
      </w:r>
    </w:p>
    <w:p>
      <w:pPr>
        <w:spacing w:line="440" w:lineRule="exact"/>
        <w:rPr>
          <w:rFonts w:hint="eastAsia" w:ascii="宋体" w:hAnsi="宋体" w:cs="宋体"/>
          <w:b/>
          <w:sz w:val="24"/>
          <w:szCs w:val="24"/>
        </w:rPr>
      </w:pPr>
      <w:r>
        <w:rPr>
          <w:rFonts w:hint="eastAsia" w:ascii="宋体" w:hAnsi="宋体" w:cs="宋体"/>
          <w:b/>
          <w:sz w:val="24"/>
          <w:szCs w:val="24"/>
        </w:rPr>
        <w:t>6.本条所称“其他相关人员”是指各方经办人以外的与合同有直接或间接利益关系的人员，包括但不仅限于合同经办人的亲友。”  </w:t>
      </w:r>
    </w:p>
    <w:p>
      <w:pPr>
        <w:spacing w:line="440" w:lineRule="exact"/>
        <w:rPr>
          <w:rFonts w:hint="eastAsia"/>
        </w:rPr>
      </w:pPr>
      <w:r>
        <w:rPr>
          <w:rFonts w:hint="eastAsia" w:ascii="宋体" w:hAnsi="宋体" w:cs="宋体"/>
          <w:b/>
          <w:sz w:val="24"/>
          <w:szCs w:val="24"/>
        </w:rPr>
        <w:t>第七条</w:t>
      </w:r>
      <w:r>
        <w:rPr>
          <w:rFonts w:hint="eastAsia" w:ascii="宋体" w:hAnsi="宋体" w:cs="宋体"/>
          <w:sz w:val="24"/>
          <w:szCs w:val="24"/>
        </w:rPr>
        <w:t xml:space="preserve">  本协议有效期为甲乙双方签署之日起至该协议到期后止。</w:t>
      </w:r>
    </w:p>
    <w:p>
      <w:pPr>
        <w:spacing w:line="440" w:lineRule="exact"/>
        <w:rPr>
          <w:rFonts w:hint="eastAsia" w:ascii="宋体" w:hAnsi="宋体" w:cs="宋体"/>
          <w:b/>
          <w:sz w:val="24"/>
          <w:szCs w:val="24"/>
        </w:rPr>
      </w:pPr>
      <w:r>
        <w:rPr>
          <w:rFonts w:hint="eastAsia" w:ascii="宋体" w:hAnsi="宋体" w:cs="宋体"/>
          <w:b/>
          <w:sz w:val="24"/>
          <w:szCs w:val="24"/>
        </w:rPr>
        <w:t>第八条</w:t>
      </w:r>
      <w:r>
        <w:rPr>
          <w:rFonts w:hint="eastAsia" w:ascii="宋体" w:hAnsi="宋体" w:cs="宋体"/>
          <w:sz w:val="24"/>
          <w:szCs w:val="24"/>
        </w:rPr>
        <w:t xml:space="preserve">  本协议作为《</w:t>
      </w:r>
      <w:r>
        <w:rPr>
          <w:rFonts w:hint="eastAsia" w:ascii="宋体" w:hAnsi="宋体" w:cs="宋体"/>
          <w:sz w:val="24"/>
          <w:szCs w:val="24"/>
          <w:lang w:eastAsia="zh-CN"/>
        </w:rPr>
        <w:t>渝蓉高速公路2022年路面维修处治工程高黏度改性剂采购第二次</w:t>
      </w:r>
      <w:r>
        <w:rPr>
          <w:rFonts w:hint="eastAsia" w:ascii="宋体" w:hAnsi="宋体" w:cs="宋体"/>
          <w:sz w:val="24"/>
          <w:szCs w:val="24"/>
        </w:rPr>
        <w:t>合同》的附件，具有同等的法律效力，经协议双方签署立即生效。</w:t>
      </w:r>
    </w:p>
    <w:p>
      <w:pPr>
        <w:spacing w:line="440" w:lineRule="exact"/>
        <w:textAlignment w:val="baseline"/>
        <w:rPr>
          <w:rFonts w:hint="eastAsia" w:ascii="宋体" w:hAnsi="宋体" w:cs="宋体"/>
          <w:sz w:val="24"/>
          <w:szCs w:val="24"/>
        </w:rPr>
      </w:pPr>
      <w:r>
        <w:rPr>
          <w:rFonts w:hint="eastAsia" w:ascii="宋体" w:hAnsi="宋体" w:cs="宋体"/>
          <w:b/>
          <w:sz w:val="24"/>
          <w:szCs w:val="24"/>
        </w:rPr>
        <w:t>第九条</w:t>
      </w:r>
      <w:r>
        <w:rPr>
          <w:rFonts w:hint="eastAsia" w:ascii="宋体" w:hAnsi="宋体" w:cs="宋体"/>
          <w:sz w:val="24"/>
          <w:szCs w:val="24"/>
        </w:rPr>
        <w:t xml:space="preserve">  本协议一式</w:t>
      </w:r>
      <w:r>
        <w:rPr>
          <w:rFonts w:hint="eastAsia" w:ascii="宋体" w:hAnsi="宋体" w:cs="宋体"/>
          <w:b/>
          <w:sz w:val="24"/>
          <w:szCs w:val="24"/>
          <w:u w:val="single"/>
        </w:rPr>
        <w:t xml:space="preserve"> 柒 </w:t>
      </w:r>
      <w:r>
        <w:rPr>
          <w:rFonts w:hint="eastAsia" w:ascii="宋体" w:hAnsi="宋体" w:cs="宋体"/>
          <w:sz w:val="24"/>
          <w:szCs w:val="24"/>
        </w:rPr>
        <w:t>份，甲方执</w:t>
      </w:r>
      <w:r>
        <w:rPr>
          <w:rFonts w:hint="eastAsia" w:ascii="宋体" w:hAnsi="宋体" w:cs="宋体"/>
          <w:sz w:val="24"/>
          <w:szCs w:val="24"/>
          <w:u w:val="single"/>
        </w:rPr>
        <w:t xml:space="preserve"> </w:t>
      </w:r>
      <w:r>
        <w:rPr>
          <w:rFonts w:hint="eastAsia" w:ascii="宋体" w:hAnsi="宋体" w:cs="宋体"/>
          <w:b/>
          <w:sz w:val="24"/>
          <w:szCs w:val="24"/>
          <w:u w:val="single"/>
        </w:rPr>
        <w:t xml:space="preserve">伍 </w:t>
      </w:r>
      <w:r>
        <w:rPr>
          <w:rFonts w:hint="eastAsia" w:ascii="宋体" w:hAnsi="宋体" w:cs="宋体"/>
          <w:sz w:val="24"/>
          <w:szCs w:val="24"/>
        </w:rPr>
        <w:t>份，乙方执</w:t>
      </w:r>
      <w:r>
        <w:rPr>
          <w:rFonts w:hint="eastAsia" w:ascii="宋体" w:hAnsi="宋体" w:cs="宋体"/>
          <w:sz w:val="24"/>
          <w:szCs w:val="24"/>
          <w:u w:val="single"/>
        </w:rPr>
        <w:t xml:space="preserve"> </w:t>
      </w:r>
      <w:r>
        <w:rPr>
          <w:rFonts w:hint="eastAsia" w:ascii="宋体" w:hAnsi="宋体" w:cs="宋体"/>
          <w:b/>
          <w:sz w:val="24"/>
          <w:szCs w:val="24"/>
          <w:u w:val="single"/>
        </w:rPr>
        <w:t xml:space="preserve">贰 </w:t>
      </w:r>
      <w:r>
        <w:rPr>
          <w:rFonts w:hint="eastAsia" w:ascii="宋体" w:hAnsi="宋体" w:cs="宋体"/>
          <w:sz w:val="24"/>
          <w:szCs w:val="24"/>
        </w:rPr>
        <w:t>份；具有同等法律效力；自双方签字盖章后生效，甲乙双方履行协议全部义务、结算价款支付完毕后，本协议即告终止。</w:t>
      </w:r>
    </w:p>
    <w:p>
      <w:pPr>
        <w:spacing w:line="440" w:lineRule="exact"/>
        <w:textAlignment w:val="baseline"/>
        <w:rPr>
          <w:rFonts w:hint="eastAsia" w:ascii="宋体" w:hAnsi="宋体" w:cs="宋体"/>
          <w:sz w:val="24"/>
          <w:szCs w:val="24"/>
        </w:rPr>
      </w:pPr>
      <w:r>
        <w:rPr>
          <w:rFonts w:hint="eastAsia" w:ascii="宋体" w:hAnsi="宋体" w:cs="宋体"/>
          <w:sz w:val="24"/>
          <w:szCs w:val="24"/>
        </w:rPr>
        <w:t>（以下无内容）</w:t>
      </w:r>
    </w:p>
    <w:p>
      <w:pPr>
        <w:spacing w:line="440" w:lineRule="exact"/>
        <w:textAlignment w:val="baseline"/>
        <w:rPr>
          <w:rFonts w:hint="eastAsia" w:ascii="宋体" w:hAnsi="宋体" w:cs="宋体"/>
          <w:sz w:val="24"/>
          <w:szCs w:val="24"/>
        </w:rPr>
      </w:pPr>
    </w:p>
    <w:p>
      <w:pPr>
        <w:spacing w:line="440" w:lineRule="exact"/>
        <w:textAlignment w:val="baseline"/>
        <w:rPr>
          <w:rFonts w:hint="eastAsia" w:ascii="宋体" w:hAnsi="宋体" w:cs="宋体"/>
          <w:sz w:val="24"/>
          <w:szCs w:val="24"/>
        </w:rPr>
      </w:pPr>
    </w:p>
    <w:p>
      <w:pPr>
        <w:spacing w:line="440" w:lineRule="exact"/>
        <w:textAlignment w:val="baseline"/>
        <w:rPr>
          <w:rFonts w:hint="eastAsia" w:ascii="宋体" w:hAnsi="宋体" w:cs="宋体"/>
          <w:sz w:val="24"/>
          <w:szCs w:val="24"/>
        </w:rPr>
      </w:pPr>
    </w:p>
    <w:p>
      <w:pPr>
        <w:spacing w:line="440" w:lineRule="exact"/>
        <w:textAlignment w:val="baseline"/>
        <w:rPr>
          <w:rFonts w:hint="eastAsia" w:ascii="宋体" w:hAnsi="宋体" w:cs="宋体"/>
          <w:sz w:val="24"/>
          <w:szCs w:val="24"/>
        </w:rPr>
      </w:pPr>
      <w:r>
        <w:rPr>
          <w:rFonts w:hint="eastAsia" w:ascii="宋体" w:hAnsi="宋体" w:cs="宋体"/>
          <w:sz w:val="24"/>
          <w:szCs w:val="24"/>
        </w:rPr>
        <w:t>甲方：（公章）                          乙方：（公章）</w:t>
      </w:r>
    </w:p>
    <w:p>
      <w:pPr>
        <w:spacing w:line="440" w:lineRule="exact"/>
        <w:textAlignment w:val="baseline"/>
        <w:rPr>
          <w:rFonts w:hint="eastAsia" w:ascii="宋体" w:hAnsi="宋体" w:cs="宋体"/>
          <w:b/>
          <w:bCs/>
          <w:sz w:val="24"/>
          <w:szCs w:val="24"/>
        </w:rPr>
      </w:pPr>
      <w:r>
        <w:rPr>
          <w:rFonts w:hint="eastAsia" w:ascii="宋体" w:hAnsi="宋体" w:cs="宋体"/>
          <w:sz w:val="24"/>
          <w:szCs w:val="24"/>
        </w:rPr>
        <w:t>重庆通力高速公路养护工程有限公司</w:t>
      </w:r>
      <w:r>
        <w:rPr>
          <w:rFonts w:hint="eastAsia" w:ascii="宋体" w:hAnsi="宋体" w:cs="宋体"/>
          <w:b/>
          <w:bCs/>
          <w:sz w:val="24"/>
          <w:szCs w:val="24"/>
        </w:rPr>
        <w:t xml:space="preserve">       </w:t>
      </w:r>
      <w:r>
        <w:rPr>
          <w:rFonts w:hint="eastAsia" w:ascii="宋体" w:hAnsi="宋体" w:cs="宋体"/>
          <w:sz w:val="24"/>
          <w:szCs w:val="24"/>
        </w:rPr>
        <w:t xml:space="preserve"> </w:t>
      </w:r>
      <w:r>
        <w:rPr>
          <w:rFonts w:hint="eastAsia" w:ascii="宋体" w:hAnsi="宋体" w:cs="宋体"/>
          <w:b/>
          <w:bCs/>
          <w:sz w:val="24"/>
          <w:szCs w:val="24"/>
        </w:rPr>
        <w:t xml:space="preserve">   </w:t>
      </w:r>
    </w:p>
    <w:p>
      <w:pPr>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sz w:val="24"/>
          <w:szCs w:val="24"/>
        </w:rPr>
        <w:t>法定代表人                             法定代表人</w:t>
      </w:r>
    </w:p>
    <w:p>
      <w:pPr>
        <w:spacing w:line="440" w:lineRule="exact"/>
        <w:textAlignment w:val="baseline"/>
        <w:rPr>
          <w:rFonts w:hint="eastAsia" w:ascii="宋体" w:hAnsi="宋体" w:cs="宋体"/>
          <w:sz w:val="24"/>
          <w:szCs w:val="24"/>
        </w:rPr>
      </w:pPr>
      <w:r>
        <w:rPr>
          <w:rFonts w:hint="eastAsia" w:ascii="宋体" w:hAnsi="宋体" w:cs="宋体"/>
          <w:sz w:val="24"/>
          <w:szCs w:val="24"/>
        </w:rPr>
        <w:t>或委托代理人：                         或委托代理人：</w:t>
      </w:r>
    </w:p>
    <w:p>
      <w:pPr>
        <w:rPr>
          <w:rFonts w:hint="eastAsia" w:ascii="宋体" w:hAnsi="宋体" w:cs="宋体"/>
          <w:sz w:val="24"/>
          <w:szCs w:val="24"/>
        </w:rPr>
      </w:pPr>
    </w:p>
    <w:p>
      <w:pPr>
        <w:widowControl/>
        <w:spacing w:line="440" w:lineRule="exact"/>
        <w:ind w:left="269" w:leftChars="14" w:hanging="240" w:hangingChars="100"/>
        <w:jc w:val="left"/>
        <w:textAlignment w:val="baseline"/>
        <w:rPr>
          <w:rFonts w:hint="eastAsia" w:ascii="宋体" w:hAnsi="宋体" w:cs="宋体"/>
          <w:sz w:val="24"/>
          <w:szCs w:val="24"/>
        </w:rPr>
      </w:pPr>
      <w:r>
        <w:rPr>
          <w:rFonts w:hint="eastAsia" w:ascii="宋体" w:hAnsi="宋体" w:cs="宋体"/>
          <w:sz w:val="24"/>
          <w:szCs w:val="24"/>
        </w:rPr>
        <w:t>经办人：                               经办人：</w:t>
      </w:r>
    </w:p>
    <w:p>
      <w:pPr>
        <w:widowControl/>
        <w:spacing w:line="440" w:lineRule="exact"/>
        <w:ind w:firstLine="480" w:firstLineChars="200"/>
        <w:jc w:val="left"/>
        <w:textAlignment w:val="baseline"/>
        <w:rPr>
          <w:rFonts w:hint="eastAsia" w:ascii="宋体" w:hAnsi="宋体" w:cs="宋体"/>
          <w:sz w:val="24"/>
          <w:szCs w:val="24"/>
        </w:rPr>
      </w:pPr>
    </w:p>
    <w:p>
      <w:pPr>
        <w:widowControl/>
        <w:spacing w:line="440" w:lineRule="exact"/>
        <w:ind w:left="269" w:leftChars="14" w:hanging="240" w:hangingChars="100"/>
        <w:jc w:val="left"/>
        <w:textAlignment w:val="baseline"/>
        <w:rPr>
          <w:rFonts w:hint="default" w:eastAsia="宋体"/>
          <w:lang w:val="en-US" w:eastAsia="zh-CN"/>
        </w:rPr>
      </w:pPr>
      <w:r>
        <w:rPr>
          <w:rFonts w:hint="eastAsia" w:ascii="宋体" w:hAnsi="宋体" w:cs="宋体"/>
          <w:sz w:val="24"/>
          <w:szCs w:val="24"/>
        </w:rPr>
        <w:t>日期：2022年   月   日                 日期：2022年  月</w:t>
      </w:r>
      <w:r>
        <w:rPr>
          <w:rFonts w:hint="eastAsia" w:ascii="宋体" w:hAnsi="宋体" w:cs="宋体"/>
          <w:sz w:val="24"/>
          <w:szCs w:val="24"/>
          <w:lang w:val="en-US" w:eastAsia="zh-CN"/>
        </w:rPr>
        <w:t xml:space="preserve">   日</w:t>
      </w:r>
    </w:p>
    <w:p>
      <w:pPr>
        <w:shd w:val="clear" w:color="auto" w:fill="FFFFFF"/>
        <w:spacing w:line="40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ind w:right="480" w:firstLine="2849" w:firstLineChars="946"/>
        <w:rPr>
          <w:rFonts w:hint="eastAsia"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rPr>
      </w:pPr>
      <w:r>
        <w:rPr>
          <w:rFonts w:hint="eastAsia" w:ascii="宋体" w:hAnsi="宋体" w:cs="宋体"/>
          <w:b/>
          <w:sz w:val="40"/>
          <w:szCs w:val="44"/>
          <w:u w:val="single"/>
          <w:lang w:eastAsia="zh-CN"/>
        </w:rPr>
        <w:t>渝蓉高速公路2022年路面维修处治工程高黏度改性剂采购第二次</w:t>
      </w: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13"/>
        <w:rPr>
          <w:rFonts w:hint="eastAsia"/>
          <w:color w:val="auto"/>
        </w:rPr>
      </w:pPr>
    </w:p>
    <w:p>
      <w:pPr>
        <w:pStyle w:val="13"/>
        <w:rPr>
          <w:rFonts w:hint="eastAsia"/>
          <w:color w:val="auto"/>
        </w:rPr>
      </w:pPr>
    </w:p>
    <w:p>
      <w:pPr>
        <w:pStyle w:val="13"/>
        <w:rPr>
          <w:rFonts w:hint="eastAsia"/>
          <w:color w:val="auto"/>
        </w:rPr>
      </w:pPr>
    </w:p>
    <w:p>
      <w:pPr>
        <w:spacing w:line="440" w:lineRule="exact"/>
        <w:outlineLvl w:val="1"/>
        <w:rPr>
          <w:rFonts w:hint="eastAsia" w:ascii="宋体" w:hAnsi="宋体" w:cs="宋体"/>
          <w:b/>
        </w:rPr>
      </w:pPr>
    </w:p>
    <w:p>
      <w:pPr>
        <w:tabs>
          <w:tab w:val="left" w:pos="900"/>
          <w:tab w:val="left" w:pos="1080"/>
        </w:tabs>
        <w:spacing w:line="300" w:lineRule="auto"/>
        <w:jc w:val="center"/>
        <w:outlineLvl w:val="0"/>
        <w:rPr>
          <w:rFonts w:hint="eastAsia" w:ascii="Arial" w:hAnsi="Arial" w:cs="Arial"/>
          <w:b/>
          <w:sz w:val="32"/>
          <w:szCs w:val="32"/>
        </w:rPr>
      </w:pPr>
      <w:bookmarkStart w:id="32" w:name="_Toc265510122"/>
      <w:r>
        <w:rPr>
          <w:rFonts w:hint="eastAsia" w:ascii="宋体" w:hAnsi="宋体" w:cs="宋体"/>
          <w:b/>
          <w:sz w:val="28"/>
          <w:szCs w:val="28"/>
        </w:rPr>
        <w:tab/>
      </w:r>
      <w:r>
        <w:rPr>
          <w:rFonts w:hint="eastAsia" w:ascii="Arial" w:hAnsi="Arial" w:cs="Arial"/>
          <w:b/>
          <w:sz w:val="32"/>
          <w:szCs w:val="32"/>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 w:val="24"/>
          <w:szCs w:val="24"/>
        </w:rPr>
      </w:pPr>
      <w:r>
        <w:rPr>
          <w:rFonts w:hint="eastAsia"/>
          <w:sz w:val="24"/>
          <w:szCs w:val="24"/>
        </w:rPr>
        <w:t>一、报价书；</w:t>
      </w:r>
    </w:p>
    <w:p>
      <w:pPr>
        <w:tabs>
          <w:tab w:val="left" w:pos="900"/>
          <w:tab w:val="left" w:pos="1080"/>
        </w:tabs>
        <w:spacing w:line="360" w:lineRule="auto"/>
        <w:outlineLvl w:val="0"/>
        <w:rPr>
          <w:rFonts w:hint="eastAsia"/>
          <w:sz w:val="24"/>
          <w:szCs w:val="24"/>
        </w:rPr>
      </w:pPr>
      <w:r>
        <w:rPr>
          <w:rFonts w:hint="eastAsia"/>
          <w:sz w:val="24"/>
          <w:szCs w:val="24"/>
        </w:rPr>
        <w:t>二、法定代表人身份证明及授权委托书；</w:t>
      </w:r>
    </w:p>
    <w:p>
      <w:pPr>
        <w:tabs>
          <w:tab w:val="left" w:pos="900"/>
          <w:tab w:val="left" w:pos="1080"/>
        </w:tabs>
        <w:spacing w:line="360" w:lineRule="auto"/>
        <w:outlineLvl w:val="0"/>
        <w:rPr>
          <w:rFonts w:hint="eastAsia"/>
          <w:sz w:val="24"/>
          <w:szCs w:val="24"/>
        </w:rPr>
      </w:pPr>
      <w:r>
        <w:rPr>
          <w:rFonts w:hint="eastAsia"/>
          <w:sz w:val="24"/>
          <w:szCs w:val="24"/>
        </w:rPr>
        <w:t>三、比选申请单位有效的营业执照、业绩证明材料</w:t>
      </w:r>
      <w:r>
        <w:rPr>
          <w:rFonts w:hint="eastAsia"/>
          <w:sz w:val="24"/>
          <w:szCs w:val="24"/>
          <w:lang w:eastAsia="zh-CN"/>
        </w:rPr>
        <w:t>（</w:t>
      </w:r>
      <w:r>
        <w:rPr>
          <w:rFonts w:hint="eastAsia"/>
          <w:sz w:val="24"/>
          <w:szCs w:val="24"/>
          <w:lang w:val="en-US" w:eastAsia="zh-CN"/>
        </w:rPr>
        <w:t>业绩证明需提供相关合同复印件</w:t>
      </w:r>
      <w:r>
        <w:rPr>
          <w:rFonts w:hint="eastAsia"/>
          <w:sz w:val="24"/>
          <w:szCs w:val="24"/>
          <w:lang w:eastAsia="zh-CN"/>
        </w:rPr>
        <w:t>）</w:t>
      </w:r>
      <w:r>
        <w:rPr>
          <w:rFonts w:hint="eastAsia"/>
          <w:sz w:val="24"/>
          <w:szCs w:val="24"/>
        </w:rPr>
        <w:t>；</w:t>
      </w:r>
    </w:p>
    <w:p>
      <w:pPr>
        <w:tabs>
          <w:tab w:val="left" w:pos="900"/>
          <w:tab w:val="left" w:pos="1080"/>
        </w:tabs>
        <w:spacing w:line="360" w:lineRule="auto"/>
        <w:outlineLvl w:val="0"/>
        <w:rPr>
          <w:rFonts w:hint="eastAsia" w:eastAsia="宋体"/>
          <w:sz w:val="24"/>
          <w:szCs w:val="24"/>
          <w:lang w:eastAsia="zh-CN"/>
        </w:rPr>
      </w:pPr>
      <w:r>
        <w:rPr>
          <w:rFonts w:hint="eastAsia"/>
          <w:sz w:val="24"/>
          <w:szCs w:val="24"/>
        </w:rPr>
        <w:t>四、高黏度改性剂产品合格证</w:t>
      </w:r>
      <w:r>
        <w:rPr>
          <w:rFonts w:hint="eastAsia"/>
          <w:sz w:val="24"/>
          <w:szCs w:val="24"/>
          <w:lang w:eastAsia="zh-CN"/>
        </w:rPr>
        <w:t>：</w:t>
      </w:r>
    </w:p>
    <w:p>
      <w:pPr>
        <w:tabs>
          <w:tab w:val="left" w:pos="900"/>
          <w:tab w:val="left" w:pos="1080"/>
        </w:tabs>
        <w:spacing w:line="360" w:lineRule="auto"/>
        <w:outlineLvl w:val="0"/>
        <w:rPr>
          <w:rFonts w:hint="eastAsia"/>
          <w:sz w:val="24"/>
          <w:szCs w:val="24"/>
        </w:rPr>
      </w:pPr>
      <w:r>
        <w:rPr>
          <w:rFonts w:hint="eastAsia"/>
          <w:sz w:val="24"/>
          <w:szCs w:val="24"/>
        </w:rPr>
        <w:t>五、比选申请单位自行承诺部分；</w:t>
      </w:r>
    </w:p>
    <w:p>
      <w:pPr>
        <w:tabs>
          <w:tab w:val="left" w:pos="900"/>
          <w:tab w:val="left" w:pos="1080"/>
        </w:tabs>
        <w:spacing w:line="360" w:lineRule="auto"/>
        <w:outlineLvl w:val="0"/>
        <w:rPr>
          <w:rFonts w:hint="eastAsia"/>
          <w:sz w:val="24"/>
          <w:szCs w:val="24"/>
        </w:rPr>
      </w:pPr>
      <w:r>
        <w:rPr>
          <w:rFonts w:hint="eastAsia"/>
          <w:sz w:val="24"/>
          <w:szCs w:val="24"/>
        </w:rPr>
        <w:t>六、已标价报价清单。</w:t>
      </w:r>
    </w:p>
    <w:p>
      <w:pPr>
        <w:pStyle w:val="2"/>
        <w:rPr>
          <w:rFonts w:hint="eastAsia"/>
        </w:rPr>
      </w:pPr>
    </w:p>
    <w:p>
      <w:pPr>
        <w:tabs>
          <w:tab w:val="left" w:pos="3978"/>
        </w:tabs>
        <w:jc w:val="left"/>
        <w:outlineLvl w:val="2"/>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ascii="宋体" w:hAnsi="宋体" w:cs="宋体"/>
          <w:b/>
          <w:sz w:val="28"/>
          <w:szCs w:val="28"/>
        </w:rPr>
      </w:pPr>
    </w:p>
    <w:p>
      <w:pPr>
        <w:pStyle w:val="2"/>
        <w:tabs>
          <w:tab w:val="left" w:pos="858"/>
        </w:tabs>
        <w:jc w:val="center"/>
        <w:rPr>
          <w:rFonts w:hint="eastAsia" w:ascii="宋体" w:hAnsi="宋体" w:cs="宋体"/>
          <w:b/>
          <w:sz w:val="28"/>
          <w:szCs w:val="28"/>
        </w:rPr>
      </w:pPr>
      <w:r>
        <w:rPr>
          <w:rFonts w:hint="eastAsia" w:ascii="宋体" w:hAnsi="宋体" w:cs="宋体"/>
          <w:b/>
          <w:sz w:val="28"/>
          <w:szCs w:val="28"/>
        </w:rPr>
        <w:t>一、报价书</w:t>
      </w:r>
      <w:bookmarkEnd w:id="32"/>
    </w:p>
    <w:p>
      <w:pPr>
        <w:spacing w:line="440" w:lineRule="exact"/>
        <w:rPr>
          <w:rFonts w:hint="eastAsia"/>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szCs w:val="21"/>
          <w:u w:val="single"/>
          <w:lang w:eastAsia="zh-CN"/>
        </w:rPr>
        <w:t>渝蓉高速公路2022年路面维修处治工程高黏度改性剂采购第二次</w:t>
      </w:r>
      <w:r>
        <w:rPr>
          <w:rFonts w:hint="eastAsia"/>
          <w:szCs w:val="21"/>
        </w:rPr>
        <w:t>竞争性比选</w:t>
      </w:r>
      <w:r>
        <w:rPr>
          <w:szCs w:val="21"/>
        </w:rPr>
        <w:t>文件的全部内容</w:t>
      </w:r>
      <w:r>
        <w:rPr>
          <w:rFonts w:hint="eastAsia"/>
          <w:szCs w:val="21"/>
        </w:rPr>
        <w:t>，愿意以总报价</w:t>
      </w:r>
      <w:r>
        <w:rPr>
          <w:rFonts w:hint="eastAsia"/>
          <w:szCs w:val="21"/>
          <w:u w:val="single"/>
        </w:rPr>
        <w:t xml:space="preserve">             </w:t>
      </w:r>
      <w:r>
        <w:rPr>
          <w:rFonts w:hint="eastAsia"/>
          <w:szCs w:val="21"/>
        </w:rPr>
        <w:t>（大写）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），供货期或服务期：</w:t>
      </w:r>
      <w:r>
        <w:rPr>
          <w:rFonts w:hint="eastAsia"/>
          <w:szCs w:val="21"/>
          <w:u w:val="single"/>
        </w:rPr>
        <w:t xml:space="preserve">       </w:t>
      </w:r>
      <w:r>
        <w:rPr>
          <w:rFonts w:hint="eastAsia"/>
          <w:szCs w:val="21"/>
        </w:rPr>
        <w:t>，质保期：</w:t>
      </w:r>
      <w:r>
        <w:rPr>
          <w:rFonts w:hint="eastAsia"/>
          <w:szCs w:val="21"/>
          <w:u w:val="single"/>
        </w:rPr>
        <w:t xml:space="preserve">       </w:t>
      </w:r>
      <w:r>
        <w:rPr>
          <w:rFonts w:hint="eastAsia"/>
          <w:szCs w:val="21"/>
        </w:rPr>
        <w:t xml:space="preserve"> ，并按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比选申请文件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我方在此声明，所递交的比选申请文件及有关资料内容完整、真实和准确。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比选申请人</w:t>
      </w:r>
      <w:r>
        <w:rPr>
          <w:szCs w:val="21"/>
        </w:rPr>
        <w:t>：</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13"/>
        <w:rPr>
          <w:rFonts w:hint="eastAsia"/>
          <w:color w:val="auto"/>
        </w:rPr>
      </w:pPr>
    </w:p>
    <w:p>
      <w:pPr>
        <w:pStyle w:val="13"/>
        <w:rPr>
          <w:rFonts w:hint="eastAsia" w:ascii="宋体" w:hAnsi="宋体" w:cs="宋体"/>
          <w:b/>
          <w:color w:val="auto"/>
        </w:rPr>
      </w:pPr>
    </w:p>
    <w:p>
      <w:pPr>
        <w:pStyle w:val="13"/>
        <w:rPr>
          <w:rFonts w:hint="eastAsia" w:ascii="宋体" w:hAnsi="宋体" w:cs="宋体"/>
          <w:b/>
          <w:color w:val="auto"/>
        </w:rPr>
      </w:pPr>
    </w:p>
    <w:p>
      <w:pPr>
        <w:pStyle w:val="13"/>
        <w:rPr>
          <w:rFonts w:hint="eastAsia" w:ascii="宋体" w:hAnsi="宋体" w:cs="宋体"/>
          <w:b/>
          <w:color w:val="auto"/>
        </w:rPr>
      </w:pPr>
    </w:p>
    <w:p>
      <w:pPr>
        <w:pStyle w:val="13"/>
        <w:rPr>
          <w:rFonts w:hint="eastAsia" w:ascii="宋体" w:hAnsi="宋体" w:cs="宋体"/>
          <w:b/>
          <w:color w:val="auto"/>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bCs/>
          <w:szCs w:val="21"/>
          <w:u w:val="single"/>
        </w:rPr>
        <w:t xml:space="preserve">项目名称          </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b/>
          <w:bCs/>
          <w:kern w:val="0"/>
          <w:szCs w:val="21"/>
        </w:rPr>
        <w:t>附：法定代表人身份证复印件、代理人身份复印件</w:t>
      </w:r>
      <w:r>
        <w:rPr>
          <w:rFonts w:hint="eastAsia" w:ascii="宋体" w:hAnsi="宋体" w:cs="宋体"/>
          <w:kern w:val="0"/>
          <w:szCs w:val="21"/>
        </w:rPr>
        <w:t>。</w:t>
      </w:r>
    </w:p>
    <w:p>
      <w:pPr>
        <w:autoSpaceDE w:val="0"/>
        <w:autoSpaceDN w:val="0"/>
        <w:adjustRightInd w:val="0"/>
        <w:snapToGrid w:val="0"/>
        <w:spacing w:line="360" w:lineRule="auto"/>
        <w:jc w:val="left"/>
        <w:rPr>
          <w:rFonts w:hint="eastAsia" w:ascii="宋体" w:hAnsi="宋体" w:cs="宋体"/>
          <w:kern w:val="0"/>
          <w:sz w:val="12"/>
          <w:szCs w:val="12"/>
        </w:rPr>
      </w:pPr>
    </w:p>
    <w:tbl>
      <w:tblPr>
        <w:tblStyle w:val="8"/>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代理人身份证正面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代理人身份证反面</w:t>
            </w:r>
          </w:p>
        </w:tc>
      </w:tr>
    </w:tbl>
    <w:p>
      <w:pPr>
        <w:autoSpaceDE w:val="0"/>
        <w:autoSpaceDN w:val="0"/>
        <w:adjustRightInd w:val="0"/>
        <w:snapToGrid w:val="0"/>
        <w:spacing w:line="360" w:lineRule="auto"/>
        <w:jc w:val="left"/>
        <w:rPr>
          <w:rFonts w:hint="eastAsia" w:ascii="宋体" w:hAnsi="宋体" w:cs="宋体"/>
          <w:kern w:val="0"/>
          <w:sz w:val="20"/>
        </w:rPr>
      </w:pPr>
    </w:p>
    <w:p>
      <w:pPr>
        <w:pStyle w:val="13"/>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tabs>
          <w:tab w:val="left" w:pos="900"/>
          <w:tab w:val="left" w:pos="1080"/>
        </w:tabs>
        <w:spacing w:line="300" w:lineRule="auto"/>
        <w:jc w:val="center"/>
        <w:outlineLvl w:val="0"/>
        <w:rPr>
          <w:rFonts w:hint="eastAsia" w:ascii="宋体" w:hAnsi="宋体" w:eastAsia="宋体" w:cs="宋体"/>
          <w:b/>
          <w:sz w:val="28"/>
          <w:szCs w:val="28"/>
          <w:lang w:eastAsia="zh-CN"/>
        </w:rPr>
      </w:pPr>
      <w:r>
        <w:rPr>
          <w:rFonts w:hint="eastAsia" w:ascii="宋体" w:hAnsi="宋体" w:cs="宋体"/>
          <w:b/>
          <w:sz w:val="28"/>
          <w:szCs w:val="28"/>
        </w:rPr>
        <w:t>三、比选申请单位有效的营业执照、业绩证明材料</w:t>
      </w:r>
      <w:r>
        <w:rPr>
          <w:rFonts w:hint="eastAsia" w:ascii="宋体" w:hAnsi="宋体" w:cs="宋体"/>
          <w:b/>
          <w:sz w:val="28"/>
          <w:szCs w:val="28"/>
          <w:lang w:eastAsia="zh-CN"/>
        </w:rPr>
        <w:t>（</w:t>
      </w:r>
      <w:r>
        <w:rPr>
          <w:rFonts w:hint="eastAsia" w:ascii="宋体" w:hAnsi="宋体" w:cs="宋体"/>
          <w:b/>
          <w:sz w:val="28"/>
          <w:szCs w:val="28"/>
          <w:lang w:val="en-US" w:eastAsia="zh-CN"/>
        </w:rPr>
        <w:t>业绩证明需提供相关合同复印件</w:t>
      </w:r>
      <w:r>
        <w:rPr>
          <w:rFonts w:hint="eastAsia" w:ascii="宋体" w:hAnsi="宋体" w:cs="宋体"/>
          <w:b/>
          <w:sz w:val="28"/>
          <w:szCs w:val="28"/>
          <w:lang w:eastAsia="zh-CN"/>
        </w:rPr>
        <w:t>）</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四、高黏度改性剂产品合格证</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五、比选申请单位自行承诺部分</w:t>
      </w:r>
    </w:p>
    <w:p>
      <w:pPr>
        <w:spacing w:line="440" w:lineRule="exact"/>
        <w:rPr>
          <w:rFonts w:hint="eastAsia"/>
          <w:szCs w:val="21"/>
        </w:rPr>
      </w:pPr>
      <w:r>
        <w:rPr>
          <w:rFonts w:hint="eastAsia"/>
          <w:szCs w:val="21"/>
        </w:rPr>
        <w:t>重庆通力高速公路养护工程有限公司：</w:t>
      </w:r>
    </w:p>
    <w:p>
      <w:pPr>
        <w:spacing w:line="440" w:lineRule="exact"/>
        <w:ind w:firstLine="420" w:firstLineChars="200"/>
        <w:rPr>
          <w:rFonts w:hint="eastAsia"/>
          <w:szCs w:val="21"/>
        </w:rPr>
      </w:pPr>
      <w:r>
        <w:rPr>
          <w:rFonts w:hint="eastAsia"/>
          <w:szCs w:val="21"/>
        </w:rPr>
        <w:t>我司承诺本次比选申请文件的所有资料、业绩均为真实材料。我司将按照要求提供货物或服务。若违背竞争性比选文件及合同要求，我司将按照约定接受处罚。</w:t>
      </w:r>
    </w:p>
    <w:p>
      <w:pPr>
        <w:spacing w:line="440" w:lineRule="exact"/>
        <w:rPr>
          <w:rFonts w:hint="eastAsia"/>
          <w:szCs w:val="21"/>
        </w:rPr>
      </w:pPr>
      <w:r>
        <w:rPr>
          <w:rFonts w:hint="eastAsia" w:ascii="宋体" w:hAnsi="宋体" w:cs="宋体"/>
          <w:b/>
          <w:sz w:val="28"/>
          <w:szCs w:val="28"/>
        </w:rPr>
        <w:t xml:space="preserve">   </w:t>
      </w:r>
      <w:r>
        <w:rPr>
          <w:rFonts w:hint="eastAsia"/>
          <w:szCs w:val="21"/>
        </w:rPr>
        <w:t>我司承诺在最近三年没有出现违法违规或失信行为；没有无故弃标的不良记录；未处于被责令停业，歇业，投标资格被取消，财产被接管、被采取强制措施、破产状态，并将按照竞争性比选文件要求提供货物或服务。</w:t>
      </w:r>
    </w:p>
    <w:p>
      <w:pPr>
        <w:pStyle w:val="13"/>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13"/>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3"/>
        <w:jc w:val="right"/>
        <w:rPr>
          <w:rFonts w:hint="eastAsia" w:ascii="宋体" w:hAnsi="宋体" w:cs="宋体"/>
          <w:b/>
          <w:color w:val="auto"/>
          <w:sz w:val="28"/>
          <w:szCs w:val="28"/>
        </w:rPr>
        <w:sectPr>
          <w:pgSz w:w="11906" w:h="16838"/>
          <w:pgMar w:top="1418" w:right="1361" w:bottom="1418" w:left="1361" w:header="851" w:footer="992" w:gutter="0"/>
          <w:cols w:space="720" w:num="1"/>
          <w:docGrid w:type="lines" w:linePitch="312" w:charSpace="0"/>
        </w:sect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六、已标价报价清单</w:t>
      </w:r>
    </w:p>
    <w:p>
      <w:pPr>
        <w:jc w:val="center"/>
        <w:rPr>
          <w:rFonts w:hint="eastAsia"/>
          <w:b/>
          <w:bCs/>
          <w:sz w:val="24"/>
          <w:szCs w:val="24"/>
        </w:rPr>
      </w:pPr>
      <w:r>
        <w:rPr>
          <w:rFonts w:hint="eastAsia"/>
          <w:b/>
          <w:bCs/>
          <w:sz w:val="24"/>
          <w:szCs w:val="24"/>
        </w:rPr>
        <w:t>重庆通力高速公路养护工程有限公司</w:t>
      </w:r>
    </w:p>
    <w:p>
      <w:pPr>
        <w:jc w:val="center"/>
        <w:rPr>
          <w:rFonts w:hint="eastAsia"/>
          <w:b/>
          <w:bCs/>
        </w:rPr>
      </w:pPr>
      <w:r>
        <w:rPr>
          <w:rFonts w:hint="eastAsia"/>
          <w:b/>
          <w:bCs/>
          <w:sz w:val="24"/>
          <w:szCs w:val="24"/>
          <w:lang w:eastAsia="zh-CN"/>
        </w:rPr>
        <w:t>渝蓉高速公路2022年路面维修处治工程高黏度改性剂采购第二次</w:t>
      </w:r>
      <w:r>
        <w:rPr>
          <w:rFonts w:hint="eastAsia"/>
          <w:b/>
          <w:bCs/>
          <w:sz w:val="24"/>
          <w:szCs w:val="24"/>
        </w:rPr>
        <w:t>报价清单</w:t>
      </w:r>
    </w:p>
    <w:p>
      <w:pPr>
        <w:rPr>
          <w:rFonts w:hint="eastAsia"/>
          <w:b/>
          <w:bCs/>
        </w:rPr>
      </w:pPr>
      <w:r>
        <w:rPr>
          <w:rFonts w:hint="eastAsia"/>
          <w:b/>
          <w:bCs/>
        </w:rPr>
        <w:t xml:space="preserve">                                                             </w:t>
      </w:r>
      <w:r>
        <w:rPr>
          <w:rFonts w:hint="eastAsia"/>
        </w:rPr>
        <w:t xml:space="preserve">     (单位：元）    </w:t>
      </w:r>
      <w:r>
        <w:rPr>
          <w:rFonts w:hint="eastAsia"/>
          <w:b/>
          <w:bCs/>
        </w:rPr>
        <w:t xml:space="preserve">                                                                             </w:t>
      </w:r>
    </w:p>
    <w:tbl>
      <w:tblPr>
        <w:tblStyle w:val="8"/>
        <w:tblpPr w:leftFromText="180" w:rightFromText="180" w:vertAnchor="text" w:horzAnchor="page" w:tblpX="1460" w:tblpY="188"/>
        <w:tblOverlap w:val="never"/>
        <w:tblW w:w="5915" w:type="pct"/>
        <w:tblInd w:w="0" w:type="dxa"/>
        <w:tblLayout w:type="autofit"/>
        <w:tblCellMar>
          <w:top w:w="0" w:type="dxa"/>
          <w:left w:w="108" w:type="dxa"/>
          <w:bottom w:w="0" w:type="dxa"/>
          <w:right w:w="108" w:type="dxa"/>
        </w:tblCellMar>
      </w:tblPr>
      <w:tblGrid>
        <w:gridCol w:w="543"/>
        <w:gridCol w:w="852"/>
        <w:gridCol w:w="846"/>
        <w:gridCol w:w="773"/>
        <w:gridCol w:w="1074"/>
        <w:gridCol w:w="1169"/>
        <w:gridCol w:w="995"/>
        <w:gridCol w:w="1150"/>
        <w:gridCol w:w="1340"/>
        <w:gridCol w:w="1340"/>
      </w:tblGrid>
      <w:tr>
        <w:tblPrEx>
          <w:tblCellMar>
            <w:top w:w="0" w:type="dxa"/>
            <w:left w:w="108" w:type="dxa"/>
            <w:bottom w:w="0" w:type="dxa"/>
            <w:right w:w="108" w:type="dxa"/>
          </w:tblCellMar>
        </w:tblPrEx>
        <w:trPr>
          <w:trHeight w:val="1316" w:hRule="exac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r>
              <w:rPr>
                <w:rFonts w:hint="eastAsia" w:ascii="宋体" w:hAnsi="宋体" w:cs="宋体"/>
                <w:color w:val="FF0000"/>
                <w:kern w:val="0"/>
                <w:sz w:val="18"/>
                <w:szCs w:val="18"/>
                <w:lang w:bidi="ar"/>
              </w:rPr>
              <w:t>序号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r>
              <w:rPr>
                <w:rFonts w:hint="eastAsia" w:ascii="宋体" w:hAnsi="宋体" w:cs="宋体"/>
                <w:color w:val="FF0000"/>
                <w:kern w:val="0"/>
                <w:sz w:val="18"/>
                <w:szCs w:val="18"/>
                <w:lang w:bidi="ar"/>
              </w:rPr>
              <w:t>材料名称</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r>
              <w:rPr>
                <w:rFonts w:hint="eastAsia" w:ascii="宋体" w:hAnsi="宋体" w:cs="宋体"/>
                <w:color w:val="FF0000"/>
                <w:sz w:val="18"/>
                <w:szCs w:val="18"/>
              </w:rPr>
              <w:t>规格型号</w:t>
            </w:r>
          </w:p>
        </w:tc>
        <w:tc>
          <w:tcPr>
            <w:tcW w:w="383"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r>
              <w:rPr>
                <w:rFonts w:hint="eastAsia" w:ascii="宋体" w:hAnsi="宋体" w:cs="宋体"/>
                <w:color w:val="FF0000"/>
                <w:kern w:val="0"/>
                <w:sz w:val="18"/>
                <w:szCs w:val="18"/>
                <w:lang w:bidi="ar"/>
              </w:rPr>
              <w:t>暂估数量（吨）</w:t>
            </w:r>
          </w:p>
        </w:tc>
        <w:tc>
          <w:tcPr>
            <w:tcW w:w="532"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r>
              <w:rPr>
                <w:rFonts w:hint="eastAsia" w:ascii="宋体" w:hAnsi="宋体" w:cs="宋体"/>
                <w:color w:val="FF0000"/>
                <w:kern w:val="0"/>
                <w:sz w:val="18"/>
                <w:szCs w:val="18"/>
                <w:lang w:bidi="ar"/>
              </w:rPr>
              <w:t>到场含税上限单价（元/吨）</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r>
              <w:rPr>
                <w:rFonts w:hint="eastAsia" w:ascii="宋体" w:hAnsi="宋体" w:cs="宋体"/>
                <w:color w:val="FF0000"/>
                <w:kern w:val="0"/>
                <w:sz w:val="18"/>
                <w:szCs w:val="18"/>
                <w:lang w:bidi="ar"/>
              </w:rPr>
              <w:t>含税限价总金额      （元）</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到场含税单价报价（元/吨）</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kern w:val="0"/>
                <w:sz w:val="18"/>
                <w:szCs w:val="18"/>
                <w:lang w:bidi="ar"/>
              </w:rPr>
            </w:pPr>
            <w:r>
              <w:rPr>
                <w:rFonts w:hint="eastAsia" w:ascii="宋体" w:hAnsi="宋体" w:cs="宋体"/>
                <w:color w:val="FF0000"/>
                <w:kern w:val="0"/>
                <w:sz w:val="18"/>
                <w:szCs w:val="18"/>
                <w:lang w:bidi="ar"/>
              </w:rPr>
              <w:t>含税总报价（元）</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r>
              <w:rPr>
                <w:rFonts w:hint="eastAsia" w:ascii="宋体" w:hAnsi="宋体" w:cs="宋体"/>
                <w:color w:val="FF0000"/>
                <w:kern w:val="0"/>
                <w:sz w:val="18"/>
                <w:szCs w:val="18"/>
                <w:lang w:bidi="ar"/>
              </w:rPr>
              <w:t>交货地点</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备注</w:t>
            </w:r>
          </w:p>
        </w:tc>
      </w:tr>
      <w:tr>
        <w:tblPrEx>
          <w:tblCellMar>
            <w:top w:w="0" w:type="dxa"/>
            <w:left w:w="108" w:type="dxa"/>
            <w:bottom w:w="0" w:type="dxa"/>
            <w:right w:w="108" w:type="dxa"/>
          </w:tblCellMar>
        </w:tblPrEx>
        <w:trPr>
          <w:trHeight w:val="745"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r>
              <w:rPr>
                <w:rFonts w:hint="eastAsia" w:ascii="宋体" w:hAnsi="宋体" w:cs="宋体"/>
                <w:color w:val="FF0000"/>
                <w:kern w:val="0"/>
                <w:sz w:val="18"/>
                <w:szCs w:val="18"/>
                <w:lang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FF0000"/>
                <w:sz w:val="18"/>
                <w:szCs w:val="18"/>
              </w:rPr>
            </w:pPr>
            <w:r>
              <w:rPr>
                <w:rFonts w:hint="eastAsia" w:ascii="宋体" w:hAnsi="宋体" w:cs="宋体"/>
                <w:color w:val="FF0000"/>
                <w:kern w:val="0"/>
                <w:sz w:val="18"/>
                <w:szCs w:val="18"/>
              </w:rPr>
              <w:t>高黏度改性剂</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FF0000"/>
                <w:sz w:val="18"/>
                <w:szCs w:val="18"/>
              </w:rPr>
            </w:pPr>
            <w:r>
              <w:rPr>
                <w:rFonts w:hint="eastAsia" w:ascii="宋体" w:hAnsi="宋体" w:cs="宋体"/>
                <w:color w:val="FF0000"/>
                <w:kern w:val="0"/>
                <w:sz w:val="18"/>
                <w:szCs w:val="18"/>
              </w:rPr>
              <w:t>/</w:t>
            </w:r>
          </w:p>
        </w:tc>
        <w:tc>
          <w:tcPr>
            <w:tcW w:w="383" w:type="pct"/>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12</w:t>
            </w:r>
          </w:p>
        </w:tc>
        <w:tc>
          <w:tcPr>
            <w:tcW w:w="532" w:type="pct"/>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40000</w:t>
            </w:r>
          </w:p>
        </w:tc>
        <w:tc>
          <w:tcPr>
            <w:tcW w:w="579" w:type="pct"/>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480000</w:t>
            </w:r>
          </w:p>
        </w:tc>
        <w:tc>
          <w:tcPr>
            <w:tcW w:w="493" w:type="pc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FF0000"/>
                <w:sz w:val="18"/>
                <w:szCs w:val="18"/>
              </w:rPr>
            </w:pPr>
          </w:p>
        </w:tc>
        <w:tc>
          <w:tcPr>
            <w:tcW w:w="570" w:type="pc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FF0000"/>
                <w:sz w:val="18"/>
                <w:szCs w:val="18"/>
              </w:rPr>
            </w:pPr>
          </w:p>
        </w:tc>
        <w:tc>
          <w:tcPr>
            <w:tcW w:w="664"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FF0000"/>
                <w:sz w:val="18"/>
                <w:szCs w:val="18"/>
              </w:rPr>
            </w:pPr>
            <w:r>
              <w:rPr>
                <w:rFonts w:ascii="宋体" w:hAnsi="宋体" w:cs="宋体"/>
                <w:color w:val="FF0000"/>
                <w:sz w:val="18"/>
                <w:szCs w:val="18"/>
              </w:rPr>
              <w:t>北碚西山坪拌和站（渝合高速进城方向西山坪隧道出口右侧）</w:t>
            </w:r>
          </w:p>
        </w:tc>
        <w:tc>
          <w:tcPr>
            <w:tcW w:w="664"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FF0000"/>
                <w:sz w:val="18"/>
                <w:szCs w:val="18"/>
              </w:rPr>
            </w:pPr>
          </w:p>
        </w:tc>
      </w:tr>
      <w:tr>
        <w:tblPrEx>
          <w:tblCellMar>
            <w:top w:w="0" w:type="dxa"/>
            <w:left w:w="108" w:type="dxa"/>
            <w:bottom w:w="0" w:type="dxa"/>
            <w:right w:w="108" w:type="dxa"/>
          </w:tblCellMar>
        </w:tblPrEx>
        <w:trPr>
          <w:trHeight w:val="460" w:hRule="atLeast"/>
        </w:trPr>
        <w:tc>
          <w:tcPr>
            <w:tcW w:w="69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FF0000"/>
                <w:kern w:val="0"/>
                <w:sz w:val="18"/>
                <w:szCs w:val="18"/>
                <w:lang w:bidi="ar"/>
              </w:rPr>
            </w:pPr>
            <w:r>
              <w:rPr>
                <w:rFonts w:hint="eastAsia" w:ascii="宋体" w:hAnsi="宋体" w:cs="宋体"/>
                <w:color w:val="FF0000"/>
                <w:kern w:val="0"/>
                <w:sz w:val="18"/>
                <w:szCs w:val="18"/>
                <w:lang w:bidi="ar"/>
              </w:rPr>
              <w:t>合计</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18"/>
                <w:szCs w:val="18"/>
              </w:rPr>
            </w:pP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FF0000"/>
                <w:sz w:val="18"/>
                <w:szCs w:val="18"/>
              </w:rPr>
            </w:pPr>
            <w:r>
              <w:rPr>
                <w:rFonts w:hint="eastAsia" w:ascii="宋体" w:hAnsi="宋体" w:cs="宋体"/>
                <w:color w:val="FF0000"/>
                <w:sz w:val="18"/>
                <w:szCs w:val="18"/>
              </w:rPr>
              <w:t>480000</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FF0000"/>
                <w:sz w:val="18"/>
                <w:szCs w:val="18"/>
              </w:rPr>
            </w:pPr>
            <w:r>
              <w:rPr>
                <w:rFonts w:hint="eastAsia" w:ascii="宋体" w:hAnsi="宋体" w:cs="宋体"/>
                <w:color w:val="FF0000"/>
                <w:sz w:val="18"/>
                <w:szCs w:val="18"/>
                <w:u w:val="single"/>
              </w:rPr>
              <w:t xml:space="preserve">     </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FF0000"/>
                <w:sz w:val="18"/>
                <w:szCs w:val="18"/>
              </w:rPr>
            </w:pPr>
          </w:p>
        </w:tc>
        <w:tc>
          <w:tcPr>
            <w:tcW w:w="6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FF0000"/>
                <w:sz w:val="18"/>
                <w:szCs w:val="18"/>
              </w:rPr>
            </w:pPr>
          </w:p>
        </w:tc>
      </w:tr>
    </w:tbl>
    <w:p>
      <w:pPr>
        <w:spacing w:line="360" w:lineRule="auto"/>
        <w:ind w:firstLine="420" w:firstLineChars="200"/>
        <w:jc w:val="left"/>
        <w:rPr>
          <w:rFonts w:hint="eastAsia" w:ascii="宋体" w:hAnsi="宋体"/>
          <w:bCs/>
          <w:sz w:val="20"/>
        </w:rPr>
      </w:pPr>
      <w:r>
        <w:rPr>
          <w:rFonts w:hint="eastAsia" w:ascii="宋体" w:hAnsi="宋体"/>
          <w:szCs w:val="21"/>
        </w:rPr>
        <w:t>备注：</w:t>
      </w:r>
      <w:r>
        <w:rPr>
          <w:rFonts w:hint="eastAsia" w:ascii="宋体" w:hAnsi="宋体" w:cs="宋体"/>
          <w:bCs/>
          <w:sz w:val="20"/>
        </w:rPr>
        <w:t>1、</w:t>
      </w:r>
      <w:r>
        <w:rPr>
          <w:rFonts w:hint="eastAsia" w:ascii="宋体" w:hAnsi="宋体"/>
          <w:bCs/>
          <w:sz w:val="20"/>
        </w:rPr>
        <w:t>本合同为综合单价合同，乙方提供的发票应为增值税专用发票，且抵扣税率为</w:t>
      </w:r>
      <w:r>
        <w:rPr>
          <w:rFonts w:hint="eastAsia" w:ascii="宋体" w:hAnsi="宋体"/>
          <w:bCs/>
          <w:sz w:val="20"/>
          <w:u w:val="single"/>
        </w:rPr>
        <w:t xml:space="preserve">    13 </w:t>
      </w:r>
      <w:r>
        <w:rPr>
          <w:rFonts w:hint="eastAsia" w:ascii="宋体" w:hAnsi="宋体"/>
          <w:bCs/>
          <w:sz w:val="20"/>
        </w:rPr>
        <w:t>%。工程完工后，按照甲方代表确认的工程量结算；双方约定的合同单价已包含</w:t>
      </w:r>
      <w:r>
        <w:rPr>
          <w:rFonts w:hint="eastAsia" w:ascii="宋体" w:hAnsi="宋体"/>
          <w:bCs/>
          <w:sz w:val="20"/>
          <w:u w:val="single"/>
        </w:rPr>
        <w:t>①材料运输费；②</w:t>
      </w:r>
      <w:r>
        <w:rPr>
          <w:rFonts w:hint="eastAsia" w:ascii="宋体" w:hAnsi="宋体" w:cs="宋体"/>
          <w:kern w:val="0"/>
          <w:szCs w:val="21"/>
          <w:u w:val="single"/>
          <w:lang w:bidi="ar"/>
        </w:rPr>
        <w:t>含技术服务费；③</w:t>
      </w:r>
      <w:r>
        <w:rPr>
          <w:rFonts w:hint="eastAsia" w:ascii="宋体" w:hAnsi="宋体"/>
          <w:bCs/>
          <w:sz w:val="20"/>
          <w:u w:val="single"/>
        </w:rPr>
        <w:t>全部风险范围的费用。</w:t>
      </w:r>
      <w:r>
        <w:rPr>
          <w:rFonts w:hint="eastAsia" w:ascii="宋体" w:hAnsi="宋体"/>
          <w:bCs/>
          <w:sz w:val="20"/>
        </w:rPr>
        <w:t>，在合同签订后，任何一方不得擅自改变或调整。</w:t>
      </w:r>
    </w:p>
    <w:p>
      <w:pPr>
        <w:spacing w:line="480" w:lineRule="exact"/>
        <w:ind w:firstLine="400" w:firstLineChars="200"/>
        <w:jc w:val="left"/>
        <w:rPr>
          <w:rFonts w:hint="eastAsia"/>
          <w:sz w:val="22"/>
          <w:szCs w:val="24"/>
        </w:rPr>
      </w:pPr>
      <w:r>
        <w:rPr>
          <w:rFonts w:hint="eastAsia" w:ascii="宋体" w:hAnsi="宋体"/>
          <w:bCs/>
          <w:sz w:val="20"/>
        </w:rPr>
        <w:t>2、暂估量仅作为评标的依据与基础，各规格型号材料实际采购数量以招标人最终需求数量为准。</w:t>
      </w:r>
    </w:p>
    <w:p>
      <w:pPr>
        <w:pStyle w:val="7"/>
        <w:rPr>
          <w:rFonts w:hint="eastAsia"/>
        </w:rPr>
      </w:pPr>
    </w:p>
    <w:p>
      <w:pPr>
        <w:pStyle w:val="7"/>
        <w:rPr>
          <w:rFonts w:hint="eastAsia"/>
        </w:rPr>
      </w:pPr>
    </w:p>
    <w:p>
      <w:pPr>
        <w:spacing w:line="360" w:lineRule="auto"/>
        <w:ind w:firstLine="420"/>
        <w:jc w:val="right"/>
        <w:rPr>
          <w:rFonts w:hint="eastAsia" w:ascii="宋体" w:hAnsi="宋体" w:cs="宋体"/>
          <w:szCs w:val="21"/>
        </w:rPr>
      </w:pPr>
      <w:r>
        <w:rPr>
          <w:rFonts w:hint="eastAsia" w:ascii="宋体" w:hAnsi="宋体" w:cs="宋体"/>
          <w:szCs w:val="21"/>
        </w:rPr>
        <w:t xml:space="preserve">竞标人: </w:t>
      </w:r>
      <w:r>
        <w:rPr>
          <w:rFonts w:hint="eastAsia" w:ascii="宋体" w:hAnsi="宋体" w:cs="宋体"/>
          <w:szCs w:val="21"/>
          <w:u w:val="single"/>
        </w:rPr>
        <w:t xml:space="preserve">               （全称）（盖单位鲜公章）</w:t>
      </w:r>
      <w:r>
        <w:rPr>
          <w:rFonts w:hint="eastAsia" w:ascii="宋体" w:hAnsi="宋体" w:cs="宋体"/>
          <w:szCs w:val="21"/>
        </w:rPr>
        <w:t xml:space="preserve"> </w:t>
      </w:r>
    </w:p>
    <w:p>
      <w:pPr>
        <w:spacing w:line="360" w:lineRule="auto"/>
        <w:ind w:firstLine="420"/>
        <w:jc w:val="right"/>
        <w:rPr>
          <w:rFonts w:hint="eastAsia" w:ascii="宋体" w:hAnsi="宋体" w:cs="宋体"/>
          <w:szCs w:val="21"/>
          <w:u w:val="single"/>
        </w:rPr>
      </w:pPr>
      <w:r>
        <w:rPr>
          <w:rFonts w:hint="eastAsia" w:ascii="宋体" w:hAnsi="宋体" w:cs="宋体"/>
          <w:szCs w:val="21"/>
        </w:rPr>
        <w:t>法定代表人或其授权的代理人:</w:t>
      </w:r>
      <w:r>
        <w:rPr>
          <w:rFonts w:hint="eastAsia" w:ascii="宋体" w:hAnsi="宋体" w:cs="宋体"/>
          <w:szCs w:val="21"/>
          <w:u w:val="single"/>
        </w:rPr>
        <w:t xml:space="preserve">            （签字）</w:t>
      </w:r>
    </w:p>
    <w:p>
      <w:pPr>
        <w:spacing w:line="360" w:lineRule="auto"/>
        <w:ind w:firstLine="420"/>
        <w:jc w:val="right"/>
        <w:rPr>
          <w:rFonts w:hint="eastAsia"/>
          <w:b/>
          <w:bCs/>
          <w:sz w:val="32"/>
          <w:szCs w:val="32"/>
        </w:rPr>
      </w:pPr>
      <w:r>
        <w:rPr>
          <w:rFonts w:hint="eastAsia" w:ascii="宋体" w:hAnsi="宋体" w:cs="宋体"/>
          <w:szCs w:val="21"/>
        </w:rPr>
        <w:t>日期:     年   月   日</w:t>
      </w:r>
    </w:p>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MWNhYmI0NGYwMGU5ODY5ZDg5OTZkYTFmY2NmMjcifQ=="/>
  </w:docVars>
  <w:rsids>
    <w:rsidRoot w:val="086F7CEA"/>
    <w:rsid w:val="072A3E5D"/>
    <w:rsid w:val="086F7CEA"/>
    <w:rsid w:val="094F59FE"/>
    <w:rsid w:val="13ED36CC"/>
    <w:rsid w:val="30096FCA"/>
    <w:rsid w:val="3A217E73"/>
    <w:rsid w:val="3C2123AD"/>
    <w:rsid w:val="456D2845"/>
    <w:rsid w:val="48982E93"/>
    <w:rsid w:val="4C0229DE"/>
    <w:rsid w:val="534B5706"/>
    <w:rsid w:val="5F434264"/>
    <w:rsid w:val="5FF808BE"/>
    <w:rsid w:val="60361DEF"/>
    <w:rsid w:val="62B42682"/>
    <w:rsid w:val="651B5CC6"/>
    <w:rsid w:val="6C112598"/>
    <w:rsid w:val="6DD817CA"/>
    <w:rsid w:val="70753826"/>
    <w:rsid w:val="790C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Body Text Indent"/>
    <w:basedOn w:val="1"/>
    <w:qFormat/>
    <w:uiPriority w:val="0"/>
    <w:pPr>
      <w:spacing w:line="700" w:lineRule="exact"/>
      <w:ind w:left="960"/>
    </w:pPr>
    <w:rPr>
      <w:sz w:val="44"/>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rFonts w:ascii="Calibri" w:hAnsi="Calibri"/>
      <w:b/>
      <w:bCs/>
      <w:caps/>
      <w:sz w:val="20"/>
    </w:rPr>
  </w:style>
  <w:style w:type="character" w:styleId="10">
    <w:name w:val="FollowedHyperlink"/>
    <w:basedOn w:val="9"/>
    <w:uiPriority w:val="0"/>
    <w:rPr>
      <w:color w:val="000000"/>
      <w:u w:val="none"/>
    </w:rPr>
  </w:style>
  <w:style w:type="character" w:styleId="11">
    <w:name w:val="Emphasis"/>
    <w:basedOn w:val="9"/>
    <w:qFormat/>
    <w:uiPriority w:val="0"/>
  </w:style>
  <w:style w:type="character" w:styleId="12">
    <w:name w:val="Hyperlink"/>
    <w:basedOn w:val="9"/>
    <w:uiPriority w:val="0"/>
    <w:rPr>
      <w:color w:val="000000"/>
      <w:u w:val="none"/>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4">
    <w:name w:val="font61"/>
    <w:qFormat/>
    <w:uiPriority w:val="0"/>
    <w:rPr>
      <w:rFonts w:hint="eastAsia" w:ascii="宋体" w:hAnsi="宋体" w:eastAsia="宋体" w:cs="宋体"/>
      <w:color w:val="000000"/>
      <w:sz w:val="18"/>
      <w:szCs w:val="18"/>
      <w:u w:val="single"/>
    </w:rPr>
  </w:style>
  <w:style w:type="character" w:customStyle="1" w:styleId="15">
    <w:name w:val="font21"/>
    <w:qFormat/>
    <w:uiPriority w:val="0"/>
    <w:rPr>
      <w:rFonts w:hint="eastAsia" w:ascii="宋体" w:hAnsi="宋体" w:eastAsia="宋体" w:cs="宋体"/>
      <w:color w:val="000000"/>
      <w:sz w:val="18"/>
      <w:szCs w:val="18"/>
      <w:u w:val="none"/>
    </w:rPr>
  </w:style>
  <w:style w:type="character" w:customStyle="1" w:styleId="16">
    <w:name w:val="last-child8"/>
    <w:basedOn w:val="9"/>
    <w:uiPriority w:val="0"/>
  </w:style>
  <w:style w:type="character" w:customStyle="1" w:styleId="17">
    <w:name w:val="item"/>
    <w:basedOn w:val="9"/>
    <w:uiPriority w:val="0"/>
    <w:rPr>
      <w:color w:val="333333"/>
      <w:sz w:val="18"/>
      <w:szCs w:val="18"/>
      <w:shd w:val="clear" w:fill="F4F4F5"/>
    </w:rPr>
  </w:style>
  <w:style w:type="character" w:customStyle="1" w:styleId="18">
    <w:name w:val="first-child"/>
    <w:basedOn w:val="9"/>
    <w:uiPriority w:val="0"/>
    <w:rPr>
      <w:color w:val="999999"/>
      <w:sz w:val="18"/>
      <w:szCs w:val="18"/>
    </w:rPr>
  </w:style>
  <w:style w:type="character" w:customStyle="1" w:styleId="19">
    <w:name w:val="hover13"/>
    <w:basedOn w:val="9"/>
    <w:uiPriority w:val="0"/>
  </w:style>
  <w:style w:type="character" w:customStyle="1" w:styleId="20">
    <w:name w:val="last-child"/>
    <w:basedOn w:val="9"/>
    <w:uiPriority w:val="0"/>
  </w:style>
  <w:style w:type="character" w:customStyle="1" w:styleId="21">
    <w:name w:val="hover14"/>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11793</Words>
  <Characters>12464</Characters>
  <Lines>0</Lines>
  <Paragraphs>0</Paragraphs>
  <TotalTime>0</TotalTime>
  <ScaleCrop>false</ScaleCrop>
  <LinksUpToDate>false</LinksUpToDate>
  <CharactersWithSpaces>14517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2022-07-07T07:24:00Z</dcterms:created>
  <dc:creator>七月半只夏</dc:creator>
  <cp:lastModifiedBy>七月半只夏</cp:lastModifiedBy>
  <dcterms:modified xsi:type="dcterms:W3CDTF">2022-08-09T04:43:38Z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B55C3B375F8748E4A29615D1AF1650CA</vt:lpwstr>
  </property>
</Properties>
</file>