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3A1" w:rsidRDefault="009E1D89">
      <w:pPr>
        <w:spacing w:line="5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重庆首讯科技股份有限公司</w:t>
      </w:r>
    </w:p>
    <w:p w:rsidR="00E023A1" w:rsidRDefault="009E1D89">
      <w:pPr>
        <w:spacing w:line="500" w:lineRule="exact"/>
        <w:jc w:val="center"/>
        <w:rPr>
          <w:rFonts w:ascii="方正小标宋_GBK" w:eastAsia="方正小标宋_GBK" w:hAnsi="方正小标宋_GBK" w:cs="方正小标宋_GBK"/>
          <w:sz w:val="44"/>
          <w:szCs w:val="44"/>
        </w:rPr>
      </w:pPr>
      <w:bookmarkStart w:id="0" w:name="OLE_LINK2"/>
      <w:r>
        <w:rPr>
          <w:rFonts w:ascii="方正小标宋_GBK" w:eastAsia="方正小标宋_GBK" w:hAnsi="方正小标宋_GBK" w:cs="方正小标宋_GBK" w:hint="eastAsia"/>
          <w:sz w:val="44"/>
          <w:szCs w:val="44"/>
        </w:rPr>
        <w:t>工程安全生产的违约处理细则</w:t>
      </w:r>
      <w:bookmarkEnd w:id="0"/>
    </w:p>
    <w:p w:rsidR="00E023A1" w:rsidRDefault="009E1D89">
      <w:pPr>
        <w:spacing w:line="500" w:lineRule="exact"/>
        <w:jc w:val="center"/>
        <w:rPr>
          <w:rFonts w:hAnsi="宋体" w:cs="宋体"/>
          <w:b/>
          <w:bCs/>
          <w:sz w:val="32"/>
          <w:szCs w:val="32"/>
        </w:rPr>
      </w:pPr>
      <w:r>
        <w:rPr>
          <w:rFonts w:hAnsi="宋体" w:cs="宋体" w:hint="eastAsia"/>
          <w:b/>
          <w:bCs/>
          <w:sz w:val="32"/>
          <w:szCs w:val="32"/>
        </w:rPr>
        <w:t>SX</w:t>
      </w:r>
      <w:r>
        <w:rPr>
          <w:rFonts w:hAnsi="宋体" w:cs="宋体" w:hint="eastAsia"/>
          <w:b/>
          <w:bCs/>
          <w:sz w:val="32"/>
          <w:szCs w:val="32"/>
        </w:rPr>
        <w:t>（</w:t>
      </w:r>
      <w:r>
        <w:rPr>
          <w:rFonts w:ascii="宋体" w:eastAsia="宋体" w:hAnsi="宋体" w:cs="宋体" w:hint="eastAsia"/>
          <w:b/>
          <w:bCs/>
          <w:sz w:val="32"/>
          <w:szCs w:val="32"/>
        </w:rPr>
        <w:t>Ⅱ</w:t>
      </w:r>
      <w:r>
        <w:rPr>
          <w:rFonts w:hAnsi="宋体" w:cs="宋体" w:hint="eastAsia"/>
          <w:b/>
          <w:bCs/>
          <w:sz w:val="32"/>
          <w:szCs w:val="32"/>
        </w:rPr>
        <w:t>）</w:t>
      </w:r>
      <w:r>
        <w:rPr>
          <w:rFonts w:hAnsi="宋体" w:cs="宋体" w:hint="eastAsia"/>
          <w:b/>
          <w:bCs/>
          <w:sz w:val="32"/>
          <w:szCs w:val="32"/>
        </w:rPr>
        <w:t>/AH19026</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1、目的与范围</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w:t>
      </w:r>
      <w:bookmarkStart w:id="1" w:name="OLE_LINK1"/>
      <w:r>
        <w:rPr>
          <w:rFonts w:ascii="方正仿宋_GBK" w:eastAsia="方正仿宋_GBK" w:hAnsi="方正仿宋_GBK" w:cs="方正仿宋_GBK" w:hint="eastAsia"/>
          <w:sz w:val="32"/>
          <w:szCs w:val="32"/>
        </w:rPr>
        <w:t>为确保工程安全得以有效控制，纠正和处理工程过程中不规范的行为，</w:t>
      </w:r>
      <w:bookmarkEnd w:id="1"/>
      <w:r>
        <w:rPr>
          <w:rFonts w:ascii="方正仿宋_GBK" w:eastAsia="方正仿宋_GBK" w:hAnsi="方正仿宋_GBK" w:cs="方正仿宋_GBK" w:hint="eastAsia"/>
          <w:sz w:val="32"/>
          <w:szCs w:val="32"/>
        </w:rPr>
        <w:t>特制定本违约处理实施细则。</w:t>
      </w:r>
    </w:p>
    <w:p w:rsidR="00E023A1" w:rsidRDefault="009E1D89">
      <w:pPr>
        <w:spacing w:line="64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本细则适用于重庆首讯科技股份有限公司（以下简称发包人）发包的所有施工、维护、服务等项目的承包人。</w:t>
      </w:r>
    </w:p>
    <w:p w:rsidR="00E023A1" w:rsidRDefault="009E1D89">
      <w:pPr>
        <w:numPr>
          <w:ilvl w:val="0"/>
          <w:numId w:val="1"/>
        </w:num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原则</w:t>
      </w:r>
    </w:p>
    <w:p w:rsidR="00E023A1" w:rsidRDefault="009E1D89">
      <w:pPr>
        <w:spacing w:line="640" w:lineRule="exact"/>
        <w:ind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告知原则：发包人在与承包人签订合同（或施工协议、任务书）时，本细则作为《合同协议书》、《安全生产合同》附件。未与承包人签订合同时，管理（维护中心）、项目部在进场前书面告知,并经承包人签字或盖章确认。</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违约处理原则：承包人应认真履行合同条款，凡是违反合同条款规定的，均按规定承担违约责任，接受相应处理。</w:t>
      </w:r>
    </w:p>
    <w:p w:rsidR="00E023A1" w:rsidRDefault="009E1D89">
      <w:pPr>
        <w:numPr>
          <w:ilvl w:val="0"/>
          <w:numId w:val="1"/>
        </w:num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违约处理依据：</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shd w:val="clear" w:color="auto" w:fill="FFFFFF"/>
        </w:rPr>
        <w:t>中华人民共和国合同法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shd w:val="clear" w:color="auto" w:fill="FFFFFF"/>
        </w:rPr>
        <w:t>，第一百一十四条，违约金：当事人可以约定一方违约时应当根据违约情况向对方支付一定数额的违约金，也可以约定因违约产生的损失赔偿额</w:t>
      </w:r>
      <w:proofErr w:type="gramStart"/>
      <w:r>
        <w:rPr>
          <w:rFonts w:ascii="方正仿宋_GBK" w:eastAsia="方正仿宋_GBK" w:hAnsi="方正仿宋_GBK" w:cs="方正仿宋_GBK" w:hint="eastAsia"/>
          <w:sz w:val="32"/>
          <w:szCs w:val="32"/>
          <w:shd w:val="clear" w:color="auto" w:fill="FFFFFF"/>
        </w:rPr>
        <w:t>的计算方法</w:t>
      </w:r>
      <w:proofErr w:type="gramEnd"/>
      <w:r>
        <w:rPr>
          <w:rFonts w:ascii="方正仿宋_GBK" w:eastAsia="方正仿宋_GBK" w:hAnsi="方正仿宋_GBK" w:cs="方正仿宋_GBK" w:hint="eastAsia"/>
          <w:sz w:val="32"/>
          <w:szCs w:val="32"/>
          <w:shd w:val="clear" w:color="auto" w:fill="FFFFFF"/>
        </w:rPr>
        <w:t xml:space="preserve">。 </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4、职责</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4.1安全监管职能部门（安全管理部、工程管理部、智能交</w:t>
      </w:r>
      <w:r>
        <w:rPr>
          <w:rFonts w:ascii="方正仿宋_GBK" w:eastAsia="方正仿宋_GBK" w:hAnsi="方正仿宋_GBK" w:cs="方正仿宋_GBK" w:hint="eastAsia"/>
          <w:sz w:val="32"/>
          <w:szCs w:val="32"/>
        </w:rPr>
        <w:lastRenderedPageBreak/>
        <w:t>通研发中心等职能部门包括项目部、维护管理中心）是安全生产的违约处理的执行部门，具体负责对违约处理。</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4.2违约处理人员：机电站站长、中心专职兼职安全管理人员、中心负责人、项目部负责人、安全负责人、技术负责人。</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4.3施工单位必须严格执行国家、行业、主管部门、发包人安全生产相关规定，管好项目相关作业人员，如被发现违约行为，则按本文规定接受相应的违约金处理。</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5、履约保证金交纳</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承包人在与公司签订施工、维护、服务合同后，按合同约定交纳履约保证金，如未交纳履约保证金或履约保证金不足的，则违约处理在项目结算时扣减。</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6、违约处理标准</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6.1承包人必须重视安全生产，严格按照施工安全规范制订符合本工程实际的施工安全技术方案和安全保证措施，若在项目实施工程中未按审批后的技术方案和保证措施执行的，将处以1000元/次的违约金。</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6.2施工单位须建立安全管理机构或设置安全管理人员，明确责任，安全管理人员必须到岗，否则，将处以1000元/次的违约金。</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6.3发包人将开展各种形式的安全检查，对施工现场有安全隐患的，要立即整改；对现场已发现的安全隐患不及时排除</w:t>
      </w:r>
      <w:r>
        <w:rPr>
          <w:rFonts w:ascii="方正仿宋_GBK" w:eastAsia="方正仿宋_GBK" w:hAnsi="方正仿宋_GBK" w:cs="方正仿宋_GBK" w:hint="eastAsia"/>
          <w:sz w:val="32"/>
          <w:szCs w:val="32"/>
        </w:rPr>
        <w:lastRenderedPageBreak/>
        <w:t>或不采取必要的防护措施的，则处以施工单位500～2000（元/次）的违约金；承包人要对安全</w:t>
      </w:r>
      <w:proofErr w:type="gramStart"/>
      <w:r>
        <w:rPr>
          <w:rFonts w:ascii="方正仿宋_GBK" w:eastAsia="方正仿宋_GBK" w:hAnsi="方正仿宋_GBK" w:cs="方正仿宋_GBK" w:hint="eastAsia"/>
          <w:sz w:val="32"/>
          <w:szCs w:val="32"/>
        </w:rPr>
        <w:t>隐患要零容忍</w:t>
      </w:r>
      <w:proofErr w:type="gramEnd"/>
      <w:r>
        <w:rPr>
          <w:rFonts w:ascii="方正仿宋_GBK" w:eastAsia="方正仿宋_GBK" w:hAnsi="方正仿宋_GBK" w:cs="方正仿宋_GBK" w:hint="eastAsia"/>
          <w:sz w:val="32"/>
          <w:szCs w:val="32"/>
        </w:rPr>
        <w:t>，对隐患整改做到“五落实”。</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6.4承包人发生安全生产责任事故的，除接受有关主管部门的处罚外，同时按照安全生产责任事故认定大小，并接受发包人处以合同金额的10%-30%的违约处理。同时承包人应自行承担事故责任，发包人由此承担了责任的，有权向承包人追偿。</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6.5施工现场必须有明显的各种安全标识及安全保护措施，</w:t>
      </w:r>
      <w:proofErr w:type="gramStart"/>
      <w:r>
        <w:rPr>
          <w:rFonts w:ascii="方正仿宋_GBK" w:eastAsia="方正仿宋_GBK" w:hAnsi="方正仿宋_GBK" w:cs="方正仿宋_GBK" w:hint="eastAsia"/>
          <w:sz w:val="32"/>
          <w:szCs w:val="32"/>
        </w:rPr>
        <w:t>涉路作业</w:t>
      </w:r>
      <w:proofErr w:type="gramEnd"/>
      <w:r>
        <w:rPr>
          <w:rFonts w:ascii="方正仿宋_GBK" w:eastAsia="方正仿宋_GBK" w:hAnsi="方正仿宋_GBK" w:cs="方正仿宋_GBK" w:hint="eastAsia"/>
          <w:sz w:val="32"/>
          <w:szCs w:val="32"/>
        </w:rPr>
        <w:t>必须按照《公路养护安全作业规程》（JTG H30-2015）进行交通组织，否则，处以承包人每处1000元/次违约金。</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6.6承包人必须文明施工，施工现场整齐规范，无乱堆乱放，由于生产、生活原因</w:t>
      </w:r>
      <w:proofErr w:type="gramStart"/>
      <w:r>
        <w:rPr>
          <w:rFonts w:ascii="方正仿宋_GBK" w:eastAsia="方正仿宋_GBK" w:hAnsi="方正仿宋_GBK" w:cs="方正仿宋_GBK" w:hint="eastAsia"/>
          <w:sz w:val="32"/>
          <w:szCs w:val="32"/>
        </w:rPr>
        <w:t>破坏生态环境</w:t>
      </w:r>
      <w:proofErr w:type="gramEnd"/>
      <w:r>
        <w:rPr>
          <w:rFonts w:ascii="方正仿宋_GBK" w:eastAsia="方正仿宋_GBK" w:hAnsi="方正仿宋_GBK" w:cs="方正仿宋_GBK" w:hint="eastAsia"/>
          <w:sz w:val="32"/>
          <w:szCs w:val="32"/>
        </w:rPr>
        <w:t>，每处违约金 500元/次，并限期整改。</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6.7特种工作人员，无证上岗的，则处以施工单位500元/人的违约金，并责令更换无证人员。</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6.8未参加岗前培训或未购买保险的作业人员从事养护施工作业，则处以施工单位500元/人的违约金，并责令更换人员。</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6.9施工单位或施工现场有如下情况之一者，每人每次处以</w:t>
      </w:r>
      <w:r>
        <w:rPr>
          <w:rFonts w:ascii="方正仿宋_GBK" w:eastAsia="方正仿宋_GBK" w:hAnsi="方正仿宋_GBK" w:cs="方正仿宋_GBK" w:hint="eastAsia"/>
          <w:sz w:val="32"/>
          <w:szCs w:val="32"/>
        </w:rPr>
        <w:lastRenderedPageBreak/>
        <w:t>违约金500～2000元：</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6.9.1违章指挥，强令施工人员违章作业者。</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6.9.2不遵守安全生产技术操作规程。</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6.9.3</w:t>
      </w:r>
      <w:proofErr w:type="gramStart"/>
      <w:r>
        <w:rPr>
          <w:rFonts w:ascii="方正仿宋_GBK" w:eastAsia="方正仿宋_GBK" w:hAnsi="方正仿宋_GBK" w:cs="方正仿宋_GBK" w:hint="eastAsia"/>
          <w:sz w:val="32"/>
          <w:szCs w:val="32"/>
        </w:rPr>
        <w:t>发现事故隐患</w:t>
      </w:r>
      <w:proofErr w:type="gramEnd"/>
      <w:r>
        <w:rPr>
          <w:rFonts w:ascii="方正仿宋_GBK" w:eastAsia="方正仿宋_GBK" w:hAnsi="方正仿宋_GBK" w:cs="方正仿宋_GBK" w:hint="eastAsia"/>
          <w:sz w:val="32"/>
          <w:szCs w:val="32"/>
        </w:rPr>
        <w:t>苗头，未采取积极有效措施及时整改者。 6.9.4</w:t>
      </w:r>
      <w:proofErr w:type="gramStart"/>
      <w:r>
        <w:rPr>
          <w:rFonts w:ascii="方正仿宋_GBK" w:eastAsia="方正仿宋_GBK" w:hAnsi="方正仿宋_GBK" w:cs="方正仿宋_GBK" w:hint="eastAsia"/>
          <w:sz w:val="32"/>
          <w:szCs w:val="32"/>
        </w:rPr>
        <w:t>发生事故隐患</w:t>
      </w:r>
      <w:proofErr w:type="gramEnd"/>
      <w:r>
        <w:rPr>
          <w:rFonts w:ascii="方正仿宋_GBK" w:eastAsia="方正仿宋_GBK" w:hAnsi="方正仿宋_GBK" w:cs="方正仿宋_GBK" w:hint="eastAsia"/>
          <w:sz w:val="32"/>
          <w:szCs w:val="32"/>
        </w:rPr>
        <w:t>不报告，或隐瞒事故真相，或未保护好事故现场者。</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6.9.5使用安全生产用品不</w:t>
      </w:r>
      <w:proofErr w:type="gramStart"/>
      <w:r>
        <w:rPr>
          <w:rFonts w:ascii="方正仿宋_GBK" w:eastAsia="方正仿宋_GBK" w:hAnsi="方正仿宋_GBK" w:cs="方正仿宋_GBK" w:hint="eastAsia"/>
          <w:sz w:val="32"/>
          <w:szCs w:val="32"/>
        </w:rPr>
        <w:t>符合使用质量</w:t>
      </w:r>
      <w:proofErr w:type="gramEnd"/>
      <w:r>
        <w:rPr>
          <w:rFonts w:ascii="方正仿宋_GBK" w:eastAsia="方正仿宋_GBK" w:hAnsi="方正仿宋_GBK" w:cs="方正仿宋_GBK" w:hint="eastAsia"/>
          <w:sz w:val="32"/>
          <w:szCs w:val="32"/>
        </w:rPr>
        <w:t>要求者。</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6.9.6未配带安全防护器具者。</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6.9.7在未摆放安全</w:t>
      </w:r>
      <w:proofErr w:type="gramStart"/>
      <w:r>
        <w:rPr>
          <w:rFonts w:ascii="方正仿宋_GBK" w:eastAsia="方正仿宋_GBK" w:hAnsi="方正仿宋_GBK" w:cs="方正仿宋_GBK" w:hint="eastAsia"/>
          <w:sz w:val="32"/>
          <w:szCs w:val="32"/>
        </w:rPr>
        <w:t>锥标情况</w:t>
      </w:r>
      <w:proofErr w:type="gramEnd"/>
      <w:r>
        <w:rPr>
          <w:rFonts w:ascii="方正仿宋_GBK" w:eastAsia="方正仿宋_GBK" w:hAnsi="方正仿宋_GBK" w:cs="方正仿宋_GBK" w:hint="eastAsia"/>
          <w:sz w:val="32"/>
          <w:szCs w:val="32"/>
        </w:rPr>
        <w:t>下在紧急停车带内临时停车作业、较长时间停车情况下车内留人。</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6.9.8在6级以上大风天气开展高处作业、吊装作业和能见度&lt;50米的气候条件下室外作业。</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6.9.9在通车的道路内采用攀登脚手架、井字架、龙门架进行高处移动作业。</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6.9.10开展高压外线巡检、供配电维护、高位水池检查等作业，未按要求监护的。</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6.9.11施工单位未按规定办理相关施工手或施工手续不全、施工作业范围</w:t>
      </w:r>
      <w:proofErr w:type="gramStart"/>
      <w:r>
        <w:rPr>
          <w:rFonts w:ascii="方正仿宋_GBK" w:eastAsia="方正仿宋_GBK" w:hAnsi="方正仿宋_GBK" w:cs="方正仿宋_GBK" w:hint="eastAsia"/>
          <w:sz w:val="32"/>
          <w:szCs w:val="32"/>
        </w:rPr>
        <w:t>不在审批</w:t>
      </w:r>
      <w:proofErr w:type="gramEnd"/>
      <w:r>
        <w:rPr>
          <w:rFonts w:ascii="方正仿宋_GBK" w:eastAsia="方正仿宋_GBK" w:hAnsi="方正仿宋_GBK" w:cs="方正仿宋_GBK" w:hint="eastAsia"/>
          <w:sz w:val="32"/>
          <w:szCs w:val="32"/>
        </w:rPr>
        <w:t>的手续范围内、擅自施工或未在维护中心、机电站报备的。</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7、违约处理程序</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7.1违约发现：</w:t>
      </w:r>
    </w:p>
    <w:p w:rsidR="00E023A1" w:rsidRDefault="009E1D89">
      <w:pPr>
        <w:spacing w:line="64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违约监督人员在履行发包人的监督检查工作中，发现承包人有违约行为，</w:t>
      </w:r>
      <w:proofErr w:type="gramStart"/>
      <w:r>
        <w:rPr>
          <w:rFonts w:ascii="方正仿宋_GBK" w:eastAsia="方正仿宋_GBK" w:hAnsi="方正仿宋_GBK" w:cs="方正仿宋_GBK" w:hint="eastAsia"/>
          <w:sz w:val="32"/>
          <w:szCs w:val="32"/>
        </w:rPr>
        <w:t>应现场</w:t>
      </w:r>
      <w:proofErr w:type="gramEnd"/>
      <w:r>
        <w:rPr>
          <w:rFonts w:ascii="方正仿宋_GBK" w:eastAsia="方正仿宋_GBK" w:hAnsi="方正仿宋_GBK" w:cs="方正仿宋_GBK" w:hint="eastAsia"/>
          <w:sz w:val="32"/>
          <w:szCs w:val="32"/>
        </w:rPr>
        <w:t>及时制止、纠正、整改承包人的违约行为，作好记录，让承包人现场人员确认。</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7.2违约处理：</w:t>
      </w:r>
    </w:p>
    <w:p w:rsidR="00E023A1" w:rsidRDefault="009E1D89">
      <w:pPr>
        <w:spacing w:line="64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具有处理权限人员根据监督人员记录的承包人违约行为，按本文件规定</w:t>
      </w:r>
      <w:proofErr w:type="gramStart"/>
      <w:r>
        <w:rPr>
          <w:rFonts w:ascii="方正仿宋_GBK" w:eastAsia="方正仿宋_GBK" w:hAnsi="方正仿宋_GBK" w:cs="方正仿宋_GBK" w:hint="eastAsia"/>
          <w:sz w:val="32"/>
          <w:szCs w:val="32"/>
        </w:rPr>
        <w:t>作出</w:t>
      </w:r>
      <w:proofErr w:type="gramEnd"/>
      <w:r>
        <w:rPr>
          <w:rFonts w:ascii="方正仿宋_GBK" w:eastAsia="方正仿宋_GBK" w:hAnsi="方正仿宋_GBK" w:cs="方正仿宋_GBK" w:hint="eastAsia"/>
          <w:sz w:val="32"/>
          <w:szCs w:val="32"/>
        </w:rPr>
        <w:t>处理决定，填写《违约处理通知书》，与《监督检查记录表》一并交职能部门，由职能部门最终确认。</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7.3违约处理的执行：</w:t>
      </w:r>
    </w:p>
    <w:p w:rsidR="00E023A1" w:rsidRDefault="009E1D89">
      <w:pPr>
        <w:spacing w:line="64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承包人的项目完工后，在履约保障金在退还时，发包人（工程管理部、智能交通研发中心）根据承包人在该项目实施过程中所获得的《违约处理通知书》计算累计处理金额，并在履约保障金中扣除，未缴纳履约保证金或履约保证金不足的，在结算支付款中扣除。</w:t>
      </w:r>
    </w:p>
    <w:p w:rsidR="00E023A1" w:rsidRDefault="009E1D89">
      <w:pPr>
        <w:numPr>
          <w:ilvl w:val="255"/>
          <w:numId w:val="0"/>
        </w:num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8、相关记录：</w:t>
      </w:r>
    </w:p>
    <w:p w:rsidR="00E023A1" w:rsidRDefault="009E1D89">
      <w:pPr>
        <w:spacing w:line="64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《监督检查记录表》</w:t>
      </w:r>
    </w:p>
    <w:p w:rsidR="00E023A1" w:rsidRDefault="009E1D89">
      <w:pPr>
        <w:spacing w:line="64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《违约处理通知书》</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9、其它</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9.1本规定在使用过程中，应结合发包人实施的各项管理办法及规章制度等执行。</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9.2本规定对合同协议双方当事人具有约束力。若出现违约，</w:t>
      </w:r>
      <w:r>
        <w:rPr>
          <w:rFonts w:ascii="方正仿宋_GBK" w:eastAsia="方正仿宋_GBK" w:hAnsi="方正仿宋_GBK" w:cs="方正仿宋_GBK" w:hint="eastAsia"/>
          <w:sz w:val="32"/>
          <w:szCs w:val="32"/>
        </w:rPr>
        <w:lastRenderedPageBreak/>
        <w:t>须严格按以上规定进行违约处理，对严重违约或不履约者，或有以上违约行为超过  次的，发包人有权解除合同，并有权要求其赔偿损失。</w:t>
      </w:r>
    </w:p>
    <w:p w:rsidR="00E023A1" w:rsidRDefault="009E1D89">
      <w:pPr>
        <w:spacing w:line="64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9.3本办法未尽事宜由发包人在过程中另行补充完善和约定执行。</w:t>
      </w:r>
    </w:p>
    <w:p w:rsidR="00E023A1" w:rsidRDefault="00E023A1">
      <w:pPr>
        <w:spacing w:line="360" w:lineRule="auto"/>
        <w:rPr>
          <w:rFonts w:ascii="仿宋_GB2312" w:eastAsia="仿宋_GB2312"/>
          <w:sz w:val="32"/>
          <w:szCs w:val="32"/>
        </w:rPr>
      </w:pPr>
    </w:p>
    <w:p w:rsidR="00E023A1" w:rsidRDefault="00E023A1">
      <w:pPr>
        <w:spacing w:line="360" w:lineRule="auto"/>
        <w:rPr>
          <w:rFonts w:ascii="方正仿宋_GBK" w:eastAsia="方正仿宋_GBK" w:hAnsi="方正仿宋_GBK" w:cs="方正仿宋_GBK"/>
          <w:b/>
          <w:bCs/>
          <w:sz w:val="32"/>
          <w:szCs w:val="32"/>
        </w:rPr>
      </w:pPr>
    </w:p>
    <w:p w:rsidR="00CA0B22" w:rsidRDefault="00CA0B22">
      <w:pPr>
        <w:spacing w:line="360" w:lineRule="auto"/>
        <w:rPr>
          <w:rFonts w:ascii="仿宋_GB2312" w:eastAsia="仿宋_GB2312"/>
          <w:sz w:val="32"/>
          <w:szCs w:val="32"/>
        </w:rPr>
      </w:pPr>
    </w:p>
    <w:p w:rsidR="00CA0B22" w:rsidRDefault="00CA0B22">
      <w:pPr>
        <w:spacing w:line="360" w:lineRule="auto"/>
        <w:rPr>
          <w:rFonts w:ascii="仿宋_GB2312" w:eastAsia="仿宋_GB2312"/>
          <w:sz w:val="32"/>
          <w:szCs w:val="32"/>
        </w:rPr>
      </w:pPr>
    </w:p>
    <w:p w:rsidR="00CA0B22" w:rsidRDefault="00CA0B22">
      <w:pPr>
        <w:spacing w:line="360" w:lineRule="auto"/>
        <w:rPr>
          <w:rFonts w:ascii="仿宋_GB2312" w:eastAsia="仿宋_GB2312"/>
          <w:sz w:val="32"/>
          <w:szCs w:val="32"/>
        </w:rPr>
      </w:pPr>
    </w:p>
    <w:p w:rsidR="00CA0B22" w:rsidRDefault="00CA0B22">
      <w:pPr>
        <w:spacing w:line="360" w:lineRule="auto"/>
        <w:rPr>
          <w:rFonts w:ascii="仿宋_GB2312" w:eastAsia="仿宋_GB2312"/>
          <w:sz w:val="32"/>
          <w:szCs w:val="32"/>
        </w:rPr>
      </w:pPr>
    </w:p>
    <w:p w:rsidR="00CA0B22" w:rsidRDefault="00CA0B22">
      <w:pPr>
        <w:spacing w:line="360" w:lineRule="auto"/>
        <w:rPr>
          <w:rFonts w:ascii="仿宋_GB2312" w:eastAsia="仿宋_GB2312"/>
          <w:sz w:val="32"/>
          <w:szCs w:val="32"/>
        </w:rPr>
      </w:pPr>
    </w:p>
    <w:p w:rsidR="00CA0B22" w:rsidRDefault="00CA0B22">
      <w:pPr>
        <w:spacing w:line="360" w:lineRule="auto"/>
        <w:rPr>
          <w:rFonts w:ascii="仿宋_GB2312" w:eastAsia="仿宋_GB2312"/>
          <w:sz w:val="32"/>
          <w:szCs w:val="32"/>
        </w:rPr>
      </w:pPr>
    </w:p>
    <w:p w:rsidR="00CA0B22" w:rsidRDefault="00CA0B22">
      <w:pPr>
        <w:spacing w:line="360" w:lineRule="auto"/>
        <w:rPr>
          <w:rFonts w:ascii="仿宋_GB2312" w:eastAsia="仿宋_GB2312"/>
          <w:sz w:val="32"/>
          <w:szCs w:val="32"/>
        </w:rPr>
      </w:pPr>
    </w:p>
    <w:p w:rsidR="00CA0B22" w:rsidRDefault="00CA0B22">
      <w:pPr>
        <w:spacing w:line="360" w:lineRule="auto"/>
        <w:rPr>
          <w:rFonts w:ascii="仿宋_GB2312" w:eastAsia="仿宋_GB2312" w:hint="eastAsia"/>
          <w:sz w:val="32"/>
          <w:szCs w:val="32"/>
        </w:rPr>
      </w:pPr>
      <w:bookmarkStart w:id="2" w:name="_GoBack"/>
      <w:bookmarkEnd w:id="2"/>
    </w:p>
    <w:p w:rsidR="00E023A1" w:rsidRDefault="00E023A1">
      <w:pPr>
        <w:spacing w:line="360" w:lineRule="auto"/>
        <w:rPr>
          <w:rFonts w:ascii="仿宋_GB2312" w:eastAsia="仿宋_GB2312"/>
          <w:sz w:val="32"/>
          <w:szCs w:val="32"/>
        </w:rPr>
      </w:pPr>
    </w:p>
    <w:p w:rsidR="00E023A1" w:rsidRDefault="00E023A1">
      <w:pPr>
        <w:spacing w:line="360" w:lineRule="auto"/>
        <w:rPr>
          <w:rFonts w:ascii="仿宋_GB2312" w:eastAsia="仿宋_GB2312"/>
          <w:sz w:val="32"/>
          <w:szCs w:val="32"/>
        </w:rPr>
      </w:pPr>
    </w:p>
    <w:p w:rsidR="00E023A1" w:rsidRDefault="00E023A1">
      <w:pPr>
        <w:spacing w:line="360" w:lineRule="auto"/>
        <w:rPr>
          <w:rFonts w:ascii="仿宋_GB2312" w:eastAsia="仿宋_GB2312"/>
          <w:sz w:val="32"/>
          <w:szCs w:val="32"/>
        </w:rPr>
      </w:pPr>
    </w:p>
    <w:p w:rsidR="00E023A1" w:rsidRDefault="00E023A1">
      <w:pPr>
        <w:spacing w:line="360" w:lineRule="auto"/>
        <w:rPr>
          <w:rFonts w:ascii="仿宋_GB2312" w:eastAsia="仿宋_GB2312"/>
          <w:sz w:val="32"/>
          <w:szCs w:val="32"/>
        </w:rPr>
      </w:pPr>
    </w:p>
    <w:p w:rsidR="00E023A1" w:rsidRDefault="00E023A1">
      <w:pPr>
        <w:spacing w:line="360" w:lineRule="auto"/>
        <w:rPr>
          <w:rFonts w:ascii="仿宋_GB2312" w:eastAsia="仿宋_GB2312"/>
          <w:sz w:val="32"/>
          <w:szCs w:val="32"/>
        </w:rPr>
      </w:pPr>
    </w:p>
    <w:p w:rsidR="00E023A1" w:rsidRDefault="00E023A1">
      <w:pPr>
        <w:spacing w:line="360" w:lineRule="auto"/>
        <w:rPr>
          <w:rFonts w:ascii="仿宋_GB2312" w:eastAsia="仿宋_GB2312"/>
          <w:sz w:val="32"/>
          <w:szCs w:val="32"/>
        </w:rPr>
      </w:pPr>
    </w:p>
    <w:p w:rsidR="00E023A1" w:rsidRDefault="00E023A1">
      <w:pPr>
        <w:spacing w:line="360" w:lineRule="auto"/>
        <w:rPr>
          <w:rFonts w:ascii="仿宋_GB2312" w:eastAsia="仿宋_GB2312"/>
          <w:sz w:val="32"/>
          <w:szCs w:val="32"/>
        </w:rPr>
      </w:pPr>
    </w:p>
    <w:p w:rsidR="00E023A1" w:rsidRDefault="009E1D89">
      <w:pPr>
        <w:spacing w:line="360" w:lineRule="auto"/>
        <w:rPr>
          <w:rFonts w:ascii="仿宋_GB2312" w:eastAsia="仿宋_GB2312"/>
          <w:sz w:val="24"/>
        </w:rPr>
      </w:pPr>
      <w:r>
        <w:rPr>
          <w:rFonts w:ascii="仿宋_GB2312" w:eastAsia="仿宋_GB2312" w:hint="eastAsia"/>
          <w:sz w:val="24"/>
        </w:rPr>
        <w:lastRenderedPageBreak/>
        <w:t>附：《处理通知书》</w:t>
      </w:r>
    </w:p>
    <w:p w:rsidR="00E023A1" w:rsidRDefault="009E1D89">
      <w:pPr>
        <w:spacing w:line="360" w:lineRule="auto"/>
        <w:jc w:val="center"/>
        <w:rPr>
          <w:rFonts w:ascii="仿宋_GB2312" w:eastAsia="仿宋_GB2312"/>
          <w:sz w:val="24"/>
        </w:rPr>
      </w:pPr>
      <w:r>
        <w:rPr>
          <w:rFonts w:ascii="仿宋_GB2312" w:eastAsia="仿宋_GB2312" w:hint="eastAsia"/>
          <w:noProof/>
          <w:sz w:val="24"/>
        </w:rPr>
        <w:drawing>
          <wp:inline distT="0" distB="0" distL="114300" distR="114300">
            <wp:extent cx="5247640" cy="365125"/>
            <wp:effectExtent l="0" t="0" r="10160" b="15875"/>
            <wp:docPr id="5" name="图片 5" descr="规范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规范LOGO"/>
                    <pic:cNvPicPr>
                      <a:picLocks noChangeAspect="1"/>
                    </pic:cNvPicPr>
                  </pic:nvPicPr>
                  <pic:blipFill>
                    <a:blip r:embed="rId8"/>
                    <a:stretch>
                      <a:fillRect/>
                    </a:stretch>
                  </pic:blipFill>
                  <pic:spPr>
                    <a:xfrm>
                      <a:off x="0" y="0"/>
                      <a:ext cx="5247640" cy="365125"/>
                    </a:xfrm>
                    <a:prstGeom prst="rect">
                      <a:avLst/>
                    </a:prstGeom>
                  </pic:spPr>
                </pic:pic>
              </a:graphicData>
            </a:graphic>
          </wp:inline>
        </w:drawing>
      </w:r>
    </w:p>
    <w:p w:rsidR="00E023A1" w:rsidRDefault="009E1D89">
      <w:pPr>
        <w:spacing w:line="360" w:lineRule="auto"/>
        <w:jc w:val="center"/>
        <w:rPr>
          <w:rFonts w:ascii="黑体" w:eastAsia="黑体" w:hAnsi="黑体" w:cs="黑体"/>
          <w:b/>
          <w:bCs/>
          <w:sz w:val="44"/>
          <w:szCs w:val="44"/>
        </w:rPr>
      </w:pPr>
      <w:r>
        <w:rPr>
          <w:rFonts w:ascii="黑体" w:eastAsia="黑体" w:hAnsi="黑体" w:cs="黑体" w:hint="eastAsia"/>
          <w:b/>
          <w:bCs/>
          <w:sz w:val="44"/>
          <w:szCs w:val="44"/>
        </w:rPr>
        <w:t>违约处理通知书</w:t>
      </w:r>
    </w:p>
    <w:p w:rsidR="00E023A1" w:rsidRDefault="009E1D89">
      <w:pPr>
        <w:snapToGrid w:val="0"/>
        <w:rPr>
          <w:rFonts w:ascii="仿宋_GB2312" w:eastAsia="仿宋_GB2312"/>
          <w:sz w:val="28"/>
          <w:szCs w:val="28"/>
        </w:rPr>
      </w:pPr>
      <w:r>
        <w:rPr>
          <w:rFonts w:ascii="仿宋_GB2312" w:eastAsia="仿宋_GB2312" w:hint="eastAsia"/>
          <w:sz w:val="28"/>
          <w:szCs w:val="28"/>
        </w:rPr>
        <w:t>编号：</w:t>
      </w:r>
    </w:p>
    <w:tbl>
      <w:tblPr>
        <w:tblpPr w:leftFromText="180" w:rightFromText="180" w:vertAnchor="text" w:horzAnchor="page" w:tblpXSpec="center" w:tblpY="133"/>
        <w:tblW w:w="8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090"/>
        <w:gridCol w:w="6389"/>
      </w:tblGrid>
      <w:tr w:rsidR="00E023A1" w:rsidTr="00B05359">
        <w:trPr>
          <w:cantSplit/>
          <w:trHeight w:val="510"/>
          <w:jc w:val="center"/>
        </w:trPr>
        <w:tc>
          <w:tcPr>
            <w:tcW w:w="2090" w:type="dxa"/>
            <w:vAlign w:val="center"/>
          </w:tcPr>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受处理单位名称</w:t>
            </w:r>
          </w:p>
        </w:tc>
        <w:tc>
          <w:tcPr>
            <w:tcW w:w="6389" w:type="dxa"/>
          </w:tcPr>
          <w:p w:rsidR="00E023A1" w:rsidRDefault="00E023A1">
            <w:pPr>
              <w:spacing w:line="360" w:lineRule="auto"/>
              <w:ind w:firstLineChars="200" w:firstLine="560"/>
              <w:rPr>
                <w:rFonts w:ascii="仿宋_GB2312" w:eastAsia="仿宋_GB2312"/>
                <w:sz w:val="28"/>
                <w:szCs w:val="28"/>
              </w:rPr>
            </w:pPr>
          </w:p>
        </w:tc>
      </w:tr>
      <w:tr w:rsidR="00E023A1" w:rsidTr="00B05359">
        <w:trPr>
          <w:cantSplit/>
          <w:trHeight w:val="564"/>
          <w:jc w:val="center"/>
        </w:trPr>
        <w:tc>
          <w:tcPr>
            <w:tcW w:w="2090" w:type="dxa"/>
            <w:vAlign w:val="center"/>
          </w:tcPr>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施工项目名称</w:t>
            </w:r>
          </w:p>
        </w:tc>
        <w:tc>
          <w:tcPr>
            <w:tcW w:w="6389" w:type="dxa"/>
          </w:tcPr>
          <w:p w:rsidR="00E023A1" w:rsidRDefault="00E023A1">
            <w:pPr>
              <w:spacing w:line="360" w:lineRule="auto"/>
              <w:ind w:firstLineChars="200" w:firstLine="560"/>
              <w:rPr>
                <w:rFonts w:ascii="仿宋_GB2312" w:eastAsia="仿宋_GB2312"/>
                <w:sz w:val="28"/>
                <w:szCs w:val="28"/>
              </w:rPr>
            </w:pPr>
          </w:p>
        </w:tc>
      </w:tr>
      <w:tr w:rsidR="00E023A1" w:rsidTr="00B05359">
        <w:trPr>
          <w:cantSplit/>
          <w:trHeight w:val="510"/>
          <w:jc w:val="center"/>
        </w:trPr>
        <w:tc>
          <w:tcPr>
            <w:tcW w:w="2090" w:type="dxa"/>
            <w:vAlign w:val="center"/>
          </w:tcPr>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违章地点</w:t>
            </w:r>
          </w:p>
        </w:tc>
        <w:tc>
          <w:tcPr>
            <w:tcW w:w="6389" w:type="dxa"/>
          </w:tcPr>
          <w:p w:rsidR="00E023A1" w:rsidRDefault="00E023A1">
            <w:pPr>
              <w:spacing w:line="360" w:lineRule="auto"/>
              <w:ind w:firstLineChars="200" w:firstLine="560"/>
              <w:rPr>
                <w:rFonts w:ascii="仿宋_GB2312" w:eastAsia="仿宋_GB2312"/>
                <w:sz w:val="28"/>
                <w:szCs w:val="28"/>
              </w:rPr>
            </w:pPr>
          </w:p>
        </w:tc>
      </w:tr>
      <w:tr w:rsidR="00E023A1" w:rsidTr="00B05359">
        <w:trPr>
          <w:cantSplit/>
          <w:trHeight w:val="1356"/>
          <w:jc w:val="center"/>
        </w:trPr>
        <w:tc>
          <w:tcPr>
            <w:tcW w:w="2090" w:type="dxa"/>
            <w:vAlign w:val="center"/>
          </w:tcPr>
          <w:p w:rsidR="00E023A1" w:rsidRDefault="00E023A1">
            <w:pPr>
              <w:spacing w:line="360" w:lineRule="auto"/>
              <w:ind w:firstLineChars="200" w:firstLine="560"/>
              <w:jc w:val="center"/>
              <w:rPr>
                <w:rFonts w:ascii="仿宋_GB2312" w:eastAsia="仿宋_GB2312"/>
                <w:sz w:val="28"/>
                <w:szCs w:val="28"/>
              </w:rPr>
            </w:pPr>
          </w:p>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处理原因</w:t>
            </w:r>
          </w:p>
          <w:p w:rsidR="00E023A1" w:rsidRDefault="00E023A1">
            <w:pPr>
              <w:spacing w:line="360" w:lineRule="auto"/>
              <w:ind w:firstLineChars="200" w:firstLine="560"/>
              <w:jc w:val="center"/>
              <w:rPr>
                <w:rFonts w:ascii="仿宋_GB2312" w:eastAsia="仿宋_GB2312"/>
                <w:sz w:val="28"/>
                <w:szCs w:val="28"/>
              </w:rPr>
            </w:pPr>
          </w:p>
        </w:tc>
        <w:tc>
          <w:tcPr>
            <w:tcW w:w="6389" w:type="dxa"/>
          </w:tcPr>
          <w:p w:rsidR="00E023A1" w:rsidRDefault="00E023A1">
            <w:pPr>
              <w:spacing w:line="360" w:lineRule="auto"/>
              <w:ind w:firstLineChars="200" w:firstLine="560"/>
              <w:rPr>
                <w:rFonts w:ascii="仿宋_GB2312" w:eastAsia="仿宋_GB2312"/>
                <w:sz w:val="28"/>
                <w:szCs w:val="28"/>
              </w:rPr>
            </w:pPr>
          </w:p>
          <w:p w:rsidR="00E023A1" w:rsidRDefault="00E023A1">
            <w:pPr>
              <w:spacing w:line="360" w:lineRule="auto"/>
              <w:ind w:firstLineChars="200" w:firstLine="560"/>
              <w:rPr>
                <w:rFonts w:ascii="仿宋_GB2312" w:eastAsia="仿宋_GB2312"/>
                <w:sz w:val="28"/>
                <w:szCs w:val="28"/>
              </w:rPr>
            </w:pPr>
          </w:p>
        </w:tc>
      </w:tr>
      <w:tr w:rsidR="00E023A1" w:rsidTr="00B05359">
        <w:trPr>
          <w:trHeight w:val="1204"/>
          <w:jc w:val="center"/>
        </w:trPr>
        <w:tc>
          <w:tcPr>
            <w:tcW w:w="2090" w:type="dxa"/>
            <w:vAlign w:val="center"/>
          </w:tcPr>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处理依据</w:t>
            </w:r>
          </w:p>
        </w:tc>
        <w:tc>
          <w:tcPr>
            <w:tcW w:w="6389" w:type="dxa"/>
          </w:tcPr>
          <w:p w:rsidR="00E023A1" w:rsidRDefault="00E023A1">
            <w:pPr>
              <w:spacing w:line="360" w:lineRule="auto"/>
              <w:ind w:firstLineChars="200" w:firstLine="560"/>
              <w:rPr>
                <w:rFonts w:ascii="仿宋_GB2312" w:eastAsia="仿宋_GB2312"/>
                <w:sz w:val="28"/>
                <w:szCs w:val="28"/>
              </w:rPr>
            </w:pPr>
          </w:p>
          <w:p w:rsidR="00E023A1" w:rsidRDefault="00E023A1">
            <w:pPr>
              <w:spacing w:line="360" w:lineRule="auto"/>
              <w:ind w:firstLineChars="200" w:firstLine="560"/>
              <w:rPr>
                <w:rFonts w:ascii="仿宋_GB2312" w:eastAsia="仿宋_GB2312"/>
                <w:sz w:val="28"/>
                <w:szCs w:val="28"/>
              </w:rPr>
            </w:pPr>
          </w:p>
        </w:tc>
      </w:tr>
      <w:tr w:rsidR="00E023A1" w:rsidTr="00B05359">
        <w:trPr>
          <w:trHeight w:val="905"/>
          <w:jc w:val="center"/>
        </w:trPr>
        <w:tc>
          <w:tcPr>
            <w:tcW w:w="2090" w:type="dxa"/>
            <w:vAlign w:val="center"/>
          </w:tcPr>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处理决定</w:t>
            </w:r>
          </w:p>
        </w:tc>
        <w:tc>
          <w:tcPr>
            <w:tcW w:w="6389" w:type="dxa"/>
          </w:tcPr>
          <w:p w:rsidR="00E023A1" w:rsidRDefault="00E023A1">
            <w:pPr>
              <w:spacing w:line="360" w:lineRule="auto"/>
              <w:ind w:firstLineChars="200" w:firstLine="560"/>
              <w:rPr>
                <w:rFonts w:ascii="仿宋_GB2312" w:eastAsia="仿宋_GB2312"/>
                <w:sz w:val="28"/>
                <w:szCs w:val="28"/>
              </w:rPr>
            </w:pPr>
          </w:p>
        </w:tc>
      </w:tr>
      <w:tr w:rsidR="00E023A1" w:rsidTr="00B05359">
        <w:trPr>
          <w:trHeight w:val="964"/>
          <w:jc w:val="center"/>
        </w:trPr>
        <w:tc>
          <w:tcPr>
            <w:tcW w:w="2090" w:type="dxa"/>
            <w:vAlign w:val="center"/>
          </w:tcPr>
          <w:p w:rsidR="00E023A1" w:rsidRDefault="009E1D89">
            <w:pPr>
              <w:snapToGrid w:val="0"/>
              <w:jc w:val="center"/>
              <w:rPr>
                <w:rFonts w:ascii="仿宋_GB2312" w:eastAsia="仿宋_GB2312"/>
                <w:sz w:val="28"/>
                <w:szCs w:val="28"/>
              </w:rPr>
            </w:pPr>
            <w:r>
              <w:rPr>
                <w:rFonts w:ascii="仿宋_GB2312" w:eastAsia="仿宋_GB2312" w:hint="eastAsia"/>
                <w:sz w:val="28"/>
                <w:szCs w:val="28"/>
              </w:rPr>
              <w:t>处理违约金</w:t>
            </w:r>
          </w:p>
          <w:p w:rsidR="00E023A1" w:rsidRDefault="009E1D89">
            <w:pPr>
              <w:snapToGrid w:val="0"/>
              <w:jc w:val="center"/>
              <w:rPr>
                <w:rFonts w:ascii="仿宋_GB2312" w:eastAsia="仿宋_GB2312"/>
                <w:sz w:val="28"/>
                <w:szCs w:val="28"/>
              </w:rPr>
            </w:pPr>
            <w:r>
              <w:rPr>
                <w:rFonts w:ascii="仿宋_GB2312" w:eastAsia="仿宋_GB2312" w:hint="eastAsia"/>
                <w:sz w:val="28"/>
                <w:szCs w:val="28"/>
              </w:rPr>
              <w:t>金额</w:t>
            </w:r>
          </w:p>
        </w:tc>
        <w:tc>
          <w:tcPr>
            <w:tcW w:w="6389" w:type="dxa"/>
            <w:vAlign w:val="center"/>
          </w:tcPr>
          <w:p w:rsidR="00E023A1" w:rsidRDefault="009E1D89">
            <w:pPr>
              <w:snapToGrid w:val="0"/>
              <w:ind w:firstLineChars="200" w:firstLine="560"/>
              <w:rPr>
                <w:rFonts w:ascii="仿宋_GB2312" w:eastAsia="仿宋_GB2312"/>
                <w:sz w:val="28"/>
                <w:szCs w:val="28"/>
              </w:rPr>
            </w:pPr>
            <w:r>
              <w:rPr>
                <w:rFonts w:ascii="仿宋_GB2312" w:eastAsia="仿宋_GB2312" w:hint="eastAsia"/>
                <w:sz w:val="28"/>
                <w:szCs w:val="28"/>
              </w:rPr>
              <w:t>人民币大写：            (￥：     元)</w:t>
            </w:r>
          </w:p>
        </w:tc>
      </w:tr>
      <w:tr w:rsidR="00E023A1" w:rsidTr="00B05359">
        <w:trPr>
          <w:cantSplit/>
          <w:trHeight w:val="779"/>
          <w:jc w:val="center"/>
        </w:trPr>
        <w:tc>
          <w:tcPr>
            <w:tcW w:w="2090" w:type="dxa"/>
            <w:vAlign w:val="center"/>
          </w:tcPr>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开单部门</w:t>
            </w:r>
          </w:p>
        </w:tc>
        <w:tc>
          <w:tcPr>
            <w:tcW w:w="6389" w:type="dxa"/>
            <w:vAlign w:val="center"/>
          </w:tcPr>
          <w:p w:rsidR="00E023A1" w:rsidRDefault="00E023A1">
            <w:pPr>
              <w:spacing w:line="360" w:lineRule="auto"/>
              <w:ind w:firstLineChars="200" w:firstLine="560"/>
              <w:rPr>
                <w:rFonts w:ascii="仿宋_GB2312" w:eastAsia="仿宋_GB2312"/>
                <w:sz w:val="28"/>
                <w:szCs w:val="28"/>
              </w:rPr>
            </w:pPr>
          </w:p>
        </w:tc>
      </w:tr>
      <w:tr w:rsidR="00E023A1" w:rsidTr="00B05359">
        <w:trPr>
          <w:cantSplit/>
          <w:trHeight w:val="779"/>
          <w:jc w:val="center"/>
        </w:trPr>
        <w:tc>
          <w:tcPr>
            <w:tcW w:w="2090" w:type="dxa"/>
            <w:vAlign w:val="center"/>
          </w:tcPr>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开单人</w:t>
            </w:r>
          </w:p>
        </w:tc>
        <w:tc>
          <w:tcPr>
            <w:tcW w:w="6389" w:type="dxa"/>
            <w:vAlign w:val="center"/>
          </w:tcPr>
          <w:p w:rsidR="00E023A1" w:rsidRDefault="00E023A1">
            <w:pPr>
              <w:spacing w:line="360" w:lineRule="auto"/>
              <w:rPr>
                <w:rFonts w:ascii="仿宋_GB2312" w:eastAsia="仿宋_GB2312"/>
                <w:sz w:val="28"/>
                <w:szCs w:val="28"/>
              </w:rPr>
            </w:pPr>
          </w:p>
        </w:tc>
      </w:tr>
      <w:tr w:rsidR="00E023A1" w:rsidTr="00B05359">
        <w:trPr>
          <w:cantSplit/>
          <w:trHeight w:val="779"/>
          <w:jc w:val="center"/>
        </w:trPr>
        <w:tc>
          <w:tcPr>
            <w:tcW w:w="2090" w:type="dxa"/>
            <w:vAlign w:val="center"/>
          </w:tcPr>
          <w:p w:rsidR="00E023A1" w:rsidRDefault="009E1D89">
            <w:pPr>
              <w:spacing w:line="360" w:lineRule="auto"/>
              <w:jc w:val="center"/>
              <w:rPr>
                <w:rFonts w:ascii="仿宋_GB2312" w:eastAsia="仿宋_GB2312"/>
                <w:sz w:val="28"/>
                <w:szCs w:val="28"/>
              </w:rPr>
            </w:pPr>
            <w:r>
              <w:rPr>
                <w:rFonts w:ascii="仿宋_GB2312" w:eastAsia="仿宋_GB2312" w:hint="eastAsia"/>
                <w:sz w:val="28"/>
                <w:szCs w:val="28"/>
              </w:rPr>
              <w:t>接收人</w:t>
            </w:r>
          </w:p>
        </w:tc>
        <w:tc>
          <w:tcPr>
            <w:tcW w:w="6389" w:type="dxa"/>
            <w:vAlign w:val="center"/>
          </w:tcPr>
          <w:p w:rsidR="00E023A1" w:rsidRDefault="00E023A1">
            <w:pPr>
              <w:spacing w:line="360" w:lineRule="auto"/>
              <w:rPr>
                <w:rFonts w:ascii="仿宋_GB2312" w:eastAsia="仿宋_GB2312"/>
                <w:sz w:val="28"/>
                <w:szCs w:val="28"/>
              </w:rPr>
            </w:pPr>
          </w:p>
        </w:tc>
      </w:tr>
    </w:tbl>
    <w:p w:rsidR="00E023A1" w:rsidRDefault="009E1D89">
      <w:pPr>
        <w:spacing w:line="360" w:lineRule="auto"/>
        <w:rPr>
          <w:rFonts w:ascii="仿宋_GB2312" w:eastAsia="仿宋_GB2312"/>
          <w:sz w:val="28"/>
          <w:szCs w:val="28"/>
        </w:rPr>
      </w:pPr>
      <w:r>
        <w:rPr>
          <w:rFonts w:ascii="仿宋_GB2312" w:eastAsia="仿宋_GB2312" w:hint="eastAsia"/>
          <w:sz w:val="24"/>
          <w:szCs w:val="24"/>
        </w:rPr>
        <w:t>注：本《违约处理通知书》一式三份，一份交违约施工单位，一份开具违约通知书部门留底，一份交职能部门。</w:t>
      </w:r>
    </w:p>
    <w:p w:rsidR="00E023A1" w:rsidRDefault="00E023A1"/>
    <w:sectPr w:rsidR="00E023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DAD" w:rsidRDefault="006E3DAD" w:rsidP="00B05359">
      <w:r>
        <w:separator/>
      </w:r>
    </w:p>
  </w:endnote>
  <w:endnote w:type="continuationSeparator" w:id="0">
    <w:p w:rsidR="006E3DAD" w:rsidRDefault="006E3DAD" w:rsidP="00B0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auto"/>
    <w:pitch w:val="default"/>
    <w:sig w:usb0="00000000" w:usb1="00000000" w:usb2="00000000" w:usb3="00000000" w:csb0="00040000" w:csb1="00000000"/>
  </w:font>
  <w:font w:name="方正仿宋_GBK">
    <w:altName w:val="微软雅黑"/>
    <w:charset w:val="86"/>
    <w:family w:val="script"/>
    <w:pitch w:val="default"/>
    <w:sig w:usb0="A00002BF" w:usb1="38CF7CFA" w:usb2="00082016"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DAD" w:rsidRDefault="006E3DAD" w:rsidP="00B05359">
      <w:r>
        <w:separator/>
      </w:r>
    </w:p>
  </w:footnote>
  <w:footnote w:type="continuationSeparator" w:id="0">
    <w:p w:rsidR="006E3DAD" w:rsidRDefault="006E3DAD" w:rsidP="00B05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75598BC"/>
    <w:multiLevelType w:val="singleLevel"/>
    <w:tmpl w:val="D75598BC"/>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AC62A4A"/>
    <w:rsid w:val="006E3DAD"/>
    <w:rsid w:val="009E1D89"/>
    <w:rsid w:val="00B05359"/>
    <w:rsid w:val="00CA0B22"/>
    <w:rsid w:val="00E023A1"/>
    <w:rsid w:val="120B7F15"/>
    <w:rsid w:val="3E922926"/>
    <w:rsid w:val="6AC62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A86E0E7"/>
  <w15:docId w15:val="{9C734DF9-BF16-46E2-8AAE-7C147074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053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05359"/>
    <w:rPr>
      <w:kern w:val="2"/>
      <w:sz w:val="18"/>
      <w:szCs w:val="18"/>
    </w:rPr>
  </w:style>
  <w:style w:type="paragraph" w:styleId="a5">
    <w:name w:val="footer"/>
    <w:basedOn w:val="a"/>
    <w:link w:val="a6"/>
    <w:rsid w:val="00B05359"/>
    <w:pPr>
      <w:tabs>
        <w:tab w:val="center" w:pos="4153"/>
        <w:tab w:val="right" w:pos="8306"/>
      </w:tabs>
      <w:snapToGrid w:val="0"/>
      <w:jc w:val="left"/>
    </w:pPr>
    <w:rPr>
      <w:sz w:val="18"/>
      <w:szCs w:val="18"/>
    </w:rPr>
  </w:style>
  <w:style w:type="character" w:customStyle="1" w:styleId="a6">
    <w:name w:val="页脚 字符"/>
    <w:basedOn w:val="a0"/>
    <w:link w:val="a5"/>
    <w:rsid w:val="00B0535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冉伟</dc:creator>
  <cp:lastModifiedBy>郭剑</cp:lastModifiedBy>
  <cp:revision>3</cp:revision>
  <dcterms:created xsi:type="dcterms:W3CDTF">2019-05-27T06:44:00Z</dcterms:created>
  <dcterms:modified xsi:type="dcterms:W3CDTF">2022-01-06T06:55:00Z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