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96"/>
        </w:rPr>
      </w:pPr>
      <w:bookmarkStart w:id="0" w:name="_Toc28899"/>
    </w:p>
    <w:p>
      <w:pPr>
        <w:spacing w:line="360" w:lineRule="auto"/>
        <w:jc w:val="center"/>
        <w:rPr>
          <w:b/>
          <w:sz w:val="96"/>
        </w:rPr>
      </w:pPr>
      <w:r>
        <w:rPr>
          <w:rFonts w:hint="eastAsia"/>
          <w:b/>
          <w:sz w:val="96"/>
        </w:rPr>
        <w:t>比 选 文 件</w:t>
      </w:r>
      <w:bookmarkEnd w:id="0"/>
    </w:p>
    <w:p>
      <w:pPr>
        <w:spacing w:line="360" w:lineRule="auto"/>
        <w:jc w:val="center"/>
        <w:rPr>
          <w:b/>
          <w:sz w:val="96"/>
        </w:rPr>
      </w:pPr>
    </w:p>
    <w:p>
      <w:pPr>
        <w:pStyle w:val="6"/>
        <w:spacing w:line="360" w:lineRule="auto"/>
        <w:ind w:left="0"/>
        <w:jc w:val="left"/>
        <w:rPr>
          <w:rFonts w:ascii="宋体" w:hAnsi="宋体" w:cs="仿宋"/>
          <w:b/>
          <w:sz w:val="32"/>
        </w:rPr>
      </w:pPr>
    </w:p>
    <w:p>
      <w:pPr>
        <w:spacing w:line="360" w:lineRule="auto"/>
        <w:jc w:val="left"/>
        <w:rPr>
          <w:rFonts w:ascii="仿宋" w:hAnsi="仿宋" w:eastAsia="仿宋" w:cs="仿宋"/>
          <w:b/>
          <w:sz w:val="44"/>
          <w:szCs w:val="44"/>
        </w:rPr>
      </w:pPr>
      <w:bookmarkStart w:id="1" w:name="_Toc2955"/>
      <w:r>
        <w:rPr>
          <w:rFonts w:hint="eastAsia" w:ascii="仿宋" w:hAnsi="仿宋" w:eastAsia="仿宋" w:cs="仿宋"/>
          <w:b/>
          <w:sz w:val="44"/>
          <w:szCs w:val="44"/>
        </w:rPr>
        <w:t>项目名称：中渝公司服务区污水处理设备日常维护服务</w:t>
      </w:r>
      <w:bookmarkEnd w:id="1"/>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sz w:val="36"/>
          <w:szCs w:val="36"/>
        </w:rPr>
      </w:pPr>
      <w:bookmarkStart w:id="2" w:name="_Toc4111"/>
      <w:r>
        <w:rPr>
          <w:rFonts w:hint="eastAsia" w:ascii="仿宋" w:hAnsi="仿宋" w:eastAsia="仿宋" w:cs="仿宋"/>
          <w:b/>
          <w:sz w:val="36"/>
          <w:szCs w:val="36"/>
        </w:rPr>
        <w:t>采   购   人：</w:t>
      </w:r>
      <w:bookmarkEnd w:id="2"/>
      <w:r>
        <w:rPr>
          <w:rFonts w:hint="eastAsia" w:ascii="仿宋" w:hAnsi="仿宋" w:eastAsia="仿宋" w:cs="仿宋"/>
          <w:b/>
          <w:sz w:val="36"/>
          <w:szCs w:val="36"/>
        </w:rPr>
        <w:t>重庆中渝高速公路有限公司</w:t>
      </w:r>
    </w:p>
    <w:p>
      <w:pPr>
        <w:spacing w:line="360" w:lineRule="auto"/>
        <w:jc w:val="left"/>
        <w:rPr>
          <w:rFonts w:ascii="仿宋" w:hAnsi="仿宋" w:eastAsia="仿宋" w:cs="仿宋"/>
          <w:b/>
          <w:sz w:val="32"/>
          <w:szCs w:val="32"/>
        </w:rPr>
      </w:pPr>
      <w:bookmarkStart w:id="3" w:name="_Toc184"/>
    </w:p>
    <w:p>
      <w:pPr>
        <w:spacing w:line="360" w:lineRule="auto"/>
        <w:jc w:val="left"/>
        <w:rPr>
          <w:rFonts w:ascii="仿宋" w:hAnsi="仿宋" w:eastAsia="仿宋" w:cs="仿宋"/>
          <w:b/>
          <w:sz w:val="32"/>
          <w:szCs w:val="32"/>
        </w:rPr>
      </w:pPr>
    </w:p>
    <w:p>
      <w:pPr>
        <w:pStyle w:val="4"/>
        <w:spacing w:line="360" w:lineRule="auto"/>
        <w:rPr>
          <w:rFonts w:ascii="仿宋" w:hAnsi="仿宋" w:eastAsia="仿宋" w:cs="仿宋"/>
          <w:sz w:val="32"/>
          <w:szCs w:val="32"/>
        </w:rPr>
      </w:pPr>
    </w:p>
    <w:p>
      <w:pPr>
        <w:spacing w:line="360" w:lineRule="auto"/>
        <w:ind w:firstLine="2891" w:firstLineChars="900"/>
        <w:jc w:val="left"/>
        <w:rPr>
          <w:rFonts w:ascii="仿宋" w:hAnsi="仿宋" w:eastAsia="仿宋" w:cs="仿宋"/>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964" w:footer="992" w:gutter="0"/>
          <w:pgNumType w:fmt="numberInDash" w:start="1"/>
          <w:cols w:space="720" w:num="1"/>
          <w:titlePg/>
          <w:docGrid w:linePitch="312" w:charSpace="0"/>
        </w:sectPr>
      </w:pPr>
      <w:r>
        <w:rPr>
          <w:rFonts w:hint="eastAsia" w:ascii="仿宋" w:hAnsi="仿宋" w:eastAsia="仿宋" w:cs="仿宋"/>
          <w:b/>
          <w:sz w:val="32"/>
          <w:szCs w:val="32"/>
        </w:rPr>
        <w:t>二○二一年十二月</w:t>
      </w:r>
      <w:bookmarkEnd w:id="3"/>
    </w:p>
    <w:p>
      <w:pPr>
        <w:pStyle w:val="2"/>
        <w:snapToGrid/>
        <w:spacing w:beforeLines="0" w:afterLines="0" w:line="360" w:lineRule="auto"/>
        <w:rPr>
          <w:rFonts w:ascii="仿宋" w:hAnsi="仿宋" w:eastAsia="仿宋" w:cs="仿宋"/>
          <w:b/>
          <w:bCs/>
          <w:szCs w:val="44"/>
        </w:rPr>
      </w:pPr>
      <w:bookmarkStart w:id="4" w:name="_Toc453767284"/>
      <w:bookmarkStart w:id="5" w:name="_Toc13498831"/>
      <w:bookmarkStart w:id="6" w:name="_Toc10103707"/>
      <w:r>
        <w:rPr>
          <w:rFonts w:hint="eastAsia" w:ascii="仿宋" w:hAnsi="仿宋" w:eastAsia="仿宋" w:cs="仿宋"/>
          <w:b/>
          <w:bCs/>
          <w:szCs w:val="44"/>
        </w:rPr>
        <w:t>报价比选邀请书</w:t>
      </w:r>
      <w:bookmarkEnd w:id="4"/>
      <w:bookmarkEnd w:id="5"/>
      <w:bookmarkEnd w:id="6"/>
    </w:p>
    <w:p>
      <w:pPr>
        <w:spacing w:line="360" w:lineRule="auto"/>
        <w:rPr>
          <w:rFonts w:ascii="仿宋" w:hAnsi="仿宋" w:eastAsia="仿宋" w:cs="仿宋"/>
          <w:b/>
          <w:szCs w:val="28"/>
        </w:rPr>
      </w:pPr>
      <w:r>
        <w:rPr>
          <w:rFonts w:hint="eastAsia" w:ascii="仿宋" w:hAnsi="仿宋" w:eastAsia="仿宋" w:cs="仿宋"/>
          <w:b/>
          <w:szCs w:val="28"/>
        </w:rPr>
        <w:t>一、项目基本情况</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重庆高速公路集团有限公司中渝营运分公司对重庆绕城高速</w:t>
      </w:r>
      <w:r>
        <w:rPr>
          <w:rFonts w:hint="eastAsia" w:ascii="仿宋" w:hAnsi="仿宋" w:eastAsia="仿宋" w:cs="仿宋"/>
          <w:szCs w:val="28"/>
          <w:u w:val="single"/>
        </w:rPr>
        <w:t xml:space="preserve"> 龙兴服务区（左、右线）、  北碚服务区（左、右线）、</w:t>
      </w:r>
      <w:r>
        <w:rPr>
          <w:rFonts w:hint="eastAsia" w:ascii="仿宋" w:hAnsi="仿宋" w:eastAsia="仿宋" w:cs="仿宋"/>
          <w:color w:val="000000"/>
          <w:kern w:val="0"/>
          <w:szCs w:val="28"/>
          <w:u w:val="single"/>
        </w:rPr>
        <w:t>、曾家服务区（左、右线）、珞璜服务区（左、右线）</w:t>
      </w:r>
      <w:r>
        <w:rPr>
          <w:rFonts w:hint="eastAsia" w:ascii="仿宋" w:hAnsi="仿宋" w:eastAsia="仿宋" w:cs="仿宋"/>
          <w:szCs w:val="28"/>
          <w:u w:val="single"/>
        </w:rPr>
        <w:t>）、复兴服务区（左右线）和渝泸高速江津（</w:t>
      </w:r>
      <w:r>
        <w:rPr>
          <w:rFonts w:hint="eastAsia" w:ascii="仿宋" w:hAnsi="仿宋" w:eastAsia="仿宋" w:cs="仿宋"/>
          <w:color w:val="000000"/>
          <w:kern w:val="0"/>
          <w:szCs w:val="28"/>
          <w:u w:val="single"/>
        </w:rPr>
        <w:t>白沙</w:t>
      </w:r>
      <w:r>
        <w:rPr>
          <w:rFonts w:hint="eastAsia" w:ascii="仿宋" w:hAnsi="仿宋" w:eastAsia="仿宋" w:cs="仿宋"/>
          <w:szCs w:val="28"/>
          <w:u w:val="single"/>
        </w:rPr>
        <w:t>）</w:t>
      </w:r>
      <w:r>
        <w:rPr>
          <w:rFonts w:hint="eastAsia" w:ascii="仿宋" w:hAnsi="仿宋" w:eastAsia="仿宋" w:cs="仿宋"/>
          <w:color w:val="000000"/>
          <w:kern w:val="0"/>
          <w:szCs w:val="28"/>
          <w:u w:val="single"/>
        </w:rPr>
        <w:t>服务区</w:t>
      </w:r>
      <w:r>
        <w:rPr>
          <w:rFonts w:hint="eastAsia" w:ascii="仿宋" w:hAnsi="仿宋" w:eastAsia="仿宋" w:cs="仿宋"/>
          <w:szCs w:val="28"/>
          <w:u w:val="single"/>
        </w:rPr>
        <w:t>江津（塘河）服务区</w:t>
      </w:r>
      <w:r>
        <w:rPr>
          <w:rFonts w:hint="eastAsia" w:ascii="仿宋" w:hAnsi="仿宋" w:eastAsia="仿宋" w:cs="仿宋"/>
          <w:szCs w:val="28"/>
        </w:rPr>
        <w:t>共计12台污水设备维护保养服务对外公开比选。欢迎有资格的比选人参加比选。</w:t>
      </w:r>
    </w:p>
    <w:p>
      <w:pPr>
        <w:spacing w:line="360" w:lineRule="auto"/>
        <w:jc w:val="left"/>
        <w:rPr>
          <w:rFonts w:ascii="仿宋" w:hAnsi="仿宋" w:eastAsia="仿宋" w:cs="仿宋"/>
          <w:b/>
          <w:szCs w:val="28"/>
        </w:rPr>
      </w:pPr>
      <w:r>
        <w:rPr>
          <w:rFonts w:hint="eastAsia" w:ascii="仿宋" w:hAnsi="仿宋" w:eastAsia="仿宋" w:cs="仿宋"/>
          <w:b/>
          <w:szCs w:val="28"/>
        </w:rPr>
        <w:t>二、比选方案及比选原则</w:t>
      </w:r>
    </w:p>
    <w:p>
      <w:pPr>
        <w:widowControl/>
        <w:spacing w:line="360" w:lineRule="auto"/>
        <w:ind w:firstLine="560" w:firstLineChars="200"/>
        <w:jc w:val="left"/>
        <w:rPr>
          <w:rFonts w:ascii="仿宋" w:hAnsi="仿宋" w:eastAsia="仿宋" w:cs="仿宋"/>
          <w:kern w:val="0"/>
          <w:szCs w:val="28"/>
        </w:rPr>
      </w:pPr>
      <w:r>
        <w:rPr>
          <w:rFonts w:hint="eastAsia" w:ascii="仿宋" w:hAnsi="仿宋" w:eastAsia="仿宋" w:cs="仿宋"/>
          <w:szCs w:val="28"/>
        </w:rPr>
        <w:t xml:space="preserve"> </w:t>
      </w:r>
      <w:r>
        <w:rPr>
          <w:rFonts w:hint="eastAsia" w:ascii="仿宋" w:hAnsi="仿宋" w:eastAsia="仿宋" w:cs="仿宋"/>
          <w:kern w:val="0"/>
          <w:szCs w:val="28"/>
        </w:rPr>
        <w:t>本项目服务期限为1年，限价</w:t>
      </w:r>
      <w:r>
        <w:rPr>
          <w:rFonts w:hint="eastAsia" w:ascii="仿宋" w:hAnsi="仿宋" w:eastAsia="仿宋" w:cs="仿宋"/>
          <w:kern w:val="0"/>
          <w:szCs w:val="28"/>
          <w:u w:val="single"/>
        </w:rPr>
        <w:t>48</w:t>
      </w:r>
      <w:r>
        <w:rPr>
          <w:rFonts w:hint="eastAsia" w:ascii="仿宋" w:hAnsi="仿宋" w:eastAsia="仿宋" w:cs="仿宋"/>
          <w:kern w:val="0"/>
          <w:szCs w:val="28"/>
        </w:rPr>
        <w:t>万元。超出限价者不参与评比，本产品以符合要求的投标单位报价最低者中选。</w:t>
      </w:r>
    </w:p>
    <w:p>
      <w:pPr>
        <w:spacing w:line="360" w:lineRule="auto"/>
        <w:ind w:firstLine="138" w:firstLineChars="49"/>
        <w:rPr>
          <w:rFonts w:ascii="仿宋" w:hAnsi="仿宋" w:eastAsia="仿宋" w:cs="仿宋"/>
          <w:szCs w:val="28"/>
        </w:rPr>
      </w:pPr>
      <w:bookmarkStart w:id="7" w:name="_Toc453767285"/>
      <w:bookmarkStart w:id="8" w:name="_Toc10103708"/>
      <w:r>
        <w:rPr>
          <w:rFonts w:hint="eastAsia" w:ascii="仿宋" w:hAnsi="仿宋" w:eastAsia="仿宋" w:cs="仿宋"/>
          <w:b/>
          <w:szCs w:val="28"/>
        </w:rPr>
        <w:t>三、比选项目内容</w:t>
      </w:r>
      <w:bookmarkEnd w:id="7"/>
      <w:bookmarkEnd w:id="8"/>
    </w:p>
    <w:p>
      <w:pPr>
        <w:spacing w:line="360" w:lineRule="auto"/>
        <w:ind w:firstLine="560"/>
        <w:rPr>
          <w:rFonts w:ascii="仿宋" w:hAnsi="仿宋" w:eastAsia="仿宋" w:cs="仿宋"/>
          <w:b/>
          <w:bCs/>
          <w:szCs w:val="28"/>
        </w:rPr>
      </w:pPr>
      <w:r>
        <w:rPr>
          <w:rFonts w:hint="eastAsia" w:ascii="仿宋" w:hAnsi="仿宋" w:eastAsia="仿宋" w:cs="仿宋"/>
          <w:b/>
          <w:bCs/>
          <w:szCs w:val="28"/>
        </w:rPr>
        <w:t>1、日常处理操作运行</w:t>
      </w:r>
    </w:p>
    <w:p>
      <w:pPr>
        <w:spacing w:line="360" w:lineRule="auto"/>
        <w:ind w:firstLine="560"/>
        <w:rPr>
          <w:rFonts w:ascii="仿宋" w:hAnsi="仿宋" w:eastAsia="仿宋" w:cs="仿宋"/>
          <w:szCs w:val="28"/>
        </w:rPr>
      </w:pPr>
      <w:r>
        <w:rPr>
          <w:rFonts w:hint="eastAsia" w:ascii="仿宋" w:hAnsi="仿宋" w:eastAsia="仿宋" w:cs="仿宋"/>
          <w:szCs w:val="28"/>
        </w:rPr>
        <w:t>污水处理的日常管理与运行的可靠性和稳定性紧密相关，其日常处理操作内容包括操作控制、水质监视、运行记录、化验分析工作。</w:t>
      </w:r>
    </w:p>
    <w:p>
      <w:pPr>
        <w:spacing w:line="360" w:lineRule="auto"/>
        <w:ind w:firstLine="560"/>
        <w:rPr>
          <w:rFonts w:ascii="仿宋" w:hAnsi="仿宋" w:eastAsia="仿宋" w:cs="仿宋"/>
          <w:b/>
          <w:bCs/>
          <w:szCs w:val="28"/>
        </w:rPr>
      </w:pPr>
      <w:bookmarkStart w:id="9" w:name="_Toc9493202"/>
      <w:bookmarkStart w:id="10" w:name="_Toc32141"/>
      <w:r>
        <w:rPr>
          <w:rFonts w:hint="eastAsia" w:ascii="仿宋" w:hAnsi="仿宋" w:eastAsia="仿宋" w:cs="仿宋"/>
          <w:b/>
          <w:bCs/>
          <w:szCs w:val="28"/>
        </w:rPr>
        <w:t>（1）操作控制及现场管理</w:t>
      </w:r>
      <w:bookmarkEnd w:id="9"/>
      <w:bookmarkEnd w:id="10"/>
    </w:p>
    <w:p>
      <w:pPr>
        <w:spacing w:line="360" w:lineRule="auto"/>
        <w:ind w:firstLine="560"/>
        <w:rPr>
          <w:rFonts w:ascii="仿宋" w:hAnsi="仿宋" w:eastAsia="仿宋" w:cs="仿宋"/>
          <w:szCs w:val="28"/>
        </w:rPr>
      </w:pPr>
      <w:r>
        <w:rPr>
          <w:rFonts w:hint="eastAsia" w:ascii="仿宋" w:hAnsi="仿宋" w:eastAsia="仿宋" w:cs="仿宋"/>
          <w:szCs w:val="28"/>
        </w:rPr>
        <w:t>操作人员根据污水处理系统设计要求对污水站各反应系统正确操作，对出现的故障问题及时反馈及时处理，确保污水处理系统的正常运行，保证污水处理效果。</w:t>
      </w:r>
    </w:p>
    <w:p>
      <w:pPr>
        <w:spacing w:line="360" w:lineRule="auto"/>
        <w:ind w:firstLine="560"/>
        <w:rPr>
          <w:rFonts w:ascii="仿宋" w:hAnsi="仿宋" w:eastAsia="仿宋" w:cs="仿宋"/>
          <w:szCs w:val="28"/>
        </w:rPr>
      </w:pPr>
      <w:r>
        <w:rPr>
          <w:rFonts w:hint="eastAsia" w:ascii="仿宋" w:hAnsi="仿宋" w:eastAsia="仿宋" w:cs="仿宋"/>
          <w:szCs w:val="28"/>
        </w:rPr>
        <w:t>制定标准的安全操作流程；推行目视化管理；化学品储存和使用场所张贴中文版的标识。</w:t>
      </w:r>
    </w:p>
    <w:p>
      <w:pPr>
        <w:spacing w:line="360" w:lineRule="auto"/>
        <w:ind w:firstLine="560"/>
        <w:rPr>
          <w:rFonts w:ascii="仿宋" w:hAnsi="仿宋" w:eastAsia="仿宋" w:cs="仿宋"/>
          <w:b/>
          <w:bCs/>
          <w:szCs w:val="28"/>
        </w:rPr>
      </w:pPr>
      <w:bookmarkStart w:id="11" w:name="_Toc9493203"/>
      <w:bookmarkStart w:id="12" w:name="_Toc2778"/>
      <w:r>
        <w:rPr>
          <w:rFonts w:hint="eastAsia" w:ascii="仿宋" w:hAnsi="仿宋" w:eastAsia="仿宋" w:cs="仿宋"/>
          <w:b/>
          <w:bCs/>
          <w:szCs w:val="28"/>
        </w:rPr>
        <w:t>（2）监视</w:t>
      </w:r>
      <w:bookmarkEnd w:id="11"/>
      <w:bookmarkEnd w:id="12"/>
    </w:p>
    <w:p>
      <w:pPr>
        <w:spacing w:line="360" w:lineRule="auto"/>
        <w:ind w:firstLine="560"/>
        <w:rPr>
          <w:rFonts w:ascii="仿宋" w:hAnsi="仿宋" w:eastAsia="仿宋" w:cs="仿宋"/>
          <w:szCs w:val="28"/>
        </w:rPr>
      </w:pPr>
      <w:r>
        <w:rPr>
          <w:rFonts w:hint="eastAsia" w:ascii="仿宋" w:hAnsi="仿宋" w:eastAsia="仿宋" w:cs="仿宋"/>
          <w:szCs w:val="28"/>
        </w:rPr>
        <w:t>操作人员保证一星期不少于两次对污水处理各处理单元巡察，保证污水处理效果稳定。如有异常情况，汇报业主，由业主决定处理。</w:t>
      </w:r>
    </w:p>
    <w:p>
      <w:pPr>
        <w:spacing w:line="360" w:lineRule="auto"/>
        <w:ind w:firstLine="560"/>
        <w:rPr>
          <w:rFonts w:ascii="仿宋" w:hAnsi="仿宋" w:eastAsia="仿宋" w:cs="仿宋"/>
          <w:b/>
          <w:bCs/>
          <w:szCs w:val="28"/>
        </w:rPr>
      </w:pPr>
      <w:bookmarkStart w:id="13" w:name="_Toc9493204"/>
      <w:bookmarkStart w:id="14" w:name="_Toc28251"/>
      <w:r>
        <w:rPr>
          <w:rFonts w:hint="eastAsia" w:ascii="仿宋" w:hAnsi="仿宋" w:eastAsia="仿宋" w:cs="仿宋"/>
          <w:b/>
          <w:bCs/>
          <w:szCs w:val="28"/>
        </w:rPr>
        <w:t>（3）运行记录</w:t>
      </w:r>
      <w:bookmarkEnd w:id="13"/>
      <w:bookmarkEnd w:id="14"/>
    </w:p>
    <w:p>
      <w:pPr>
        <w:spacing w:line="360" w:lineRule="auto"/>
        <w:ind w:firstLine="560"/>
        <w:rPr>
          <w:rFonts w:ascii="仿宋" w:hAnsi="仿宋" w:eastAsia="仿宋" w:cs="仿宋"/>
          <w:szCs w:val="28"/>
        </w:rPr>
      </w:pPr>
      <w:r>
        <w:rPr>
          <w:rFonts w:hint="eastAsia" w:ascii="仿宋" w:hAnsi="仿宋" w:eastAsia="仿宋" w:cs="仿宋"/>
          <w:szCs w:val="28"/>
        </w:rPr>
        <w:t>污水处理系统的运行记录包括药剂消耗量记录、动力消耗量记录、在线仪表数据记录、设备运行状况记录等。通过运行记录分析，提供运行控制参数。</w:t>
      </w:r>
    </w:p>
    <w:p>
      <w:pPr>
        <w:spacing w:line="360" w:lineRule="auto"/>
        <w:ind w:firstLine="560"/>
        <w:rPr>
          <w:rFonts w:ascii="仿宋" w:hAnsi="仿宋" w:eastAsia="仿宋" w:cs="仿宋"/>
          <w:b/>
          <w:bCs/>
          <w:szCs w:val="28"/>
        </w:rPr>
      </w:pPr>
      <w:bookmarkStart w:id="15" w:name="_Toc10497"/>
      <w:bookmarkStart w:id="16" w:name="_Toc9493205"/>
      <w:r>
        <w:rPr>
          <w:rFonts w:hint="eastAsia" w:ascii="仿宋" w:hAnsi="仿宋" w:eastAsia="仿宋" w:cs="仿宋"/>
          <w:b/>
          <w:bCs/>
          <w:szCs w:val="28"/>
        </w:rPr>
        <w:t>2、维护保养</w:t>
      </w:r>
      <w:bookmarkEnd w:id="15"/>
      <w:bookmarkEnd w:id="16"/>
    </w:p>
    <w:p>
      <w:pPr>
        <w:spacing w:line="360" w:lineRule="auto"/>
        <w:ind w:firstLine="560"/>
        <w:rPr>
          <w:rFonts w:ascii="仿宋" w:hAnsi="仿宋" w:eastAsia="仿宋" w:cs="仿宋"/>
          <w:szCs w:val="28"/>
        </w:rPr>
      </w:pPr>
      <w:r>
        <w:rPr>
          <w:rFonts w:hint="eastAsia" w:ascii="仿宋" w:hAnsi="仿宋" w:eastAsia="仿宋" w:cs="仿宋"/>
          <w:szCs w:val="28"/>
        </w:rPr>
        <w:t>为确保机械设备的可靠运行和延长使用寿命，必须对机械设备进行定期检修，做好维护保养工作。</w:t>
      </w:r>
    </w:p>
    <w:p>
      <w:pPr>
        <w:spacing w:line="360" w:lineRule="auto"/>
        <w:ind w:firstLine="560"/>
        <w:rPr>
          <w:rFonts w:ascii="仿宋" w:hAnsi="仿宋" w:eastAsia="仿宋" w:cs="仿宋"/>
          <w:szCs w:val="28"/>
        </w:rPr>
      </w:pPr>
      <w:r>
        <w:rPr>
          <w:rFonts w:hint="eastAsia" w:ascii="仿宋" w:hAnsi="仿宋" w:eastAsia="仿宋" w:cs="仿宋"/>
          <w:szCs w:val="28"/>
        </w:rPr>
        <w:t>编制环保设施周、月、季度、半年和年度维护保养计划；按计划完成各种维护保养；提交维护保养记录。</w:t>
      </w:r>
    </w:p>
    <w:p>
      <w:pPr>
        <w:spacing w:line="360" w:lineRule="auto"/>
        <w:ind w:firstLine="560"/>
        <w:rPr>
          <w:rFonts w:ascii="仿宋" w:hAnsi="仿宋" w:eastAsia="仿宋" w:cs="仿宋"/>
          <w:b/>
          <w:bCs/>
          <w:szCs w:val="28"/>
        </w:rPr>
      </w:pPr>
      <w:bookmarkStart w:id="17" w:name="_Toc9493206"/>
      <w:bookmarkStart w:id="18" w:name="_Toc13171"/>
      <w:r>
        <w:rPr>
          <w:rFonts w:hint="eastAsia" w:ascii="仿宋" w:hAnsi="仿宋" w:eastAsia="仿宋" w:cs="仿宋"/>
          <w:b/>
          <w:bCs/>
          <w:szCs w:val="28"/>
        </w:rPr>
        <w:t>(1)设备的保养</w:t>
      </w:r>
      <w:bookmarkEnd w:id="17"/>
      <w:bookmarkEnd w:id="18"/>
    </w:p>
    <w:p>
      <w:pPr>
        <w:spacing w:line="360" w:lineRule="auto"/>
        <w:ind w:firstLine="560"/>
        <w:rPr>
          <w:rFonts w:ascii="仿宋" w:hAnsi="仿宋" w:eastAsia="仿宋" w:cs="仿宋"/>
          <w:szCs w:val="28"/>
        </w:rPr>
      </w:pPr>
      <w:r>
        <w:rPr>
          <w:rFonts w:hint="eastAsia" w:ascii="仿宋" w:hAnsi="仿宋" w:eastAsia="仿宋" w:cs="仿宋"/>
          <w:szCs w:val="28"/>
        </w:rPr>
        <w:t>根据各类设备的要求定期进行维护保养，维护保养项目包括：更换润滑油、设备外部刷漆防锈、设备清洁工作等。</w:t>
      </w:r>
    </w:p>
    <w:p>
      <w:pPr>
        <w:spacing w:line="360" w:lineRule="auto"/>
        <w:ind w:firstLine="560"/>
        <w:rPr>
          <w:rFonts w:ascii="仿宋" w:hAnsi="仿宋" w:eastAsia="仿宋" w:cs="仿宋"/>
          <w:b/>
          <w:bCs/>
          <w:szCs w:val="28"/>
        </w:rPr>
      </w:pPr>
      <w:bookmarkStart w:id="19" w:name="_Toc9493207"/>
      <w:bookmarkStart w:id="20" w:name="_Toc26088"/>
      <w:r>
        <w:rPr>
          <w:rFonts w:hint="eastAsia" w:ascii="仿宋" w:hAnsi="仿宋" w:eastAsia="仿宋" w:cs="仿宋"/>
          <w:b/>
          <w:bCs/>
          <w:szCs w:val="28"/>
        </w:rPr>
        <w:t>(2）设备的检修</w:t>
      </w:r>
      <w:bookmarkEnd w:id="19"/>
      <w:bookmarkEnd w:id="20"/>
    </w:p>
    <w:p>
      <w:pPr>
        <w:spacing w:line="360" w:lineRule="auto"/>
        <w:ind w:firstLine="560"/>
        <w:rPr>
          <w:rFonts w:ascii="仿宋" w:hAnsi="仿宋" w:eastAsia="仿宋" w:cs="仿宋"/>
          <w:szCs w:val="28"/>
        </w:rPr>
      </w:pPr>
      <w:r>
        <w:rPr>
          <w:rFonts w:hint="eastAsia" w:ascii="仿宋" w:hAnsi="仿宋" w:eastAsia="仿宋" w:cs="仿宋"/>
          <w:szCs w:val="28"/>
        </w:rPr>
        <w:t>设备的维护检修分为大修和小修。</w:t>
      </w:r>
    </w:p>
    <w:p>
      <w:pPr>
        <w:spacing w:line="360" w:lineRule="auto"/>
        <w:ind w:firstLine="560"/>
        <w:rPr>
          <w:rFonts w:ascii="仿宋" w:hAnsi="仿宋" w:eastAsia="仿宋" w:cs="仿宋"/>
          <w:szCs w:val="28"/>
        </w:rPr>
      </w:pPr>
      <w:r>
        <w:rPr>
          <w:rFonts w:hint="eastAsia" w:ascii="仿宋" w:hAnsi="仿宋" w:eastAsia="仿宋" w:cs="仿宋"/>
          <w:szCs w:val="28"/>
        </w:rPr>
        <w:t>小修主要对电源柜、电机控制柜、动力设备类作一般性检查，不作大的拆卸，其项目包括：</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1"/>
      </w:r>
      <w:r>
        <w:rPr>
          <w:rFonts w:hint="eastAsia" w:ascii="仿宋" w:hAnsi="仿宋" w:eastAsia="仿宋" w:cs="仿宋"/>
          <w:szCs w:val="28"/>
        </w:rPr>
        <w:t>清洁和检查电源柜、电机控制柜、清除接触器、热继电器、接线端等电器元件的灰尘、检查接线头有无烧示或电蚀。</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2"/>
      </w:r>
      <w:r>
        <w:rPr>
          <w:rFonts w:hint="eastAsia" w:ascii="仿宋" w:hAnsi="仿宋" w:eastAsia="仿宋" w:cs="仿宋"/>
          <w:szCs w:val="28"/>
        </w:rPr>
        <w:t>检查和清洁机电设备。检查固定螺栓松紧度、减震垫效果、泵类密封性能等；</w:t>
      </w:r>
    </w:p>
    <w:p>
      <w:pPr>
        <w:spacing w:line="360" w:lineRule="auto"/>
        <w:ind w:firstLine="560"/>
        <w:rPr>
          <w:rFonts w:ascii="仿宋" w:hAnsi="仿宋" w:eastAsia="仿宋" w:cs="仿宋"/>
          <w:szCs w:val="28"/>
        </w:rPr>
      </w:pPr>
      <w:r>
        <w:rPr>
          <w:rFonts w:hint="eastAsia" w:ascii="仿宋" w:hAnsi="仿宋" w:eastAsia="仿宋" w:cs="仿宋"/>
          <w:szCs w:val="28"/>
        </w:rPr>
        <w:t>大修主要对电动机及运作机械作全面检查，彻底修理和更换易损件及已损坏部件。</w:t>
      </w:r>
    </w:p>
    <w:p>
      <w:pPr>
        <w:numPr>
          <w:ilvl w:val="0"/>
          <w:numId w:val="1"/>
        </w:numPr>
        <w:spacing w:line="360" w:lineRule="auto"/>
        <w:ind w:firstLine="560"/>
        <w:rPr>
          <w:rFonts w:ascii="仿宋" w:hAnsi="仿宋" w:eastAsia="仿宋" w:cs="仿宋"/>
          <w:b/>
          <w:bCs/>
          <w:szCs w:val="28"/>
        </w:rPr>
      </w:pPr>
      <w:bookmarkStart w:id="21" w:name="_Toc4314"/>
      <w:bookmarkStart w:id="22" w:name="_Toc9493208"/>
      <w:r>
        <w:rPr>
          <w:rFonts w:hint="eastAsia" w:ascii="仿宋" w:hAnsi="仿宋" w:eastAsia="仿宋" w:cs="仿宋"/>
          <w:b/>
          <w:bCs/>
          <w:szCs w:val="28"/>
        </w:rPr>
        <w:t>操作人员的岗位培训和安全防护培训</w:t>
      </w:r>
      <w:bookmarkEnd w:id="21"/>
      <w:bookmarkEnd w:id="22"/>
    </w:p>
    <w:p>
      <w:pPr>
        <w:spacing w:line="360" w:lineRule="auto"/>
        <w:ind w:firstLine="560" w:firstLineChars="200"/>
        <w:rPr>
          <w:rFonts w:ascii="仿宋" w:hAnsi="仿宋" w:eastAsia="仿宋" w:cs="仿宋"/>
          <w:szCs w:val="28"/>
        </w:rPr>
      </w:pPr>
      <w:r>
        <w:rPr>
          <w:rFonts w:hint="eastAsia" w:ascii="仿宋" w:hAnsi="仿宋" w:eastAsia="仿宋" w:cs="仿宋"/>
          <w:szCs w:val="28"/>
        </w:rPr>
        <w:t>为避免操作失误及操作安全事故的生产，维修、维保中标单位需定期对操作人员进行岗位培训和安全防护培训，并作好记录。</w:t>
      </w:r>
    </w:p>
    <w:p>
      <w:pPr>
        <w:spacing w:line="360" w:lineRule="auto"/>
        <w:ind w:firstLine="560"/>
        <w:rPr>
          <w:rFonts w:ascii="仿宋" w:hAnsi="仿宋" w:eastAsia="仿宋" w:cs="仿宋"/>
          <w:b/>
          <w:bCs/>
          <w:szCs w:val="28"/>
        </w:rPr>
      </w:pPr>
      <w:bookmarkStart w:id="23" w:name="_Toc25087"/>
      <w:bookmarkStart w:id="24" w:name="_Toc9493209"/>
      <w:r>
        <w:rPr>
          <w:rFonts w:hint="eastAsia" w:ascii="仿宋" w:hAnsi="仿宋" w:eastAsia="仿宋" w:cs="仿宋"/>
          <w:b/>
          <w:bCs/>
          <w:szCs w:val="28"/>
        </w:rPr>
        <w:t>4、编制完善运行操作和维护手册</w:t>
      </w:r>
      <w:bookmarkEnd w:id="23"/>
      <w:bookmarkEnd w:id="24"/>
    </w:p>
    <w:p>
      <w:pPr>
        <w:spacing w:line="360" w:lineRule="auto"/>
        <w:ind w:firstLine="560"/>
        <w:rPr>
          <w:rFonts w:ascii="仿宋" w:hAnsi="仿宋" w:eastAsia="仿宋" w:cs="仿宋"/>
          <w:szCs w:val="28"/>
        </w:rPr>
      </w:pPr>
      <w:r>
        <w:rPr>
          <w:rFonts w:hint="eastAsia" w:ascii="仿宋" w:hAnsi="仿宋" w:eastAsia="仿宋" w:cs="仿宋"/>
          <w:szCs w:val="28"/>
        </w:rPr>
        <w:t>编制完善运行操作和维护手册，规范操作人员运行操作，有利于系统的稳定运行。编制手册包括：岗位操作手册、安全防护手册、岗位责任制、运行记录、设备维修管理手册等等。</w:t>
      </w:r>
    </w:p>
    <w:p>
      <w:pPr>
        <w:spacing w:line="360" w:lineRule="auto"/>
        <w:ind w:firstLine="560"/>
        <w:rPr>
          <w:rFonts w:ascii="仿宋" w:hAnsi="仿宋" w:eastAsia="仿宋" w:cs="仿宋"/>
          <w:b/>
          <w:bCs/>
          <w:szCs w:val="28"/>
        </w:rPr>
      </w:pPr>
      <w:bookmarkStart w:id="25" w:name="_Toc28111"/>
      <w:bookmarkStart w:id="26" w:name="_Toc9493210"/>
      <w:r>
        <w:rPr>
          <w:rFonts w:hint="eastAsia" w:ascii="仿宋" w:hAnsi="仿宋" w:eastAsia="仿宋" w:cs="仿宋"/>
          <w:b/>
          <w:bCs/>
          <w:szCs w:val="28"/>
        </w:rPr>
        <w:t>5、处理突变情况，采取相应措施</w:t>
      </w:r>
      <w:bookmarkEnd w:id="25"/>
      <w:bookmarkEnd w:id="26"/>
    </w:p>
    <w:p>
      <w:pPr>
        <w:spacing w:line="360" w:lineRule="auto"/>
        <w:ind w:firstLine="560"/>
        <w:rPr>
          <w:rFonts w:ascii="仿宋" w:hAnsi="仿宋" w:eastAsia="仿宋" w:cs="仿宋"/>
          <w:szCs w:val="28"/>
        </w:rPr>
      </w:pPr>
      <w:r>
        <w:rPr>
          <w:rFonts w:hint="eastAsia" w:ascii="仿宋" w:hAnsi="仿宋" w:eastAsia="仿宋" w:cs="仿宋"/>
          <w:szCs w:val="28"/>
        </w:rPr>
        <w:t>运行时如有发现异常，操作人员将对突变情况进行调查，并针对突变原因及时处理。</w:t>
      </w:r>
    </w:p>
    <w:p>
      <w:pPr>
        <w:spacing w:line="360" w:lineRule="auto"/>
        <w:ind w:firstLine="560"/>
        <w:rPr>
          <w:rFonts w:ascii="仿宋" w:hAnsi="仿宋" w:eastAsia="仿宋" w:cs="仿宋"/>
          <w:b/>
          <w:bCs/>
          <w:szCs w:val="28"/>
        </w:rPr>
      </w:pPr>
      <w:bookmarkStart w:id="27" w:name="_Toc11544"/>
      <w:bookmarkStart w:id="28" w:name="_Toc9493211"/>
      <w:r>
        <w:rPr>
          <w:rFonts w:hint="eastAsia" w:ascii="仿宋" w:hAnsi="仿宋" w:eastAsia="仿宋" w:cs="仿宋"/>
          <w:b/>
          <w:bCs/>
          <w:szCs w:val="28"/>
        </w:rPr>
        <w:t>6、定期向业主通报运行效果和运行参数</w:t>
      </w:r>
      <w:bookmarkEnd w:id="27"/>
      <w:bookmarkEnd w:id="28"/>
    </w:p>
    <w:p>
      <w:pPr>
        <w:spacing w:line="360" w:lineRule="auto"/>
        <w:ind w:firstLine="560"/>
        <w:rPr>
          <w:rFonts w:ascii="仿宋" w:hAnsi="仿宋" w:eastAsia="仿宋" w:cs="仿宋"/>
          <w:szCs w:val="28"/>
        </w:rPr>
      </w:pPr>
      <w:r>
        <w:rPr>
          <w:rFonts w:hint="eastAsia" w:ascii="仿宋" w:hAnsi="仿宋" w:eastAsia="仿宋" w:cs="仿宋"/>
          <w:szCs w:val="28"/>
        </w:rPr>
        <w:t>每月根据实际运行情况向业主通报运行情况及运行参数。</w:t>
      </w:r>
    </w:p>
    <w:p>
      <w:pPr>
        <w:spacing w:line="360" w:lineRule="auto"/>
        <w:ind w:firstLine="560"/>
        <w:rPr>
          <w:rFonts w:ascii="仿宋" w:hAnsi="仿宋" w:eastAsia="仿宋" w:cs="仿宋"/>
          <w:b/>
          <w:bCs/>
          <w:szCs w:val="28"/>
        </w:rPr>
      </w:pPr>
      <w:bookmarkStart w:id="29" w:name="_Toc9493212"/>
      <w:bookmarkStart w:id="30" w:name="_Toc26053"/>
      <w:r>
        <w:rPr>
          <w:rFonts w:hint="eastAsia" w:ascii="仿宋" w:hAnsi="仿宋" w:eastAsia="仿宋" w:cs="仿宋"/>
          <w:b/>
          <w:bCs/>
          <w:szCs w:val="28"/>
        </w:rPr>
        <w:t>7、定期对工作人员进行培训</w:t>
      </w:r>
      <w:bookmarkEnd w:id="29"/>
      <w:bookmarkEnd w:id="30"/>
    </w:p>
    <w:p>
      <w:pPr>
        <w:spacing w:line="360" w:lineRule="auto"/>
        <w:ind w:firstLine="560"/>
        <w:rPr>
          <w:rFonts w:ascii="仿宋" w:hAnsi="仿宋" w:eastAsia="仿宋" w:cs="仿宋"/>
          <w:szCs w:val="28"/>
        </w:rPr>
      </w:pPr>
      <w:r>
        <w:rPr>
          <w:rFonts w:hint="eastAsia" w:ascii="仿宋" w:hAnsi="仿宋" w:eastAsia="仿宋" w:cs="仿宋"/>
          <w:szCs w:val="28"/>
        </w:rPr>
        <w:t>定期对操作工进行技能和安全培训；水处理技术培训；水质检测培训；化学品管理和控制培训；密闭空间作业培训；噪声防护培训；职业健康培训；突发环境事件应急处理；防火及逃生演练；提交培训记录。</w:t>
      </w:r>
    </w:p>
    <w:p>
      <w:pPr>
        <w:spacing w:line="360" w:lineRule="auto"/>
        <w:ind w:firstLine="560"/>
        <w:rPr>
          <w:rFonts w:ascii="仿宋" w:hAnsi="仿宋" w:eastAsia="仿宋" w:cs="仿宋"/>
          <w:b/>
          <w:bCs/>
          <w:szCs w:val="28"/>
        </w:rPr>
      </w:pPr>
      <w:bookmarkStart w:id="31" w:name="_Toc15382"/>
      <w:bookmarkStart w:id="32" w:name="_Toc9493213"/>
      <w:r>
        <w:rPr>
          <w:rFonts w:hint="eastAsia" w:ascii="仿宋" w:hAnsi="仿宋" w:eastAsia="仿宋" w:cs="仿宋"/>
          <w:b/>
          <w:bCs/>
          <w:szCs w:val="28"/>
        </w:rPr>
        <w:t>8、应急响应</w:t>
      </w:r>
      <w:bookmarkEnd w:id="31"/>
      <w:bookmarkEnd w:id="32"/>
    </w:p>
    <w:p>
      <w:pPr>
        <w:spacing w:line="360" w:lineRule="auto"/>
        <w:ind w:firstLine="560"/>
        <w:rPr>
          <w:rFonts w:ascii="仿宋" w:hAnsi="仿宋" w:eastAsia="仿宋" w:cs="仿宋"/>
          <w:szCs w:val="28"/>
        </w:rPr>
      </w:pPr>
      <w:r>
        <w:rPr>
          <w:rFonts w:hint="eastAsia" w:ascii="仿宋" w:hAnsi="仿宋" w:eastAsia="仿宋" w:cs="仿宋"/>
          <w:szCs w:val="28"/>
        </w:rPr>
        <w:t xml:space="preserve"> 编制突发环境事件应急预案，并定期(半年一次）演练，提交演练记录。</w:t>
      </w:r>
    </w:p>
    <w:p>
      <w:pPr>
        <w:spacing w:line="360" w:lineRule="auto"/>
        <w:rPr>
          <w:rFonts w:ascii="仿宋" w:hAnsi="仿宋" w:eastAsia="仿宋" w:cs="仿宋"/>
          <w:szCs w:val="28"/>
        </w:rPr>
      </w:pPr>
    </w:p>
    <w:p>
      <w:pPr>
        <w:spacing w:line="360" w:lineRule="auto"/>
        <w:rPr>
          <w:rFonts w:ascii="仿宋" w:hAnsi="仿宋" w:eastAsia="仿宋" w:cs="仿宋"/>
          <w:b/>
          <w:szCs w:val="28"/>
        </w:rPr>
      </w:pPr>
      <w:r>
        <w:rPr>
          <w:rFonts w:hint="eastAsia" w:ascii="仿宋" w:hAnsi="仿宋" w:eastAsia="仿宋" w:cs="仿宋"/>
          <w:b/>
          <w:szCs w:val="28"/>
        </w:rPr>
        <w:t>四、主要技术要求及技术方案：</w:t>
      </w:r>
    </w:p>
    <w:p>
      <w:pPr>
        <w:widowControl/>
        <w:shd w:val="clear" w:color="auto" w:fill="FFFFFF"/>
        <w:spacing w:before="100" w:after="100" w:line="360" w:lineRule="auto"/>
        <w:ind w:firstLine="560" w:firstLineChars="200"/>
        <w:jc w:val="left"/>
        <w:rPr>
          <w:rFonts w:ascii="仿宋" w:hAnsi="仿宋" w:eastAsia="仿宋" w:cs="仿宋"/>
          <w:color w:val="333333"/>
          <w:kern w:val="0"/>
          <w:szCs w:val="28"/>
        </w:rPr>
      </w:pPr>
      <w:r>
        <w:rPr>
          <w:rFonts w:hint="eastAsia" w:ascii="仿宋" w:hAnsi="仿宋" w:eastAsia="仿宋" w:cs="仿宋"/>
          <w:color w:val="333333"/>
          <w:kern w:val="0"/>
          <w:szCs w:val="28"/>
        </w:rPr>
        <w:t>运维单位配置合格的操作、维修人员，提供设备维修和设备保养，提供污水处理设备所需药剂，保证污水处理设备的正常运行和污水处理后达标排放（污水处理设备处理后达到</w:t>
      </w:r>
      <w:r>
        <w:rPr>
          <w:rFonts w:hint="eastAsia" w:ascii="仿宋" w:hAnsi="仿宋" w:eastAsia="仿宋" w:cs="仿宋"/>
          <w:kern w:val="0"/>
          <w:szCs w:val="28"/>
        </w:rPr>
        <w:t>国家标准GB18918-2002一级A标排放</w:t>
      </w:r>
      <w:r>
        <w:rPr>
          <w:rFonts w:hint="eastAsia" w:ascii="仿宋" w:hAnsi="仿宋" w:eastAsia="仿宋" w:cs="仿宋"/>
          <w:color w:val="333333"/>
          <w:kern w:val="0"/>
          <w:szCs w:val="28"/>
        </w:rPr>
        <w:t>），具体运维内容如下：</w:t>
      </w:r>
    </w:p>
    <w:p>
      <w:pPr>
        <w:spacing w:line="360" w:lineRule="auto"/>
        <w:rPr>
          <w:rFonts w:ascii="仿宋" w:hAnsi="仿宋" w:eastAsia="仿宋" w:cs="仿宋"/>
          <w:szCs w:val="28"/>
        </w:rPr>
      </w:pPr>
    </w:p>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472"/>
        <w:gridCol w:w="850"/>
        <w:gridCol w:w="90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序号</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服务名称</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数量</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单位</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定期设备检查</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每月一次巡检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2</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定期检查污泥浓度</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3</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MBR膜清洗</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药剂清洗，避免膜组堵塞损坏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4</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风机维护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根据实际情况更换风机皮带、风机轴承。风机加油等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5</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水泵维护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根据实际情况更换产水泵、提升泵轴承密封圈等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6</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水质检测</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每月现场检测水质情况确保水质排放达标（PTC便携式检测），每年出具第三方检验报告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7</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污泥转运</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8</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PLC电控调整</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根据现场情况调整电脑控制程序，对有安全隐患的线路进行整改。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9</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应急响应</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特殊情况设备不能正常工作，8小时内抵达现场及时处理故障。</w:t>
            </w:r>
          </w:p>
        </w:tc>
      </w:tr>
    </w:tbl>
    <w:p>
      <w:pPr>
        <w:pStyle w:val="9"/>
        <w:spacing w:line="360" w:lineRule="auto"/>
        <w:rPr>
          <w:rFonts w:ascii="仿宋" w:hAnsi="仿宋" w:eastAsia="仿宋" w:cs="仿宋"/>
          <w:sz w:val="28"/>
          <w:szCs w:val="28"/>
        </w:rPr>
      </w:pPr>
      <w:bookmarkStart w:id="33" w:name="_Toc453767286"/>
      <w:bookmarkStart w:id="34" w:name="_Toc10103709"/>
      <w:r>
        <w:rPr>
          <w:rFonts w:hint="eastAsia" w:ascii="仿宋" w:hAnsi="仿宋" w:eastAsia="仿宋" w:cs="仿宋"/>
          <w:sz w:val="28"/>
          <w:szCs w:val="28"/>
        </w:rPr>
        <w:t>五、维保工期：12个月</w:t>
      </w:r>
    </w:p>
    <w:p>
      <w:pPr>
        <w:spacing w:line="360" w:lineRule="auto"/>
        <w:rPr>
          <w:rFonts w:ascii="仿宋" w:hAnsi="仿宋" w:eastAsia="仿宋" w:cs="仿宋"/>
          <w:b/>
          <w:szCs w:val="28"/>
        </w:rPr>
      </w:pPr>
      <w:r>
        <w:rPr>
          <w:rFonts w:hint="eastAsia" w:ascii="仿宋" w:hAnsi="仿宋" w:eastAsia="仿宋" w:cs="仿宋"/>
          <w:b/>
          <w:szCs w:val="28"/>
        </w:rPr>
        <w:t>六、</w:t>
      </w:r>
      <w:bookmarkEnd w:id="33"/>
      <w:bookmarkEnd w:id="34"/>
      <w:r>
        <w:rPr>
          <w:rFonts w:hint="eastAsia" w:ascii="仿宋" w:hAnsi="仿宋" w:eastAsia="仿宋" w:cs="仿宋"/>
          <w:b/>
          <w:szCs w:val="28"/>
        </w:rPr>
        <w:t>投标费用及其说明</w:t>
      </w:r>
    </w:p>
    <w:p>
      <w:pPr>
        <w:spacing w:line="360" w:lineRule="auto"/>
        <w:ind w:firstLine="560" w:firstLineChars="200"/>
        <w:rPr>
          <w:rFonts w:ascii="仿宋" w:hAnsi="仿宋" w:eastAsia="仿宋" w:cs="仿宋"/>
          <w:szCs w:val="28"/>
        </w:rPr>
      </w:pPr>
      <w:bookmarkStart w:id="35" w:name="_Toc10103710"/>
      <w:bookmarkStart w:id="36" w:name="_Toc453767287"/>
      <w:r>
        <w:rPr>
          <w:rFonts w:hint="eastAsia" w:ascii="仿宋" w:hAnsi="仿宋" w:eastAsia="仿宋" w:cs="仿宋"/>
          <w:szCs w:val="28"/>
        </w:rPr>
        <w:t>人员工资费用、药品费用（消毒济、除磷剂）、小维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p>
    <w:p>
      <w:pPr>
        <w:spacing w:line="360" w:lineRule="auto"/>
        <w:ind w:firstLine="560" w:firstLineChars="200"/>
        <w:rPr>
          <w:rFonts w:ascii="仿宋" w:hAnsi="仿宋" w:eastAsia="仿宋" w:cs="仿宋"/>
          <w:szCs w:val="28"/>
        </w:rPr>
      </w:pPr>
      <w:r>
        <w:rPr>
          <w:rFonts w:hint="eastAsia" w:ascii="仿宋" w:hAnsi="仿宋" w:eastAsia="仿宋" w:cs="仿宋"/>
          <w:szCs w:val="28"/>
        </w:rPr>
        <w:t>备注：投标费用不含设备大修费用，设备大修或更换由业主负责。单项价值1000元以上的由乙方向甲方提交《设备维修采购申请报告》，甲方采购或委托乙方根据市场价格代为采购，乙方负责免费更换。单项价值1000元以下的由乙方负责采购安装。</w:t>
      </w:r>
    </w:p>
    <w:p>
      <w:pPr>
        <w:spacing w:line="360" w:lineRule="auto"/>
        <w:ind w:firstLine="560" w:firstLineChars="200"/>
        <w:rPr>
          <w:rFonts w:ascii="仿宋" w:hAnsi="仿宋" w:eastAsia="仿宋" w:cs="仿宋"/>
          <w:szCs w:val="28"/>
        </w:rPr>
      </w:pPr>
      <w:r>
        <w:rPr>
          <w:rFonts w:hint="eastAsia" w:ascii="仿宋" w:hAnsi="仿宋" w:eastAsia="仿宋" w:cs="仿宋"/>
          <w:szCs w:val="28"/>
        </w:rPr>
        <w:t>单项价值1000以上大修并更换的项目有：水泵更换、风机主机维修及更换、风机成套更换、加药泵更换、控制柜更换、设备箱体漏水维修、填料更换。</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项目未提及的工作内容或设计变更或工程增减部分和询价范围以外的零星工作内容在施工中发生以后以现行定额及配套文件为依据进行计算，由业主方、施工方共同认质、认价，人工费调整按施工期间的造价信息平均值进行调整。</w:t>
      </w:r>
    </w:p>
    <w:p>
      <w:pPr>
        <w:spacing w:line="360" w:lineRule="auto"/>
        <w:rPr>
          <w:rFonts w:ascii="仿宋" w:hAnsi="仿宋" w:eastAsia="仿宋" w:cs="仿宋"/>
          <w:b/>
          <w:szCs w:val="28"/>
        </w:rPr>
      </w:pPr>
      <w:r>
        <w:rPr>
          <w:rFonts w:hint="eastAsia" w:ascii="仿宋" w:hAnsi="仿宋" w:eastAsia="仿宋" w:cs="仿宋"/>
          <w:b/>
          <w:szCs w:val="28"/>
        </w:rPr>
        <w:t>七、项目设备情况一览表</w:t>
      </w:r>
      <w:bookmarkStart w:id="37" w:name="_Toc9493234"/>
    </w:p>
    <w:bookmarkEnd w:id="37"/>
    <w:tbl>
      <w:tblPr>
        <w:tblStyle w:val="12"/>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755"/>
        <w:gridCol w:w="2275"/>
        <w:gridCol w:w="1525"/>
        <w:gridCol w:w="555"/>
        <w:gridCol w:w="600"/>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序号</w:t>
            </w:r>
          </w:p>
        </w:tc>
        <w:tc>
          <w:tcPr>
            <w:tcW w:w="27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地点</w:t>
            </w:r>
          </w:p>
        </w:tc>
        <w:tc>
          <w:tcPr>
            <w:tcW w:w="227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设备名称</w:t>
            </w:r>
          </w:p>
        </w:tc>
        <w:tc>
          <w:tcPr>
            <w:tcW w:w="152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处理量</w:t>
            </w:r>
          </w:p>
        </w:tc>
        <w:tc>
          <w:tcPr>
            <w:tcW w:w="5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单位</w:t>
            </w:r>
          </w:p>
        </w:tc>
        <w:tc>
          <w:tcPr>
            <w:tcW w:w="600"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数量</w:t>
            </w:r>
          </w:p>
        </w:tc>
        <w:tc>
          <w:tcPr>
            <w:tcW w:w="517"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龙兴服务区（左线）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bookmarkStart w:id="38" w:name="RANGE_E7"/>
            <w:r>
              <w:rPr>
                <w:rFonts w:hint="eastAsia" w:ascii="仿宋" w:hAnsi="仿宋" w:eastAsia="仿宋" w:cs="仿宋"/>
                <w:szCs w:val="28"/>
              </w:rPr>
              <w:t>套</w:t>
            </w:r>
            <w:bookmarkEnd w:id="38"/>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2</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龙兴服务区（右线）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3</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4</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5</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江津（白沙）服务区</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100m³/d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6</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7</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8</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9</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10</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11</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12</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江津（塘河）服务区</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100m³/d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bl>
    <w:p>
      <w:pPr>
        <w:spacing w:line="360" w:lineRule="auto"/>
        <w:rPr>
          <w:rFonts w:ascii="仿宋" w:hAnsi="仿宋" w:eastAsia="仿宋" w:cs="仿宋"/>
          <w:b/>
          <w:szCs w:val="28"/>
        </w:rPr>
      </w:pPr>
      <w:r>
        <w:rPr>
          <w:rFonts w:hint="eastAsia" w:ascii="仿宋" w:hAnsi="仿宋" w:eastAsia="仿宋" w:cs="仿宋"/>
          <w:b/>
          <w:szCs w:val="28"/>
        </w:rPr>
        <w:t>八、拟邀请供应商资格要求</w:t>
      </w:r>
      <w:bookmarkEnd w:id="35"/>
      <w:bookmarkEnd w:id="36"/>
    </w:p>
    <w:p>
      <w:pPr>
        <w:spacing w:line="360" w:lineRule="auto"/>
        <w:ind w:firstLine="560" w:firstLineChars="200"/>
        <w:rPr>
          <w:rFonts w:ascii="仿宋" w:hAnsi="仿宋" w:eastAsia="仿宋" w:cs="仿宋"/>
          <w:szCs w:val="28"/>
        </w:rPr>
      </w:pPr>
      <w:r>
        <w:rPr>
          <w:rFonts w:hint="eastAsia" w:ascii="仿宋" w:hAnsi="仿宋" w:eastAsia="仿宋" w:cs="仿宋"/>
          <w:szCs w:val="28"/>
        </w:rPr>
        <w:t>合格投标人应首先符合政府采购法第二十二条规定的基本条件，同时符合根据该项目特点设置的特定资格条件。</w:t>
      </w:r>
    </w:p>
    <w:p>
      <w:pPr>
        <w:spacing w:line="360" w:lineRule="auto"/>
        <w:ind w:firstLine="562" w:firstLineChars="200"/>
        <w:rPr>
          <w:rFonts w:ascii="仿宋" w:hAnsi="仿宋" w:eastAsia="仿宋" w:cs="仿宋"/>
          <w:b/>
          <w:bCs/>
          <w:szCs w:val="28"/>
        </w:rPr>
      </w:pPr>
      <w:r>
        <w:rPr>
          <w:rFonts w:hint="eastAsia" w:ascii="仿宋" w:hAnsi="仿宋" w:eastAsia="仿宋" w:cs="仿宋"/>
          <w:b/>
          <w:bCs/>
          <w:szCs w:val="28"/>
        </w:rPr>
        <w:t>1、基本资格条件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（1）具有独立承担民事责任的能力；</w:t>
      </w:r>
    </w:p>
    <w:p>
      <w:pPr>
        <w:spacing w:line="360" w:lineRule="auto"/>
        <w:ind w:firstLine="840" w:firstLineChars="300"/>
        <w:rPr>
          <w:rFonts w:ascii="仿宋" w:hAnsi="仿宋" w:eastAsia="仿宋" w:cs="仿宋"/>
          <w:szCs w:val="28"/>
        </w:rPr>
      </w:pPr>
      <w:r>
        <w:rPr>
          <w:rFonts w:hint="eastAsia" w:ascii="仿宋" w:hAnsi="仿宋" w:eastAsia="仿宋" w:cs="仿宋"/>
          <w:szCs w:val="28"/>
        </w:rPr>
        <w:t>提供有效的营业执照副本，营业范围需有水处理设备。</w:t>
      </w:r>
    </w:p>
    <w:p>
      <w:pPr>
        <w:spacing w:line="360" w:lineRule="auto"/>
        <w:ind w:firstLine="700" w:firstLineChars="25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2)</w:t>
      </w:r>
      <w:r>
        <w:rPr>
          <w:rFonts w:hint="eastAsia" w:ascii="宋体" w:hAnsi="宋体" w:cs="宋体"/>
          <w:szCs w:val="28"/>
        </w:rPr>
        <w:t xml:space="preserve"> </w:t>
      </w:r>
      <w:r>
        <w:rPr>
          <w:rFonts w:hint="eastAsia" w:ascii="仿宋" w:hAnsi="仿宋" w:eastAsia="仿宋" w:cs="仿宋"/>
          <w:szCs w:val="28"/>
        </w:rPr>
        <w:t>具有良好的商业信誉和健全的财务会计制度;</w:t>
      </w:r>
    </w:p>
    <w:p>
      <w:pPr>
        <w:spacing w:line="360" w:lineRule="auto"/>
        <w:ind w:firstLine="840" w:firstLineChars="300"/>
        <w:rPr>
          <w:rFonts w:ascii="仿宋" w:hAnsi="仿宋" w:eastAsia="仿宋" w:cs="仿宋"/>
          <w:szCs w:val="28"/>
        </w:rPr>
      </w:pPr>
      <w:r>
        <w:rPr>
          <w:rFonts w:hint="eastAsia" w:ascii="仿宋" w:hAnsi="仿宋" w:eastAsia="仿宋" w:cs="仿宋"/>
          <w:szCs w:val="28"/>
        </w:rPr>
        <w:t>提供2</w:t>
      </w:r>
      <w:r>
        <w:rPr>
          <w:rFonts w:ascii="仿宋" w:hAnsi="仿宋" w:eastAsia="仿宋" w:cs="仿宋"/>
          <w:szCs w:val="28"/>
        </w:rPr>
        <w:t>018</w:t>
      </w:r>
      <w:r>
        <w:rPr>
          <w:rFonts w:hint="eastAsia" w:ascii="仿宋" w:hAnsi="仿宋" w:eastAsia="仿宋" w:cs="仿宋"/>
          <w:szCs w:val="28"/>
        </w:rPr>
        <w:t>年至今任意一年的财务报告复印件和商业信誉承诺函。</w:t>
      </w:r>
    </w:p>
    <w:p>
      <w:pPr>
        <w:spacing w:line="360" w:lineRule="auto"/>
        <w:ind w:firstLine="560" w:firstLineChars="20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3</w:t>
      </w:r>
      <w:r>
        <w:rPr>
          <w:rFonts w:hint="eastAsia" w:ascii="仿宋" w:hAnsi="仿宋" w:eastAsia="仿宋" w:cs="仿宋"/>
          <w:szCs w:val="28"/>
        </w:rPr>
        <w:t>）有依法缴纳税收和社会保障资金的良好记录；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提供2020年至今任意一个月缴纳税收和社保资金的证明材料复印件（2021年新成立的供应商无法提供的，应提供承诺函原件）；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4</w:t>
      </w:r>
      <w:r>
        <w:rPr>
          <w:rFonts w:hint="eastAsia" w:ascii="仿宋" w:hAnsi="仿宋" w:eastAsia="仿宋" w:cs="仿宋"/>
          <w:szCs w:val="28"/>
        </w:rPr>
        <w:t>）参加政府采购活动前三年内，在经营活动中没有重大违法记录;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提供承诺函，格式自拟。</w:t>
      </w:r>
    </w:p>
    <w:p>
      <w:pPr>
        <w:spacing w:line="360" w:lineRule="auto"/>
        <w:ind w:firstLine="562" w:firstLineChars="200"/>
        <w:rPr>
          <w:rFonts w:ascii="仿宋" w:hAnsi="仿宋" w:eastAsia="仿宋" w:cs="仿宋"/>
          <w:b/>
          <w:bCs/>
          <w:szCs w:val="28"/>
        </w:rPr>
      </w:pPr>
      <w:r>
        <w:rPr>
          <w:rFonts w:hint="eastAsia" w:ascii="仿宋" w:hAnsi="仿宋" w:eastAsia="仿宋" w:cs="仿宋"/>
          <w:b/>
          <w:bCs/>
          <w:szCs w:val="28"/>
        </w:rPr>
        <w:t>2、特定资格条件(供应商须同时具备以下资质条件)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（1）投标单位应具有《城市粪便污水处理经营服务企业资质证书》；</w:t>
      </w:r>
    </w:p>
    <w:p>
      <w:pPr>
        <w:spacing w:line="360" w:lineRule="auto"/>
        <w:ind w:firstLine="560" w:firstLineChars="200"/>
        <w:rPr>
          <w:rFonts w:ascii="仿宋" w:hAnsi="仿宋" w:eastAsia="仿宋" w:cs="仿宋"/>
          <w:szCs w:val="28"/>
        </w:rPr>
      </w:pPr>
      <w:r>
        <w:rPr>
          <w:rFonts w:hint="eastAsia" w:ascii="仿宋" w:hAnsi="仿宋" w:eastAsia="仿宋" w:cs="仿宋"/>
          <w:szCs w:val="28"/>
        </w:rPr>
        <w:t>（2）投标单位应具有A</w:t>
      </w:r>
      <w:r>
        <w:rPr>
          <w:rFonts w:ascii="仿宋" w:hAnsi="仿宋" w:eastAsia="仿宋" w:cs="仿宋"/>
          <w:szCs w:val="28"/>
        </w:rPr>
        <w:t>AA</w:t>
      </w:r>
      <w:r>
        <w:rPr>
          <w:rFonts w:hint="eastAsia" w:ascii="仿宋" w:hAnsi="仿宋" w:eastAsia="仿宋" w:cs="仿宋"/>
          <w:szCs w:val="28"/>
        </w:rPr>
        <w:t>级诚信经营示范单位证书、A</w:t>
      </w:r>
      <w:r>
        <w:rPr>
          <w:rFonts w:ascii="仿宋" w:hAnsi="仿宋" w:eastAsia="仿宋" w:cs="仿宋"/>
          <w:szCs w:val="28"/>
        </w:rPr>
        <w:t>AA</w:t>
      </w:r>
      <w:r>
        <w:rPr>
          <w:rFonts w:hint="eastAsia" w:ascii="仿宋" w:hAnsi="仿宋" w:eastAsia="仿宋" w:cs="仿宋"/>
          <w:szCs w:val="28"/>
        </w:rPr>
        <w:t>级质量服务信誉单位证书；</w:t>
      </w:r>
    </w:p>
    <w:p>
      <w:pPr>
        <w:spacing w:line="360" w:lineRule="auto"/>
        <w:ind w:firstLine="560" w:firstLineChars="20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3</w:t>
      </w:r>
      <w:r>
        <w:rPr>
          <w:rFonts w:hint="eastAsia" w:ascii="仿宋" w:hAnsi="仿宋" w:eastAsia="仿宋" w:cs="仿宋"/>
          <w:szCs w:val="28"/>
        </w:rPr>
        <w:t>）投标方应具有I</w:t>
      </w:r>
      <w:r>
        <w:rPr>
          <w:rFonts w:ascii="仿宋" w:hAnsi="仿宋" w:eastAsia="仿宋" w:cs="仿宋"/>
          <w:szCs w:val="28"/>
        </w:rPr>
        <w:t>SO</w:t>
      </w:r>
      <w:r>
        <w:rPr>
          <w:rFonts w:hint="eastAsia" w:ascii="仿宋" w:hAnsi="仿宋" w:eastAsia="仿宋" w:cs="仿宋"/>
          <w:szCs w:val="28"/>
        </w:rPr>
        <w:t>9001、</w:t>
      </w:r>
      <w:r>
        <w:rPr>
          <w:rFonts w:ascii="仿宋" w:hAnsi="仿宋" w:eastAsia="仿宋" w:cs="仿宋"/>
          <w:szCs w:val="28"/>
        </w:rPr>
        <w:t>ISO</w:t>
      </w:r>
      <w:r>
        <w:rPr>
          <w:rFonts w:hint="eastAsia" w:ascii="仿宋" w:hAnsi="仿宋" w:eastAsia="仿宋" w:cs="仿宋"/>
          <w:szCs w:val="28"/>
        </w:rPr>
        <w:t>14001、I</w:t>
      </w:r>
      <w:r>
        <w:rPr>
          <w:rFonts w:ascii="仿宋" w:hAnsi="仿宋" w:eastAsia="仿宋" w:cs="仿宋"/>
          <w:szCs w:val="28"/>
        </w:rPr>
        <w:t>SO</w:t>
      </w:r>
      <w:r>
        <w:rPr>
          <w:rFonts w:hint="eastAsia" w:ascii="仿宋" w:hAnsi="仿宋" w:eastAsia="仿宋" w:cs="仿宋"/>
          <w:szCs w:val="28"/>
        </w:rPr>
        <w:t>45001管理体系；</w:t>
      </w:r>
    </w:p>
    <w:p>
      <w:pPr>
        <w:spacing w:line="360" w:lineRule="auto"/>
        <w:ind w:left="476" w:leftChars="170" w:firstLine="140" w:firstLineChars="50"/>
        <w:jc w:val="left"/>
        <w:rPr>
          <w:rFonts w:ascii="仿宋" w:hAnsi="仿宋" w:eastAsia="仿宋" w:cs="仿宋"/>
          <w:szCs w:val="28"/>
        </w:rPr>
      </w:pPr>
      <w:r>
        <w:rPr>
          <w:rFonts w:hint="eastAsia" w:ascii="仿宋" w:hAnsi="仿宋" w:eastAsia="仿宋" w:cs="仿宋"/>
          <w:szCs w:val="28"/>
        </w:rPr>
        <w:t>（4）提供2017年以后高速路服务区污水处理设施运营业绩的合同不少于1个并且提供业主评价意见证明文件。</w:t>
      </w:r>
    </w:p>
    <w:p>
      <w:pPr>
        <w:pStyle w:val="9"/>
        <w:spacing w:line="360" w:lineRule="auto"/>
        <w:ind w:firstLine="560" w:firstLineChars="200"/>
        <w:rPr>
          <w:rFonts w:ascii="仿宋" w:hAnsi="仿宋" w:eastAsia="仿宋" w:cs="仿宋"/>
          <w:b w:val="0"/>
          <w:bCs w:val="0"/>
          <w:caps w:val="0"/>
          <w:sz w:val="28"/>
          <w:szCs w:val="28"/>
        </w:rPr>
      </w:pPr>
      <w:r>
        <w:rPr>
          <w:rFonts w:hint="eastAsia" w:ascii="仿宋" w:hAnsi="仿宋" w:eastAsia="仿宋" w:cs="仿宋"/>
          <w:b w:val="0"/>
          <w:bCs w:val="0"/>
          <w:sz w:val="28"/>
          <w:szCs w:val="28"/>
        </w:rPr>
        <w:t>（</w:t>
      </w:r>
      <w:r>
        <w:rPr>
          <w:rFonts w:ascii="仿宋" w:hAnsi="仿宋" w:eastAsia="仿宋" w:cs="仿宋"/>
          <w:b w:val="0"/>
          <w:bCs w:val="0"/>
          <w:sz w:val="28"/>
          <w:szCs w:val="28"/>
        </w:rPr>
        <w:t>5</w:t>
      </w:r>
      <w:r>
        <w:rPr>
          <w:rFonts w:hint="eastAsia" w:ascii="仿宋" w:hAnsi="仿宋" w:eastAsia="仿宋" w:cs="仿宋"/>
          <w:b w:val="0"/>
          <w:bCs w:val="0"/>
          <w:sz w:val="28"/>
          <w:szCs w:val="28"/>
        </w:rPr>
        <w:t>）人</w:t>
      </w:r>
      <w:r>
        <w:rPr>
          <w:rFonts w:hint="eastAsia" w:ascii="仿宋" w:hAnsi="仿宋" w:eastAsia="仿宋" w:cs="仿宋"/>
          <w:b w:val="0"/>
          <w:bCs w:val="0"/>
          <w:caps w:val="0"/>
          <w:sz w:val="28"/>
          <w:szCs w:val="28"/>
        </w:rPr>
        <w:t>员要求：运维人员</w:t>
      </w:r>
      <w:r>
        <w:rPr>
          <w:rFonts w:ascii="仿宋" w:hAnsi="仿宋" w:eastAsia="仿宋" w:cs="仿宋"/>
          <w:b w:val="0"/>
          <w:bCs w:val="0"/>
          <w:caps w:val="0"/>
          <w:sz w:val="28"/>
          <w:szCs w:val="28"/>
        </w:rPr>
        <w:t>3</w:t>
      </w:r>
      <w:r>
        <w:rPr>
          <w:rFonts w:hint="eastAsia" w:ascii="仿宋" w:hAnsi="仿宋" w:eastAsia="仿宋" w:cs="仿宋"/>
          <w:b w:val="0"/>
          <w:bCs w:val="0"/>
          <w:caps w:val="0"/>
          <w:sz w:val="28"/>
          <w:szCs w:val="28"/>
        </w:rPr>
        <w:t>名，并且提供近半年的社保证明。</w:t>
      </w:r>
    </w:p>
    <w:p>
      <w:pPr>
        <w:spacing w:line="360" w:lineRule="auto"/>
        <w:jc w:val="left"/>
        <w:rPr>
          <w:rFonts w:ascii="仿宋" w:hAnsi="仿宋" w:eastAsia="仿宋" w:cs="仿宋"/>
          <w:b/>
          <w:szCs w:val="28"/>
        </w:rPr>
      </w:pPr>
      <w:r>
        <w:rPr>
          <w:rFonts w:hint="eastAsia" w:ascii="仿宋" w:hAnsi="仿宋" w:eastAsia="仿宋" w:cs="仿宋"/>
          <w:b/>
          <w:szCs w:val="28"/>
        </w:rPr>
        <w:t>九、总体要求：</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1、严格执行环保部门、卫生行政部门的相关规定，负责污水处理站设备的维护，维修管理，中标方必须保证生产污水的达标排放，污水必须经处理后排放到总排污口。</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2、维护保养期间，中标方自行承担招标范围内的费用、风险和所有责任。</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3、因中标方原因造成污水不达标所引起的责任及经济处罚由中标方承担。</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4、中标方必须按照国家相关法律法规、完善相关资料，定期移交。</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5、中标方在维护保养设备期间，必须严格按污水处理站设备操作规程进行操作，确保污水处理达标排放，并保证人身安全。如果在合同期内因中标方原因发生安全事故，责任由中标方负责。</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6、按照相关行业主管部门规定配合招标方申报、办理环保相关手续等内容，保证污水处理站的正常运行和污水达标排放。</w:t>
      </w:r>
    </w:p>
    <w:p>
      <w:pPr>
        <w:spacing w:line="360" w:lineRule="auto"/>
        <w:rPr>
          <w:rFonts w:ascii="仿宋" w:hAnsi="仿宋" w:eastAsia="仿宋" w:cs="仿宋"/>
          <w:b/>
          <w:bCs/>
          <w:szCs w:val="28"/>
        </w:rPr>
      </w:pPr>
      <w:r>
        <w:rPr>
          <w:rFonts w:hint="eastAsia" w:ascii="仿宋" w:hAnsi="仿宋" w:eastAsia="仿宋" w:cs="仿宋"/>
          <w:b/>
          <w:bCs/>
          <w:szCs w:val="28"/>
        </w:rPr>
        <w:t>十、管理服务要求：</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1、建立健全污水处理站管理制度、交接班制度、运营、维修、安全技术操作规程。</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2、建立切实可行的设备设施维护维修制度、应急预案、应急管理制度、安排每年不少于2次的应急工作预防演练。</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3、建立健全安全管理体系，完善并制作污水站现场的安全警示标识、设备工艺标识。</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4、定期对员工进行业务培训、管理培训及知识更新。</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5、制定操作工、维修工、项目负责人常规考核办法。</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6、污水处理站的运行日志、监测记录、维修记录、使用记录、污泥消毒记录、水质监测送检记录、污水排放记录表等各类台帐由中标方制作、详实记录、装订并妥善保存。</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7、在运营期内，中标方随时接受各级部门的监督检查工作，按要求提供检查资料，并在规定时间内对检查中发现的问题进行整改。</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bCs/>
          <w:szCs w:val="28"/>
        </w:rPr>
        <w:t>8、中标方高级技术人员每周下站二次巡察及技术指导，中标方领导班子每半月一次例行工作检查。</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9、每年年终进行一次工作总结，以书面形式递交招标方。</w:t>
      </w:r>
    </w:p>
    <w:p>
      <w:pPr>
        <w:tabs>
          <w:tab w:val="left" w:pos="0"/>
        </w:tabs>
        <w:spacing w:line="360" w:lineRule="auto"/>
        <w:ind w:firstLine="560" w:firstLineChars="200"/>
        <w:rPr>
          <w:rFonts w:ascii="仿宋" w:hAnsi="仿宋" w:eastAsia="仿宋" w:cs="仿宋"/>
          <w:szCs w:val="28"/>
        </w:rPr>
      </w:pPr>
      <w:r>
        <w:rPr>
          <w:rFonts w:hint="eastAsia" w:ascii="仿宋" w:hAnsi="仿宋" w:eastAsia="仿宋" w:cs="仿宋"/>
          <w:szCs w:val="28"/>
        </w:rPr>
        <w:t>10、投标方须针对现场技术要求提供污水处理设施设备《维护保养技术方案》。</w:t>
      </w:r>
    </w:p>
    <w:p>
      <w:pPr>
        <w:spacing w:line="360" w:lineRule="auto"/>
        <w:ind w:right="-280" w:rightChars="-100"/>
        <w:rPr>
          <w:rFonts w:ascii="仿宋" w:hAnsi="仿宋" w:eastAsia="仿宋" w:cs="仿宋"/>
          <w:b/>
          <w:szCs w:val="28"/>
        </w:rPr>
      </w:pPr>
      <w:bookmarkStart w:id="39" w:name="_Toc7078"/>
      <w:bookmarkStart w:id="40" w:name="_Toc26974"/>
      <w:bookmarkStart w:id="41" w:name="_Toc29308"/>
      <w:r>
        <w:rPr>
          <w:rFonts w:hint="eastAsia" w:ascii="仿宋" w:hAnsi="仿宋" w:eastAsia="仿宋" w:cs="仿宋"/>
          <w:b/>
          <w:szCs w:val="28"/>
        </w:rPr>
        <w:t>十一、支付方式</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中标方在每月20日之前开具增值普通发票，招标方应收到发票后次月20日之前结算相应费用。</w:t>
      </w:r>
    </w:p>
    <w:p>
      <w:pPr>
        <w:spacing w:line="360" w:lineRule="auto"/>
        <w:ind w:right="-280" w:rightChars="-100"/>
        <w:rPr>
          <w:rFonts w:ascii="仿宋" w:hAnsi="仿宋" w:eastAsia="仿宋" w:cs="仿宋"/>
          <w:b/>
          <w:szCs w:val="28"/>
        </w:rPr>
      </w:pPr>
      <w:r>
        <w:rPr>
          <w:rFonts w:hint="eastAsia" w:ascii="仿宋" w:hAnsi="仿宋" w:eastAsia="仿宋" w:cs="仿宋"/>
          <w:b/>
          <w:szCs w:val="28"/>
        </w:rPr>
        <w:t>十二、询价响应文件报送要求</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1、询价响应文件组成：（1）询价响应申明书;（2）授权委托书，授权人及被授权人身份证复印件;（3）营业执照、资质证书;（4）费用报价清单；（5）</w:t>
      </w:r>
      <w:r>
        <w:rPr>
          <w:rFonts w:hint="eastAsia" w:ascii="仿宋" w:hAnsi="仿宋" w:eastAsia="仿宋" w:cs="方正仿宋_GBK"/>
          <w:szCs w:val="28"/>
        </w:rPr>
        <w:t>拟委任的主要管理人员</w:t>
      </w:r>
      <w:r>
        <w:rPr>
          <w:rFonts w:hint="eastAsia" w:ascii="仿宋" w:hAnsi="仿宋" w:eastAsia="仿宋" w:cs="仿宋"/>
          <w:bCs/>
          <w:szCs w:val="28"/>
        </w:rPr>
        <w:t>；（6）</w:t>
      </w:r>
      <w:r>
        <w:rPr>
          <w:rFonts w:hint="eastAsia" w:ascii="仿宋" w:hAnsi="仿宋" w:eastAsia="仿宋" w:cs="方正仿宋_GBK"/>
          <w:szCs w:val="28"/>
        </w:rPr>
        <w:t>运行管理方案；（7）其他资料</w:t>
      </w:r>
      <w:r>
        <w:rPr>
          <w:rFonts w:hint="eastAsia" w:ascii="仿宋" w:hAnsi="仿宋" w:eastAsia="仿宋" w:cs="方正仿宋_GBK"/>
          <w:sz w:val="32"/>
          <w:szCs w:val="32"/>
        </w:rPr>
        <w:t>；</w:t>
      </w:r>
      <w:r>
        <w:rPr>
          <w:rFonts w:hint="eastAsia" w:ascii="仿宋" w:hAnsi="仿宋" w:eastAsia="仿宋" w:cs="仿宋"/>
          <w:bCs/>
          <w:szCs w:val="28"/>
        </w:rPr>
        <w:t>以上资料均需加盖单位公章。</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2、询价方案需提供方案文件正本一份，并将正本密封包装在同一个封套内，包装外应注明单位名称、报送人名称并加盖骑缝章。</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3、参与询价的合格单位不低于三家。询价单位提交的询价方案不符合要求的，将视为不具备参与询价的资格。</w:t>
      </w:r>
    </w:p>
    <w:bookmarkEnd w:id="39"/>
    <w:bookmarkEnd w:id="40"/>
    <w:bookmarkEnd w:id="41"/>
    <w:p>
      <w:pPr>
        <w:spacing w:line="360" w:lineRule="auto"/>
        <w:ind w:right="-280" w:rightChars="-100"/>
        <w:rPr>
          <w:rFonts w:ascii="仿宋" w:hAnsi="仿宋" w:eastAsia="仿宋" w:cs="仿宋"/>
          <w:b/>
          <w:szCs w:val="28"/>
        </w:rPr>
      </w:pPr>
      <w:r>
        <w:rPr>
          <w:rFonts w:hint="eastAsia" w:ascii="仿宋" w:hAnsi="仿宋" w:eastAsia="仿宋" w:cs="仿宋"/>
          <w:b/>
          <w:szCs w:val="28"/>
        </w:rPr>
        <w:t>十三、递交时间</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被询价单位请于2021年</w:t>
      </w:r>
      <w:r>
        <w:rPr>
          <w:rFonts w:hint="eastAsia" w:ascii="仿宋" w:hAnsi="仿宋" w:eastAsia="仿宋" w:cs="仿宋"/>
          <w:bCs/>
          <w:szCs w:val="28"/>
          <w:lang w:val="en-US" w:eastAsia="zh-CN"/>
        </w:rPr>
        <w:t>12</w:t>
      </w:r>
      <w:r>
        <w:rPr>
          <w:rFonts w:hint="eastAsia" w:ascii="仿宋" w:hAnsi="仿宋" w:eastAsia="仿宋" w:cs="仿宋"/>
          <w:bCs/>
          <w:szCs w:val="28"/>
        </w:rPr>
        <w:t>月</w:t>
      </w:r>
      <w:r>
        <w:rPr>
          <w:rFonts w:hint="eastAsia" w:ascii="仿宋" w:hAnsi="仿宋" w:eastAsia="仿宋" w:cs="仿宋"/>
          <w:bCs/>
          <w:szCs w:val="28"/>
          <w:lang w:val="en-US" w:eastAsia="zh-CN"/>
        </w:rPr>
        <w:t>27</w:t>
      </w:r>
      <w:r>
        <w:rPr>
          <w:rFonts w:hint="eastAsia" w:ascii="仿宋" w:hAnsi="仿宋" w:eastAsia="仿宋" w:cs="仿宋"/>
          <w:bCs/>
          <w:szCs w:val="28"/>
        </w:rPr>
        <w:t>日上午</w:t>
      </w:r>
      <w:r>
        <w:rPr>
          <w:rFonts w:hint="eastAsia" w:ascii="仿宋" w:hAnsi="仿宋" w:eastAsia="仿宋" w:cs="仿宋"/>
          <w:bCs/>
          <w:szCs w:val="28"/>
          <w:lang w:val="en-US" w:eastAsia="zh-CN"/>
        </w:rPr>
        <w:t>10</w:t>
      </w:r>
      <w:r>
        <w:rPr>
          <w:rFonts w:hint="eastAsia" w:ascii="仿宋" w:hAnsi="仿宋" w:eastAsia="仿宋" w:cs="仿宋"/>
          <w:bCs/>
          <w:szCs w:val="28"/>
        </w:rPr>
        <w:t>点（北京时间）之前将报价方案报送中渝分公司。</w:t>
      </w:r>
    </w:p>
    <w:p>
      <w:pPr>
        <w:spacing w:line="360" w:lineRule="auto"/>
        <w:ind w:left="-280" w:leftChars="-100" w:right="-280" w:rightChars="-100" w:firstLine="560" w:firstLineChars="200"/>
        <w:rPr>
          <w:rFonts w:ascii="仿宋" w:hAnsi="仿宋" w:eastAsia="仿宋" w:cs="仿宋"/>
          <w:bCs/>
          <w:szCs w:val="28"/>
        </w:rPr>
      </w:pPr>
      <w:r>
        <w:rPr>
          <w:rFonts w:hint="eastAsia" w:ascii="仿宋" w:hAnsi="仿宋" w:eastAsia="仿宋" w:cs="仿宋"/>
          <w:bCs/>
          <w:szCs w:val="28"/>
        </w:rPr>
        <w:t>送达地址：重庆中渝高速公路有限公司重庆绕城高速公路双福南收费站办公楼</w:t>
      </w:r>
    </w:p>
    <w:p>
      <w:pPr>
        <w:spacing w:line="360" w:lineRule="auto"/>
        <w:ind w:firstLine="560" w:firstLineChars="200"/>
        <w:rPr>
          <w:rFonts w:ascii="仿宋" w:hAnsi="仿宋" w:eastAsia="仿宋" w:cs="仿宋"/>
          <w:szCs w:val="28"/>
        </w:rPr>
      </w:pPr>
      <w:r>
        <w:rPr>
          <w:rFonts w:hint="eastAsia" w:ascii="仿宋" w:hAnsi="仿宋" w:eastAsia="仿宋" w:cs="仿宋"/>
          <w:bCs/>
          <w:szCs w:val="28"/>
        </w:rPr>
        <w:t>联系人：胡艺      联系人方式：13996277609</w:t>
      </w:r>
    </w:p>
    <w:p>
      <w:pPr>
        <w:spacing w:line="360" w:lineRule="auto"/>
        <w:rPr>
          <w:rFonts w:ascii="仿宋" w:hAnsi="仿宋" w:eastAsia="仿宋" w:cs="仿宋"/>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Cs w:val="28"/>
        </w:rPr>
        <w:t xml:space="preserve">                               日期：</w:t>
      </w:r>
      <w:r>
        <w:rPr>
          <w:rFonts w:hint="eastAsia" w:ascii="仿宋" w:hAnsi="仿宋" w:eastAsia="仿宋" w:cs="仿宋"/>
          <w:szCs w:val="28"/>
          <w:lang w:val="en-US" w:eastAsia="zh-CN"/>
        </w:rPr>
        <w:t>2021</w:t>
      </w:r>
      <w:r>
        <w:rPr>
          <w:rFonts w:hint="eastAsia" w:ascii="仿宋" w:hAnsi="仿宋" w:eastAsia="仿宋" w:cs="仿宋"/>
          <w:szCs w:val="28"/>
        </w:rPr>
        <w:t>年</w:t>
      </w:r>
      <w:r>
        <w:rPr>
          <w:rFonts w:hint="eastAsia" w:ascii="仿宋" w:hAnsi="仿宋" w:eastAsia="仿宋" w:cs="仿宋"/>
          <w:szCs w:val="28"/>
          <w:lang w:val="en-US" w:eastAsia="zh-CN"/>
        </w:rPr>
        <w:t>12</w:t>
      </w:r>
      <w:r>
        <w:rPr>
          <w:rFonts w:hint="eastAsia" w:ascii="仿宋" w:hAnsi="仿宋" w:eastAsia="仿宋" w:cs="仿宋"/>
          <w:szCs w:val="28"/>
        </w:rPr>
        <w:t>月</w:t>
      </w:r>
      <w:r>
        <w:rPr>
          <w:rFonts w:hint="eastAsia" w:ascii="仿宋" w:hAnsi="仿宋" w:eastAsia="仿宋" w:cs="仿宋"/>
          <w:szCs w:val="28"/>
          <w:lang w:val="en-US" w:eastAsia="zh-CN"/>
        </w:rPr>
        <w:t>21</w:t>
      </w:r>
      <w:r>
        <w:rPr>
          <w:rFonts w:hint="eastAsia" w:ascii="仿宋" w:hAnsi="仿宋" w:eastAsia="仿宋" w:cs="仿宋"/>
          <w:szCs w:val="28"/>
        </w:rPr>
        <w:t>日</w:t>
      </w:r>
    </w:p>
    <w:p>
      <w:pPr>
        <w:rPr>
          <w:rFonts w:ascii="仿宋_GB2312" w:eastAsia="仿宋_GB2312"/>
          <w:b/>
          <w:kern w:val="0"/>
          <w:szCs w:val="28"/>
        </w:rPr>
      </w:pPr>
    </w:p>
    <w:p>
      <w:pPr>
        <w:jc w:val="center"/>
        <w:rPr>
          <w:b/>
          <w:sz w:val="24"/>
        </w:rPr>
      </w:pPr>
    </w:p>
    <w:p>
      <w:pPr>
        <w:pStyle w:val="4"/>
      </w:pPr>
    </w:p>
    <w:p/>
    <w:p>
      <w:pPr>
        <w:jc w:val="right"/>
        <w:rPr>
          <w:b/>
          <w:sz w:val="24"/>
        </w:rPr>
      </w:pPr>
    </w:p>
    <w:p>
      <w:pPr>
        <w:ind w:firstLine="960" w:firstLineChars="300"/>
        <w:rPr>
          <w:b/>
          <w:sz w:val="24"/>
        </w:rPr>
      </w:pPr>
      <w:r>
        <w:rPr>
          <w:rFonts w:hint="eastAsia" w:ascii="方正小标宋_GBK" w:hAnsi="方正小标宋_GBK" w:eastAsia="方正小标宋_GBK" w:cs="方正小标宋_GBK"/>
          <w:sz w:val="32"/>
          <w:szCs w:val="32"/>
        </w:rPr>
        <w:t>中渝公司服务区污水处理设备维护保养服务</w:t>
      </w:r>
    </w:p>
    <w:p>
      <w:pPr>
        <w:jc w:val="right"/>
        <w:rPr>
          <w:b/>
          <w:sz w:val="24"/>
        </w:rPr>
      </w:pPr>
    </w:p>
    <w:p>
      <w:pPr>
        <w:jc w:val="right"/>
        <w:rPr>
          <w:b/>
          <w:sz w:val="2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ind w:firstLine="640" w:firstLineChars="200"/>
        <w:rPr>
          <w:rFonts w:ascii="方正仿宋_GBK" w:eastAsia="方正仿宋_GBK"/>
          <w:sz w:val="32"/>
          <w:szCs w:val="32"/>
          <w:u w:val="single"/>
        </w:rPr>
      </w:pPr>
      <w:r>
        <w:rPr>
          <w:rFonts w:hint="eastAsia" w:ascii="方正仿宋_GBK" w:eastAsia="方正仿宋_GBK"/>
          <w:sz w:val="32"/>
          <w:szCs w:val="32"/>
        </w:rPr>
        <w:t>法定代表人或委托代理人：</w:t>
      </w:r>
      <w:r>
        <w:rPr>
          <w:rFonts w:hint="eastAsia" w:ascii="方正仿宋_GBK" w:eastAsia="方正仿宋_GBK"/>
          <w:sz w:val="32"/>
          <w:szCs w:val="32"/>
          <w:u w:val="single"/>
        </w:rPr>
        <w:t xml:space="preserve">    （签字或盖章）</w:t>
      </w:r>
    </w:p>
    <w:p>
      <w:pPr>
        <w:jc w:val="center"/>
        <w:rPr>
          <w:sz w:val="32"/>
          <w:szCs w:val="32"/>
        </w:rPr>
      </w:pPr>
      <w:r>
        <w:rPr>
          <w:rFonts w:hint="eastAsia"/>
          <w:sz w:val="32"/>
          <w:szCs w:val="32"/>
        </w:rPr>
        <w:t xml:space="preserve">年   月    日 </w:t>
      </w:r>
    </w:p>
    <w:p>
      <w:pPr>
        <w:jc w:val="center"/>
        <w:rPr>
          <w:sz w:val="32"/>
          <w:szCs w:val="32"/>
          <w:u w:val="single"/>
        </w:rPr>
      </w:pPr>
    </w:p>
    <w:p>
      <w:pPr>
        <w:jc w:val="center"/>
        <w:rPr>
          <w:sz w:val="32"/>
          <w:szCs w:val="32"/>
          <w:u w:val="single"/>
        </w:rPr>
      </w:pPr>
    </w:p>
    <w:p>
      <w:pPr>
        <w:jc w:val="center"/>
        <w:rPr>
          <w:b/>
          <w:bCs/>
          <w:sz w:val="36"/>
          <w:szCs w:val="36"/>
        </w:rPr>
      </w:pPr>
      <w:r>
        <w:rPr>
          <w:rFonts w:hint="eastAsia"/>
          <w:b/>
          <w:bCs/>
          <w:sz w:val="36"/>
          <w:szCs w:val="36"/>
        </w:rPr>
        <w:t>目     录</w:t>
      </w:r>
    </w:p>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一、询价响应声明书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二、授权委托书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三、公司资质等资料</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四、费用报价清单</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五、拟委任的主要管理人员及车辆配置</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六、运行管理方案</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七、其他资料</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一 、询价响应声明书</w:t>
      </w:r>
    </w:p>
    <w:p>
      <w:pPr>
        <w:spacing w:line="44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w:t>
      </w:r>
    </w:p>
    <w:p>
      <w:pPr>
        <w:spacing w:line="440" w:lineRule="exact"/>
        <w:ind w:firstLine="600"/>
        <w:jc w:val="left"/>
        <w:rPr>
          <w:rFonts w:ascii="方正仿宋_GBK" w:eastAsia="方正仿宋_GBK"/>
          <w:sz w:val="32"/>
          <w:szCs w:val="32"/>
        </w:rPr>
      </w:pPr>
      <w:r>
        <w:rPr>
          <w:rFonts w:hint="eastAsia" w:ascii="方正仿宋_GBK" w:eastAsia="方正仿宋_GBK"/>
          <w:sz w:val="32"/>
          <w:szCs w:val="32"/>
        </w:rPr>
        <w:t>根据贵方为</w:t>
      </w:r>
      <w:r>
        <w:rPr>
          <w:rFonts w:hint="eastAsia" w:ascii="方正仿宋_GBK" w:eastAsia="方正仿宋_GBK"/>
          <w:sz w:val="32"/>
          <w:szCs w:val="32"/>
          <w:u w:val="single"/>
        </w:rPr>
        <w:t xml:space="preserve">                            </w:t>
      </w:r>
      <w:r>
        <w:rPr>
          <w:rFonts w:hint="eastAsia" w:ascii="方正仿宋_GBK" w:eastAsia="方正仿宋_GBK"/>
          <w:sz w:val="32"/>
          <w:szCs w:val="32"/>
        </w:rPr>
        <w:t>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44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元（大写：）的报价总价，承担本次询价文件要求的工程。</w:t>
      </w:r>
    </w:p>
    <w:p>
      <w:pPr>
        <w:spacing w:line="44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44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44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44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3、询价响应单位同意提供招标人可能要求的与其询价响应文件有关的一切数据或资料，完全理解招标人不一定要接受最低报价的询价响应或收到的任何投标。</w:t>
      </w:r>
    </w:p>
    <w:p>
      <w:pPr>
        <w:spacing w:line="44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440" w:lineRule="exact"/>
        <w:ind w:firstLine="645"/>
        <w:rPr>
          <w:rFonts w:ascii="方正仿宋_GBK" w:eastAsia="方正仿宋_GBK"/>
          <w:szCs w:val="28"/>
          <w:u w:val="single"/>
        </w:rPr>
      </w:pPr>
      <w:r>
        <w:rPr>
          <w:rFonts w:hint="eastAsia" w:ascii="方正仿宋_GBK" w:eastAsia="方正仿宋_GBK"/>
          <w:szCs w:val="28"/>
        </w:rPr>
        <w:t>地址：                       邮编：</w:t>
      </w:r>
    </w:p>
    <w:p>
      <w:pPr>
        <w:spacing w:line="440" w:lineRule="exact"/>
        <w:ind w:firstLine="645"/>
        <w:rPr>
          <w:rFonts w:ascii="方正仿宋_GBK" w:eastAsia="方正仿宋_GBK"/>
          <w:szCs w:val="28"/>
          <w:u w:val="single"/>
        </w:rPr>
      </w:pPr>
      <w:r>
        <w:rPr>
          <w:rFonts w:hint="eastAsia" w:ascii="方正仿宋_GBK" w:eastAsia="方正仿宋_GBK"/>
          <w:szCs w:val="28"/>
        </w:rPr>
        <w:t>电话：                       传真：</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询价响应单位的姓名、职务：</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询价响应单位（加盖公章）：</w:t>
      </w:r>
    </w:p>
    <w:p>
      <w:pPr>
        <w:spacing w:line="440" w:lineRule="exact"/>
        <w:ind w:firstLine="645"/>
        <w:rPr>
          <w:rFonts w:ascii="方正仿宋_GBK" w:eastAsia="方正仿宋_GBK"/>
          <w:szCs w:val="28"/>
        </w:rPr>
        <w:sectPr>
          <w:pgSz w:w="11906" w:h="16838"/>
          <w:pgMar w:top="1440" w:right="1800" w:bottom="1440" w:left="1800" w:header="851" w:footer="992" w:gutter="0"/>
          <w:cols w:space="720" w:num="1"/>
          <w:docGrid w:type="lines" w:linePitch="312" w:charSpace="0"/>
        </w:sectPr>
      </w:pPr>
      <w:r>
        <w:rPr>
          <w:rFonts w:hint="eastAsia" w:ascii="方正仿宋_GBK" w:eastAsia="方正仿宋_GBK"/>
          <w:szCs w:val="28"/>
        </w:rPr>
        <w:t>日期：   年   月   日</w:t>
      </w:r>
    </w:p>
    <w:p>
      <w:pPr>
        <w:pStyle w:val="3"/>
        <w:jc w:val="center"/>
        <w:rPr>
          <w:rFonts w:ascii="方正小标宋_GBK" w:hAnsi="方正小标宋_GBK" w:eastAsia="方正小标宋_GBK" w:cs="方正小标宋_GBK"/>
          <w:szCs w:val="32"/>
        </w:rPr>
      </w:pPr>
      <w:bookmarkStart w:id="42" w:name="_Toc183"/>
      <w:bookmarkStart w:id="43" w:name="_Toc262482378"/>
      <w:bookmarkStart w:id="44" w:name="_Toc258509718"/>
      <w:bookmarkStart w:id="45" w:name="_Toc354478455"/>
      <w:r>
        <w:rPr>
          <w:rFonts w:hint="eastAsia" w:ascii="方正小标宋_GBK" w:hAnsi="方正小标宋_GBK" w:eastAsia="方正小标宋_GBK" w:cs="方正小标宋_GBK"/>
          <w:bCs/>
          <w:szCs w:val="32"/>
        </w:rPr>
        <w:t>二、授权委托书</w:t>
      </w:r>
      <w:bookmarkEnd w:id="42"/>
      <w:bookmarkEnd w:id="43"/>
      <w:bookmarkEnd w:id="44"/>
      <w:bookmarkEnd w:id="45"/>
    </w:p>
    <w:p>
      <w:pPr>
        <w:jc w:val="left"/>
        <w:rPr>
          <w:rFonts w:ascii="方正仿宋_GBK" w:hAnsi="Calibri" w:eastAsia="方正仿宋_GBK"/>
          <w:sz w:val="32"/>
          <w:szCs w:val="32"/>
        </w:rPr>
      </w:pPr>
      <w:r>
        <w:rPr>
          <w:rFonts w:hint="eastAsia" w:ascii="方正仿宋_GBK" w:eastAsia="方正仿宋_GBK"/>
          <w:sz w:val="32"/>
          <w:szCs w:val="32"/>
        </w:rPr>
        <w:t>本人</w:t>
      </w:r>
      <w:r>
        <w:rPr>
          <w:rFonts w:hint="eastAsia" w:ascii="方正仿宋_GBK" w:eastAsia="方正仿宋_GBK"/>
          <w:sz w:val="32"/>
          <w:szCs w:val="32"/>
          <w:u w:val="single"/>
        </w:rPr>
        <w:t xml:space="preserve">       </w:t>
      </w:r>
      <w:r>
        <w:rPr>
          <w:rFonts w:hint="eastAsia" w:ascii="方正仿宋_GBK" w:eastAsia="方正仿宋_GBK"/>
          <w:sz w:val="32"/>
          <w:szCs w:val="32"/>
        </w:rPr>
        <w:t>（姓名）系</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（询价响应单位）的法定代表人，现委托我公司的</w:t>
      </w:r>
      <w:r>
        <w:rPr>
          <w:rFonts w:hint="eastAsia" w:ascii="方正仿宋_GBK" w:eastAsia="方正仿宋_GBK"/>
          <w:sz w:val="32"/>
          <w:szCs w:val="32"/>
          <w:u w:val="single"/>
        </w:rPr>
        <w:t xml:space="preserve">            </w:t>
      </w:r>
      <w:r>
        <w:rPr>
          <w:rFonts w:hint="eastAsia" w:ascii="方正仿宋_GBK" w:eastAsia="方正仿宋_GBK"/>
          <w:sz w:val="32"/>
          <w:szCs w:val="32"/>
        </w:rPr>
        <w:t>（姓名）为我方代理人。代理人根据授权，以我方名义签署、澄清、说明、补正、递交、撤回、修改</w:t>
      </w:r>
      <w:r>
        <w:rPr>
          <w:rFonts w:hint="eastAsia" w:ascii="仿宋" w:hAnsi="仿宋" w:eastAsia="仿宋" w:cs="仿宋"/>
          <w:sz w:val="32"/>
          <w:szCs w:val="32"/>
          <w:u w:val="single"/>
        </w:rPr>
        <w:t xml:space="preserve">                                             </w:t>
      </w:r>
      <w:r>
        <w:rPr>
          <w:rFonts w:hint="eastAsia" w:ascii="方正仿宋_GBK" w:hAnsi="Calibri" w:eastAsia="方正仿宋_GBK"/>
          <w:sz w:val="32"/>
          <w:szCs w:val="32"/>
        </w:rPr>
        <w:t>询价文件、签订合同和处理有关事宜，其法律后果由我方承担。</w:t>
      </w:r>
    </w:p>
    <w:p>
      <w:pPr>
        <w:pStyle w:val="14"/>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委托期限：  20   年  月  日至20   年  月  日 。</w:t>
      </w:r>
    </w:p>
    <w:p>
      <w:pPr>
        <w:pStyle w:val="14"/>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代理人无转委托权。</w:t>
      </w: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pStyle w:val="14"/>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询价响应单位：</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w:t>
      </w:r>
      <w:r>
        <w:rPr>
          <w:rFonts w:hint="eastAsia" w:ascii="方正仿宋_GBK" w:eastAsia="方正仿宋_GBK"/>
          <w:szCs w:val="28"/>
        </w:rPr>
        <w:t>加盖公章</w:t>
      </w:r>
      <w:r>
        <w:rPr>
          <w:rFonts w:hint="eastAsia" w:ascii="方正仿宋_GBK" w:hAnsi="Calibri" w:eastAsia="方正仿宋_GBK"/>
          <w:kern w:val="2"/>
          <w:sz w:val="32"/>
          <w:szCs w:val="32"/>
        </w:rPr>
        <w:t>）</w:t>
      </w:r>
    </w:p>
    <w:p>
      <w:pPr>
        <w:pStyle w:val="14"/>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法定代表人：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4"/>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委托代理人：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4"/>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日期：       年     月     日</w:t>
      </w:r>
    </w:p>
    <w:p>
      <w:pPr>
        <w:rPr>
          <w:rStyle w:val="15"/>
        </w:rPr>
      </w:pPr>
      <w:bookmarkStart w:id="46" w:name="_Toc26903"/>
      <w:r>
        <w:rPr>
          <w:rStyle w:val="15"/>
          <w:rFonts w:hint="eastAsia"/>
        </w:rPr>
        <w:br w:type="page"/>
      </w:r>
    </w:p>
    <w:p>
      <w:pPr>
        <w:pStyle w:val="3"/>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三、公司资质等资料</w:t>
      </w:r>
    </w:p>
    <w:bookmarkEnd w:id="46"/>
    <w:p>
      <w:pPr>
        <w:spacing w:line="500" w:lineRule="exact"/>
        <w:rPr>
          <w:rStyle w:val="15"/>
          <w:szCs w:val="22"/>
        </w:rPr>
      </w:pPr>
      <w:r>
        <w:rPr>
          <w:rStyle w:val="15"/>
          <w:rFonts w:hint="eastAsia"/>
          <w:szCs w:val="22"/>
        </w:rPr>
        <w:t xml:space="preserve">                               </w:t>
      </w:r>
    </w:p>
    <w:p>
      <w:pPr>
        <w:jc w:val="center"/>
        <w:rPr>
          <w:rFonts w:ascii="仿宋_GB2312" w:hAnsi="宋体" w:eastAsia="仿宋_GB2312" w:cs="宋体"/>
          <w:szCs w:val="28"/>
        </w:rPr>
      </w:pPr>
      <w:r>
        <w:rPr>
          <w:rFonts w:hint="eastAsia" w:ascii="仿宋_GB2312" w:hAnsi="宋体" w:eastAsia="仿宋_GB2312"/>
          <w:szCs w:val="28"/>
        </w:rPr>
        <w:t xml:space="preserve"> </w:t>
      </w:r>
      <w:r>
        <w:rPr>
          <w:rFonts w:hint="eastAsia" w:ascii="仿宋_GB2312" w:hAnsi="宋体" w:eastAsia="仿宋_GB2312" w:cs="宋体"/>
          <w:szCs w:val="28"/>
        </w:rPr>
        <w:t>（扫描、彩色打印，内容清晰可见）</w:t>
      </w:r>
    </w:p>
    <w:p>
      <w:pPr>
        <w:rPr>
          <w:sz w:val="30"/>
          <w:szCs w:val="30"/>
        </w:rPr>
      </w:pPr>
      <w:r>
        <w:rPr>
          <w:rFonts w:hint="eastAsia"/>
          <w:sz w:val="30"/>
          <w:szCs w:val="30"/>
        </w:rPr>
        <w:br w:type="page"/>
      </w:r>
    </w:p>
    <w:p>
      <w:pPr>
        <w:pStyle w:val="3"/>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四、污水处理站维修、维保费用报价清单</w:t>
      </w:r>
    </w:p>
    <w:p>
      <w:pPr>
        <w:spacing w:line="360" w:lineRule="auto"/>
        <w:rPr>
          <w:rFonts w:ascii="宋体" w:hAnsi="宋体" w:cs="宋体"/>
          <w:b/>
          <w:szCs w:val="21"/>
        </w:rPr>
      </w:pPr>
      <w:r>
        <w:rPr>
          <w:rFonts w:hint="eastAsia" w:ascii="宋体" w:hAnsi="宋体" w:cs="宋体"/>
          <w:b/>
          <w:szCs w:val="21"/>
        </w:rPr>
        <w:t>1、报价清单</w:t>
      </w:r>
    </w:p>
    <w:tbl>
      <w:tblPr>
        <w:tblStyle w:val="12"/>
        <w:tblW w:w="9139" w:type="dxa"/>
        <w:tblInd w:w="93" w:type="dxa"/>
        <w:tblLayout w:type="fixed"/>
        <w:tblCellMar>
          <w:top w:w="0" w:type="dxa"/>
          <w:left w:w="108" w:type="dxa"/>
          <w:bottom w:w="0" w:type="dxa"/>
          <w:right w:w="108" w:type="dxa"/>
        </w:tblCellMar>
      </w:tblPr>
      <w:tblGrid>
        <w:gridCol w:w="576"/>
        <w:gridCol w:w="2522"/>
        <w:gridCol w:w="950"/>
        <w:gridCol w:w="900"/>
        <w:gridCol w:w="1383"/>
        <w:gridCol w:w="1200"/>
        <w:gridCol w:w="1608"/>
      </w:tblGrid>
      <w:tr>
        <w:tblPrEx>
          <w:tblLayout w:type="fixed"/>
          <w:tblCellMar>
            <w:top w:w="0" w:type="dxa"/>
            <w:left w:w="108" w:type="dxa"/>
            <w:bottom w:w="0" w:type="dxa"/>
            <w:right w:w="108" w:type="dxa"/>
          </w:tblCellMar>
        </w:tblPrEx>
        <w:trPr>
          <w:trHeight w:val="285" w:hRule="atLeast"/>
        </w:trPr>
        <w:tc>
          <w:tcPr>
            <w:tcW w:w="57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5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9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4191"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r>
      <w:tr>
        <w:tblPrEx>
          <w:tblLayout w:type="fixed"/>
          <w:tblCellMar>
            <w:top w:w="0" w:type="dxa"/>
            <w:left w:w="108" w:type="dxa"/>
            <w:bottom w:w="0" w:type="dxa"/>
            <w:right w:w="108" w:type="dxa"/>
          </w:tblCellMar>
        </w:tblPrEx>
        <w:trPr>
          <w:trHeight w:val="345" w:hRule="atLeast"/>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52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3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w:t>
            </w:r>
          </w:p>
        </w:tc>
        <w:tc>
          <w:tcPr>
            <w:tcW w:w="120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合价</w:t>
            </w:r>
          </w:p>
        </w:tc>
        <w:tc>
          <w:tcPr>
            <w:tcW w:w="1608"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692"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污水处理设备日常维护保养</w:t>
            </w:r>
          </w:p>
        </w:tc>
        <w:tc>
          <w:tcPr>
            <w:tcW w:w="95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月</w:t>
            </w:r>
          </w:p>
        </w:tc>
        <w:tc>
          <w:tcPr>
            <w:tcW w:w="90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bookmarkStart w:id="47" w:name="_GoBack"/>
            <w:bookmarkEnd w:id="47"/>
          </w:p>
        </w:tc>
        <w:tc>
          <w:tcPr>
            <w:tcW w:w="13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2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608"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88"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最高限价（元）</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556" w:hRule="atLeast"/>
        </w:trPr>
        <w:tc>
          <w:tcPr>
            <w:tcW w:w="3098"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 计</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p>
        </w:tc>
      </w:tr>
    </w:tbl>
    <w:p>
      <w:pPr>
        <w:rPr>
          <w:rFonts w:eastAsia="仿宋_GB2312"/>
          <w:szCs w:val="28"/>
        </w:rPr>
      </w:pPr>
    </w:p>
    <w:p>
      <w:pPr>
        <w:spacing w:line="360" w:lineRule="auto"/>
        <w:rPr>
          <w:rFonts w:ascii="宋体" w:hAnsi="宋体" w:cs="宋体"/>
          <w:b/>
          <w:szCs w:val="21"/>
        </w:rPr>
      </w:pPr>
      <w:r>
        <w:rPr>
          <w:rFonts w:hint="eastAsia" w:ascii="宋体" w:hAnsi="宋体" w:cs="宋体"/>
          <w:b/>
          <w:szCs w:val="21"/>
        </w:rPr>
        <w:t>2、清单说明</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（1）本次维保项目包含龙兴服务区（左、右线）、  北碚服务区（左、右线）、曾家服务区（左、右线）、珞璜服务区（左、右线）复兴服务区（左右线）、江津（白沙）服务区、江津（塘河）服务区12处站点的污水设施维保。</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（2）投标费用包干部分包括但不限于：</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人员工资费用、药品费用（消毒济、除磷剂）、小维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备注：投标费用不含设备大修费用，设备大修或更换由业主负责。单项价值1000元以上的由乙方向甲方提交《设备维修采购申请报告》，甲方采购或委托乙方根据市场价格代为采购，乙方负责免费更换。单项价值1000元以下的由乙方负责采购安装。</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单项价值1000以上大修并更换的项目有：水泵更换、风机主机维修及更换、风机成套更换、加药泵更换、控制柜更换、设备箱体漏水维修、填料更换。</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本项目未提及的工作内容或设计变更或工程增减部分和询价范围以外的零星工作内容在施工中发生以后以现行定额及配套文件为依据进行计算，由业主方、施工方共同认质、认价，人工费调整按施工期间的造价信息平均值进行调整。2）如果未按照分项报价表要求进行报价，将被视为没有实质性响应招标文件。</w:t>
      </w:r>
    </w:p>
    <w:p>
      <w:pPr>
        <w:rPr>
          <w:rFonts w:eastAsia="仿宋_GB2312"/>
          <w:szCs w:val="28"/>
        </w:rPr>
      </w:pPr>
    </w:p>
    <w:p>
      <w:pPr>
        <w:pStyle w:val="14"/>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询价响应单位：</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w:t>
      </w:r>
      <w:r>
        <w:rPr>
          <w:rFonts w:hint="eastAsia" w:ascii="方正仿宋_GBK" w:eastAsia="方正仿宋_GBK"/>
          <w:sz w:val="21"/>
          <w:szCs w:val="21"/>
        </w:rPr>
        <w:t>加盖公章</w:t>
      </w:r>
      <w:r>
        <w:rPr>
          <w:rFonts w:hint="eastAsia" w:ascii="方正仿宋_GBK" w:hAnsi="Calibri" w:eastAsia="方正仿宋_GBK"/>
          <w:kern w:val="2"/>
          <w:sz w:val="21"/>
          <w:szCs w:val="21"/>
        </w:rPr>
        <w:t>）</w:t>
      </w:r>
    </w:p>
    <w:p>
      <w:pPr>
        <w:pStyle w:val="14"/>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法定代表人：</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（签字或盖章）</w:t>
      </w:r>
    </w:p>
    <w:p>
      <w:pPr>
        <w:pStyle w:val="14"/>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委托代理人：</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（签字或盖章）</w:t>
      </w:r>
    </w:p>
    <w:p>
      <w:pPr>
        <w:pStyle w:val="14"/>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日期：       年     月     日</w:t>
      </w:r>
    </w:p>
    <w:p>
      <w:pPr>
        <w:rPr>
          <w:rFonts w:ascii="宋体" w:hAnsi="宋体"/>
          <w:color w:val="0000FF"/>
          <w:kern w:val="0"/>
          <w:szCs w:val="21"/>
        </w:rPr>
      </w:pPr>
    </w:p>
    <w:p>
      <w:pPr>
        <w:rPr>
          <w:rFonts w:eastAsia="仿宋_GB2312"/>
          <w:szCs w:val="28"/>
        </w:rPr>
      </w:pPr>
    </w:p>
    <w:p>
      <w:pPr>
        <w:rPr>
          <w:rFonts w:eastAsia="仿宋_GB2312"/>
          <w:szCs w:val="28"/>
        </w:rPr>
      </w:pPr>
    </w:p>
    <w:p>
      <w:pPr>
        <w:rPr>
          <w:rFonts w:eastAsia="仿宋_GB2312"/>
          <w:szCs w:val="28"/>
        </w:rPr>
      </w:pPr>
    </w:p>
    <w:p>
      <w:pPr>
        <w:rPr>
          <w:rFonts w:eastAsia="仿宋_GB2312"/>
          <w:szCs w:val="28"/>
        </w:rPr>
      </w:pPr>
    </w:p>
    <w:p>
      <w:pPr>
        <w:spacing w:line="500" w:lineRule="exact"/>
        <w:jc w:val="center"/>
        <w:rPr>
          <w:rFonts w:ascii="宋体" w:hAnsi="宋体"/>
          <w:b/>
          <w:bCs/>
          <w:sz w:val="44"/>
          <w:szCs w:val="44"/>
        </w:rPr>
      </w:pPr>
      <w:r>
        <w:rPr>
          <w:rStyle w:val="15"/>
          <w:rFonts w:hint="eastAsia"/>
        </w:rPr>
        <w:br w:type="page"/>
      </w:r>
      <w:r>
        <w:rPr>
          <w:rFonts w:hint="eastAsia" w:ascii="方正小标宋_GBK" w:hAnsi="方正小标宋_GBK" w:eastAsia="方正小标宋_GBK" w:cs="方正小标宋_GBK"/>
          <w:b/>
          <w:bCs/>
          <w:sz w:val="32"/>
          <w:szCs w:val="32"/>
        </w:rPr>
        <w:t>五、拟委任的主要管理人员及车辆配置</w:t>
      </w:r>
      <w:r>
        <w:rPr>
          <w:rFonts w:hint="eastAsia" w:ascii="宋体" w:hAnsi="宋体"/>
          <w:b/>
          <w:bCs/>
          <w:sz w:val="44"/>
          <w:szCs w:val="44"/>
        </w:rPr>
        <w:t xml:space="preserve">                              </w:t>
      </w:r>
    </w:p>
    <w:p>
      <w:pPr>
        <w:spacing w:line="500" w:lineRule="exact"/>
        <w:jc w:val="center"/>
        <w:rPr>
          <w:rFonts w:ascii="宋体" w:hAnsi="宋体"/>
          <w:b/>
          <w:bCs/>
          <w:sz w:val="44"/>
          <w:szCs w:val="44"/>
        </w:rPr>
      </w:pPr>
      <w:r>
        <w:rPr>
          <w:rFonts w:hint="eastAsia" w:ascii="宋体" w:hAnsi="宋体"/>
          <w:b/>
          <w:bCs/>
          <w:sz w:val="44"/>
          <w:szCs w:val="44"/>
        </w:rPr>
        <w:t xml:space="preserve"> </w:t>
      </w:r>
    </w:p>
    <w:p>
      <w:pPr>
        <w:spacing w:line="360" w:lineRule="auto"/>
        <w:ind w:firstLine="560" w:firstLineChars="200"/>
      </w:pPr>
    </w:p>
    <w:tbl>
      <w:tblPr>
        <w:tblStyle w:val="12"/>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07"/>
        <w:gridCol w:w="2695"/>
        <w:gridCol w:w="1268"/>
        <w:gridCol w:w="124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jc w:val="center"/>
              <w:rPr>
                <w:szCs w:val="21"/>
              </w:rPr>
            </w:pPr>
            <w:r>
              <w:rPr>
                <w:rFonts w:hint="eastAsia"/>
                <w:szCs w:val="21"/>
              </w:rPr>
              <w:t>姓名</w:t>
            </w:r>
          </w:p>
        </w:tc>
        <w:tc>
          <w:tcPr>
            <w:tcW w:w="907" w:type="dxa"/>
            <w:vAlign w:val="center"/>
          </w:tcPr>
          <w:p>
            <w:pPr>
              <w:spacing w:line="360" w:lineRule="auto"/>
              <w:jc w:val="center"/>
              <w:rPr>
                <w:szCs w:val="21"/>
              </w:rPr>
            </w:pPr>
            <w:r>
              <w:rPr>
                <w:rFonts w:hint="eastAsia"/>
                <w:szCs w:val="21"/>
              </w:rPr>
              <w:t>年龄</w:t>
            </w:r>
          </w:p>
        </w:tc>
        <w:tc>
          <w:tcPr>
            <w:tcW w:w="2695" w:type="dxa"/>
            <w:vAlign w:val="center"/>
          </w:tcPr>
          <w:p>
            <w:pPr>
              <w:spacing w:line="360" w:lineRule="auto"/>
              <w:jc w:val="center"/>
              <w:rPr>
                <w:szCs w:val="21"/>
              </w:rPr>
            </w:pPr>
            <w:r>
              <w:rPr>
                <w:rFonts w:hint="eastAsia"/>
                <w:szCs w:val="21"/>
              </w:rPr>
              <w:t>拟在本项目中担任的职务</w:t>
            </w:r>
          </w:p>
        </w:tc>
        <w:tc>
          <w:tcPr>
            <w:tcW w:w="1268" w:type="dxa"/>
            <w:vAlign w:val="center"/>
          </w:tcPr>
          <w:p>
            <w:pPr>
              <w:spacing w:line="360" w:lineRule="auto"/>
              <w:jc w:val="center"/>
              <w:rPr>
                <w:szCs w:val="21"/>
              </w:rPr>
            </w:pPr>
            <w:r>
              <w:rPr>
                <w:rFonts w:hint="eastAsia"/>
                <w:szCs w:val="21"/>
              </w:rPr>
              <w:t>技术职称</w:t>
            </w:r>
          </w:p>
        </w:tc>
        <w:tc>
          <w:tcPr>
            <w:tcW w:w="1247" w:type="dxa"/>
            <w:vAlign w:val="center"/>
          </w:tcPr>
          <w:p>
            <w:pPr>
              <w:spacing w:line="360" w:lineRule="auto"/>
              <w:jc w:val="center"/>
              <w:rPr>
                <w:szCs w:val="21"/>
              </w:rPr>
            </w:pPr>
            <w:r>
              <w:rPr>
                <w:rFonts w:hint="eastAsia"/>
                <w:szCs w:val="21"/>
              </w:rPr>
              <w:t>工作年限</w:t>
            </w:r>
          </w:p>
        </w:tc>
        <w:tc>
          <w:tcPr>
            <w:tcW w:w="1982" w:type="dxa"/>
            <w:vAlign w:val="center"/>
          </w:tcPr>
          <w:p>
            <w:pPr>
              <w:spacing w:line="360" w:lineRule="auto"/>
              <w:jc w:val="center"/>
              <w:rPr>
                <w:szCs w:val="21"/>
              </w:rPr>
            </w:pPr>
            <w:r>
              <w:rPr>
                <w:rFonts w:hint="eastAsia"/>
                <w:szCs w:val="21"/>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bl>
    <w:p>
      <w:pPr>
        <w:rPr>
          <w:rStyle w:val="15"/>
        </w:rPr>
      </w:pPr>
      <w:r>
        <w:rPr>
          <w:rStyle w:val="15"/>
          <w:rFonts w:hint="eastAsia"/>
        </w:rPr>
        <w:br w:type="page"/>
      </w:r>
    </w:p>
    <w:p>
      <w:pPr>
        <w:jc w:val="center"/>
        <w:rPr>
          <w:rFonts w:ascii="方正小标宋_GBK" w:eastAsia="方正小标宋_GBK"/>
          <w:sz w:val="44"/>
          <w:szCs w:val="44"/>
        </w:rPr>
      </w:pPr>
      <w:r>
        <w:rPr>
          <w:rFonts w:hint="eastAsia" w:ascii="方正小标宋_GBK" w:hAnsi="方正小标宋_GBK" w:eastAsia="方正小标宋_GBK" w:cs="方正小标宋_GBK"/>
          <w:b/>
          <w:bCs/>
          <w:sz w:val="32"/>
          <w:szCs w:val="32"/>
        </w:rPr>
        <w:t>六、运行管理方案</w:t>
      </w:r>
    </w:p>
    <w:p>
      <w:pPr>
        <w:rPr>
          <w:rFonts w:ascii="仿宋_GB2312" w:hAnsi="宋体" w:eastAsia="仿宋_GB2312" w:cs="宋体"/>
          <w:szCs w:val="28"/>
        </w:rPr>
      </w:pPr>
    </w:p>
    <w:p>
      <w:pPr>
        <w:jc w:val="center"/>
        <w:rPr>
          <w:rFonts w:ascii="方正仿宋_GBK" w:eastAsia="方正仿宋_GBK"/>
          <w:color w:val="000000"/>
          <w:szCs w:val="28"/>
        </w:rPr>
      </w:pPr>
      <w:r>
        <w:rPr>
          <w:rFonts w:hint="eastAsia" w:ascii="方正仿宋_GBK" w:eastAsia="方正仿宋_GBK"/>
          <w:color w:val="000000"/>
          <w:szCs w:val="28"/>
        </w:rPr>
        <w:t>格式自拟。</w:t>
      </w:r>
    </w:p>
    <w:p>
      <w:pPr>
        <w:rPr>
          <w:rFonts w:ascii="方正仿宋_GBK" w:eastAsia="方正仿宋_GBK"/>
          <w:color w:val="000000"/>
          <w:szCs w:val="28"/>
        </w:rPr>
      </w:pPr>
      <w:r>
        <w:rPr>
          <w:rFonts w:hint="eastAsia" w:ascii="方正仿宋_GBK" w:eastAsia="方正仿宋_GBK"/>
          <w:color w:val="000000"/>
          <w:szCs w:val="28"/>
        </w:rPr>
        <w:br w:type="page"/>
      </w:r>
    </w:p>
    <w:p>
      <w:pPr>
        <w:pStyle w:val="3"/>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七、其他资料</w:t>
      </w:r>
    </w:p>
    <w:p>
      <w:pPr>
        <w:rPr>
          <w:color w:val="0000FF"/>
        </w:rPr>
      </w:pPr>
    </w:p>
    <w:p>
      <w:pPr>
        <w:pStyle w:val="5"/>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3DC"/>
    <w:multiLevelType w:val="singleLevel"/>
    <w:tmpl w:val="006B23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E32"/>
    <w:rsid w:val="000E4CEB"/>
    <w:rsid w:val="0011117A"/>
    <w:rsid w:val="001259A7"/>
    <w:rsid w:val="00172A27"/>
    <w:rsid w:val="001735F4"/>
    <w:rsid w:val="0038188E"/>
    <w:rsid w:val="003B2BE8"/>
    <w:rsid w:val="003C47E5"/>
    <w:rsid w:val="003F359C"/>
    <w:rsid w:val="00403057"/>
    <w:rsid w:val="00463934"/>
    <w:rsid w:val="004C4A70"/>
    <w:rsid w:val="005511A3"/>
    <w:rsid w:val="00560C96"/>
    <w:rsid w:val="005A2C86"/>
    <w:rsid w:val="005D0800"/>
    <w:rsid w:val="005D53A4"/>
    <w:rsid w:val="00622452"/>
    <w:rsid w:val="00635BA4"/>
    <w:rsid w:val="006767AF"/>
    <w:rsid w:val="006906B3"/>
    <w:rsid w:val="006B32D2"/>
    <w:rsid w:val="006D7530"/>
    <w:rsid w:val="007221A3"/>
    <w:rsid w:val="007730B8"/>
    <w:rsid w:val="007B7ECD"/>
    <w:rsid w:val="007F6228"/>
    <w:rsid w:val="00807085"/>
    <w:rsid w:val="00813C5A"/>
    <w:rsid w:val="008E653C"/>
    <w:rsid w:val="00951A18"/>
    <w:rsid w:val="0096039C"/>
    <w:rsid w:val="009608F9"/>
    <w:rsid w:val="009D3F27"/>
    <w:rsid w:val="00A92054"/>
    <w:rsid w:val="00A951FF"/>
    <w:rsid w:val="00AF6982"/>
    <w:rsid w:val="00B54B1A"/>
    <w:rsid w:val="00B85C3F"/>
    <w:rsid w:val="00BB3745"/>
    <w:rsid w:val="00BD40EF"/>
    <w:rsid w:val="00BE0FB7"/>
    <w:rsid w:val="00C3038C"/>
    <w:rsid w:val="00CD4A60"/>
    <w:rsid w:val="00D40FDF"/>
    <w:rsid w:val="00E019F1"/>
    <w:rsid w:val="00E07B19"/>
    <w:rsid w:val="00E14526"/>
    <w:rsid w:val="00E21077"/>
    <w:rsid w:val="00E9274A"/>
    <w:rsid w:val="00F72F55"/>
    <w:rsid w:val="05CE00D4"/>
    <w:rsid w:val="061D1BE6"/>
    <w:rsid w:val="092C3CB0"/>
    <w:rsid w:val="0E38777B"/>
    <w:rsid w:val="0E404BED"/>
    <w:rsid w:val="11E82977"/>
    <w:rsid w:val="11F20B46"/>
    <w:rsid w:val="139F2154"/>
    <w:rsid w:val="147D0211"/>
    <w:rsid w:val="158A3FC4"/>
    <w:rsid w:val="1E557F84"/>
    <w:rsid w:val="27634CF0"/>
    <w:rsid w:val="29147121"/>
    <w:rsid w:val="2AEE64F0"/>
    <w:rsid w:val="2DC354BE"/>
    <w:rsid w:val="3B234229"/>
    <w:rsid w:val="417A22BF"/>
    <w:rsid w:val="42174BA7"/>
    <w:rsid w:val="426C253B"/>
    <w:rsid w:val="440975B1"/>
    <w:rsid w:val="45357663"/>
    <w:rsid w:val="51084784"/>
    <w:rsid w:val="55637F60"/>
    <w:rsid w:val="55A07CBE"/>
    <w:rsid w:val="56106AE7"/>
    <w:rsid w:val="56DB30DB"/>
    <w:rsid w:val="617B3E07"/>
    <w:rsid w:val="65A3627D"/>
    <w:rsid w:val="65BD4645"/>
    <w:rsid w:val="6E2D21A2"/>
    <w:rsid w:val="72CB1DFA"/>
    <w:rsid w:val="7493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jc w:val="center"/>
      <w:outlineLvl w:val="2"/>
    </w:pPr>
    <w:rPr>
      <w:b/>
      <w:sz w:val="4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b/>
      <w:bCs/>
      <w:caps/>
      <w:sz w:val="20"/>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2"/>
    <w:basedOn w:val="1"/>
    <w:qFormat/>
    <w:uiPriority w:val="0"/>
    <w:pPr>
      <w:adjustRightInd w:val="0"/>
      <w:spacing w:line="460" w:lineRule="exact"/>
      <w:textAlignment w:val="baseline"/>
    </w:pPr>
    <w:rPr>
      <w:rFonts w:ascii="宋体" w:hAnsi="宋体" w:eastAsia="仿宋_GB2312"/>
      <w:kern w:val="0"/>
    </w:rPr>
  </w:style>
  <w:style w:type="character" w:customStyle="1" w:styleId="15">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1005</Words>
  <Characters>5732</Characters>
  <Lines>47</Lines>
  <Paragraphs>13</Paragraphs>
  <TotalTime>122</TotalTime>
  <ScaleCrop>false</ScaleCrop>
  <LinksUpToDate>false</LinksUpToDate>
  <CharactersWithSpaces>6724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2020-11-06T03:12:00Z</dcterms:created>
  <dc:creator>沃利克环保张春</dc:creator>
  <cp:lastModifiedBy>胡艺</cp:lastModifiedBy>
  <cp:lastPrinted>2020-11-16T03:37:00Z</cp:lastPrinted>
  <dcterms:modified xsi:type="dcterms:W3CDTF">2021-12-21T03:07:15Z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