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Ansi="宋体"/>
          <w:b/>
          <w:spacing w:val="-20"/>
          <w:kern w:val="0"/>
          <w:sz w:val="36"/>
          <w:szCs w:val="36"/>
        </w:rPr>
      </w:pPr>
      <w:bookmarkStart w:id="24" w:name="_GoBack"/>
      <w:r>
        <w:rPr>
          <w:rFonts w:hint="eastAsia" w:hAnsi="宋体"/>
          <w:b/>
          <w:spacing w:val="-20"/>
          <w:kern w:val="0"/>
          <w:sz w:val="36"/>
          <w:szCs w:val="36"/>
        </w:rPr>
        <w:t>重庆高速资产经营管理有限公司关于与</w:t>
      </w:r>
    </w:p>
    <w:p>
      <w:pPr>
        <w:widowControl/>
        <w:jc w:val="center"/>
        <w:rPr>
          <w:rFonts w:hAnsi="宋体"/>
          <w:b/>
          <w:spacing w:val="-20"/>
          <w:kern w:val="0"/>
          <w:sz w:val="36"/>
          <w:szCs w:val="36"/>
        </w:rPr>
      </w:pPr>
      <w:r>
        <w:rPr>
          <w:rFonts w:hint="eastAsia" w:hAnsi="宋体"/>
          <w:b/>
          <w:spacing w:val="-20"/>
          <w:kern w:val="0"/>
          <w:sz w:val="36"/>
          <w:szCs w:val="36"/>
        </w:rPr>
        <w:t>重庆市冠强实业有限公司房屋租赁合同纠纷法律服务项目</w:t>
      </w:r>
    </w:p>
    <w:bookmarkEnd w:id="24"/>
    <w:p>
      <w:pPr>
        <w:jc w:val="center"/>
        <w:rPr>
          <w:rFonts w:ascii="宋体" w:hAnsi="宋体"/>
          <w:b/>
          <w:spacing w:val="20"/>
          <w:sz w:val="72"/>
          <w:szCs w:val="72"/>
        </w:rPr>
      </w:pPr>
    </w:p>
    <w:p>
      <w:pPr>
        <w:jc w:val="center"/>
        <w:rPr>
          <w:rFonts w:ascii="宋体" w:hAnsi="宋体"/>
          <w:b/>
          <w:spacing w:val="20"/>
          <w:sz w:val="72"/>
          <w:szCs w:val="72"/>
        </w:rPr>
      </w:pPr>
    </w:p>
    <w:p>
      <w:pPr>
        <w:jc w:val="center"/>
        <w:rPr>
          <w:rFonts w:ascii="宋体" w:hAnsi="宋体"/>
          <w:b/>
          <w:spacing w:val="20"/>
          <w:sz w:val="72"/>
          <w:szCs w:val="72"/>
        </w:rPr>
      </w:pPr>
      <w:r>
        <w:rPr>
          <w:rFonts w:hint="eastAsia" w:ascii="宋体" w:hAnsi="宋体"/>
          <w:b/>
          <w:spacing w:val="20"/>
          <w:sz w:val="72"/>
          <w:szCs w:val="72"/>
        </w:rPr>
        <w:t>询价函</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pacing w:val="100"/>
          <w:szCs w:val="21"/>
        </w:rPr>
      </w:pPr>
    </w:p>
    <w:p>
      <w:pPr>
        <w:widowControl/>
        <w:jc w:val="center"/>
        <w:rPr>
          <w:rFonts w:hAnsi="宋体"/>
          <w:b/>
          <w:spacing w:val="-20"/>
          <w:kern w:val="0"/>
          <w:sz w:val="36"/>
          <w:szCs w:val="36"/>
        </w:rPr>
      </w:pPr>
      <w:r>
        <w:rPr>
          <w:rFonts w:hint="eastAsia" w:hAnsi="宋体"/>
          <w:b/>
          <w:spacing w:val="-20"/>
          <w:kern w:val="0"/>
          <w:sz w:val="36"/>
          <w:szCs w:val="36"/>
        </w:rPr>
        <w:t>重庆高速资产经营管理有限公司</w:t>
      </w:r>
    </w:p>
    <w:p>
      <w:pPr>
        <w:pStyle w:val="3"/>
        <w:snapToGrid w:val="0"/>
        <w:ind w:left="99" w:leftChars="47"/>
        <w:jc w:val="center"/>
        <w:rPr>
          <w:rFonts w:ascii="宋体" w:hAnsi="宋体"/>
          <w:b/>
          <w:sz w:val="32"/>
          <w:szCs w:val="32"/>
        </w:rPr>
      </w:pPr>
      <w:r>
        <w:rPr>
          <w:rFonts w:hint="eastAsia" w:ascii="宋体" w:hAnsi="宋体"/>
          <w:b/>
          <w:sz w:val="32"/>
          <w:szCs w:val="32"/>
        </w:rPr>
        <w:t>2022年</w:t>
      </w:r>
      <w:r>
        <w:rPr>
          <w:rFonts w:hint="eastAsia" w:ascii="宋体" w:hAnsi="宋体"/>
          <w:b/>
          <w:sz w:val="32"/>
          <w:szCs w:val="32"/>
          <w:u w:val="single"/>
        </w:rPr>
        <w:t xml:space="preserve"> 12</w:t>
      </w:r>
      <w:r>
        <w:rPr>
          <w:rFonts w:hint="eastAsia" w:ascii="宋体" w:hAnsi="宋体"/>
          <w:b/>
          <w:sz w:val="32"/>
          <w:szCs w:val="32"/>
        </w:rPr>
        <w:t>月</w:t>
      </w:r>
    </w:p>
    <w:p>
      <w:pPr>
        <w:rPr>
          <w:b/>
          <w:sz w:val="30"/>
          <w:szCs w:val="30"/>
        </w:rPr>
      </w:pPr>
    </w:p>
    <w:p>
      <w:pPr>
        <w:jc w:val="center"/>
        <w:rPr>
          <w:b/>
          <w:sz w:val="30"/>
          <w:szCs w:val="30"/>
        </w:rPr>
      </w:pPr>
    </w:p>
    <w:p>
      <w:pPr>
        <w:jc w:val="center"/>
        <w:rPr>
          <w:b/>
          <w:sz w:val="30"/>
          <w:szCs w:val="30"/>
        </w:rPr>
      </w:pPr>
    </w:p>
    <w:p>
      <w:pPr>
        <w:widowControl/>
        <w:jc w:val="center"/>
        <w:rPr>
          <w:rFonts w:hAnsi="宋体"/>
          <w:b/>
          <w:spacing w:val="-20"/>
          <w:kern w:val="0"/>
          <w:sz w:val="36"/>
          <w:szCs w:val="36"/>
        </w:rPr>
      </w:pPr>
    </w:p>
    <w:p>
      <w:pPr>
        <w:widowControl/>
        <w:jc w:val="center"/>
        <w:rPr>
          <w:rFonts w:hint="eastAsia" w:hAnsi="宋体"/>
          <w:b/>
          <w:spacing w:val="-20"/>
          <w:kern w:val="0"/>
          <w:sz w:val="36"/>
          <w:szCs w:val="36"/>
        </w:rPr>
      </w:pPr>
    </w:p>
    <w:p>
      <w:pPr>
        <w:widowControl/>
        <w:jc w:val="center"/>
        <w:rPr>
          <w:rFonts w:hAnsi="宋体"/>
          <w:b/>
          <w:spacing w:val="-20"/>
          <w:kern w:val="0"/>
          <w:sz w:val="36"/>
          <w:szCs w:val="36"/>
        </w:rPr>
      </w:pPr>
      <w:r>
        <w:rPr>
          <w:rFonts w:hint="eastAsia" w:hAnsi="宋体"/>
          <w:b/>
          <w:spacing w:val="-20"/>
          <w:kern w:val="0"/>
          <w:sz w:val="36"/>
          <w:szCs w:val="36"/>
        </w:rPr>
        <w:t>重庆高速资产经营管理有限公司关于与</w:t>
      </w:r>
    </w:p>
    <w:p>
      <w:pPr>
        <w:widowControl/>
        <w:jc w:val="center"/>
        <w:rPr>
          <w:rFonts w:hAnsi="宋体"/>
          <w:b/>
          <w:spacing w:val="-20"/>
          <w:kern w:val="0"/>
          <w:sz w:val="36"/>
          <w:szCs w:val="36"/>
        </w:rPr>
      </w:pPr>
      <w:r>
        <w:rPr>
          <w:rFonts w:hint="eastAsia" w:hAnsi="宋体"/>
          <w:b/>
          <w:spacing w:val="-20"/>
          <w:kern w:val="0"/>
          <w:sz w:val="36"/>
          <w:szCs w:val="36"/>
        </w:rPr>
        <w:t>重庆市冠强实业有限公司房屋租赁合同纠纷法律服务项目询价函</w:t>
      </w:r>
    </w:p>
    <w:p>
      <w:pPr>
        <w:widowControl/>
        <w:jc w:val="center"/>
        <w:rPr>
          <w:rFonts w:hAnsi="宋体"/>
          <w:b/>
          <w:spacing w:val="-20"/>
          <w:kern w:val="0"/>
          <w:sz w:val="36"/>
          <w:szCs w:val="36"/>
        </w:rPr>
      </w:pPr>
    </w:p>
    <w:p>
      <w:pPr>
        <w:ind w:firstLine="480" w:firstLineChars="200"/>
        <w:rPr>
          <w:rFonts w:ascii="宋体" w:hAnsi="宋体"/>
          <w:color w:val="000000"/>
          <w:sz w:val="24"/>
        </w:rPr>
      </w:pPr>
      <w:bookmarkStart w:id="0" w:name="_Toc152042297"/>
      <w:bookmarkStart w:id="1" w:name="_Toc152045521"/>
      <w:bookmarkStart w:id="2" w:name="_Toc296602412"/>
      <w:bookmarkStart w:id="3" w:name="_Toc246996911"/>
      <w:bookmarkStart w:id="4" w:name="_Toc246996168"/>
      <w:bookmarkStart w:id="5" w:name="_Toc179632538"/>
      <w:bookmarkStart w:id="6" w:name="_Toc144974489"/>
      <w:bookmarkStart w:id="7" w:name="_Toc247085682"/>
      <w:r>
        <w:rPr>
          <w:rFonts w:hint="eastAsia" w:ascii="宋体" w:hAnsi="宋体"/>
          <w:color w:val="000000"/>
          <w:sz w:val="24"/>
        </w:rPr>
        <w:t>现重庆高速资产经营管理有限公司（以下简称我司）就重庆市冠强实业有限公司就房屋租赁事宜产生纠纷，拟启动诉讼程序。为确保项目顺利开展，我司拟通过公开询价确定本项目实施单位，具体要求如下：</w:t>
      </w:r>
    </w:p>
    <w:p>
      <w:pPr>
        <w:rPr>
          <w:rFonts w:ascii="宋体" w:hAnsi="宋体"/>
          <w:b/>
          <w:sz w:val="24"/>
        </w:rPr>
      </w:pPr>
      <w:bookmarkStart w:id="8" w:name="_Toc152045520"/>
      <w:bookmarkStart w:id="9" w:name="_Toc179632537"/>
      <w:bookmarkStart w:id="10" w:name="_Toc246996167"/>
      <w:bookmarkStart w:id="11" w:name="_Toc246996910"/>
      <w:bookmarkStart w:id="12" w:name="_Toc247085681"/>
      <w:bookmarkStart w:id="13" w:name="_Toc296602411"/>
      <w:bookmarkStart w:id="14" w:name="_Toc144974488"/>
      <w:bookmarkStart w:id="15" w:name="_Toc152042296"/>
      <w:r>
        <w:rPr>
          <w:rFonts w:hint="eastAsia" w:ascii="宋体" w:hAnsi="宋体"/>
          <w:b/>
          <w:sz w:val="24"/>
        </w:rPr>
        <w:t>一、询价范围</w:t>
      </w:r>
      <w:bookmarkEnd w:id="8"/>
      <w:bookmarkEnd w:id="9"/>
      <w:bookmarkEnd w:id="10"/>
      <w:bookmarkEnd w:id="11"/>
      <w:bookmarkEnd w:id="12"/>
      <w:bookmarkEnd w:id="13"/>
      <w:bookmarkEnd w:id="14"/>
      <w:bookmarkEnd w:id="15"/>
    </w:p>
    <w:p>
      <w:pPr>
        <w:ind w:firstLine="480" w:firstLineChars="200"/>
        <w:rPr>
          <w:rFonts w:ascii="宋体" w:hAnsi="宋体"/>
          <w:color w:val="000000"/>
          <w:sz w:val="24"/>
        </w:rPr>
      </w:pPr>
      <w:r>
        <w:rPr>
          <w:rFonts w:hint="eastAsia" w:ascii="宋体" w:hAnsi="宋体"/>
          <w:color w:val="000000"/>
          <w:sz w:val="24"/>
        </w:rPr>
        <w:t>（一）项目情况介绍</w:t>
      </w:r>
    </w:p>
    <w:p>
      <w:pPr>
        <w:ind w:firstLine="480" w:firstLineChars="200"/>
        <w:rPr>
          <w:rFonts w:ascii="宋体" w:hAnsi="宋体"/>
          <w:color w:val="000000" w:themeColor="text1"/>
          <w:sz w:val="24"/>
          <w:lang w:eastAsia="zh-Hans"/>
          <w14:textFill>
            <w14:solidFill>
              <w14:schemeClr w14:val="tx1"/>
            </w14:solidFill>
          </w14:textFill>
        </w:rPr>
      </w:pPr>
      <w:r>
        <w:rPr>
          <w:rFonts w:hint="eastAsia" w:ascii="宋体" w:hAnsi="宋体"/>
          <w:color w:val="000000"/>
          <w:sz w:val="24"/>
        </w:rPr>
        <w:t>2019年5月，我司、重庆高速公路集团有限公司中渝营运分公司（以下简称“中渝营运</w:t>
      </w:r>
      <w:r>
        <w:rPr>
          <w:rFonts w:hint="eastAsia" w:ascii="宋体" w:hAnsi="宋体"/>
          <w:color w:val="000000"/>
          <w:sz w:val="24"/>
          <w:lang w:eastAsia="zh-Hans"/>
        </w:rPr>
        <w:t>公司</w:t>
      </w:r>
      <w:r>
        <w:rPr>
          <w:rFonts w:hint="eastAsia" w:ascii="宋体" w:hAnsi="宋体"/>
          <w:color w:val="000000"/>
          <w:sz w:val="24"/>
        </w:rPr>
        <w:t>”）、冠强公司</w:t>
      </w:r>
      <w:r>
        <w:rPr>
          <w:rFonts w:hint="eastAsia" w:ascii="宋体" w:hAnsi="宋体"/>
          <w:color w:val="000000"/>
          <w:sz w:val="24"/>
          <w:lang w:eastAsia="zh-Hans"/>
        </w:rPr>
        <w:t>签订《珞璜服务区北侧租赁合同》，约定</w:t>
      </w:r>
      <w:r>
        <w:rPr>
          <w:rFonts w:hint="eastAsia" w:ascii="宋体" w:hAnsi="宋体"/>
          <w:color w:val="000000"/>
          <w:sz w:val="24"/>
        </w:rPr>
        <w:t>我司</w:t>
      </w:r>
      <w:r>
        <w:rPr>
          <w:rFonts w:hint="eastAsia" w:ascii="宋体" w:hAnsi="宋体"/>
          <w:color w:val="000000"/>
          <w:sz w:val="24"/>
          <w:lang w:eastAsia="zh-Hans"/>
        </w:rPr>
        <w:t>将珞璜服务区北侧约定区域租赁给</w:t>
      </w:r>
      <w:r>
        <w:rPr>
          <w:rFonts w:hint="eastAsia" w:ascii="宋体" w:hAnsi="宋体"/>
          <w:color w:val="000000"/>
          <w:sz w:val="24"/>
        </w:rPr>
        <w:t>冠强公司</w:t>
      </w:r>
      <w:r>
        <w:rPr>
          <w:rFonts w:hint="eastAsia" w:ascii="宋体" w:hAnsi="宋体"/>
          <w:color w:val="000000"/>
          <w:sz w:val="24"/>
          <w:lang w:eastAsia="zh-Hans"/>
        </w:rPr>
        <w:t>使用。租赁期限从2019年3月1日至2027年2月28日共计8年</w:t>
      </w:r>
      <w:r>
        <w:rPr>
          <w:rFonts w:hint="eastAsia" w:ascii="宋体" w:hAnsi="宋体"/>
          <w:color w:val="000000"/>
          <w:sz w:val="24"/>
        </w:rPr>
        <w:t>，并约定了租金等费用的支付、</w:t>
      </w:r>
      <w:r>
        <w:rPr>
          <w:rFonts w:hint="eastAsia" w:ascii="宋体" w:hAnsi="宋体"/>
          <w:color w:val="000000"/>
          <w:sz w:val="24"/>
          <w:lang w:eastAsia="zh-Hans"/>
        </w:rPr>
        <w:t>逾期支付租金</w:t>
      </w:r>
      <w:r>
        <w:rPr>
          <w:rFonts w:hint="eastAsia" w:ascii="宋体" w:hAnsi="宋体"/>
          <w:color w:val="000000"/>
          <w:sz w:val="24"/>
        </w:rPr>
        <w:t>的违约责任，还明确约定如</w:t>
      </w:r>
      <w:r>
        <w:rPr>
          <w:rFonts w:hint="eastAsia" w:ascii="宋体" w:hAnsi="宋体"/>
          <w:color w:val="000000"/>
          <w:sz w:val="24"/>
          <w:lang w:eastAsia="zh-Hans"/>
        </w:rPr>
        <w:t>欠交租金超过</w:t>
      </w:r>
      <w:r>
        <w:rPr>
          <w:rFonts w:ascii="宋体" w:hAnsi="宋体"/>
          <w:color w:val="000000"/>
          <w:sz w:val="24"/>
          <w:lang w:eastAsia="zh-Hans"/>
        </w:rPr>
        <w:t>3</w:t>
      </w:r>
      <w:r>
        <w:rPr>
          <w:rFonts w:hint="eastAsia" w:ascii="宋体" w:hAnsi="宋体"/>
          <w:color w:val="000000"/>
          <w:sz w:val="24"/>
          <w:lang w:eastAsia="zh-Hans"/>
        </w:rPr>
        <w:t>个月，</w:t>
      </w:r>
      <w:r>
        <w:rPr>
          <w:rFonts w:hint="eastAsia" w:ascii="宋体" w:hAnsi="宋体"/>
          <w:color w:val="000000"/>
          <w:sz w:val="24"/>
        </w:rPr>
        <w:t>我司</w:t>
      </w:r>
      <w:r>
        <w:rPr>
          <w:rFonts w:hint="eastAsia" w:ascii="宋体" w:hAnsi="宋体"/>
          <w:color w:val="000000"/>
          <w:sz w:val="24"/>
          <w:lang w:eastAsia="zh-Hans"/>
        </w:rPr>
        <w:t>有权单方提前解除合同</w:t>
      </w:r>
      <w:r>
        <w:rPr>
          <w:rFonts w:hint="eastAsia" w:ascii="宋体" w:hAnsi="宋体"/>
          <w:color w:val="000000"/>
          <w:sz w:val="24"/>
        </w:rPr>
        <w:t>。</w:t>
      </w:r>
      <w:r>
        <w:rPr>
          <w:rFonts w:hint="eastAsia" w:ascii="宋体" w:hAnsi="宋体"/>
          <w:color w:val="000000"/>
          <w:sz w:val="24"/>
          <w:lang w:eastAsia="zh-Hans"/>
        </w:rPr>
        <w:t>2021年10月，</w:t>
      </w:r>
      <w:r>
        <w:rPr>
          <w:rFonts w:hint="eastAsia" w:ascii="宋体" w:hAnsi="宋体"/>
          <w:color w:val="000000"/>
          <w:sz w:val="24"/>
        </w:rPr>
        <w:t>我司</w:t>
      </w:r>
      <w:r>
        <w:rPr>
          <w:rFonts w:hint="eastAsia" w:ascii="宋体" w:hAnsi="宋体"/>
          <w:color w:val="000000"/>
          <w:sz w:val="24"/>
          <w:lang w:eastAsia="zh-Hans"/>
        </w:rPr>
        <w:t>、</w:t>
      </w:r>
      <w:r>
        <w:rPr>
          <w:rFonts w:hint="eastAsia" w:ascii="宋体" w:hAnsi="宋体"/>
          <w:color w:val="000000"/>
          <w:sz w:val="24"/>
        </w:rPr>
        <w:t>中渝营运</w:t>
      </w:r>
      <w:r>
        <w:rPr>
          <w:rFonts w:hint="eastAsia" w:ascii="宋体" w:hAnsi="宋体"/>
          <w:color w:val="000000"/>
          <w:sz w:val="24"/>
          <w:lang w:eastAsia="zh-Hans"/>
        </w:rPr>
        <w:t>公司、</w:t>
      </w:r>
      <w:r>
        <w:rPr>
          <w:rFonts w:hint="eastAsia" w:ascii="宋体" w:hAnsi="宋体"/>
          <w:color w:val="000000"/>
          <w:sz w:val="24"/>
        </w:rPr>
        <w:t>冠强公司</w:t>
      </w:r>
      <w:r>
        <w:rPr>
          <w:rFonts w:hint="eastAsia" w:ascii="宋体" w:hAnsi="宋体"/>
          <w:color w:val="000000"/>
          <w:sz w:val="24"/>
          <w:lang w:eastAsia="zh-Hans"/>
        </w:rPr>
        <w:t>签订补充协议</w:t>
      </w:r>
      <w:r>
        <w:rPr>
          <w:rFonts w:hint="eastAsia" w:ascii="宋体" w:hAnsi="宋体"/>
          <w:color w:val="000000"/>
          <w:sz w:val="24"/>
        </w:rPr>
        <w:t>就租金进行了部分调整及冲抵。因冠强公司逾期支付款项，我司</w:t>
      </w:r>
      <w:r>
        <w:rPr>
          <w:rFonts w:hint="eastAsia" w:ascii="宋体" w:hAnsi="宋体"/>
          <w:color w:val="000000"/>
          <w:sz w:val="24"/>
          <w:lang w:eastAsia="zh-Hans"/>
        </w:rPr>
        <w:t>多次发函向</w:t>
      </w:r>
      <w:r>
        <w:rPr>
          <w:rFonts w:hint="eastAsia" w:ascii="宋体" w:hAnsi="宋体"/>
          <w:color w:val="000000"/>
          <w:sz w:val="24"/>
        </w:rPr>
        <w:t>冠强公司</w:t>
      </w:r>
      <w:r>
        <w:rPr>
          <w:rFonts w:hint="eastAsia" w:ascii="宋体" w:hAnsi="宋体"/>
          <w:color w:val="000000"/>
          <w:sz w:val="24"/>
          <w:lang w:eastAsia="zh-Hans"/>
        </w:rPr>
        <w:t>催款</w:t>
      </w:r>
      <w:r>
        <w:rPr>
          <w:rFonts w:hint="eastAsia" w:ascii="宋体" w:hAnsi="宋体"/>
          <w:color w:val="000000"/>
          <w:sz w:val="24"/>
        </w:rPr>
        <w:t>，</w:t>
      </w:r>
      <w:r>
        <w:rPr>
          <w:rFonts w:hint="eastAsia" w:ascii="宋体" w:hAnsi="宋体"/>
          <w:color w:val="000000" w:themeColor="text1"/>
          <w:sz w:val="24"/>
          <w14:textFill>
            <w14:solidFill>
              <w14:schemeClr w14:val="tx1"/>
            </w14:solidFill>
          </w14:textFill>
        </w:rPr>
        <w:t>仍欠租约2</w:t>
      </w:r>
      <w:r>
        <w:rPr>
          <w:rFonts w:ascii="宋体" w:hAnsi="宋体"/>
          <w:color w:val="000000" w:themeColor="text1"/>
          <w:sz w:val="24"/>
          <w14:textFill>
            <w14:solidFill>
              <w14:schemeClr w14:val="tx1"/>
            </w14:solidFill>
          </w14:textFill>
        </w:rPr>
        <w:t>,614,875</w:t>
      </w:r>
      <w:r>
        <w:rPr>
          <w:rFonts w:hint="eastAsia" w:ascii="宋体" w:hAnsi="宋体"/>
          <w:color w:val="000000" w:themeColor="text1"/>
          <w:sz w:val="24"/>
          <w14:textFill>
            <w14:solidFill>
              <w14:schemeClr w14:val="tx1"/>
            </w14:solidFill>
          </w14:textFill>
        </w:rPr>
        <w:t>元。现拟追究其违约责任，包括但不限于解除合同、催收租金、违约金等，标的约为</w:t>
      </w:r>
      <w:r>
        <w:rPr>
          <w:rFonts w:ascii="宋体" w:hAnsi="宋体"/>
          <w:color w:val="000000" w:themeColor="text1"/>
          <w:sz w:val="24"/>
          <w14:textFill>
            <w14:solidFill>
              <w14:schemeClr w14:val="tx1"/>
            </w14:solidFill>
          </w14:textFill>
        </w:rPr>
        <w:t>3,481,233.53</w:t>
      </w:r>
      <w:r>
        <w:rPr>
          <w:rFonts w:hint="eastAsia" w:ascii="宋体" w:hAnsi="宋体"/>
          <w:color w:val="000000" w:themeColor="text1"/>
          <w:sz w:val="24"/>
          <w14:textFill>
            <w14:solidFill>
              <w14:schemeClr w14:val="tx1"/>
            </w14:solidFill>
          </w14:textFill>
        </w:rPr>
        <w:t>元。</w:t>
      </w:r>
    </w:p>
    <w:p>
      <w:pPr>
        <w:ind w:firstLine="480" w:firstLineChars="200"/>
        <w:rPr>
          <w:rFonts w:ascii="宋体" w:hAnsi="宋体"/>
          <w:color w:val="000000"/>
          <w:sz w:val="24"/>
        </w:rPr>
      </w:pPr>
      <w:r>
        <w:rPr>
          <w:rFonts w:hint="eastAsia" w:ascii="宋体" w:hAnsi="宋体"/>
          <w:color w:val="000000"/>
          <w:sz w:val="24"/>
        </w:rPr>
        <w:t>（二）服务内容包括：</w:t>
      </w:r>
    </w:p>
    <w:p>
      <w:pPr>
        <w:ind w:firstLine="480" w:firstLineChars="200"/>
        <w:rPr>
          <w:rFonts w:ascii="宋体" w:hAnsi="宋体"/>
          <w:color w:val="000000"/>
          <w:sz w:val="24"/>
        </w:rPr>
      </w:pPr>
      <w:r>
        <w:rPr>
          <w:rFonts w:hint="eastAsia" w:ascii="宋体" w:hAnsi="宋体"/>
          <w:color w:val="000000"/>
          <w:sz w:val="24"/>
        </w:rPr>
        <w:t>一审、二审（如有）、再审（如有）、执行（如有）。</w:t>
      </w:r>
    </w:p>
    <w:p>
      <w:pPr>
        <w:rPr>
          <w:rFonts w:ascii="宋体" w:hAnsi="宋体" w:cs="宋体"/>
          <w:b/>
          <w:sz w:val="24"/>
        </w:rPr>
      </w:pPr>
    </w:p>
    <w:p>
      <w:pPr>
        <w:rPr>
          <w:rFonts w:ascii="宋体" w:hAnsi="宋体" w:cs="宋体"/>
          <w:b/>
          <w:sz w:val="24"/>
        </w:rPr>
      </w:pPr>
      <w:r>
        <w:rPr>
          <w:rFonts w:hint="eastAsia" w:ascii="宋体" w:hAnsi="宋体" w:cs="宋体"/>
          <w:b/>
          <w:sz w:val="24"/>
        </w:rPr>
        <w:t>二、报价人要求</w:t>
      </w:r>
    </w:p>
    <w:p>
      <w:pPr>
        <w:ind w:firstLine="480" w:firstLineChars="200"/>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（一）具备有效的律师事务所执业许可证；</w:t>
      </w:r>
    </w:p>
    <w:p>
      <w:pPr>
        <w:ind w:firstLine="480" w:firstLineChars="200"/>
        <w:outlineLvl w:val="0"/>
        <w:rPr>
          <w:rFonts w:ascii="宋体" w:hAnsi="宋体"/>
          <w:color w:val="000000"/>
          <w:sz w:val="24"/>
        </w:rPr>
      </w:pPr>
      <w:r>
        <w:rPr>
          <w:rFonts w:hint="eastAsia" w:ascii="宋体" w:hAnsi="宋体"/>
          <w:color w:val="000000"/>
          <w:sz w:val="24"/>
        </w:rPr>
        <w:t>（二）具有独立承担民事责任的能力；</w:t>
      </w:r>
    </w:p>
    <w:p>
      <w:pPr>
        <w:ind w:firstLine="480" w:firstLineChars="200"/>
        <w:outlineLvl w:val="0"/>
        <w:rPr>
          <w:rFonts w:ascii="宋体" w:hAnsi="宋体"/>
          <w:color w:val="000000"/>
          <w:sz w:val="24"/>
        </w:rPr>
      </w:pPr>
      <w:r>
        <w:rPr>
          <w:rFonts w:hint="eastAsia" w:ascii="宋体" w:hAnsi="宋体"/>
          <w:color w:val="000000"/>
          <w:sz w:val="24"/>
        </w:rPr>
        <w:t>（三）遵守国家法律法规,具有良好的职业声誉、商业信誉和财务状况。</w:t>
      </w:r>
    </w:p>
    <w:p>
      <w:pPr>
        <w:ind w:firstLine="480" w:firstLineChars="200"/>
        <w:outlineLvl w:val="0"/>
        <w:rPr>
          <w:rFonts w:ascii="宋体" w:hAnsi="宋体"/>
          <w:color w:val="000000"/>
          <w:sz w:val="24"/>
        </w:rPr>
      </w:pPr>
      <w:r>
        <w:rPr>
          <w:rFonts w:hint="eastAsia" w:ascii="宋体" w:hAnsi="宋体"/>
          <w:color w:val="000000"/>
          <w:sz w:val="24"/>
        </w:rPr>
        <w:t>（四）具有履行合同所必须的专业技术能力。</w:t>
      </w:r>
    </w:p>
    <w:p>
      <w:pPr>
        <w:ind w:firstLine="480" w:firstLineChars="200"/>
        <w:outlineLvl w:val="0"/>
        <w:rPr>
          <w:rFonts w:ascii="宋体" w:hAnsi="宋体"/>
          <w:color w:val="000000"/>
          <w:sz w:val="24"/>
        </w:rPr>
      </w:pPr>
      <w:r>
        <w:rPr>
          <w:rFonts w:hint="eastAsia" w:ascii="宋体" w:hAnsi="宋体"/>
          <w:color w:val="000000"/>
          <w:sz w:val="24"/>
        </w:rPr>
        <w:t>（五）丰富的法律实务经验；</w:t>
      </w:r>
    </w:p>
    <w:p>
      <w:pPr>
        <w:outlineLvl w:val="0"/>
        <w:rPr>
          <w:rFonts w:ascii="宋体" w:hAnsi="宋体"/>
          <w:color w:val="000000"/>
          <w:sz w:val="24"/>
        </w:rPr>
      </w:pPr>
    </w:p>
    <w:bookmarkEnd w:id="0"/>
    <w:bookmarkEnd w:id="1"/>
    <w:bookmarkEnd w:id="2"/>
    <w:bookmarkEnd w:id="3"/>
    <w:bookmarkEnd w:id="4"/>
    <w:bookmarkEnd w:id="5"/>
    <w:bookmarkEnd w:id="6"/>
    <w:bookmarkEnd w:id="7"/>
    <w:p>
      <w:pPr>
        <w:numPr>
          <w:ilvl w:val="0"/>
          <w:numId w:val="1"/>
        </w:numPr>
        <w:rPr>
          <w:rFonts w:ascii="宋体" w:hAnsi="宋体" w:cs="宋体"/>
          <w:b/>
          <w:sz w:val="24"/>
        </w:rPr>
      </w:pPr>
      <w:bookmarkStart w:id="16" w:name="_Toc152045522"/>
      <w:bookmarkStart w:id="17" w:name="_Toc179632539"/>
      <w:bookmarkStart w:id="18" w:name="_Toc246996169"/>
      <w:bookmarkStart w:id="19" w:name="_Toc247085683"/>
      <w:bookmarkStart w:id="20" w:name="_Toc296602413"/>
      <w:bookmarkStart w:id="21" w:name="_Toc152042298"/>
      <w:bookmarkStart w:id="22" w:name="_Toc246996912"/>
      <w:bookmarkStart w:id="23" w:name="_Toc144974490"/>
      <w:r>
        <w:rPr>
          <w:rFonts w:hint="eastAsia" w:ascii="宋体" w:hAnsi="宋体" w:cs="宋体"/>
          <w:b/>
          <w:sz w:val="24"/>
        </w:rPr>
        <w:t>询价响应文件的要求</w:t>
      </w:r>
    </w:p>
    <w:bookmarkEnd w:id="16"/>
    <w:bookmarkEnd w:id="17"/>
    <w:bookmarkEnd w:id="18"/>
    <w:bookmarkEnd w:id="19"/>
    <w:bookmarkEnd w:id="20"/>
    <w:bookmarkEnd w:id="21"/>
    <w:bookmarkEnd w:id="22"/>
    <w:bookmarkEnd w:id="23"/>
    <w:p>
      <w:pPr>
        <w:ind w:firstLine="480" w:firstLineChars="200"/>
        <w:rPr>
          <w:rFonts w:ascii="宋体" w:hAnsi="宋体" w:cs="宋体"/>
          <w:sz w:val="24"/>
        </w:rPr>
      </w:pPr>
      <w:r>
        <w:rPr>
          <w:rFonts w:hint="eastAsia" w:ascii="宋体" w:hAnsi="宋体" w:cs="宋体"/>
          <w:sz w:val="24"/>
        </w:rPr>
        <w:t>本次询价响应文件的组成：</w:t>
      </w:r>
    </w:p>
    <w:p>
      <w:pPr>
        <w:ind w:firstLine="480" w:firstLineChars="200"/>
        <w:rPr>
          <w:rFonts w:ascii="宋体" w:hAnsi="宋体" w:cs="宋体"/>
          <w:sz w:val="24"/>
        </w:rPr>
      </w:pPr>
      <w:r>
        <w:rPr>
          <w:rFonts w:hint="eastAsia" w:ascii="宋体" w:hAnsi="宋体" w:cs="宋体"/>
          <w:sz w:val="24"/>
        </w:rPr>
        <w:t>（一）报价函</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报价采用固定收费的报价方式，最高不超过</w:t>
      </w:r>
      <w:r>
        <w:rPr>
          <w:rFonts w:ascii="宋体" w:hAnsi="宋体" w:cs="宋体"/>
          <w:color w:val="000000" w:themeColor="text1"/>
          <w:sz w:val="24"/>
          <w:u w:val="single"/>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万元。</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（二）事务所执业许可证（加盖单位公章）</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（三）服务团队（律师）简介（包括但不限于同类型案件胜诉率、执行情况等）</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（四）正、副本各一份</w:t>
      </w:r>
    </w:p>
    <w:p>
      <w:pPr>
        <w:rPr>
          <w:rFonts w:ascii="宋体" w:hAnsi="宋体" w:cs="宋体"/>
          <w:sz w:val="24"/>
        </w:rPr>
      </w:pPr>
    </w:p>
    <w:p>
      <w:pPr>
        <w:numPr>
          <w:ilvl w:val="0"/>
          <w:numId w:val="2"/>
        </w:numPr>
        <w:rPr>
          <w:rFonts w:ascii="宋体" w:hAnsi="宋体" w:cs="宋体"/>
          <w:b/>
          <w:sz w:val="24"/>
        </w:rPr>
      </w:pPr>
      <w:r>
        <w:rPr>
          <w:rFonts w:hint="eastAsia" w:ascii="宋体" w:hAnsi="宋体" w:cs="宋体"/>
          <w:b/>
          <w:sz w:val="24"/>
        </w:rPr>
        <w:t>评标办法</w:t>
      </w:r>
    </w:p>
    <w:p>
      <w:pPr>
        <w:ind w:firstLine="480" w:firstLineChars="200"/>
        <w:outlineLvl w:val="0"/>
        <w:rPr>
          <w:rFonts w:ascii="宋体" w:hAnsi="宋体"/>
          <w:sz w:val="24"/>
        </w:rPr>
      </w:pPr>
      <w:r>
        <w:rPr>
          <w:rFonts w:hint="eastAsia" w:ascii="宋体" w:hAnsi="宋体"/>
          <w:sz w:val="24"/>
        </w:rPr>
        <w:t>询价人将根据申报材料进行综合评定</w:t>
      </w:r>
      <w:r>
        <w:rPr>
          <w:rFonts w:hint="eastAsia" w:ascii="宋体" w:hAnsi="宋体"/>
          <w:sz w:val="24"/>
          <w:lang w:val="en-US" w:eastAsia="zh-CN"/>
        </w:rPr>
        <w:t>,总分100分，其中报价部分70分，方案部分30分</w:t>
      </w:r>
      <w:r>
        <w:rPr>
          <w:rFonts w:hint="eastAsia" w:ascii="宋体" w:hAnsi="宋体"/>
          <w:sz w:val="24"/>
        </w:rPr>
        <w:t>（细则详见附件），评审会结束后通知中标单位。</w:t>
      </w:r>
    </w:p>
    <w:p>
      <w:pPr>
        <w:outlineLvl w:val="0"/>
        <w:rPr>
          <w:rFonts w:ascii="宋体" w:hAnsi="宋体"/>
          <w:sz w:val="24"/>
        </w:rPr>
      </w:pPr>
    </w:p>
    <w:p>
      <w:pPr>
        <w:rPr>
          <w:rFonts w:ascii="宋体" w:hAnsi="宋体" w:cs="宋体"/>
          <w:b/>
          <w:sz w:val="24"/>
        </w:rPr>
      </w:pPr>
      <w:r>
        <w:rPr>
          <w:rFonts w:hint="eastAsia" w:ascii="宋体" w:hAnsi="宋体" w:cs="宋体"/>
          <w:b/>
          <w:sz w:val="24"/>
        </w:rPr>
        <w:t>五、询价须知</w:t>
      </w:r>
    </w:p>
    <w:p>
      <w:pPr>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（一）投标截止时间：</w:t>
      </w:r>
      <w:r>
        <w:rPr>
          <w:rFonts w:hint="eastAsia" w:ascii="宋体" w:hAnsi="宋体"/>
          <w:color w:val="000000" w:themeColor="text1"/>
          <w:sz w:val="24"/>
          <w:lang w:val="en-US" w:eastAsia="zh-CN"/>
          <w14:textFill>
            <w14:solidFill>
              <w14:schemeClr w14:val="tx1"/>
            </w14:solidFill>
          </w14:textFill>
        </w:rPr>
        <w:t>2023年1月5日</w:t>
      </w:r>
      <w:r>
        <w:rPr>
          <w:rFonts w:hint="eastAsia"/>
          <w:color w:val="000000" w:themeColor="text1"/>
          <w:sz w:val="24"/>
          <w14:textFill>
            <w14:solidFill>
              <w14:schemeClr w14:val="tx1"/>
            </w14:solidFill>
          </w14:textFill>
        </w:rPr>
        <w:t>北京时间上午</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00</w:t>
      </w:r>
      <w:r>
        <w:rPr>
          <w:rFonts w:hint="eastAsia"/>
          <w:color w:val="000000" w:themeColor="text1"/>
          <w:sz w:val="24"/>
          <w14:textFill>
            <w14:solidFill>
              <w14:schemeClr w14:val="tx1"/>
            </w14:solidFill>
          </w14:textFill>
        </w:rPr>
        <w:t>时</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（二）询价公告网址：</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高速集团官网：http://www.cegc.com.cn/gw/index</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（三）各报价人应根据本次询价的要求提交询价响应文件，并加盖公章。</w:t>
      </w:r>
    </w:p>
    <w:p>
      <w:pPr>
        <w:ind w:firstLine="480" w:firstLineChars="200"/>
        <w:rPr>
          <w:rFonts w:hint="eastAsia" w:ascii="宋体" w:hAnsi="宋体" w:eastAsia="宋体" w:cs="宋体"/>
          <w:sz w:val="24"/>
          <w:lang w:eastAsia="zh-CN"/>
        </w:rPr>
      </w:pPr>
      <w:r>
        <w:rPr>
          <w:rFonts w:hint="eastAsia" w:ascii="宋体" w:hAnsi="宋体" w:cs="宋体"/>
          <w:sz w:val="24"/>
        </w:rPr>
        <w:t>（四）提交形式：将上述询价响应文件</w:t>
      </w:r>
      <w:r>
        <w:rPr>
          <w:rFonts w:hint="eastAsia" w:ascii="宋体" w:hAnsi="宋体" w:cs="宋体"/>
          <w:sz w:val="24"/>
          <w:lang w:eastAsia="zh-CN"/>
        </w:rPr>
        <w:t>纸质版</w:t>
      </w:r>
      <w:r>
        <w:rPr>
          <w:rFonts w:hint="eastAsia" w:ascii="宋体" w:hAnsi="宋体" w:cs="宋体"/>
          <w:sz w:val="24"/>
        </w:rPr>
        <w:t>在投标截止时间之前</w:t>
      </w:r>
      <w:r>
        <w:rPr>
          <w:rFonts w:hint="eastAsia" w:ascii="宋体" w:hAnsi="宋体" w:cs="宋体"/>
          <w:sz w:val="24"/>
          <w:lang w:eastAsia="zh-CN"/>
        </w:rPr>
        <w:t>提交至</w:t>
      </w:r>
      <w:r>
        <w:rPr>
          <w:rFonts w:hint="eastAsia" w:ascii="宋体" w:hAnsi="宋体" w:cs="方正仿宋_GBK"/>
          <w:sz w:val="24"/>
        </w:rPr>
        <w:t>重庆市渝北区人和香锦路4号</w:t>
      </w:r>
      <w:r>
        <w:rPr>
          <w:rFonts w:hint="eastAsia" w:ascii="宋体" w:hAnsi="宋体" w:cs="方正仿宋_GBK"/>
          <w:sz w:val="24"/>
          <w:lang w:eastAsia="zh-CN"/>
        </w:rPr>
        <w:t>重庆高速资产经营管理有限公司</w:t>
      </w:r>
      <w:r>
        <w:rPr>
          <w:rFonts w:hint="eastAsia" w:ascii="宋体" w:hAnsi="宋体" w:cs="方正仿宋_GBK"/>
          <w:sz w:val="24"/>
          <w:lang w:val="en-US" w:eastAsia="zh-CN"/>
        </w:rPr>
        <w:t>6楼会议室</w:t>
      </w:r>
      <w:r>
        <w:rPr>
          <w:rFonts w:hint="eastAsia" w:ascii="宋体" w:hAnsi="宋体" w:cs="宋体"/>
          <w:sz w:val="24"/>
        </w:rPr>
        <w:t xml:space="preserve"> </w:t>
      </w:r>
    </w:p>
    <w:p>
      <w:pPr>
        <w:ind w:firstLine="480" w:firstLineChars="200"/>
        <w:rPr>
          <w:rFonts w:ascii="宋体" w:hAnsi="宋体" w:cs="宋体"/>
          <w:sz w:val="24"/>
        </w:rPr>
      </w:pPr>
      <w:r>
        <w:rPr>
          <w:rFonts w:hint="eastAsia" w:ascii="宋体" w:hAnsi="宋体" w:cs="宋体"/>
          <w:sz w:val="24"/>
        </w:rPr>
        <w:t>（五）联系人:郭老师     电话：1</w:t>
      </w:r>
      <w:r>
        <w:rPr>
          <w:rFonts w:ascii="宋体" w:hAnsi="宋体" w:cs="宋体"/>
          <w:sz w:val="24"/>
        </w:rPr>
        <w:t>8523121281</w:t>
      </w:r>
      <w:r>
        <w:rPr>
          <w:rFonts w:hint="eastAsia" w:ascii="宋体" w:hAnsi="宋体" w:cs="宋体"/>
          <w:sz w:val="24"/>
        </w:rPr>
        <w:t xml:space="preserve">        地址：</w:t>
      </w:r>
      <w:r>
        <w:rPr>
          <w:rFonts w:hint="eastAsia" w:ascii="宋体" w:hAnsi="宋体" w:cs="方正仿宋_GBK"/>
          <w:sz w:val="24"/>
        </w:rPr>
        <w:t>重庆市渝北区人和香锦路4号</w:t>
      </w:r>
      <w:r>
        <w:rPr>
          <w:rFonts w:hint="eastAsia" w:ascii="宋体" w:hAnsi="宋体" w:cs="宋体"/>
          <w:sz w:val="24"/>
        </w:rPr>
        <w:t xml:space="preserve"> </w:t>
      </w:r>
    </w:p>
    <w:p>
      <w:pPr>
        <w:spacing w:line="360" w:lineRule="auto"/>
        <w:ind w:firstLine="480" w:firstLineChars="200"/>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b/>
          <w:sz w:val="24"/>
        </w:rPr>
      </w:pPr>
      <w:r>
        <w:rPr>
          <w:rFonts w:hint="eastAsia"/>
          <w:b/>
          <w:sz w:val="24"/>
        </w:rPr>
        <w:t xml:space="preserve"> </w:t>
      </w:r>
    </w:p>
    <w:p>
      <w:pPr>
        <w:spacing w:line="360" w:lineRule="auto"/>
        <w:rPr>
          <w:b/>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b/>
          <w:sz w:val="24"/>
        </w:rPr>
      </w:pPr>
    </w:p>
    <w:p>
      <w:pPr>
        <w:pStyle w:val="2"/>
      </w:pPr>
    </w:p>
    <w:tbl>
      <w:tblPr>
        <w:tblStyle w:val="6"/>
        <w:tblW w:w="10601" w:type="dxa"/>
        <w:tblInd w:w="-993" w:type="dxa"/>
        <w:tblLayout w:type="autofit"/>
        <w:tblCellMar>
          <w:top w:w="0" w:type="dxa"/>
          <w:left w:w="108" w:type="dxa"/>
          <w:bottom w:w="0" w:type="dxa"/>
          <w:right w:w="108" w:type="dxa"/>
        </w:tblCellMar>
      </w:tblPr>
      <w:tblGrid>
        <w:gridCol w:w="9782"/>
        <w:gridCol w:w="819"/>
      </w:tblGrid>
      <w:tr>
        <w:tblPrEx>
          <w:tblCellMar>
            <w:top w:w="0" w:type="dxa"/>
            <w:left w:w="108" w:type="dxa"/>
            <w:bottom w:w="0" w:type="dxa"/>
            <w:right w:w="108" w:type="dxa"/>
          </w:tblCellMar>
        </w:tblPrEx>
        <w:trPr>
          <w:trHeight w:val="426" w:hRule="atLeast"/>
        </w:trPr>
        <w:tc>
          <w:tcPr>
            <w:tcW w:w="10601" w:type="dxa"/>
            <w:gridSpan w:val="2"/>
            <w:tcBorders>
              <w:top w:val="nil"/>
              <w:left w:val="nil"/>
              <w:bottom w:val="single" w:color="auto" w:sz="4" w:space="0"/>
              <w:right w:val="nil"/>
            </w:tcBorders>
            <w:noWrap/>
            <w:vAlign w:val="center"/>
          </w:tcPr>
          <w:p>
            <w:pPr>
              <w:widowControl/>
              <w:spacing w:line="600" w:lineRule="exact"/>
              <w:rPr>
                <w:rFonts w:ascii="方正仿宋_GBK" w:hAnsi="方正仿宋_GBK" w:eastAsia="方正仿宋_GBK" w:cs="宋体"/>
                <w:kern w:val="0"/>
                <w:sz w:val="28"/>
                <w:szCs w:val="28"/>
              </w:rPr>
            </w:pPr>
            <w:r>
              <w:rPr>
                <w:rFonts w:hint="eastAsia" w:ascii="方正仿宋_GBK" w:hAnsi="方正仿宋_GBK" w:eastAsia="方正仿宋_GBK" w:cs="宋体"/>
                <w:kern w:val="0"/>
                <w:sz w:val="28"/>
                <w:szCs w:val="28"/>
              </w:rPr>
              <w:t>附件</w:t>
            </w:r>
          </w:p>
          <w:p>
            <w:pPr>
              <w:widowControl/>
              <w:spacing w:line="600" w:lineRule="exact"/>
              <w:jc w:val="center"/>
              <w:rPr>
                <w:rFonts w:ascii="方正仿宋_GBK" w:hAnsi="方正仿宋_GBK" w:eastAsia="方正仿宋_GBK" w:cs="宋体"/>
                <w:kern w:val="0"/>
                <w:sz w:val="28"/>
                <w:szCs w:val="28"/>
              </w:rPr>
            </w:pPr>
            <w:r>
              <w:rPr>
                <w:rFonts w:hint="eastAsia" w:ascii="方正仿宋_GBK" w:hAnsi="方正仿宋_GBK" w:eastAsia="方正仿宋_GBK" w:cs="宋体"/>
                <w:kern w:val="0"/>
                <w:sz w:val="28"/>
                <w:szCs w:val="28"/>
              </w:rPr>
              <w:t>重庆高速资产经营管理有限公司</w:t>
            </w:r>
          </w:p>
          <w:p>
            <w:pPr>
              <w:widowControl/>
              <w:spacing w:line="600" w:lineRule="exact"/>
              <w:jc w:val="center"/>
              <w:rPr>
                <w:rFonts w:ascii="方正仿宋_GBK" w:hAnsi="方正仿宋_GBK" w:eastAsia="方正仿宋_GBK" w:cs="宋体"/>
                <w:kern w:val="0"/>
                <w:sz w:val="28"/>
                <w:szCs w:val="28"/>
              </w:rPr>
            </w:pPr>
            <w:r>
              <w:rPr>
                <w:rFonts w:hint="eastAsia" w:ascii="方正仿宋_GBK" w:hAnsi="方正仿宋_GBK" w:eastAsia="方正仿宋_GBK" w:cs="宋体"/>
                <w:kern w:val="0"/>
                <w:sz w:val="28"/>
                <w:szCs w:val="28"/>
              </w:rPr>
              <w:t>（重庆高速土地整治有限公司）</w:t>
            </w:r>
          </w:p>
          <w:p>
            <w:pPr>
              <w:widowControl/>
              <w:spacing w:line="600" w:lineRule="exact"/>
              <w:jc w:val="center"/>
              <w:rPr>
                <w:rFonts w:ascii="方正仿宋_GBK" w:hAnsi="方正仿宋_GBK" w:eastAsia="方正仿宋_GBK" w:cs="宋体"/>
                <w:kern w:val="0"/>
                <w:sz w:val="28"/>
                <w:szCs w:val="28"/>
              </w:rPr>
            </w:pPr>
            <w:r>
              <w:rPr>
                <w:rFonts w:hint="eastAsia" w:ascii="方正仿宋_GBK" w:hAnsi="方正仿宋_GBK" w:eastAsia="方正仿宋_GBK"/>
                <w:bCs/>
                <w:spacing w:val="-20"/>
                <w:kern w:val="0"/>
                <w:sz w:val="28"/>
                <w:szCs w:val="28"/>
              </w:rPr>
              <w:t>与重庆市冠强实业有限公司房屋租赁合同纠纷法律服务项目</w:t>
            </w:r>
            <w:r>
              <w:rPr>
                <w:rFonts w:hint="eastAsia" w:ascii="方正仿宋_GBK" w:hAnsi="方正仿宋_GBK" w:eastAsia="方正仿宋_GBK" w:cs="宋体"/>
                <w:bCs/>
                <w:kern w:val="0"/>
                <w:sz w:val="28"/>
                <w:szCs w:val="28"/>
              </w:rPr>
              <w:t>比选综合评分</w:t>
            </w:r>
            <w:r>
              <w:rPr>
                <w:rFonts w:hint="eastAsia" w:ascii="方正仿宋_GBK" w:hAnsi="方正仿宋_GBK" w:eastAsia="方正仿宋_GBK" w:cs="宋体"/>
                <w:kern w:val="0"/>
                <w:sz w:val="28"/>
                <w:szCs w:val="28"/>
              </w:rPr>
              <w:t>细则</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cs="宋体"/>
                <w:kern w:val="0"/>
                <w:sz w:val="24"/>
              </w:rPr>
            </w:pPr>
            <w:r>
              <w:rPr>
                <w:rFonts w:hint="eastAsia" w:ascii="方正仿宋_GBK" w:hAnsi="方正仿宋_GBK" w:eastAsia="方正仿宋_GBK" w:cs="宋体"/>
                <w:kern w:val="0"/>
                <w:sz w:val="24"/>
              </w:rPr>
              <w:t>投标单位：</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得分</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cs="宋体"/>
                <w:b/>
                <w:bCs/>
                <w:kern w:val="0"/>
                <w:sz w:val="24"/>
              </w:rPr>
            </w:pPr>
            <w:r>
              <w:rPr>
                <w:rFonts w:hint="eastAsia" w:ascii="方正仿宋_GBK" w:hAnsi="方正仿宋_GBK" w:eastAsia="方正仿宋_GBK" w:cs="宋体"/>
                <w:b/>
                <w:bCs/>
                <w:kern w:val="0"/>
                <w:sz w:val="24"/>
              </w:rPr>
              <w:t>一、投标报价评分（满分为</w:t>
            </w:r>
            <w:r>
              <w:rPr>
                <w:rFonts w:hint="eastAsia" w:ascii="方正仿宋_GBK" w:hAnsi="方正仿宋_GBK" w:eastAsia="方正仿宋_GBK" w:cs="宋体"/>
                <w:b/>
                <w:bCs/>
                <w:kern w:val="0"/>
                <w:sz w:val="24"/>
                <w:lang w:val="en-US" w:eastAsia="zh-CN"/>
              </w:rPr>
              <w:t>70</w:t>
            </w:r>
            <w:r>
              <w:rPr>
                <w:rFonts w:hint="eastAsia" w:ascii="方正仿宋_GBK" w:hAnsi="方正仿宋_GBK" w:eastAsia="方正仿宋_GBK" w:cs="宋体"/>
                <w:b/>
                <w:bCs/>
                <w:kern w:val="0"/>
                <w:sz w:val="24"/>
              </w:rPr>
              <w:t>分）</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438150" cy="152400"/>
                      <wp:effectExtent l="1270" t="4445" r="17780" b="14605"/>
                      <wp:wrapNone/>
                      <wp:docPr id="15" name="直接连接符 15"/>
                      <wp:cNvGraphicFramePr/>
                      <a:graphic xmlns:a="http://schemas.openxmlformats.org/drawingml/2006/main">
                        <a:graphicData uri="http://schemas.microsoft.com/office/word/2010/wordprocessingShape">
                          <wps:wsp>
                            <wps:cNvCnPr/>
                            <wps:spPr>
                              <a:xfrm flipV="1">
                                <a:off x="0" y="0"/>
                                <a:ext cx="438150" cy="152400"/>
                              </a:xfrm>
                              <a:prstGeom prst="line">
                                <a:avLst/>
                              </a:prstGeom>
                              <a:noFill/>
                              <a:ln w="9525" cap="flat" cmpd="sng" algn="ctr">
                                <a:solidFill>
                                  <a:srgbClr val="4A7EBB">
                                    <a:shade val="95000"/>
                                    <a:satMod val="105000"/>
                                  </a:srgbClr>
                                </a:solidFill>
                                <a:prstDash val="solid"/>
                              </a:ln>
                            </wps:spPr>
                            <wps:bodyPr/>
                          </wps:wsp>
                        </a:graphicData>
                      </a:graphic>
                    </wp:anchor>
                  </w:drawing>
                </mc:Choice>
                <mc:Fallback>
                  <w:pict>
                    <v:line id="_x0000_s1026" o:spid="_x0000_s1026" o:spt="20" style="position:absolute;left:0pt;flip:y;margin-left:0pt;margin-top:1.15pt;height:12pt;width:34.5pt;z-index:251659264;mso-width-relative:page;mso-height-relative:page;" filled="f" stroked="t" coordsize="21600,21600" o:gfxdata="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Rezm9MAAAAEAQAADwAAAAAAAAABACAAAAAiAAAAZHJzL2Rvd25y&#10;ZXYueG1sUEsBAhQAFAAAAAgAh07iQIY99YUDAgAA4wMAAA4AAAAAAAAAAQAgAAAAIgEAAGRycy9l&#10;Mm9Eb2MueG1sUEsFBgAAAAAGAAYAWQEAAJcFAAAAAA==&#10;">
                      <v:fill on="f" focussize="0,0"/>
                      <v:stroke color="#457BBA" joinstyle="round"/>
                      <v:imagedata o:title=""/>
                      <o:lock v:ext="edit" aspectratio="f"/>
                    </v:line>
                  </w:pict>
                </mc:Fallback>
              </mc:AlternateContent>
            </w:r>
          </w:p>
        </w:tc>
      </w:tr>
      <w:tr>
        <w:tblPrEx>
          <w:tblCellMar>
            <w:top w:w="0" w:type="dxa"/>
            <w:left w:w="108" w:type="dxa"/>
            <w:bottom w:w="0" w:type="dxa"/>
            <w:right w:w="108" w:type="dxa"/>
          </w:tblCellMar>
        </w:tblPrEx>
        <w:trPr>
          <w:trHeight w:val="630" w:hRule="atLeast"/>
        </w:trPr>
        <w:tc>
          <w:tcPr>
            <w:tcW w:w="978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竞标价得分的计算程序：</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（1）有效竞标价的确定：不大于最高投标限价A的竞标报价，高于最高投标限价的竞标报价按否决处理，不予进一步评审，并不参与评标基准价的计算。</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（2）投标基准价（D）的计算：</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a．有效竞标价大于5家时：所有被宣读竞标价（应为经修正后的）在有效竞标价范围内的投标人竞标价，去掉一个最高值和一个最低值后的算术平均值即为投标基准价（D）；</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 xml:space="preserve">b．有效竞标价小于或等于5家时：所有被宣读竞标价在有效竞标价范围内的投标人竞标价的算术平均值即为投标基准价（D）； </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（3）当投标人竞标价等于D时得满分（</w:t>
            </w:r>
            <w:r>
              <w:rPr>
                <w:rFonts w:hint="eastAsia" w:ascii="方正仿宋_GBK" w:hAnsi="方正仿宋_GBK" w:eastAsia="方正仿宋_GBK"/>
                <w:kern w:val="0"/>
                <w:sz w:val="24"/>
                <w:lang w:val="en-US" w:eastAsia="zh-CN"/>
              </w:rPr>
              <w:t>7</w:t>
            </w:r>
            <w:r>
              <w:rPr>
                <w:rFonts w:hint="eastAsia" w:ascii="方正仿宋_GBK" w:hAnsi="方正仿宋_GBK" w:eastAsia="方正仿宋_GBK"/>
                <w:kern w:val="0"/>
                <w:sz w:val="24"/>
              </w:rPr>
              <w:t>0分），每高于D一个百分点扣0.2分，每低于D一个百分点扣0.1分，中间值按比例内插。</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竞标价得分用公式表示如下：</w:t>
            </w:r>
          </w:p>
          <w:p>
            <w:pPr>
              <w:pStyle w:val="5"/>
              <w:spacing w:line="480" w:lineRule="auto"/>
              <w:ind w:left="2250" w:hanging="1200"/>
              <w:rPr>
                <w:rFonts w:ascii="方正仿宋_GBK" w:hAnsi="方正仿宋_GBK" w:eastAsia="方正仿宋_GBK"/>
              </w:rPr>
            </w:pPr>
            <w:r>
              <w:rPr>
                <w:rFonts w:hint="eastAsia" w:ascii="方正仿宋_GBK" w:hAnsi="方正仿宋_GBK" w:eastAsia="方正仿宋_GBK" w:cs="宋体"/>
                <w:szCs w:val="21"/>
              </w:rPr>
              <w:object>
                <v:shape id="_x0000_i1025" o:spt="75" type="#_x0000_t75" style="height:31.7pt;width:141.85pt;" o:ole="t" fillcolor="#595959"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 xml:space="preserve"> 式中：F1=竞标价得分；</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F=</w:t>
            </w:r>
            <w:r>
              <w:rPr>
                <w:rFonts w:ascii="方正仿宋_GBK" w:hAnsi="方正仿宋_GBK" w:eastAsia="方正仿宋_GBK"/>
                <w:kern w:val="0"/>
                <w:sz w:val="24"/>
              </w:rPr>
              <w:t>5</w:t>
            </w:r>
            <w:r>
              <w:rPr>
                <w:rFonts w:hint="eastAsia" w:ascii="方正仿宋_GBK" w:hAnsi="方正仿宋_GBK" w:eastAsia="方正仿宋_GBK"/>
                <w:kern w:val="0"/>
                <w:sz w:val="24"/>
              </w:rPr>
              <w:t>0；</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D1=投标人的竞标价；</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D=评标基准价。</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若D1＞D，则E=0.2；若D1&lt;D，则E=0.1。</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即使某投标人资格审查未通过初步评审与响应性评审及资格审查，如其报价处于参与评标基准价的计算的竞标报价的有效范围以内，其报价仍应参与评标基准价的计算。</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cs="宋体"/>
                <w:b/>
                <w:bCs/>
                <w:kern w:val="0"/>
                <w:sz w:val="24"/>
              </w:rPr>
            </w:pPr>
            <w:r>
              <w:rPr>
                <w:rFonts w:hint="eastAsia" w:ascii="方正仿宋_GBK" w:hAnsi="方正仿宋_GBK" w:eastAsia="方正仿宋_GBK" w:cs="宋体"/>
                <w:b/>
                <w:bCs/>
                <w:kern w:val="0"/>
                <w:sz w:val="24"/>
              </w:rPr>
              <w:t>二、服务方案评分（满分为</w:t>
            </w:r>
            <w:r>
              <w:rPr>
                <w:rFonts w:hint="eastAsia" w:ascii="方正仿宋_GBK" w:hAnsi="方正仿宋_GBK" w:eastAsia="方正仿宋_GBK" w:cs="宋体"/>
                <w:b/>
                <w:bCs/>
                <w:kern w:val="0"/>
                <w:sz w:val="24"/>
                <w:lang w:val="en-US" w:eastAsia="zh-CN"/>
              </w:rPr>
              <w:t>3</w:t>
            </w:r>
            <w:r>
              <w:rPr>
                <w:rFonts w:hint="eastAsia" w:ascii="方正仿宋_GBK" w:hAnsi="方正仿宋_GBK" w:eastAsia="方正仿宋_GBK" w:cs="宋体"/>
                <w:b/>
                <w:bCs/>
                <w:kern w:val="0"/>
                <w:sz w:val="24"/>
              </w:rPr>
              <w:t>0分）</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24130</wp:posOffset>
                      </wp:positionV>
                      <wp:extent cx="438150" cy="152400"/>
                      <wp:effectExtent l="1270" t="4445" r="17780" b="14605"/>
                      <wp:wrapNone/>
                      <wp:docPr id="14" name="直接连接符 14"/>
                      <wp:cNvGraphicFramePr/>
                      <a:graphic xmlns:a="http://schemas.openxmlformats.org/drawingml/2006/main">
                        <a:graphicData uri="http://schemas.microsoft.com/office/word/2010/wordprocessingShape">
                          <wps:wsp>
                            <wps:cNvCnPr/>
                            <wps:spPr>
                              <a:xfrm flipV="1">
                                <a:off x="0" y="0"/>
                                <a:ext cx="438150" cy="152400"/>
                              </a:xfrm>
                              <a:prstGeom prst="line">
                                <a:avLst/>
                              </a:prstGeom>
                              <a:noFill/>
                              <a:ln w="9525" cap="flat" cmpd="sng" algn="ctr">
                                <a:solidFill>
                                  <a:srgbClr val="4A7EBB">
                                    <a:shade val="95000"/>
                                    <a:satMod val="105000"/>
                                  </a:srgbClr>
                                </a:solidFill>
                                <a:prstDash val="solid"/>
                              </a:ln>
                            </wps:spPr>
                            <wps:bodyPr/>
                          </wps:wsp>
                        </a:graphicData>
                      </a:graphic>
                    </wp:anchor>
                  </w:drawing>
                </mc:Choice>
                <mc:Fallback>
                  <w:pict>
                    <v:line id="_x0000_s1026" o:spid="_x0000_s1026" o:spt="20" style="position:absolute;left:0pt;flip:y;margin-left:0pt;margin-top:1.9pt;height:12pt;width:34.5pt;z-index:251660288;mso-width-relative:page;mso-height-relative:page;" filled="f" stroked="t" coordsize="21600,21600" o:gfxdata="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vzFgNMAAAAEAQAADwAAAAAAAAABACAAAAAiAAAAZHJzL2Rvd25y&#10;ZXYueG1sUEsBAhQAFAAAAAgAh07iQC5/16MDAgAA4wMAAA4AAAAAAAAAAQAgAAAAIgEAAGRycy9l&#10;Mm9Eb2MueG1sUEsFBgAAAAAGAAYAWQEAAJcFAAAAAA==&#10;">
                      <v:fill on="f" focussize="0,0"/>
                      <v:stroke color="#457BBA" joinstyle="round"/>
                      <v:imagedata o:title=""/>
                      <o:lock v:ext="edit" aspectratio="f"/>
                    </v:line>
                  </w:pict>
                </mc:Fallback>
              </mc:AlternateConten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1</w:t>
            </w:r>
            <w:r>
              <w:rPr>
                <w:rFonts w:hint="eastAsia" w:ascii="方正仿宋_GBK" w:hAnsi="方正仿宋_GBK" w:eastAsia="方正仿宋_GBK"/>
                <w:kern w:val="0"/>
                <w:sz w:val="24"/>
              </w:rPr>
              <w:t>、比选文件材料制作（5分）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比选文件制作规范、材料完备，最高得</w:t>
            </w:r>
            <w:r>
              <w:rPr>
                <w:rFonts w:hint="eastAsia" w:ascii="方正仿宋_GBK" w:hAnsi="方正仿宋_GBK" w:eastAsia="方正仿宋_GBK"/>
                <w:kern w:val="0"/>
                <w:sz w:val="24"/>
                <w:lang w:val="en-US" w:eastAsia="zh-CN"/>
              </w:rPr>
              <w:t>5</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2</w:t>
            </w:r>
            <w:r>
              <w:rPr>
                <w:rFonts w:hint="eastAsia" w:ascii="方正仿宋_GBK" w:hAnsi="方正仿宋_GBK" w:eastAsia="方正仿宋_GBK"/>
                <w:kern w:val="0"/>
                <w:sz w:val="24"/>
              </w:rPr>
              <w:t>、案情分析及诉讼方案（</w:t>
            </w:r>
            <w:r>
              <w:rPr>
                <w:rFonts w:hint="eastAsia" w:ascii="方正仿宋_GBK" w:hAnsi="方正仿宋_GBK" w:eastAsia="方正仿宋_GBK"/>
                <w:kern w:val="0"/>
                <w:sz w:val="24"/>
                <w:lang w:val="en-US" w:eastAsia="zh-CN"/>
              </w:rPr>
              <w:t>10</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依据</w:t>
            </w:r>
            <w:r>
              <w:rPr>
                <w:rFonts w:ascii="方正仿宋_GBK" w:hAnsi="方正仿宋_GBK" w:eastAsia="方正仿宋_GBK"/>
                <w:kern w:val="0"/>
                <w:sz w:val="24"/>
              </w:rPr>
              <w:t>询价函中的</w:t>
            </w:r>
            <w:r>
              <w:rPr>
                <w:rFonts w:hint="eastAsia" w:ascii="方正仿宋_GBK" w:hAnsi="方正仿宋_GBK" w:eastAsia="方正仿宋_GBK"/>
                <w:kern w:val="0"/>
                <w:sz w:val="24"/>
              </w:rPr>
              <w:t>项目介绍对案情进行分析，并介绍诉讼方案</w:t>
            </w:r>
          </w:p>
        </w:tc>
        <w:tc>
          <w:tcPr>
            <w:tcW w:w="8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3</w:t>
            </w:r>
            <w:r>
              <w:rPr>
                <w:rFonts w:hint="eastAsia" w:ascii="方正仿宋_GBK" w:hAnsi="方正仿宋_GBK" w:eastAsia="方正仿宋_GBK"/>
                <w:kern w:val="0"/>
                <w:sz w:val="24"/>
              </w:rPr>
              <w:t>、诉讼方案是否具有完整性、针对性、专业性（10分）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很满意：</w:t>
            </w:r>
            <w:r>
              <w:rPr>
                <w:rFonts w:hint="eastAsia" w:ascii="方正仿宋_GBK" w:hAnsi="方正仿宋_GBK" w:eastAsia="方正仿宋_GBK"/>
                <w:kern w:val="0"/>
                <w:sz w:val="24"/>
                <w:lang w:val="en-US" w:eastAsia="zh-CN"/>
              </w:rPr>
              <w:t>10</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比较满意：</w:t>
            </w:r>
            <w:r>
              <w:rPr>
                <w:rFonts w:hint="eastAsia" w:ascii="方正仿宋_GBK" w:hAnsi="方正仿宋_GBK" w:eastAsia="方正仿宋_GBK"/>
                <w:kern w:val="0"/>
                <w:sz w:val="24"/>
                <w:lang w:val="en-US" w:eastAsia="zh-CN"/>
              </w:rPr>
              <w:t>6</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基本满意：</w:t>
            </w:r>
            <w:r>
              <w:rPr>
                <w:rFonts w:hint="eastAsia" w:ascii="方正仿宋_GBK" w:hAnsi="方正仿宋_GBK" w:eastAsia="方正仿宋_GBK"/>
                <w:kern w:val="0"/>
                <w:sz w:val="24"/>
                <w:lang w:val="en-US" w:eastAsia="zh-CN"/>
              </w:rPr>
              <w:t>4</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不满意：</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64" w:hRule="atLeast"/>
        </w:trPr>
        <w:tc>
          <w:tcPr>
            <w:tcW w:w="978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4、诉讼策略的专业性、针对性（5分）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很满意：</w:t>
            </w:r>
            <w:r>
              <w:rPr>
                <w:rFonts w:hint="eastAsia" w:ascii="方正仿宋_GBK" w:hAnsi="方正仿宋_GBK" w:eastAsia="方正仿宋_GBK"/>
                <w:kern w:val="0"/>
                <w:sz w:val="24"/>
                <w:lang w:val="en-US" w:eastAsia="zh-CN"/>
              </w:rPr>
              <w:t>5</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比较满意：</w:t>
            </w:r>
            <w:r>
              <w:rPr>
                <w:rFonts w:hint="eastAsia" w:ascii="方正仿宋_GBK" w:hAnsi="方正仿宋_GBK" w:eastAsia="方正仿宋_GBK"/>
                <w:kern w:val="0"/>
                <w:sz w:val="24"/>
                <w:lang w:val="en-US" w:eastAsia="zh-CN"/>
              </w:rPr>
              <w:t>3</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基本满意：</w:t>
            </w:r>
            <w:r>
              <w:rPr>
                <w:rFonts w:ascii="方正仿宋_GBK" w:hAnsi="方正仿宋_GBK" w:eastAsia="方正仿宋_GBK"/>
                <w:kern w:val="0"/>
                <w:sz w:val="24"/>
              </w:rPr>
              <w:t>1</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不满意：</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kern w:val="0"/>
                <w:sz w:val="24"/>
              </w:rPr>
            </w:pPr>
          </w:p>
        </w:tc>
      </w:tr>
    </w:tbl>
    <w:p>
      <w:pPr>
        <w:spacing w:line="360" w:lineRule="auto"/>
        <w:rPr>
          <w:b/>
          <w:sz w:val="24"/>
        </w:rPr>
      </w:pPr>
    </w:p>
    <w:p/>
    <w:sectPr>
      <w:footerReference r:id="rId3" w:type="default"/>
      <w:pgSz w:w="11906" w:h="16838"/>
      <w:pgMar w:top="1440" w:right="1588"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AB4D9"/>
    <w:multiLevelType w:val="singleLevel"/>
    <w:tmpl w:val="589AB4D9"/>
    <w:lvl w:ilvl="0" w:tentative="0">
      <w:start w:val="4"/>
      <w:numFmt w:val="chineseCounting"/>
      <w:suff w:val="nothing"/>
      <w:lvlText w:val="%1、"/>
      <w:lvlJc w:val="left"/>
    </w:lvl>
  </w:abstractNum>
  <w:abstractNum w:abstractNumId="1">
    <w:nsid w:val="592396CD"/>
    <w:multiLevelType w:val="singleLevel"/>
    <w:tmpl w:val="592396CD"/>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34935"/>
    <w:rsid w:val="102E2EC4"/>
    <w:rsid w:val="1F1D1F45"/>
    <w:rsid w:val="21A34935"/>
    <w:rsid w:val="28197270"/>
    <w:rsid w:val="28E92495"/>
    <w:rsid w:val="38914671"/>
    <w:rsid w:val="40A44392"/>
    <w:rsid w:val="483D7299"/>
    <w:rsid w:val="4DBD65B2"/>
    <w:rsid w:val="6C516517"/>
    <w:rsid w:val="6FEC2921"/>
    <w:rsid w:val="72270E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Date"/>
    <w:basedOn w:val="1"/>
    <w:next w:val="1"/>
    <w:unhideWhenUsed/>
    <w:qFormat/>
    <w:uiPriority w:val="0"/>
    <w:pPr>
      <w:ind w:left="100" w:leftChars="25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oc 1"/>
    <w:basedOn w:val="1"/>
    <w:next w:val="1"/>
    <w:unhideWhenUsed/>
    <w:qFormat/>
    <w:uiPriority w:val="39"/>
    <w:pPr>
      <w:spacing w:line="440" w:lineRule="exact"/>
      <w:jc w:val="center"/>
    </w:pPr>
    <w:rPr>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2022-12-29T06:39:00Z</dcterms:created>
  <dc:creator>Administrator</dc:creator>
  <cp:lastModifiedBy>Administrator</cp:lastModifiedBy>
  <dcterms:modified xsi:type="dcterms:W3CDTF">2022-12-29T06:40:47Z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465EFE8243B8448BAF227A86F3055C33</vt:lpwstr>
  </property>
</Properties>
</file>