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重庆高速公路集团有限公司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县县通高速成果专题纪录片</w:t>
      </w:r>
      <w:r>
        <w:rPr>
          <w:rFonts w:hint="eastAsia" w:ascii="黑体" w:hAnsi="黑体" w:eastAsia="黑体" w:cs="黑体"/>
          <w:sz w:val="32"/>
          <w:szCs w:val="32"/>
        </w:rPr>
        <w:t>摄制公开比选评审公告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评标情况</w:t>
      </w:r>
    </w:p>
    <w:p>
      <w:pPr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重庆高速公路集团有限公司县县通高速成果专题纪录片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公开比选项目评标工作已结束。本次采用综合评分法，经招标人组织评审，推荐中标候选人如下： </w:t>
      </w:r>
    </w:p>
    <w:p>
      <w:pPr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第一中标候选人：重庆智澳伯威文化传播有限公司，报价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168500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第二中标候选人：重庆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甄视传媒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有限公司，报价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178600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第三中标候选人：重庆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照常晟起文化科技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有限公司，报价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173800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第四中标候选人：重庆小白杨影视制作有限公司为第四中标候选人，报价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167500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spacing w:line="5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拟中标人： 重庆智澳伯威文化传播有限公司，中标金额：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168500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   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二、提出异议的渠道和方式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重庆高速公路集团有限公司纪检监察室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023-89138685 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评标结果在重庆高速公路集团有限公司招投标管理平台（http://43.240.249.108:8088）上发布；公示期限：网上发布之日起3天。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四、监督部门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重庆高速公路集团有限公司建设管理部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五、联系方式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地址：重庆市渝北区银杉路66号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联系人：熊老师  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联系电话：023-89138617  13436126297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6066E"/>
    <w:multiLevelType w:val="multilevel"/>
    <w:tmpl w:val="4E96066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D32F41"/>
    <w:rsid w:val="00184AC8"/>
    <w:rsid w:val="0038403C"/>
    <w:rsid w:val="00400627"/>
    <w:rsid w:val="00C01E65"/>
    <w:rsid w:val="00C726AC"/>
    <w:rsid w:val="00D018B7"/>
    <w:rsid w:val="19E01814"/>
    <w:rsid w:val="4CD32F41"/>
    <w:rsid w:val="504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003399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2021-02-26T01:18:00Z</dcterms:created>
  <dc:creator>金平乐</dc:creator>
  <cp:lastModifiedBy>熊志城</cp:lastModifiedBy>
  <dcterms:modified xsi:type="dcterms:W3CDTF">2022-12-08T10:31:01Z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76EADF3BEA4B4DC0B3405006D70DC82C</vt:lpwstr>
  </property>
</Properties>
</file>