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rPr>
      </w:pPr>
    </w:p>
    <w:p>
      <w:pPr>
        <w:jc w:val="center"/>
        <w:rPr>
          <w:rFonts w:ascii="宋体" w:hAnsi="宋体" w:cs="宋体"/>
          <w:b/>
          <w:sz w:val="32"/>
          <w:szCs w:val="32"/>
        </w:rPr>
      </w:pPr>
      <w:r>
        <w:rPr>
          <w:rFonts w:hint="eastAsia" w:ascii="宋体" w:hAnsi="宋体" w:cs="宋体"/>
          <w:b/>
          <w:sz w:val="32"/>
          <w:szCs w:val="32"/>
        </w:rPr>
        <w:t>项目名称：</w:t>
      </w:r>
      <w:r>
        <w:rPr>
          <w:rFonts w:hint="eastAsia" w:ascii="宋体" w:hAnsi="宋体" w:cs="宋体"/>
          <w:b/>
          <w:sz w:val="32"/>
          <w:szCs w:val="32"/>
          <w:lang w:val="en-US" w:eastAsia="zh-CN"/>
        </w:rPr>
        <w:t>渝赤叙高速（重庆段）航拍视频制作项目</w:t>
      </w:r>
    </w:p>
    <w:p>
      <w:pPr>
        <w:rPr>
          <w:rFonts w:ascii="宋体" w:hAnsi="宋体" w:cs="宋体"/>
          <w:sz w:val="28"/>
          <w:szCs w:val="28"/>
        </w:rPr>
      </w:pPr>
    </w:p>
    <w:p>
      <w:pPr>
        <w:jc w:val="center"/>
        <w:rPr>
          <w:rFonts w:ascii="宋体" w:hAnsi="宋体" w:cs="宋体"/>
          <w:b/>
          <w:sz w:val="48"/>
          <w:szCs w:val="48"/>
        </w:rPr>
      </w:pPr>
      <w:r>
        <w:rPr>
          <w:rFonts w:hint="eastAsia" w:ascii="宋体" w:hAnsi="宋体" w:cs="宋体"/>
          <w:b/>
          <w:sz w:val="48"/>
          <w:szCs w:val="48"/>
        </w:rPr>
        <w:t>竞</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性</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比</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文</w:t>
      </w:r>
    </w:p>
    <w:p>
      <w:pPr>
        <w:jc w:val="center"/>
        <w:rPr>
          <w:rFonts w:ascii="宋体" w:hAnsi="宋体" w:cs="宋体"/>
          <w:b/>
          <w:sz w:val="48"/>
          <w:szCs w:val="48"/>
        </w:rPr>
      </w:pPr>
    </w:p>
    <w:p>
      <w:pPr>
        <w:jc w:val="center"/>
        <w:rPr>
          <w:rFonts w:ascii="宋体" w:hAnsi="宋体" w:cs="宋体"/>
          <w:b/>
          <w:sz w:val="96"/>
          <w:szCs w:val="72"/>
        </w:rPr>
      </w:pPr>
      <w:r>
        <w:rPr>
          <w:rFonts w:hint="eastAsia" w:ascii="宋体" w:hAnsi="宋体" w:cs="宋体"/>
          <w:b/>
          <w:sz w:val="48"/>
          <w:szCs w:val="48"/>
        </w:rPr>
        <w:t>件</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
    <w:p>
      <w:pPr>
        <w:jc w:val="center"/>
        <w:rPr>
          <w:rFonts w:ascii="宋体" w:hAnsi="宋体" w:cs="宋体"/>
          <w:b/>
          <w:sz w:val="28"/>
          <w:szCs w:val="28"/>
        </w:rPr>
      </w:pPr>
      <w:r>
        <w:rPr>
          <w:rFonts w:hint="eastAsia" w:ascii="宋体" w:hAnsi="宋体" w:cs="宋体"/>
          <w:b/>
          <w:sz w:val="28"/>
          <w:szCs w:val="28"/>
        </w:rPr>
        <w:t>采购人：重庆首讯科技股份有限公司</w:t>
      </w:r>
    </w:p>
    <w:p>
      <w:pPr>
        <w:jc w:val="center"/>
        <w:rPr>
          <w:rFonts w:ascii="宋体" w:hAnsi="宋体" w:cs="宋体"/>
          <w:b/>
          <w:sz w:val="28"/>
          <w:szCs w:val="28"/>
        </w:rPr>
      </w:pPr>
      <w:r>
        <w:rPr>
          <w:rFonts w:hint="eastAsia" w:ascii="宋体" w:hAnsi="宋体" w:cs="宋体"/>
          <w:b/>
          <w:sz w:val="28"/>
          <w:szCs w:val="28"/>
          <w:u w:val="single"/>
        </w:rPr>
        <w:t>202</w:t>
      </w:r>
      <w:r>
        <w:rPr>
          <w:rFonts w:hint="eastAsia" w:ascii="宋体" w:hAnsi="宋体" w:cs="宋体"/>
          <w:b/>
          <w:sz w:val="28"/>
          <w:szCs w:val="28"/>
          <w:u w:val="single"/>
          <w:lang w:val="en-US" w:eastAsia="zh-CN"/>
        </w:rPr>
        <w:t>3</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u w:val="single"/>
          <w:lang w:val="en-US" w:eastAsia="zh-CN"/>
        </w:rPr>
        <w:t>3</w:t>
      </w:r>
      <w:r>
        <w:rPr>
          <w:rFonts w:hint="eastAsia" w:ascii="宋体" w:hAnsi="宋体" w:cs="宋体"/>
          <w:b/>
          <w:sz w:val="28"/>
          <w:szCs w:val="28"/>
          <w:u w:val="single"/>
        </w:rPr>
        <w:t xml:space="preserve"> </w:t>
      </w:r>
      <w:r>
        <w:rPr>
          <w:rFonts w:hint="eastAsia" w:ascii="宋体" w:hAnsi="宋体" w:cs="宋体"/>
          <w:b/>
          <w:sz w:val="28"/>
          <w:szCs w:val="28"/>
        </w:rPr>
        <w:t>月</w:t>
      </w:r>
    </w:p>
    <w:p>
      <w:pPr>
        <w:pStyle w:val="28"/>
        <w:jc w:val="center"/>
        <w:rPr>
          <w:rFonts w:ascii="宋体" w:hAnsi="宋体" w:cs="宋体"/>
          <w:szCs w:val="21"/>
        </w:rPr>
      </w:pPr>
      <w:r>
        <w:br w:type="page"/>
      </w:r>
      <w:bookmarkStart w:id="0" w:name="_Toc247085669"/>
      <w:bookmarkStart w:id="1" w:name="_Toc507319889"/>
      <w:bookmarkStart w:id="2" w:name="_Toc507428442"/>
      <w:bookmarkStart w:id="3" w:name="_Toc246996898"/>
      <w:bookmarkStart w:id="4" w:name="_Toc296602400"/>
      <w:r>
        <w:rPr>
          <w:rFonts w:hint="eastAsia" w:ascii="宋体" w:hAnsi="宋体" w:cs="宋体"/>
          <w:b w:val="0"/>
          <w:sz w:val="32"/>
        </w:rPr>
        <w:t>目   录</w:t>
      </w:r>
      <w:bookmarkEnd w:id="0"/>
      <w:bookmarkEnd w:id="1"/>
      <w:bookmarkEnd w:id="2"/>
      <w:bookmarkEnd w:id="3"/>
      <w:bookmarkEnd w:id="4"/>
    </w:p>
    <w:p>
      <w:pPr>
        <w:pStyle w:val="28"/>
        <w:tabs>
          <w:tab w:val="right" w:leader="dot" w:pos="9638"/>
        </w:tabs>
      </w:pPr>
      <w:r>
        <w:rPr>
          <w:rFonts w:hint="eastAsia" w:ascii="宋体" w:hAnsi="宋体" w:cs="宋体"/>
          <w:b w:val="0"/>
          <w:bCs w:val="0"/>
          <w:caps w:val="0"/>
        </w:rPr>
        <w:fldChar w:fldCharType="begin"/>
      </w:r>
      <w:r>
        <w:rPr>
          <w:rFonts w:hint="eastAsia" w:ascii="宋体" w:hAnsi="宋体" w:cs="宋体"/>
          <w:b w:val="0"/>
          <w:bCs w:val="0"/>
          <w:caps w:val="0"/>
        </w:rPr>
        <w:instrText xml:space="preserve"> TOC \o "1-2" \h \z \u </w:instrText>
      </w:r>
      <w:r>
        <w:rPr>
          <w:rFonts w:hint="eastAsia" w:ascii="宋体" w:hAnsi="宋体" w:cs="宋体"/>
          <w:b w:val="0"/>
          <w:bCs w:val="0"/>
          <w:caps w:val="0"/>
        </w:rPr>
        <w:fldChar w:fldCharType="separate"/>
      </w:r>
      <w:r>
        <w:fldChar w:fldCharType="begin"/>
      </w:r>
      <w:r>
        <w:instrText xml:space="preserve"> HYPERLINK \l "_Toc10533" </w:instrText>
      </w:r>
      <w:r>
        <w:fldChar w:fldCharType="separate"/>
      </w:r>
      <w:r>
        <w:rPr>
          <w:rFonts w:hint="eastAsia" w:ascii="宋体" w:hAnsi="宋体" w:cs="宋体"/>
        </w:rPr>
        <w:t>第一章 比选公告</w:t>
      </w:r>
      <w:r>
        <w:tab/>
      </w:r>
      <w:r>
        <w:fldChar w:fldCharType="end"/>
      </w:r>
    </w:p>
    <w:p>
      <w:pPr>
        <w:pStyle w:val="28"/>
        <w:tabs>
          <w:tab w:val="right" w:leader="dot" w:pos="9638"/>
        </w:tabs>
      </w:pPr>
      <w:r>
        <w:fldChar w:fldCharType="begin"/>
      </w:r>
      <w:r>
        <w:instrText xml:space="preserve"> HYPERLINK \l "_Toc21719" </w:instrText>
      </w:r>
      <w:r>
        <w:fldChar w:fldCharType="separate"/>
      </w:r>
      <w:r>
        <w:rPr>
          <w:rFonts w:hint="eastAsia" w:ascii="宋体" w:hAnsi="宋体" w:cs="宋体"/>
        </w:rPr>
        <w:t>第二章 报价人须知</w:t>
      </w:r>
      <w:r>
        <w:tab/>
      </w:r>
      <w:r>
        <w:fldChar w:fldCharType="end"/>
      </w:r>
    </w:p>
    <w:p>
      <w:pPr>
        <w:pStyle w:val="28"/>
        <w:tabs>
          <w:tab w:val="right" w:leader="dot" w:pos="9638"/>
        </w:tabs>
      </w:pPr>
      <w:r>
        <w:fldChar w:fldCharType="begin"/>
      </w:r>
      <w:r>
        <w:instrText xml:space="preserve"> HYPERLINK \l "_Toc7682" </w:instrText>
      </w:r>
      <w:r>
        <w:fldChar w:fldCharType="separate"/>
      </w:r>
      <w:r>
        <w:rPr>
          <w:rFonts w:hint="eastAsia" w:ascii="宋体" w:hAnsi="宋体" w:cs="宋体"/>
        </w:rPr>
        <w:t>第三章 评标办法（综合评估法）</w:t>
      </w:r>
      <w:r>
        <w:tab/>
      </w:r>
      <w:r>
        <w:fldChar w:fldCharType="end"/>
      </w:r>
    </w:p>
    <w:p>
      <w:pPr>
        <w:pStyle w:val="28"/>
        <w:tabs>
          <w:tab w:val="right" w:leader="dot" w:pos="9638"/>
        </w:tabs>
      </w:pPr>
      <w:r>
        <w:fldChar w:fldCharType="begin"/>
      </w:r>
      <w:r>
        <w:instrText xml:space="preserve"> HYPERLINK \l "_Toc13787" </w:instrText>
      </w:r>
      <w:r>
        <w:fldChar w:fldCharType="separate"/>
      </w:r>
      <w:r>
        <w:rPr>
          <w:rFonts w:hint="eastAsia"/>
        </w:rPr>
        <w:t>第四章 报价说明</w:t>
      </w:r>
      <w:r>
        <w:tab/>
      </w:r>
      <w:r>
        <w:fldChar w:fldCharType="end"/>
      </w:r>
    </w:p>
    <w:p>
      <w:pPr>
        <w:pStyle w:val="28"/>
        <w:tabs>
          <w:tab w:val="right" w:leader="dot" w:pos="9638"/>
        </w:tabs>
      </w:pPr>
      <w:r>
        <w:fldChar w:fldCharType="begin"/>
      </w:r>
      <w:r>
        <w:instrText xml:space="preserve"> HYPERLINK \l "_Toc24503" </w:instrText>
      </w:r>
      <w:r>
        <w:fldChar w:fldCharType="separate"/>
      </w:r>
      <w:r>
        <w:rPr>
          <w:rFonts w:hint="eastAsia" w:ascii="宋体" w:hAnsi="宋体" w:cs="宋体"/>
        </w:rPr>
        <w:t>第五章  工程量清单及计量规则</w:t>
      </w:r>
      <w:r>
        <w:tab/>
      </w:r>
      <w:r>
        <w:fldChar w:fldCharType="end"/>
      </w:r>
    </w:p>
    <w:p>
      <w:pPr>
        <w:pStyle w:val="28"/>
        <w:tabs>
          <w:tab w:val="right" w:leader="dot" w:pos="9638"/>
        </w:tabs>
      </w:pPr>
      <w:r>
        <w:fldChar w:fldCharType="begin"/>
      </w:r>
      <w:r>
        <w:instrText xml:space="preserve"> HYPERLINK \l "_Toc12440" </w:instrText>
      </w:r>
      <w:r>
        <w:fldChar w:fldCharType="separate"/>
      </w:r>
      <w:r>
        <w:rPr>
          <w:rFonts w:hint="eastAsia" w:ascii="宋体" w:hAnsi="宋体" w:cs="宋体"/>
        </w:rPr>
        <w:t>第六章  图  纸</w:t>
      </w:r>
      <w:r>
        <w:tab/>
      </w:r>
      <w:r>
        <w:fldChar w:fldCharType="end"/>
      </w:r>
    </w:p>
    <w:p>
      <w:pPr>
        <w:pStyle w:val="28"/>
        <w:tabs>
          <w:tab w:val="right" w:leader="dot" w:pos="9638"/>
        </w:tabs>
      </w:pPr>
      <w:r>
        <w:fldChar w:fldCharType="begin"/>
      </w:r>
      <w:r>
        <w:instrText xml:space="preserve"> HYPERLINK \l "_Toc10887" </w:instrText>
      </w:r>
      <w:r>
        <w:fldChar w:fldCharType="separate"/>
      </w:r>
      <w:r>
        <w:rPr>
          <w:rFonts w:hint="eastAsia" w:ascii="宋体" w:hAnsi="宋体" w:cs="宋体"/>
        </w:rPr>
        <w:t>第七章  技术标准和工作要求</w:t>
      </w:r>
      <w:r>
        <w:tab/>
      </w:r>
      <w:r>
        <w:fldChar w:fldCharType="end"/>
      </w:r>
    </w:p>
    <w:p>
      <w:pPr>
        <w:pStyle w:val="28"/>
        <w:tabs>
          <w:tab w:val="right" w:leader="dot" w:pos="9638"/>
        </w:tabs>
        <w:rPr>
          <w:rFonts w:ascii="宋体" w:hAnsi="宋体" w:cs="宋体"/>
        </w:rPr>
      </w:pPr>
      <w:r>
        <w:fldChar w:fldCharType="begin"/>
      </w:r>
      <w:r>
        <w:instrText xml:space="preserve"> HYPERLINK \l "_Toc24853" </w:instrText>
      </w:r>
      <w:r>
        <w:fldChar w:fldCharType="separate"/>
      </w:r>
      <w:r>
        <w:rPr>
          <w:rFonts w:hint="eastAsia" w:ascii="宋体" w:hAnsi="宋体" w:cs="宋体"/>
        </w:rPr>
        <w:t>第九章  竞争性比选响应文件格式</w:t>
      </w:r>
      <w:r>
        <w:tab/>
      </w:r>
      <w:r>
        <w:fldChar w:fldCharType="end"/>
      </w:r>
    </w:p>
    <w:p/>
    <w:p>
      <w:pPr>
        <w:pStyle w:val="34"/>
        <w:tabs>
          <w:tab w:val="right" w:leader="dot" w:pos="9628"/>
        </w:tabs>
        <w:ind w:left="0"/>
        <w:rPr>
          <w:rFonts w:ascii="宋体" w:hAnsi="宋体" w:cs="宋体"/>
          <w:b/>
          <w:bCs/>
          <w:caps/>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rPr>
        <w:fldChar w:fldCharType="end"/>
      </w:r>
    </w:p>
    <w:p>
      <w:pPr>
        <w:pStyle w:val="3"/>
        <w:spacing w:before="0" w:after="0" w:line="360" w:lineRule="auto"/>
        <w:jc w:val="center"/>
        <w:rPr>
          <w:rFonts w:ascii="宋体" w:hAnsi="宋体" w:cs="宋体"/>
        </w:rPr>
      </w:pPr>
      <w:bookmarkStart w:id="5" w:name="_Toc152042287"/>
      <w:bookmarkStart w:id="6" w:name="_Toc152045511"/>
      <w:bookmarkStart w:id="7" w:name="_Toc507319890"/>
      <w:bookmarkStart w:id="8" w:name="_Toc2000404"/>
      <w:bookmarkStart w:id="9" w:name="_Toc246996157"/>
      <w:bookmarkStart w:id="10" w:name="_Toc247085671"/>
      <w:bookmarkStart w:id="11" w:name="_Toc144974479"/>
      <w:bookmarkStart w:id="12" w:name="_Toc247096243"/>
      <w:bookmarkStart w:id="13" w:name="_Toc246996900"/>
      <w:bookmarkStart w:id="14" w:name="_Toc179632527"/>
      <w:bookmarkStart w:id="15" w:name="_Toc10533"/>
      <w:r>
        <w:rPr>
          <w:rFonts w:hint="eastAsia" w:ascii="宋体" w:hAnsi="宋体" w:cs="宋体"/>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rPr>
        <w:t>比选公告</w:t>
      </w:r>
      <w:bookmarkEnd w:id="15"/>
    </w:p>
    <w:p>
      <w:pPr>
        <w:spacing w:line="440" w:lineRule="exact"/>
        <w:jc w:val="center"/>
        <w:rPr>
          <w:rFonts w:ascii="宋体" w:hAnsi="宋体" w:cs="宋体"/>
          <w:b/>
          <w:sz w:val="28"/>
          <w:szCs w:val="28"/>
        </w:rPr>
      </w:pPr>
      <w:bookmarkStart w:id="16" w:name="OLE_LINK3"/>
      <w:bookmarkStart w:id="17" w:name="OLE_LINK2"/>
    </w:p>
    <w:p>
      <w:pPr>
        <w:pStyle w:val="4"/>
        <w:spacing w:before="0" w:after="0" w:line="360" w:lineRule="auto"/>
        <w:rPr>
          <w:rFonts w:ascii="宋体" w:hAnsi="宋体" w:eastAsia="宋体" w:cs="宋体"/>
        </w:rPr>
      </w:pPr>
      <w:bookmarkStart w:id="18" w:name="_Toc246996901"/>
      <w:bookmarkStart w:id="19" w:name="_Toc10076"/>
      <w:bookmarkStart w:id="20" w:name="_Toc179632528"/>
      <w:bookmarkStart w:id="21" w:name="_Toc507319891"/>
      <w:bookmarkStart w:id="22" w:name="_Toc152045512"/>
      <w:bookmarkStart w:id="23" w:name="_Toc246996158"/>
      <w:bookmarkStart w:id="24" w:name="_Toc247085672"/>
      <w:bookmarkStart w:id="25" w:name="_Toc24874"/>
      <w:bookmarkStart w:id="26" w:name="_Toc6549"/>
      <w:bookmarkStart w:id="27" w:name="_Toc152042288"/>
      <w:bookmarkStart w:id="28" w:name="_Toc11329213"/>
      <w:bookmarkStart w:id="29" w:name="_Toc144974480"/>
      <w:r>
        <w:rPr>
          <w:rFonts w:hint="eastAsia" w:ascii="宋体" w:hAnsi="宋体" w:eastAsia="宋体" w:cs="宋体"/>
        </w:rPr>
        <w:t>1. 比选条件</w:t>
      </w:r>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ascii="宋体" w:hAnsi="宋体" w:cs="宋体"/>
          <w:szCs w:val="21"/>
        </w:rPr>
      </w:pPr>
      <w:r>
        <w:rPr>
          <w:rFonts w:hint="eastAsia" w:ascii="宋体" w:hAnsi="宋体" w:cs="宋体"/>
          <w:szCs w:val="21"/>
        </w:rPr>
        <w:t>　　本竞争性比选项目</w:t>
      </w:r>
      <w:r>
        <w:rPr>
          <w:rFonts w:hint="eastAsia" w:ascii="宋体" w:hAnsi="宋体" w:cs="宋体"/>
          <w:szCs w:val="21"/>
          <w:u w:val="single"/>
          <w:lang w:val="en-US" w:eastAsia="zh-CN"/>
        </w:rPr>
        <w:t>渝赤叙高速（重庆段）航拍视频制作项目</w:t>
      </w:r>
      <w:r>
        <w:rPr>
          <w:rFonts w:hint="eastAsia" w:ascii="宋体" w:hAnsi="宋体" w:cs="宋体"/>
          <w:szCs w:val="21"/>
        </w:rPr>
        <w:t>，采购人为</w:t>
      </w:r>
      <w:r>
        <w:rPr>
          <w:rFonts w:hint="eastAsia" w:ascii="宋体" w:hAnsi="宋体" w:cs="宋体"/>
          <w:szCs w:val="21"/>
          <w:u w:val="single"/>
        </w:rPr>
        <w:t xml:space="preserve"> 重庆首讯科技股份有限公司 </w:t>
      </w:r>
      <w:r>
        <w:rPr>
          <w:rFonts w:hint="eastAsia" w:ascii="宋体" w:hAnsi="宋体" w:cs="宋体"/>
          <w:szCs w:val="21"/>
        </w:rPr>
        <w:t>，该项目已具备比选条件，现对该项目进行竞争性比选。</w:t>
      </w:r>
    </w:p>
    <w:p>
      <w:pPr>
        <w:pStyle w:val="4"/>
        <w:spacing w:before="120" w:after="0" w:line="360" w:lineRule="auto"/>
        <w:rPr>
          <w:rFonts w:ascii="宋体" w:hAnsi="宋体" w:eastAsia="宋体" w:cs="宋体"/>
        </w:rPr>
      </w:pPr>
      <w:bookmarkStart w:id="30" w:name="_Toc21343"/>
      <w:bookmarkStart w:id="31" w:name="_Toc247085673"/>
      <w:bookmarkStart w:id="32" w:name="_Toc10952"/>
      <w:bookmarkStart w:id="33" w:name="_Toc246996159"/>
      <w:bookmarkStart w:id="34" w:name="_Toc179632529"/>
      <w:bookmarkStart w:id="35" w:name="_Toc246996902"/>
      <w:bookmarkStart w:id="36" w:name="_Toc18109"/>
      <w:bookmarkStart w:id="37" w:name="_Toc152045513"/>
      <w:bookmarkStart w:id="38" w:name="_Toc507319892"/>
      <w:bookmarkStart w:id="39" w:name="_Toc11329214"/>
      <w:bookmarkStart w:id="40" w:name="_Toc144974481"/>
      <w:bookmarkStart w:id="41" w:name="_Toc152042289"/>
      <w:r>
        <w:rPr>
          <w:rFonts w:hint="eastAsia" w:ascii="宋体" w:hAnsi="宋体" w:eastAsia="宋体" w:cs="宋体"/>
        </w:rPr>
        <w:t>2. 项目概况与比选范围</w:t>
      </w:r>
      <w:bookmarkEnd w:id="30"/>
      <w:bookmarkEnd w:id="31"/>
      <w:bookmarkEnd w:id="32"/>
      <w:bookmarkEnd w:id="33"/>
      <w:bookmarkEnd w:id="34"/>
      <w:bookmarkEnd w:id="35"/>
      <w:bookmarkEnd w:id="36"/>
      <w:bookmarkEnd w:id="37"/>
      <w:bookmarkEnd w:id="38"/>
      <w:bookmarkEnd w:id="39"/>
      <w:bookmarkEnd w:id="40"/>
      <w:bookmarkEnd w:id="41"/>
    </w:p>
    <w:p>
      <w:pPr>
        <w:spacing w:line="360" w:lineRule="auto"/>
        <w:ind w:firstLine="420" w:firstLineChars="200"/>
        <w:rPr>
          <w:rFonts w:ascii="宋体" w:hAnsi="宋体" w:cs="宋体"/>
        </w:rPr>
      </w:pPr>
      <w:bookmarkStart w:id="42" w:name="_Toc446247226"/>
      <w:r>
        <w:rPr>
          <w:rFonts w:hint="eastAsia" w:ascii="宋体" w:hAnsi="宋体" w:cs="宋体"/>
        </w:rPr>
        <w:t>2.1 项目地点：</w:t>
      </w:r>
      <w:bookmarkEnd w:id="42"/>
      <w:r>
        <w:rPr>
          <w:rFonts w:hint="eastAsia" w:ascii="宋体" w:hAnsi="宋体" w:cs="宋体"/>
          <w:szCs w:val="21"/>
          <w:u w:val="single"/>
        </w:rPr>
        <w:t>渝赤叙项目公司</w:t>
      </w:r>
      <w:r>
        <w:rPr>
          <w:rFonts w:hint="eastAsia" w:ascii="宋体" w:hAnsi="宋体" w:cs="宋体"/>
        </w:rPr>
        <w:t>。</w:t>
      </w:r>
    </w:p>
    <w:p>
      <w:pPr>
        <w:pStyle w:val="13"/>
        <w:adjustRightInd w:val="0"/>
        <w:spacing w:line="400" w:lineRule="exact"/>
        <w:rPr>
          <w:rFonts w:hint="eastAsia" w:ascii="宋体" w:hAnsi="宋体" w:eastAsia="宋体" w:cs="宋体"/>
        </w:rPr>
      </w:pPr>
      <w:r>
        <w:rPr>
          <w:rFonts w:hint="eastAsia" w:ascii="宋体" w:hAnsi="宋体" w:eastAsia="宋体" w:cs="宋体"/>
        </w:rPr>
        <w:t xml:space="preserve">2.2 </w:t>
      </w:r>
      <w:r>
        <w:rPr>
          <w:rFonts w:hint="eastAsia" w:ascii="宋体" w:hAnsi="宋体" w:eastAsia="宋体" w:cs="宋体"/>
          <w:lang w:val="en-US" w:eastAsia="zh-CN"/>
        </w:rPr>
        <w:t>项目概况：本项目为渝赤叙高速（重庆段）航拍视频制作项目采购，主要包括但不限于季度汇报视频、月报视频制作（无航拍），具体参数详见“第七章  技术标准和工作要求”。</w:t>
      </w:r>
    </w:p>
    <w:p>
      <w:pPr>
        <w:pStyle w:val="13"/>
        <w:adjustRightInd w:val="0"/>
        <w:spacing w:line="400" w:lineRule="exact"/>
        <w:rPr>
          <w:rFonts w:ascii="宋体" w:hAnsi="宋体" w:cs="宋体"/>
          <w:szCs w:val="21"/>
          <w:highlight w:val="none"/>
        </w:rPr>
      </w:pPr>
      <w:r>
        <w:rPr>
          <w:rFonts w:hint="eastAsia" w:ascii="宋体" w:hAnsi="宋体" w:eastAsia="宋体" w:cs="宋体"/>
        </w:rPr>
        <w:t>2.3 比选范围：以甲方指令的关于本工程的标准设计施工图、合同清单、图纸会审纪要、变更通知、通知单等为依据，由乙方承担本工程的设备安装调试的全部专业任务。作业人员的组织和机构设置、安全生产教育、现场文明施工和标准化建设</w:t>
      </w:r>
      <w:r>
        <w:rPr>
          <w:rFonts w:hint="eastAsia" w:ascii="宋体" w:hAnsi="宋体" w:cs="宋体"/>
          <w:szCs w:val="21"/>
          <w:highlight w:val="none"/>
        </w:rPr>
        <w:t xml:space="preserve">、参加甲方组织的会议等一切与乙方相关联的工作亦属承包范围。承包方式：实行施工承包人包工、包料（以工程量清单为准）、包质量、包安装、包工期、包安全施工、包文明管理的一揽子承包方式。 </w:t>
      </w:r>
    </w:p>
    <w:p>
      <w:pPr>
        <w:widowControl/>
        <w:spacing w:line="400" w:lineRule="atLeast"/>
        <w:ind w:firstLine="420"/>
        <w:rPr>
          <w:rFonts w:ascii="宋体" w:hAnsi="宋体" w:cs="宋体"/>
          <w:highlight w:val="none"/>
        </w:rPr>
      </w:pPr>
      <w:r>
        <w:rPr>
          <w:rFonts w:hint="eastAsia" w:ascii="宋体" w:hAnsi="宋体" w:cs="宋体"/>
          <w:highlight w:val="none"/>
        </w:rPr>
        <w:t>2.4 工期要求：</w:t>
      </w:r>
      <w:r>
        <w:rPr>
          <w:rFonts w:hint="eastAsia" w:ascii="宋体" w:hAnsi="宋体" w:cs="宋体"/>
          <w:b w:val="0"/>
          <w:bCs w:val="0"/>
          <w:color w:val="auto"/>
          <w:kern w:val="2"/>
          <w:sz w:val="21"/>
          <w:szCs w:val="24"/>
          <w:highlight w:val="none"/>
          <w:lang w:val="en-US" w:eastAsia="zh-CN" w:bidi="ar-SA"/>
        </w:rPr>
        <w:t>3年；</w:t>
      </w:r>
      <w:r>
        <w:rPr>
          <w:rFonts w:hint="eastAsia" w:ascii="宋体" w:hAnsi="宋体" w:eastAsia="宋体" w:cs="宋体"/>
          <w:b w:val="0"/>
          <w:bCs w:val="0"/>
          <w:i w:val="0"/>
          <w:iCs w:val="0"/>
          <w:caps w:val="0"/>
          <w:color w:val="000000"/>
          <w:spacing w:val="0"/>
          <w:kern w:val="0"/>
          <w:sz w:val="21"/>
          <w:szCs w:val="21"/>
          <w:lang w:val="en-US" w:eastAsia="zh-CN" w:bidi="ar"/>
        </w:rPr>
        <w:t>开工日期：以甲方实际下达的开工通知为准</w:t>
      </w:r>
      <w:r>
        <w:rPr>
          <w:rFonts w:hint="eastAsia" w:ascii="宋体" w:hAnsi="宋体" w:cs="宋体"/>
          <w:b w:val="0"/>
          <w:bCs w:val="0"/>
          <w:i w:val="0"/>
          <w:iCs w:val="0"/>
          <w:caps w:val="0"/>
          <w:color w:val="000000"/>
          <w:spacing w:val="0"/>
          <w:kern w:val="0"/>
          <w:sz w:val="21"/>
          <w:szCs w:val="21"/>
          <w:lang w:val="en-US" w:eastAsia="zh-CN" w:bidi="ar"/>
        </w:rPr>
        <w:t>。</w:t>
      </w:r>
    </w:p>
    <w:p>
      <w:pPr>
        <w:pStyle w:val="4"/>
        <w:spacing w:before="120" w:after="0" w:line="360" w:lineRule="auto"/>
        <w:rPr>
          <w:rFonts w:ascii="宋体" w:hAnsi="宋体" w:eastAsia="宋体" w:cs="宋体"/>
        </w:rPr>
      </w:pPr>
      <w:bookmarkStart w:id="43" w:name="_Toc11329215"/>
      <w:bookmarkStart w:id="44" w:name="_Toc10171"/>
      <w:bookmarkStart w:id="45" w:name="_Toc179632530"/>
      <w:bookmarkStart w:id="46" w:name="_Toc7065"/>
      <w:bookmarkStart w:id="47" w:name="_Toc152045514"/>
      <w:bookmarkStart w:id="48" w:name="_Toc152042290"/>
      <w:bookmarkStart w:id="49" w:name="_Toc507319893"/>
      <w:bookmarkStart w:id="50" w:name="_Toc246996903"/>
      <w:bookmarkStart w:id="51" w:name="_Toc144974482"/>
      <w:bookmarkStart w:id="52" w:name="_Toc30356"/>
      <w:bookmarkStart w:id="53" w:name="_Toc247085674"/>
      <w:bookmarkStart w:id="54" w:name="_Toc246996160"/>
      <w:r>
        <w:rPr>
          <w:rFonts w:hint="eastAsia" w:ascii="宋体" w:hAnsi="宋体" w:eastAsia="宋体" w:cs="宋体"/>
        </w:rPr>
        <w:t>3. 报价人资格要求</w:t>
      </w:r>
      <w:bookmarkEnd w:id="43"/>
      <w:bookmarkEnd w:id="44"/>
      <w:bookmarkEnd w:id="45"/>
      <w:bookmarkEnd w:id="46"/>
      <w:bookmarkEnd w:id="47"/>
      <w:bookmarkEnd w:id="48"/>
      <w:bookmarkEnd w:id="49"/>
      <w:bookmarkEnd w:id="50"/>
      <w:bookmarkEnd w:id="51"/>
      <w:bookmarkEnd w:id="52"/>
      <w:bookmarkEnd w:id="53"/>
      <w:bookmarkEnd w:id="54"/>
    </w:p>
    <w:p>
      <w:pPr>
        <w:pStyle w:val="13"/>
        <w:adjustRightInd w:val="0"/>
        <w:spacing w:line="400" w:lineRule="exact"/>
        <w:rPr>
          <w:rFonts w:hint="eastAsia" w:ascii="宋体" w:hAnsi="宋体" w:eastAsia="宋体" w:cs="宋体"/>
          <w:lang w:val="en-US" w:eastAsia="zh-CN"/>
        </w:rPr>
      </w:pPr>
      <w:bookmarkStart w:id="55" w:name="_Toc152045515"/>
      <w:bookmarkStart w:id="56" w:name="_Toc246996161"/>
      <w:bookmarkStart w:id="57" w:name="_Toc144974483"/>
      <w:bookmarkStart w:id="58" w:name="_Toc247085675"/>
      <w:bookmarkStart w:id="59" w:name="_Toc152042291"/>
      <w:bookmarkStart w:id="60" w:name="_Toc246996904"/>
      <w:bookmarkStart w:id="61" w:name="_Toc179632531"/>
      <w:r>
        <w:rPr>
          <w:rFonts w:hint="eastAsia" w:ascii="宋体" w:hAnsi="宋体" w:eastAsia="宋体" w:cs="宋体"/>
          <w:lang w:val="en-US" w:eastAsia="zh-CN"/>
        </w:rPr>
        <w:t>3.1 资质要求（以下资质文件若因疫情影响过期无法办理延续手续，需附相关行政部门下发的延期办理文件）：</w:t>
      </w:r>
    </w:p>
    <w:p>
      <w:pPr>
        <w:pStyle w:val="13"/>
        <w:adjustRightInd w:val="0"/>
        <w:spacing w:line="400" w:lineRule="exact"/>
        <w:rPr>
          <w:rFonts w:hint="eastAsia" w:ascii="宋体" w:hAnsi="宋体" w:eastAsia="宋体" w:cs="宋体"/>
          <w:lang w:val="en-US" w:eastAsia="zh-CN"/>
        </w:rPr>
      </w:pPr>
      <w:r>
        <w:rPr>
          <w:rFonts w:hint="eastAsia" w:ascii="宋体" w:hAnsi="宋体" w:eastAsia="宋体" w:cs="宋体"/>
          <w:lang w:val="en-US" w:eastAsia="zh-CN"/>
        </w:rPr>
        <w:t>（1）具有独立法人资格及具有有效的营业执照；</w:t>
      </w:r>
    </w:p>
    <w:p>
      <w:pPr>
        <w:pStyle w:val="13"/>
        <w:adjustRightInd w:val="0"/>
        <w:spacing w:line="400" w:lineRule="exact"/>
        <w:rPr>
          <w:rFonts w:hint="eastAsia" w:ascii="宋体" w:hAnsi="宋体" w:eastAsia="宋体" w:cs="宋体"/>
          <w:lang w:val="en-US" w:eastAsia="zh-CN"/>
        </w:rPr>
      </w:pPr>
      <w:r>
        <w:rPr>
          <w:rFonts w:hint="eastAsia" w:ascii="宋体" w:hAnsi="宋体" w:eastAsia="宋体" w:cs="宋体"/>
          <w:lang w:val="en-US" w:eastAsia="zh-CN"/>
        </w:rPr>
        <w:t>3.2 业绩要求：近三年（2020年1月1日起至投标截止日）至少承担三项类似航拍视频制作项目的业绩（以合同签订时间为准）。</w:t>
      </w:r>
    </w:p>
    <w:p>
      <w:pPr>
        <w:pStyle w:val="13"/>
        <w:adjustRightInd w:val="0"/>
        <w:spacing w:line="400" w:lineRule="exact"/>
        <w:rPr>
          <w:rFonts w:hint="eastAsia" w:ascii="宋体" w:hAnsi="宋体" w:eastAsia="宋体" w:cs="宋体"/>
          <w:lang w:val="en-US" w:eastAsia="zh-CN"/>
        </w:rPr>
      </w:pPr>
      <w:r>
        <w:rPr>
          <w:rFonts w:hint="eastAsia" w:ascii="宋体" w:hAnsi="宋体" w:eastAsia="宋体" w:cs="宋体"/>
          <w:lang w:val="en-US" w:eastAsia="zh-CN"/>
        </w:rPr>
        <w:t>3.3 信誉要求：在国家企业信用信息公示系统（http://www.gsxt.gov.cn/）中未被列入严重违法失信企业名单（黑名单）信息；在“信用中国”网站（http://www.creditchina.gov.cn/）中未被列入失信惩戒执行人名单。</w:t>
      </w:r>
    </w:p>
    <w:p>
      <w:pPr>
        <w:pStyle w:val="13"/>
        <w:adjustRightInd w:val="0"/>
        <w:spacing w:line="400" w:lineRule="exact"/>
        <w:rPr>
          <w:rFonts w:hint="eastAsia" w:ascii="宋体" w:hAnsi="宋体" w:eastAsia="宋体" w:cs="宋体"/>
          <w:lang w:val="en-US" w:eastAsia="zh-CN"/>
        </w:rPr>
      </w:pPr>
      <w:r>
        <w:rPr>
          <w:rFonts w:hint="eastAsia" w:ascii="宋体" w:hAnsi="宋体" w:eastAsia="宋体" w:cs="宋体"/>
          <w:lang w:val="en-US" w:eastAsia="zh-CN"/>
        </w:rPr>
        <w:t>3.4 报价人须提供采购人要求的所有资质要求、业绩要求、信誉要求的复印件并加盖单位鲜公章。</w:t>
      </w:r>
    </w:p>
    <w:p>
      <w:pPr>
        <w:pStyle w:val="13"/>
        <w:adjustRightInd w:val="0"/>
        <w:spacing w:line="400" w:lineRule="exact"/>
        <w:rPr>
          <w:rFonts w:hint="eastAsia" w:ascii="宋体" w:hAnsi="宋体" w:eastAsia="宋体" w:cs="宋体"/>
        </w:rPr>
      </w:pPr>
      <w:r>
        <w:rPr>
          <w:rFonts w:hint="eastAsia" w:ascii="宋体" w:hAnsi="宋体" w:eastAsia="宋体" w:cs="宋体"/>
          <w:lang w:val="en-US" w:eastAsia="zh-CN"/>
        </w:rPr>
        <w:t>3.5 本次比选不接受联合体报</w:t>
      </w:r>
      <w:r>
        <w:rPr>
          <w:rFonts w:hint="eastAsia" w:ascii="宋体" w:hAnsi="宋体" w:eastAsia="宋体" w:cs="宋体"/>
        </w:rPr>
        <w:t>价。</w:t>
      </w:r>
    </w:p>
    <w:p>
      <w:pPr>
        <w:pStyle w:val="13"/>
        <w:adjustRightInd w:val="0"/>
        <w:spacing w:line="400" w:lineRule="exact"/>
        <w:rPr>
          <w:rFonts w:hint="eastAsia" w:ascii="宋体" w:hAnsi="宋体" w:eastAsia="宋体" w:cs="宋体"/>
        </w:rPr>
      </w:pPr>
      <w:r>
        <w:rPr>
          <w:rFonts w:hint="eastAsia" w:ascii="宋体" w:hAnsi="宋体" w:eastAsia="宋体" w:cs="宋体"/>
        </w:rPr>
        <w:t>3.6 单位负责人为同一人或者存在控股、管理关系的不同单位，不得同时参加本项目报价，否则均按无效报价处理。</w:t>
      </w:r>
    </w:p>
    <w:p>
      <w:pPr>
        <w:pStyle w:val="4"/>
        <w:spacing w:before="120" w:after="0" w:line="400" w:lineRule="exact"/>
        <w:rPr>
          <w:rFonts w:ascii="宋体" w:hAnsi="宋体" w:eastAsia="宋体" w:cs="宋体"/>
        </w:rPr>
      </w:pPr>
      <w:bookmarkStart w:id="62" w:name="_Toc507319894"/>
      <w:bookmarkStart w:id="63" w:name="_Toc11329216"/>
      <w:bookmarkStart w:id="64" w:name="_Toc25619"/>
      <w:bookmarkStart w:id="65" w:name="_Toc14361"/>
      <w:bookmarkStart w:id="66" w:name="_Toc12460"/>
      <w:r>
        <w:rPr>
          <w:rFonts w:hint="eastAsia" w:ascii="宋体" w:hAnsi="宋体" w:eastAsia="宋体" w:cs="宋体"/>
        </w:rPr>
        <w:t>4. 比选文件的获取</w:t>
      </w:r>
      <w:bookmarkEnd w:id="55"/>
      <w:bookmarkEnd w:id="56"/>
      <w:bookmarkEnd w:id="57"/>
      <w:bookmarkEnd w:id="58"/>
      <w:bookmarkEnd w:id="59"/>
      <w:bookmarkEnd w:id="60"/>
      <w:bookmarkEnd w:id="61"/>
      <w:bookmarkEnd w:id="62"/>
      <w:bookmarkEnd w:id="63"/>
      <w:bookmarkEnd w:id="64"/>
      <w:bookmarkEnd w:id="65"/>
      <w:bookmarkEnd w:id="66"/>
    </w:p>
    <w:p>
      <w:pPr>
        <w:spacing w:line="360" w:lineRule="auto"/>
        <w:ind w:firstLine="420" w:firstLineChars="200"/>
        <w:rPr>
          <w:rFonts w:ascii="宋体" w:hAnsi="宋体"/>
          <w:szCs w:val="21"/>
        </w:rPr>
      </w:pPr>
      <w:bookmarkStart w:id="67" w:name="_Toc507319895"/>
      <w:bookmarkStart w:id="68" w:name="_Toc246996905"/>
      <w:bookmarkStart w:id="69" w:name="_Toc247085676"/>
      <w:bookmarkStart w:id="70" w:name="_Toc179632532"/>
      <w:bookmarkStart w:id="71" w:name="_Toc144974484"/>
      <w:bookmarkStart w:id="72" w:name="_Toc152042292"/>
      <w:bookmarkStart w:id="73" w:name="_Toc152045516"/>
      <w:bookmarkStart w:id="74" w:name="_Toc11329217"/>
      <w:bookmarkStart w:id="75" w:name="_Toc246996162"/>
      <w:r>
        <w:rPr>
          <w:rFonts w:ascii="宋体" w:hAnsi="宋体"/>
          <w:szCs w:val="21"/>
        </w:rPr>
        <w:t>凡愿意参加的潜在</w:t>
      </w:r>
      <w:r>
        <w:rPr>
          <w:rFonts w:hint="eastAsia" w:ascii="宋体" w:hAnsi="宋体"/>
          <w:szCs w:val="21"/>
        </w:rPr>
        <w:t>报价</w:t>
      </w:r>
      <w:r>
        <w:rPr>
          <w:rFonts w:ascii="宋体" w:hAnsi="宋体"/>
          <w:szCs w:val="21"/>
        </w:rPr>
        <w:t>人，</w:t>
      </w:r>
      <w:r>
        <w:rPr>
          <w:rFonts w:hint="eastAsia" w:ascii="宋体" w:hAnsi="宋体"/>
          <w:szCs w:val="21"/>
        </w:rPr>
        <w:t>在</w:t>
      </w:r>
      <w:r>
        <w:rPr>
          <w:rFonts w:hint="eastAsia" w:ascii="宋体" w:hAnsi="宋体"/>
          <w:szCs w:val="21"/>
          <w:u w:val="single"/>
        </w:rPr>
        <w:t>202</w:t>
      </w:r>
      <w:r>
        <w:rPr>
          <w:rFonts w:hint="eastAsia" w:ascii="宋体" w:hAnsi="宋体"/>
          <w:szCs w:val="21"/>
          <w:u w:val="single"/>
          <w:lang w:val="en-US" w:eastAsia="zh-CN"/>
        </w:rPr>
        <w:t>3</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3</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28</w:t>
      </w:r>
      <w:r>
        <w:rPr>
          <w:rFonts w:ascii="宋体" w:hAnsi="宋体"/>
          <w:szCs w:val="21"/>
          <w:u w:val="single"/>
        </w:rPr>
        <w:t xml:space="preserve"> </w:t>
      </w:r>
      <w:r>
        <w:rPr>
          <w:rFonts w:hint="eastAsia" w:ascii="宋体" w:hAnsi="宋体"/>
          <w:szCs w:val="21"/>
        </w:rPr>
        <w:t>日</w:t>
      </w:r>
      <w:r>
        <w:rPr>
          <w:rFonts w:hint="eastAsia" w:ascii="宋体" w:hAnsi="宋体"/>
          <w:szCs w:val="21"/>
          <w:lang w:val="en-US" w:eastAsia="zh-CN"/>
        </w:rPr>
        <w:t>上</w:t>
      </w:r>
      <w:r>
        <w:rPr>
          <w:rFonts w:hint="eastAsia" w:ascii="宋体" w:hAnsi="宋体"/>
          <w:szCs w:val="21"/>
        </w:rPr>
        <w:t>午</w:t>
      </w:r>
      <w:r>
        <w:rPr>
          <w:rFonts w:hint="eastAsia" w:ascii="宋体" w:hAnsi="宋体"/>
          <w:szCs w:val="21"/>
          <w:u w:val="single"/>
        </w:rPr>
        <w:t>1</w:t>
      </w:r>
      <w:r>
        <w:rPr>
          <w:rFonts w:hint="eastAsia" w:ascii="宋体" w:hAnsi="宋体"/>
          <w:szCs w:val="21"/>
          <w:u w:val="single"/>
          <w:lang w:val="en-US" w:eastAsia="zh-CN"/>
        </w:rPr>
        <w:t>1</w:t>
      </w:r>
      <w:r>
        <w:rPr>
          <w:rFonts w:hint="eastAsia" w:ascii="宋体" w:hAnsi="宋体"/>
          <w:szCs w:val="21"/>
          <w:u w:val="single"/>
        </w:rPr>
        <w:t>:00</w:t>
      </w:r>
      <w:r>
        <w:rPr>
          <w:rFonts w:hint="eastAsia" w:ascii="宋体" w:hAnsi="宋体"/>
          <w:szCs w:val="21"/>
        </w:rPr>
        <w:t>前在重庆高速集团官网平台上获取报价文件，各报价人应随时关注网上发布的竞争性比选文件答疑、补遗、澄清等文件内容，不管报价人是否下载，均视为已知晓竞争性比选文件的全部内容和有关事宜。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rPr>
      </w:pPr>
      <w:bookmarkStart w:id="76" w:name="_Toc16686"/>
      <w:bookmarkStart w:id="77" w:name="_Toc9131"/>
      <w:bookmarkStart w:id="78" w:name="_Toc31493"/>
      <w:r>
        <w:rPr>
          <w:rFonts w:hint="eastAsia" w:ascii="宋体" w:hAnsi="宋体" w:eastAsia="宋体" w:cs="宋体"/>
        </w:rPr>
        <w:t>5. 竞争性比选响应文件的递交</w:t>
      </w:r>
      <w:bookmarkEnd w:id="67"/>
      <w:bookmarkEnd w:id="68"/>
      <w:bookmarkEnd w:id="69"/>
      <w:bookmarkEnd w:id="70"/>
      <w:bookmarkEnd w:id="71"/>
      <w:bookmarkEnd w:id="72"/>
      <w:bookmarkEnd w:id="73"/>
      <w:bookmarkEnd w:id="74"/>
      <w:bookmarkEnd w:id="75"/>
      <w:r>
        <w:rPr>
          <w:rFonts w:hint="eastAsia" w:ascii="宋体" w:hAnsi="宋体" w:eastAsia="宋体" w:cs="宋体"/>
        </w:rPr>
        <w:t>及相关事宜</w:t>
      </w:r>
      <w:bookmarkEnd w:id="76"/>
      <w:bookmarkEnd w:id="77"/>
      <w:bookmarkEnd w:id="78"/>
    </w:p>
    <w:p>
      <w:pPr>
        <w:tabs>
          <w:tab w:val="left" w:pos="360"/>
        </w:tabs>
        <w:spacing w:line="400" w:lineRule="exact"/>
        <w:ind w:firstLine="420" w:firstLineChars="200"/>
        <w:rPr>
          <w:rFonts w:ascii="宋体" w:hAnsi="宋体" w:cs="宋体"/>
          <w:szCs w:val="21"/>
        </w:rPr>
      </w:pPr>
      <w:r>
        <w:rPr>
          <w:rFonts w:hint="eastAsia" w:ascii="宋体" w:hAnsi="宋体" w:cs="宋体"/>
          <w:szCs w:val="21"/>
        </w:rPr>
        <w:t>5.1报价截止时间和开标时间：</w:t>
      </w:r>
      <w:r>
        <w:rPr>
          <w:rFonts w:hint="eastAsia" w:ascii="宋体" w:hAnsi="宋体"/>
          <w:szCs w:val="21"/>
          <w:u w:val="single"/>
        </w:rPr>
        <w:t>202</w:t>
      </w:r>
      <w:r>
        <w:rPr>
          <w:rFonts w:hint="eastAsia" w:ascii="宋体" w:hAnsi="宋体"/>
          <w:szCs w:val="21"/>
          <w:u w:val="single"/>
          <w:lang w:val="en-US" w:eastAsia="zh-CN"/>
        </w:rPr>
        <w:t>3</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3</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28</w:t>
      </w:r>
      <w:r>
        <w:rPr>
          <w:rFonts w:ascii="宋体" w:hAnsi="宋体"/>
          <w:szCs w:val="21"/>
          <w:u w:val="single"/>
        </w:rPr>
        <w:t xml:space="preserve"> </w:t>
      </w:r>
      <w:r>
        <w:rPr>
          <w:rFonts w:hint="eastAsia" w:ascii="宋体" w:hAnsi="宋体"/>
          <w:szCs w:val="21"/>
        </w:rPr>
        <w:t>日</w:t>
      </w:r>
      <w:r>
        <w:rPr>
          <w:rFonts w:hint="eastAsia" w:ascii="宋体" w:hAnsi="宋体"/>
          <w:szCs w:val="21"/>
          <w:lang w:val="en-US" w:eastAsia="zh-CN"/>
        </w:rPr>
        <w:t>上</w:t>
      </w:r>
      <w:r>
        <w:rPr>
          <w:rFonts w:hint="eastAsia" w:ascii="宋体" w:hAnsi="宋体" w:cs="宋体"/>
          <w:szCs w:val="21"/>
        </w:rPr>
        <w:t>午</w:t>
      </w:r>
      <w:r>
        <w:rPr>
          <w:rFonts w:hint="eastAsia" w:ascii="宋体" w:hAnsi="宋体" w:cs="宋体"/>
          <w:szCs w:val="21"/>
          <w:u w:val="single"/>
        </w:rPr>
        <w:t xml:space="preserve"> 1</w:t>
      </w:r>
      <w:r>
        <w:rPr>
          <w:rFonts w:hint="eastAsia" w:ascii="宋体" w:hAnsi="宋体" w:cs="宋体"/>
          <w:szCs w:val="21"/>
          <w:u w:val="single"/>
          <w:lang w:val="en-US" w:eastAsia="zh-CN"/>
        </w:rPr>
        <w:t>1</w:t>
      </w:r>
      <w:r>
        <w:rPr>
          <w:rFonts w:hint="eastAsia" w:ascii="宋体" w:hAnsi="宋体" w:cs="宋体"/>
          <w:szCs w:val="21"/>
          <w:u w:val="single"/>
        </w:rPr>
        <w:t xml:space="preserve"> </w:t>
      </w:r>
      <w:r>
        <w:rPr>
          <w:rFonts w:hint="eastAsia" w:ascii="宋体" w:hAnsi="宋体" w:cs="宋体"/>
          <w:szCs w:val="21"/>
        </w:rPr>
        <w:t>时</w:t>
      </w:r>
      <w:r>
        <w:rPr>
          <w:rFonts w:hint="eastAsia" w:ascii="宋体" w:hAnsi="宋体" w:cs="宋体"/>
          <w:szCs w:val="21"/>
          <w:u w:val="single"/>
        </w:rPr>
        <w:t xml:space="preserve"> 00 </w:t>
      </w:r>
      <w:r>
        <w:rPr>
          <w:rFonts w:hint="eastAsia" w:ascii="宋体" w:hAnsi="宋体" w:cs="宋体"/>
          <w:szCs w:val="21"/>
        </w:rPr>
        <w:t>分（北京时间）。</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5.2报价的递交：</w:t>
      </w:r>
      <w:r>
        <w:rPr>
          <w:rFonts w:hint="eastAsia" w:ascii="宋体" w:hAnsi="宋体" w:eastAsia="宋体" w:cs="宋体"/>
          <w:kern w:val="2"/>
          <w:sz w:val="21"/>
          <w:szCs w:val="21"/>
          <w:highlight w:val="none"/>
          <w:lang w:val="en-US" w:eastAsia="zh-CN" w:bidi="ar-SA"/>
        </w:rPr>
        <w:t>重庆市渝北区龙溪街道新南路52号东界龙湖三楼</w:t>
      </w:r>
      <w:r>
        <w:rPr>
          <w:rFonts w:hint="eastAsia" w:ascii="宋体" w:hAnsi="宋体" w:cs="宋体"/>
          <w:szCs w:val="21"/>
        </w:rPr>
        <w:t>。</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5.3</w:t>
      </w:r>
      <w:r>
        <w:rPr>
          <w:rFonts w:ascii="宋体" w:hAnsi="宋体" w:cs="宋体"/>
          <w:szCs w:val="21"/>
        </w:rPr>
        <w:t>采购</w:t>
      </w:r>
      <w:r>
        <w:rPr>
          <w:rFonts w:hint="eastAsia" w:ascii="宋体" w:hAnsi="宋体" w:cs="宋体"/>
          <w:szCs w:val="21"/>
        </w:rPr>
        <w:tab/>
      </w:r>
      <w:r>
        <w:rPr>
          <w:rFonts w:ascii="宋体" w:hAnsi="宋体" w:cs="宋体"/>
          <w:szCs w:val="21"/>
        </w:rPr>
        <w:t>人不召开报价预备会。</w:t>
      </w:r>
    </w:p>
    <w:p>
      <w:pPr>
        <w:pStyle w:val="4"/>
        <w:spacing w:before="120" w:after="0" w:line="400" w:lineRule="exact"/>
        <w:rPr>
          <w:rFonts w:ascii="宋体" w:hAnsi="宋体" w:eastAsia="宋体" w:cs="宋体"/>
        </w:rPr>
      </w:pPr>
      <w:bookmarkStart w:id="79" w:name="_Toc144974485"/>
      <w:bookmarkStart w:id="80" w:name="_Toc18402"/>
      <w:bookmarkStart w:id="81" w:name="_Toc152045517"/>
      <w:bookmarkStart w:id="82" w:name="_Toc21615"/>
      <w:bookmarkStart w:id="83" w:name="_Toc11329219"/>
      <w:bookmarkStart w:id="84" w:name="_Toc247085678"/>
      <w:bookmarkStart w:id="85" w:name="_Toc246996164"/>
      <w:bookmarkStart w:id="86" w:name="_Toc393"/>
      <w:bookmarkStart w:id="87" w:name="_Toc246996907"/>
      <w:bookmarkStart w:id="88" w:name="_Toc507319897"/>
      <w:bookmarkStart w:id="89" w:name="_Toc152042293"/>
      <w:bookmarkStart w:id="90" w:name="_Toc179632534"/>
      <w:r>
        <w:rPr>
          <w:rFonts w:hint="eastAsia" w:ascii="宋体" w:hAnsi="宋体" w:eastAsia="宋体" w:cs="宋体"/>
        </w:rPr>
        <w:t>6. 联系方式</w:t>
      </w:r>
      <w:bookmarkEnd w:id="79"/>
      <w:bookmarkEnd w:id="80"/>
      <w:bookmarkEnd w:id="81"/>
      <w:bookmarkEnd w:id="82"/>
      <w:bookmarkEnd w:id="83"/>
      <w:bookmarkEnd w:id="84"/>
      <w:bookmarkEnd w:id="85"/>
      <w:bookmarkEnd w:id="86"/>
      <w:bookmarkEnd w:id="87"/>
      <w:bookmarkEnd w:id="88"/>
      <w:bookmarkEnd w:id="89"/>
      <w:bookmarkEnd w:id="90"/>
    </w:p>
    <w:tbl>
      <w:tblPr>
        <w:tblStyle w:val="43"/>
        <w:tblW w:w="9628" w:type="dxa"/>
        <w:tblInd w:w="0" w:type="dxa"/>
        <w:tblLayout w:type="fixed"/>
        <w:tblCellMar>
          <w:top w:w="0" w:type="dxa"/>
          <w:left w:w="108" w:type="dxa"/>
          <w:bottom w:w="0" w:type="dxa"/>
          <w:right w:w="108" w:type="dxa"/>
        </w:tblCellMar>
      </w:tblPr>
      <w:tblGrid>
        <w:gridCol w:w="8213"/>
        <w:gridCol w:w="1415"/>
      </w:tblGrid>
      <w:tr>
        <w:trPr>
          <w:trHeight w:val="470" w:hRule="atLeast"/>
        </w:trPr>
        <w:tc>
          <w:tcPr>
            <w:tcW w:w="8213" w:type="dxa"/>
            <w:vAlign w:val="center"/>
          </w:tcPr>
          <w:p>
            <w:pPr>
              <w:pStyle w:val="102"/>
              <w:spacing w:before="0" w:beforeAutospacing="0" w:after="0" w:afterAutospacing="0" w:line="400" w:lineRule="exact"/>
              <w:ind w:firstLine="420" w:firstLineChars="200"/>
              <w:jc w:val="both"/>
              <w:rPr>
                <w:rFonts w:ascii="宋体" w:hAnsi="宋体" w:cs="宋体"/>
                <w:kern w:val="2"/>
                <w:sz w:val="21"/>
                <w:szCs w:val="21"/>
              </w:rPr>
            </w:pPr>
            <w:r>
              <w:rPr>
                <w:rFonts w:hint="eastAsia" w:ascii="宋体" w:hAnsi="宋体" w:cs="宋体"/>
                <w:kern w:val="2"/>
                <w:sz w:val="21"/>
                <w:szCs w:val="21"/>
              </w:rPr>
              <w:t>采购人：重庆首讯科技股份有限公司</w:t>
            </w:r>
          </w:p>
        </w:tc>
        <w:tc>
          <w:tcPr>
            <w:tcW w:w="1415" w:type="dxa"/>
            <w:vAlign w:val="center"/>
          </w:tcPr>
          <w:p>
            <w:pPr>
              <w:pStyle w:val="102"/>
              <w:spacing w:before="0" w:beforeAutospacing="0" w:after="0" w:afterAutospacing="0" w:line="400" w:lineRule="exact"/>
              <w:ind w:firstLine="420" w:firstLineChars="200"/>
              <w:jc w:val="both"/>
              <w:rPr>
                <w:rFonts w:ascii="宋体" w:hAnsi="宋体" w:cs="宋体"/>
                <w:kern w:val="2"/>
                <w:sz w:val="21"/>
                <w:szCs w:val="21"/>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szCs w:val="21"/>
              </w:rPr>
            </w:pPr>
            <w:r>
              <w:rPr>
                <w:rFonts w:hint="eastAsia" w:ascii="宋体" w:hAnsi="宋体" w:cs="宋体"/>
                <w:szCs w:val="21"/>
              </w:rPr>
              <w:t>地址：</w:t>
            </w:r>
            <w:r>
              <w:rPr>
                <w:rFonts w:hint="eastAsia" w:ascii="宋体" w:hAnsi="宋体" w:eastAsia="宋体" w:cs="宋体"/>
                <w:kern w:val="2"/>
                <w:sz w:val="21"/>
                <w:szCs w:val="21"/>
                <w:highlight w:val="none"/>
                <w:lang w:val="en-US" w:eastAsia="zh-CN" w:bidi="ar-SA"/>
              </w:rPr>
              <w:t>重庆市渝北区龙溪街道新南路52号东界龙湖三楼</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ascii="宋体" w:hAnsi="宋体" w:cs="宋体"/>
                <w:szCs w:val="21"/>
              </w:rPr>
            </w:pPr>
            <w:r>
              <w:rPr>
                <w:rFonts w:hint="eastAsia" w:ascii="宋体" w:hAnsi="宋体" w:cs="宋体"/>
                <w:szCs w:val="21"/>
              </w:rPr>
              <w:t>技术联系人：</w:t>
            </w:r>
            <w:r>
              <w:rPr>
                <w:rFonts w:hint="eastAsia" w:ascii="宋体" w:hAnsi="宋体" w:cs="宋体"/>
                <w:szCs w:val="21"/>
                <w:lang w:val="en-US" w:eastAsia="zh-CN"/>
              </w:rPr>
              <w:t>张</w:t>
            </w:r>
            <w:r>
              <w:rPr>
                <w:rFonts w:hint="eastAsia" w:ascii="宋体" w:hAnsi="宋体" w:cs="宋体"/>
                <w:szCs w:val="21"/>
              </w:rPr>
              <w:t>老师  电 话：18227587746</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hint="default" w:eastAsia="宋体"/>
                <w:lang w:val="en-US" w:eastAsia="zh-CN"/>
              </w:rPr>
            </w:pPr>
            <w:r>
              <w:rPr>
                <w:rFonts w:hint="eastAsia" w:ascii="宋体" w:hAnsi="宋体" w:cs="宋体"/>
                <w:szCs w:val="21"/>
              </w:rPr>
              <w:t>商务联系人：</w:t>
            </w:r>
            <w:r>
              <w:rPr>
                <w:rFonts w:hint="eastAsia" w:ascii="宋体" w:hAnsi="宋体" w:cs="宋体"/>
                <w:szCs w:val="21"/>
                <w:lang w:val="en-US" w:eastAsia="zh-CN"/>
              </w:rPr>
              <w:t>刘</w:t>
            </w:r>
            <w:r>
              <w:rPr>
                <w:rFonts w:hint="eastAsia" w:ascii="宋体" w:hAnsi="宋体" w:cs="宋体"/>
                <w:szCs w:val="21"/>
              </w:rPr>
              <w:t>老师  电 话：</w:t>
            </w:r>
            <w:r>
              <w:rPr>
                <w:rFonts w:hint="eastAsia" w:ascii="宋体" w:hAnsi="宋体" w:cs="宋体"/>
                <w:szCs w:val="21"/>
                <w:lang w:val="en-US" w:eastAsia="zh-CN"/>
              </w:rPr>
              <w:t>18623655450</w:t>
            </w:r>
          </w:p>
        </w:tc>
        <w:tc>
          <w:tcPr>
            <w:tcW w:w="1415" w:type="dxa"/>
            <w:vAlign w:val="center"/>
          </w:tcPr>
          <w:p>
            <w:pPr>
              <w:spacing w:line="400" w:lineRule="exact"/>
              <w:ind w:firstLine="420" w:firstLineChars="200"/>
              <w:rPr>
                <w:rFonts w:ascii="宋体" w:hAnsi="宋体" w:cs="宋体"/>
                <w:szCs w:val="21"/>
              </w:rPr>
            </w:pPr>
          </w:p>
        </w:tc>
      </w:tr>
    </w:tbl>
    <w:p/>
    <w:p>
      <w:pPr>
        <w:pStyle w:val="28"/>
      </w:pPr>
    </w:p>
    <w:p/>
    <w:p>
      <w:pPr>
        <w:pStyle w:val="28"/>
      </w:pPr>
    </w:p>
    <w:p>
      <w:pPr>
        <w:pStyle w:val="28"/>
      </w:pPr>
    </w:p>
    <w:bookmarkEnd w:id="16"/>
    <w:bookmarkEnd w:id="17"/>
    <w:p>
      <w:pPr>
        <w:pStyle w:val="3"/>
        <w:spacing w:before="0" w:after="0" w:line="360" w:lineRule="auto"/>
        <w:jc w:val="center"/>
        <w:rPr>
          <w:rFonts w:ascii="宋体" w:hAnsi="宋体" w:cs="宋体"/>
        </w:rPr>
      </w:pPr>
      <w:bookmarkStart w:id="91" w:name="_Toc144974495"/>
      <w:bookmarkStart w:id="92" w:name="_Toc247085687"/>
      <w:bookmarkStart w:id="93" w:name="_Toc152042303"/>
      <w:bookmarkStart w:id="94" w:name="_Toc152045527"/>
      <w:bookmarkStart w:id="95" w:name="_Toc21719"/>
      <w:bookmarkStart w:id="96" w:name="_Toc246996173"/>
      <w:bookmarkStart w:id="97" w:name="_Toc2000405"/>
      <w:bookmarkStart w:id="98" w:name="_Toc179632544"/>
      <w:bookmarkStart w:id="99" w:name="_Toc246996916"/>
      <w:bookmarkStart w:id="100" w:name="_Toc507319898"/>
      <w:r>
        <w:rPr>
          <w:rFonts w:hint="eastAsia" w:ascii="宋体" w:hAnsi="宋体" w:cs="宋体"/>
        </w:rPr>
        <w:br w:type="page"/>
      </w:r>
      <w:r>
        <w:rPr>
          <w:rFonts w:hint="eastAsia" w:ascii="宋体" w:hAnsi="宋体" w:cs="宋体"/>
        </w:rPr>
        <w:t>第二章 报价人须知</w:t>
      </w:r>
      <w:bookmarkEnd w:id="91"/>
      <w:bookmarkEnd w:id="92"/>
      <w:bookmarkEnd w:id="93"/>
      <w:bookmarkEnd w:id="94"/>
      <w:bookmarkEnd w:id="95"/>
      <w:bookmarkEnd w:id="96"/>
      <w:bookmarkEnd w:id="97"/>
      <w:bookmarkEnd w:id="98"/>
      <w:bookmarkEnd w:id="99"/>
      <w:bookmarkEnd w:id="100"/>
    </w:p>
    <w:p/>
    <w:tbl>
      <w:tblPr>
        <w:tblStyle w:val="43"/>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kern w:val="0"/>
                <w:szCs w:val="21"/>
              </w:rPr>
            </w:pPr>
            <w:bookmarkStart w:id="101" w:name="_Toc326760840"/>
            <w:r>
              <w:rPr>
                <w:rFonts w:hint="eastAsia" w:ascii="宋体" w:hAnsi="宋体" w:cs="宋体"/>
                <w:b/>
                <w:kern w:val="0"/>
                <w:szCs w:val="21"/>
              </w:rPr>
              <w:t>序号</w:t>
            </w:r>
          </w:p>
        </w:tc>
        <w:tc>
          <w:tcPr>
            <w:tcW w:w="2106" w:type="dxa"/>
            <w:vAlign w:val="center"/>
          </w:tcPr>
          <w:p>
            <w:pPr>
              <w:spacing w:line="400" w:lineRule="exact"/>
              <w:jc w:val="center"/>
              <w:rPr>
                <w:rFonts w:ascii="宋体" w:hAnsi="宋体" w:cs="宋体"/>
                <w:b/>
                <w:kern w:val="0"/>
                <w:szCs w:val="21"/>
              </w:rPr>
            </w:pPr>
            <w:r>
              <w:rPr>
                <w:rFonts w:hint="eastAsia" w:ascii="宋体" w:hAnsi="宋体" w:cs="宋体"/>
                <w:b/>
                <w:kern w:val="0"/>
                <w:szCs w:val="21"/>
              </w:rPr>
              <w:t>条款名称</w:t>
            </w:r>
          </w:p>
        </w:tc>
        <w:tc>
          <w:tcPr>
            <w:tcW w:w="7104" w:type="dxa"/>
            <w:vAlign w:val="center"/>
          </w:tcPr>
          <w:p>
            <w:pPr>
              <w:spacing w:line="400" w:lineRule="exact"/>
              <w:ind w:firstLine="422" w:firstLineChars="200"/>
              <w:jc w:val="center"/>
              <w:rPr>
                <w:rFonts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采购人</w:t>
            </w:r>
          </w:p>
        </w:tc>
        <w:tc>
          <w:tcPr>
            <w:tcW w:w="7104"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采购人：重庆首讯科技股份有限公司</w:t>
            </w:r>
          </w:p>
          <w:p>
            <w:pPr>
              <w:ind w:left="420"/>
              <w:rPr>
                <w:rFonts w:ascii="宋体" w:hAnsi="宋体" w:cs="宋体"/>
                <w:szCs w:val="21"/>
                <w:shd w:val="clear" w:color="auto" w:fill="FFFFFF"/>
              </w:rPr>
            </w:pPr>
            <w:r>
              <w:rPr>
                <w:rFonts w:hint="eastAsia" w:ascii="宋体" w:hAnsi="宋体" w:cs="宋体"/>
                <w:szCs w:val="21"/>
                <w:shd w:val="clear" w:color="auto" w:fill="FFFFFF"/>
              </w:rPr>
              <w:t>地  址：</w:t>
            </w:r>
            <w:r>
              <w:rPr>
                <w:rFonts w:hint="eastAsia" w:ascii="宋体" w:hAnsi="宋体" w:eastAsia="宋体" w:cs="宋体"/>
                <w:kern w:val="2"/>
                <w:sz w:val="21"/>
                <w:szCs w:val="21"/>
                <w:highlight w:val="none"/>
                <w:lang w:val="en-US" w:eastAsia="zh-CN" w:bidi="ar-SA"/>
              </w:rPr>
              <w:t>重庆市渝北区龙溪街道新南路52号东界龙湖三楼</w:t>
            </w:r>
          </w:p>
          <w:p>
            <w:pPr>
              <w:ind w:left="420"/>
              <w:rPr>
                <w:rFonts w:ascii="宋体" w:hAnsi="宋体" w:cs="宋体"/>
                <w:szCs w:val="21"/>
                <w:shd w:val="clear" w:color="auto" w:fill="FFFFFF"/>
              </w:rPr>
            </w:pPr>
            <w:r>
              <w:rPr>
                <w:rFonts w:hint="eastAsia" w:ascii="宋体" w:hAnsi="宋体" w:cs="宋体"/>
                <w:szCs w:val="21"/>
                <w:shd w:val="clear" w:color="auto" w:fill="FFFFFF"/>
              </w:rPr>
              <w:t>联系人：</w:t>
            </w:r>
            <w:r>
              <w:rPr>
                <w:rFonts w:hint="eastAsia" w:ascii="宋体" w:hAnsi="宋体" w:cs="宋体"/>
                <w:szCs w:val="21"/>
                <w:shd w:val="clear" w:color="auto" w:fill="FFFFFF"/>
                <w:lang w:val="en-US" w:eastAsia="zh-CN"/>
              </w:rPr>
              <w:t>刘</w:t>
            </w:r>
            <w:r>
              <w:rPr>
                <w:rFonts w:hint="eastAsia" w:ascii="宋体" w:hAnsi="宋体" w:cs="宋体"/>
                <w:szCs w:val="21"/>
                <w:shd w:val="clear" w:color="auto" w:fill="FFFFFF"/>
              </w:rPr>
              <w:t>老师</w:t>
            </w:r>
          </w:p>
          <w:p>
            <w:pPr>
              <w:ind w:left="420"/>
              <w:rPr>
                <w:rFonts w:hint="default" w:eastAsia="宋体"/>
                <w:lang w:val="en-US" w:eastAsia="zh-CN"/>
              </w:rPr>
            </w:pPr>
            <w:r>
              <w:rPr>
                <w:rFonts w:hint="eastAsia" w:ascii="宋体" w:hAnsi="宋体" w:cs="宋体"/>
                <w:szCs w:val="21"/>
                <w:shd w:val="clear" w:color="auto" w:fill="FFFFFF"/>
              </w:rPr>
              <w:t>电  话：</w:t>
            </w:r>
            <w:r>
              <w:rPr>
                <w:rFonts w:hint="eastAsia" w:ascii="宋体" w:hAnsi="宋体" w:cs="宋体"/>
                <w:szCs w:val="21"/>
                <w:shd w:val="clear" w:color="auto" w:fill="FFFFFF"/>
                <w:lang w:val="en-US" w:eastAsia="zh-CN"/>
              </w:rPr>
              <w:t>18623655450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2</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项目名称</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lang w:val="en-US" w:eastAsia="zh-CN"/>
              </w:rPr>
              <w:t>渝赤叙高速（重庆段）航拍视频制作项目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3</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项目地点</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4</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5</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工期要求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kern w:val="10"/>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6</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质量要求</w:t>
            </w:r>
          </w:p>
        </w:tc>
        <w:tc>
          <w:tcPr>
            <w:tcW w:w="7104" w:type="dxa"/>
          </w:tcPr>
          <w:p>
            <w:pPr>
              <w:spacing w:line="400" w:lineRule="exact"/>
              <w:ind w:firstLine="420" w:firstLineChars="200"/>
              <w:rPr>
                <w:rFonts w:ascii="宋体" w:hAnsi="宋体" w:cs="宋体"/>
                <w:kern w:val="0"/>
                <w:szCs w:val="21"/>
              </w:rPr>
            </w:pPr>
            <w:r>
              <w:rPr>
                <w:rFonts w:hint="eastAsia" w:ascii="宋体" w:hAnsi="宋体" w:cs="宋体"/>
                <w:szCs w:val="21"/>
              </w:rPr>
              <w:t>达到国家和地方现行有关质量标准和比选文件第七章技术标准和工作要求，并且一次性验收合格。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7</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安全目标</w:t>
            </w:r>
          </w:p>
        </w:tc>
        <w:tc>
          <w:tcPr>
            <w:tcW w:w="7104" w:type="dxa"/>
          </w:tcPr>
          <w:p>
            <w:pPr>
              <w:spacing w:line="400" w:lineRule="exact"/>
              <w:ind w:firstLine="420" w:firstLineChars="200"/>
              <w:rPr>
                <w:rFonts w:ascii="宋体" w:hAnsi="宋体" w:cs="宋体"/>
                <w:szCs w:val="21"/>
              </w:rPr>
            </w:pPr>
            <w:r>
              <w:rPr>
                <w:rFonts w:hint="eastAsia" w:ascii="宋体" w:hAnsi="宋体" w:cs="宋体"/>
                <w:szCs w:val="21"/>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8</w:t>
            </w:r>
          </w:p>
        </w:tc>
        <w:tc>
          <w:tcPr>
            <w:tcW w:w="2106" w:type="dxa"/>
            <w:vAlign w:val="center"/>
          </w:tcPr>
          <w:p>
            <w:pPr>
              <w:jc w:val="center"/>
              <w:rPr>
                <w:rFonts w:ascii="宋体" w:hAnsi="宋体" w:cs="宋体"/>
                <w:szCs w:val="21"/>
                <w:shd w:val="clear" w:color="auto" w:fill="FFFFFF"/>
              </w:rPr>
            </w:pPr>
            <w:r>
              <w:rPr>
                <w:rFonts w:hint="eastAsia" w:ascii="宋体" w:hAnsi="宋体" w:cs="宋体"/>
                <w:szCs w:val="21"/>
                <w:shd w:val="clear" w:color="auto" w:fill="FFFFFF"/>
              </w:rPr>
              <w:t>报价人资质条件、能力与信誉</w:t>
            </w:r>
          </w:p>
        </w:tc>
        <w:tc>
          <w:tcPr>
            <w:tcW w:w="7104" w:type="dxa"/>
            <w:vAlign w:val="center"/>
          </w:tcPr>
          <w:p>
            <w:pPr>
              <w:numPr>
                <w:ilvl w:val="0"/>
                <w:numId w:val="2"/>
              </w:numPr>
              <w:spacing w:line="400" w:lineRule="exact"/>
              <w:ind w:firstLine="420" w:firstLineChars="200"/>
            </w:pPr>
            <w:r>
              <w:rPr>
                <w:rFonts w:hint="eastAsia" w:ascii="宋体" w:hAnsi="宋体" w:cs="宋体"/>
                <w:szCs w:val="21"/>
              </w:rPr>
              <w:t>资质条件：见比选公告3.1</w:t>
            </w:r>
          </w:p>
          <w:p>
            <w:pPr>
              <w:spacing w:line="400" w:lineRule="exact"/>
              <w:ind w:firstLine="420" w:firstLineChars="200"/>
            </w:pPr>
            <w:r>
              <w:rPr>
                <w:rFonts w:hint="eastAsia" w:ascii="宋体" w:hAnsi="宋体" w:cs="宋体"/>
                <w:szCs w:val="21"/>
              </w:rPr>
              <w:t>（2）授权要求：见比选公告3.2</w:t>
            </w:r>
          </w:p>
          <w:p>
            <w:pPr>
              <w:spacing w:line="400" w:lineRule="exact"/>
              <w:ind w:firstLine="420" w:firstLineChars="200"/>
              <w:rPr>
                <w:rFonts w:ascii="宋体" w:hAnsi="宋体" w:cs="宋体"/>
                <w:szCs w:val="21"/>
              </w:rPr>
            </w:pPr>
            <w:r>
              <w:rPr>
                <w:rFonts w:hint="eastAsia" w:ascii="宋体" w:hAnsi="宋体" w:cs="宋体"/>
                <w:szCs w:val="21"/>
              </w:rPr>
              <w:t>（3）业绩要求：见比选公告3.3</w:t>
            </w:r>
          </w:p>
          <w:p>
            <w:pPr>
              <w:spacing w:line="400" w:lineRule="exact"/>
              <w:ind w:firstLine="420" w:firstLineChars="200"/>
              <w:rPr>
                <w:rFonts w:ascii="宋体" w:hAnsi="宋体" w:cs="宋体"/>
                <w:szCs w:val="21"/>
              </w:rPr>
            </w:pPr>
            <w:r>
              <w:rPr>
                <w:rFonts w:hint="eastAsia" w:ascii="宋体" w:hAnsi="宋体" w:cs="宋体"/>
                <w:szCs w:val="21"/>
              </w:rPr>
              <w:t>（4）信誉要求：见比选公告3.4</w:t>
            </w:r>
          </w:p>
          <w:p>
            <w:pPr>
              <w:spacing w:line="400" w:lineRule="exact"/>
              <w:ind w:firstLine="420" w:firstLineChars="200"/>
              <w:rPr>
                <w:rFonts w:ascii="宋体" w:hAnsi="宋体" w:cs="宋体"/>
                <w:szCs w:val="21"/>
              </w:rPr>
            </w:pPr>
            <w:r>
              <w:rPr>
                <w:rFonts w:hint="eastAsia" w:ascii="宋体" w:hAnsi="宋体" w:cs="宋体"/>
                <w:szCs w:val="21"/>
              </w:rPr>
              <w:t>（5）项目主要人员要求：见附录1</w:t>
            </w:r>
          </w:p>
          <w:p>
            <w:pPr>
              <w:spacing w:line="400" w:lineRule="exact"/>
              <w:ind w:firstLine="420" w:firstLineChars="200"/>
              <w:rPr>
                <w:rFonts w:ascii="宋体" w:hAnsi="宋体" w:cs="宋体"/>
                <w:szCs w:val="21"/>
              </w:rPr>
            </w:pPr>
            <w:r>
              <w:rPr>
                <w:rFonts w:hint="eastAsia" w:ascii="宋体" w:hAnsi="宋体" w:cs="宋体"/>
                <w:szCs w:val="21"/>
              </w:rPr>
              <w:t>（6）其他要求：见附录2、见附录3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9</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是否接受</w:t>
            </w:r>
          </w:p>
          <w:p>
            <w:pPr>
              <w:ind w:left="420"/>
              <w:rPr>
                <w:rFonts w:ascii="宋体" w:hAnsi="宋体" w:cs="宋体"/>
                <w:szCs w:val="21"/>
                <w:shd w:val="clear" w:color="auto" w:fill="FFFFFF"/>
              </w:rPr>
            </w:pPr>
            <w:r>
              <w:rPr>
                <w:rFonts w:hint="eastAsia" w:ascii="宋体" w:hAnsi="宋体" w:cs="宋体"/>
                <w:szCs w:val="21"/>
                <w:shd w:val="clear" w:color="auto" w:fill="FFFFFF"/>
              </w:rPr>
              <w:t>联合体报价</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10</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踏勘现场</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11</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分包</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12</w:t>
            </w:r>
          </w:p>
        </w:tc>
        <w:tc>
          <w:tcPr>
            <w:tcW w:w="2106" w:type="dxa"/>
            <w:vAlign w:val="center"/>
          </w:tcPr>
          <w:p>
            <w:pPr>
              <w:ind w:left="420"/>
              <w:rPr>
                <w:rFonts w:ascii="宋体" w:hAnsi="宋体" w:cs="宋体"/>
                <w:szCs w:val="21"/>
                <w:shd w:val="clear" w:color="auto" w:fill="FFFFFF"/>
              </w:rPr>
            </w:pPr>
            <w:r>
              <w:rPr>
                <w:rFonts w:hint="eastAsia" w:ascii="宋体" w:hAnsi="宋体" w:cs="宋体"/>
                <w:szCs w:val="21"/>
                <w:shd w:val="clear" w:color="auto" w:fill="FFFFFF"/>
              </w:rPr>
              <w:t>偏差</w:t>
            </w:r>
          </w:p>
        </w:tc>
        <w:tc>
          <w:tcPr>
            <w:tcW w:w="7104" w:type="dxa"/>
            <w:vAlign w:val="center"/>
          </w:tcPr>
          <w:p>
            <w:pPr>
              <w:spacing w:line="400" w:lineRule="exact"/>
              <w:ind w:firstLine="422" w:firstLineChars="200"/>
              <w:rPr>
                <w:rFonts w:ascii="宋体" w:hAnsi="宋体" w:cs="宋体"/>
                <w:kern w:val="0"/>
                <w:szCs w:val="21"/>
              </w:rPr>
            </w:pPr>
            <w:r>
              <w:rPr>
                <w:rFonts w:hint="eastAsia" w:ascii="宋体" w:hAnsi="宋体" w:cs="宋体"/>
                <w:b/>
                <w:kern w:val="0"/>
                <w:szCs w:val="21"/>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13</w:t>
            </w:r>
          </w:p>
        </w:tc>
        <w:tc>
          <w:tcPr>
            <w:tcW w:w="2106" w:type="dxa"/>
            <w:vAlign w:val="center"/>
          </w:tcPr>
          <w:p>
            <w:pPr>
              <w:jc w:val="center"/>
              <w:rPr>
                <w:rFonts w:ascii="宋体" w:hAnsi="宋体" w:cs="宋体"/>
                <w:szCs w:val="21"/>
                <w:shd w:val="clear" w:color="auto" w:fill="FFFFFF"/>
              </w:rPr>
            </w:pPr>
            <w:r>
              <w:rPr>
                <w:rFonts w:hint="eastAsia" w:ascii="宋体" w:hAnsi="宋体" w:cs="宋体"/>
                <w:szCs w:val="21"/>
                <w:shd w:val="clear" w:color="auto" w:fill="FFFFFF"/>
              </w:rPr>
              <w:t>构成比选文件的其他材料</w:t>
            </w:r>
          </w:p>
        </w:tc>
        <w:tc>
          <w:tcPr>
            <w:tcW w:w="7104" w:type="dxa"/>
            <w:vAlign w:val="center"/>
          </w:tcPr>
          <w:p>
            <w:pPr>
              <w:spacing w:line="440" w:lineRule="exact"/>
              <w:ind w:firstLine="420" w:firstLineChars="200"/>
              <w:rPr>
                <w:rFonts w:ascii="宋体" w:hAnsi="宋体" w:cs="宋体"/>
                <w:szCs w:val="21"/>
              </w:rPr>
            </w:pPr>
            <w:r>
              <w:rPr>
                <w:rFonts w:hint="eastAsia" w:ascii="宋体" w:hAnsi="宋体" w:cs="宋体"/>
                <w:szCs w:val="21"/>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97" w:type="dxa"/>
            <w:vAlign w:val="center"/>
          </w:tcPr>
          <w:p>
            <w:pPr>
              <w:spacing w:line="400" w:lineRule="exact"/>
              <w:jc w:val="center"/>
              <w:rPr>
                <w:rFonts w:ascii="宋体" w:hAnsi="宋体" w:cs="宋体"/>
                <w:kern w:val="0"/>
                <w:szCs w:val="21"/>
              </w:rPr>
            </w:pPr>
            <w:bookmarkStart w:id="102" w:name="_Hlt227984024"/>
            <w:bookmarkEnd w:id="102"/>
            <w:r>
              <w:rPr>
                <w:rFonts w:hint="eastAsia" w:ascii="宋体" w:hAnsi="宋体" w:cs="宋体"/>
                <w:kern w:val="0"/>
                <w:szCs w:val="21"/>
              </w:rPr>
              <w:t>14</w:t>
            </w:r>
          </w:p>
        </w:tc>
        <w:tc>
          <w:tcPr>
            <w:tcW w:w="2106" w:type="dxa"/>
            <w:vAlign w:val="center"/>
          </w:tcPr>
          <w:p>
            <w:pPr>
              <w:rPr>
                <w:rFonts w:ascii="宋体" w:hAnsi="宋体" w:cs="宋体"/>
                <w:szCs w:val="21"/>
                <w:shd w:val="clear" w:color="auto" w:fill="FFFFFF"/>
              </w:rPr>
            </w:pPr>
            <w:r>
              <w:rPr>
                <w:rFonts w:hint="eastAsia" w:ascii="宋体" w:hAnsi="宋体" w:cs="宋体"/>
                <w:szCs w:val="21"/>
                <w:shd w:val="clear" w:color="auto" w:fill="FFFFFF"/>
              </w:rPr>
              <w:t>构成竞争性比选响应文件的其他材料</w:t>
            </w:r>
          </w:p>
        </w:tc>
        <w:tc>
          <w:tcPr>
            <w:tcW w:w="7104" w:type="dxa"/>
            <w:vAlign w:val="center"/>
          </w:tcPr>
          <w:p>
            <w:pPr>
              <w:pStyle w:val="149"/>
              <w:spacing w:before="72" w:line="400" w:lineRule="exact"/>
              <w:ind w:firstLine="420" w:firstLineChars="200"/>
              <w:jc w:val="both"/>
              <w:rPr>
                <w:rFonts w:hAnsi="宋体"/>
                <w:color w:val="auto"/>
                <w:sz w:val="21"/>
                <w:szCs w:val="21"/>
              </w:rPr>
            </w:pPr>
            <w:r>
              <w:rPr>
                <w:rFonts w:hint="eastAsia" w:hAnsi="宋体"/>
                <w:color w:val="auto"/>
                <w:sz w:val="21"/>
                <w:szCs w:val="21"/>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15</w:t>
            </w:r>
          </w:p>
        </w:tc>
        <w:tc>
          <w:tcPr>
            <w:tcW w:w="2106" w:type="dxa"/>
            <w:tcBorders>
              <w:bottom w:val="single" w:color="auto" w:sz="4" w:space="0"/>
            </w:tcBorders>
            <w:vAlign w:val="center"/>
          </w:tcPr>
          <w:p>
            <w:pPr>
              <w:jc w:val="center"/>
              <w:rPr>
                <w:rFonts w:ascii="宋体" w:hAnsi="宋体" w:cs="宋体"/>
                <w:szCs w:val="21"/>
                <w:shd w:val="clear" w:color="auto" w:fill="FFFFFF"/>
              </w:rPr>
            </w:pPr>
            <w:r>
              <w:rPr>
                <w:rFonts w:hint="eastAsia" w:ascii="宋体" w:hAnsi="宋体" w:cs="宋体"/>
                <w:szCs w:val="21"/>
                <w:shd w:val="clear" w:color="auto" w:fill="FFFFFF"/>
              </w:rPr>
              <w:t>工程量清单的填写方式</w:t>
            </w:r>
          </w:p>
        </w:tc>
        <w:tc>
          <w:tcPr>
            <w:tcW w:w="7104" w:type="dxa"/>
            <w:tcBorders>
              <w:bottom w:val="single" w:color="auto" w:sz="4" w:space="0"/>
            </w:tcBorders>
          </w:tcPr>
          <w:p>
            <w:pPr>
              <w:spacing w:line="400" w:lineRule="exact"/>
              <w:ind w:firstLine="420" w:firstLineChars="200"/>
              <w:jc w:val="left"/>
              <w:rPr>
                <w:rFonts w:ascii="宋体" w:hAnsi="宋体" w:cs="宋体"/>
                <w:szCs w:val="21"/>
              </w:rPr>
            </w:pPr>
            <w:r>
              <w:rPr>
                <w:rFonts w:hint="eastAsia" w:ascii="宋体" w:hAnsi="宋体" w:cs="宋体"/>
              </w:rPr>
              <w:t>报价人按照采购人提供的工程量清单填写工程量清单</w:t>
            </w:r>
          </w:p>
          <w:p>
            <w:pPr>
              <w:spacing w:line="400" w:lineRule="exact"/>
              <w:ind w:firstLine="422" w:firstLineChars="200"/>
              <w:rPr>
                <w:rFonts w:ascii="宋体" w:hAnsi="宋体" w:cs="宋体"/>
                <w:b/>
                <w:szCs w:val="21"/>
              </w:rPr>
            </w:pPr>
            <w:r>
              <w:rPr>
                <w:rFonts w:hint="eastAsia" w:ascii="宋体" w:hAnsi="宋体" w:cs="宋体"/>
                <w:b/>
                <w:szCs w:val="21"/>
              </w:rPr>
              <w:t>综合单价取小数点后两位，小数点后第三位四舍五入。</w:t>
            </w:r>
          </w:p>
          <w:p>
            <w:pPr>
              <w:spacing w:line="400" w:lineRule="exact"/>
              <w:ind w:firstLine="422" w:firstLineChars="200"/>
              <w:rPr>
                <w:rFonts w:ascii="宋体" w:hAnsi="宋体" w:cs="宋体"/>
                <w:szCs w:val="21"/>
              </w:rPr>
            </w:pPr>
            <w:r>
              <w:rPr>
                <w:rFonts w:hint="eastAsia" w:ascii="宋体" w:hAnsi="宋体" w:cs="宋体"/>
                <w:b/>
                <w:bCs/>
                <w:szCs w:val="21"/>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16</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最高投标限价</w:t>
            </w:r>
          </w:p>
        </w:tc>
        <w:tc>
          <w:tcPr>
            <w:tcW w:w="7104" w:type="dxa"/>
            <w:tcBorders>
              <w:bottom w:val="single" w:color="auto" w:sz="4" w:space="0"/>
            </w:tcBorders>
          </w:tcPr>
          <w:p>
            <w:pPr>
              <w:spacing w:line="400" w:lineRule="exact"/>
              <w:ind w:firstLine="422" w:firstLineChars="200"/>
              <w:rPr>
                <w:rFonts w:ascii="宋体" w:hAnsi="宋体"/>
                <w:szCs w:val="21"/>
                <w:highlight w:val="none"/>
              </w:rPr>
            </w:pPr>
            <w:r>
              <w:rPr>
                <w:rFonts w:hint="eastAsia" w:ascii="宋体" w:hAnsi="宋体"/>
                <w:b/>
                <w:bCs/>
                <w:szCs w:val="21"/>
                <w:highlight w:val="none"/>
              </w:rPr>
              <w:t>本项目最高限价</w:t>
            </w:r>
            <w:r>
              <w:rPr>
                <w:rFonts w:hint="eastAsia" w:ascii="宋体" w:hAnsi="宋体"/>
                <w:b/>
                <w:bCs/>
                <w:szCs w:val="21"/>
                <w:highlight w:val="none"/>
                <w:u w:val="single"/>
              </w:rPr>
              <w:t>497181.00</w:t>
            </w:r>
            <w:r>
              <w:rPr>
                <w:rFonts w:hint="eastAsia" w:ascii="宋体" w:hAnsi="宋体"/>
                <w:b/>
                <w:bCs/>
                <w:szCs w:val="21"/>
                <w:highlight w:val="none"/>
              </w:rPr>
              <w:t>元。</w:t>
            </w:r>
          </w:p>
          <w:p>
            <w:pPr>
              <w:spacing w:line="400" w:lineRule="exact"/>
              <w:ind w:firstLine="422" w:firstLineChars="200"/>
              <w:rPr>
                <w:rFonts w:ascii="宋体" w:hAnsi="宋体" w:cs="宋体"/>
                <w:b/>
                <w:bCs/>
                <w:kern w:val="0"/>
                <w:szCs w:val="21"/>
              </w:rPr>
            </w:pPr>
            <w:r>
              <w:rPr>
                <w:rFonts w:hint="eastAsia" w:ascii="宋体" w:hAnsi="宋体" w:cs="宋体"/>
                <w:b/>
                <w:szCs w:val="21"/>
              </w:rPr>
              <w:t>报价人报价不得高于采购人发布的最高限价，否则其竞争性比选响应文件视为重大偏差，竞争性比选响应文件将按否决报价处理</w:t>
            </w:r>
            <w:r>
              <w:rPr>
                <w:rFonts w:hint="eastAsia" w:ascii="宋体" w:hAnsi="宋体" w:cs="宋体"/>
                <w:b/>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17</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合同支付办法</w:t>
            </w:r>
          </w:p>
        </w:tc>
        <w:tc>
          <w:tcPr>
            <w:tcW w:w="7104" w:type="dxa"/>
            <w:tcBorders>
              <w:bottom w:val="single" w:color="auto" w:sz="4" w:space="0"/>
            </w:tcBorders>
          </w:tcPr>
          <w:p>
            <w:pPr>
              <w:ind w:firstLine="420" w:firstLineChars="200"/>
            </w:pPr>
            <w:r>
              <w:rPr>
                <w:rFonts w:hint="eastAsia"/>
              </w:rPr>
              <w:t>按期支付，乙方完成合同约定的内容，并经甲方验收合格后支付100%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18</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szCs w:val="21"/>
              </w:rPr>
              <w:t>乙方违约的处理</w:t>
            </w:r>
          </w:p>
        </w:tc>
        <w:tc>
          <w:tcPr>
            <w:tcW w:w="7104" w:type="dxa"/>
            <w:tcBorders>
              <w:bottom w:val="single" w:color="auto" w:sz="4" w:space="0"/>
            </w:tcBorders>
          </w:tcPr>
          <w:p>
            <w:pPr>
              <w:widowControl/>
              <w:spacing w:line="400" w:lineRule="atLeast"/>
              <w:ind w:firstLine="420"/>
              <w:rPr>
                <w:szCs w:val="21"/>
              </w:rPr>
            </w:pPr>
            <w:r>
              <w:rPr>
                <w:rFonts w:hint="eastAsia" w:ascii="宋体" w:hAnsi="宋体" w:cs="宋体"/>
                <w:color w:val="000000"/>
                <w:kern w:val="0"/>
                <w:szCs w:val="21"/>
                <w:lang w:bidi="ar"/>
              </w:rPr>
              <w:t>1.乙方在本项目工作开展期间，其项目经理、必须驻施工现场开展工作，其在岗驻场工作时间按计划工期的工作日天数按实计量，若不在岗将处以</w:t>
            </w:r>
            <w:r>
              <w:rPr>
                <w:color w:val="000000"/>
                <w:kern w:val="0"/>
                <w:szCs w:val="21"/>
                <w:lang w:bidi="ar"/>
              </w:rPr>
              <w:t>1</w:t>
            </w:r>
            <w:r>
              <w:rPr>
                <w:rFonts w:hint="eastAsia" w:ascii="宋体" w:hAnsi="宋体" w:cs="宋体"/>
                <w:color w:val="000000"/>
                <w:kern w:val="0"/>
                <w:szCs w:val="21"/>
                <w:lang w:bidi="ar"/>
              </w:rPr>
              <w:t>千元</w:t>
            </w:r>
            <w:r>
              <w:rPr>
                <w:color w:val="000000"/>
                <w:kern w:val="0"/>
                <w:szCs w:val="21"/>
                <w:lang w:bidi="ar"/>
              </w:rPr>
              <w:t>/</w:t>
            </w:r>
            <w:r>
              <w:rPr>
                <w:rFonts w:hint="eastAsia" w:ascii="宋体" w:hAnsi="宋体" w:cs="宋体"/>
                <w:color w:val="000000"/>
                <w:kern w:val="0"/>
                <w:szCs w:val="21"/>
                <w:lang w:bidi="ar"/>
              </w:rPr>
              <w:t>人·天的违约处理。若离开必须书面向业主请假，未经批准擅自离开，按</w:t>
            </w:r>
            <w:r>
              <w:rPr>
                <w:color w:val="000000"/>
                <w:kern w:val="0"/>
                <w:szCs w:val="21"/>
                <w:lang w:bidi="ar"/>
              </w:rPr>
              <w:t>1</w:t>
            </w:r>
            <w:r>
              <w:rPr>
                <w:rFonts w:hint="eastAsia" w:ascii="宋体" w:hAnsi="宋体" w:cs="宋体"/>
                <w:color w:val="000000"/>
                <w:kern w:val="0"/>
                <w:szCs w:val="21"/>
                <w:lang w:bidi="ar"/>
              </w:rPr>
              <w:t>千元</w:t>
            </w:r>
            <w:r>
              <w:rPr>
                <w:color w:val="000000"/>
                <w:kern w:val="0"/>
                <w:szCs w:val="21"/>
                <w:lang w:bidi="ar"/>
              </w:rPr>
              <w:t>/</w:t>
            </w:r>
            <w:r>
              <w:rPr>
                <w:rFonts w:hint="eastAsia" w:ascii="宋体" w:hAnsi="宋体" w:cs="宋体"/>
                <w:color w:val="000000"/>
                <w:kern w:val="0"/>
                <w:szCs w:val="21"/>
                <w:lang w:bidi="ar"/>
              </w:rPr>
              <w:t>人·天处违约处理。</w:t>
            </w:r>
          </w:p>
          <w:p>
            <w:pPr>
              <w:widowControl/>
              <w:spacing w:line="400" w:lineRule="atLeast"/>
              <w:ind w:firstLine="420"/>
              <w:rPr>
                <w:szCs w:val="21"/>
              </w:rPr>
            </w:pPr>
            <w:r>
              <w:rPr>
                <w:rFonts w:hint="eastAsia" w:ascii="宋体" w:hAnsi="宋体" w:cs="宋体"/>
                <w:color w:val="000000"/>
                <w:kern w:val="0"/>
                <w:szCs w:val="21"/>
                <w:lang w:bidi="ar"/>
              </w:rPr>
              <w:t>2.乙方在本项目工作开展期间，更换项目经理，甲方按5万元</w:t>
            </w:r>
            <w:r>
              <w:rPr>
                <w:color w:val="000000"/>
                <w:kern w:val="0"/>
                <w:szCs w:val="21"/>
                <w:lang w:bidi="ar"/>
              </w:rPr>
              <w:t>/</w:t>
            </w:r>
            <w:r>
              <w:rPr>
                <w:rFonts w:hint="eastAsia" w:ascii="宋体" w:hAnsi="宋体" w:cs="宋体"/>
                <w:color w:val="000000"/>
                <w:kern w:val="0"/>
                <w:szCs w:val="21"/>
                <w:lang w:bidi="ar"/>
              </w:rPr>
              <w:t>人进行违约处理；更换安全负责人，甲方按</w:t>
            </w:r>
            <w:r>
              <w:rPr>
                <w:color w:val="000000"/>
                <w:kern w:val="0"/>
                <w:szCs w:val="21"/>
                <w:lang w:bidi="ar"/>
              </w:rPr>
              <w:t>2</w:t>
            </w:r>
            <w:r>
              <w:rPr>
                <w:rFonts w:hint="eastAsia" w:ascii="宋体" w:hAnsi="宋体" w:cs="宋体"/>
                <w:color w:val="000000"/>
                <w:kern w:val="0"/>
                <w:szCs w:val="21"/>
                <w:lang w:bidi="ar"/>
              </w:rPr>
              <w:t>万元</w:t>
            </w:r>
            <w:r>
              <w:rPr>
                <w:color w:val="000000"/>
                <w:kern w:val="0"/>
                <w:szCs w:val="21"/>
                <w:lang w:bidi="ar"/>
              </w:rPr>
              <w:t>/</w:t>
            </w:r>
            <w:r>
              <w:rPr>
                <w:rFonts w:hint="eastAsia" w:ascii="宋体" w:hAnsi="宋体" w:cs="宋体"/>
                <w:color w:val="000000"/>
                <w:kern w:val="0"/>
                <w:szCs w:val="21"/>
                <w:lang w:bidi="ar"/>
              </w:rPr>
              <w:t>人进行违约处理。新更换的人员不低于比选文件人员资质要求。</w:t>
            </w:r>
          </w:p>
          <w:p>
            <w:pPr>
              <w:widowControl/>
              <w:spacing w:line="400" w:lineRule="atLeast"/>
              <w:ind w:firstLine="420"/>
              <w:rPr>
                <w:szCs w:val="21"/>
              </w:rPr>
            </w:pPr>
            <w:r>
              <w:rPr>
                <w:rFonts w:hint="eastAsia" w:ascii="宋体" w:hAnsi="宋体" w:cs="宋体"/>
                <w:color w:val="000000"/>
                <w:kern w:val="0"/>
                <w:szCs w:val="21"/>
                <w:lang w:bidi="ar"/>
              </w:rPr>
              <w:t>3.乙方分包的工程项目，不得再行转包或分包，否则将无条件被认为乙方违约，由此引起的一切责任、事故和损失由乙方负责。此外，乙方还应当向甲方支付 1 万元违约金，甲方有权终止或解除合同。</w:t>
            </w:r>
          </w:p>
          <w:p>
            <w:pPr>
              <w:widowControl/>
              <w:spacing w:line="400" w:lineRule="atLeast"/>
              <w:ind w:firstLine="420"/>
              <w:rPr>
                <w:szCs w:val="21"/>
                <w:highlight w:val="none"/>
              </w:rPr>
            </w:pPr>
            <w:r>
              <w:rPr>
                <w:rFonts w:hint="eastAsia" w:ascii="宋体" w:hAnsi="宋体" w:cs="宋体"/>
                <w:color w:val="000000"/>
                <w:kern w:val="0"/>
                <w:szCs w:val="21"/>
                <w:highlight w:val="none"/>
                <w:lang w:bidi="ar"/>
              </w:rPr>
              <w:t>4.在施工过程中由乙方分包的工程项目质量经检验达不到验收规范和评定标准，不能保证工程质量，或因乙方分包的工程项目进度不能满足发包人和甲方制定的进度目标要求，则甲方有权终止合同，由此造成的损失由乙方承担。此外，乙方还应当向甲方支付 1 万元违约金。</w:t>
            </w:r>
          </w:p>
          <w:p>
            <w:pPr>
              <w:widowControl/>
              <w:spacing w:line="400" w:lineRule="atLeast"/>
              <w:ind w:firstLine="420"/>
              <w:rPr>
                <w:szCs w:val="21"/>
                <w:highlight w:val="none"/>
              </w:rPr>
            </w:pPr>
            <w:r>
              <w:rPr>
                <w:rFonts w:hint="eastAsia" w:ascii="宋体" w:hAnsi="宋体" w:cs="宋体"/>
                <w:color w:val="000000"/>
                <w:kern w:val="0"/>
                <w:szCs w:val="21"/>
                <w:highlight w:val="none"/>
                <w:lang w:bidi="ar"/>
              </w:rPr>
              <w:t xml:space="preserve">5.除上一条款外，合同签订后，不经双方协商同意，任何一方不得随意变更或解除。如乙方未经甲方同意，单方解除合同时（如中途未征得甲方同意无故退场），甲方将按照乙方完成工作量的80%进行结算，同时乙方还需支付甲方 </w:t>
            </w:r>
            <w:r>
              <w:rPr>
                <w:color w:val="000000"/>
                <w:kern w:val="0"/>
                <w:szCs w:val="21"/>
                <w:highlight w:val="none"/>
                <w:lang w:bidi="ar"/>
              </w:rPr>
              <w:t xml:space="preserve">1 </w:t>
            </w:r>
            <w:r>
              <w:rPr>
                <w:rFonts w:hint="eastAsia" w:ascii="宋体" w:hAnsi="宋体" w:cs="宋体"/>
                <w:color w:val="000000"/>
                <w:kern w:val="0"/>
                <w:szCs w:val="21"/>
                <w:highlight w:val="none"/>
                <w:lang w:bidi="ar"/>
              </w:rPr>
              <w:t>万元违约金，并且由乙方赔偿甲方因影响施工计划造成的经济损失；如甲方中途无故解除合同，按乙方完成工作量的</w:t>
            </w:r>
            <w:r>
              <w:rPr>
                <w:color w:val="000000"/>
                <w:kern w:val="0"/>
                <w:szCs w:val="21"/>
                <w:highlight w:val="none"/>
                <w:lang w:bidi="ar"/>
              </w:rPr>
              <w:t>100%</w:t>
            </w:r>
            <w:r>
              <w:rPr>
                <w:rFonts w:hint="eastAsia" w:ascii="宋体" w:hAnsi="宋体" w:cs="宋体"/>
                <w:color w:val="000000"/>
                <w:kern w:val="0"/>
                <w:szCs w:val="21"/>
                <w:highlight w:val="none"/>
                <w:lang w:bidi="ar"/>
              </w:rPr>
              <w:t>进行结算，应赔偿乙方因此造成的经济损失。</w:t>
            </w:r>
          </w:p>
          <w:p>
            <w:pPr>
              <w:widowControl/>
              <w:spacing w:line="400" w:lineRule="atLeast"/>
              <w:ind w:firstLine="420"/>
              <w:rPr>
                <w:szCs w:val="21"/>
                <w:highlight w:val="none"/>
              </w:rPr>
            </w:pPr>
            <w:r>
              <w:rPr>
                <w:rFonts w:hint="eastAsia" w:ascii="宋体" w:hAnsi="宋体" w:cs="宋体"/>
                <w:color w:val="000000"/>
                <w:kern w:val="0"/>
                <w:szCs w:val="21"/>
                <w:highlight w:val="none"/>
                <w:lang w:bidi="ar"/>
              </w:rPr>
              <w:t>6.因乙方原因，出现下列情况之一的，甲方有权采取认为合理的一切措施进行处理，由此引起的损失由乙方承担。</w:t>
            </w:r>
          </w:p>
          <w:p>
            <w:pPr>
              <w:widowControl/>
              <w:spacing w:line="400" w:lineRule="atLeast"/>
              <w:ind w:firstLine="420"/>
              <w:rPr>
                <w:szCs w:val="21"/>
                <w:highlight w:val="none"/>
              </w:rPr>
            </w:pPr>
            <w:r>
              <w:rPr>
                <w:rFonts w:hint="eastAsia" w:ascii="宋体" w:hAnsi="宋体" w:cs="宋体"/>
                <w:color w:val="000000"/>
                <w:kern w:val="0"/>
                <w:szCs w:val="21"/>
                <w:highlight w:val="none"/>
                <w:lang w:bidi="ar"/>
              </w:rPr>
              <w:t>6.1乙方的主要人员、机械设备及流动资金不能按时到位的，严重制约了工程的施工；</w:t>
            </w:r>
          </w:p>
          <w:p>
            <w:pPr>
              <w:widowControl/>
              <w:spacing w:line="400" w:lineRule="atLeast"/>
              <w:ind w:firstLine="420"/>
              <w:rPr>
                <w:szCs w:val="21"/>
                <w:highlight w:val="none"/>
              </w:rPr>
            </w:pPr>
            <w:r>
              <w:rPr>
                <w:rFonts w:hint="eastAsia" w:ascii="宋体" w:hAnsi="宋体" w:cs="宋体"/>
                <w:color w:val="000000"/>
                <w:kern w:val="0"/>
                <w:szCs w:val="21"/>
                <w:highlight w:val="none"/>
                <w:lang w:bidi="ar"/>
              </w:rPr>
              <w:t>6.2进度滞后该工程总体进度计划的</w:t>
            </w:r>
            <w:r>
              <w:rPr>
                <w:color w:val="000000"/>
                <w:kern w:val="0"/>
                <w:szCs w:val="21"/>
                <w:highlight w:val="none"/>
                <w:lang w:bidi="ar"/>
              </w:rPr>
              <w:t>10</w:t>
            </w:r>
            <w:r>
              <w:rPr>
                <w:rFonts w:hint="eastAsia" w:ascii="宋体" w:hAnsi="宋体" w:cs="宋体"/>
                <w:color w:val="000000"/>
                <w:kern w:val="0"/>
                <w:szCs w:val="21"/>
                <w:highlight w:val="none"/>
                <w:lang w:bidi="ar"/>
              </w:rPr>
              <w:t>％或落到工程管理曲线下线以下的；</w:t>
            </w:r>
          </w:p>
          <w:p>
            <w:pPr>
              <w:widowControl/>
              <w:spacing w:line="400" w:lineRule="atLeast"/>
              <w:ind w:firstLine="420"/>
              <w:rPr>
                <w:szCs w:val="21"/>
                <w:highlight w:val="none"/>
              </w:rPr>
            </w:pPr>
            <w:r>
              <w:rPr>
                <w:rFonts w:hint="eastAsia" w:ascii="宋体" w:hAnsi="宋体" w:cs="宋体"/>
                <w:color w:val="000000"/>
                <w:kern w:val="0"/>
                <w:szCs w:val="21"/>
                <w:highlight w:val="none"/>
                <w:lang w:bidi="ar"/>
              </w:rPr>
              <w:t>6.3不按施工技术规范和标准要求施工，造成工程质量低劣的达不到验收标准的；</w:t>
            </w:r>
          </w:p>
          <w:p>
            <w:pPr>
              <w:widowControl/>
              <w:spacing w:line="400" w:lineRule="atLeast"/>
              <w:ind w:firstLine="420"/>
              <w:rPr>
                <w:szCs w:val="21"/>
              </w:rPr>
            </w:pPr>
            <w:r>
              <w:rPr>
                <w:rFonts w:hint="eastAsia" w:ascii="宋体" w:hAnsi="宋体" w:cs="宋体"/>
                <w:color w:val="000000"/>
                <w:kern w:val="0"/>
                <w:szCs w:val="21"/>
                <w:lang w:bidi="ar"/>
              </w:rPr>
              <w:t>6. 4不遵守甲方的管理，不能服从发包人和监理人的指令，造成工程不能管理无法推进。</w:t>
            </w:r>
          </w:p>
          <w:p>
            <w:pPr>
              <w:widowControl/>
              <w:ind w:firstLine="420" w:firstLineChars="200"/>
            </w:pPr>
            <w:r>
              <w:rPr>
                <w:rFonts w:hint="eastAsia" w:ascii="宋体" w:hAnsi="宋体" w:cs="宋体"/>
                <w:color w:val="000000"/>
                <w:kern w:val="0"/>
                <w:szCs w:val="21"/>
                <w:lang w:bidi="ar"/>
              </w:rPr>
              <w:t>7.乙方应按本合同规定的工期及质量要求完成，否则应偿付给甲方</w:t>
            </w:r>
            <w:r>
              <w:rPr>
                <w:color w:val="000000"/>
                <w:kern w:val="0"/>
                <w:szCs w:val="21"/>
                <w:lang w:bidi="ar"/>
              </w:rPr>
              <w:t>10000</w:t>
            </w:r>
            <w:r>
              <w:rPr>
                <w:rFonts w:hint="eastAsia" w:ascii="宋体" w:hAnsi="宋体" w:cs="宋体"/>
                <w:color w:val="000000"/>
                <w:kern w:val="0"/>
                <w:szCs w:val="21"/>
                <w:lang w:bidi="ar"/>
              </w:rPr>
              <w:t>元</w:t>
            </w:r>
            <w:r>
              <w:rPr>
                <w:color w:val="000000"/>
                <w:kern w:val="0"/>
                <w:szCs w:val="21"/>
                <w:lang w:bidi="ar"/>
              </w:rPr>
              <w:t>/</w:t>
            </w:r>
            <w:r>
              <w:rPr>
                <w:rFonts w:hint="eastAsia" w:ascii="宋体" w:hAnsi="宋体" w:cs="宋体"/>
                <w:color w:val="000000"/>
                <w:kern w:val="0"/>
                <w:szCs w:val="21"/>
                <w:lang w:bidi="ar"/>
              </w:rPr>
              <w:t xml:space="preserve">天的逾期违约金，并承担甲方项目部延期完成任务以后后续发生的管理费用，限额为 </w:t>
            </w:r>
            <w:r>
              <w:rPr>
                <w:color w:val="000000"/>
                <w:kern w:val="0"/>
                <w:szCs w:val="21"/>
                <w:lang w:bidi="ar"/>
              </w:rPr>
              <w:t>5</w:t>
            </w:r>
            <w:r>
              <w:rPr>
                <w:rFonts w:hint="eastAsia" w:ascii="宋体" w:hAnsi="宋体" w:cs="宋体"/>
                <w:color w:val="000000"/>
                <w:kern w:val="0"/>
                <w:szCs w:val="21"/>
                <w:lang w:bidi="ar"/>
              </w:rPr>
              <w:t>％本合同的签约合同价。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ascii="宋体" w:hAnsi="宋体" w:cs="宋体"/>
                <w:szCs w:val="21"/>
              </w:rPr>
            </w:pPr>
            <w:r>
              <w:rPr>
                <w:rFonts w:hint="eastAsia" w:ascii="宋体" w:hAnsi="宋体" w:cs="宋体"/>
                <w:szCs w:val="21"/>
              </w:rPr>
              <w:t>19</w:t>
            </w:r>
          </w:p>
        </w:tc>
        <w:tc>
          <w:tcPr>
            <w:tcW w:w="2106" w:type="dxa"/>
          </w:tcPr>
          <w:p>
            <w:pPr>
              <w:spacing w:line="400" w:lineRule="exact"/>
              <w:jc w:val="center"/>
              <w:rPr>
                <w:rFonts w:ascii="宋体" w:hAnsi="宋体" w:cs="宋体"/>
                <w:szCs w:val="21"/>
              </w:rPr>
            </w:pPr>
            <w:r>
              <w:rPr>
                <w:rFonts w:hint="eastAsia" w:ascii="宋体" w:hAnsi="宋体" w:cs="宋体"/>
                <w:szCs w:val="21"/>
              </w:rPr>
              <w:t>中标候选人的人数</w:t>
            </w:r>
          </w:p>
        </w:tc>
        <w:tc>
          <w:tcPr>
            <w:tcW w:w="7104" w:type="dxa"/>
            <w:vAlign w:val="center"/>
          </w:tcPr>
          <w:p>
            <w:pPr>
              <w:spacing w:line="400" w:lineRule="exact"/>
              <w:ind w:firstLine="420" w:firstLineChars="200"/>
              <w:rPr>
                <w:rFonts w:ascii="宋体" w:hAnsi="宋体" w:cs="宋体"/>
              </w:rPr>
            </w:pPr>
            <w:r>
              <w:rPr>
                <w:rFonts w:hint="eastAsia" w:ascii="宋体" w:hAnsi="宋体" w:cs="宋体"/>
              </w:rPr>
              <w:t>推荐的中标候选人数：2名。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20</w:t>
            </w:r>
          </w:p>
        </w:tc>
        <w:tc>
          <w:tcPr>
            <w:tcW w:w="2106"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保证金</w:t>
            </w:r>
          </w:p>
        </w:tc>
        <w:tc>
          <w:tcPr>
            <w:tcW w:w="7104" w:type="dxa"/>
            <w:vAlign w:val="center"/>
          </w:tcPr>
          <w:p>
            <w:pPr>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一、投标保证金</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1、报价人须缴纳投标保证金</w:t>
            </w:r>
            <w:r>
              <w:rPr>
                <w:rFonts w:hint="eastAsia" w:hAnsi="宋体"/>
                <w:color w:val="auto"/>
                <w:kern w:val="2"/>
                <w:sz w:val="21"/>
                <w:szCs w:val="21"/>
                <w:lang w:val="en-US" w:eastAsia="zh-CN"/>
              </w:rPr>
              <w:t>5000</w:t>
            </w:r>
            <w:r>
              <w:rPr>
                <w:rFonts w:hint="eastAsia" w:hAnsi="宋体"/>
                <w:color w:val="auto"/>
                <w:kern w:val="2"/>
                <w:sz w:val="21"/>
                <w:szCs w:val="21"/>
              </w:rPr>
              <w:t>元，由报价人从公司基本账户将投标保证金汇至以下指定账户：</w:t>
            </w:r>
          </w:p>
          <w:p>
            <w:pPr>
              <w:pStyle w:val="149"/>
              <w:spacing w:line="400" w:lineRule="exact"/>
              <w:ind w:firstLine="420" w:firstLineChars="200"/>
              <w:rPr>
                <w:rFonts w:hAnsi="宋体"/>
                <w:color w:val="auto"/>
                <w:kern w:val="2"/>
                <w:sz w:val="21"/>
                <w:szCs w:val="21"/>
              </w:rPr>
            </w:pPr>
            <w:r>
              <w:rPr>
                <w:rFonts w:hAnsi="宋体"/>
                <w:color w:val="auto"/>
                <w:kern w:val="2"/>
                <w:sz w:val="21"/>
                <w:szCs w:val="21"/>
              </w:rPr>
              <w:t>保证金到账截止时间：2023年</w:t>
            </w:r>
            <w:r>
              <w:rPr>
                <w:rFonts w:hint="eastAsia" w:hAnsi="宋体"/>
                <w:color w:val="auto"/>
                <w:kern w:val="2"/>
                <w:sz w:val="21"/>
                <w:szCs w:val="21"/>
                <w:lang w:val="en-US" w:eastAsia="zh-CN"/>
              </w:rPr>
              <w:t>3</w:t>
            </w:r>
            <w:r>
              <w:rPr>
                <w:rFonts w:hAnsi="宋体"/>
                <w:color w:val="auto"/>
                <w:kern w:val="2"/>
                <w:sz w:val="21"/>
                <w:szCs w:val="21"/>
              </w:rPr>
              <w:t>月</w:t>
            </w:r>
            <w:r>
              <w:rPr>
                <w:rFonts w:hint="eastAsia" w:hAnsi="宋体"/>
                <w:color w:val="auto"/>
                <w:kern w:val="2"/>
                <w:sz w:val="21"/>
                <w:szCs w:val="21"/>
                <w:lang w:val="en-US" w:eastAsia="zh-CN"/>
              </w:rPr>
              <w:t>28</w:t>
            </w:r>
            <w:r>
              <w:rPr>
                <w:rFonts w:hAnsi="宋体"/>
                <w:color w:val="auto"/>
                <w:kern w:val="2"/>
                <w:sz w:val="21"/>
                <w:szCs w:val="21"/>
              </w:rPr>
              <w:t>日1</w:t>
            </w:r>
            <w:r>
              <w:rPr>
                <w:rFonts w:hint="eastAsia" w:hAnsi="宋体"/>
                <w:color w:val="auto"/>
                <w:kern w:val="2"/>
                <w:sz w:val="21"/>
                <w:szCs w:val="21"/>
                <w:lang w:val="en-US" w:eastAsia="zh-CN"/>
              </w:rPr>
              <w:t>1</w:t>
            </w:r>
            <w:r>
              <w:rPr>
                <w:rFonts w:hAnsi="宋体"/>
                <w:color w:val="auto"/>
                <w:kern w:val="2"/>
                <w:sz w:val="21"/>
                <w:szCs w:val="21"/>
              </w:rPr>
              <w:t>时00分前；</w:t>
            </w:r>
          </w:p>
          <w:p>
            <w:pPr>
              <w:pStyle w:val="149"/>
              <w:spacing w:line="400" w:lineRule="exact"/>
              <w:ind w:firstLine="420" w:firstLineChars="200"/>
              <w:rPr>
                <w:rFonts w:hAnsi="宋体"/>
                <w:color w:val="auto"/>
                <w:kern w:val="2"/>
                <w:sz w:val="21"/>
                <w:szCs w:val="21"/>
              </w:rPr>
            </w:pPr>
            <w:r>
              <w:rPr>
                <w:rFonts w:hAnsi="宋体"/>
                <w:color w:val="auto"/>
                <w:kern w:val="2"/>
                <w:sz w:val="21"/>
                <w:szCs w:val="21"/>
              </w:rPr>
              <w:t>若竞争性比选响应文件内无投标保证金缴纳凭证，采购人有权作废标处理，若投标保证金存在虚假不实情况，采购人有权作废标处理。</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2、</w:t>
            </w:r>
            <w:r>
              <w:rPr>
                <w:rFonts w:hAnsi="宋体"/>
                <w:color w:val="auto"/>
                <w:kern w:val="2"/>
                <w:sz w:val="21"/>
                <w:szCs w:val="21"/>
              </w:rPr>
              <w:t>投标保证金退还方式</w:t>
            </w:r>
          </w:p>
          <w:p>
            <w:pPr>
              <w:pStyle w:val="149"/>
              <w:spacing w:line="400" w:lineRule="exact"/>
              <w:ind w:firstLine="420" w:firstLineChars="200"/>
              <w:rPr>
                <w:rFonts w:hAnsi="宋体"/>
                <w:color w:val="auto"/>
                <w:kern w:val="2"/>
                <w:sz w:val="21"/>
                <w:szCs w:val="21"/>
              </w:rPr>
            </w:pPr>
            <w:r>
              <w:rPr>
                <w:rFonts w:hAnsi="宋体"/>
                <w:color w:val="auto"/>
                <w:kern w:val="2"/>
                <w:sz w:val="21"/>
                <w:szCs w:val="21"/>
              </w:rPr>
              <w:t>为便于及时退还，</w:t>
            </w:r>
            <w:r>
              <w:rPr>
                <w:rFonts w:hint="eastAsia" w:hAnsi="宋体"/>
                <w:color w:val="auto"/>
                <w:kern w:val="2"/>
                <w:sz w:val="21"/>
                <w:szCs w:val="21"/>
              </w:rPr>
              <w:t>报价人</w:t>
            </w:r>
            <w:r>
              <w:rPr>
                <w:rFonts w:hAnsi="宋体"/>
                <w:color w:val="auto"/>
                <w:kern w:val="2"/>
                <w:sz w:val="21"/>
                <w:szCs w:val="21"/>
              </w:rPr>
              <w:t>在递交响应文件的同时，递交本项目保证金银行回单和公司的开户许可证复印件。</w:t>
            </w:r>
          </w:p>
          <w:p>
            <w:pPr>
              <w:pStyle w:val="149"/>
              <w:spacing w:line="400" w:lineRule="exact"/>
              <w:ind w:firstLine="420" w:firstLineChars="200"/>
              <w:rPr>
                <w:rFonts w:hAnsi="宋体"/>
                <w:color w:val="auto"/>
                <w:kern w:val="2"/>
                <w:sz w:val="21"/>
                <w:szCs w:val="21"/>
              </w:rPr>
            </w:pPr>
            <w:r>
              <w:rPr>
                <w:rFonts w:hAnsi="宋体"/>
                <w:color w:val="auto"/>
                <w:kern w:val="2"/>
                <w:sz w:val="21"/>
                <w:szCs w:val="21"/>
              </w:rPr>
              <w:t>未</w:t>
            </w:r>
            <w:r>
              <w:rPr>
                <w:rFonts w:hint="eastAsia" w:hAnsi="宋体"/>
                <w:color w:val="auto"/>
                <w:kern w:val="2"/>
                <w:sz w:val="21"/>
                <w:szCs w:val="21"/>
              </w:rPr>
              <w:t>中标报价人</w:t>
            </w:r>
            <w:r>
              <w:rPr>
                <w:rFonts w:hAnsi="宋体"/>
                <w:color w:val="auto"/>
                <w:kern w:val="2"/>
                <w:sz w:val="21"/>
                <w:szCs w:val="21"/>
              </w:rPr>
              <w:t>的投标保证金，于该项目结果公示期结束后15个工作日内无息退还至</w:t>
            </w:r>
            <w:r>
              <w:rPr>
                <w:rFonts w:hint="eastAsia" w:hAnsi="宋体"/>
                <w:color w:val="auto"/>
                <w:kern w:val="2"/>
                <w:sz w:val="21"/>
                <w:szCs w:val="21"/>
              </w:rPr>
              <w:t>报价人</w:t>
            </w:r>
            <w:r>
              <w:rPr>
                <w:rFonts w:hAnsi="宋体"/>
                <w:color w:val="auto"/>
                <w:kern w:val="2"/>
                <w:sz w:val="21"/>
                <w:szCs w:val="21"/>
              </w:rPr>
              <w:t>基本账户。</w:t>
            </w:r>
          </w:p>
          <w:p>
            <w:pPr>
              <w:pStyle w:val="149"/>
              <w:spacing w:line="400" w:lineRule="exact"/>
              <w:ind w:firstLine="420" w:firstLineChars="200"/>
              <w:rPr>
                <w:rFonts w:ascii="宋体" w:hAnsi="宋体" w:cs="宋体"/>
                <w:color w:val="000000"/>
                <w:kern w:val="0"/>
                <w:szCs w:val="21"/>
                <w:lang w:bidi="ar"/>
              </w:rPr>
            </w:pPr>
            <w:r>
              <w:rPr>
                <w:rFonts w:hAnsi="宋体"/>
                <w:color w:val="auto"/>
                <w:kern w:val="2"/>
                <w:sz w:val="21"/>
                <w:szCs w:val="21"/>
              </w:rPr>
              <w:t>中标人的投标保证金，自合同签订后15个工作日内无息退还至中标人基本账户。</w:t>
            </w:r>
          </w:p>
          <w:p>
            <w:pPr>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二、履约保证金</w:t>
            </w:r>
          </w:p>
          <w:p>
            <w:pPr>
              <w:ind w:firstLine="420" w:firstLineChars="200"/>
              <w:rPr>
                <w:rFonts w:ascii="宋体" w:hAnsi="宋体" w:cs="宋体"/>
                <w:color w:val="000000"/>
                <w:kern w:val="0"/>
                <w:szCs w:val="21"/>
                <w:lang w:bidi="ar"/>
              </w:rPr>
            </w:pPr>
            <w:r>
              <w:rPr>
                <w:rFonts w:hint="eastAsia" w:ascii="宋体" w:hAnsi="宋体" w:cs="宋体"/>
                <w:color w:val="000000"/>
                <w:kern w:val="0"/>
                <w:szCs w:val="21"/>
                <w:lang w:bidi="ar"/>
              </w:rPr>
              <w:t>无。</w:t>
            </w:r>
          </w:p>
          <w:p>
            <w:pPr>
              <w:ind w:firstLine="420" w:firstLineChars="200"/>
              <w:rPr>
                <w:rFonts w:ascii="宋体" w:hAnsi="宋体" w:cs="宋体"/>
                <w:color w:val="000000"/>
                <w:kern w:val="0"/>
                <w:szCs w:val="21"/>
                <w:highlight w:val="none"/>
                <w:lang w:bidi="ar"/>
              </w:rPr>
            </w:pPr>
            <w:r>
              <w:rPr>
                <w:rFonts w:hint="eastAsia" w:ascii="宋体" w:hAnsi="宋体" w:cs="宋体"/>
                <w:color w:val="000000"/>
                <w:kern w:val="0"/>
                <w:szCs w:val="21"/>
                <w:highlight w:val="none"/>
                <w:lang w:bidi="ar"/>
              </w:rPr>
              <w:t>三、农民工工资保证金</w:t>
            </w:r>
          </w:p>
          <w:p>
            <w:pPr>
              <w:widowControl/>
              <w:ind w:firstLine="420" w:firstLineChars="200"/>
              <w:rPr>
                <w:rFonts w:ascii="宋体" w:hAnsi="宋体" w:cs="宋体"/>
                <w:color w:val="000000"/>
                <w:szCs w:val="21"/>
                <w:highlight w:val="none"/>
              </w:rPr>
            </w:pPr>
            <w:r>
              <w:rPr>
                <w:rFonts w:hint="eastAsia" w:ascii="宋体" w:hAnsi="宋体" w:cs="宋体"/>
                <w:color w:val="000000"/>
                <w:kern w:val="0"/>
                <w:szCs w:val="21"/>
                <w:highlight w:val="none"/>
                <w:lang w:bidi="ar"/>
              </w:rPr>
              <w:t>1、本工程实行农民</w:t>
            </w:r>
            <w:r>
              <w:rPr>
                <w:rFonts w:hint="eastAsia" w:ascii="宋体" w:hAnsi="宋体" w:cs="宋体"/>
                <w:color w:val="000000"/>
                <w:szCs w:val="21"/>
                <w:highlight w:val="none"/>
              </w:rPr>
              <w:t>工工资保证金制度，甲方在支付工程进度款时按以下方式留存作为农民工工资保证金，专项用于支付乙方拖欠的农民工工资：（1）工程合同价款在100(不含100万)万元以下的，按工程合同价款的5%留存；（2）工程合同价款在100万以上至200万元的(含100万元)，按工程合同价款的4%留存；（3）工程合同价款在200万元至500(含200万)万元的，按工程合同价款的3%留存；（4）工程合同价款在500万元以上的(含500万)，按工程合同价款的2%留存。</w:t>
            </w:r>
          </w:p>
          <w:p>
            <w:pPr>
              <w:widowControl/>
              <w:ind w:firstLine="420" w:firstLineChars="200"/>
              <w:rPr>
                <w:rFonts w:ascii="宋体" w:hAnsi="宋体" w:cs="宋体"/>
                <w:color w:val="000000"/>
                <w:szCs w:val="21"/>
                <w:highlight w:val="none"/>
              </w:rPr>
            </w:pPr>
            <w:r>
              <w:rPr>
                <w:rFonts w:hint="eastAsia" w:ascii="宋体" w:hAnsi="宋体" w:cs="宋体"/>
                <w:color w:val="000000"/>
                <w:szCs w:val="21"/>
                <w:highlight w:val="none"/>
              </w:rPr>
              <w:t>2、乙方聘用的农民工工资由乙方自行支付，乙方应在申报当期完成产值情况时同时提交上期经农民工签字的农民工工资支付表和当期的农民工工资支付计划表，乙方劳资专管员根据农民工考勤、劳动合同中约定的支付额审核确认后方可予以支付当期工程进度款，否则不予以支付当期工程进度款。</w:t>
            </w:r>
          </w:p>
          <w:p>
            <w:pPr>
              <w:widowControl/>
              <w:ind w:firstLine="420" w:firstLineChars="200"/>
              <w:rPr>
                <w:rFonts w:ascii="宋体" w:hAnsi="宋体" w:cs="宋体"/>
                <w:color w:val="000000"/>
                <w:szCs w:val="21"/>
                <w:highlight w:val="none"/>
              </w:rPr>
            </w:pPr>
            <w:r>
              <w:rPr>
                <w:rFonts w:hint="eastAsia" w:ascii="宋体" w:hAnsi="宋体" w:cs="宋体"/>
                <w:color w:val="000000"/>
                <w:szCs w:val="21"/>
                <w:highlight w:val="none"/>
              </w:rPr>
              <w:t>3、乙方须按照与农民工签订的劳动合同书中约定的工资支付金额、时间足额支付工资。农民工工资应当以货币形式，通过银行转账给农民工本人，不得以实物或者有价证券等其他形式替代。</w:t>
            </w:r>
          </w:p>
          <w:p>
            <w:pPr>
              <w:widowControl/>
              <w:ind w:firstLine="420" w:firstLineChars="200"/>
              <w:rPr>
                <w:rFonts w:ascii="宋体" w:hAnsi="宋体" w:cs="宋体"/>
                <w:color w:val="000000"/>
                <w:szCs w:val="21"/>
                <w:highlight w:val="none"/>
              </w:rPr>
            </w:pPr>
            <w:r>
              <w:rPr>
                <w:rFonts w:hint="eastAsia" w:ascii="宋体" w:hAnsi="宋体" w:cs="宋体"/>
                <w:color w:val="000000"/>
                <w:szCs w:val="21"/>
                <w:highlight w:val="none"/>
              </w:rPr>
              <w:t>4、农民工工资的返还：若工程项目竣工验收合格，乙方应提供本项目农民工工资足额发放清单（含农民工签字）及承诺书，甲方确认乙方无拖欠农民工工资事件后进行全额发放。若发生承包人拖欠农民工工资现象的，每发生一次则按20%予以扣罚，但累计总额不超过合同金额的10%。</w:t>
            </w:r>
          </w:p>
          <w:p>
            <w:pPr>
              <w:widowControl/>
              <w:ind w:firstLine="420" w:firstLineChars="200"/>
              <w:rPr>
                <w:rFonts w:ascii="宋体" w:hAnsi="宋体" w:cs="宋体"/>
                <w:color w:val="000000"/>
                <w:szCs w:val="21"/>
                <w:highlight w:val="none"/>
              </w:rPr>
            </w:pPr>
            <w:r>
              <w:rPr>
                <w:rFonts w:hint="eastAsia" w:ascii="宋体" w:hAnsi="宋体" w:cs="宋体"/>
                <w:color w:val="000000"/>
                <w:szCs w:val="21"/>
                <w:highlight w:val="none"/>
              </w:rPr>
              <w:t>5、发生农民工工资纠纷时，甲方以切实保障农民工合法权益为前提，督促和协调乙方予以解决。确实存在农民工工资拖欠现象的，甲方将留存的农民工工资保证金先行支付被拖欠的农民工工资，留存的农民工工资保证金不足以支付的可以以未结清的工程款为限垫付农民工工资。对于已经垫付的农民工工资，甲方在后续工程进度款支付时进行追偿。</w:t>
            </w:r>
          </w:p>
          <w:p>
            <w:pPr>
              <w:widowControl/>
              <w:ind w:firstLine="420" w:firstLineChars="200"/>
              <w:rPr>
                <w:rFonts w:ascii="宋体" w:hAnsi="宋体" w:cs="宋体"/>
                <w:color w:val="000000"/>
                <w:szCs w:val="21"/>
                <w:highlight w:val="none"/>
              </w:rPr>
            </w:pPr>
            <w:r>
              <w:rPr>
                <w:rFonts w:hint="eastAsia" w:ascii="宋体" w:hAnsi="宋体" w:cs="宋体"/>
                <w:color w:val="000000"/>
                <w:szCs w:val="21"/>
                <w:highlight w:val="none"/>
              </w:rPr>
              <w:t>6、乙方发生拖欠农民工工资的，并在甲方两次提醒后仍不改正的，甲方将在对乙方考核评价时予以降级处理，情节特别严重的直接清退，并按照合同约定追究分包方违约赔偿和违约。</w:t>
            </w:r>
          </w:p>
          <w:p>
            <w:pPr>
              <w:widowControl/>
              <w:ind w:firstLine="420" w:firstLineChars="200"/>
              <w:rPr>
                <w:rFonts w:ascii="宋体" w:hAnsi="宋体" w:cs="宋体"/>
                <w:color w:val="000000"/>
                <w:szCs w:val="21"/>
                <w:highlight w:val="none"/>
              </w:rPr>
            </w:pPr>
            <w:r>
              <w:rPr>
                <w:rFonts w:hint="eastAsia" w:ascii="宋体" w:hAnsi="宋体" w:cs="宋体"/>
                <w:color w:val="000000"/>
                <w:szCs w:val="21"/>
                <w:highlight w:val="none"/>
              </w:rPr>
              <w:t>五、采购人指定的开户银行及账号如下：</w:t>
            </w:r>
          </w:p>
          <w:p>
            <w:pPr>
              <w:widowControl/>
              <w:ind w:firstLine="420" w:firstLineChars="200"/>
              <w:rPr>
                <w:rFonts w:ascii="宋体" w:hAnsi="宋体" w:cs="宋体"/>
                <w:color w:val="000000"/>
                <w:szCs w:val="21"/>
              </w:rPr>
            </w:pPr>
            <w:r>
              <w:rPr>
                <w:rFonts w:hint="eastAsia" w:ascii="宋体" w:hAnsi="宋体" w:cs="宋体"/>
                <w:color w:val="000000"/>
                <w:szCs w:val="21"/>
              </w:rPr>
              <w:t>账户名称：重庆首讯科技股份有限公司</w:t>
            </w:r>
          </w:p>
          <w:p>
            <w:pPr>
              <w:widowControl/>
              <w:ind w:firstLine="420" w:firstLineChars="200"/>
              <w:rPr>
                <w:rFonts w:ascii="宋体" w:hAnsi="宋体" w:cs="宋体"/>
                <w:color w:val="000000"/>
                <w:szCs w:val="21"/>
              </w:rPr>
            </w:pPr>
            <w:r>
              <w:rPr>
                <w:rFonts w:hint="eastAsia" w:ascii="宋体" w:hAnsi="宋体" w:cs="宋体"/>
                <w:color w:val="000000"/>
                <w:szCs w:val="21"/>
              </w:rPr>
              <w:t>开户银行：兴业银行重庆分行营业部</w:t>
            </w:r>
          </w:p>
          <w:p>
            <w:pPr>
              <w:widowControl/>
              <w:ind w:firstLine="420" w:firstLineChars="200"/>
              <w:rPr>
                <w:rFonts w:hAnsi="宋体" w:cs="宋体"/>
              </w:rPr>
            </w:pPr>
            <w:r>
              <w:rPr>
                <w:rFonts w:hint="eastAsia" w:ascii="宋体" w:hAnsi="宋体" w:cs="宋体"/>
                <w:color w:val="000000"/>
                <w:szCs w:val="21"/>
              </w:rPr>
              <w:t>帐    号：3460 1010 0100 4791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spacing w:line="400" w:lineRule="exact"/>
              <w:jc w:val="center"/>
              <w:rPr>
                <w:rFonts w:hAnsi="宋体"/>
                <w:color w:val="auto"/>
                <w:sz w:val="21"/>
                <w:szCs w:val="21"/>
              </w:rPr>
            </w:pPr>
            <w:r>
              <w:rPr>
                <w:rFonts w:hint="eastAsia" w:hAnsi="宋体"/>
                <w:color w:val="auto"/>
                <w:sz w:val="21"/>
                <w:szCs w:val="21"/>
              </w:rPr>
              <w:t>21</w:t>
            </w:r>
          </w:p>
        </w:tc>
        <w:tc>
          <w:tcPr>
            <w:tcW w:w="2106" w:type="dxa"/>
            <w:vAlign w:val="center"/>
          </w:tcPr>
          <w:p>
            <w:pPr>
              <w:pStyle w:val="149"/>
              <w:spacing w:line="400" w:lineRule="exact"/>
              <w:jc w:val="center"/>
              <w:rPr>
                <w:rFonts w:hAnsi="宋体"/>
                <w:color w:val="auto"/>
                <w:sz w:val="21"/>
                <w:szCs w:val="21"/>
              </w:rPr>
            </w:pPr>
            <w:r>
              <w:rPr>
                <w:rFonts w:hint="eastAsia" w:hAnsi="宋体"/>
                <w:color w:val="auto"/>
                <w:kern w:val="2"/>
                <w:sz w:val="21"/>
                <w:szCs w:val="21"/>
              </w:rPr>
              <w:t>监督部门</w:t>
            </w:r>
          </w:p>
        </w:tc>
        <w:tc>
          <w:tcPr>
            <w:tcW w:w="7104" w:type="dxa"/>
            <w:vAlign w:val="center"/>
          </w:tcPr>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监督部门：重庆首讯科技股份有限公司</w:t>
            </w:r>
            <w:r>
              <w:rPr>
                <w:rFonts w:hint="eastAsia" w:hAnsi="宋体"/>
                <w:color w:val="auto"/>
                <w:kern w:val="2"/>
                <w:sz w:val="21"/>
                <w:szCs w:val="21"/>
                <w:lang w:val="en-US" w:eastAsia="zh-CN"/>
              </w:rPr>
              <w:t>合规监管</w:t>
            </w:r>
            <w:r>
              <w:rPr>
                <w:rFonts w:hint="eastAsia" w:hAnsi="宋体"/>
                <w:color w:val="auto"/>
                <w:kern w:val="2"/>
                <w:sz w:val="21"/>
                <w:szCs w:val="21"/>
              </w:rPr>
              <w:t>部</w:t>
            </w:r>
          </w:p>
          <w:p>
            <w:pPr>
              <w:pStyle w:val="149"/>
              <w:spacing w:line="400" w:lineRule="exact"/>
              <w:ind w:firstLine="420" w:firstLineChars="200"/>
              <w:rPr>
                <w:rFonts w:hAnsi="宋体"/>
                <w:color w:val="auto"/>
                <w:kern w:val="2"/>
                <w:sz w:val="21"/>
                <w:szCs w:val="21"/>
              </w:rPr>
            </w:pPr>
            <w:r>
              <w:rPr>
                <w:rFonts w:hint="eastAsia" w:hAnsi="宋体"/>
                <w:color w:val="auto"/>
                <w:kern w:val="2"/>
                <w:sz w:val="21"/>
                <w:szCs w:val="21"/>
              </w:rPr>
              <w:t>地    址：</w:t>
            </w:r>
            <w:r>
              <w:rPr>
                <w:rFonts w:hint="eastAsia" w:ascii="宋体" w:hAnsi="宋体" w:eastAsia="宋体" w:cs="宋体"/>
                <w:kern w:val="2"/>
                <w:sz w:val="21"/>
                <w:szCs w:val="21"/>
                <w:highlight w:val="none"/>
                <w:lang w:val="en-US" w:eastAsia="zh-CN" w:bidi="ar-SA"/>
              </w:rPr>
              <w:t>重庆市渝北区龙溪街道新南路52号东界龙湖三楼</w:t>
            </w:r>
          </w:p>
          <w:p>
            <w:pPr>
              <w:pStyle w:val="149"/>
              <w:spacing w:line="400" w:lineRule="exact"/>
              <w:ind w:firstLine="420" w:firstLineChars="200"/>
              <w:rPr>
                <w:rFonts w:hAnsi="宋体"/>
                <w:color w:val="auto"/>
                <w:sz w:val="21"/>
                <w:szCs w:val="21"/>
              </w:rPr>
            </w:pPr>
            <w:r>
              <w:rPr>
                <w:rFonts w:hint="eastAsia" w:hAnsi="宋体"/>
                <w:color w:val="auto"/>
                <w:kern w:val="2"/>
                <w:sz w:val="21"/>
                <w:szCs w:val="21"/>
              </w:rPr>
              <w:t>电    话：023-63132246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22</w:t>
            </w:r>
          </w:p>
        </w:tc>
        <w:tc>
          <w:tcPr>
            <w:tcW w:w="9210" w:type="dxa"/>
            <w:gridSpan w:val="2"/>
            <w:vAlign w:val="center"/>
          </w:tcPr>
          <w:p>
            <w:pPr>
              <w:pStyle w:val="149"/>
              <w:spacing w:line="400" w:lineRule="exact"/>
              <w:ind w:firstLine="482" w:firstLineChars="200"/>
              <w:jc w:val="center"/>
              <w:rPr>
                <w:rFonts w:hAnsi="宋体"/>
                <w:color w:val="auto"/>
                <w:kern w:val="2"/>
                <w:sz w:val="21"/>
                <w:szCs w:val="21"/>
              </w:rPr>
            </w:pPr>
            <w:r>
              <w:rPr>
                <w:rFonts w:hAnsi="宋体"/>
                <w:b/>
                <w:bCs/>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Ansi="宋体"/>
                <w:color w:val="auto"/>
                <w:kern w:val="2"/>
                <w:sz w:val="21"/>
                <w:szCs w:val="21"/>
              </w:rPr>
            </w:pPr>
            <w:r>
              <w:rPr>
                <w:rFonts w:hint="eastAsia" w:hAnsi="宋体"/>
                <w:color w:val="auto"/>
                <w:kern w:val="2"/>
                <w:sz w:val="21"/>
                <w:szCs w:val="21"/>
              </w:rPr>
              <w:t>22.1</w:t>
            </w:r>
          </w:p>
        </w:tc>
        <w:tc>
          <w:tcPr>
            <w:tcW w:w="9210" w:type="dxa"/>
            <w:gridSpan w:val="2"/>
            <w:vAlign w:val="center"/>
          </w:tcPr>
          <w:p>
            <w:pPr>
              <w:pStyle w:val="149"/>
              <w:spacing w:line="400" w:lineRule="exact"/>
              <w:ind w:firstLine="420" w:firstLineChars="200"/>
              <w:rPr>
                <w:rFonts w:hint="eastAsia" w:hAnsi="宋体"/>
                <w:sz w:val="21"/>
                <w:szCs w:val="21"/>
              </w:rPr>
            </w:pPr>
            <w:r>
              <w:rPr>
                <w:rFonts w:hint="eastAsia" w:hAnsi="宋体"/>
                <w:sz w:val="21"/>
                <w:szCs w:val="21"/>
              </w:rPr>
              <w:t>截止竞争性比选响应文件递交时间，递交竞争性比选响应文件不足3家的不得开启竞争性比选文件。重新招标后报价人仍少于3个，按法定程序开标和评标，确定中标</w:t>
            </w:r>
            <w:r>
              <w:rPr>
                <w:rFonts w:hAnsi="宋体"/>
                <w:sz w:val="21"/>
                <w:szCs w:val="21"/>
              </w:rPr>
              <w:t>候选</w:t>
            </w:r>
            <w:r>
              <w:rPr>
                <w:rFonts w:hint="eastAsia" w:hAnsi="宋体"/>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spacing w:line="400" w:lineRule="exact"/>
              <w:jc w:val="center"/>
              <w:rPr>
                <w:rFonts w:hint="default" w:hAnsi="宋体" w:eastAsia="宋体"/>
                <w:color w:val="auto"/>
                <w:kern w:val="2"/>
                <w:sz w:val="21"/>
                <w:szCs w:val="21"/>
                <w:lang w:val="en-US" w:eastAsia="zh-CN"/>
              </w:rPr>
            </w:pPr>
            <w:r>
              <w:rPr>
                <w:rFonts w:hint="eastAsia" w:hAnsi="宋体"/>
                <w:color w:val="auto"/>
                <w:kern w:val="2"/>
                <w:sz w:val="21"/>
                <w:szCs w:val="21"/>
                <w:lang w:val="en-US" w:eastAsia="zh-CN"/>
              </w:rPr>
              <w:t>22.2</w:t>
            </w:r>
          </w:p>
        </w:tc>
        <w:tc>
          <w:tcPr>
            <w:tcW w:w="9210" w:type="dxa"/>
            <w:gridSpan w:val="2"/>
            <w:vAlign w:val="center"/>
          </w:tcPr>
          <w:p>
            <w:pPr>
              <w:pStyle w:val="149"/>
              <w:spacing w:line="400" w:lineRule="exact"/>
              <w:ind w:firstLine="420" w:firstLineChars="200"/>
              <w:rPr>
                <w:rFonts w:hint="eastAsia" w:hAnsi="宋体"/>
                <w:sz w:val="21"/>
                <w:szCs w:val="21"/>
              </w:rPr>
            </w:pPr>
            <w:r>
              <w:rPr>
                <w:rFonts w:hint="eastAsia" w:hAnsi="宋体"/>
                <w:sz w:val="21"/>
                <w:szCs w:val="21"/>
              </w:rPr>
              <w:t>文件递交方式</w:t>
            </w:r>
            <w:r>
              <w:rPr>
                <w:rFonts w:hint="eastAsia" w:hAnsi="宋体"/>
                <w:sz w:val="21"/>
                <w:szCs w:val="21"/>
                <w:lang w:eastAsia="zh-CN"/>
              </w:rPr>
              <w:t>：</w:t>
            </w:r>
            <w:r>
              <w:rPr>
                <w:rFonts w:hint="eastAsia" w:hAnsi="宋体"/>
                <w:sz w:val="21"/>
                <w:szCs w:val="21"/>
              </w:rPr>
              <w:t>现场递交或邮寄，若采用现场递交方式需在投标截止当天将文件送达并参与现场开标；若采用邮寄方式的报价人默认认可采购人的开标结果，不得由此提出任何质疑</w:t>
            </w:r>
          </w:p>
        </w:tc>
      </w:tr>
      <w:bookmarkEnd w:id="101"/>
    </w:tbl>
    <w:p>
      <w:pPr>
        <w:spacing w:line="360" w:lineRule="auto"/>
        <w:jc w:val="center"/>
        <w:rPr>
          <w:rFonts w:ascii="宋体" w:hAnsi="宋体" w:cs="宋体"/>
          <w:b/>
          <w:sz w:val="28"/>
          <w:szCs w:val="28"/>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ascii="宋体" w:hAnsi="宋体" w:eastAsia="宋体" w:cs="宋体"/>
          <w:bCs w:val="0"/>
          <w:sz w:val="28"/>
          <w:szCs w:val="28"/>
        </w:rPr>
      </w:pPr>
      <w:bookmarkStart w:id="103" w:name="_Toc11284"/>
      <w:bookmarkStart w:id="104" w:name="_Toc30198"/>
      <w:bookmarkStart w:id="105" w:name="_Toc11329222"/>
      <w:bookmarkStart w:id="106" w:name="_Toc17532"/>
      <w:r>
        <w:rPr>
          <w:rFonts w:hint="eastAsia" w:ascii="宋体" w:hAnsi="宋体" w:eastAsia="宋体" w:cs="宋体"/>
          <w:sz w:val="28"/>
          <w:szCs w:val="28"/>
        </w:rPr>
        <w:t xml:space="preserve">附录1  </w:t>
      </w:r>
      <w:bookmarkEnd w:id="103"/>
      <w:bookmarkEnd w:id="104"/>
      <w:bookmarkEnd w:id="105"/>
      <w:bookmarkEnd w:id="106"/>
      <w:bookmarkStart w:id="107" w:name="_Toc12773"/>
      <w:bookmarkStart w:id="108" w:name="_Toc27096"/>
      <w:bookmarkStart w:id="109" w:name="_Toc25591"/>
      <w:bookmarkStart w:id="110" w:name="_Toc11329226"/>
      <w:r>
        <w:rPr>
          <w:rFonts w:hint="eastAsia" w:ascii="宋体" w:hAnsi="宋体" w:eastAsia="宋体" w:cs="宋体"/>
          <w:bCs w:val="0"/>
          <w:sz w:val="28"/>
          <w:szCs w:val="28"/>
        </w:rPr>
        <w:t>资格审查文件（项目主要管理人员最低要求）</w:t>
      </w:r>
      <w:bookmarkEnd w:id="107"/>
      <w:bookmarkEnd w:id="108"/>
      <w:bookmarkEnd w:id="109"/>
      <w:bookmarkEnd w:id="110"/>
    </w:p>
    <w:p>
      <w:pPr>
        <w:spacing w:line="400" w:lineRule="exact"/>
        <w:jc w:val="center"/>
      </w:pPr>
      <w:r>
        <w:rPr>
          <w:rFonts w:hint="eastAsia" w:ascii="宋体" w:hAnsi="宋体" w:cs="宋体"/>
          <w:b/>
          <w:szCs w:val="21"/>
        </w:rPr>
        <w:t>主要管理人员最低要求</w:t>
      </w:r>
    </w:p>
    <w:tbl>
      <w:tblPr>
        <w:tblStyle w:val="43"/>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bookmarkStart w:id="111" w:name="_Toc388534043"/>
            <w:bookmarkStart w:id="112" w:name="_Toc387234996"/>
            <w:r>
              <w:rPr>
                <w:rFonts w:hint="eastAsia" w:ascii="宋体" w:hAnsi="宋体" w:cs="宋体"/>
                <w:szCs w:val="21"/>
                <w:lang w:bidi="ar"/>
              </w:rPr>
              <w:t>序号</w:t>
            </w:r>
          </w:p>
        </w:tc>
        <w:tc>
          <w:tcPr>
            <w:tcW w:w="1465"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人  员</w:t>
            </w:r>
          </w:p>
        </w:tc>
        <w:tc>
          <w:tcPr>
            <w:tcW w:w="733"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数量</w:t>
            </w:r>
          </w:p>
        </w:tc>
        <w:tc>
          <w:tcPr>
            <w:tcW w:w="6784"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1</w:t>
            </w:r>
          </w:p>
        </w:tc>
        <w:tc>
          <w:tcPr>
            <w:tcW w:w="1465"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项目负责人</w:t>
            </w:r>
          </w:p>
        </w:tc>
        <w:tc>
          <w:tcPr>
            <w:tcW w:w="733"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宋体" w:hAnsi="宋体" w:cs="宋体"/>
                <w:szCs w:val="21"/>
              </w:rPr>
            </w:pPr>
            <w:r>
              <w:rPr>
                <w:rFonts w:hint="eastAsia" w:ascii="宋体" w:hAnsi="宋体" w:cs="宋体"/>
                <w:szCs w:val="21"/>
                <w:lang w:bidi="ar"/>
              </w:rPr>
              <w:t>1</w:t>
            </w:r>
          </w:p>
        </w:tc>
        <w:tc>
          <w:tcPr>
            <w:tcW w:w="6784" w:type="dxa"/>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hint="default" w:ascii="宋体" w:hAnsi="宋体" w:eastAsia="宋体" w:cs="宋体"/>
                <w:szCs w:val="21"/>
                <w:lang w:val="en-US" w:eastAsia="zh-CN"/>
              </w:rPr>
            </w:pPr>
            <w:r>
              <w:rPr>
                <w:rFonts w:hint="eastAsia" w:ascii="宋体" w:hAnsi="宋体" w:cs="宋体"/>
                <w:szCs w:val="21"/>
                <w:lang w:val="en-US" w:eastAsia="zh-CN"/>
              </w:rPr>
              <w:t>具备至少两个</w:t>
            </w:r>
            <w:r>
              <w:rPr>
                <w:rFonts w:hint="eastAsia" w:ascii="宋体" w:hAnsi="宋体" w:eastAsia="宋体" w:cs="宋体"/>
                <w:kern w:val="2"/>
                <w:sz w:val="21"/>
                <w:szCs w:val="21"/>
                <w:lang w:val="en-US" w:eastAsia="zh-CN" w:bidi="ar"/>
              </w:rPr>
              <w:t>航拍视频制作项目</w:t>
            </w:r>
            <w:r>
              <w:rPr>
                <w:rFonts w:hint="eastAsia" w:ascii="宋体" w:hAnsi="宋体" w:cs="宋体"/>
                <w:kern w:val="2"/>
                <w:sz w:val="21"/>
                <w:szCs w:val="21"/>
                <w:lang w:val="en-US" w:eastAsia="zh-CN" w:bidi="ar"/>
              </w:rPr>
              <w:t>管理经验，</w:t>
            </w:r>
            <w:r>
              <w:rPr>
                <w:rFonts w:hint="eastAsia"/>
              </w:rPr>
              <w:t>必须为报价人</w:t>
            </w:r>
            <w:r>
              <w:rPr>
                <w:rFonts w:hint="eastAsia"/>
                <w:b/>
              </w:rPr>
              <w:t>自有员工或者劳务派遣员工（报价人自行承诺即可，无需提供相关证明材料）</w:t>
            </w:r>
            <w:r>
              <w:rPr>
                <w:rFonts w:hint="eastAsia" w:ascii="宋体" w:hAnsi="宋体" w:cs="宋体"/>
                <w:kern w:val="2"/>
                <w:sz w:val="21"/>
                <w:szCs w:val="21"/>
                <w:lang w:val="en-US" w:eastAsia="zh-CN" w:bidi="ar"/>
              </w:rPr>
              <w:t>。</w:t>
            </w:r>
          </w:p>
        </w:tc>
      </w:tr>
    </w:tbl>
    <w:p>
      <w:pPr>
        <w:spacing w:line="400" w:lineRule="exact"/>
        <w:rPr>
          <w:rFonts w:ascii="宋体" w:hAnsi="宋体" w:cs="宋体"/>
          <w:szCs w:val="21"/>
          <w:highlight w:val="none"/>
        </w:rPr>
      </w:pPr>
      <w:r>
        <w:rPr>
          <w:rFonts w:hint="eastAsia" w:ascii="宋体" w:hAnsi="宋体" w:cs="宋体"/>
          <w:szCs w:val="21"/>
        </w:rPr>
        <w:t xml:space="preserve">   </w:t>
      </w:r>
      <w:r>
        <w:rPr>
          <w:rFonts w:hint="eastAsia" w:ascii="宋体" w:hAnsi="宋体" w:cs="宋体"/>
          <w:szCs w:val="21"/>
          <w:lang w:bidi="ar"/>
        </w:rPr>
        <w:t xml:space="preserve"> 注：以上人员不得在其他项目重复任职。需提供项目主要管理人员名单（表格形式），以上人员身份证复印件</w:t>
      </w:r>
      <w:r>
        <w:rPr>
          <w:rFonts w:hint="eastAsia" w:ascii="宋体" w:hAnsi="宋体" w:cs="宋体"/>
          <w:szCs w:val="21"/>
          <w:highlight w:val="none"/>
          <w:lang w:bidi="ar"/>
        </w:rPr>
        <w:t>，并加盖单位鲜公章。</w:t>
      </w:r>
    </w:p>
    <w:p>
      <w:pPr>
        <w:pStyle w:val="28"/>
      </w:pPr>
    </w:p>
    <w:p>
      <w:pPr>
        <w:outlineLvl w:val="1"/>
        <w:rPr>
          <w:rFonts w:ascii="宋体" w:hAnsi="宋体" w:cs="宋体"/>
          <w:b/>
          <w:sz w:val="28"/>
          <w:szCs w:val="28"/>
        </w:rPr>
        <w:sectPr>
          <w:pgSz w:w="11906" w:h="16838"/>
          <w:pgMar w:top="1418" w:right="1134" w:bottom="1418" w:left="1134" w:header="851" w:footer="992" w:gutter="0"/>
          <w:cols w:space="720" w:num="1"/>
          <w:docGrid w:type="lines" w:linePitch="312" w:charSpace="0"/>
        </w:sectPr>
      </w:pPr>
    </w:p>
    <w:p>
      <w:pPr>
        <w:pStyle w:val="4"/>
        <w:jc w:val="center"/>
        <w:rPr>
          <w:rFonts w:ascii="宋体" w:hAnsi="宋体" w:eastAsia="宋体" w:cs="宋体"/>
          <w:bCs w:val="0"/>
          <w:sz w:val="28"/>
          <w:szCs w:val="28"/>
        </w:rPr>
      </w:pPr>
      <w:bookmarkStart w:id="113" w:name="_Toc21487"/>
      <w:bookmarkStart w:id="114" w:name="_Toc11329227"/>
      <w:bookmarkStart w:id="115" w:name="_Toc27148"/>
      <w:bookmarkStart w:id="116" w:name="_Toc8293"/>
      <w:r>
        <w:rPr>
          <w:rFonts w:hint="eastAsia" w:ascii="宋体" w:hAnsi="宋体" w:eastAsia="宋体" w:cs="宋体"/>
          <w:bCs w:val="0"/>
          <w:sz w:val="28"/>
          <w:szCs w:val="28"/>
        </w:rPr>
        <w:t>附录2 资格审查文件（项目其他人员最低要求）</w:t>
      </w:r>
      <w:bookmarkEnd w:id="113"/>
      <w:bookmarkEnd w:id="114"/>
      <w:bookmarkEnd w:id="115"/>
      <w:bookmarkEnd w:id="116"/>
    </w:p>
    <w:tbl>
      <w:tblPr>
        <w:tblStyle w:val="43"/>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ascii="宋体" w:hAnsi="宋体" w:cs="宋体"/>
                <w:szCs w:val="21"/>
              </w:rPr>
            </w:pPr>
            <w:bookmarkStart w:id="117" w:name="_Toc413241584"/>
            <w:bookmarkStart w:id="118" w:name="_Toc507319900"/>
            <w:bookmarkStart w:id="119" w:name="_Toc23696"/>
            <w:r>
              <w:rPr>
                <w:rFonts w:hint="eastAsia" w:ascii="宋体" w:hAnsi="宋体" w:cs="宋体"/>
                <w:szCs w:val="21"/>
              </w:rPr>
              <w:t>项目施工、安装及调试劳务人员最低要求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9160" w:type="dxa"/>
          </w:tcPr>
          <w:p>
            <w:pPr>
              <w:ind w:firstLine="420" w:firstLineChars="200"/>
              <w:rPr>
                <w:rFonts w:hint="eastAsia" w:ascii="宋体" w:hAnsi="宋体" w:cs="宋体"/>
                <w:caps/>
                <w:szCs w:val="21"/>
              </w:rPr>
            </w:pPr>
            <w:r>
              <w:rPr>
                <w:rFonts w:hint="eastAsia" w:ascii="宋体" w:hAnsi="宋体" w:cs="宋体"/>
                <w:caps/>
                <w:szCs w:val="21"/>
              </w:rPr>
              <w:t>1</w:t>
            </w:r>
            <w:r>
              <w:rPr>
                <w:rFonts w:ascii="宋体" w:hAnsi="宋体" w:cs="宋体"/>
                <w:caps/>
                <w:szCs w:val="21"/>
              </w:rPr>
              <w:t>.</w:t>
            </w:r>
            <w:r>
              <w:rPr>
                <w:rFonts w:hint="eastAsia" w:ascii="宋体" w:hAnsi="宋体" w:cs="宋体"/>
                <w:szCs w:val="21"/>
              </w:rPr>
              <w:t>航拍工作人员</w:t>
            </w:r>
            <w:r>
              <w:rPr>
                <w:rFonts w:hint="eastAsia" w:ascii="宋体" w:hAnsi="宋体" w:cs="宋体"/>
                <w:caps/>
                <w:szCs w:val="21"/>
              </w:rPr>
              <w:t>：2名</w:t>
            </w:r>
            <w:r>
              <w:rPr>
                <w:rFonts w:hint="eastAsia" w:ascii="宋体" w:hAnsi="宋体" w:cs="宋体"/>
                <w:bCs/>
                <w:kern w:val="0"/>
                <w:szCs w:val="21"/>
              </w:rPr>
              <w:t>，</w:t>
            </w:r>
            <w:r>
              <w:rPr>
                <w:rFonts w:hint="eastAsia" w:ascii="宋体" w:hAnsi="宋体" w:cs="宋体"/>
                <w:bCs/>
                <w:kern w:val="0"/>
                <w:szCs w:val="21"/>
                <w:lang w:val="en-US" w:eastAsia="zh-CN"/>
              </w:rPr>
              <w:t>需具有</w:t>
            </w:r>
            <w:r>
              <w:rPr>
                <w:rFonts w:hint="eastAsia" w:ascii="宋体" w:hAnsi="宋体" w:cs="宋体"/>
                <w:szCs w:val="21"/>
              </w:rPr>
              <w:t>无人驾驶航空器系统操作手合格证</w:t>
            </w:r>
            <w:r>
              <w:rPr>
                <w:rFonts w:hint="eastAsia" w:ascii="宋体" w:hAnsi="宋体" w:cs="宋体"/>
                <w:szCs w:val="21"/>
                <w:lang w:eastAsia="zh-CN"/>
              </w:rPr>
              <w:t>，</w:t>
            </w:r>
            <w:r>
              <w:rPr>
                <w:rFonts w:hint="eastAsia"/>
              </w:rPr>
              <w:t>必须为报价人</w:t>
            </w:r>
            <w:r>
              <w:rPr>
                <w:rFonts w:hint="eastAsia"/>
                <w:b/>
              </w:rPr>
              <w:t>自有员工或者劳务派遣员工（报价人自行承诺即可，无需提供相关证明材料）</w:t>
            </w:r>
            <w:r>
              <w:rPr>
                <w:rFonts w:hint="eastAsia" w:ascii="宋体" w:hAnsi="宋体" w:cs="宋体"/>
                <w:caps/>
                <w:szCs w:val="21"/>
              </w:rPr>
              <w:t>。</w:t>
            </w:r>
          </w:p>
          <w:p>
            <w:pPr>
              <w:ind w:firstLine="420" w:firstLineChars="200"/>
            </w:pPr>
            <w:r>
              <w:rPr>
                <w:rFonts w:hint="eastAsia" w:ascii="宋体" w:hAnsi="宋体" w:cs="宋体"/>
                <w:caps/>
                <w:szCs w:val="21"/>
                <w:lang w:val="en-US" w:eastAsia="zh-CN"/>
              </w:rPr>
              <w:t>2</w:t>
            </w:r>
            <w:r>
              <w:rPr>
                <w:rFonts w:ascii="宋体" w:hAnsi="宋体" w:cs="宋体"/>
                <w:caps/>
                <w:szCs w:val="21"/>
              </w:rPr>
              <w:t>.</w:t>
            </w:r>
            <w:r>
              <w:rPr>
                <w:rFonts w:hint="eastAsia" w:ascii="宋体" w:hAnsi="宋体" w:cs="宋体"/>
                <w:caps/>
                <w:szCs w:val="21"/>
              </w:rPr>
              <w:t>后期视频制作人员：2名</w:t>
            </w:r>
            <w:r>
              <w:rPr>
                <w:rFonts w:hint="eastAsia" w:ascii="宋体" w:hAnsi="宋体" w:cs="宋体"/>
                <w:bCs/>
                <w:kern w:val="0"/>
                <w:szCs w:val="21"/>
              </w:rPr>
              <w:t>，</w:t>
            </w:r>
            <w:r>
              <w:rPr>
                <w:rFonts w:hint="eastAsia"/>
              </w:rPr>
              <w:t>必须为报价人</w:t>
            </w:r>
            <w:r>
              <w:rPr>
                <w:rFonts w:hint="eastAsia"/>
                <w:b/>
              </w:rPr>
              <w:t>自有员工或者劳务派遣员工（报价人自行承诺即可，无需提供相关证明材料）</w:t>
            </w:r>
            <w:r>
              <w:rPr>
                <w:rFonts w:hint="eastAsia" w:ascii="宋体" w:hAnsi="宋体" w:cs="宋体"/>
                <w:caps/>
                <w:szCs w:val="21"/>
              </w:rPr>
              <w:t>。</w:t>
            </w:r>
          </w:p>
        </w:tc>
      </w:tr>
    </w:tbl>
    <w:p>
      <w:pPr>
        <w:pStyle w:val="149"/>
        <w:adjustRightInd/>
        <w:spacing w:line="360" w:lineRule="auto"/>
        <w:jc w:val="both"/>
        <w:rPr>
          <w:rFonts w:hAnsi="宋体"/>
          <w:color w:val="FF0000"/>
          <w:sz w:val="21"/>
          <w:szCs w:val="21"/>
        </w:rPr>
      </w:pPr>
      <w:r>
        <w:rPr>
          <w:rFonts w:hint="eastAsia" w:hAnsi="宋体"/>
          <w:color w:val="auto"/>
          <w:sz w:val="21"/>
          <w:szCs w:val="21"/>
        </w:rPr>
        <w:t>注：</w:t>
      </w:r>
      <w:r>
        <w:rPr>
          <w:rFonts w:hint="eastAsia" w:ascii="Times New Roman" w:hAnsi="宋体" w:cs="Times New Roman"/>
          <w:color w:val="auto"/>
          <w:sz w:val="21"/>
          <w:szCs w:val="21"/>
        </w:rPr>
        <w:t>以上人员不得</w:t>
      </w:r>
      <w:r>
        <w:rPr>
          <w:rFonts w:hint="eastAsia" w:hAnsi="宋体" w:cs="Times New Roman"/>
          <w:color w:val="auto"/>
          <w:sz w:val="21"/>
          <w:szCs w:val="21"/>
        </w:rPr>
        <w:t>在其他项目</w:t>
      </w:r>
      <w:r>
        <w:rPr>
          <w:rFonts w:hint="eastAsia" w:ascii="Times New Roman" w:hAnsi="宋体" w:cs="Times New Roman"/>
          <w:color w:val="auto"/>
          <w:sz w:val="21"/>
          <w:szCs w:val="21"/>
        </w:rPr>
        <w:t>重复任职。</w:t>
      </w:r>
      <w:r>
        <w:rPr>
          <w:rFonts w:ascii="Times New Roman" w:hAnsi="宋体" w:cs="Times New Roman"/>
          <w:color w:val="auto"/>
          <w:sz w:val="21"/>
          <w:szCs w:val="21"/>
        </w:rPr>
        <w:t>除特殊说明外，其余</w:t>
      </w:r>
      <w:r>
        <w:rPr>
          <w:rFonts w:hint="eastAsia" w:ascii="Times New Roman" w:hAnsi="宋体" w:cs="Times New Roman"/>
          <w:color w:val="auto"/>
          <w:sz w:val="21"/>
          <w:szCs w:val="21"/>
        </w:rPr>
        <w:t>人员需提供相关资质证件及身份证复印件</w:t>
      </w:r>
      <w:r>
        <w:rPr>
          <w:rFonts w:hint="eastAsia" w:hAnsi="宋体"/>
          <w:color w:val="auto"/>
          <w:sz w:val="21"/>
          <w:szCs w:val="21"/>
        </w:rPr>
        <w:t>，并加盖单位鲜公章。</w:t>
      </w:r>
    </w:p>
    <w:bookmarkEnd w:id="117"/>
    <w:bookmarkEnd w:id="118"/>
    <w:bookmarkEnd w:id="119"/>
    <w:p>
      <w:pPr>
        <w:pStyle w:val="4"/>
        <w:rPr>
          <w:rStyle w:val="77"/>
          <w:rFonts w:ascii="宋体" w:hAnsi="宋体" w:eastAsia="宋体" w:cs="宋体"/>
          <w:b w:val="0"/>
          <w:bCs w:val="0"/>
          <w:sz w:val="28"/>
          <w:szCs w:val="28"/>
        </w:rPr>
      </w:pPr>
    </w:p>
    <w:p>
      <w:pPr>
        <w:pStyle w:val="4"/>
        <w:rPr>
          <w:rFonts w:hAnsi="宋体"/>
          <w:b w:val="0"/>
          <w:sz w:val="28"/>
          <w:szCs w:val="28"/>
        </w:rPr>
      </w:pPr>
      <w:bookmarkStart w:id="120" w:name="_Toc6096"/>
      <w:bookmarkStart w:id="121" w:name="_Toc4169"/>
      <w:bookmarkStart w:id="122" w:name="_Toc17384"/>
      <w:r>
        <w:rPr>
          <w:rFonts w:hint="eastAsia" w:ascii="宋体" w:hAnsi="宋体" w:eastAsia="宋体" w:cs="宋体"/>
          <w:bCs w:val="0"/>
          <w:sz w:val="28"/>
          <w:szCs w:val="28"/>
        </w:rPr>
        <w:t>附录3 资格审查文件（主要机械设备和试验检测设备最低要求）</w:t>
      </w:r>
      <w:bookmarkEnd w:id="120"/>
      <w:bookmarkEnd w:id="121"/>
      <w:bookmarkEnd w:id="122"/>
    </w:p>
    <w:tbl>
      <w:tblPr>
        <w:tblStyle w:val="43"/>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jc w:val="center"/>
        </w:trPr>
        <w:tc>
          <w:tcPr>
            <w:tcW w:w="9160" w:type="dxa"/>
            <w:vAlign w:val="center"/>
          </w:tcPr>
          <w:p>
            <w:pPr>
              <w:spacing w:line="400" w:lineRule="exact"/>
              <w:jc w:val="center"/>
              <w:rPr>
                <w:rFonts w:ascii="宋体" w:hAnsi="宋体" w:cs="宋体"/>
                <w:szCs w:val="21"/>
              </w:rPr>
            </w:pPr>
            <w:r>
              <w:rPr>
                <w:rFonts w:hint="eastAsia" w:ascii="宋体" w:hAnsi="宋体" w:cs="宋体"/>
                <w:szCs w:val="21"/>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 w:hRule="atLeast"/>
          <w:jc w:val="center"/>
        </w:trPr>
        <w:tc>
          <w:tcPr>
            <w:tcW w:w="9160" w:type="dxa"/>
          </w:tcPr>
          <w:p>
            <w:pPr>
              <w:ind w:firstLine="420" w:firstLineChars="200"/>
            </w:pPr>
            <w:r>
              <w:rPr>
                <w:rFonts w:hint="eastAsia" w:ascii="宋体" w:hAnsi="宋体" w:cs="宋体"/>
                <w:caps/>
                <w:szCs w:val="21"/>
              </w:rPr>
              <w:t xml:space="preserve">需提供三台无人机（两用一备） </w:t>
            </w:r>
            <w:r>
              <w:rPr>
                <w:rFonts w:hint="eastAsia" w:ascii="宋体" w:hAnsi="宋体" w:cs="宋体"/>
                <w:caps/>
                <w:szCs w:val="21"/>
                <w:highlight w:val="none"/>
              </w:rPr>
              <w:t>，需提供为本公司自有资产证明</w:t>
            </w:r>
          </w:p>
        </w:tc>
      </w:tr>
    </w:tbl>
    <w:p>
      <w:pPr>
        <w:spacing w:line="400" w:lineRule="exact"/>
        <w:ind w:firstLine="420"/>
        <w:rPr>
          <w:rFonts w:ascii="宋体" w:hAnsi="宋体" w:cs="宋体"/>
          <w:kern w:val="0"/>
          <w:szCs w:val="21"/>
        </w:rPr>
      </w:pPr>
      <w:r>
        <w:rPr>
          <w:rFonts w:hint="eastAsia" w:ascii="宋体" w:hAnsi="宋体" w:cs="宋体"/>
          <w:bCs/>
          <w:kern w:val="0"/>
          <w:szCs w:val="21"/>
        </w:rPr>
        <w:t>注：以上设备</w:t>
      </w:r>
      <w:r>
        <w:rPr>
          <w:rFonts w:hint="eastAsia" w:ascii="宋体" w:hAnsi="宋体" w:cs="宋体"/>
          <w:kern w:val="0"/>
          <w:szCs w:val="21"/>
        </w:rPr>
        <w:t>需</w:t>
      </w:r>
      <w:r>
        <w:rPr>
          <w:rFonts w:hint="eastAsia" w:ascii="宋体" w:hAnsi="宋体" w:cs="宋体"/>
          <w:kern w:val="0"/>
        </w:rPr>
        <w:t>报价人</w:t>
      </w:r>
      <w:r>
        <w:rPr>
          <w:rFonts w:hint="eastAsia" w:ascii="宋体" w:hAnsi="宋体" w:cs="宋体"/>
          <w:kern w:val="0"/>
          <w:szCs w:val="21"/>
        </w:rPr>
        <w:t>提供有关证明资料，并加盖单位鲜公章。</w:t>
      </w:r>
    </w:p>
    <w:p>
      <w:pPr>
        <w:pStyle w:val="149"/>
        <w:adjustRightInd/>
        <w:spacing w:line="400" w:lineRule="exact"/>
        <w:ind w:firstLine="422" w:firstLineChars="200"/>
        <w:jc w:val="both"/>
        <w:rPr>
          <w:rFonts w:hAnsi="宋体"/>
          <w:szCs w:val="21"/>
        </w:rPr>
        <w:sectPr>
          <w:footerReference r:id="rId8" w:type="default"/>
          <w:pgSz w:w="11906" w:h="16838"/>
          <w:pgMar w:top="1440" w:right="1800" w:bottom="1440" w:left="1800" w:header="851" w:footer="992" w:gutter="0"/>
          <w:cols w:space="720" w:num="1"/>
          <w:titlePg/>
          <w:docGrid w:type="lines" w:linePitch="312" w:charSpace="0"/>
        </w:sectPr>
      </w:pPr>
      <w:r>
        <w:rPr>
          <w:rFonts w:hint="eastAsia" w:hAnsi="宋体"/>
          <w:b/>
          <w:bCs/>
          <w:color w:val="auto"/>
          <w:sz w:val="21"/>
          <w:szCs w:val="21"/>
        </w:rPr>
        <w:t>以上（附录1-附录3中的资格审查）的要求均为强制性条件，其中任何一条不满足要求，则按否决报价处理。</w:t>
      </w:r>
      <w:bookmarkEnd w:id="111"/>
      <w:bookmarkEnd w:id="112"/>
    </w:p>
    <w:p>
      <w:pPr>
        <w:spacing w:line="440" w:lineRule="exact"/>
        <w:rPr>
          <w:rFonts w:ascii="宋体" w:hAnsi="宋体" w:cs="宋体"/>
        </w:rPr>
      </w:pPr>
    </w:p>
    <w:p>
      <w:pPr>
        <w:pStyle w:val="3"/>
        <w:numPr>
          <w:ilvl w:val="0"/>
          <w:numId w:val="3"/>
        </w:numPr>
        <w:spacing w:before="0" w:after="0" w:line="360" w:lineRule="auto"/>
        <w:jc w:val="center"/>
      </w:pPr>
      <w:bookmarkStart w:id="123" w:name="_Toc152042364"/>
      <w:bookmarkStart w:id="124" w:name="_Toc152045587"/>
      <w:bookmarkStart w:id="125" w:name="_Toc507319957"/>
      <w:bookmarkStart w:id="126" w:name="_Toc144974554"/>
      <w:bookmarkStart w:id="127" w:name="_Toc246996230"/>
      <w:bookmarkStart w:id="128" w:name="_Toc2000406"/>
      <w:bookmarkStart w:id="129" w:name="_Toc7682"/>
      <w:bookmarkStart w:id="130" w:name="_Toc179632605"/>
      <w:bookmarkStart w:id="131" w:name="_Toc247085745"/>
      <w:bookmarkStart w:id="132" w:name="_Toc246996973"/>
      <w:r>
        <w:rPr>
          <w:rFonts w:hint="eastAsia" w:ascii="宋体" w:hAnsi="宋体" w:cs="宋体"/>
        </w:rPr>
        <w:t>评标办法（综合评估法）</w:t>
      </w:r>
      <w:bookmarkEnd w:id="123"/>
      <w:bookmarkEnd w:id="124"/>
      <w:bookmarkEnd w:id="125"/>
      <w:bookmarkEnd w:id="126"/>
      <w:bookmarkEnd w:id="127"/>
      <w:bookmarkEnd w:id="128"/>
      <w:bookmarkEnd w:id="129"/>
      <w:bookmarkEnd w:id="130"/>
      <w:bookmarkEnd w:id="131"/>
      <w:bookmarkEnd w:id="132"/>
    </w:p>
    <w:p/>
    <w:p>
      <w:pPr>
        <w:rPr>
          <w:b/>
          <w:bCs/>
        </w:rPr>
      </w:pPr>
      <w:r>
        <w:rPr>
          <w:rFonts w:hint="eastAsia"/>
          <w:b/>
          <w:bCs/>
        </w:rPr>
        <w:t>评标办法前附表</w:t>
      </w:r>
    </w:p>
    <w:tbl>
      <w:tblPr>
        <w:tblStyle w:val="43"/>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159"/>
        <w:gridCol w:w="2128"/>
        <w:gridCol w:w="5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条款号</w:t>
            </w:r>
          </w:p>
        </w:tc>
        <w:tc>
          <w:tcPr>
            <w:tcW w:w="1159" w:type="dxa"/>
            <w:vAlign w:val="center"/>
          </w:tcPr>
          <w:p>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条款名称</w:t>
            </w:r>
          </w:p>
        </w:tc>
        <w:tc>
          <w:tcPr>
            <w:tcW w:w="2128" w:type="dxa"/>
            <w:vAlign w:val="center"/>
          </w:tcPr>
          <w:p>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评审因素与评审标准</w:t>
            </w:r>
          </w:p>
        </w:tc>
        <w:tc>
          <w:tcPr>
            <w:tcW w:w="5530" w:type="dxa"/>
            <w:vAlign w:val="center"/>
          </w:tcPr>
          <w:p>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条款号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pPr>
              <w:snapToGrid w:val="0"/>
              <w:spacing w:line="320" w:lineRule="exact"/>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Cs/>
                <w:kern w:val="0"/>
                <w:szCs w:val="21"/>
              </w:rPr>
              <w:t>1</w:t>
            </w:r>
          </w:p>
        </w:tc>
        <w:tc>
          <w:tcPr>
            <w:tcW w:w="1159" w:type="dxa"/>
            <w:vAlign w:val="center"/>
          </w:tcPr>
          <w:p>
            <w:pPr>
              <w:snapToGrid w:val="0"/>
              <w:spacing w:line="320" w:lineRule="exac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szCs w:val="21"/>
              </w:rPr>
              <w:t>评标办</w:t>
            </w:r>
            <w:r>
              <w:rPr>
                <w:rFonts w:hint="eastAsia" w:asciiTheme="minorEastAsia" w:hAnsiTheme="minorEastAsia" w:eastAsiaTheme="minorEastAsia" w:cstheme="minorEastAsia"/>
                <w:spacing w:val="-1"/>
                <w:szCs w:val="21"/>
              </w:rPr>
              <w:t>法</w:t>
            </w:r>
          </w:p>
        </w:tc>
        <w:tc>
          <w:tcPr>
            <w:tcW w:w="2128" w:type="dxa"/>
            <w:vAlign w:val="center"/>
          </w:tcPr>
          <w:p>
            <w:pPr>
              <w:snapToGrid w:val="0"/>
              <w:spacing w:line="320" w:lineRule="exact"/>
              <w:rPr>
                <w:rFonts w:asciiTheme="minorEastAsia" w:hAnsiTheme="minorEastAsia" w:eastAsiaTheme="minorEastAsia" w:cstheme="minorEastAsia"/>
                <w:b/>
                <w:kern w:val="0"/>
                <w:szCs w:val="21"/>
              </w:rPr>
            </w:pPr>
            <w:r>
              <w:rPr>
                <w:rFonts w:hint="eastAsia" w:ascii="宋体" w:hAnsi="宋体" w:cs="宋体"/>
                <w:szCs w:val="21"/>
              </w:rPr>
              <w:t>中标候选人排序方法</w:t>
            </w:r>
          </w:p>
        </w:tc>
        <w:tc>
          <w:tcPr>
            <w:tcW w:w="5530" w:type="dxa"/>
            <w:vAlign w:val="center"/>
          </w:tcPr>
          <w:p>
            <w:pPr>
              <w:spacing w:line="400" w:lineRule="exact"/>
              <w:ind w:firstLine="420" w:firstLineChars="200"/>
              <w:rPr>
                <w:rFonts w:ascii="宋体" w:hAnsi="宋体" w:cs="宋体"/>
                <w:szCs w:val="21"/>
              </w:rPr>
            </w:pPr>
            <w:r>
              <w:rPr>
                <w:rFonts w:hint="eastAsia" w:ascii="宋体" w:hAnsi="宋体" w:cs="宋体"/>
                <w:szCs w:val="21"/>
              </w:rPr>
              <w:t>本次评标采用综合评分法，如出现得分(精确到小数点后两位)相等时，按以下原则确定第一中标候选人：</w:t>
            </w:r>
          </w:p>
          <w:p>
            <w:pPr>
              <w:spacing w:line="400" w:lineRule="exact"/>
              <w:ind w:firstLine="420" w:firstLineChars="200"/>
              <w:rPr>
                <w:rFonts w:ascii="宋体" w:hAnsi="宋体" w:cs="宋体"/>
                <w:szCs w:val="21"/>
              </w:rPr>
            </w:pPr>
            <w:r>
              <w:rPr>
                <w:rFonts w:hint="eastAsia" w:ascii="宋体" w:hAnsi="宋体" w:cs="宋体"/>
                <w:szCs w:val="21"/>
              </w:rPr>
              <w:t>（1）以评标价低的报价人优先；</w:t>
            </w:r>
          </w:p>
          <w:p>
            <w:pPr>
              <w:spacing w:line="400" w:lineRule="exact"/>
              <w:ind w:firstLine="420" w:firstLineChars="200"/>
              <w:rPr>
                <w:rFonts w:ascii="宋体" w:hAnsi="宋体" w:cs="宋体"/>
                <w:szCs w:val="21"/>
              </w:rPr>
            </w:pPr>
            <w:r>
              <w:rPr>
                <w:rFonts w:hint="eastAsia" w:ascii="宋体" w:hAnsi="宋体" w:cs="宋体"/>
                <w:szCs w:val="21"/>
              </w:rPr>
              <w:t>（2）如评标价也相同时，以技术得分较高的报价人优先；</w:t>
            </w:r>
          </w:p>
          <w:p>
            <w:pPr>
              <w:spacing w:line="400" w:lineRule="exact"/>
              <w:ind w:firstLine="420" w:firstLineChars="200"/>
              <w:rPr>
                <w:rFonts w:ascii="宋体" w:hAnsi="宋体" w:cs="宋体"/>
                <w:szCs w:val="21"/>
              </w:rPr>
            </w:pPr>
            <w:r>
              <w:rPr>
                <w:rFonts w:hint="eastAsia" w:ascii="宋体" w:hAnsi="宋体" w:cs="宋体"/>
                <w:szCs w:val="21"/>
              </w:rPr>
              <w:t>（3）如技术得分也相同时，以商务得分高的优先；</w:t>
            </w:r>
          </w:p>
          <w:p>
            <w:pPr>
              <w:spacing w:line="400" w:lineRule="exact"/>
              <w:ind w:firstLine="420" w:firstLineChars="200"/>
              <w:rPr>
                <w:rFonts w:asciiTheme="minorEastAsia" w:hAnsiTheme="minorEastAsia" w:eastAsiaTheme="minorEastAsia" w:cstheme="minorEastAsia"/>
                <w:b/>
                <w:kern w:val="0"/>
                <w:szCs w:val="21"/>
              </w:rPr>
            </w:pPr>
            <w:r>
              <w:rPr>
                <w:rFonts w:hint="eastAsia" w:ascii="宋体" w:hAnsi="宋体" w:cs="宋体"/>
                <w:szCs w:val="21"/>
              </w:rPr>
              <w:t>（4）如商务得分也相同时，由评标委员会投票决定。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条款号</w:t>
            </w:r>
          </w:p>
        </w:tc>
        <w:tc>
          <w:tcPr>
            <w:tcW w:w="1159" w:type="dxa"/>
            <w:vAlign w:val="center"/>
          </w:tcPr>
          <w:p>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评审因素</w:t>
            </w:r>
          </w:p>
        </w:tc>
        <w:tc>
          <w:tcPr>
            <w:tcW w:w="2128" w:type="dxa"/>
            <w:vAlign w:val="center"/>
          </w:tcPr>
          <w:p>
            <w:pPr>
              <w:snapToGrid w:val="0"/>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评审标准</w:t>
            </w:r>
          </w:p>
        </w:tc>
        <w:tc>
          <w:tcPr>
            <w:tcW w:w="5530" w:type="dxa"/>
            <w:vAlign w:val="center"/>
          </w:tcPr>
          <w:p>
            <w:pPr>
              <w:snapToGrid w:val="0"/>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kern w:val="0"/>
                <w:szCs w:val="21"/>
              </w:rPr>
              <w:t>条款号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w:t>
            </w:r>
          </w:p>
        </w:tc>
        <w:tc>
          <w:tcPr>
            <w:tcW w:w="1159" w:type="dxa"/>
            <w:vMerge w:val="restart"/>
            <w:vAlign w:val="center"/>
          </w:tcPr>
          <w:p>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资格评审标准</w:t>
            </w:r>
          </w:p>
        </w:tc>
        <w:tc>
          <w:tcPr>
            <w:tcW w:w="2128"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营业执照</w:t>
            </w:r>
          </w:p>
        </w:tc>
        <w:tc>
          <w:tcPr>
            <w:tcW w:w="5530"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128"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资质要求</w:t>
            </w:r>
          </w:p>
        </w:tc>
        <w:tc>
          <w:tcPr>
            <w:tcW w:w="5530"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128"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业绩要求</w:t>
            </w:r>
          </w:p>
        </w:tc>
        <w:tc>
          <w:tcPr>
            <w:tcW w:w="5530" w:type="dxa"/>
          </w:tcPr>
          <w:p>
            <w:pPr>
              <w:spacing w:line="400" w:lineRule="exact"/>
              <w:ind w:firstLine="420" w:firstLineChars="200"/>
              <w:rPr>
                <w:rFonts w:ascii="宋体" w:hAnsi="宋体" w:cs="宋体"/>
                <w:szCs w:val="21"/>
              </w:rPr>
            </w:pPr>
            <w:r>
              <w:rPr>
                <w:rFonts w:hint="eastAsia" w:ascii="宋体" w:hAnsi="宋体" w:cs="宋体"/>
                <w:szCs w:val="21"/>
              </w:rPr>
              <w:t>符合第二章“报价人须知”第8项规定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128"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信誉要求</w:t>
            </w:r>
          </w:p>
        </w:tc>
        <w:tc>
          <w:tcPr>
            <w:tcW w:w="5530"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符合第二章“报价人须知”第8项规定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128"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项目主要管理人员最低要求</w:t>
            </w:r>
          </w:p>
        </w:tc>
        <w:tc>
          <w:tcPr>
            <w:tcW w:w="5530"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符合第二章“报价人须知”前附表附录1的规定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12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其他人员最低要求</w:t>
            </w:r>
          </w:p>
        </w:tc>
        <w:tc>
          <w:tcPr>
            <w:tcW w:w="5530"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符合第二章“报价人须知”前附表附录2的规定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128"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主要机械设备和试验检测设备最低要求</w:t>
            </w:r>
          </w:p>
        </w:tc>
        <w:tc>
          <w:tcPr>
            <w:tcW w:w="5530"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符合第二章“报价人须知”前附表附录3的规定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w:t>
            </w:r>
          </w:p>
        </w:tc>
        <w:tc>
          <w:tcPr>
            <w:tcW w:w="1159" w:type="dxa"/>
            <w:vMerge w:val="restart"/>
            <w:vAlign w:val="center"/>
          </w:tcPr>
          <w:p>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形式评审标准</w:t>
            </w:r>
          </w:p>
        </w:tc>
        <w:tc>
          <w:tcPr>
            <w:tcW w:w="2128"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报价人名称</w:t>
            </w:r>
          </w:p>
        </w:tc>
        <w:tc>
          <w:tcPr>
            <w:tcW w:w="5530" w:type="dxa"/>
            <w:vAlign w:val="center"/>
          </w:tcPr>
          <w:p>
            <w:pPr>
              <w:spacing w:line="400" w:lineRule="exact"/>
              <w:ind w:firstLine="420" w:firstLineChars="200"/>
              <w:rPr>
                <w:rFonts w:ascii="宋体" w:hAnsi="宋体" w:cs="宋体"/>
                <w:szCs w:val="21"/>
              </w:rPr>
            </w:pPr>
            <w:r>
              <w:rPr>
                <w:rFonts w:hint="eastAsia" w:ascii="宋体" w:hAnsi="宋体" w:cs="宋体"/>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128"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报价函签字盖章</w:t>
            </w:r>
          </w:p>
        </w:tc>
        <w:tc>
          <w:tcPr>
            <w:tcW w:w="5530" w:type="dxa"/>
            <w:vAlign w:val="center"/>
          </w:tcPr>
          <w:p>
            <w:pPr>
              <w:spacing w:line="400" w:lineRule="exact"/>
              <w:ind w:firstLine="420" w:firstLineChars="200"/>
              <w:rPr>
                <w:rFonts w:ascii="宋体" w:hAnsi="宋体" w:cs="宋体"/>
                <w:szCs w:val="21"/>
              </w:rPr>
            </w:pPr>
            <w:r>
              <w:rPr>
                <w:rFonts w:hint="eastAsia" w:ascii="宋体" w:hAnsi="宋体" w:cs="宋体"/>
                <w:szCs w:val="21"/>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128"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竞争性比选响应文件格式</w:t>
            </w:r>
          </w:p>
        </w:tc>
        <w:tc>
          <w:tcPr>
            <w:tcW w:w="5530"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符合第九章“竞争性比选响应文件格式”的要求，字迹清晰可辨。</w:t>
            </w:r>
          </w:p>
          <w:p>
            <w:pPr>
              <w:spacing w:line="400" w:lineRule="exact"/>
              <w:ind w:firstLine="420" w:firstLineChars="200"/>
              <w:rPr>
                <w:rFonts w:ascii="宋体" w:hAnsi="宋体" w:cs="宋体"/>
                <w:szCs w:val="21"/>
              </w:rPr>
            </w:pPr>
            <w:r>
              <w:rPr>
                <w:rFonts w:hint="eastAsia" w:ascii="宋体" w:hAnsi="宋体" w:cs="宋体"/>
                <w:szCs w:val="21"/>
              </w:rPr>
              <w:t>1.竞争性比选响应声明书的所有数据均符合比选文件的规定；</w:t>
            </w:r>
          </w:p>
          <w:p>
            <w:pPr>
              <w:spacing w:line="400" w:lineRule="exact"/>
              <w:ind w:firstLine="420" w:firstLineChars="200"/>
              <w:rPr>
                <w:rFonts w:ascii="宋体" w:hAnsi="宋体" w:cs="宋体"/>
                <w:szCs w:val="21"/>
              </w:rPr>
            </w:pPr>
            <w:r>
              <w:rPr>
                <w:rFonts w:hint="eastAsia" w:ascii="宋体" w:hAnsi="宋体" w:cs="宋体"/>
                <w:szCs w:val="21"/>
              </w:rPr>
              <w:t>2.竞争性比选响应文件附表齐全完整，内容均按规定填写；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128"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已标价工程量清单</w:t>
            </w:r>
          </w:p>
        </w:tc>
        <w:tc>
          <w:tcPr>
            <w:tcW w:w="5530"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符合第五章“工程量清单”给出的范围及数量。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128"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报价其它要求</w:t>
            </w:r>
          </w:p>
        </w:tc>
        <w:tc>
          <w:tcPr>
            <w:tcW w:w="5530" w:type="dxa"/>
            <w:vAlign w:val="center"/>
          </w:tcPr>
          <w:p>
            <w:pPr>
              <w:spacing w:line="400" w:lineRule="exact"/>
              <w:ind w:firstLine="420" w:firstLineChars="200"/>
              <w:rPr>
                <w:rFonts w:ascii="宋体" w:hAnsi="宋体" w:cs="宋体"/>
                <w:szCs w:val="21"/>
              </w:rPr>
            </w:pPr>
            <w:r>
              <w:rPr>
                <w:rFonts w:hint="eastAsia" w:ascii="宋体" w:hAnsi="宋体" w:cs="宋体"/>
                <w:szCs w:val="21"/>
              </w:rPr>
              <w:t>竞争性比选响应文件报价表中的报价与报价书文字报价应保持一致。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128" w:type="dxa"/>
            <w:vAlign w:val="center"/>
          </w:tcPr>
          <w:p>
            <w:pPr>
              <w:spacing w:line="32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竞争性比选响应文件正本中法定代表人或其授权代理人签署</w:t>
            </w:r>
          </w:p>
        </w:tc>
        <w:tc>
          <w:tcPr>
            <w:tcW w:w="5530" w:type="dxa"/>
            <w:vAlign w:val="center"/>
          </w:tcPr>
          <w:p>
            <w:pPr>
              <w:spacing w:line="400" w:lineRule="exact"/>
              <w:ind w:firstLine="420" w:firstLineChars="200"/>
              <w:rPr>
                <w:rFonts w:ascii="宋体" w:hAnsi="宋体" w:cs="宋体"/>
                <w:szCs w:val="21"/>
              </w:rPr>
            </w:pPr>
            <w:r>
              <w:rPr>
                <w:rFonts w:hint="eastAsia" w:ascii="宋体" w:hAnsi="宋体" w:cs="宋体"/>
                <w:szCs w:val="21"/>
              </w:rPr>
              <w:t>竞争性比选响应文件正本中法定代表人或授权代理人签署姓名齐全，符合比选文件规定；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12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其它材料</w:t>
            </w:r>
          </w:p>
        </w:tc>
        <w:tc>
          <w:tcPr>
            <w:tcW w:w="5530" w:type="dxa"/>
            <w:vAlign w:val="center"/>
          </w:tcPr>
          <w:p>
            <w:pPr>
              <w:spacing w:line="400" w:lineRule="exact"/>
              <w:ind w:firstLine="420" w:firstLineChars="200"/>
              <w:rPr>
                <w:rFonts w:ascii="宋体" w:hAnsi="宋体" w:cs="宋体"/>
                <w:szCs w:val="21"/>
              </w:rPr>
            </w:pPr>
            <w:r>
              <w:rPr>
                <w:rFonts w:hint="eastAsia" w:ascii="宋体" w:hAnsi="宋体" w:cs="宋体"/>
                <w:szCs w:val="21"/>
              </w:rPr>
              <w:t>单位负责人为同一人或者存在控股、管理关系的不同单位，不得同时参加报价，否则相关报价均无效。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w:t>
            </w:r>
          </w:p>
        </w:tc>
        <w:tc>
          <w:tcPr>
            <w:tcW w:w="1159"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响应性评审标准</w:t>
            </w:r>
          </w:p>
        </w:tc>
        <w:tc>
          <w:tcPr>
            <w:tcW w:w="212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投标内容</w:t>
            </w:r>
          </w:p>
        </w:tc>
        <w:tc>
          <w:tcPr>
            <w:tcW w:w="5530"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jc w:val="center"/>
              <w:rPr>
                <w:rFonts w:asciiTheme="minorEastAsia" w:hAnsiTheme="minorEastAsia" w:eastAsiaTheme="minorEastAsia" w:cstheme="minorEastAsia"/>
                <w:szCs w:val="21"/>
              </w:rPr>
            </w:pPr>
          </w:p>
        </w:tc>
        <w:tc>
          <w:tcPr>
            <w:tcW w:w="212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w:t>
            </w:r>
          </w:p>
        </w:tc>
        <w:tc>
          <w:tcPr>
            <w:tcW w:w="5530" w:type="dxa"/>
            <w:vAlign w:val="center"/>
          </w:tcPr>
          <w:p>
            <w:pPr>
              <w:spacing w:line="400" w:lineRule="exact"/>
              <w:ind w:firstLine="420" w:firstLineChars="200"/>
              <w:rPr>
                <w:rFonts w:ascii="宋体" w:hAnsi="宋体" w:cs="宋体"/>
                <w:szCs w:val="21"/>
              </w:rPr>
            </w:pPr>
            <w:r>
              <w:rPr>
                <w:rFonts w:hint="eastAsia" w:ascii="宋体" w:hAnsi="宋体" w:cs="宋体"/>
                <w:szCs w:val="21"/>
              </w:rPr>
              <w:t>符合比选文件给出的范围及数量，且报价不得超过采购人公布的最高限价，但也不得低于报价人的企业成本。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jc w:val="center"/>
              <w:rPr>
                <w:rFonts w:asciiTheme="minorEastAsia" w:hAnsiTheme="minorEastAsia" w:eastAsiaTheme="minorEastAsia" w:cstheme="minorEastAsia"/>
                <w:szCs w:val="21"/>
              </w:rPr>
            </w:pPr>
          </w:p>
        </w:tc>
        <w:tc>
          <w:tcPr>
            <w:tcW w:w="212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工期</w:t>
            </w:r>
          </w:p>
        </w:tc>
        <w:tc>
          <w:tcPr>
            <w:tcW w:w="5530"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符合第二章“报价人须知”第5项规定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jc w:val="center"/>
              <w:rPr>
                <w:rFonts w:asciiTheme="minorEastAsia" w:hAnsiTheme="minorEastAsia" w:eastAsiaTheme="minorEastAsia" w:cstheme="minorEastAsia"/>
                <w:szCs w:val="21"/>
              </w:rPr>
            </w:pPr>
          </w:p>
        </w:tc>
        <w:tc>
          <w:tcPr>
            <w:tcW w:w="212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质量标准</w:t>
            </w:r>
          </w:p>
        </w:tc>
        <w:tc>
          <w:tcPr>
            <w:tcW w:w="5530"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符合第二章“报价人须知”第6项规定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jc w:val="center"/>
              <w:rPr>
                <w:rFonts w:asciiTheme="minorEastAsia" w:hAnsiTheme="minorEastAsia" w:eastAsiaTheme="minorEastAsia" w:cstheme="minorEastAsia"/>
                <w:szCs w:val="21"/>
              </w:rPr>
            </w:pPr>
          </w:p>
        </w:tc>
        <w:tc>
          <w:tcPr>
            <w:tcW w:w="212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安全目标</w:t>
            </w:r>
          </w:p>
        </w:tc>
        <w:tc>
          <w:tcPr>
            <w:tcW w:w="5530" w:type="dxa"/>
            <w:vAlign w:val="center"/>
          </w:tcPr>
          <w:p>
            <w:pPr>
              <w:spacing w:line="400" w:lineRule="exact"/>
              <w:ind w:firstLine="420" w:firstLineChars="200"/>
              <w:rPr>
                <w:rFonts w:ascii="宋体" w:hAnsi="宋体" w:cs="宋体"/>
                <w:szCs w:val="21"/>
              </w:rPr>
            </w:pPr>
            <w:r>
              <w:rPr>
                <w:rFonts w:hint="eastAsia" w:ascii="宋体" w:hAnsi="宋体" w:cs="宋体"/>
                <w:szCs w:val="21"/>
              </w:rPr>
              <w:t>符合第二章“报价人须知”第7项规定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159" w:type="dxa"/>
            <w:vAlign w:val="center"/>
          </w:tcPr>
          <w:p>
            <w:pPr>
              <w:spacing w:line="320" w:lineRule="exact"/>
              <w:jc w:val="center"/>
              <w:rPr>
                <w:rFonts w:asciiTheme="minorEastAsia" w:hAnsiTheme="minorEastAsia" w:eastAsiaTheme="minorEastAsia" w:cstheme="minorEastAsia"/>
                <w:spacing w:val="-13"/>
                <w:szCs w:val="21"/>
              </w:rPr>
            </w:pPr>
            <w:r>
              <w:rPr>
                <w:rFonts w:hint="eastAsia" w:asciiTheme="minorEastAsia" w:hAnsiTheme="minorEastAsia" w:eastAsiaTheme="minorEastAsia" w:cstheme="minorEastAsia"/>
                <w:spacing w:val="-13"/>
                <w:szCs w:val="21"/>
              </w:rPr>
              <w:t>分值构</w:t>
            </w:r>
          </w:p>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13"/>
                <w:szCs w:val="21"/>
              </w:rPr>
              <w:t>（总分</w:t>
            </w:r>
            <w:r>
              <w:rPr>
                <w:rFonts w:hint="eastAsia" w:asciiTheme="minorEastAsia" w:hAnsiTheme="minorEastAsia" w:eastAsiaTheme="minorEastAsia" w:cstheme="minorEastAsia"/>
                <w:szCs w:val="21"/>
              </w:rPr>
              <w:t xml:space="preserve"> 100</w:t>
            </w:r>
            <w:r>
              <w:rPr>
                <w:rFonts w:hint="eastAsia" w:asciiTheme="minorEastAsia" w:hAnsiTheme="minorEastAsia" w:eastAsiaTheme="minorEastAsia" w:cstheme="minorEastAsia"/>
                <w:spacing w:val="-1"/>
                <w:szCs w:val="21"/>
              </w:rPr>
              <w:t xml:space="preserve"> </w:t>
            </w:r>
            <w:r>
              <w:rPr>
                <w:rFonts w:hint="eastAsia" w:asciiTheme="minorEastAsia" w:hAnsiTheme="minorEastAsia" w:eastAsiaTheme="minorEastAsia" w:cstheme="minorEastAsia"/>
                <w:szCs w:val="21"/>
              </w:rPr>
              <w:t xml:space="preserve">分） </w:t>
            </w:r>
          </w:p>
        </w:tc>
        <w:tc>
          <w:tcPr>
            <w:tcW w:w="7658" w:type="dxa"/>
            <w:gridSpan w:val="2"/>
            <w:vAlign w:val="center"/>
          </w:tcPr>
          <w:p>
            <w:pPr>
              <w:pStyle w:val="168"/>
              <w:spacing w:before="55" w:line="320" w:lineRule="exact"/>
              <w:jc w:val="left"/>
              <w:rPr>
                <w:rFonts w:hint="eastAsia" w:ascii="Times New Roman" w:hAnsi="Times New Roman" w:eastAsia="宋体" w:cs="Times New Roman"/>
                <w:spacing w:val="-5"/>
                <w:kern w:val="0"/>
                <w:sz w:val="20"/>
                <w:szCs w:val="24"/>
                <w:lang w:val="en-US" w:eastAsia="zh-CN" w:bidi="ar-SA"/>
              </w:rPr>
            </w:pPr>
            <w:r>
              <w:rPr>
                <w:rFonts w:hint="eastAsia" w:ascii="Times New Roman" w:hAnsi="Times New Roman" w:eastAsia="宋体" w:cs="Times New Roman"/>
                <w:spacing w:val="-5"/>
                <w:kern w:val="0"/>
                <w:sz w:val="20"/>
                <w:szCs w:val="24"/>
                <w:lang w:val="en-US" w:eastAsia="zh-CN" w:bidi="ar-SA"/>
              </w:rPr>
              <w:t>1.技术部分20分；</w:t>
            </w:r>
          </w:p>
          <w:p>
            <w:pPr>
              <w:pStyle w:val="168"/>
              <w:spacing w:before="55" w:line="320" w:lineRule="exact"/>
              <w:jc w:val="left"/>
              <w:rPr>
                <w:rFonts w:hint="eastAsia" w:ascii="Times New Roman" w:hAnsi="Times New Roman" w:eastAsia="宋体" w:cs="Times New Roman"/>
                <w:spacing w:val="-5"/>
                <w:kern w:val="0"/>
                <w:sz w:val="20"/>
                <w:szCs w:val="24"/>
                <w:lang w:val="en-US" w:eastAsia="zh-CN" w:bidi="ar-SA"/>
              </w:rPr>
            </w:pPr>
            <w:r>
              <w:rPr>
                <w:rFonts w:hint="eastAsia" w:ascii="Times New Roman" w:hAnsi="Times New Roman" w:eastAsia="宋体" w:cs="Times New Roman"/>
                <w:spacing w:val="-5"/>
                <w:kern w:val="0"/>
                <w:sz w:val="20"/>
                <w:szCs w:val="24"/>
                <w:lang w:val="en-US" w:eastAsia="zh-CN" w:bidi="ar-SA"/>
              </w:rPr>
              <w:t>2.商务部分10分；</w:t>
            </w:r>
          </w:p>
          <w:p>
            <w:pPr>
              <w:tabs>
                <w:tab w:val="left" w:pos="1286"/>
              </w:tabs>
              <w:spacing w:line="320" w:lineRule="exact"/>
              <w:jc w:val="left"/>
              <w:rPr>
                <w:rFonts w:ascii="宋体" w:hAnsi="宋体" w:cs="宋体"/>
                <w:szCs w:val="21"/>
              </w:rPr>
            </w:pPr>
            <w:r>
              <w:rPr>
                <w:rFonts w:hint="eastAsia" w:ascii="Times New Roman" w:hAnsi="Times New Roman" w:eastAsia="宋体" w:cs="Times New Roman"/>
                <w:spacing w:val="-5"/>
                <w:kern w:val="0"/>
                <w:sz w:val="20"/>
                <w:szCs w:val="24"/>
                <w:lang w:val="en-US" w:eastAsia="zh-CN" w:bidi="ar-SA"/>
              </w:rPr>
              <w:t>3.投标报价70分。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w:t>
            </w:r>
          </w:p>
        </w:tc>
        <w:tc>
          <w:tcPr>
            <w:tcW w:w="1159" w:type="dxa"/>
            <w:vMerge w:val="restart"/>
            <w:vAlign w:val="center"/>
          </w:tcPr>
          <w:p>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w:t>
            </w:r>
            <w:r>
              <w:rPr>
                <w:rFonts w:hint="eastAsia" w:asciiTheme="minorEastAsia" w:hAnsiTheme="minorEastAsia" w:eastAsiaTheme="minorEastAsia" w:cstheme="minorEastAsia"/>
                <w:szCs w:val="21"/>
                <w:lang w:val="en-US" w:eastAsia="zh-CN"/>
              </w:rPr>
              <w:t>70</w:t>
            </w:r>
            <w:r>
              <w:rPr>
                <w:rFonts w:hint="eastAsia" w:asciiTheme="minorEastAsia" w:hAnsiTheme="minorEastAsia" w:eastAsiaTheme="minorEastAsia" w:cstheme="minorEastAsia"/>
                <w:szCs w:val="21"/>
              </w:rPr>
              <w:t>分）</w:t>
            </w:r>
          </w:p>
        </w:tc>
        <w:tc>
          <w:tcPr>
            <w:tcW w:w="2128" w:type="dxa"/>
          </w:tcPr>
          <w:p>
            <w:pPr>
              <w:spacing w:line="320" w:lineRule="exact"/>
              <w:jc w:val="center"/>
              <w:rPr>
                <w:rFonts w:asciiTheme="minorEastAsia" w:hAnsiTheme="minorEastAsia" w:eastAsiaTheme="minorEastAsia" w:cstheme="minorEastAsia"/>
                <w:kern w:val="0"/>
                <w:szCs w:val="21"/>
              </w:rPr>
            </w:pPr>
          </w:p>
          <w:p>
            <w:pPr>
              <w:spacing w:line="320" w:lineRule="exact"/>
              <w:jc w:val="center"/>
              <w:rPr>
                <w:rFonts w:asciiTheme="minorEastAsia" w:hAnsiTheme="minorEastAsia" w:eastAsiaTheme="minorEastAsia" w:cstheme="minorEastAsia"/>
                <w:kern w:val="0"/>
                <w:szCs w:val="21"/>
              </w:rPr>
            </w:pPr>
          </w:p>
          <w:p>
            <w:pPr>
              <w:spacing w:line="320" w:lineRule="exact"/>
              <w:jc w:val="center"/>
              <w:rPr>
                <w:rFonts w:asciiTheme="minorEastAsia" w:hAnsiTheme="minorEastAsia" w:eastAsiaTheme="minorEastAsia" w:cstheme="minorEastAsia"/>
                <w:szCs w:val="21"/>
              </w:rPr>
            </w:pPr>
            <w:r>
              <w:rPr>
                <w:rFonts w:hint="eastAsia"/>
                <w:spacing w:val="-5"/>
                <w:kern w:val="0"/>
                <w:sz w:val="20"/>
              </w:rPr>
              <w:t>评标基准价计算方法</w:t>
            </w:r>
          </w:p>
        </w:tc>
        <w:tc>
          <w:tcPr>
            <w:tcW w:w="5530" w:type="dxa"/>
          </w:tcPr>
          <w:p>
            <w:pPr>
              <w:spacing w:line="400" w:lineRule="exact"/>
              <w:ind w:firstLine="420" w:firstLineChars="200"/>
            </w:pPr>
            <w:r>
              <w:rPr>
                <w:rFonts w:hint="eastAsia"/>
              </w:rPr>
              <w:t>由评标委员会计算评标基准价：</w:t>
            </w:r>
          </w:p>
          <w:p>
            <w:pPr>
              <w:spacing w:line="400" w:lineRule="exact"/>
              <w:ind w:firstLine="420" w:firstLineChars="200"/>
            </w:pPr>
            <w:r>
              <w:rPr>
                <w:rFonts w:hint="eastAsia"/>
              </w:rPr>
              <w:t>（1）评标价的确定：评标价＝投标函文字报价</w:t>
            </w:r>
          </w:p>
          <w:p>
            <w:pPr>
              <w:spacing w:line="400" w:lineRule="exact"/>
              <w:ind w:firstLine="420" w:firstLineChars="200"/>
            </w:pPr>
            <w:r>
              <w:rPr>
                <w:rFonts w:hint="eastAsia"/>
              </w:rPr>
              <w:t>（2）评标基准价的确定：</w:t>
            </w:r>
          </w:p>
          <w:p>
            <w:pPr>
              <w:spacing w:line="400" w:lineRule="exact"/>
              <w:ind w:firstLine="420" w:firstLineChars="200"/>
            </w:pPr>
            <w:r>
              <w:rPr>
                <w:rFonts w:hint="eastAsia"/>
              </w:rPr>
              <w:t>在通过初步评审后且不高于最高投标限价的投标报价中去掉六分之一（不能整除的按小数前整数取整，不足六家报价则不去掉）的最低价和相同家数的最高价后的算术平均值为评标基准价。</w:t>
            </w:r>
          </w:p>
          <w:p>
            <w:pPr>
              <w:spacing w:line="400" w:lineRule="exact"/>
              <w:ind w:firstLine="420" w:firstLineChars="200"/>
              <w:rPr>
                <w:rFonts w:hint="default"/>
                <w:lang w:val="en-US"/>
              </w:rPr>
            </w:pPr>
            <w:r>
              <w:rPr>
                <w:rFonts w:hint="eastAsia"/>
              </w:rPr>
              <w:t>以上计算取小数点后两位，第三位四舍五入</w:t>
            </w:r>
            <w:r>
              <w:rPr>
                <w:rFonts w:hint="eastAsia"/>
                <w:lang w:eastAsia="zh-CN"/>
              </w:rPr>
              <w:t>（</w:t>
            </w:r>
            <w:r>
              <w:rPr>
                <w:rFonts w:hint="eastAsia"/>
                <w:lang w:val="en-US" w:eastAsia="zh-CN"/>
              </w:rPr>
              <w:t>线性计分</w:t>
            </w:r>
            <w:r>
              <w:rPr>
                <w:rFonts w:hint="eastAsia"/>
                <w:lang w:eastAsia="zh-CN"/>
              </w:rPr>
              <w:t>）</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128" w:type="dxa"/>
          </w:tcPr>
          <w:p>
            <w:pPr>
              <w:spacing w:line="320" w:lineRule="exact"/>
              <w:rPr>
                <w:rFonts w:asciiTheme="minorEastAsia" w:hAnsiTheme="minorEastAsia" w:eastAsiaTheme="minorEastAsia" w:cstheme="minorEastAsia"/>
                <w:kern w:val="0"/>
                <w:szCs w:val="21"/>
              </w:rPr>
            </w:pPr>
          </w:p>
          <w:p>
            <w:pPr>
              <w:spacing w:line="320" w:lineRule="exact"/>
              <w:rPr>
                <w:rFonts w:asciiTheme="minorEastAsia" w:hAnsiTheme="minorEastAsia" w:eastAsiaTheme="minorEastAsia" w:cstheme="minorEastAsia"/>
                <w:kern w:val="0"/>
                <w:szCs w:val="21"/>
              </w:rPr>
            </w:pPr>
          </w:p>
          <w:p>
            <w:pPr>
              <w:spacing w:line="320" w:lineRule="exact"/>
              <w:ind w:firstLine="380" w:firstLineChars="200"/>
              <w:rPr>
                <w:rFonts w:asciiTheme="minorEastAsia" w:hAnsiTheme="minorEastAsia" w:eastAsiaTheme="minorEastAsia" w:cstheme="minorEastAsia"/>
                <w:kern w:val="0"/>
                <w:szCs w:val="21"/>
              </w:rPr>
            </w:pPr>
            <w:r>
              <w:rPr>
                <w:rFonts w:hint="eastAsia"/>
                <w:spacing w:val="-5"/>
                <w:kern w:val="0"/>
                <w:sz w:val="20"/>
              </w:rPr>
              <w:t>偏差率计算</w:t>
            </w:r>
          </w:p>
        </w:tc>
        <w:tc>
          <w:tcPr>
            <w:tcW w:w="5530" w:type="dxa"/>
          </w:tcPr>
          <w:p>
            <w:pPr>
              <w:spacing w:line="400" w:lineRule="exact"/>
              <w:ind w:firstLine="420" w:firstLineChars="200"/>
              <w:rPr>
                <w:rFonts w:ascii="宋体" w:hAnsi="宋体" w:cs="宋体"/>
                <w:szCs w:val="21"/>
              </w:rPr>
            </w:pPr>
            <w:r>
              <w:rPr>
                <w:rFonts w:hint="eastAsia" w:ascii="宋体" w:hAnsi="宋体" w:cs="宋体"/>
                <w:szCs w:val="21"/>
              </w:rPr>
              <w:t>偏差率计算公式 偏差率=100％×（投标人报价一评标基准价）</w:t>
            </w:r>
            <w:r>
              <w:rPr>
                <w:rFonts w:hint="eastAsia" w:ascii="宋体" w:hAnsi="宋体" w:cs="宋体"/>
                <w:szCs w:val="21"/>
                <w:lang w:val="en-US" w:eastAsia="zh-CN"/>
              </w:rPr>
              <w:t>/</w:t>
            </w:r>
            <w:r>
              <w:rPr>
                <w:rFonts w:hint="eastAsia" w:ascii="宋体" w:hAnsi="宋体" w:cs="宋体"/>
                <w:szCs w:val="21"/>
              </w:rPr>
              <w:t xml:space="preserve">评标基准价 </w:t>
            </w:r>
          </w:p>
          <w:p>
            <w:pPr>
              <w:spacing w:line="400" w:lineRule="exact"/>
              <w:ind w:firstLine="420" w:firstLineChars="200"/>
              <w:rPr>
                <w:rFonts w:ascii="宋体" w:hAnsi="宋体" w:cs="宋体"/>
                <w:szCs w:val="21"/>
              </w:rPr>
            </w:pPr>
            <w:r>
              <w:rPr>
                <w:rFonts w:hint="eastAsia" w:ascii="宋体" w:hAnsi="宋体" w:cs="宋体"/>
                <w:szCs w:val="21"/>
              </w:rPr>
              <w:t xml:space="preserve">  偏差率计算的最终结果取小数点后两位，小数点后第三位“四舍五入”</w:t>
            </w:r>
            <w:r>
              <w:rPr>
                <w:rFonts w:hint="eastAsia"/>
                <w:lang w:eastAsia="zh-CN"/>
              </w:rPr>
              <w:t>（</w:t>
            </w:r>
            <w:r>
              <w:rPr>
                <w:rFonts w:hint="eastAsia"/>
                <w:lang w:val="en-US" w:eastAsia="zh-CN"/>
              </w:rPr>
              <w:t>线性计分</w:t>
            </w:r>
            <w:r>
              <w:rPr>
                <w:rFonts w:hint="eastAsia"/>
                <w:lang w:eastAsia="zh-CN"/>
              </w:rPr>
              <w:t>）</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rPr>
                <w:rFonts w:asciiTheme="minorEastAsia" w:hAnsiTheme="minorEastAsia" w:eastAsiaTheme="minorEastAsia" w:cstheme="minorEastAsia"/>
                <w:szCs w:val="21"/>
              </w:rPr>
            </w:pPr>
          </w:p>
        </w:tc>
        <w:tc>
          <w:tcPr>
            <w:tcW w:w="2128" w:type="dxa"/>
          </w:tcPr>
          <w:p>
            <w:pPr>
              <w:spacing w:line="320" w:lineRule="exact"/>
              <w:jc w:val="center"/>
              <w:rPr>
                <w:rFonts w:asciiTheme="minorEastAsia" w:hAnsiTheme="minorEastAsia" w:eastAsiaTheme="minorEastAsia" w:cstheme="minorEastAsia"/>
                <w:kern w:val="0"/>
                <w:szCs w:val="21"/>
              </w:rPr>
            </w:pPr>
          </w:p>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投标报价</w:t>
            </w:r>
          </w:p>
        </w:tc>
        <w:tc>
          <w:tcPr>
            <w:tcW w:w="5530" w:type="dxa"/>
          </w:tcPr>
          <w:p>
            <w:pPr>
              <w:spacing w:line="400" w:lineRule="exact"/>
              <w:ind w:firstLine="420" w:firstLineChars="200"/>
              <w:rPr>
                <w:rFonts w:ascii="宋体" w:hAnsi="宋体" w:cs="宋体"/>
                <w:szCs w:val="21"/>
              </w:rPr>
            </w:pPr>
            <w:r>
              <w:rPr>
                <w:rFonts w:hint="eastAsia" w:ascii="宋体" w:hAnsi="宋体" w:cs="宋体"/>
                <w:szCs w:val="21"/>
              </w:rPr>
              <w:t>投标总报价</w:t>
            </w:r>
            <w:r>
              <w:rPr>
                <w:rFonts w:hint="eastAsia" w:ascii="宋体" w:hAnsi="宋体" w:cs="宋体"/>
                <w:szCs w:val="21"/>
                <w:lang w:val="en-US" w:eastAsia="zh-CN"/>
              </w:rPr>
              <w:t>7</w:t>
            </w:r>
            <w:r>
              <w:rPr>
                <w:rFonts w:hint="eastAsia" w:ascii="宋体" w:hAnsi="宋体" w:cs="宋体"/>
                <w:szCs w:val="21"/>
              </w:rPr>
              <w:t>0分，各有效投标报价分别与评标基准价相比较，等于基准价得</w:t>
            </w:r>
            <w:r>
              <w:rPr>
                <w:rFonts w:hint="eastAsia" w:ascii="宋体" w:hAnsi="宋体" w:cs="宋体"/>
                <w:szCs w:val="21"/>
                <w:lang w:val="en-US" w:eastAsia="zh-CN"/>
              </w:rPr>
              <w:t>7</w:t>
            </w:r>
            <w:r>
              <w:rPr>
                <w:rFonts w:hint="eastAsia" w:ascii="宋体" w:hAnsi="宋体" w:cs="宋体"/>
                <w:szCs w:val="21"/>
              </w:rPr>
              <w:t>0分，每增加1%扣0.</w:t>
            </w:r>
            <w:r>
              <w:rPr>
                <w:rFonts w:hint="eastAsia" w:ascii="宋体" w:hAnsi="宋体" w:cs="宋体"/>
                <w:szCs w:val="21"/>
                <w:lang w:val="en-US" w:eastAsia="zh-CN"/>
              </w:rPr>
              <w:t>7</w:t>
            </w:r>
            <w:r>
              <w:rPr>
                <w:rFonts w:hint="eastAsia" w:ascii="宋体" w:hAnsi="宋体" w:cs="宋体"/>
                <w:szCs w:val="21"/>
              </w:rPr>
              <w:t>分；每减少1%扣0.3</w:t>
            </w:r>
            <w:r>
              <w:rPr>
                <w:rFonts w:hint="eastAsia" w:ascii="宋体" w:hAnsi="宋体" w:cs="宋体"/>
                <w:szCs w:val="21"/>
                <w:lang w:val="en-US" w:eastAsia="zh-CN"/>
              </w:rPr>
              <w:t>5</w:t>
            </w:r>
            <w:r>
              <w:rPr>
                <w:rFonts w:hint="eastAsia" w:ascii="宋体" w:hAnsi="宋体" w:cs="宋体"/>
                <w:szCs w:val="21"/>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w:t>
            </w:r>
          </w:p>
        </w:tc>
        <w:tc>
          <w:tcPr>
            <w:tcW w:w="1159" w:type="dxa"/>
            <w:vAlign w:val="center"/>
          </w:tcPr>
          <w:p>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商务部分（</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0分）</w:t>
            </w:r>
          </w:p>
        </w:tc>
        <w:tc>
          <w:tcPr>
            <w:tcW w:w="212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投标人业绩</w:t>
            </w:r>
          </w:p>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US" w:eastAsia="zh-CN"/>
              </w:rPr>
              <w:t>1</w:t>
            </w:r>
            <w:r>
              <w:rPr>
                <w:rFonts w:hint="eastAsia" w:asciiTheme="minorEastAsia" w:hAnsiTheme="minorEastAsia" w:eastAsiaTheme="minorEastAsia" w:cstheme="minorEastAsia"/>
                <w:szCs w:val="21"/>
              </w:rPr>
              <w:t>0分）</w:t>
            </w:r>
          </w:p>
        </w:tc>
        <w:tc>
          <w:tcPr>
            <w:tcW w:w="5530" w:type="dxa"/>
            <w:vAlign w:val="center"/>
          </w:tcPr>
          <w:p>
            <w:pPr>
              <w:numPr>
                <w:ilvl w:val="0"/>
                <w:numId w:val="4"/>
              </w:numPr>
              <w:spacing w:line="400" w:lineRule="exact"/>
              <w:ind w:firstLine="420" w:firstLineChars="200"/>
              <w:rPr>
                <w:rFonts w:hint="eastAsia" w:ascii="宋体" w:hAnsi="宋体" w:cs="宋体"/>
                <w:szCs w:val="21"/>
              </w:rPr>
            </w:pPr>
            <w:r>
              <w:rPr>
                <w:rFonts w:hint="eastAsia" w:ascii="宋体" w:hAnsi="宋体" w:cs="宋体"/>
                <w:szCs w:val="21"/>
              </w:rPr>
              <w:t>满足投标人资格要求基础业绩条件得</w:t>
            </w:r>
            <w:r>
              <w:rPr>
                <w:rFonts w:hint="eastAsia" w:ascii="宋体" w:hAnsi="宋体" w:cs="宋体"/>
                <w:szCs w:val="21"/>
                <w:lang w:val="en-US" w:eastAsia="zh-CN"/>
              </w:rPr>
              <w:t>6</w:t>
            </w:r>
            <w:r>
              <w:rPr>
                <w:rFonts w:hint="eastAsia" w:ascii="宋体" w:hAnsi="宋体" w:cs="宋体"/>
                <w:szCs w:val="21"/>
              </w:rPr>
              <w:t>分；</w:t>
            </w:r>
          </w:p>
          <w:p>
            <w:pPr>
              <w:numPr>
                <w:ilvl w:val="0"/>
                <w:numId w:val="4"/>
              </w:num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2</w:t>
            </w:r>
            <w:r>
              <w:rPr>
                <w:rFonts w:hint="eastAsia" w:ascii="宋体" w:hAnsi="宋体" w:cs="宋体"/>
                <w:szCs w:val="21"/>
                <w:lang w:val="en-US" w:eastAsia="zh-CN"/>
              </w:rPr>
              <w:t>020</w:t>
            </w:r>
            <w:r>
              <w:rPr>
                <w:rFonts w:hint="eastAsia" w:ascii="宋体" w:hAnsi="宋体" w:cs="宋体"/>
                <w:szCs w:val="21"/>
              </w:rPr>
              <w:t>年1月1日至投标截止日，每增加一个合同金额不低于</w:t>
            </w:r>
            <w:r>
              <w:rPr>
                <w:rFonts w:hint="eastAsia" w:ascii="宋体" w:hAnsi="宋体" w:cs="宋体"/>
                <w:szCs w:val="21"/>
                <w:lang w:val="en-US" w:eastAsia="zh-CN"/>
              </w:rPr>
              <w:t>20</w:t>
            </w:r>
            <w:r>
              <w:rPr>
                <w:rFonts w:hint="eastAsia" w:ascii="宋体" w:hAnsi="宋体" w:cs="宋体"/>
                <w:szCs w:val="21"/>
              </w:rPr>
              <w:t>万元的道路、桥梁、隧道工程视频拍摄业绩，得</w:t>
            </w:r>
            <w:r>
              <w:rPr>
                <w:rFonts w:hint="eastAsia" w:ascii="宋体" w:hAnsi="宋体" w:cs="宋体"/>
                <w:szCs w:val="21"/>
                <w:lang w:val="en-US" w:eastAsia="zh-CN"/>
              </w:rPr>
              <w:t>2</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lang w:val="en-US" w:eastAsia="zh-CN"/>
              </w:rPr>
              <w:t>满分4分</w:t>
            </w:r>
            <w:r>
              <w:rPr>
                <w:rFonts w:hint="eastAsia" w:ascii="宋体" w:hAnsi="宋体" w:cs="宋体"/>
                <w:szCs w:val="21"/>
                <w:lang w:eastAsia="zh-CN"/>
              </w:rPr>
              <w:t>）</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0" w:hRule="atLeast"/>
          <w:jc w:val="center"/>
        </w:trPr>
        <w:tc>
          <w:tcPr>
            <w:tcW w:w="898"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w:t>
            </w:r>
          </w:p>
        </w:tc>
        <w:tc>
          <w:tcPr>
            <w:tcW w:w="1159" w:type="dxa"/>
            <w:vMerge w:val="restart"/>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技术部分（20分）</w:t>
            </w:r>
          </w:p>
        </w:tc>
        <w:tc>
          <w:tcPr>
            <w:tcW w:w="212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项目实施方案</w:t>
            </w:r>
            <w:r>
              <w:rPr>
                <w:rFonts w:hint="eastAsia" w:asciiTheme="minorEastAsia" w:hAnsiTheme="minorEastAsia" w:eastAsiaTheme="minorEastAsia" w:cstheme="minorEastAsia"/>
                <w:szCs w:val="21"/>
              </w:rPr>
              <w:br w:type="textWrapping"/>
            </w:r>
            <w:r>
              <w:rPr>
                <w:rFonts w:hint="eastAsia" w:asciiTheme="minorEastAsia" w:hAnsiTheme="minorEastAsia" w:eastAsiaTheme="minorEastAsia" w:cstheme="minorEastAsia"/>
                <w:szCs w:val="21"/>
              </w:rPr>
              <w:t>（10分）</w:t>
            </w:r>
          </w:p>
        </w:tc>
        <w:tc>
          <w:tcPr>
            <w:tcW w:w="5530" w:type="dxa"/>
            <w:vAlign w:val="center"/>
          </w:tcPr>
          <w:p>
            <w:pPr>
              <w:spacing w:line="400" w:lineRule="exact"/>
              <w:ind w:firstLine="420" w:firstLineChars="200"/>
              <w:rPr>
                <w:rFonts w:hint="eastAsia" w:ascii="宋体" w:hAnsi="宋体" w:cs="宋体"/>
                <w:szCs w:val="21"/>
              </w:rPr>
            </w:pPr>
            <w:r>
              <w:rPr>
                <w:rFonts w:hint="eastAsia" w:ascii="宋体" w:hAnsi="宋体" w:cs="宋体"/>
                <w:szCs w:val="21"/>
              </w:rPr>
              <w:t>方案编制合理、可实施性高得10</w:t>
            </w:r>
            <w:r>
              <w:rPr>
                <w:rFonts w:hint="eastAsia"/>
              </w:rPr>
              <w:t>~</w:t>
            </w:r>
            <w:r>
              <w:rPr>
                <w:rFonts w:hint="eastAsia" w:ascii="宋体" w:hAnsi="宋体" w:cs="宋体"/>
                <w:szCs w:val="21"/>
                <w:lang w:val="en-US" w:eastAsia="zh-CN"/>
              </w:rPr>
              <w:t>8</w:t>
            </w:r>
            <w:r>
              <w:rPr>
                <w:rFonts w:hint="eastAsia" w:ascii="宋体" w:hAnsi="宋体" w:cs="宋体"/>
                <w:szCs w:val="21"/>
              </w:rPr>
              <w:t>分；</w:t>
            </w:r>
          </w:p>
          <w:p>
            <w:pPr>
              <w:spacing w:line="400" w:lineRule="exact"/>
              <w:ind w:firstLine="420" w:firstLineChars="200"/>
              <w:rPr>
                <w:rFonts w:hint="eastAsia" w:ascii="宋体" w:hAnsi="宋体" w:cs="宋体"/>
                <w:szCs w:val="21"/>
              </w:rPr>
            </w:pPr>
            <w:r>
              <w:rPr>
                <w:rFonts w:hint="eastAsia" w:ascii="宋体" w:hAnsi="宋体" w:cs="宋体"/>
                <w:szCs w:val="21"/>
              </w:rPr>
              <w:t>方案编制较为合理、可实施性一般得8</w:t>
            </w:r>
            <w:r>
              <w:rPr>
                <w:rFonts w:hint="eastAsia"/>
              </w:rPr>
              <w:t>~</w:t>
            </w:r>
            <w:r>
              <w:rPr>
                <w:rFonts w:hint="eastAsia" w:ascii="宋体" w:hAnsi="宋体" w:cs="宋体"/>
                <w:szCs w:val="21"/>
              </w:rPr>
              <w:t>6分</w:t>
            </w:r>
            <w:r>
              <w:rPr>
                <w:rFonts w:hint="eastAsia"/>
              </w:rPr>
              <w:t>；</w:t>
            </w:r>
          </w:p>
          <w:p>
            <w:pPr>
              <w:spacing w:line="400" w:lineRule="exact"/>
              <w:ind w:firstLine="420" w:firstLineChars="200"/>
              <w:rPr>
                <w:rFonts w:hint="eastAsia" w:ascii="宋体" w:hAnsi="宋体" w:cs="宋体"/>
                <w:szCs w:val="21"/>
              </w:rPr>
            </w:pPr>
            <w:r>
              <w:rPr>
                <w:rFonts w:hint="eastAsia" w:ascii="宋体" w:hAnsi="宋体" w:cs="宋体"/>
                <w:szCs w:val="21"/>
              </w:rPr>
              <w:t>方案编制不合理、可实施性较低得6</w:t>
            </w:r>
            <w:r>
              <w:rPr>
                <w:rFonts w:hint="eastAsia"/>
              </w:rPr>
              <w:t>~</w:t>
            </w:r>
            <w:r>
              <w:rPr>
                <w:rFonts w:hint="eastAsia" w:ascii="宋体" w:hAnsi="宋体" w:cs="宋体"/>
                <w:szCs w:val="21"/>
                <w:lang w:val="en-US" w:eastAsia="zh-CN"/>
              </w:rPr>
              <w:t>4</w:t>
            </w:r>
            <w:r>
              <w:rPr>
                <w:rFonts w:hint="eastAsia" w:ascii="宋体" w:hAnsi="宋体" w:cs="宋体"/>
                <w:szCs w:val="21"/>
              </w:rPr>
              <w:t>分</w:t>
            </w:r>
            <w:r>
              <w:rPr>
                <w:rFonts w:hint="eastAsia"/>
              </w:rPr>
              <w:t>；</w:t>
            </w:r>
          </w:p>
          <w:p>
            <w:pPr>
              <w:spacing w:line="400" w:lineRule="exact"/>
              <w:ind w:firstLine="420" w:firstLineChars="200"/>
              <w:rPr>
                <w:rFonts w:ascii="宋体" w:hAnsi="宋体" w:cs="宋体"/>
                <w:szCs w:val="21"/>
              </w:rPr>
            </w:pPr>
            <w:r>
              <w:rPr>
                <w:rFonts w:hint="eastAsia" w:ascii="宋体" w:hAnsi="宋体" w:cs="宋体"/>
                <w:szCs w:val="21"/>
              </w:rPr>
              <w:t>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2" w:hRule="atLeast"/>
          <w:jc w:val="center"/>
        </w:trPr>
        <w:tc>
          <w:tcPr>
            <w:tcW w:w="898" w:type="dxa"/>
            <w:vMerge w:val="continue"/>
            <w:vAlign w:val="center"/>
          </w:tcPr>
          <w:p>
            <w:pPr>
              <w:spacing w:line="320" w:lineRule="exact"/>
              <w:jc w:val="center"/>
              <w:rPr>
                <w:rFonts w:asciiTheme="minorEastAsia" w:hAnsiTheme="minorEastAsia" w:eastAsiaTheme="minorEastAsia" w:cstheme="minorEastAsia"/>
                <w:szCs w:val="21"/>
              </w:rPr>
            </w:pPr>
          </w:p>
        </w:tc>
        <w:tc>
          <w:tcPr>
            <w:tcW w:w="1159" w:type="dxa"/>
            <w:vMerge w:val="continue"/>
            <w:vAlign w:val="center"/>
          </w:tcPr>
          <w:p>
            <w:pPr>
              <w:spacing w:line="320" w:lineRule="exact"/>
              <w:jc w:val="center"/>
              <w:rPr>
                <w:rFonts w:asciiTheme="minorEastAsia" w:hAnsiTheme="minorEastAsia" w:eastAsiaTheme="minorEastAsia" w:cstheme="minorEastAsia"/>
                <w:szCs w:val="21"/>
              </w:rPr>
            </w:pPr>
          </w:p>
        </w:tc>
        <w:tc>
          <w:tcPr>
            <w:tcW w:w="2128" w:type="dxa"/>
            <w:vAlign w:val="center"/>
          </w:tcPr>
          <w:p>
            <w:pPr>
              <w:spacing w:line="32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现场勘察报告</w:t>
            </w:r>
          </w:p>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（10分）</w:t>
            </w:r>
          </w:p>
        </w:tc>
        <w:tc>
          <w:tcPr>
            <w:tcW w:w="5530" w:type="dxa"/>
            <w:vAlign w:val="center"/>
          </w:tcPr>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报告编制合理、项目情况描述准确，得10~</w:t>
            </w:r>
            <w:r>
              <w:rPr>
                <w:rFonts w:hint="eastAsia" w:ascii="宋体" w:hAnsi="宋体" w:eastAsia="宋体" w:cs="宋体"/>
                <w:szCs w:val="21"/>
                <w:lang w:val="en-US" w:eastAsia="zh-CN"/>
              </w:rPr>
              <w:t>8</w:t>
            </w:r>
            <w:r>
              <w:rPr>
                <w:rFonts w:hint="eastAsia" w:ascii="宋体" w:hAnsi="宋体" w:eastAsia="宋体" w:cs="宋体"/>
                <w:szCs w:val="21"/>
              </w:rPr>
              <w:t>分；</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报告编制较为合理、项目情况描述一般得</w:t>
            </w:r>
            <w:r>
              <w:rPr>
                <w:rFonts w:hint="eastAsia" w:ascii="宋体" w:hAnsi="宋体" w:eastAsia="宋体" w:cs="宋体"/>
                <w:szCs w:val="21"/>
                <w:lang w:val="en-US" w:eastAsia="zh-CN"/>
              </w:rPr>
              <w:t>8</w:t>
            </w:r>
            <w:r>
              <w:rPr>
                <w:rFonts w:hint="eastAsia" w:ascii="宋体" w:hAnsi="宋体" w:eastAsia="宋体" w:cs="宋体"/>
                <w:szCs w:val="21"/>
              </w:rPr>
              <w:t>~</w:t>
            </w:r>
            <w:r>
              <w:rPr>
                <w:rFonts w:hint="eastAsia" w:ascii="宋体" w:hAnsi="宋体" w:eastAsia="宋体" w:cs="宋体"/>
                <w:szCs w:val="21"/>
                <w:lang w:val="en-US" w:eastAsia="zh-CN"/>
              </w:rPr>
              <w:t>6</w:t>
            </w:r>
            <w:r>
              <w:rPr>
                <w:rFonts w:hint="eastAsia" w:ascii="宋体" w:hAnsi="宋体" w:eastAsia="宋体" w:cs="宋体"/>
                <w:szCs w:val="21"/>
              </w:rPr>
              <w:t>分；</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报告编制不合理、项目情况描述错误得</w:t>
            </w:r>
            <w:r>
              <w:rPr>
                <w:rFonts w:hint="eastAsia" w:ascii="宋体" w:hAnsi="宋体" w:eastAsia="宋体" w:cs="宋体"/>
                <w:szCs w:val="21"/>
                <w:lang w:val="en-US" w:eastAsia="zh-CN"/>
              </w:rPr>
              <w:t>6</w:t>
            </w:r>
            <w:r>
              <w:rPr>
                <w:rFonts w:hint="eastAsia" w:ascii="宋体" w:hAnsi="宋体" w:eastAsia="宋体" w:cs="宋体"/>
                <w:szCs w:val="21"/>
              </w:rPr>
              <w:t>~</w:t>
            </w:r>
            <w:r>
              <w:rPr>
                <w:rFonts w:hint="eastAsia" w:ascii="宋体" w:hAnsi="宋体" w:eastAsia="宋体" w:cs="宋体"/>
                <w:szCs w:val="21"/>
                <w:lang w:val="en-US" w:eastAsia="zh-CN"/>
              </w:rPr>
              <w:t>4</w:t>
            </w:r>
            <w:r>
              <w:rPr>
                <w:rFonts w:hint="eastAsia" w:ascii="宋体" w:hAnsi="宋体" w:eastAsia="宋体" w:cs="宋体"/>
                <w:szCs w:val="21"/>
              </w:rPr>
              <w:t>分；</w:t>
            </w:r>
          </w:p>
          <w:p>
            <w:pPr>
              <w:spacing w:line="400" w:lineRule="exact"/>
              <w:ind w:firstLine="420" w:firstLineChars="200"/>
              <w:rPr>
                <w:rFonts w:hint="eastAsia" w:ascii="宋体" w:hAnsi="宋体" w:eastAsia="宋体" w:cs="宋体"/>
                <w:szCs w:val="21"/>
              </w:rPr>
            </w:pPr>
            <w:r>
              <w:rPr>
                <w:rFonts w:hint="eastAsia" w:ascii="宋体" w:hAnsi="宋体" w:eastAsia="宋体" w:cs="宋体"/>
                <w:szCs w:val="21"/>
              </w:rPr>
              <w:t>缺项得0分。</w:t>
            </w:r>
          </w:p>
          <w:p>
            <w:pPr>
              <w:pStyle w:val="2"/>
              <w:ind w:firstLine="420" w:firstLineChars="200"/>
            </w:pPr>
            <w:r>
              <w:rPr>
                <w:rFonts w:hint="eastAsia" w:ascii="宋体" w:hAnsi="宋体" w:cs="宋体"/>
                <w:kern w:val="2"/>
                <w:sz w:val="21"/>
                <w:szCs w:val="21"/>
              </w:rPr>
              <w:t>注：报价人需提供本项目现场勘察视频样片（需要包含路基、桥梁、隧道、互通工程，带水印），若无则视为报价人未对现场实地勘察，本项得零分。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89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条款号</w:t>
            </w:r>
          </w:p>
        </w:tc>
        <w:tc>
          <w:tcPr>
            <w:tcW w:w="3287" w:type="dxa"/>
            <w:gridSpan w:val="2"/>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kern w:val="0"/>
                <w:szCs w:val="21"/>
              </w:rPr>
              <w:t>条款名称</w:t>
            </w:r>
          </w:p>
        </w:tc>
        <w:tc>
          <w:tcPr>
            <w:tcW w:w="5530" w:type="dxa"/>
            <w:vAlign w:val="center"/>
          </w:tcPr>
          <w:p>
            <w:pPr>
              <w:spacing w:line="400" w:lineRule="exact"/>
              <w:ind w:firstLine="420" w:firstLineChars="200"/>
              <w:rPr>
                <w:rFonts w:ascii="宋体" w:hAnsi="宋体" w:cs="宋体"/>
                <w:szCs w:val="21"/>
              </w:rPr>
            </w:pPr>
            <w:r>
              <w:rPr>
                <w:rFonts w:hint="eastAsia" w:ascii="宋体" w:hAnsi="宋体" w:cs="宋体"/>
                <w:szCs w:val="21"/>
              </w:rPr>
              <w:t xml:space="preserve">编列内容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jc w:val="center"/>
        </w:trPr>
        <w:tc>
          <w:tcPr>
            <w:tcW w:w="89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3287" w:type="dxa"/>
            <w:gridSpan w:val="2"/>
            <w:vAlign w:val="center"/>
          </w:tcPr>
          <w:p>
            <w:pPr>
              <w:spacing w:line="320" w:lineRule="exact"/>
              <w:jc w:val="center"/>
              <w:rPr>
                <w:rFonts w:asciiTheme="minorEastAsia" w:hAnsiTheme="minorEastAsia" w:eastAsiaTheme="minorEastAsia" w:cstheme="minorEastAsia"/>
                <w:szCs w:val="21"/>
              </w:rPr>
            </w:pPr>
            <w:r>
              <w:rPr>
                <w:rFonts w:hint="eastAsia"/>
                <w:spacing w:val="-5"/>
                <w:kern w:val="0"/>
                <w:sz w:val="20"/>
              </w:rPr>
              <w:t>评标程序</w:t>
            </w:r>
          </w:p>
        </w:tc>
        <w:tc>
          <w:tcPr>
            <w:tcW w:w="5530" w:type="dxa"/>
            <w:vAlign w:val="center"/>
          </w:tcPr>
          <w:p>
            <w:pPr>
              <w:pStyle w:val="168"/>
              <w:spacing w:before="70" w:line="320" w:lineRule="exact"/>
              <w:ind w:left="119" w:right="83" w:firstLine="420"/>
              <w:rPr>
                <w:rFonts w:ascii="宋体" w:hAnsi="宋体" w:cs="宋体"/>
                <w:szCs w:val="21"/>
              </w:rPr>
            </w:pPr>
            <w:r>
              <w:rPr>
                <w:rFonts w:hint="eastAsia" w:ascii="宋体" w:hAnsi="宋体" w:cs="宋体"/>
                <w:szCs w:val="21"/>
              </w:rPr>
              <w:t xml:space="preserve">1.按本章评标办法第2.1款、2.2款及2.3款进行初步评审，未通过初步评审或评标委员会认定为无效的投标文件的不再进行后续评审。 </w:t>
            </w:r>
          </w:p>
          <w:p>
            <w:pPr>
              <w:pStyle w:val="168"/>
              <w:spacing w:before="42" w:line="320" w:lineRule="exact"/>
              <w:ind w:left="119" w:right="72" w:firstLine="420"/>
              <w:rPr>
                <w:rFonts w:ascii="宋体" w:hAnsi="宋体" w:cs="宋体"/>
                <w:szCs w:val="21"/>
              </w:rPr>
            </w:pPr>
            <w:r>
              <w:rPr>
                <w:rFonts w:hint="eastAsia" w:ascii="宋体" w:hAnsi="宋体" w:cs="宋体"/>
                <w:szCs w:val="21"/>
              </w:rPr>
              <w:t>2.按本章评标办法前附表第3.1款的规定进行报价投标报价部分评审；</w:t>
            </w:r>
          </w:p>
          <w:p>
            <w:pPr>
              <w:pStyle w:val="168"/>
              <w:spacing w:before="15" w:line="320" w:lineRule="exact"/>
              <w:ind w:left="119" w:right="72" w:firstLine="420"/>
              <w:rPr>
                <w:rFonts w:ascii="宋体" w:hAnsi="宋体" w:cs="宋体"/>
                <w:szCs w:val="21"/>
              </w:rPr>
            </w:pPr>
            <w:r>
              <w:rPr>
                <w:rFonts w:hint="eastAsia" w:ascii="宋体" w:hAnsi="宋体" w:cs="宋体"/>
                <w:szCs w:val="21"/>
              </w:rPr>
              <w:t>3.按本章评标办法前附表第3.2款的规定进行商务部分的评审；</w:t>
            </w:r>
          </w:p>
          <w:p>
            <w:pPr>
              <w:pStyle w:val="168"/>
              <w:spacing w:before="15" w:line="320" w:lineRule="exact"/>
              <w:ind w:left="119" w:right="72" w:firstLine="420"/>
              <w:rPr>
                <w:rFonts w:ascii="宋体" w:hAnsi="宋体" w:cs="宋体"/>
                <w:szCs w:val="21"/>
              </w:rPr>
            </w:pPr>
            <w:r>
              <w:rPr>
                <w:rFonts w:hint="eastAsia" w:ascii="宋体" w:hAnsi="宋体" w:cs="宋体"/>
                <w:szCs w:val="21"/>
              </w:rPr>
              <w:t>4.按本章评标办法前附表第 3.3款的规定进行技术部分的评审；</w:t>
            </w:r>
          </w:p>
          <w:p>
            <w:pPr>
              <w:pStyle w:val="168"/>
              <w:spacing w:before="42" w:line="320" w:lineRule="exact"/>
              <w:ind w:left="119" w:right="-23" w:firstLine="420"/>
              <w:rPr>
                <w:rFonts w:ascii="宋体" w:hAnsi="宋体" w:cs="宋体"/>
                <w:szCs w:val="21"/>
              </w:rPr>
            </w:pPr>
            <w:r>
              <w:rPr>
                <w:rFonts w:hint="eastAsia" w:ascii="宋体" w:hAnsi="宋体" w:cs="宋体"/>
                <w:szCs w:val="21"/>
              </w:rPr>
              <w:t xml:space="preserve">5.因评标委员会作否决投标处理导致有效投标人不足三个的，评标委员会 应当否决所有投标。但是有效投标人的经济、技术等指标仍然具有市场竞争力， 能够满足采购文件要求的，评标委员会可以继续评标并确定中标候选人。 </w:t>
            </w:r>
          </w:p>
          <w:p>
            <w:pPr>
              <w:pStyle w:val="168"/>
              <w:spacing w:before="47" w:line="320" w:lineRule="exact"/>
              <w:ind w:left="119" w:firstLine="420"/>
              <w:rPr>
                <w:rFonts w:ascii="宋体" w:hAnsi="宋体" w:cs="宋体"/>
                <w:szCs w:val="21"/>
              </w:rPr>
            </w:pPr>
            <w:r>
              <w:rPr>
                <w:rFonts w:hint="eastAsia" w:ascii="宋体" w:hAnsi="宋体" w:cs="宋体"/>
                <w:szCs w:val="21"/>
              </w:rPr>
              <w:t xml:space="preserve">6.对技术部分、商务部分、投标总报价得分进行汇总，确定得分由高至低前 2名投标人为中标候选人。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atLeast"/>
          <w:jc w:val="center"/>
        </w:trPr>
        <w:tc>
          <w:tcPr>
            <w:tcW w:w="898" w:type="dxa"/>
            <w:vAlign w:val="center"/>
          </w:tcPr>
          <w:p>
            <w:pPr>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3287" w:type="dxa"/>
            <w:gridSpan w:val="2"/>
            <w:vAlign w:val="center"/>
          </w:tcPr>
          <w:p>
            <w:pPr>
              <w:spacing w:line="320" w:lineRule="exact"/>
              <w:jc w:val="center"/>
              <w:rPr>
                <w:rFonts w:asciiTheme="minorEastAsia" w:hAnsiTheme="minorEastAsia" w:eastAsiaTheme="minorEastAsia" w:cstheme="minorEastAsia"/>
                <w:szCs w:val="21"/>
              </w:rPr>
            </w:pPr>
            <w:r>
              <w:rPr>
                <w:rFonts w:hint="eastAsia"/>
                <w:spacing w:val="-5"/>
                <w:kern w:val="0"/>
                <w:sz w:val="20"/>
              </w:rPr>
              <w:t>投标人得分</w:t>
            </w:r>
          </w:p>
        </w:tc>
        <w:tc>
          <w:tcPr>
            <w:tcW w:w="5530" w:type="dxa"/>
            <w:vAlign w:val="center"/>
          </w:tcPr>
          <w:p>
            <w:pPr>
              <w:spacing w:line="400" w:lineRule="exact"/>
              <w:ind w:firstLine="420" w:firstLineChars="200"/>
              <w:rPr>
                <w:rFonts w:ascii="宋体" w:hAnsi="宋体" w:cs="宋体"/>
                <w:szCs w:val="21"/>
              </w:rPr>
            </w:pPr>
            <w:r>
              <w:rPr>
                <w:rFonts w:hint="eastAsia" w:ascii="宋体" w:hAnsi="宋体" w:cs="宋体"/>
                <w:szCs w:val="21"/>
              </w:rPr>
              <w:t>投标人得分=投标报价得分+商务部分得分+技术部分得分</w:t>
            </w:r>
          </w:p>
        </w:tc>
      </w:tr>
    </w:tbl>
    <w:p>
      <w:pPr>
        <w:pStyle w:val="9"/>
        <w:spacing w:line="418" w:lineRule="exact"/>
        <w:ind w:left="0" w:firstLine="0"/>
        <w:rPr>
          <w:rFonts w:ascii="宋体" w:hAnsi="宋体" w:eastAsia="宋体" w:cs="宋体"/>
          <w:kern w:val="2"/>
          <w:sz w:val="21"/>
          <w:szCs w:val="21"/>
        </w:rPr>
      </w:pPr>
      <w:r>
        <w:rPr>
          <w:rFonts w:hint="eastAsia" w:ascii="宋体" w:hAnsi="宋体" w:eastAsia="宋体" w:cs="宋体"/>
          <w:kern w:val="2"/>
          <w:sz w:val="21"/>
          <w:szCs w:val="21"/>
        </w:rPr>
        <w:t xml:space="preserve">1. 评标方法 </w:t>
      </w:r>
    </w:p>
    <w:p>
      <w:pPr>
        <w:pStyle w:val="2"/>
        <w:spacing w:before="119" w:line="352" w:lineRule="auto"/>
        <w:ind w:firstLine="420" w:firstLineChars="200"/>
        <w:rPr>
          <w:rFonts w:ascii="宋体" w:hAnsi="宋体" w:cs="宋体"/>
          <w:kern w:val="2"/>
          <w:sz w:val="21"/>
          <w:szCs w:val="21"/>
        </w:rPr>
      </w:pPr>
      <w:r>
        <w:rPr>
          <w:rFonts w:hint="eastAsia" w:ascii="宋体" w:hAnsi="宋体" w:cs="宋体"/>
          <w:kern w:val="2"/>
          <w:sz w:val="21"/>
          <w:szCs w:val="21"/>
        </w:rPr>
        <w:t xml:space="preserve">本次评标采用综合评分法。评标委员会按照本章评标办法前附表规定的评分标准进行打分，按得分由高到 低顺序推荐中标候选人，若出现投标人投标报价相同的，以评标办法前附表约定的原则确定排序。 </w:t>
      </w:r>
    </w:p>
    <w:p>
      <w:pPr>
        <w:pStyle w:val="9"/>
        <w:spacing w:before="56"/>
        <w:rPr>
          <w:rFonts w:ascii="宋体" w:hAnsi="宋体" w:eastAsia="宋体" w:cs="宋体"/>
          <w:kern w:val="2"/>
          <w:sz w:val="21"/>
          <w:szCs w:val="21"/>
        </w:rPr>
      </w:pPr>
      <w:bookmarkStart w:id="133" w:name="2._评审标准"/>
      <w:bookmarkEnd w:id="133"/>
      <w:r>
        <w:rPr>
          <w:rFonts w:hint="eastAsia" w:ascii="宋体" w:hAnsi="宋体" w:eastAsia="宋体" w:cs="宋体"/>
          <w:kern w:val="2"/>
          <w:sz w:val="21"/>
          <w:szCs w:val="21"/>
        </w:rPr>
        <w:t xml:space="preserve">2. 评审标准 </w:t>
      </w:r>
    </w:p>
    <w:p>
      <w:pPr>
        <w:spacing w:before="156"/>
        <w:ind w:left="106"/>
        <w:rPr>
          <w:rFonts w:ascii="宋体" w:hAnsi="宋体" w:cs="宋体"/>
          <w:szCs w:val="21"/>
        </w:rPr>
      </w:pPr>
      <w:bookmarkStart w:id="134" w:name="2.1_初步评审标准"/>
      <w:bookmarkEnd w:id="134"/>
      <w:r>
        <w:rPr>
          <w:rFonts w:hint="eastAsia" w:ascii="宋体" w:hAnsi="宋体" w:cs="宋体"/>
          <w:szCs w:val="21"/>
        </w:rPr>
        <w:t xml:space="preserve">2.1 初步评审标准 </w:t>
      </w:r>
    </w:p>
    <w:p>
      <w:pPr>
        <w:pStyle w:val="2"/>
        <w:spacing w:before="61"/>
        <w:ind w:left="647"/>
        <w:rPr>
          <w:rFonts w:ascii="宋体" w:hAnsi="宋体" w:cs="宋体"/>
          <w:caps/>
          <w:kern w:val="2"/>
          <w:sz w:val="21"/>
          <w:szCs w:val="21"/>
        </w:rPr>
      </w:pPr>
      <w:r>
        <w:rPr>
          <w:rFonts w:hint="eastAsia" w:ascii="宋体" w:hAnsi="宋体" w:cs="宋体"/>
          <w:caps/>
          <w:kern w:val="2"/>
          <w:sz w:val="21"/>
          <w:szCs w:val="21"/>
        </w:rPr>
        <w:t xml:space="preserve">2.1.1 资格评审标准：见评标办法前附表。 </w:t>
      </w:r>
    </w:p>
    <w:p>
      <w:pPr>
        <w:pStyle w:val="2"/>
        <w:spacing w:before="130"/>
        <w:ind w:left="647"/>
        <w:rPr>
          <w:rFonts w:ascii="宋体" w:hAnsi="宋体" w:cs="宋体"/>
          <w:caps/>
          <w:kern w:val="2"/>
          <w:sz w:val="21"/>
          <w:szCs w:val="21"/>
        </w:rPr>
      </w:pPr>
      <w:r>
        <w:rPr>
          <w:rFonts w:hint="eastAsia" w:ascii="宋体" w:hAnsi="宋体" w:cs="宋体"/>
          <w:caps/>
          <w:kern w:val="2"/>
          <w:sz w:val="21"/>
          <w:szCs w:val="21"/>
        </w:rPr>
        <w:t xml:space="preserve">2.1.2 形式评审标准：见评标办法前附表。 </w:t>
      </w:r>
    </w:p>
    <w:p>
      <w:pPr>
        <w:pStyle w:val="2"/>
        <w:spacing w:before="130"/>
        <w:ind w:left="647"/>
        <w:rPr>
          <w:rFonts w:ascii="宋体" w:hAnsi="宋体" w:cs="宋体"/>
          <w:caps/>
          <w:kern w:val="2"/>
          <w:sz w:val="21"/>
          <w:szCs w:val="21"/>
        </w:rPr>
      </w:pPr>
      <w:r>
        <w:rPr>
          <w:rFonts w:hint="eastAsia" w:ascii="宋体" w:hAnsi="宋体" w:cs="宋体"/>
          <w:caps/>
          <w:kern w:val="2"/>
          <w:sz w:val="21"/>
          <w:szCs w:val="21"/>
        </w:rPr>
        <w:t xml:space="preserve">2.1.3 响应性评审标准：见评标办法前附表。 </w:t>
      </w:r>
    </w:p>
    <w:p>
      <w:pPr>
        <w:rPr>
          <w:rFonts w:ascii="宋体" w:hAnsi="宋体" w:cs="宋体"/>
          <w:caps/>
          <w:szCs w:val="21"/>
        </w:rPr>
      </w:pPr>
    </w:p>
    <w:p>
      <w:pPr>
        <w:ind w:left="106"/>
        <w:rPr>
          <w:rFonts w:ascii="宋体" w:hAnsi="宋体" w:cs="宋体"/>
          <w:caps/>
          <w:szCs w:val="21"/>
        </w:rPr>
      </w:pPr>
      <w:bookmarkStart w:id="135" w:name="2.2_分值构成与评分标准"/>
      <w:bookmarkEnd w:id="135"/>
      <w:r>
        <w:rPr>
          <w:rFonts w:hint="eastAsia" w:ascii="宋体" w:hAnsi="宋体" w:cs="宋体"/>
          <w:caps/>
          <w:szCs w:val="21"/>
        </w:rPr>
        <w:t xml:space="preserve">2.2 分值构成与评分标准 </w:t>
      </w:r>
    </w:p>
    <w:p>
      <w:pPr>
        <w:pStyle w:val="2"/>
        <w:spacing w:before="62"/>
        <w:ind w:left="632"/>
        <w:rPr>
          <w:rFonts w:ascii="宋体" w:hAnsi="宋体" w:cs="宋体"/>
          <w:caps/>
          <w:kern w:val="2"/>
          <w:sz w:val="21"/>
          <w:szCs w:val="21"/>
        </w:rPr>
      </w:pPr>
      <w:r>
        <w:rPr>
          <w:rFonts w:hint="eastAsia" w:ascii="宋体" w:hAnsi="宋体" w:cs="宋体"/>
          <w:caps/>
          <w:kern w:val="2"/>
          <w:sz w:val="21"/>
          <w:szCs w:val="21"/>
        </w:rPr>
        <w:t xml:space="preserve">2.2.1 分值构成 </w:t>
      </w:r>
    </w:p>
    <w:p>
      <w:pPr>
        <w:pStyle w:val="2"/>
        <w:spacing w:before="130"/>
        <w:ind w:left="526"/>
        <w:rPr>
          <w:rFonts w:ascii="宋体" w:hAnsi="宋体" w:cs="宋体"/>
          <w:caps/>
          <w:kern w:val="2"/>
          <w:sz w:val="21"/>
          <w:szCs w:val="21"/>
        </w:rPr>
      </w:pPr>
      <w:r>
        <w:rPr>
          <w:rFonts w:hint="eastAsia" w:ascii="宋体" w:hAnsi="宋体" w:cs="宋体"/>
          <w:caps/>
          <w:kern w:val="2"/>
          <w:sz w:val="21"/>
          <w:szCs w:val="21"/>
        </w:rPr>
        <w:t xml:space="preserve">（1）技术部分：见评标办法前附表； </w:t>
      </w:r>
    </w:p>
    <w:p>
      <w:pPr>
        <w:pStyle w:val="2"/>
        <w:spacing w:before="145"/>
        <w:ind w:left="526"/>
        <w:rPr>
          <w:rFonts w:ascii="宋体" w:hAnsi="宋体" w:cs="宋体"/>
          <w:caps/>
          <w:kern w:val="2"/>
          <w:sz w:val="21"/>
          <w:szCs w:val="21"/>
        </w:rPr>
      </w:pPr>
      <w:r>
        <w:rPr>
          <w:rFonts w:hint="eastAsia" w:ascii="宋体" w:hAnsi="宋体" w:cs="宋体"/>
          <w:caps/>
          <w:kern w:val="2"/>
          <w:sz w:val="21"/>
          <w:szCs w:val="21"/>
        </w:rPr>
        <w:t xml:space="preserve">（2）商务部分：见评标办法前附表； </w:t>
      </w:r>
    </w:p>
    <w:p>
      <w:pPr>
        <w:pStyle w:val="2"/>
        <w:spacing w:before="29" w:line="367" w:lineRule="auto"/>
        <w:ind w:firstLine="526"/>
        <w:rPr>
          <w:rFonts w:ascii="宋体" w:hAnsi="宋体" w:cs="宋体"/>
          <w:caps/>
          <w:kern w:val="2"/>
          <w:sz w:val="21"/>
          <w:szCs w:val="21"/>
        </w:rPr>
      </w:pPr>
      <w:r>
        <w:rPr>
          <w:rFonts w:hint="eastAsia" w:ascii="宋体" w:hAnsi="宋体" w:cs="宋体"/>
          <w:caps/>
          <w:kern w:val="2"/>
          <w:sz w:val="21"/>
          <w:szCs w:val="21"/>
        </w:rPr>
        <w:t>（3）投标总报价：见评标办法前附表。</w:t>
      </w:r>
    </w:p>
    <w:p>
      <w:pPr>
        <w:pStyle w:val="2"/>
        <w:spacing w:before="145" w:line="355" w:lineRule="auto"/>
        <w:ind w:left="632" w:right="5004" w:hanging="106"/>
        <w:rPr>
          <w:rFonts w:ascii="宋体" w:hAnsi="宋体" w:cs="宋体"/>
          <w:caps/>
          <w:kern w:val="2"/>
          <w:sz w:val="21"/>
          <w:szCs w:val="21"/>
        </w:rPr>
      </w:pPr>
      <w:r>
        <w:rPr>
          <w:rFonts w:hint="eastAsia" w:ascii="宋体" w:hAnsi="宋体" w:cs="宋体"/>
          <w:caps/>
          <w:kern w:val="2"/>
          <w:sz w:val="21"/>
          <w:szCs w:val="21"/>
        </w:rPr>
        <w:t xml:space="preserve"> 2.2.2 评审标准 </w:t>
      </w:r>
    </w:p>
    <w:p>
      <w:pPr>
        <w:pStyle w:val="2"/>
        <w:spacing w:before="29" w:line="367" w:lineRule="auto"/>
        <w:ind w:firstLine="526"/>
        <w:rPr>
          <w:rFonts w:ascii="宋体" w:hAnsi="宋体" w:cs="宋体"/>
          <w:caps/>
          <w:kern w:val="2"/>
          <w:sz w:val="21"/>
          <w:szCs w:val="21"/>
        </w:rPr>
      </w:pPr>
      <w:r>
        <w:rPr>
          <w:rFonts w:hint="eastAsia" w:ascii="宋体" w:hAnsi="宋体" w:cs="宋体"/>
          <w:caps/>
          <w:kern w:val="2"/>
          <w:sz w:val="21"/>
          <w:szCs w:val="21"/>
        </w:rPr>
        <w:t xml:space="preserve">（1）技术部分评分标准：见评标办法前附表；（对于施工难度大、专业技术复杂的项目，应由招 标人会同设计单位提出技术方案方案编写要点，作为评分标准）。 </w:t>
      </w:r>
    </w:p>
    <w:p>
      <w:pPr>
        <w:pStyle w:val="2"/>
        <w:spacing w:before="19"/>
        <w:ind w:left="647"/>
        <w:rPr>
          <w:rFonts w:ascii="宋体" w:hAnsi="宋体" w:cs="宋体"/>
          <w:caps/>
          <w:kern w:val="2"/>
          <w:sz w:val="21"/>
          <w:szCs w:val="21"/>
        </w:rPr>
      </w:pPr>
      <w:r>
        <w:rPr>
          <w:rFonts w:hint="eastAsia" w:ascii="宋体" w:hAnsi="宋体" w:cs="宋体"/>
          <w:caps/>
          <w:kern w:val="2"/>
          <w:sz w:val="21"/>
          <w:szCs w:val="21"/>
        </w:rPr>
        <w:t xml:space="preserve">（2） 商务部分评分标准：见评标办法前附表； </w:t>
      </w:r>
    </w:p>
    <w:p>
      <w:pPr>
        <w:pStyle w:val="2"/>
        <w:spacing w:before="130" w:line="360" w:lineRule="auto"/>
        <w:ind w:left="647" w:right="2891"/>
        <w:rPr>
          <w:rFonts w:ascii="宋体" w:hAnsi="宋体" w:cs="宋体"/>
          <w:caps/>
          <w:kern w:val="2"/>
          <w:sz w:val="21"/>
          <w:szCs w:val="21"/>
        </w:rPr>
      </w:pPr>
      <w:r>
        <w:rPr>
          <w:rFonts w:hint="eastAsia" w:ascii="宋体" w:hAnsi="宋体" w:cs="宋体"/>
          <w:caps/>
          <w:kern w:val="2"/>
          <w:sz w:val="21"/>
          <w:szCs w:val="21"/>
        </w:rPr>
        <w:t xml:space="preserve">（3） 报价评审标准：见评标办法前附表； </w:t>
      </w:r>
    </w:p>
    <w:p>
      <w:pPr>
        <w:pStyle w:val="2"/>
        <w:spacing w:before="119" w:line="352" w:lineRule="auto"/>
        <w:ind w:firstLine="420"/>
        <w:rPr>
          <w:rFonts w:ascii="宋体" w:hAnsi="宋体" w:cs="宋体"/>
          <w:caps/>
          <w:kern w:val="2"/>
          <w:sz w:val="21"/>
          <w:szCs w:val="21"/>
        </w:rPr>
      </w:pPr>
      <w:r>
        <w:rPr>
          <w:rFonts w:hint="eastAsia" w:ascii="宋体" w:hAnsi="宋体" w:cs="宋体"/>
          <w:caps/>
          <w:kern w:val="2"/>
          <w:sz w:val="21"/>
          <w:szCs w:val="21"/>
        </w:rPr>
        <w:t xml:space="preserve">2.2.3 评标基准价计算 评标基准价的计算方法：见评标办法前附表。 </w:t>
      </w:r>
    </w:p>
    <w:p>
      <w:pPr>
        <w:pStyle w:val="2"/>
        <w:spacing w:before="119" w:line="352" w:lineRule="auto"/>
        <w:ind w:firstLine="420"/>
        <w:rPr>
          <w:rFonts w:ascii="宋体" w:hAnsi="宋体" w:cs="宋体"/>
          <w:caps/>
          <w:kern w:val="2"/>
          <w:sz w:val="21"/>
          <w:szCs w:val="21"/>
        </w:rPr>
      </w:pPr>
      <w:r>
        <w:rPr>
          <w:rFonts w:hint="eastAsia" w:ascii="宋体" w:hAnsi="宋体" w:cs="宋体"/>
          <w:caps/>
          <w:kern w:val="2"/>
          <w:sz w:val="21"/>
          <w:szCs w:val="21"/>
        </w:rPr>
        <w:t xml:space="preserve">2.2.4 投标报价的偏差率计算 投标报价的偏差率计算公式：见评标办法前附表。 </w:t>
      </w:r>
    </w:p>
    <w:p>
      <w:pPr>
        <w:pStyle w:val="9"/>
        <w:spacing w:before="54"/>
        <w:rPr>
          <w:rFonts w:ascii="宋体" w:hAnsi="宋体" w:eastAsia="宋体" w:cs="宋体"/>
          <w:caps/>
          <w:kern w:val="2"/>
          <w:sz w:val="21"/>
          <w:szCs w:val="21"/>
        </w:rPr>
      </w:pPr>
      <w:bookmarkStart w:id="136" w:name="3._评标程序"/>
      <w:bookmarkEnd w:id="136"/>
      <w:r>
        <w:rPr>
          <w:rFonts w:hint="eastAsia" w:ascii="宋体" w:hAnsi="宋体" w:eastAsia="宋体" w:cs="宋体"/>
          <w:caps/>
          <w:kern w:val="2"/>
          <w:sz w:val="21"/>
          <w:szCs w:val="21"/>
        </w:rPr>
        <w:t xml:space="preserve">3. 评标程序 </w:t>
      </w:r>
    </w:p>
    <w:p>
      <w:pPr>
        <w:spacing w:before="157"/>
        <w:ind w:left="106"/>
        <w:rPr>
          <w:rFonts w:ascii="宋体" w:hAnsi="宋体" w:cs="宋体"/>
          <w:caps/>
          <w:szCs w:val="21"/>
        </w:rPr>
      </w:pPr>
      <w:bookmarkStart w:id="137" w:name="3.1_初步评审"/>
      <w:bookmarkEnd w:id="137"/>
      <w:r>
        <w:rPr>
          <w:rFonts w:hint="eastAsia" w:ascii="宋体" w:hAnsi="宋体" w:cs="宋体"/>
          <w:caps/>
          <w:szCs w:val="21"/>
        </w:rPr>
        <w:t xml:space="preserve">3.1 初步评审 </w:t>
      </w:r>
    </w:p>
    <w:p>
      <w:pPr>
        <w:pStyle w:val="2"/>
        <w:spacing w:before="61" w:line="355" w:lineRule="auto"/>
        <w:ind w:firstLine="420"/>
        <w:rPr>
          <w:rFonts w:ascii="宋体" w:hAnsi="宋体" w:cs="宋体"/>
          <w:caps/>
          <w:kern w:val="2"/>
          <w:sz w:val="21"/>
          <w:szCs w:val="21"/>
        </w:rPr>
      </w:pPr>
      <w:r>
        <w:rPr>
          <w:rFonts w:hint="eastAsia" w:ascii="宋体" w:hAnsi="宋体" w:cs="宋体"/>
          <w:caps/>
          <w:kern w:val="2"/>
          <w:sz w:val="21"/>
          <w:szCs w:val="21"/>
        </w:rPr>
        <w:t>3.1.1 评标委员会依据本章第2.1款、2.2款及2.3款规定的标准对投标文件进行初步评审。有一项不符合评审标准的，作否决投标处理。</w:t>
      </w:r>
    </w:p>
    <w:p>
      <w:pPr>
        <w:pStyle w:val="2"/>
        <w:spacing w:before="32"/>
        <w:ind w:left="526"/>
        <w:rPr>
          <w:rFonts w:ascii="宋体" w:hAnsi="宋体" w:cs="宋体"/>
          <w:caps/>
          <w:kern w:val="2"/>
          <w:sz w:val="21"/>
          <w:szCs w:val="21"/>
        </w:rPr>
      </w:pPr>
      <w:r>
        <w:rPr>
          <w:rFonts w:hint="eastAsia" w:ascii="宋体" w:hAnsi="宋体" w:cs="宋体"/>
          <w:caps/>
          <w:kern w:val="2"/>
          <w:sz w:val="21"/>
          <w:szCs w:val="21"/>
        </w:rPr>
        <w:t xml:space="preserve">3.1.2 投标人有以下情形之一的，其投标作否决投标处理： </w:t>
      </w:r>
    </w:p>
    <w:p>
      <w:pPr>
        <w:pStyle w:val="2"/>
        <w:spacing w:before="145"/>
        <w:ind w:left="526"/>
        <w:rPr>
          <w:rFonts w:ascii="宋体" w:hAnsi="宋体" w:cs="宋体"/>
          <w:caps/>
          <w:kern w:val="2"/>
          <w:sz w:val="21"/>
          <w:szCs w:val="21"/>
        </w:rPr>
      </w:pPr>
      <w:r>
        <w:rPr>
          <w:rFonts w:hint="eastAsia" w:ascii="宋体" w:hAnsi="宋体" w:cs="宋体"/>
          <w:caps/>
          <w:kern w:val="2"/>
          <w:sz w:val="21"/>
          <w:szCs w:val="21"/>
        </w:rPr>
        <w:t xml:space="preserve">（1）第二章“投标人须知”第1.4.3项规定的任何一种情形的； </w:t>
      </w:r>
    </w:p>
    <w:p>
      <w:pPr>
        <w:pStyle w:val="2"/>
        <w:spacing w:before="130"/>
        <w:ind w:left="526"/>
        <w:rPr>
          <w:rFonts w:ascii="宋体" w:hAnsi="宋体" w:cs="宋体"/>
          <w:caps/>
          <w:kern w:val="2"/>
          <w:sz w:val="21"/>
          <w:szCs w:val="21"/>
        </w:rPr>
      </w:pPr>
      <w:r>
        <w:rPr>
          <w:rFonts w:hint="eastAsia" w:ascii="宋体" w:hAnsi="宋体" w:cs="宋体"/>
          <w:caps/>
          <w:kern w:val="2"/>
          <w:sz w:val="21"/>
          <w:szCs w:val="21"/>
        </w:rPr>
        <w:t xml:space="preserve">（2）本次投标有串通投标、弄虚作假等其他违反招投标相关法律、法规行为的； </w:t>
      </w:r>
    </w:p>
    <w:p>
      <w:pPr>
        <w:pStyle w:val="2"/>
        <w:spacing w:before="130"/>
        <w:ind w:left="526"/>
        <w:rPr>
          <w:rFonts w:ascii="宋体" w:hAnsi="宋体" w:cs="宋体"/>
          <w:caps/>
          <w:kern w:val="2"/>
          <w:sz w:val="21"/>
          <w:szCs w:val="21"/>
        </w:rPr>
      </w:pPr>
      <w:r>
        <w:rPr>
          <w:rFonts w:hint="eastAsia" w:ascii="宋体" w:hAnsi="宋体" w:cs="宋体"/>
          <w:caps/>
          <w:kern w:val="2"/>
          <w:sz w:val="21"/>
          <w:szCs w:val="21"/>
        </w:rPr>
        <w:t xml:space="preserve">（3）拒绝按评标委员会要求澄清、说明或补正的。 </w:t>
      </w:r>
    </w:p>
    <w:p>
      <w:pPr>
        <w:pStyle w:val="2"/>
        <w:spacing w:before="6" w:line="352" w:lineRule="auto"/>
        <w:ind w:firstLine="630" w:firstLineChars="300"/>
        <w:rPr>
          <w:rFonts w:ascii="宋体" w:hAnsi="宋体" w:cs="宋体"/>
          <w:caps/>
          <w:kern w:val="2"/>
          <w:sz w:val="21"/>
          <w:szCs w:val="21"/>
        </w:rPr>
      </w:pPr>
      <w:r>
        <w:rPr>
          <w:rFonts w:hint="eastAsia" w:ascii="宋体" w:hAnsi="宋体" w:cs="宋体"/>
          <w:caps/>
          <w:kern w:val="2"/>
          <w:sz w:val="21"/>
          <w:szCs w:val="21"/>
        </w:rPr>
        <w:t xml:space="preserve">3.1.3 投标报价有算术错误的，评标委员会按以下原则对投标报价进行修正，修正的价格经投标人 书面确认后具有约束力，修正原则如下： </w:t>
      </w:r>
    </w:p>
    <w:p>
      <w:pPr>
        <w:pStyle w:val="2"/>
        <w:spacing w:before="32"/>
        <w:ind w:firstLine="420" w:firstLineChars="200"/>
        <w:rPr>
          <w:rFonts w:ascii="宋体" w:hAnsi="宋体" w:cs="宋体"/>
          <w:caps/>
          <w:kern w:val="2"/>
          <w:sz w:val="21"/>
          <w:szCs w:val="21"/>
        </w:rPr>
      </w:pPr>
      <w:r>
        <w:rPr>
          <w:rFonts w:hint="eastAsia" w:ascii="宋体" w:hAnsi="宋体" w:cs="宋体"/>
          <w:caps/>
          <w:kern w:val="2"/>
          <w:sz w:val="21"/>
          <w:szCs w:val="21"/>
        </w:rPr>
        <w:t xml:space="preserve">（1）投标文件中的大写金额与小写金额不一致的，以大写金额为准； </w:t>
      </w:r>
    </w:p>
    <w:p>
      <w:pPr>
        <w:pStyle w:val="2"/>
        <w:spacing w:before="145"/>
        <w:ind w:firstLine="420"/>
        <w:rPr>
          <w:rFonts w:ascii="宋体" w:hAnsi="宋体" w:cs="宋体"/>
          <w:caps/>
          <w:kern w:val="2"/>
          <w:sz w:val="21"/>
          <w:szCs w:val="21"/>
        </w:rPr>
      </w:pPr>
      <w:r>
        <w:rPr>
          <w:rFonts w:hint="eastAsia" w:ascii="宋体" w:hAnsi="宋体" w:cs="宋体"/>
          <w:caps/>
          <w:kern w:val="2"/>
          <w:sz w:val="21"/>
          <w:szCs w:val="21"/>
        </w:rPr>
        <w:t xml:space="preserve">（2）竞争性比选响应声明书的总报价与已标价工程量清单总报价不一致的，由评标委员会作否决投标处理。 </w:t>
      </w:r>
    </w:p>
    <w:p>
      <w:pPr>
        <w:spacing w:before="169"/>
        <w:ind w:left="106"/>
        <w:rPr>
          <w:rFonts w:ascii="宋体" w:hAnsi="宋体" w:cs="宋体"/>
          <w:caps/>
          <w:szCs w:val="21"/>
        </w:rPr>
      </w:pPr>
      <w:bookmarkStart w:id="138" w:name="3.2_详细评审"/>
      <w:bookmarkEnd w:id="138"/>
      <w:r>
        <w:rPr>
          <w:rFonts w:hint="eastAsia" w:ascii="宋体" w:hAnsi="宋体" w:cs="宋体"/>
          <w:caps/>
          <w:szCs w:val="21"/>
        </w:rPr>
        <w:t xml:space="preserve">3.2 详细评审 </w:t>
      </w:r>
    </w:p>
    <w:p>
      <w:pPr>
        <w:pStyle w:val="2"/>
        <w:spacing w:before="61"/>
        <w:ind w:left="526"/>
        <w:rPr>
          <w:rFonts w:ascii="宋体" w:hAnsi="宋体" w:cs="宋体"/>
          <w:caps/>
          <w:kern w:val="2"/>
          <w:sz w:val="21"/>
          <w:szCs w:val="21"/>
        </w:rPr>
      </w:pPr>
      <w:r>
        <w:rPr>
          <w:rFonts w:hint="eastAsia" w:ascii="宋体" w:hAnsi="宋体" w:cs="宋体"/>
          <w:caps/>
          <w:kern w:val="2"/>
          <w:sz w:val="21"/>
          <w:szCs w:val="21"/>
        </w:rPr>
        <w:t xml:space="preserve">3.2.1 评标委员会按本章第3.1款、3.2款及3.3款规定的量化因素和分值进行打分，并计算出综合评估得分。 </w:t>
      </w:r>
    </w:p>
    <w:p>
      <w:pPr>
        <w:pStyle w:val="2"/>
        <w:spacing w:before="130" w:line="367" w:lineRule="auto"/>
        <w:ind w:firstLine="420"/>
        <w:rPr>
          <w:rFonts w:ascii="宋体" w:hAnsi="宋体" w:cs="宋体"/>
          <w:caps/>
          <w:kern w:val="2"/>
          <w:sz w:val="21"/>
          <w:szCs w:val="21"/>
        </w:rPr>
      </w:pPr>
      <w:r>
        <w:rPr>
          <w:rFonts w:hint="eastAsia" w:ascii="宋体" w:hAnsi="宋体" w:cs="宋体"/>
          <w:caps/>
          <w:kern w:val="2"/>
          <w:sz w:val="21"/>
          <w:szCs w:val="21"/>
        </w:rPr>
        <w:t xml:space="preserve">（1）按本章第3.3目规定的评审因素和分值对技术部分计算出得分A（所有评委打分中去掉 一个最高和一个最低分，余下评委打分取算术平均值为该投标人技术部分得分。） </w:t>
      </w:r>
    </w:p>
    <w:p>
      <w:pPr>
        <w:pStyle w:val="2"/>
        <w:spacing w:before="19"/>
        <w:ind w:left="526"/>
        <w:rPr>
          <w:rFonts w:ascii="宋体" w:hAnsi="宋体" w:cs="宋体"/>
          <w:caps/>
          <w:kern w:val="2"/>
          <w:sz w:val="21"/>
          <w:szCs w:val="21"/>
        </w:rPr>
      </w:pPr>
      <w:r>
        <w:rPr>
          <w:rFonts w:hint="eastAsia" w:ascii="宋体" w:hAnsi="宋体" w:cs="宋体"/>
          <w:caps/>
          <w:kern w:val="2"/>
          <w:sz w:val="21"/>
          <w:szCs w:val="21"/>
        </w:rPr>
        <w:t xml:space="preserve">（2）按本章第3.2目规定的评审因素和分值对商务部分计算出得分B。 </w:t>
      </w:r>
    </w:p>
    <w:p>
      <w:pPr>
        <w:pStyle w:val="2"/>
        <w:spacing w:before="130"/>
        <w:ind w:left="526"/>
        <w:rPr>
          <w:rFonts w:ascii="宋体" w:hAnsi="宋体" w:cs="宋体"/>
          <w:caps/>
          <w:kern w:val="2"/>
          <w:sz w:val="21"/>
          <w:szCs w:val="21"/>
        </w:rPr>
      </w:pPr>
      <w:r>
        <w:rPr>
          <w:rFonts w:hint="eastAsia" w:ascii="宋体" w:hAnsi="宋体" w:cs="宋体"/>
          <w:caps/>
          <w:kern w:val="2"/>
          <w:sz w:val="21"/>
          <w:szCs w:val="21"/>
        </w:rPr>
        <w:t xml:space="preserve">（3）按本章第3.1目规定的评审因素和分值对投标总报价计算出得分C。 </w:t>
      </w:r>
    </w:p>
    <w:p>
      <w:pPr>
        <w:pStyle w:val="2"/>
        <w:spacing w:before="130"/>
        <w:ind w:left="526"/>
        <w:rPr>
          <w:rFonts w:ascii="宋体" w:hAnsi="宋体" w:cs="宋体"/>
          <w:caps/>
          <w:kern w:val="2"/>
          <w:sz w:val="21"/>
          <w:szCs w:val="21"/>
        </w:rPr>
      </w:pPr>
      <w:r>
        <w:rPr>
          <w:rFonts w:hint="eastAsia" w:ascii="宋体" w:hAnsi="宋体" w:cs="宋体"/>
          <w:caps/>
          <w:kern w:val="2"/>
          <w:sz w:val="21"/>
          <w:szCs w:val="21"/>
        </w:rPr>
        <w:t xml:space="preserve">3.2.2 各类评分分值的最终计算结果保留小数点后两位，小数点后第三位“四舍五入”。 </w:t>
      </w:r>
    </w:p>
    <w:p>
      <w:pPr>
        <w:pStyle w:val="2"/>
        <w:spacing w:before="130"/>
        <w:ind w:left="526"/>
        <w:rPr>
          <w:rFonts w:ascii="宋体" w:hAnsi="宋体" w:cs="宋体"/>
          <w:caps/>
          <w:kern w:val="2"/>
          <w:sz w:val="21"/>
          <w:szCs w:val="21"/>
        </w:rPr>
      </w:pPr>
      <w:r>
        <w:rPr>
          <w:rFonts w:hint="eastAsia" w:ascii="宋体" w:hAnsi="宋体" w:cs="宋体"/>
          <w:caps/>
          <w:kern w:val="2"/>
          <w:sz w:val="21"/>
          <w:szCs w:val="21"/>
        </w:rPr>
        <w:t xml:space="preserve">3.2.3  投标人得分=A+B+C。 </w:t>
      </w:r>
    </w:p>
    <w:p>
      <w:pPr>
        <w:spacing w:before="1"/>
        <w:rPr>
          <w:rFonts w:ascii="宋体" w:hAnsi="宋体" w:cs="宋体"/>
          <w:caps/>
          <w:szCs w:val="21"/>
        </w:rPr>
      </w:pPr>
    </w:p>
    <w:p>
      <w:pPr>
        <w:ind w:left="106"/>
        <w:rPr>
          <w:rFonts w:ascii="宋体" w:hAnsi="宋体" w:cs="宋体"/>
          <w:caps/>
          <w:szCs w:val="21"/>
        </w:rPr>
      </w:pPr>
      <w:bookmarkStart w:id="139" w:name="3.3_投标文件的澄清和补正"/>
      <w:bookmarkEnd w:id="139"/>
      <w:r>
        <w:rPr>
          <w:rFonts w:hint="eastAsia" w:ascii="宋体" w:hAnsi="宋体" w:cs="宋体"/>
          <w:caps/>
          <w:szCs w:val="21"/>
        </w:rPr>
        <w:t xml:space="preserve">3.3 投标文件的澄清和补正 </w:t>
      </w:r>
    </w:p>
    <w:p>
      <w:pPr>
        <w:pStyle w:val="2"/>
        <w:spacing w:before="61" w:line="355" w:lineRule="auto"/>
        <w:ind w:firstLine="420"/>
        <w:rPr>
          <w:rFonts w:ascii="宋体" w:hAnsi="宋体" w:cs="宋体"/>
          <w:caps/>
          <w:kern w:val="2"/>
          <w:sz w:val="21"/>
          <w:szCs w:val="21"/>
        </w:rPr>
      </w:pPr>
      <w:r>
        <w:rPr>
          <w:rFonts w:hint="eastAsia" w:ascii="宋体" w:hAnsi="宋体" w:cs="宋体"/>
          <w:caps/>
          <w:kern w:val="2"/>
          <w:sz w:val="21"/>
          <w:szCs w:val="21"/>
        </w:rPr>
        <w:t xml:space="preserve">3.3.1 在评标过程中，评标委员会可以书面形式要求投标人对所提交投标文件中不明确的内容进行 书面澄清或说明，或者对细微偏差进行补正。评标委员会不接受投标人主动提出的澄清、说明或补正。 </w:t>
      </w:r>
    </w:p>
    <w:p>
      <w:pPr>
        <w:pStyle w:val="2"/>
        <w:spacing w:before="29" w:line="367" w:lineRule="auto"/>
        <w:ind w:firstLine="420"/>
        <w:rPr>
          <w:rFonts w:ascii="宋体" w:hAnsi="宋体" w:cs="宋体"/>
          <w:caps/>
          <w:kern w:val="2"/>
          <w:sz w:val="21"/>
          <w:szCs w:val="21"/>
        </w:rPr>
      </w:pPr>
      <w:r>
        <w:rPr>
          <w:rFonts w:hint="eastAsia" w:ascii="宋体" w:hAnsi="宋体" w:cs="宋体"/>
          <w:caps/>
          <w:kern w:val="2"/>
          <w:sz w:val="21"/>
          <w:szCs w:val="21"/>
        </w:rPr>
        <w:t xml:space="preserve">3.3.2 澄清、说明和补正不得改变投标文件的实质性内容（算术性错误修正的除外）。投标人的书 面澄清、说明和补正属于投标文件的组成部分。 </w:t>
      </w:r>
    </w:p>
    <w:p>
      <w:pPr>
        <w:pStyle w:val="2"/>
        <w:spacing w:before="19" w:line="355" w:lineRule="auto"/>
        <w:ind w:firstLine="420"/>
        <w:rPr>
          <w:rFonts w:ascii="宋体" w:hAnsi="宋体" w:cs="宋体"/>
          <w:caps/>
          <w:kern w:val="2"/>
          <w:sz w:val="21"/>
          <w:szCs w:val="21"/>
        </w:rPr>
      </w:pPr>
      <w:r>
        <w:rPr>
          <w:rFonts w:hint="eastAsia" w:ascii="宋体" w:hAnsi="宋体" w:cs="宋体"/>
          <w:caps/>
          <w:kern w:val="2"/>
          <w:sz w:val="21"/>
          <w:szCs w:val="21"/>
        </w:rPr>
        <w:t xml:space="preserve">3.3.3 评标委员会对投标人提交的澄清、说明或补正有疑问的，可以要求投标人进一步澄清、说明 或补正，直至满足评标委员会的要求。 </w:t>
      </w:r>
    </w:p>
    <w:p>
      <w:pPr>
        <w:spacing w:before="68"/>
        <w:ind w:left="106"/>
        <w:rPr>
          <w:rFonts w:ascii="宋体" w:hAnsi="宋体" w:cs="宋体"/>
          <w:caps/>
          <w:szCs w:val="21"/>
        </w:rPr>
      </w:pPr>
      <w:bookmarkStart w:id="140" w:name="3.4_评标结果"/>
      <w:bookmarkEnd w:id="140"/>
      <w:r>
        <w:rPr>
          <w:rFonts w:hint="eastAsia" w:ascii="宋体" w:hAnsi="宋体" w:cs="宋体"/>
          <w:caps/>
          <w:szCs w:val="21"/>
        </w:rPr>
        <w:t xml:space="preserve">3.4 评标结果 </w:t>
      </w:r>
    </w:p>
    <w:p>
      <w:pPr>
        <w:pStyle w:val="2"/>
        <w:spacing w:before="76" w:line="355" w:lineRule="auto"/>
        <w:ind w:firstLine="420"/>
        <w:rPr>
          <w:rFonts w:hint="eastAsia" w:ascii="宋体" w:hAnsi="宋体" w:cs="宋体"/>
          <w:caps/>
          <w:kern w:val="2"/>
          <w:sz w:val="21"/>
          <w:szCs w:val="21"/>
        </w:rPr>
      </w:pPr>
      <w:r>
        <w:rPr>
          <w:rFonts w:hint="eastAsia" w:ascii="宋体" w:hAnsi="宋体" w:cs="宋体"/>
          <w:caps/>
          <w:kern w:val="2"/>
          <w:sz w:val="21"/>
          <w:szCs w:val="21"/>
        </w:rPr>
        <w:t xml:space="preserve">3.4.1 除第二章“投标人须知”前附表授权直接确定中标人外，评标委员会按照得分由高到低的顺 序推荐中标候选人。 </w:t>
      </w:r>
    </w:p>
    <w:p>
      <w:pPr>
        <w:pStyle w:val="2"/>
        <w:spacing w:before="76" w:line="355" w:lineRule="auto"/>
        <w:ind w:firstLine="420"/>
        <w:jc w:val="center"/>
      </w:pPr>
      <w:r>
        <w:rPr>
          <w:rFonts w:hint="eastAsia" w:ascii="宋体" w:hAnsi="宋体" w:cs="宋体"/>
          <w:b w:val="0"/>
          <w:bCs w:val="0"/>
          <w:sz w:val="21"/>
          <w:szCs w:val="21"/>
        </w:rPr>
        <w:t xml:space="preserve">3.4.2 评标委员会完成评标后，应当向招标人提交书面评标报告。 </w:t>
      </w:r>
      <w:r>
        <w:rPr>
          <w:rFonts w:hint="eastAsia"/>
        </w:rPr>
        <w:br w:type="page"/>
      </w:r>
      <w:bookmarkStart w:id="141" w:name="_Toc13787"/>
      <w:r>
        <w:rPr>
          <w:rStyle w:val="82"/>
          <w:rFonts w:hint="eastAsia"/>
          <w:b/>
          <w:bCs/>
        </w:rPr>
        <w:t>第四章 报价说明</w:t>
      </w:r>
      <w:bookmarkEnd w:id="141"/>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1、工程量清单应与本工程竞争性比选文件、技术标准和要求等文件结合起来查阅与理解。</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2、本竞争性比选报价采用综合单价报价。综合单价是指完成工程量清单中一个规定计量单位的分部分项工程量清单费用、措施项目清单费用、其他项目清单费用、规费、税金等完成本项目的一切费用（即本项目除安全生产费以外的人工费、材料设备及采管费和二次转运费、交通组织费、工程照管费、机械使用费、安装和调试费、差旅费、交通费、车辆通行费、车辆台班费、办理施工许可、竣工资料编制、驻地建设、竣工验收、保险、环境保护、文物保护、废弃物转运处理、综合费、防疫费等），以及竞争性比选文件中明示或暗示的的所有责任、义务和一般风险。</w:t>
      </w:r>
    </w:p>
    <w:p>
      <w:pPr>
        <w:pStyle w:val="28"/>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3、“安全生产费”报价人应按照采购人在竞争性比选文件中规定的金额填写，不得调整（安全生产费包含但不限于①.设置、完善、改造和维护安全防护设施设备支出；②.配备、维护、保养应急救援的器材和设备支出和应急演练支出；③.重大危险源和事故隐患评估、监控(包括远程监控)和整改支出；④.安全生产检查、咨询、评价和安全生产标准化支出；⑤.配备和更新现场作业人员安全防护用品支出；⑥.安全生产宣传、教育、培训支出；⑦.安全生产适用的新技术、新标准、新工艺、新装备的推广应用支出；⑧.安全设施及特种设备检测检验支出；⑨.其他与安全生产直接相关的支出）。保险均由报价人承担并支付，不在报价中单列。</w:t>
      </w:r>
    </w:p>
    <w:p>
      <w:pPr>
        <w:pStyle w:val="28"/>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4、采购人供应的材料、设备的金额不进入总报价，其他全部进入总报价。报价人在实施土建工作时，如管沟开挖、设备基础等，应包含定位放样、基础开挖和回填、弃土外运、基础钢筋制作和支模、基础浇筑及附属管道敷设等全部工作内容，电缆应根据要求进行防盗包封，设备及线缆标识按采购人要求制作安装，以上工作内容采购人不再另行计量与支付。</w:t>
      </w:r>
    </w:p>
    <w:p>
      <w:pPr>
        <w:pStyle w:val="28"/>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5、报价人应结合施工现场实际和现在的市场情况、自身技术及管理水平、经营状况、机械设备及制定的施工方案的要求自行报价，该报价不低于报价人完成该项目的成本。</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highlight w:val="none"/>
        </w:rPr>
        <w:t>6、工程量清单中所列工程数</w:t>
      </w:r>
      <w:r>
        <w:rPr>
          <w:rFonts w:hint="eastAsia" w:ascii="宋体" w:hAnsi="宋体" w:cs="宋体"/>
          <w:b w:val="0"/>
          <w:bCs w:val="0"/>
          <w:sz w:val="21"/>
          <w:szCs w:val="21"/>
        </w:rPr>
        <w:t>量是估算的数量，仅作为报价的共同基础，不能作为最终结算与支付的依据。实际支付应按实际完成的工程量*工程量清单的单价来计算支付金额。</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7、工程量清单中所列工程量的变动，丝毫不会降低或影响合同条款的效力，也不免除报价人按规定的标准进行施工和修复缺陷的责任。</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8、对工程量清单中的每一个细目，报价人均填单价和合价，对于未填入单价和合价的细目，其费用应视为已包括在工程量清单中的其他细目的单价和合价中，报价人必须按采购人指令完成工程量清单中未填入单价和合价的细目，但不能得到结算与支付，报价人的总报价应是所有工程费用的汇总。</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9、工程量清单中的任何内容不得随意删除或涂改，若有误，在有效时间内书面向采购人提出，以“补遗”资料为准。</w:t>
      </w:r>
    </w:p>
    <w:p>
      <w:pPr>
        <w:pStyle w:val="28"/>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10、不同单项及单位工程中的分部分项工程量清单中相同项目（项目特征及工作内容相同）的应报价统一，如有差异，按最低的一个报价进行结算；材料设备单价处理办法相同。</w:t>
      </w:r>
    </w:p>
    <w:p>
      <w:pPr>
        <w:pStyle w:val="28"/>
        <w:spacing w:line="380" w:lineRule="exact"/>
        <w:ind w:firstLine="420" w:firstLineChars="200"/>
        <w:rPr>
          <w:rFonts w:ascii="宋体" w:hAnsi="宋体" w:cs="宋体"/>
          <w:b w:val="0"/>
          <w:bCs w:val="0"/>
          <w:sz w:val="21"/>
          <w:szCs w:val="21"/>
          <w:highlight w:val="none"/>
        </w:rPr>
      </w:pPr>
      <w:r>
        <w:rPr>
          <w:rFonts w:hint="eastAsia" w:ascii="宋体" w:hAnsi="宋体" w:cs="宋体"/>
          <w:b w:val="0"/>
          <w:bCs w:val="0"/>
          <w:sz w:val="21"/>
          <w:szCs w:val="21"/>
          <w:highlight w:val="none"/>
        </w:rPr>
        <w:t>11、对作业和材料设备的技术标准和要求及一般说明或规定，未重复写入工程量清单内，在给工程量清单各细目报价前，应参阅并满足设计文件及竞争性比选文件中技术标准和要求的有关部分，如不满足相关技术标准和要求，由此对采购人造成的一切损失由报价人承担。</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highlight w:val="none"/>
        </w:rPr>
        <w:t>12、对于符合要求的竞争性比选响应文件，在签订合同协议书前，如发现工程量清单中</w:t>
      </w:r>
      <w:r>
        <w:rPr>
          <w:rFonts w:hint="eastAsia" w:ascii="宋体" w:hAnsi="宋体" w:cs="宋体"/>
          <w:b w:val="0"/>
          <w:bCs w:val="0"/>
          <w:sz w:val="21"/>
          <w:szCs w:val="21"/>
        </w:rPr>
        <w:t>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报价人的同意，并确认修正后的最终报价。如果报价人拒绝确认，则报价做废标处理。</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13、工程量清单中的任何内容不得随意删除或涂改，若有误，在有效时间内书面向采购人提出，以“补遗”资料为准。</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14、报价中的单价和合价全部以人民币（元）表示。</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15、对于报价人报价中明显高于市场价的单项报价，采购人有权进行价格审核后调整。调整后应以取得报价人的同意，并确认修正后的最终报价。如果报价人拒绝确认，则其竞争性响应文件将不予评审。</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16、合同为单价合同，合同期间不予调价。</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17、报价人应严格按照工程量清单进行报价，不得随意修改采购人发布的工程量清单数量、公式及相关内容。</w:t>
      </w:r>
    </w:p>
    <w:p>
      <w:pPr>
        <w:pStyle w:val="28"/>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18、报价人提供的材料设备需在报价清单中明确品牌、产品系列及</w:t>
      </w:r>
      <w:r>
        <w:rPr>
          <w:rFonts w:ascii="宋体" w:hAnsi="宋体" w:cs="宋体"/>
          <w:b w:val="0"/>
          <w:bCs w:val="0"/>
          <w:sz w:val="21"/>
          <w:szCs w:val="21"/>
        </w:rPr>
        <w:t>规格</w:t>
      </w:r>
      <w:r>
        <w:rPr>
          <w:rFonts w:hint="eastAsia" w:ascii="宋体" w:hAnsi="宋体" w:cs="宋体"/>
          <w:b w:val="0"/>
          <w:bCs w:val="0"/>
          <w:sz w:val="21"/>
          <w:szCs w:val="21"/>
        </w:rPr>
        <w:t>型号</w:t>
      </w:r>
      <w:r>
        <w:rPr>
          <w:rFonts w:ascii="宋体" w:hAnsi="宋体" w:cs="宋体"/>
          <w:b w:val="0"/>
          <w:bCs w:val="0"/>
          <w:sz w:val="21"/>
          <w:szCs w:val="21"/>
        </w:rPr>
        <w:t>，且所报品牌档次不得低于采购人建议品牌档次（建议品牌详见附件工程量清单表3）</w:t>
      </w:r>
      <w:r>
        <w:rPr>
          <w:rFonts w:hint="eastAsia" w:ascii="宋体" w:hAnsi="宋体" w:cs="宋体"/>
          <w:b w:val="0"/>
          <w:bCs w:val="0"/>
          <w:sz w:val="21"/>
          <w:szCs w:val="21"/>
        </w:rPr>
        <w:t>。</w:t>
      </w:r>
    </w:p>
    <w:p>
      <w:r>
        <w:rPr>
          <w:rFonts w:hint="eastAsia" w:ascii="宋体" w:hAnsi="宋体" w:cs="宋体"/>
          <w:szCs w:val="21"/>
        </w:rPr>
        <w:t xml:space="preserve">    19、若报价人未按要求填写工程量清单，将按废标处理。</w:t>
      </w:r>
    </w:p>
    <w:p>
      <w:pPr>
        <w:pStyle w:val="28"/>
        <w:sectPr>
          <w:footerReference r:id="rId9" w:type="default"/>
          <w:pgSz w:w="11906" w:h="16838"/>
          <w:pgMar w:top="1440" w:right="1800" w:bottom="1440" w:left="1800" w:header="851" w:footer="992" w:gutter="0"/>
          <w:cols w:space="720" w:num="1"/>
          <w:titlePg/>
          <w:docGrid w:type="lines" w:linePitch="312" w:charSpace="0"/>
        </w:sectPr>
      </w:pPr>
    </w:p>
    <w:p>
      <w:pPr>
        <w:spacing w:line="400" w:lineRule="exact"/>
        <w:rPr>
          <w:rFonts w:ascii="宋体" w:hAnsi="宋体" w:cs="宋体"/>
          <w:szCs w:val="21"/>
        </w:rPr>
      </w:pPr>
      <w:bookmarkStart w:id="142" w:name="_Toc246996354"/>
      <w:bookmarkStart w:id="143" w:name="_Toc152042575"/>
      <w:bookmarkStart w:id="144" w:name="_Toc144974855"/>
      <w:bookmarkStart w:id="145" w:name="_Toc246997097"/>
      <w:bookmarkStart w:id="146" w:name="_Toc179632806"/>
      <w:bookmarkStart w:id="147" w:name="_Toc247085872"/>
      <w:bookmarkStart w:id="148" w:name="_Toc152045786"/>
    </w:p>
    <w:p>
      <w:pPr>
        <w:pStyle w:val="3"/>
        <w:spacing w:before="0" w:after="0" w:line="360" w:lineRule="auto"/>
        <w:jc w:val="center"/>
        <w:rPr>
          <w:rFonts w:ascii="宋体" w:hAnsi="宋体" w:cs="宋体"/>
        </w:rPr>
      </w:pPr>
      <w:bookmarkStart w:id="149" w:name="_Toc247085855"/>
      <w:bookmarkStart w:id="150" w:name="_Toc179632789"/>
      <w:bookmarkStart w:id="151" w:name="_Toc152042554"/>
      <w:bookmarkStart w:id="152" w:name="_Toc24503"/>
      <w:bookmarkStart w:id="153" w:name="_Toc152045772"/>
      <w:bookmarkStart w:id="154" w:name="_Toc514858705"/>
      <w:bookmarkStart w:id="155" w:name="_Toc246996340"/>
      <w:bookmarkStart w:id="156" w:name="_Toc2000409"/>
      <w:bookmarkStart w:id="157" w:name="_Toc144974834"/>
      <w:bookmarkStart w:id="158" w:name="_Toc246997083"/>
      <w:r>
        <w:rPr>
          <w:rFonts w:hint="eastAsia" w:ascii="宋体" w:hAnsi="宋体" w:cs="宋体"/>
        </w:rPr>
        <w:t>第五章  工程量清单</w:t>
      </w:r>
      <w:bookmarkEnd w:id="149"/>
      <w:bookmarkEnd w:id="150"/>
      <w:bookmarkEnd w:id="151"/>
      <w:bookmarkEnd w:id="152"/>
      <w:bookmarkEnd w:id="153"/>
      <w:bookmarkEnd w:id="154"/>
      <w:bookmarkEnd w:id="155"/>
      <w:bookmarkEnd w:id="156"/>
      <w:bookmarkEnd w:id="157"/>
      <w:bookmarkEnd w:id="158"/>
    </w:p>
    <w:p>
      <w:pPr>
        <w:ind w:firstLine="420"/>
        <w:jc w:val="left"/>
        <w:rPr>
          <w:rFonts w:ascii="宋体" w:hAnsi="宋体" w:cs="宋体"/>
          <w:b/>
        </w:rPr>
      </w:pPr>
      <w:bookmarkStart w:id="159" w:name="_Toc179632800"/>
      <w:bookmarkStart w:id="160" w:name="_Toc246996350"/>
      <w:bookmarkStart w:id="161" w:name="_Toc152042571"/>
      <w:bookmarkStart w:id="162" w:name="_Toc246997093"/>
      <w:bookmarkStart w:id="163" w:name="_Toc144974851"/>
      <w:bookmarkStart w:id="164" w:name="_Toc247096438"/>
      <w:bookmarkStart w:id="165" w:name="_Toc152045782"/>
      <w:bookmarkStart w:id="166" w:name="_Toc247085866"/>
    </w:p>
    <w:tbl>
      <w:tblPr>
        <w:tblStyle w:val="44"/>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636"/>
        <w:gridCol w:w="670"/>
        <w:gridCol w:w="725"/>
        <w:gridCol w:w="1410"/>
        <w:gridCol w:w="150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00" w:type="dxa"/>
            <w:shd w:val="clear" w:color="auto" w:fill="auto"/>
            <w:vAlign w:val="center"/>
          </w:tcPr>
          <w:p>
            <w:pPr>
              <w:jc w:val="center"/>
              <w:rPr>
                <w:rFonts w:eastAsia="Times New Roman"/>
                <w:b/>
              </w:rPr>
            </w:pPr>
            <w:r>
              <w:rPr>
                <w:rFonts w:hint="eastAsia" w:eastAsia="Times New Roman"/>
                <w:b/>
              </w:rPr>
              <w:t>指标项</w:t>
            </w:r>
          </w:p>
        </w:tc>
        <w:tc>
          <w:tcPr>
            <w:tcW w:w="2636" w:type="dxa"/>
            <w:shd w:val="clear" w:color="auto" w:fill="auto"/>
            <w:vAlign w:val="center"/>
          </w:tcPr>
          <w:p>
            <w:pPr>
              <w:jc w:val="center"/>
              <w:rPr>
                <w:rFonts w:hint="default" w:eastAsia="宋体"/>
                <w:b/>
                <w:lang w:val="en-US" w:eastAsia="zh-CN"/>
              </w:rPr>
            </w:pPr>
            <w:r>
              <w:rPr>
                <w:rFonts w:hint="eastAsia" w:eastAsia="宋体"/>
                <w:b/>
                <w:lang w:val="en-US" w:eastAsia="zh-CN"/>
              </w:rPr>
              <w:t>制作要求</w:t>
            </w:r>
          </w:p>
        </w:tc>
        <w:tc>
          <w:tcPr>
            <w:tcW w:w="670" w:type="dxa"/>
            <w:shd w:val="clear" w:color="auto" w:fill="auto"/>
            <w:vAlign w:val="center"/>
          </w:tcPr>
          <w:p>
            <w:pPr>
              <w:jc w:val="center"/>
              <w:rPr>
                <w:rFonts w:eastAsia="Times New Roman"/>
                <w:b/>
              </w:rPr>
            </w:pPr>
            <w:r>
              <w:rPr>
                <w:rFonts w:hint="eastAsia" w:eastAsia="Times New Roman"/>
                <w:b/>
              </w:rPr>
              <w:t>单位</w:t>
            </w:r>
          </w:p>
        </w:tc>
        <w:tc>
          <w:tcPr>
            <w:tcW w:w="725" w:type="dxa"/>
            <w:shd w:val="clear" w:color="auto" w:fill="auto"/>
            <w:vAlign w:val="center"/>
          </w:tcPr>
          <w:p>
            <w:pPr>
              <w:jc w:val="center"/>
              <w:rPr>
                <w:rFonts w:eastAsia="Times New Roman"/>
                <w:b/>
              </w:rPr>
            </w:pPr>
            <w:r>
              <w:rPr>
                <w:rFonts w:hint="eastAsia" w:eastAsia="Times New Roman"/>
                <w:b/>
              </w:rPr>
              <w:t>数量</w:t>
            </w:r>
          </w:p>
        </w:tc>
        <w:tc>
          <w:tcPr>
            <w:tcW w:w="1410" w:type="dxa"/>
            <w:shd w:val="clear" w:color="auto" w:fill="auto"/>
            <w:vAlign w:val="center"/>
          </w:tcPr>
          <w:p>
            <w:pPr>
              <w:jc w:val="center"/>
              <w:rPr>
                <w:rFonts w:eastAsia="Times New Roman"/>
                <w:b/>
              </w:rPr>
            </w:pPr>
            <w:r>
              <w:rPr>
                <w:rFonts w:hint="eastAsia" w:eastAsia="Times New Roman"/>
                <w:b/>
              </w:rPr>
              <w:t>单价（元）</w:t>
            </w:r>
          </w:p>
        </w:tc>
        <w:tc>
          <w:tcPr>
            <w:tcW w:w="1500" w:type="dxa"/>
            <w:shd w:val="clear" w:color="auto" w:fill="auto"/>
            <w:vAlign w:val="center"/>
          </w:tcPr>
          <w:p>
            <w:pPr>
              <w:jc w:val="center"/>
              <w:rPr>
                <w:rFonts w:eastAsia="Times New Roman"/>
                <w:b/>
              </w:rPr>
            </w:pPr>
            <w:r>
              <w:rPr>
                <w:rFonts w:hint="eastAsia" w:eastAsia="Times New Roman"/>
                <w:b/>
              </w:rPr>
              <w:t>小计（元）</w:t>
            </w:r>
          </w:p>
        </w:tc>
        <w:tc>
          <w:tcPr>
            <w:tcW w:w="1500" w:type="dxa"/>
            <w:shd w:val="clear" w:color="auto" w:fill="auto"/>
            <w:vAlign w:val="center"/>
          </w:tcPr>
          <w:p>
            <w:pPr>
              <w:jc w:val="center"/>
              <w:rPr>
                <w:rFonts w:eastAsia="Times New Roman"/>
                <w:b/>
              </w:rPr>
            </w:pPr>
            <w:r>
              <w:rPr>
                <w:rFonts w:hint="eastAsia" w:eastAsia="Times New Roman"/>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0" w:type="dxa"/>
            <w:vAlign w:val="center"/>
          </w:tcPr>
          <w:p>
            <w:pPr>
              <w:jc w:val="center"/>
              <w:rPr>
                <w:rFonts w:eastAsia="Times New Roman"/>
                <w:bCs/>
              </w:rPr>
            </w:pPr>
            <w:r>
              <w:rPr>
                <w:rFonts w:hint="eastAsia" w:eastAsia="Times New Roman"/>
                <w:bCs/>
              </w:rPr>
              <w:t>季度汇报视频</w:t>
            </w:r>
          </w:p>
        </w:tc>
        <w:tc>
          <w:tcPr>
            <w:tcW w:w="2636" w:type="dxa"/>
            <w:vAlign w:val="center"/>
          </w:tcPr>
          <w:p>
            <w:pPr>
              <w:jc w:val="center"/>
              <w:rPr>
                <w:rFonts w:hint="eastAsia" w:eastAsia="Times New Roman"/>
                <w:bCs/>
              </w:rPr>
            </w:pPr>
            <w:r>
              <w:rPr>
                <w:rFonts w:ascii="Arial" w:hAnsi="Arial" w:eastAsia="Arial" w:cs="Arial"/>
                <w:i w:val="0"/>
                <w:iCs w:val="0"/>
                <w:caps w:val="0"/>
                <w:color w:val="333333"/>
                <w:spacing w:val="0"/>
                <w:sz w:val="21"/>
                <w:szCs w:val="21"/>
                <w:shd w:val="clear" w:fill="FFFFFF"/>
              </w:rPr>
              <w:t>全线航拍、视频画公路主线、互通匝道画线、建构物标识、专业配音、配音合成到视频、画中画效果制作、后期其它制作及修改</w:t>
            </w:r>
          </w:p>
        </w:tc>
        <w:tc>
          <w:tcPr>
            <w:tcW w:w="670" w:type="dxa"/>
            <w:vAlign w:val="center"/>
          </w:tcPr>
          <w:p>
            <w:pPr>
              <w:jc w:val="center"/>
              <w:rPr>
                <w:rFonts w:eastAsia="Times New Roman"/>
                <w:bCs/>
              </w:rPr>
            </w:pPr>
            <w:r>
              <w:rPr>
                <w:rFonts w:hint="eastAsia" w:eastAsia="Times New Roman"/>
                <w:bCs/>
              </w:rPr>
              <w:t>次</w:t>
            </w:r>
          </w:p>
        </w:tc>
        <w:tc>
          <w:tcPr>
            <w:tcW w:w="725" w:type="dxa"/>
            <w:vAlign w:val="center"/>
          </w:tcPr>
          <w:p>
            <w:pPr>
              <w:jc w:val="center"/>
              <w:rPr>
                <w:rFonts w:hint="default" w:eastAsia="宋体"/>
                <w:bCs/>
                <w:lang w:val="en-US" w:eastAsia="zh-CN"/>
              </w:rPr>
            </w:pPr>
            <w:r>
              <w:rPr>
                <w:rFonts w:hint="eastAsia" w:eastAsia="宋体"/>
                <w:bCs/>
                <w:lang w:val="en-US" w:eastAsia="zh-CN"/>
              </w:rPr>
              <w:t>12</w:t>
            </w:r>
          </w:p>
        </w:tc>
        <w:tc>
          <w:tcPr>
            <w:tcW w:w="1410" w:type="dxa"/>
            <w:vAlign w:val="center"/>
          </w:tcPr>
          <w:p>
            <w:pPr>
              <w:jc w:val="center"/>
              <w:rPr>
                <w:rFonts w:eastAsia="Times New Roman"/>
                <w:bCs/>
              </w:rPr>
            </w:pPr>
          </w:p>
        </w:tc>
        <w:tc>
          <w:tcPr>
            <w:tcW w:w="1500" w:type="dxa"/>
            <w:vAlign w:val="center"/>
          </w:tcPr>
          <w:p>
            <w:pPr>
              <w:jc w:val="center"/>
              <w:rPr>
                <w:rFonts w:eastAsia="Times New Roman"/>
                <w:bCs/>
              </w:rPr>
            </w:pPr>
          </w:p>
        </w:tc>
        <w:tc>
          <w:tcPr>
            <w:tcW w:w="1500" w:type="dxa"/>
            <w:vAlign w:val="center"/>
          </w:tcPr>
          <w:p>
            <w:pPr>
              <w:jc w:val="center"/>
              <w:rPr>
                <w:rFonts w:eastAsia="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900" w:type="dxa"/>
            <w:vAlign w:val="center"/>
          </w:tcPr>
          <w:p>
            <w:pPr>
              <w:jc w:val="center"/>
              <w:rPr>
                <w:rFonts w:eastAsia="Times New Roman"/>
                <w:bCs/>
              </w:rPr>
            </w:pPr>
            <w:r>
              <w:rPr>
                <w:rFonts w:hint="eastAsia" w:eastAsia="Times New Roman"/>
                <w:bCs/>
              </w:rPr>
              <w:t>月报视频</w:t>
            </w:r>
          </w:p>
        </w:tc>
        <w:tc>
          <w:tcPr>
            <w:tcW w:w="2636" w:type="dxa"/>
            <w:vAlign w:val="center"/>
          </w:tcPr>
          <w:p>
            <w:pPr>
              <w:jc w:val="center"/>
              <w:rPr>
                <w:rFonts w:hint="eastAsia" w:eastAsia="Times New Roman"/>
                <w:bCs/>
              </w:rPr>
            </w:pPr>
            <w:r>
              <w:rPr>
                <w:rFonts w:hint="eastAsia" w:eastAsia="Times New Roman"/>
                <w:bCs/>
              </w:rPr>
              <w:t>专业配音、配音合成到视频、画中画效果制作、后期其它制作及修改</w:t>
            </w:r>
          </w:p>
        </w:tc>
        <w:tc>
          <w:tcPr>
            <w:tcW w:w="670" w:type="dxa"/>
            <w:vAlign w:val="center"/>
          </w:tcPr>
          <w:p>
            <w:pPr>
              <w:jc w:val="center"/>
              <w:rPr>
                <w:rFonts w:eastAsia="Times New Roman"/>
                <w:bCs/>
              </w:rPr>
            </w:pPr>
            <w:r>
              <w:rPr>
                <w:rFonts w:hint="eastAsia" w:eastAsia="Times New Roman"/>
                <w:bCs/>
              </w:rPr>
              <w:t>次</w:t>
            </w:r>
          </w:p>
        </w:tc>
        <w:tc>
          <w:tcPr>
            <w:tcW w:w="725" w:type="dxa"/>
            <w:vAlign w:val="center"/>
          </w:tcPr>
          <w:p>
            <w:pPr>
              <w:jc w:val="center"/>
              <w:rPr>
                <w:rFonts w:hint="default" w:eastAsia="宋体"/>
                <w:bCs/>
                <w:lang w:val="en-US" w:eastAsia="zh-CN"/>
              </w:rPr>
            </w:pPr>
            <w:r>
              <w:rPr>
                <w:rFonts w:hint="eastAsia" w:eastAsia="宋体"/>
                <w:bCs/>
                <w:lang w:val="en-US" w:eastAsia="zh-CN"/>
              </w:rPr>
              <w:t>24</w:t>
            </w:r>
          </w:p>
        </w:tc>
        <w:tc>
          <w:tcPr>
            <w:tcW w:w="1410" w:type="dxa"/>
            <w:vAlign w:val="center"/>
          </w:tcPr>
          <w:p>
            <w:pPr>
              <w:jc w:val="center"/>
              <w:rPr>
                <w:rFonts w:eastAsia="Times New Roman"/>
                <w:bCs/>
              </w:rPr>
            </w:pPr>
          </w:p>
        </w:tc>
        <w:tc>
          <w:tcPr>
            <w:tcW w:w="1500" w:type="dxa"/>
            <w:vAlign w:val="center"/>
          </w:tcPr>
          <w:p>
            <w:pPr>
              <w:jc w:val="center"/>
              <w:rPr>
                <w:rFonts w:eastAsia="Times New Roman"/>
                <w:bCs/>
              </w:rPr>
            </w:pPr>
          </w:p>
        </w:tc>
        <w:tc>
          <w:tcPr>
            <w:tcW w:w="1500" w:type="dxa"/>
            <w:vAlign w:val="center"/>
          </w:tcPr>
          <w:p>
            <w:pPr>
              <w:jc w:val="center"/>
              <w:rPr>
                <w:rFonts w:eastAsia="Times New Roman"/>
                <w:bCs/>
              </w:rPr>
            </w:pPr>
            <w:r>
              <w:rPr>
                <w:rFonts w:hint="eastAsia" w:eastAsia="Times New Roman"/>
                <w:bCs/>
              </w:rPr>
              <w:t>无航拍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6341" w:type="dxa"/>
            <w:gridSpan w:val="5"/>
            <w:vAlign w:val="center"/>
          </w:tcPr>
          <w:p>
            <w:pPr>
              <w:jc w:val="center"/>
              <w:rPr>
                <w:rFonts w:eastAsia="Times New Roman"/>
                <w:b/>
              </w:rPr>
            </w:pPr>
            <w:r>
              <w:rPr>
                <w:rFonts w:hint="eastAsia" w:eastAsia="Times New Roman"/>
                <w:b/>
              </w:rPr>
              <w:t>合计</w:t>
            </w:r>
          </w:p>
        </w:tc>
        <w:tc>
          <w:tcPr>
            <w:tcW w:w="1500" w:type="dxa"/>
            <w:vAlign w:val="center"/>
          </w:tcPr>
          <w:p>
            <w:pPr>
              <w:jc w:val="center"/>
              <w:rPr>
                <w:rFonts w:eastAsia="Times New Roman"/>
                <w:b/>
              </w:rPr>
            </w:pPr>
          </w:p>
        </w:tc>
        <w:tc>
          <w:tcPr>
            <w:tcW w:w="1500" w:type="dxa"/>
            <w:vAlign w:val="center"/>
          </w:tcPr>
          <w:p>
            <w:pPr>
              <w:jc w:val="center"/>
              <w:rPr>
                <w:rFonts w:eastAsia="Times New Roman"/>
                <w:b/>
              </w:rPr>
            </w:pPr>
          </w:p>
        </w:tc>
      </w:tr>
    </w:tbl>
    <w:p>
      <w:pPr>
        <w:jc w:val="center"/>
        <w:rPr>
          <w:rFonts w:ascii="宋体" w:hAnsi="宋体" w:cs="宋体"/>
          <w:b/>
        </w:rPr>
      </w:pPr>
    </w:p>
    <w:p>
      <w:pPr>
        <w:jc w:val="left"/>
        <w:rPr>
          <w:rFonts w:ascii="宋体" w:hAnsi="宋体" w:cs="宋体"/>
          <w:szCs w:val="21"/>
        </w:rPr>
      </w:pPr>
    </w:p>
    <w:p>
      <w:pPr>
        <w:pStyle w:val="28"/>
        <w:spacing w:line="380" w:lineRule="exact"/>
        <w:ind w:firstLine="420" w:firstLineChars="200"/>
        <w:rPr>
          <w:rFonts w:ascii="宋体" w:hAnsi="宋体" w:cs="宋体"/>
          <w:b w:val="0"/>
          <w:bCs w:val="0"/>
          <w:sz w:val="21"/>
          <w:szCs w:val="21"/>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sectPr>
          <w:pgSz w:w="11906" w:h="16838"/>
          <w:pgMar w:top="1440" w:right="1800" w:bottom="1440" w:left="1800" w:header="851" w:footer="992" w:gutter="0"/>
          <w:cols w:space="720" w:num="1"/>
          <w:titlePg/>
          <w:docGrid w:type="lines" w:linePitch="312" w:charSpace="0"/>
        </w:sectPr>
      </w:pPr>
    </w:p>
    <w:p>
      <w:pPr>
        <w:jc w:val="both"/>
        <w:rPr>
          <w:rFonts w:ascii="宋体" w:hAnsi="宋体" w:cs="宋体"/>
          <w:b/>
        </w:rPr>
      </w:pPr>
    </w:p>
    <w:p>
      <w:pPr>
        <w:pStyle w:val="3"/>
        <w:spacing w:before="0" w:after="0" w:line="360" w:lineRule="auto"/>
        <w:jc w:val="center"/>
        <w:rPr>
          <w:rFonts w:ascii="宋体" w:hAnsi="宋体" w:cs="宋体"/>
        </w:rPr>
      </w:pPr>
      <w:bookmarkStart w:id="167" w:name="_Toc503951042"/>
      <w:bookmarkStart w:id="168" w:name="_Toc12440"/>
      <w:bookmarkStart w:id="169" w:name="_Toc513633963"/>
      <w:bookmarkStart w:id="170" w:name="_Toc514858706"/>
      <w:bookmarkStart w:id="171" w:name="_Toc2000410"/>
      <w:bookmarkStart w:id="172" w:name="_Toc447827048"/>
      <w:r>
        <w:rPr>
          <w:rFonts w:hint="eastAsia" w:ascii="宋体" w:hAnsi="宋体" w:cs="宋体"/>
        </w:rPr>
        <w:t>第六章  图  纸</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pPr>
        <w:jc w:val="center"/>
        <w:rPr>
          <w:rFonts w:ascii="宋体" w:hAnsi="宋体" w:cs="宋体"/>
          <w:b/>
        </w:rPr>
      </w:pPr>
      <w:r>
        <w:rPr>
          <w:rFonts w:hint="eastAsia" w:ascii="宋体" w:hAnsi="宋体" w:cs="宋体"/>
          <w:b/>
          <w:kern w:val="0"/>
          <w:sz w:val="24"/>
        </w:rPr>
        <w:t>无。</w:t>
      </w:r>
    </w:p>
    <w:p>
      <w:pPr>
        <w:spacing w:line="400" w:lineRule="exact"/>
        <w:rPr>
          <w:rFonts w:ascii="宋体" w:hAnsi="宋体" w:cs="宋体"/>
        </w:rPr>
      </w:pPr>
      <w:r>
        <w:rPr>
          <w:rFonts w:hint="eastAsia" w:ascii="宋体" w:hAnsi="宋体" w:cs="宋体"/>
        </w:rPr>
        <w:br w:type="page"/>
      </w:r>
      <w:bookmarkStart w:id="173" w:name="_Toc152042574"/>
      <w:bookmarkStart w:id="174" w:name="_Toc152045785"/>
      <w:bookmarkStart w:id="175" w:name="_Toc144974854"/>
    </w:p>
    <w:p>
      <w:pPr>
        <w:pStyle w:val="3"/>
        <w:spacing w:before="0" w:after="0" w:line="360" w:lineRule="auto"/>
        <w:jc w:val="center"/>
        <w:rPr>
          <w:rFonts w:ascii="宋体" w:hAnsi="宋体" w:cs="宋体"/>
        </w:rPr>
      </w:pPr>
      <w:bookmarkStart w:id="176" w:name="_Toc10887"/>
      <w:bookmarkStart w:id="177" w:name="_Toc503951043"/>
      <w:bookmarkStart w:id="178" w:name="_Toc246997096"/>
      <w:bookmarkStart w:id="179" w:name="_Toc246996353"/>
      <w:bookmarkStart w:id="180" w:name="_Toc2000411"/>
      <w:bookmarkStart w:id="181" w:name="_Toc247085870"/>
      <w:bookmarkStart w:id="182" w:name="_Toc179632804"/>
      <w:bookmarkStart w:id="183" w:name="_Toc514858707"/>
      <w:bookmarkStart w:id="184" w:name="_Toc513633964"/>
      <w:bookmarkStart w:id="185" w:name="_Toc447827049"/>
      <w:r>
        <w:rPr>
          <w:rFonts w:hint="eastAsia" w:ascii="宋体" w:hAnsi="宋体" w:cs="宋体"/>
        </w:rPr>
        <w:t>第七章  技术标准和工作要求</w:t>
      </w:r>
      <w:bookmarkEnd w:id="173"/>
      <w:bookmarkEnd w:id="174"/>
      <w:bookmarkEnd w:id="175"/>
      <w:bookmarkEnd w:id="176"/>
      <w:bookmarkEnd w:id="177"/>
      <w:bookmarkEnd w:id="178"/>
      <w:bookmarkEnd w:id="179"/>
      <w:bookmarkEnd w:id="180"/>
      <w:bookmarkEnd w:id="181"/>
      <w:bookmarkEnd w:id="182"/>
      <w:bookmarkEnd w:id="183"/>
      <w:bookmarkEnd w:id="184"/>
      <w:bookmarkEnd w:id="185"/>
    </w:p>
    <w:bookmarkEnd w:id="142"/>
    <w:bookmarkEnd w:id="143"/>
    <w:bookmarkEnd w:id="144"/>
    <w:bookmarkEnd w:id="145"/>
    <w:bookmarkEnd w:id="146"/>
    <w:bookmarkEnd w:id="147"/>
    <w:bookmarkEnd w:id="148"/>
    <w:p>
      <w:pPr>
        <w:adjustRightInd w:val="0"/>
        <w:snapToGrid w:val="0"/>
        <w:spacing w:line="360" w:lineRule="auto"/>
        <w:rPr>
          <w:b/>
          <w:bCs/>
          <w:sz w:val="24"/>
        </w:rPr>
      </w:pPr>
      <w:bookmarkStart w:id="186" w:name="_Toc2000412"/>
      <w:bookmarkStart w:id="187" w:name="_Toc12089"/>
      <w:bookmarkStart w:id="188" w:name="_Toc514858708"/>
      <w:bookmarkStart w:id="189" w:name="_Toc514430114"/>
      <w:bookmarkStart w:id="190" w:name="_Toc246997098"/>
      <w:bookmarkStart w:id="191" w:name="_Toc507320039"/>
      <w:bookmarkStart w:id="192" w:name="_Toc152042576"/>
      <w:bookmarkStart w:id="193" w:name="_Toc247085873"/>
      <w:bookmarkStart w:id="194" w:name="_Toc179632807"/>
      <w:bookmarkStart w:id="195" w:name="_Toc246996355"/>
      <w:bookmarkStart w:id="196" w:name="_Toc152045787"/>
      <w:bookmarkStart w:id="197" w:name="_Toc144974856"/>
      <w:r>
        <w:rPr>
          <w:rFonts w:hint="eastAsia"/>
          <w:b/>
          <w:bCs/>
          <w:sz w:val="24"/>
        </w:rPr>
        <w:t>一、技术标准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1．拍摄设备要求：</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符合行业要求的无人机设备及拍摄设备。</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2．拍摄方式要求：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需要提前对全线进行线路规划，根据实际地形结合施工线路，规划符合相关管理要求的航线，并由投标人对此负责。航拍线路应无遮挡，飞行高度不宜过高，应保证拍摄画面质量，飞行过程应从线路小里程位置开始往大里程巡航，选择合适的拍摄角度，巡航速度应保证最优的画面效果，巡航全程。</w:t>
      </w:r>
      <w:r>
        <w:rPr>
          <w:rFonts w:ascii="宋体" w:hAnsi="宋体" w:cs="宋体"/>
          <w:sz w:val="24"/>
        </w:rPr>
        <w:t xml:space="preserve">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视频录制格式：拍摄视频保存格式为1080P（分辨率1920*1080，30帧率），MP4格式。</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3．视频制作要求：</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(1)首先对拍摄的视频进行按顺序进行全线整理，并剪辑生成全线视频。</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(2)对整个线路标识主线线路走向，并区分桥梁和路基的颜色，可在观看汇报视频时，以引导视线了解线路走向。</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(3)对互通匝道进行画线标识，观看时可了解清楚匝道走向及施工情况。</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(4)视频右下角加入标段标识，可让观看者随时了解现在所看到的线路是哪个施工标段。</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(5)标识桥梁，隧道口，桥梁加入桥梁长度及结构，隧道口标识隧道左右幅长度及中心桩号。</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(6)加入桥梁，隧道，互通等主要构筑物的施工进度图表。</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(7)制作每个标段总的施工进度情况汇报。</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(8)制作视频片头。</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(9)增加标段进度情况配音以及重要节点工程配音，节点工程配音必须与画面匹配，画面根据配音长度，调整速度，以保证观看者听解说时，画面和图表必须是同步的。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(10)根据需求，调整视频速度及时长，全线视频均要体现，个别非重点区域可加速，但应保证加速10倍甚至更高速度时保持画面流畅。</w:t>
      </w:r>
    </w:p>
    <w:p>
      <w:pPr>
        <w:adjustRightInd w:val="0"/>
        <w:snapToGrid w:val="0"/>
        <w:spacing w:line="360" w:lineRule="auto"/>
        <w:rPr>
          <w:rFonts w:ascii="宋体" w:hAnsi="宋体" w:cs="宋体"/>
          <w:b/>
          <w:bCs/>
          <w:sz w:val="24"/>
        </w:rPr>
      </w:pPr>
      <w:r>
        <w:rPr>
          <w:rFonts w:hint="eastAsia" w:ascii="宋体" w:hAnsi="宋体" w:cs="宋体"/>
          <w:b/>
          <w:bCs/>
          <w:sz w:val="24"/>
        </w:rPr>
        <w:t>二、工作要求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1.人员要求：</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项目负责人1名，无人机驾驶员2名（持证），后期制作人员2名。</w:t>
      </w:r>
    </w:p>
    <w:p>
      <w:pPr>
        <w:adjustRightInd w:val="0"/>
        <w:snapToGrid w:val="0"/>
        <w:spacing w:line="360" w:lineRule="auto"/>
        <w:ind w:firstLine="200"/>
        <w:rPr>
          <w:rFonts w:ascii="宋体" w:hAnsi="宋体" w:cs="宋体"/>
          <w:sz w:val="24"/>
        </w:rPr>
      </w:pPr>
      <w:r>
        <w:rPr>
          <w:rFonts w:hint="eastAsia" w:ascii="宋体" w:hAnsi="宋体" w:cs="宋体"/>
          <w:sz w:val="24"/>
        </w:rPr>
        <w:t>2．驻场要求：</w:t>
      </w:r>
    </w:p>
    <w:p>
      <w:pPr>
        <w:adjustRightInd w:val="0"/>
        <w:snapToGrid w:val="0"/>
        <w:spacing w:line="360" w:lineRule="auto"/>
        <w:ind w:firstLine="200"/>
        <w:rPr>
          <w:rFonts w:ascii="宋体" w:hAnsi="宋体" w:cs="宋体"/>
          <w:sz w:val="24"/>
        </w:rPr>
      </w:pPr>
      <w:r>
        <w:rPr>
          <w:rFonts w:hint="eastAsia" w:ascii="宋体" w:hAnsi="宋体" w:cs="宋体"/>
          <w:sz w:val="24"/>
        </w:rPr>
        <w:t>为有效</w:t>
      </w:r>
      <w:r>
        <w:rPr>
          <w:rFonts w:hint="eastAsia"/>
          <w:sz w:val="24"/>
        </w:rPr>
        <w:t>保障航飞效果和施工信息的同步，</w:t>
      </w:r>
      <w:r>
        <w:rPr>
          <w:rFonts w:hint="eastAsia" w:ascii="宋体" w:hAnsi="宋体" w:cs="宋体"/>
          <w:sz w:val="24"/>
        </w:rPr>
        <w:t>投标人应在工程沿线择优设立办公场所，视频拍摄及制作期间人员应驻场办公。</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3．时间要求：</w:t>
      </w:r>
    </w:p>
    <w:p>
      <w:pPr>
        <w:adjustRightInd w:val="0"/>
        <w:snapToGrid w:val="0"/>
        <w:spacing w:line="360" w:lineRule="auto"/>
        <w:ind w:firstLine="480" w:firstLineChars="200"/>
        <w:rPr>
          <w:rFonts w:hint="eastAsia" w:ascii="宋体" w:hAnsi="宋体" w:cs="宋体"/>
          <w:sz w:val="24"/>
        </w:rPr>
      </w:pPr>
      <w:r>
        <w:rPr>
          <w:rFonts w:hint="eastAsia" w:ascii="宋体" w:hAnsi="宋体" w:cs="宋体"/>
          <w:sz w:val="24"/>
        </w:rPr>
        <w:t>季度汇报视频，要求从指令下达之日起10天内完成航飞和视频制作；月度汇报视频，要求从指令下达之日起5天内完成视频更新制作。</w:t>
      </w:r>
    </w:p>
    <w:p>
      <w:pPr>
        <w:pStyle w:val="2"/>
        <w:numPr>
          <w:ilvl w:val="0"/>
          <w:numId w:val="5"/>
        </w:numPr>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其他要求</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要求制作单位</w:t>
      </w:r>
      <w:r>
        <w:rPr>
          <w:rFonts w:hint="default" w:ascii="宋体" w:hAnsi="宋体" w:eastAsia="宋体" w:cs="宋体"/>
          <w:kern w:val="2"/>
          <w:sz w:val="24"/>
          <w:szCs w:val="24"/>
          <w:lang w:val="en-US" w:eastAsia="zh-CN" w:bidi="ar-SA"/>
        </w:rPr>
        <w:t>出具现场勘测报告</w:t>
      </w:r>
      <w:r>
        <w:rPr>
          <w:rFonts w:hint="eastAsia" w:ascii="宋体" w:hAnsi="宋体" w:eastAsia="宋体" w:cs="宋体"/>
          <w:kern w:val="2"/>
          <w:sz w:val="24"/>
          <w:szCs w:val="24"/>
          <w:lang w:val="en-US" w:eastAsia="zh-CN" w:bidi="ar-SA"/>
        </w:rPr>
        <w:t>。</w:t>
      </w:r>
    </w:p>
    <w:p>
      <w:pPr>
        <w:adjustRightInd w:val="0"/>
        <w:snapToGrid w:val="0"/>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br w:type="page"/>
      </w:r>
      <w:bookmarkEnd w:id="186"/>
      <w:bookmarkEnd w:id="187"/>
      <w:bookmarkEnd w:id="188"/>
      <w:bookmarkEnd w:id="189"/>
      <w:bookmarkStart w:id="198" w:name="_Toc513633965"/>
    </w:p>
    <w:p>
      <w:pPr>
        <w:spacing w:line="400" w:lineRule="exact"/>
        <w:ind w:firstLine="420" w:firstLineChars="200"/>
        <w:rPr>
          <w:rFonts w:ascii="宋体" w:hAnsi="宋体" w:cs="宋体"/>
        </w:rPr>
      </w:pPr>
    </w:p>
    <w:p>
      <w:pPr>
        <w:pStyle w:val="3"/>
        <w:spacing w:before="0" w:after="0" w:line="360" w:lineRule="auto"/>
        <w:jc w:val="center"/>
        <w:rPr>
          <w:rFonts w:ascii="宋体" w:hAnsi="宋体" w:cs="宋体"/>
        </w:rPr>
      </w:pPr>
      <w:bookmarkStart w:id="199" w:name="_Toc514858709"/>
      <w:bookmarkStart w:id="200" w:name="_Toc24853"/>
      <w:bookmarkStart w:id="201" w:name="_Toc2000413"/>
      <w:r>
        <w:rPr>
          <w:rFonts w:hint="eastAsia" w:ascii="宋体" w:hAnsi="宋体" w:cs="宋体"/>
        </w:rPr>
        <w:t>第八章  竞争性比选响应文件格式</w:t>
      </w:r>
      <w:bookmarkEnd w:id="198"/>
      <w:bookmarkEnd w:id="199"/>
      <w:bookmarkEnd w:id="200"/>
      <w:bookmarkEnd w:id="201"/>
    </w:p>
    <w:p>
      <w:pPr>
        <w:rPr>
          <w:rFonts w:ascii="宋体" w:hAnsi="宋体" w:cs="宋体"/>
        </w:rPr>
      </w:pPr>
    </w:p>
    <w:p>
      <w:pPr>
        <w:rPr>
          <w:rFonts w:ascii="宋体" w:hAnsi="宋体" w:cs="宋体"/>
        </w:rPr>
        <w:sectPr>
          <w:pgSz w:w="11906" w:h="16838"/>
          <w:pgMar w:top="1440" w:right="1803" w:bottom="1440" w:left="1803" w:header="851" w:footer="992" w:gutter="0"/>
          <w:cols w:space="720" w:num="1"/>
          <w:titlePg/>
          <w:docGrid w:type="lines" w:linePitch="319" w:charSpace="0"/>
        </w:sectPr>
      </w:pPr>
    </w:p>
    <w:p>
      <w:pPr>
        <w:rPr>
          <w:rFonts w:ascii="宋体" w:hAnsi="宋体" w:cs="宋体"/>
        </w:rPr>
      </w:pPr>
    </w:p>
    <w:p>
      <w:pPr>
        <w:jc w:val="center"/>
        <w:rPr>
          <w:rFonts w:ascii="宋体" w:hAnsi="宋体" w:cs="宋体"/>
          <w:sz w:val="52"/>
          <w:szCs w:val="52"/>
          <w:u w:val="single"/>
        </w:rPr>
      </w:pPr>
      <w:bookmarkStart w:id="202" w:name="_Toc514858710"/>
      <w:bookmarkStart w:id="203" w:name="_Toc503951046"/>
      <w:bookmarkStart w:id="204" w:name="_Toc503971829"/>
      <w:bookmarkStart w:id="205" w:name="_Toc513633967"/>
      <w:bookmarkStart w:id="206" w:name="_Toc513646738"/>
      <w:r>
        <w:rPr>
          <w:rFonts w:hint="eastAsia" w:ascii="宋体" w:hAnsi="宋体" w:cs="宋体"/>
          <w:u w:val="single"/>
        </w:rPr>
        <w:t xml:space="preserve">                           </w:t>
      </w:r>
      <w:r>
        <w:rPr>
          <w:rFonts w:hint="eastAsia" w:ascii="宋体" w:hAnsi="宋体" w:cs="宋体"/>
          <w:sz w:val="52"/>
          <w:szCs w:val="52"/>
          <w:u w:val="single"/>
        </w:rPr>
        <w:t>（项目名称）</w:t>
      </w:r>
      <w:bookmarkEnd w:id="202"/>
      <w:bookmarkEnd w:id="203"/>
      <w:bookmarkEnd w:id="204"/>
      <w:bookmarkEnd w:id="205"/>
      <w:bookmarkEnd w:id="206"/>
      <w:r>
        <w:rPr>
          <w:rFonts w:hint="eastAsia" w:ascii="宋体" w:hAnsi="宋体" w:cs="宋体"/>
          <w:sz w:val="52"/>
          <w:szCs w:val="52"/>
          <w:u w:val="single"/>
        </w:rPr>
        <w:t xml:space="preserve"> </w:t>
      </w:r>
    </w:p>
    <w:p>
      <w:pPr>
        <w:rPr>
          <w:rFonts w:ascii="宋体" w:hAnsi="宋体" w:cs="宋体"/>
          <w:sz w:val="20"/>
          <w:szCs w:val="20"/>
        </w:rPr>
      </w:pPr>
    </w:p>
    <w:p>
      <w:pPr>
        <w:jc w:val="center"/>
        <w:rPr>
          <w:rFonts w:ascii="宋体" w:hAnsi="宋体" w:cs="宋体"/>
          <w:sz w:val="44"/>
          <w:szCs w:val="44"/>
        </w:rPr>
      </w:pPr>
      <w:r>
        <w:rPr>
          <w:rFonts w:hint="eastAsia" w:ascii="宋体" w:hAnsi="宋体" w:cs="宋体"/>
          <w:sz w:val="44"/>
          <w:szCs w:val="44"/>
        </w:rPr>
        <w:t xml:space="preserve"> </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jc w:val="center"/>
        <w:rPr>
          <w:rFonts w:ascii="宋体" w:hAnsi="宋体" w:cs="宋体"/>
          <w:b/>
          <w:sz w:val="72"/>
          <w:szCs w:val="44"/>
        </w:rPr>
      </w:pPr>
      <w:r>
        <w:rPr>
          <w:rFonts w:hint="eastAsia" w:ascii="宋体" w:hAnsi="宋体" w:cs="宋体"/>
          <w:b/>
          <w:sz w:val="72"/>
          <w:szCs w:val="44"/>
        </w:rPr>
        <w:t>竞争性比选响应文件</w:t>
      </w:r>
    </w:p>
    <w:p>
      <w:pPr>
        <w:jc w:val="center"/>
        <w:rPr>
          <w:rFonts w:ascii="宋体" w:hAnsi="宋体" w:cs="宋体"/>
          <w:b/>
          <w:sz w:val="32"/>
          <w:szCs w:val="32"/>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pStyle w:val="28"/>
      </w:pPr>
    </w:p>
    <w:p/>
    <w:p>
      <w:pPr>
        <w:pStyle w:val="28"/>
      </w:pPr>
    </w:p>
    <w:p/>
    <w:p>
      <w:pPr>
        <w:pStyle w:val="28"/>
      </w:pPr>
    </w:p>
    <w:p>
      <w:pPr>
        <w:jc w:val="center"/>
        <w:rPr>
          <w:rFonts w:ascii="宋体" w:hAnsi="宋体" w:cs="宋体"/>
          <w:sz w:val="28"/>
          <w:szCs w:val="28"/>
          <w:u w:val="single"/>
        </w:rPr>
      </w:pPr>
      <w:r>
        <w:rPr>
          <w:rFonts w:hint="eastAsia" w:ascii="宋体" w:hAnsi="宋体" w:cs="宋体"/>
          <w:sz w:val="28"/>
          <w:szCs w:val="28"/>
        </w:rPr>
        <w:t>报价人：</w:t>
      </w:r>
      <w:r>
        <w:rPr>
          <w:rFonts w:hint="eastAsia" w:ascii="宋体" w:hAnsi="宋体" w:cs="宋体"/>
          <w:sz w:val="28"/>
          <w:szCs w:val="28"/>
          <w:u w:val="single"/>
        </w:rPr>
        <w:t xml:space="preserve">                              </w:t>
      </w:r>
      <w:r>
        <w:rPr>
          <w:rFonts w:hint="eastAsia" w:ascii="宋体" w:hAnsi="宋体" w:cs="宋体"/>
          <w:sz w:val="28"/>
          <w:szCs w:val="28"/>
        </w:rPr>
        <w:t>（盖单位鲜公章）</w:t>
      </w:r>
    </w:p>
    <w:p>
      <w:pPr>
        <w:jc w:val="center"/>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w:t>
      </w:r>
    </w:p>
    <w:p>
      <w:pPr>
        <w:jc w:val="center"/>
        <w:rPr>
          <w:rFonts w:ascii="宋体" w:hAnsi="宋体" w:cs="宋体"/>
          <w:sz w:val="20"/>
          <w:szCs w:val="20"/>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4"/>
        <w:jc w:val="center"/>
        <w:rPr>
          <w:rFonts w:ascii="宋体" w:hAnsi="宋体" w:eastAsia="宋体" w:cs="宋体"/>
        </w:rPr>
      </w:pPr>
      <w:bookmarkStart w:id="207" w:name="_Toc11329273"/>
      <w:bookmarkStart w:id="208" w:name="_Toc28780"/>
      <w:bookmarkStart w:id="209" w:name="_Toc1368"/>
      <w:bookmarkStart w:id="210" w:name="_Toc5459"/>
      <w:r>
        <w:rPr>
          <w:rFonts w:hint="eastAsia" w:ascii="宋体" w:hAnsi="宋体" w:eastAsia="宋体" w:cs="宋体"/>
        </w:rPr>
        <w:t>目    录</w:t>
      </w:r>
      <w:bookmarkEnd w:id="190"/>
      <w:bookmarkEnd w:id="191"/>
      <w:bookmarkEnd w:id="192"/>
      <w:bookmarkEnd w:id="193"/>
      <w:bookmarkEnd w:id="194"/>
      <w:bookmarkEnd w:id="195"/>
      <w:bookmarkEnd w:id="196"/>
      <w:bookmarkEnd w:id="197"/>
      <w:bookmarkEnd w:id="207"/>
      <w:bookmarkEnd w:id="208"/>
      <w:bookmarkEnd w:id="209"/>
      <w:bookmarkEnd w:id="210"/>
    </w:p>
    <w:p>
      <w:pPr>
        <w:numPr>
          <w:ilvl w:val="0"/>
          <w:numId w:val="6"/>
        </w:numPr>
        <w:spacing w:line="400" w:lineRule="exact"/>
        <w:rPr>
          <w:rFonts w:ascii="宋体" w:hAnsi="宋体" w:cs="宋体"/>
        </w:rPr>
      </w:pPr>
      <w:r>
        <w:rPr>
          <w:rFonts w:hint="eastAsia" w:ascii="宋体" w:hAnsi="宋体" w:cs="宋体"/>
        </w:rPr>
        <w:t>竞争性响应声明书</w:t>
      </w:r>
    </w:p>
    <w:p>
      <w:pPr>
        <w:numPr>
          <w:ilvl w:val="0"/>
          <w:numId w:val="6"/>
        </w:numPr>
        <w:spacing w:line="400" w:lineRule="exact"/>
        <w:rPr>
          <w:rFonts w:ascii="宋体" w:hAnsi="宋体" w:cs="宋体"/>
        </w:rPr>
      </w:pPr>
      <w:r>
        <w:rPr>
          <w:rFonts w:ascii="宋体" w:hAnsi="宋体" w:cs="宋体"/>
        </w:rPr>
        <w:t>法定代表人身份证明或法定代表人授权委托书</w:t>
      </w:r>
    </w:p>
    <w:p>
      <w:pPr>
        <w:spacing w:line="400" w:lineRule="exact"/>
        <w:rPr>
          <w:rFonts w:ascii="宋体" w:hAnsi="宋体" w:cs="宋体"/>
        </w:rPr>
      </w:pPr>
      <w:r>
        <w:rPr>
          <w:rFonts w:hint="eastAsia" w:ascii="宋体" w:hAnsi="宋体" w:cs="宋体"/>
        </w:rPr>
        <w:t>三、报价一览表</w:t>
      </w:r>
    </w:p>
    <w:p>
      <w:pPr>
        <w:spacing w:line="400" w:lineRule="exact"/>
        <w:rPr>
          <w:rFonts w:ascii="宋体" w:hAnsi="宋体" w:cs="宋体"/>
        </w:rPr>
      </w:pPr>
      <w:r>
        <w:rPr>
          <w:rFonts w:hint="eastAsia" w:ascii="宋体" w:hAnsi="宋体" w:cs="宋体"/>
        </w:rPr>
        <w:t>四、资格审查资料</w:t>
      </w:r>
    </w:p>
    <w:p>
      <w:pPr>
        <w:spacing w:line="400" w:lineRule="exact"/>
        <w:rPr>
          <w:rFonts w:ascii="宋体" w:hAnsi="宋体" w:cs="宋体"/>
          <w:szCs w:val="21"/>
        </w:rPr>
      </w:pPr>
      <w:r>
        <w:rPr>
          <w:rFonts w:hint="eastAsia" w:ascii="宋体" w:hAnsi="宋体" w:cs="宋体"/>
        </w:rPr>
        <w:t>五、</w:t>
      </w:r>
      <w:r>
        <w:rPr>
          <w:rFonts w:hint="eastAsia" w:ascii="宋体" w:hAnsi="宋体" w:cs="宋体"/>
          <w:szCs w:val="21"/>
        </w:rPr>
        <w:t>报价人须知前附表规定要求的资料</w:t>
      </w:r>
    </w:p>
    <w:p>
      <w:pPr>
        <w:spacing w:line="400" w:lineRule="exact"/>
        <w:rPr>
          <w:rFonts w:ascii="宋体" w:hAnsi="宋体" w:cs="宋体"/>
          <w:szCs w:val="21"/>
        </w:rPr>
      </w:pPr>
      <w:r>
        <w:rPr>
          <w:rFonts w:hint="eastAsia" w:ascii="宋体" w:hAnsi="宋体" w:cs="宋体"/>
          <w:szCs w:val="21"/>
        </w:rPr>
        <w:t>六、报价人基本信息及其他材料</w:t>
      </w:r>
    </w:p>
    <w:p>
      <w:pPr>
        <w:pStyle w:val="28"/>
        <w:rPr>
          <w:rFonts w:ascii="宋体" w:hAnsi="宋体" w:cs="宋体"/>
          <w:b w:val="0"/>
          <w:bCs w:val="0"/>
          <w:caps w:val="0"/>
          <w:sz w:val="21"/>
          <w:szCs w:val="21"/>
        </w:rPr>
      </w:pPr>
      <w:r>
        <w:rPr>
          <w:rFonts w:hint="eastAsia" w:ascii="宋体" w:hAnsi="宋体" w:cs="宋体"/>
          <w:b w:val="0"/>
          <w:bCs w:val="0"/>
          <w:caps w:val="0"/>
          <w:sz w:val="21"/>
          <w:szCs w:val="21"/>
        </w:rPr>
        <w:t>七、现场安全负责人承诺书</w:t>
      </w:r>
    </w:p>
    <w:p>
      <w:pPr>
        <w:spacing w:line="400" w:lineRule="exact"/>
        <w:rPr>
          <w:rFonts w:ascii="宋体" w:hAnsi="宋体" w:cs="宋体"/>
        </w:rPr>
      </w:pPr>
      <w:r>
        <w:rPr>
          <w:rFonts w:hint="eastAsia" w:ascii="宋体" w:hAnsi="宋体" w:cs="宋体"/>
        </w:rPr>
        <w:t xml:space="preserve"> </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r>
        <w:rPr>
          <w:rFonts w:ascii="宋体" w:hAnsi="宋体" w:cs="宋体"/>
        </w:rPr>
        <w:br w:type="page"/>
      </w:r>
    </w:p>
    <w:p>
      <w:pPr>
        <w:pStyle w:val="4"/>
        <w:spacing w:before="0" w:after="0" w:line="360" w:lineRule="auto"/>
        <w:jc w:val="center"/>
        <w:rPr>
          <w:rFonts w:ascii="宋体" w:hAnsi="宋体" w:eastAsia="宋体" w:cs="宋体"/>
          <w:sz w:val="28"/>
        </w:rPr>
      </w:pPr>
      <w:bookmarkStart w:id="211" w:name="_Toc8870"/>
      <w:bookmarkStart w:id="212" w:name="_Toc11329274"/>
      <w:bookmarkStart w:id="213" w:name="_Toc29547"/>
      <w:bookmarkStart w:id="214" w:name="_Toc25874"/>
      <w:bookmarkStart w:id="215" w:name="_Toc15863"/>
      <w:bookmarkStart w:id="216" w:name="_Toc503951048"/>
      <w:bookmarkStart w:id="217" w:name="_Toc513633969"/>
      <w:bookmarkStart w:id="218" w:name="_Toc447827053"/>
      <w:r>
        <w:rPr>
          <w:rFonts w:hint="eastAsia" w:ascii="宋体" w:hAnsi="宋体" w:eastAsia="宋体" w:cs="宋体"/>
          <w:sz w:val="28"/>
        </w:rPr>
        <w:t>一、</w:t>
      </w:r>
      <w:bookmarkEnd w:id="211"/>
      <w:bookmarkEnd w:id="212"/>
      <w:r>
        <w:rPr>
          <w:rFonts w:hint="eastAsia" w:ascii="宋体" w:hAnsi="宋体" w:eastAsia="宋体" w:cs="宋体"/>
          <w:sz w:val="28"/>
        </w:rPr>
        <w:t>竞争比选响应声明书</w:t>
      </w:r>
      <w:bookmarkEnd w:id="213"/>
      <w:bookmarkEnd w:id="214"/>
      <w:bookmarkEnd w:id="215"/>
    </w:p>
    <w:p>
      <w:pPr>
        <w:tabs>
          <w:tab w:val="left" w:pos="900"/>
        </w:tabs>
        <w:spacing w:line="300" w:lineRule="auto"/>
        <w:rPr>
          <w:rFonts w:ascii="Arial" w:hAnsi="Arial" w:cs="Arial"/>
          <w:color w:val="000000"/>
          <w:sz w:val="24"/>
        </w:rPr>
      </w:pPr>
      <w:r>
        <w:rPr>
          <w:rFonts w:ascii="Arial" w:hAnsi="Arial" w:cs="Arial"/>
          <w:color w:val="000000"/>
          <w:sz w:val="24"/>
        </w:rPr>
        <w:t xml:space="preserve"> </w:t>
      </w:r>
      <w:r>
        <w:rPr>
          <w:rFonts w:hint="eastAsia" w:ascii="Arial" w:hAnsi="Arial" w:cs="Arial"/>
          <w:b/>
          <w:color w:val="000000"/>
          <w:sz w:val="24"/>
        </w:rPr>
        <w:t>致：</w:t>
      </w:r>
      <w:r>
        <w:rPr>
          <w:rFonts w:hint="eastAsia" w:ascii="Arial" w:hAnsi="Arial" w:cs="Arial"/>
          <w:b/>
          <w:bCs/>
          <w:color w:val="000000"/>
          <w:sz w:val="24"/>
          <w:u w:val="single"/>
        </w:rPr>
        <w:t>重庆首讯科技股份有限公司</w:t>
      </w:r>
    </w:p>
    <w:p>
      <w:pPr>
        <w:spacing w:line="700" w:lineRule="atLeast"/>
        <w:ind w:firstLine="480" w:firstLineChars="200"/>
        <w:rPr>
          <w:rFonts w:ascii="Arial" w:hAnsi="Arial" w:cs="Arial"/>
          <w:color w:val="000000"/>
          <w:sz w:val="24"/>
        </w:rPr>
      </w:pPr>
      <w:r>
        <w:rPr>
          <w:rFonts w:hint="eastAsia" w:ascii="Arial" w:hAnsi="Arial" w:cs="Arial"/>
          <w:color w:val="000000"/>
          <w:sz w:val="24"/>
        </w:rPr>
        <w:t>根据贵</w:t>
      </w:r>
      <w:r>
        <w:rPr>
          <w:rFonts w:hint="eastAsia" w:ascii="Arial" w:hAnsi="Arial" w:cs="Arial"/>
          <w:sz w:val="24"/>
        </w:rPr>
        <w:t>方为</w:t>
      </w:r>
      <w:r>
        <w:rPr>
          <w:rFonts w:hint="eastAsia" w:ascii="Arial" w:hAnsi="Arial" w:cs="Arial"/>
          <w:color w:val="000000"/>
          <w:sz w:val="24"/>
          <w:u w:val="single"/>
          <w:lang w:val="en-US" w:eastAsia="zh-CN"/>
        </w:rPr>
        <w:t>渝赤叙高速（重庆段）航拍视频制作项目</w:t>
      </w:r>
      <w:r>
        <w:rPr>
          <w:rFonts w:hint="eastAsia" w:ascii="Arial" w:hAnsi="Arial" w:cs="Arial"/>
          <w:sz w:val="24"/>
        </w:rPr>
        <w:t>竞争比选项目及服</w:t>
      </w:r>
      <w:r>
        <w:rPr>
          <w:rFonts w:hint="eastAsia" w:ascii="Arial" w:hAnsi="Arial" w:cs="Arial"/>
          <w:color w:val="000000"/>
          <w:sz w:val="24"/>
        </w:rPr>
        <w:t>务的竞争比选邀请，签字代表</w:t>
      </w:r>
      <w:r>
        <w:rPr>
          <w:rFonts w:ascii="Arial" w:hAnsi="Arial" w:cs="Arial"/>
          <w:color w:val="000000"/>
          <w:sz w:val="24"/>
          <w:u w:val="single"/>
        </w:rPr>
        <w:t xml:space="preserve">          </w:t>
      </w:r>
      <w:r>
        <w:rPr>
          <w:rFonts w:hint="eastAsia" w:ascii="Arial" w:hAnsi="Arial" w:cs="Arial"/>
          <w:color w:val="000000"/>
          <w:sz w:val="24"/>
          <w:u w:val="single"/>
        </w:rPr>
        <w:t>（全名、职务）</w:t>
      </w:r>
      <w:r>
        <w:rPr>
          <w:rFonts w:hint="eastAsia" w:ascii="Arial" w:hAnsi="Arial" w:cs="Arial"/>
          <w:color w:val="000000"/>
          <w:sz w:val="24"/>
        </w:rPr>
        <w:t>经正式授权并代表竞争比选响应单位</w:t>
      </w:r>
      <w:r>
        <w:rPr>
          <w:rFonts w:hint="eastAsia" w:ascii="Arial" w:hAnsi="Arial" w:cs="Arial"/>
          <w:color w:val="000000"/>
          <w:sz w:val="24"/>
          <w:u w:val="single"/>
        </w:rPr>
        <w:t>（竞争比选响应单位名称）</w:t>
      </w:r>
      <w:r>
        <w:rPr>
          <w:rFonts w:ascii="Arial" w:hAnsi="Arial" w:cs="Arial"/>
          <w:color w:val="000000"/>
          <w:sz w:val="24"/>
          <w:u w:val="single"/>
        </w:rPr>
        <w:t xml:space="preserve"> </w:t>
      </w:r>
      <w:r>
        <w:rPr>
          <w:rFonts w:hint="eastAsia" w:ascii="Arial" w:hAnsi="Arial" w:cs="Arial"/>
          <w:color w:val="000000"/>
          <w:sz w:val="24"/>
        </w:rPr>
        <w:t>提交报价文件。</w:t>
      </w:r>
    </w:p>
    <w:p>
      <w:pPr>
        <w:spacing w:line="700" w:lineRule="atLeast"/>
        <w:ind w:firstLine="480" w:firstLineChars="200"/>
        <w:rPr>
          <w:rFonts w:ascii="Arial" w:hAnsi="Arial" w:cs="Arial"/>
          <w:color w:val="000000"/>
          <w:sz w:val="24"/>
          <w:u w:val="single"/>
        </w:rPr>
      </w:pPr>
      <w:r>
        <w:rPr>
          <w:rFonts w:hint="eastAsia" w:ascii="Arial" w:hAnsi="Arial" w:cs="Arial"/>
          <w:color w:val="000000"/>
          <w:sz w:val="24"/>
          <w:u w:val="single"/>
        </w:rPr>
        <w:t>我方愿以人民币：              元（大写              元）的报价总价按照竞争比选文件的要求，承担本次竞争比选文件要求的工程。</w:t>
      </w:r>
    </w:p>
    <w:p>
      <w:pPr>
        <w:tabs>
          <w:tab w:val="left" w:pos="540"/>
          <w:tab w:val="left" w:pos="900"/>
        </w:tabs>
        <w:spacing w:line="300" w:lineRule="auto"/>
        <w:rPr>
          <w:rFonts w:ascii="Arial" w:hAnsi="Arial" w:cs="Arial"/>
          <w:color w:val="000000"/>
          <w:sz w:val="24"/>
        </w:rPr>
      </w:pPr>
      <w:r>
        <w:rPr>
          <w:rFonts w:ascii="Arial" w:hAnsi="Arial" w:cs="Arial"/>
          <w:color w:val="000000"/>
          <w:sz w:val="24"/>
        </w:rPr>
        <w:t xml:space="preserve">    </w:t>
      </w:r>
    </w:p>
    <w:p>
      <w:pPr>
        <w:tabs>
          <w:tab w:val="left" w:pos="540"/>
          <w:tab w:val="left" w:pos="900"/>
        </w:tabs>
        <w:spacing w:line="300" w:lineRule="auto"/>
        <w:rPr>
          <w:rFonts w:ascii="Arial" w:hAnsi="Arial" w:cs="Arial"/>
          <w:color w:val="000000"/>
          <w:sz w:val="24"/>
        </w:rPr>
      </w:pPr>
      <w:r>
        <w:rPr>
          <w:rFonts w:hint="eastAsia" w:ascii="Arial" w:hAnsi="Arial" w:cs="Arial"/>
          <w:color w:val="000000"/>
          <w:sz w:val="24"/>
        </w:rPr>
        <w:t>据此函，签字代表宣布同意如下：</w:t>
      </w:r>
    </w:p>
    <w:p>
      <w:pPr>
        <w:tabs>
          <w:tab w:val="left" w:pos="540"/>
          <w:tab w:val="left" w:pos="900"/>
        </w:tabs>
        <w:spacing w:line="300" w:lineRule="auto"/>
        <w:rPr>
          <w:rFonts w:ascii="Arial" w:hAnsi="Arial" w:cs="Arial"/>
          <w:color w:val="000000"/>
          <w:sz w:val="24"/>
        </w:rPr>
      </w:pPr>
      <w:r>
        <w:rPr>
          <w:rFonts w:ascii="Arial" w:hAnsi="Arial" w:cs="Arial"/>
          <w:color w:val="000000"/>
          <w:sz w:val="24"/>
        </w:rPr>
        <w:t>1</w:t>
      </w:r>
      <w:r>
        <w:rPr>
          <w:rFonts w:hint="eastAsia" w:ascii="Arial" w:hAnsi="Arial" w:cs="Arial"/>
          <w:color w:val="000000"/>
          <w:sz w:val="24"/>
        </w:rPr>
        <w:t>、竞争比选响应单位将按竞争比选文件规定履行合同责任和义务。</w:t>
      </w:r>
    </w:p>
    <w:p>
      <w:pPr>
        <w:tabs>
          <w:tab w:val="left" w:pos="900"/>
        </w:tabs>
        <w:spacing w:line="300" w:lineRule="auto"/>
        <w:rPr>
          <w:rFonts w:ascii="Arial" w:hAnsi="Arial" w:cs="Arial"/>
          <w:b/>
          <w:color w:val="000000"/>
          <w:sz w:val="24"/>
        </w:rPr>
      </w:pPr>
      <w:r>
        <w:rPr>
          <w:rFonts w:ascii="Arial" w:hAnsi="Arial" w:cs="Arial"/>
          <w:color w:val="000000"/>
          <w:sz w:val="24"/>
        </w:rPr>
        <w:t>2</w:t>
      </w:r>
      <w:r>
        <w:rPr>
          <w:rFonts w:hint="eastAsia" w:ascii="Arial" w:hAnsi="Arial" w:cs="Arial"/>
          <w:color w:val="000000"/>
          <w:sz w:val="24"/>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rPr>
      </w:pPr>
      <w:r>
        <w:rPr>
          <w:rFonts w:hint="eastAsia" w:ascii="Arial" w:hAnsi="Arial" w:cs="Arial"/>
          <w:color w:val="000000"/>
          <w:sz w:val="24"/>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sz w:val="24"/>
        </w:rPr>
      </w:pPr>
      <w:r>
        <w:rPr>
          <w:rFonts w:hint="eastAsia" w:ascii="Arial" w:hAnsi="Arial" w:cs="Arial"/>
          <w:color w:val="000000"/>
          <w:sz w:val="24"/>
        </w:rPr>
        <w:t>4、与本竞争比选响应有关的一切正式往来通讯请寄：</w:t>
      </w:r>
    </w:p>
    <w:p>
      <w:pPr>
        <w:tabs>
          <w:tab w:val="left" w:pos="900"/>
        </w:tabs>
        <w:spacing w:line="300" w:lineRule="auto"/>
        <w:rPr>
          <w:rFonts w:ascii="Arial" w:hAnsi="Arial" w:cs="Arial"/>
          <w:b/>
          <w:color w:val="000000"/>
          <w:sz w:val="24"/>
        </w:rPr>
      </w:pPr>
      <w:r>
        <w:rPr>
          <w:rFonts w:hint="eastAsia" w:ascii="Arial" w:hAnsi="Arial" w:cs="Arial"/>
          <w:color w:val="000000"/>
          <w:sz w:val="24"/>
        </w:rPr>
        <w:t>地址：</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pPr>
        <w:tabs>
          <w:tab w:val="left" w:pos="900"/>
        </w:tabs>
        <w:spacing w:line="300" w:lineRule="auto"/>
        <w:rPr>
          <w:rFonts w:ascii="Arial" w:hAnsi="Arial" w:cs="Arial"/>
          <w:color w:val="000000"/>
          <w:sz w:val="24"/>
          <w:u w:val="single"/>
        </w:rPr>
      </w:pPr>
      <w:r>
        <w:rPr>
          <w:rFonts w:hint="eastAsia" w:ascii="Arial" w:hAnsi="Arial" w:cs="Arial"/>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传真：</w:t>
      </w:r>
      <w:r>
        <w:rPr>
          <w:rFonts w:ascii="Arial" w:hAnsi="Arial" w:cs="Arial"/>
          <w:color w:val="000000"/>
          <w:sz w:val="24"/>
          <w:u w:val="single"/>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竞争比选响应单位法定代表人或授权代表人（签字）：</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竞争比选响应单位法定代表人或授权代表人职务：</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color w:val="000000"/>
          <w:sz w:val="24"/>
        </w:rPr>
      </w:pPr>
      <w:r>
        <w:rPr>
          <w:rFonts w:hint="eastAsia" w:ascii="Arial" w:hAnsi="Arial" w:cs="Arial"/>
          <w:sz w:val="24"/>
        </w:rPr>
        <w:t>竞争比选响应单位名称（加盖公章）：</w:t>
      </w:r>
      <w:r>
        <w:rPr>
          <w:rFonts w:ascii="Arial" w:hAnsi="Arial" w:cs="Arial"/>
          <w:sz w:val="24"/>
          <w:u w:val="single"/>
        </w:rPr>
        <w:t xml:space="preserve">               </w:t>
      </w:r>
      <w:r>
        <w:rPr>
          <w:rFonts w:ascii="Arial" w:hAnsi="Arial" w:cs="Arial"/>
          <w:color w:val="000000"/>
          <w:sz w:val="24"/>
          <w:u w:val="single"/>
        </w:rPr>
        <w:t xml:space="preserve">                  </w:t>
      </w:r>
    </w:p>
    <w:p>
      <w:pPr>
        <w:tabs>
          <w:tab w:val="left" w:pos="900"/>
        </w:tabs>
        <w:spacing w:line="300" w:lineRule="auto"/>
        <w:rPr>
          <w:rFonts w:ascii="Arial" w:hAnsi="Arial" w:cs="Arial"/>
          <w:color w:val="000000"/>
          <w:sz w:val="24"/>
        </w:rPr>
      </w:pPr>
      <w:r>
        <w:rPr>
          <w:rFonts w:hint="eastAsia" w:ascii="Arial" w:hAnsi="Arial" w:cs="Arial"/>
          <w:color w:val="000000"/>
          <w:sz w:val="24"/>
        </w:rPr>
        <w:t>日期：</w:t>
      </w:r>
      <w:r>
        <w:rPr>
          <w:rFonts w:hint="eastAsia" w:ascii="Arial" w:hAnsi="Arial" w:cs="Arial"/>
          <w:color w:val="000000"/>
          <w:sz w:val="24"/>
          <w:u w:val="single"/>
        </w:rPr>
        <w:t xml:space="preserve">     </w:t>
      </w:r>
      <w:r>
        <w:rPr>
          <w:rFonts w:hint="eastAsia" w:ascii="Arial" w:hAnsi="Arial" w:cs="Arial"/>
          <w:color w:val="000000"/>
          <w:sz w:val="24"/>
        </w:rPr>
        <w:t>年</w:t>
      </w:r>
      <w:r>
        <w:rPr>
          <w:rFonts w:ascii="Arial" w:hAnsi="Arial" w:cs="Arial"/>
          <w:color w:val="000000"/>
          <w:sz w:val="24"/>
          <w:u w:val="single"/>
        </w:rPr>
        <w:t xml:space="preserve">      </w:t>
      </w:r>
      <w:r>
        <w:rPr>
          <w:rFonts w:hint="eastAsia" w:ascii="Arial" w:hAnsi="Arial" w:cs="Arial"/>
          <w:color w:val="000000"/>
          <w:sz w:val="24"/>
        </w:rPr>
        <w:t>月</w:t>
      </w:r>
      <w:r>
        <w:rPr>
          <w:rFonts w:ascii="Arial" w:hAnsi="Arial" w:cs="Arial"/>
          <w:color w:val="000000"/>
          <w:sz w:val="24"/>
          <w:u w:val="single"/>
        </w:rPr>
        <w:t xml:space="preserve">    </w:t>
      </w:r>
      <w:r>
        <w:rPr>
          <w:rFonts w:hint="eastAsia" w:ascii="Arial" w:hAnsi="Arial" w:cs="Arial"/>
          <w:color w:val="000000"/>
          <w:sz w:val="24"/>
          <w:u w:val="single"/>
        </w:rPr>
        <w:t xml:space="preserve">  </w:t>
      </w:r>
      <w:r>
        <w:rPr>
          <w:rFonts w:hint="eastAsia" w:ascii="Arial" w:hAnsi="Arial" w:cs="Arial"/>
          <w:color w:val="000000"/>
          <w:sz w:val="24"/>
        </w:rPr>
        <w:t>日</w:t>
      </w:r>
      <w:r>
        <w:rPr>
          <w:rFonts w:ascii="Arial" w:hAnsi="Arial" w:cs="Arial"/>
          <w:color w:val="000000"/>
          <w:sz w:val="24"/>
        </w:rPr>
        <w:t xml:space="preserve"> </w:t>
      </w:r>
    </w:p>
    <w:p>
      <w:pPr>
        <w:outlineLvl w:val="0"/>
        <w:rPr>
          <w:b/>
          <w:sz w:val="24"/>
        </w:rPr>
      </w:pPr>
    </w:p>
    <w:p>
      <w:pPr>
        <w:outlineLvl w:val="0"/>
        <w:rPr>
          <w:b/>
          <w:sz w:val="24"/>
        </w:rPr>
      </w:pPr>
    </w:p>
    <w:p>
      <w:pPr>
        <w:outlineLvl w:val="0"/>
        <w:rPr>
          <w:b/>
          <w:sz w:val="24"/>
        </w:rPr>
      </w:pPr>
    </w:p>
    <w:p>
      <w:pPr>
        <w:pStyle w:val="4"/>
        <w:jc w:val="center"/>
        <w:rPr>
          <w:rFonts w:ascii="宋体" w:hAnsi="宋体" w:eastAsia="宋体" w:cs="宋体"/>
          <w:sz w:val="28"/>
          <w:szCs w:val="28"/>
        </w:rPr>
      </w:pPr>
      <w:bookmarkStart w:id="219" w:name="_Toc27815"/>
      <w:bookmarkStart w:id="220" w:name="_Toc491883232"/>
      <w:r>
        <w:rPr>
          <w:rFonts w:hint="eastAsia" w:ascii="宋体" w:hAnsi="宋体" w:eastAsia="宋体" w:cs="宋体"/>
          <w:sz w:val="28"/>
          <w:szCs w:val="28"/>
        </w:rPr>
        <w:t>二、法定代表人身份证明或法定代表人授权委托书</w:t>
      </w:r>
      <w:bookmarkEnd w:id="219"/>
    </w:p>
    <w:p>
      <w:pPr>
        <w:pStyle w:val="4"/>
        <w:jc w:val="center"/>
        <w:rPr>
          <w:rFonts w:ascii="宋体" w:hAnsi="宋体" w:eastAsia="宋体" w:cs="宋体"/>
          <w:sz w:val="24"/>
          <w:szCs w:val="24"/>
        </w:rPr>
      </w:pPr>
      <w:bookmarkStart w:id="221" w:name="_Toc14141"/>
      <w:r>
        <w:rPr>
          <w:rFonts w:hint="eastAsia" w:ascii="宋体" w:hAnsi="宋体" w:eastAsia="宋体" w:cs="宋体"/>
          <w:sz w:val="24"/>
          <w:szCs w:val="24"/>
        </w:rPr>
        <w:t>（一）法定代表人身份证明</w:t>
      </w:r>
      <w:bookmarkEnd w:id="220"/>
      <w:bookmarkEnd w:id="221"/>
    </w:p>
    <w:p>
      <w:pPr>
        <w:spacing w:line="440" w:lineRule="exact"/>
        <w:rPr>
          <w:rFonts w:ascii="宋体" w:hAnsi="宋体"/>
        </w:rPr>
      </w:pPr>
      <w:r>
        <w:rPr>
          <w:rFonts w:hint="eastAsia" w:ascii="宋体" w:hAnsi="宋体"/>
        </w:rPr>
        <w:t>报价人</w:t>
      </w:r>
      <w:r>
        <w:rPr>
          <w:rFonts w:ascii="宋体" w:hAnsi="宋体"/>
        </w:rPr>
        <w:t>名称：</w:t>
      </w:r>
      <w:r>
        <w:rPr>
          <w:rFonts w:ascii="宋体" w:hAnsi="宋体"/>
          <w:u w:val="single"/>
        </w:rPr>
        <w:t xml:space="preserve">                        </w:t>
      </w:r>
    </w:p>
    <w:p>
      <w:pPr>
        <w:spacing w:line="440" w:lineRule="exact"/>
        <w:rPr>
          <w:rFonts w:ascii="宋体" w:hAnsi="宋体"/>
        </w:rPr>
      </w:pPr>
      <w:r>
        <w:rPr>
          <w:rFonts w:ascii="宋体" w:hAnsi="宋体"/>
        </w:rPr>
        <w:t>姓名：</w:t>
      </w:r>
      <w:r>
        <w:rPr>
          <w:rFonts w:ascii="宋体" w:hAnsi="宋体"/>
          <w:u w:val="single"/>
        </w:rPr>
        <w:t xml:space="preserve">                </w:t>
      </w:r>
      <w:r>
        <w:rPr>
          <w:rFonts w:ascii="宋体" w:hAnsi="宋体"/>
        </w:rPr>
        <w:t>性别：</w:t>
      </w:r>
      <w:bookmarkStart w:id="222" w:name="_Toc27897"/>
      <w:bookmarkStart w:id="223" w:name="_Toc352691662"/>
      <w:bookmarkStart w:id="224" w:name="_Toc369531698"/>
      <w:r>
        <w:rPr>
          <w:rFonts w:ascii="宋体" w:hAnsi="宋体"/>
          <w:u w:val="single"/>
        </w:rPr>
        <w:t xml:space="preserve">        </w:t>
      </w:r>
      <w:r>
        <w:rPr>
          <w:rFonts w:ascii="宋体" w:hAnsi="宋体"/>
        </w:rPr>
        <w:t>年</w:t>
      </w:r>
      <w:bookmarkEnd w:id="222"/>
      <w:bookmarkEnd w:id="223"/>
      <w:bookmarkEnd w:id="224"/>
      <w:r>
        <w:rPr>
          <w:rFonts w:ascii="宋体" w:hAnsi="宋体"/>
        </w:rPr>
        <w:t>龄</w:t>
      </w:r>
      <w:bookmarkStart w:id="225" w:name="_Toc300835211"/>
      <w:bookmarkStart w:id="226" w:name="_Toc144974858"/>
      <w:bookmarkStart w:id="227" w:name="_Toc15573"/>
      <w:bookmarkStart w:id="228" w:name="_Toc361508754"/>
      <w:bookmarkStart w:id="229" w:name="_Toc247527829"/>
      <w:bookmarkStart w:id="230" w:name="_Toc369531699"/>
      <w:bookmarkStart w:id="231" w:name="_Toc384308377"/>
      <w:bookmarkStart w:id="232" w:name="_Toc247514248"/>
      <w:bookmarkStart w:id="233" w:name="_Toc152042578"/>
      <w:bookmarkStart w:id="234" w:name="_Toc152045789"/>
      <w:bookmarkStart w:id="235" w:name="_Toc352691663"/>
      <w:r>
        <w:rPr>
          <w:rFonts w:ascii="宋体" w:hAnsi="宋体"/>
        </w:rPr>
        <w:t>：</w:t>
      </w:r>
      <w:bookmarkEnd w:id="225"/>
      <w:bookmarkEnd w:id="226"/>
      <w:bookmarkEnd w:id="227"/>
      <w:bookmarkEnd w:id="228"/>
      <w:bookmarkEnd w:id="229"/>
      <w:bookmarkEnd w:id="230"/>
      <w:bookmarkEnd w:id="231"/>
      <w:bookmarkEnd w:id="232"/>
      <w:bookmarkEnd w:id="233"/>
      <w:bookmarkEnd w:id="234"/>
      <w:bookmarkEnd w:id="235"/>
      <w:r>
        <w:rPr>
          <w:rFonts w:ascii="宋体" w:hAnsi="宋体"/>
          <w:u w:val="single"/>
        </w:rPr>
        <w:t xml:space="preserve">        </w:t>
      </w:r>
      <w:r>
        <w:rPr>
          <w:rFonts w:ascii="宋体" w:hAnsi="宋体"/>
        </w:rPr>
        <w:t>职务：</w:t>
      </w:r>
      <w:r>
        <w:rPr>
          <w:rFonts w:ascii="宋体" w:hAnsi="宋体"/>
          <w:u w:val="single"/>
        </w:rPr>
        <w:t xml:space="preserve">        </w:t>
      </w:r>
    </w:p>
    <w:p>
      <w:pPr>
        <w:spacing w:line="440" w:lineRule="exact"/>
        <w:rPr>
          <w:rFonts w:ascii="宋体" w:hAnsi="宋体"/>
        </w:rPr>
      </w:pPr>
      <w:r>
        <w:rPr>
          <w:rFonts w:ascii="宋体" w:hAnsi="宋体"/>
        </w:rPr>
        <w:t>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w:t>
      </w:r>
    </w:p>
    <w:p>
      <w:pPr>
        <w:spacing w:line="440" w:lineRule="exact"/>
        <w:ind w:firstLine="420" w:firstLineChars="200"/>
        <w:rPr>
          <w:rFonts w:ascii="宋体" w:hAnsi="宋体"/>
        </w:rPr>
      </w:pPr>
      <w:r>
        <w:rPr>
          <w:rFonts w:ascii="宋体" w:hAnsi="宋体"/>
        </w:rPr>
        <w:t>特此证明。</w:t>
      </w:r>
    </w:p>
    <w:p>
      <w:pPr>
        <w:spacing w:line="440" w:lineRule="exact"/>
        <w:rPr>
          <w:rFonts w:ascii="宋体" w:hAnsi="宋体"/>
        </w:rPr>
      </w:pPr>
    </w:p>
    <w:p>
      <w:pPr>
        <w:spacing w:line="440" w:lineRule="exact"/>
        <w:rPr>
          <w:rFonts w:ascii="宋体" w:hAnsi="宋体"/>
        </w:rPr>
      </w:pPr>
      <w:r>
        <w:rPr>
          <w:rFonts w:ascii="宋体" w:hAnsi="宋体"/>
        </w:rPr>
        <w:t>附：法定代表人身份证复印件</w:t>
      </w:r>
      <w:r>
        <w:rPr>
          <w:rFonts w:hint="eastAsia" w:ascii="宋体" w:hAnsi="宋体"/>
        </w:rPr>
        <w:t>（正、反面）</w:t>
      </w:r>
      <w:r>
        <w:rPr>
          <w:rFonts w:ascii="宋体" w:hAnsi="宋体"/>
        </w:rPr>
        <w:t>。</w:t>
      </w: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jc w:val="center"/>
        <w:rPr>
          <w:rFonts w:ascii="宋体" w:hAnsi="宋体"/>
        </w:rPr>
      </w:pPr>
      <w:r>
        <w:rPr>
          <w:rFonts w:ascii="宋体" w:hAnsi="宋体"/>
        </w:rPr>
        <w:t xml:space="preserve">                              </w:t>
      </w:r>
      <w:r>
        <w:rPr>
          <w:rFonts w:hint="eastAsia" w:ascii="宋体" w:hAnsi="宋体"/>
        </w:rPr>
        <w:t>报价人</w:t>
      </w:r>
      <w:r>
        <w:rPr>
          <w:rFonts w:ascii="宋体" w:hAnsi="宋体"/>
        </w:rPr>
        <w:t>：</w:t>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rPr>
          <w:rFonts w:ascii="宋体" w:hAnsi="宋体"/>
        </w:rPr>
      </w:pPr>
    </w:p>
    <w:p>
      <w:pPr>
        <w:spacing w:line="440" w:lineRule="exact"/>
        <w:ind w:firstLine="4620" w:firstLineChars="2200"/>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rPr>
      </w:pPr>
      <w:r>
        <w:rPr>
          <w:rFonts w:ascii="宋体" w:hAnsi="宋体"/>
        </w:rPr>
        <w:t>注：本身份证明需由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w:t>
      </w:r>
    </w:p>
    <w:p>
      <w:pPr>
        <w:spacing w:line="440" w:lineRule="exact"/>
        <w:rPr>
          <w:rFonts w:ascii="宋体" w:hAnsi="宋体"/>
          <w:sz w:val="20"/>
        </w:rPr>
      </w:pPr>
    </w:p>
    <w:p>
      <w:pPr>
        <w:spacing w:line="20" w:lineRule="exact"/>
        <w:jc w:val="center"/>
        <w:rPr>
          <w:rFonts w:ascii="宋体" w:hAnsi="宋体"/>
          <w:sz w:val="20"/>
        </w:rPr>
      </w:pPr>
      <w:r>
        <w:rPr>
          <w:rFonts w:ascii="宋体" w:hAnsi="宋体"/>
          <w:sz w:val="20"/>
        </w:rPr>
        <w:br w:type="page"/>
      </w:r>
    </w:p>
    <w:p>
      <w:pPr>
        <w:pStyle w:val="4"/>
        <w:jc w:val="center"/>
        <w:rPr>
          <w:rFonts w:ascii="宋体" w:hAnsi="宋体"/>
          <w:sz w:val="28"/>
          <w:szCs w:val="28"/>
        </w:rPr>
      </w:pPr>
      <w:bookmarkStart w:id="236" w:name="_Toc491883233"/>
      <w:bookmarkStart w:id="237" w:name="_Toc58"/>
      <w:r>
        <w:rPr>
          <w:rFonts w:hint="eastAsia" w:ascii="宋体" w:hAnsi="宋体" w:eastAsia="宋体" w:cs="宋体"/>
          <w:sz w:val="24"/>
          <w:szCs w:val="24"/>
        </w:rPr>
        <w:t>（二）</w:t>
      </w:r>
      <w:bookmarkEnd w:id="236"/>
      <w:r>
        <w:rPr>
          <w:rFonts w:hint="eastAsia" w:ascii="宋体" w:hAnsi="宋体" w:eastAsia="宋体" w:cs="宋体"/>
          <w:sz w:val="24"/>
          <w:szCs w:val="24"/>
        </w:rPr>
        <w:t>法定代表人授权委托书</w:t>
      </w:r>
      <w:bookmarkEnd w:id="237"/>
    </w:p>
    <w:p>
      <w:pPr>
        <w:topLinePunct/>
        <w:spacing w:line="440" w:lineRule="exact"/>
        <w:ind w:firstLine="420" w:firstLineChars="200"/>
        <w:rPr>
          <w:rFonts w:ascii="宋体" w:hAnsi="宋体"/>
        </w:rPr>
      </w:pPr>
      <w:r>
        <w:rPr>
          <w:rFonts w:ascii="宋体" w:hAnsi="宋体"/>
        </w:rPr>
        <w:t>本人</w:t>
      </w:r>
      <w:r>
        <w:rPr>
          <w:rFonts w:ascii="宋体" w:hAnsi="宋体"/>
          <w:u w:val="single"/>
        </w:rPr>
        <w:t xml:space="preserve">              </w:t>
      </w:r>
      <w:r>
        <w:rPr>
          <w:rFonts w:ascii="宋体" w:hAnsi="宋体"/>
        </w:rPr>
        <w:t>（姓名）系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名称）的法定代表人，现委托</w:t>
      </w:r>
      <w:r>
        <w:rPr>
          <w:rFonts w:ascii="宋体" w:hAnsi="宋体"/>
          <w:u w:val="single"/>
        </w:rPr>
        <w:t xml:space="preserve">            </w:t>
      </w:r>
      <w:r>
        <w:rPr>
          <w:rFonts w:ascii="宋体" w:hAnsi="宋体"/>
        </w:rPr>
        <w:t>（姓名）为我方代理人。代理人根据授权，以我方名义签署、澄清确认、递交、撤回、修改招标项目</w:t>
      </w:r>
      <w:r>
        <w:rPr>
          <w:rFonts w:hint="eastAsia" w:ascii="宋体" w:hAnsi="宋体"/>
        </w:rPr>
        <w:t>比选</w:t>
      </w:r>
      <w:r>
        <w:rPr>
          <w:rFonts w:ascii="宋体" w:hAnsi="宋体"/>
        </w:rPr>
        <w:t>文件、签订合同和处理有关事宜，其法律后果由我方承担。</w:t>
      </w:r>
    </w:p>
    <w:p>
      <w:pPr>
        <w:spacing w:line="440" w:lineRule="exact"/>
        <w:rPr>
          <w:rFonts w:ascii="宋体" w:hAnsi="宋体"/>
        </w:rPr>
      </w:pPr>
      <w:r>
        <w:rPr>
          <w:rFonts w:ascii="宋体" w:hAnsi="宋体"/>
        </w:rPr>
        <w:t>委托期限：</w:t>
      </w:r>
      <w:r>
        <w:rPr>
          <w:rFonts w:ascii="宋体" w:hAnsi="宋体"/>
          <w:u w:val="single"/>
        </w:rPr>
        <w:t xml:space="preserve">                       </w:t>
      </w:r>
      <w:r>
        <w:rPr>
          <w:rFonts w:ascii="宋体" w:hAnsi="宋体"/>
        </w:rPr>
        <w:t>。</w:t>
      </w:r>
    </w:p>
    <w:p>
      <w:pPr>
        <w:spacing w:line="440" w:lineRule="exact"/>
        <w:ind w:firstLine="420" w:firstLineChars="200"/>
        <w:rPr>
          <w:rFonts w:ascii="宋体" w:hAnsi="宋体"/>
        </w:rPr>
      </w:pPr>
      <w:r>
        <w:rPr>
          <w:rFonts w:ascii="宋体" w:hAnsi="宋体"/>
        </w:rPr>
        <w:t>代理人无转委托权。</w:t>
      </w:r>
    </w:p>
    <w:p>
      <w:pPr>
        <w:spacing w:line="440" w:lineRule="exact"/>
        <w:ind w:firstLine="420" w:firstLineChars="200"/>
        <w:rPr>
          <w:rFonts w:ascii="宋体" w:hAnsi="宋体"/>
        </w:rPr>
      </w:pPr>
    </w:p>
    <w:p>
      <w:pPr>
        <w:spacing w:line="440" w:lineRule="exact"/>
        <w:rPr>
          <w:rFonts w:ascii="宋体" w:hAnsi="宋体"/>
        </w:rPr>
      </w:pPr>
      <w:r>
        <w:rPr>
          <w:rFonts w:ascii="宋体" w:hAnsi="宋体"/>
        </w:rPr>
        <w:t>附：法定代表人身份证复印件及委托代理人身份证复印件</w:t>
      </w:r>
      <w:r>
        <w:rPr>
          <w:rFonts w:hint="eastAsia" w:ascii="宋体" w:hAnsi="宋体"/>
        </w:rPr>
        <w:t>（正、反面）</w:t>
      </w: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ind w:firstLine="2692" w:firstLineChars="1282"/>
        <w:rPr>
          <w:rFonts w:ascii="宋体" w:hAnsi="宋体"/>
        </w:rPr>
      </w:pPr>
      <w:r>
        <w:rPr>
          <w:rFonts w:hint="eastAsia" w:ascii="宋体" w:hAnsi="宋体"/>
        </w:rPr>
        <w:t>报  价  人</w:t>
      </w:r>
      <w:r>
        <w:rPr>
          <w:rFonts w:ascii="宋体" w:hAnsi="宋体"/>
        </w:rPr>
        <w:t>：</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ind w:firstLine="2690" w:firstLineChars="1281"/>
        <w:jc w:val="left"/>
        <w:rPr>
          <w:rFonts w:ascii="宋体" w:hAnsi="宋体"/>
        </w:rPr>
      </w:pPr>
      <w:r>
        <w:rPr>
          <w:rFonts w:ascii="宋体" w:hAnsi="宋体"/>
        </w:rPr>
        <w:t>法定代表人：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ab/>
      </w:r>
      <w:r>
        <w:rPr>
          <w:rFonts w:ascii="宋体" w:hAnsi="宋体"/>
        </w:rPr>
        <w:t>（签字</w:t>
      </w:r>
      <w:r>
        <w:rPr>
          <w:rFonts w:hint="eastAsia" w:ascii="宋体" w:hAnsi="宋体"/>
        </w:rPr>
        <w:t xml:space="preserve"> </w:t>
      </w:r>
      <w:r>
        <w:rPr>
          <w:rFonts w:ascii="宋体" w:hAnsi="宋体"/>
        </w:rPr>
        <w:t>）</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r>
        <w:rPr>
          <w:rFonts w:ascii="宋体" w:hAnsi="宋体"/>
        </w:rPr>
        <w:t>委托代理人：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（签字）</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p>
    <w:p>
      <w:pPr>
        <w:spacing w:line="440" w:lineRule="exact"/>
        <w:ind w:firstLine="4057" w:firstLineChars="1932"/>
        <w:jc w:val="right"/>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rPr>
      </w:pPr>
      <w:r>
        <w:rPr>
          <w:rFonts w:ascii="宋体" w:hAnsi="宋体"/>
        </w:rPr>
        <w:t>注：本授权委托书需由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并由其法定代表人和委托代理人签字。</w:t>
      </w:r>
    </w:p>
    <w:p>
      <w:pPr>
        <w:pStyle w:val="28"/>
        <w:sectPr>
          <w:pgSz w:w="11906" w:h="16838"/>
          <w:pgMar w:top="1440" w:right="1803" w:bottom="1440" w:left="1803" w:header="851" w:footer="992" w:gutter="0"/>
          <w:cols w:space="720" w:num="1"/>
          <w:titlePg/>
          <w:docGrid w:type="lines" w:linePitch="319" w:charSpace="0"/>
        </w:sectPr>
      </w:pPr>
    </w:p>
    <w:p>
      <w:pPr>
        <w:rPr>
          <w:rFonts w:ascii="宋体" w:hAnsi="宋体" w:cs="宋体"/>
          <w:snapToGrid w:val="0"/>
          <w:kern w:val="0"/>
          <w:szCs w:val="21"/>
        </w:rPr>
      </w:pPr>
    </w:p>
    <w:p>
      <w:pPr>
        <w:jc w:val="center"/>
        <w:rPr>
          <w:rFonts w:ascii="宋体" w:hAnsi="宋体" w:cs="宋体"/>
          <w:b/>
        </w:rPr>
      </w:pPr>
      <w:bookmarkStart w:id="238" w:name="_Toc11329275"/>
      <w:r>
        <w:rPr>
          <w:rFonts w:hint="eastAsia" w:ascii="宋体" w:hAnsi="宋体" w:cs="宋体"/>
          <w:b/>
          <w:bCs/>
          <w:kern w:val="0"/>
          <w:sz w:val="28"/>
          <w:szCs w:val="32"/>
        </w:rPr>
        <w:t>三、</w:t>
      </w:r>
      <w:bookmarkEnd w:id="216"/>
      <w:bookmarkEnd w:id="217"/>
      <w:bookmarkEnd w:id="218"/>
      <w:bookmarkEnd w:id="238"/>
      <w:r>
        <w:rPr>
          <w:rFonts w:hint="eastAsia" w:ascii="宋体" w:hAnsi="宋体" w:cs="宋体"/>
          <w:b/>
          <w:bCs/>
          <w:kern w:val="0"/>
          <w:sz w:val="28"/>
          <w:szCs w:val="32"/>
        </w:rPr>
        <w:t>报价一览表</w:t>
      </w:r>
    </w:p>
    <w:p>
      <w:pPr>
        <w:ind w:left="765"/>
        <w:jc w:val="center"/>
        <w:rPr>
          <w:rFonts w:ascii="宋体" w:hAnsi="宋体" w:cs="宋体"/>
          <w:szCs w:val="21"/>
        </w:rPr>
      </w:pPr>
    </w:p>
    <w:p>
      <w:pPr>
        <w:pStyle w:val="38"/>
        <w:jc w:val="both"/>
        <w:rPr>
          <w:rFonts w:hAnsi="宋体"/>
        </w:rPr>
      </w:pPr>
      <w:r>
        <w:rPr>
          <w:rFonts w:hint="eastAsia" w:hAnsi="宋体"/>
        </w:rPr>
        <w:t>重庆首讯科技股份有限公司：</w:t>
      </w:r>
    </w:p>
    <w:p>
      <w:pPr>
        <w:spacing w:line="360" w:lineRule="auto"/>
        <w:ind w:firstLine="480" w:firstLineChars="200"/>
        <w:jc w:val="left"/>
        <w:rPr>
          <w:rFonts w:ascii="宋体" w:hAnsi="宋体"/>
          <w:b/>
          <w:color w:val="000000"/>
          <w:sz w:val="24"/>
        </w:rPr>
      </w:pPr>
      <w:r>
        <w:rPr>
          <w:rFonts w:hint="eastAsia" w:ascii="宋体" w:hAnsi="宋体"/>
          <w:color w:val="000000"/>
          <w:sz w:val="24"/>
        </w:rPr>
        <w:t>在研究了竞争比选文件中所有文件后，我司对</w:t>
      </w:r>
      <w:r>
        <w:rPr>
          <w:rFonts w:hint="eastAsia" w:ascii="Arial" w:hAnsi="Arial" w:cs="Arial"/>
          <w:color w:val="000000"/>
          <w:sz w:val="24"/>
          <w:u w:val="single"/>
          <w:lang w:val="en-US" w:eastAsia="zh-CN"/>
        </w:rPr>
        <w:t>渝赤叙高速（重庆段）航拍视频制作项目</w:t>
      </w:r>
      <w:r>
        <w:rPr>
          <w:rFonts w:hint="eastAsia" w:ascii="宋体" w:hAnsi="宋体"/>
          <w:color w:val="000000"/>
          <w:sz w:val="24"/>
        </w:rPr>
        <w:t>竞</w:t>
      </w:r>
      <w:r>
        <w:rPr>
          <w:rFonts w:hint="eastAsia" w:ascii="Arial" w:hAnsi="Arial" w:cs="Arial"/>
          <w:color w:val="000000"/>
          <w:sz w:val="24"/>
        </w:rPr>
        <w:t>争比选响应</w:t>
      </w:r>
      <w:r>
        <w:rPr>
          <w:rFonts w:hint="eastAsia" w:ascii="宋体" w:hAnsi="宋体"/>
          <w:color w:val="000000"/>
          <w:sz w:val="24"/>
        </w:rPr>
        <w:t>报价如下：</w:t>
      </w:r>
      <w:r>
        <w:rPr>
          <w:rFonts w:hint="eastAsia" w:ascii="宋体" w:hAnsi="宋体"/>
          <w:b/>
          <w:color w:val="000000"/>
          <w:sz w:val="24"/>
        </w:rPr>
        <w:t xml:space="preserve"> </w:t>
      </w:r>
    </w:p>
    <w:p>
      <w:pPr>
        <w:tabs>
          <w:tab w:val="left" w:pos="1680"/>
          <w:tab w:val="left" w:pos="4215"/>
          <w:tab w:val="left" w:pos="4305"/>
          <w:tab w:val="left" w:pos="8000"/>
        </w:tabs>
        <w:autoSpaceDE w:val="0"/>
        <w:autoSpaceDN w:val="0"/>
        <w:adjustRightInd w:val="0"/>
        <w:snapToGrid w:val="0"/>
        <w:spacing w:line="360" w:lineRule="auto"/>
        <w:ind w:firstLine="482" w:firstLineChars="200"/>
        <w:rPr>
          <w:rFonts w:ascii="宋体" w:hAnsi="宋体" w:cs="宋体"/>
          <w:b/>
          <w:kern w:val="0"/>
          <w:sz w:val="28"/>
          <w:szCs w:val="28"/>
        </w:rPr>
      </w:pPr>
      <w:r>
        <w:rPr>
          <w:rFonts w:hint="eastAsia" w:ascii="宋体" w:hAnsi="宋体"/>
          <w:b/>
          <w:bCs/>
          <w:color w:val="000000"/>
          <w:sz w:val="24"/>
        </w:rPr>
        <w:t>报价采用表格形式，见“工程量清单”。</w:t>
      </w:r>
      <w:r>
        <w:rPr>
          <w:rFonts w:hint="eastAsia" w:ascii="宋体" w:hAnsi="宋体" w:cs="宋体"/>
          <w:b/>
          <w:kern w:val="0"/>
          <w:sz w:val="28"/>
          <w:szCs w:val="28"/>
        </w:rPr>
        <w:t xml:space="preserve"> </w:t>
      </w:r>
    </w:p>
    <w:p>
      <w:pPr>
        <w:spacing w:line="400" w:lineRule="exact"/>
        <w:rPr>
          <w:rFonts w:ascii="宋体" w:hAnsi="宋体" w:cs="宋体"/>
          <w:kern w:val="0"/>
          <w:szCs w:val="21"/>
        </w:rPr>
      </w:pPr>
    </w:p>
    <w:tbl>
      <w:tblPr>
        <w:tblStyle w:val="44"/>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636"/>
        <w:gridCol w:w="670"/>
        <w:gridCol w:w="725"/>
        <w:gridCol w:w="1410"/>
        <w:gridCol w:w="150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900" w:type="dxa"/>
            <w:shd w:val="clear" w:color="auto" w:fill="auto"/>
            <w:vAlign w:val="center"/>
          </w:tcPr>
          <w:p>
            <w:pPr>
              <w:jc w:val="center"/>
              <w:rPr>
                <w:rFonts w:eastAsia="Times New Roman"/>
                <w:b/>
              </w:rPr>
            </w:pPr>
            <w:bookmarkStart w:id="239" w:name="_Toc503951050"/>
            <w:bookmarkStart w:id="240" w:name="_Toc11329278"/>
            <w:bookmarkStart w:id="241" w:name="_Toc513633971"/>
            <w:bookmarkStart w:id="242" w:name="_Toc246996369"/>
            <w:bookmarkStart w:id="243" w:name="_Toc247085887"/>
            <w:bookmarkStart w:id="244" w:name="_Toc447827058"/>
            <w:bookmarkStart w:id="245" w:name="_Toc152042592"/>
            <w:bookmarkStart w:id="246" w:name="_Toc152045803"/>
            <w:bookmarkStart w:id="247" w:name="_Toc246997112"/>
            <w:bookmarkStart w:id="248" w:name="_Toc144974871"/>
            <w:bookmarkStart w:id="249" w:name="_Toc179632823"/>
            <w:r>
              <w:rPr>
                <w:rFonts w:hint="eastAsia" w:eastAsia="Times New Roman"/>
                <w:b/>
              </w:rPr>
              <w:t>指标项</w:t>
            </w:r>
          </w:p>
        </w:tc>
        <w:tc>
          <w:tcPr>
            <w:tcW w:w="2636" w:type="dxa"/>
            <w:shd w:val="clear" w:color="auto" w:fill="auto"/>
            <w:vAlign w:val="center"/>
          </w:tcPr>
          <w:p>
            <w:pPr>
              <w:jc w:val="center"/>
              <w:rPr>
                <w:rFonts w:hint="default" w:eastAsia="宋体"/>
                <w:b/>
                <w:lang w:val="en-US" w:eastAsia="zh-CN"/>
              </w:rPr>
            </w:pPr>
            <w:r>
              <w:rPr>
                <w:rFonts w:hint="eastAsia" w:eastAsia="宋体"/>
                <w:b/>
                <w:lang w:val="en-US" w:eastAsia="zh-CN"/>
              </w:rPr>
              <w:t>制作要求</w:t>
            </w:r>
          </w:p>
        </w:tc>
        <w:tc>
          <w:tcPr>
            <w:tcW w:w="670" w:type="dxa"/>
            <w:shd w:val="clear" w:color="auto" w:fill="auto"/>
            <w:vAlign w:val="center"/>
          </w:tcPr>
          <w:p>
            <w:pPr>
              <w:jc w:val="center"/>
              <w:rPr>
                <w:rFonts w:eastAsia="Times New Roman"/>
                <w:b/>
              </w:rPr>
            </w:pPr>
            <w:r>
              <w:rPr>
                <w:rFonts w:hint="eastAsia" w:eastAsia="Times New Roman"/>
                <w:b/>
              </w:rPr>
              <w:t>单位</w:t>
            </w:r>
          </w:p>
        </w:tc>
        <w:tc>
          <w:tcPr>
            <w:tcW w:w="725" w:type="dxa"/>
            <w:shd w:val="clear" w:color="auto" w:fill="auto"/>
            <w:vAlign w:val="center"/>
          </w:tcPr>
          <w:p>
            <w:pPr>
              <w:jc w:val="center"/>
              <w:rPr>
                <w:rFonts w:eastAsia="Times New Roman"/>
                <w:b/>
              </w:rPr>
            </w:pPr>
            <w:r>
              <w:rPr>
                <w:rFonts w:hint="eastAsia" w:eastAsia="Times New Roman"/>
                <w:b/>
              </w:rPr>
              <w:t>数量</w:t>
            </w:r>
          </w:p>
        </w:tc>
        <w:tc>
          <w:tcPr>
            <w:tcW w:w="1410" w:type="dxa"/>
            <w:shd w:val="clear" w:color="auto" w:fill="auto"/>
            <w:vAlign w:val="center"/>
          </w:tcPr>
          <w:p>
            <w:pPr>
              <w:jc w:val="center"/>
              <w:rPr>
                <w:rFonts w:eastAsia="Times New Roman"/>
                <w:b/>
              </w:rPr>
            </w:pPr>
            <w:r>
              <w:rPr>
                <w:rFonts w:hint="eastAsia" w:eastAsia="Times New Roman"/>
                <w:b/>
              </w:rPr>
              <w:t>单价（元）</w:t>
            </w:r>
          </w:p>
        </w:tc>
        <w:tc>
          <w:tcPr>
            <w:tcW w:w="1500" w:type="dxa"/>
            <w:shd w:val="clear" w:color="auto" w:fill="auto"/>
            <w:vAlign w:val="center"/>
          </w:tcPr>
          <w:p>
            <w:pPr>
              <w:jc w:val="center"/>
              <w:rPr>
                <w:rFonts w:eastAsia="Times New Roman"/>
                <w:b/>
              </w:rPr>
            </w:pPr>
            <w:r>
              <w:rPr>
                <w:rFonts w:hint="eastAsia" w:eastAsia="Times New Roman"/>
                <w:b/>
              </w:rPr>
              <w:t>小计（元）</w:t>
            </w:r>
          </w:p>
        </w:tc>
        <w:tc>
          <w:tcPr>
            <w:tcW w:w="1500" w:type="dxa"/>
            <w:shd w:val="clear" w:color="auto" w:fill="auto"/>
            <w:vAlign w:val="center"/>
          </w:tcPr>
          <w:p>
            <w:pPr>
              <w:jc w:val="center"/>
              <w:rPr>
                <w:rFonts w:eastAsia="Times New Roman"/>
                <w:b/>
              </w:rPr>
            </w:pPr>
            <w:r>
              <w:rPr>
                <w:rFonts w:hint="eastAsia" w:eastAsia="Times New Roman"/>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00" w:type="dxa"/>
            <w:vAlign w:val="center"/>
          </w:tcPr>
          <w:p>
            <w:pPr>
              <w:jc w:val="center"/>
              <w:rPr>
                <w:rFonts w:eastAsia="Times New Roman"/>
                <w:bCs/>
              </w:rPr>
            </w:pPr>
            <w:r>
              <w:rPr>
                <w:rFonts w:hint="eastAsia" w:eastAsia="Times New Roman"/>
                <w:bCs/>
              </w:rPr>
              <w:t>季度汇报视频</w:t>
            </w:r>
          </w:p>
        </w:tc>
        <w:tc>
          <w:tcPr>
            <w:tcW w:w="2636" w:type="dxa"/>
            <w:vAlign w:val="center"/>
          </w:tcPr>
          <w:p>
            <w:pPr>
              <w:jc w:val="center"/>
              <w:rPr>
                <w:rFonts w:hint="eastAsia" w:eastAsia="Times New Roman"/>
                <w:bCs/>
              </w:rPr>
            </w:pPr>
            <w:r>
              <w:rPr>
                <w:rFonts w:ascii="Arial" w:hAnsi="Arial" w:eastAsia="Arial" w:cs="Arial"/>
                <w:i w:val="0"/>
                <w:iCs w:val="0"/>
                <w:caps w:val="0"/>
                <w:color w:val="333333"/>
                <w:spacing w:val="0"/>
                <w:sz w:val="21"/>
                <w:szCs w:val="21"/>
                <w:shd w:val="clear" w:fill="FFFFFF"/>
              </w:rPr>
              <w:t>全线航拍、视频画公路主线、互通匝道画线、建构物标识、专业配音、配音合成到视频、画中画效果制作、后期其它制作及修改</w:t>
            </w:r>
          </w:p>
        </w:tc>
        <w:tc>
          <w:tcPr>
            <w:tcW w:w="670" w:type="dxa"/>
            <w:vAlign w:val="center"/>
          </w:tcPr>
          <w:p>
            <w:pPr>
              <w:jc w:val="center"/>
              <w:rPr>
                <w:rFonts w:eastAsia="Times New Roman"/>
                <w:bCs/>
              </w:rPr>
            </w:pPr>
            <w:r>
              <w:rPr>
                <w:rFonts w:hint="eastAsia" w:eastAsia="Times New Roman"/>
                <w:bCs/>
              </w:rPr>
              <w:t>次</w:t>
            </w:r>
          </w:p>
        </w:tc>
        <w:tc>
          <w:tcPr>
            <w:tcW w:w="725" w:type="dxa"/>
            <w:vAlign w:val="center"/>
          </w:tcPr>
          <w:p>
            <w:pPr>
              <w:jc w:val="center"/>
              <w:rPr>
                <w:rFonts w:hint="default" w:eastAsia="宋体"/>
                <w:bCs/>
                <w:lang w:val="en-US" w:eastAsia="zh-CN"/>
              </w:rPr>
            </w:pPr>
            <w:r>
              <w:rPr>
                <w:rFonts w:hint="eastAsia" w:eastAsia="宋体"/>
                <w:bCs/>
                <w:lang w:val="en-US" w:eastAsia="zh-CN"/>
              </w:rPr>
              <w:t>12</w:t>
            </w:r>
          </w:p>
        </w:tc>
        <w:tc>
          <w:tcPr>
            <w:tcW w:w="1410" w:type="dxa"/>
            <w:vAlign w:val="center"/>
          </w:tcPr>
          <w:p>
            <w:pPr>
              <w:jc w:val="center"/>
              <w:rPr>
                <w:rFonts w:eastAsia="Times New Roman"/>
                <w:bCs/>
              </w:rPr>
            </w:pPr>
          </w:p>
        </w:tc>
        <w:tc>
          <w:tcPr>
            <w:tcW w:w="1500" w:type="dxa"/>
            <w:vAlign w:val="center"/>
          </w:tcPr>
          <w:p>
            <w:pPr>
              <w:jc w:val="center"/>
              <w:rPr>
                <w:rFonts w:eastAsia="Times New Roman"/>
                <w:bCs/>
              </w:rPr>
            </w:pPr>
          </w:p>
        </w:tc>
        <w:tc>
          <w:tcPr>
            <w:tcW w:w="1500" w:type="dxa"/>
            <w:vAlign w:val="center"/>
          </w:tcPr>
          <w:p>
            <w:pPr>
              <w:jc w:val="center"/>
              <w:rPr>
                <w:rFonts w:eastAsia="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900" w:type="dxa"/>
            <w:vAlign w:val="center"/>
          </w:tcPr>
          <w:p>
            <w:pPr>
              <w:jc w:val="center"/>
              <w:rPr>
                <w:rFonts w:eastAsia="Times New Roman"/>
                <w:bCs/>
              </w:rPr>
            </w:pPr>
            <w:r>
              <w:rPr>
                <w:rFonts w:hint="eastAsia" w:eastAsia="Times New Roman"/>
                <w:bCs/>
              </w:rPr>
              <w:t>月报视频</w:t>
            </w:r>
          </w:p>
        </w:tc>
        <w:tc>
          <w:tcPr>
            <w:tcW w:w="2636" w:type="dxa"/>
            <w:vAlign w:val="center"/>
          </w:tcPr>
          <w:p>
            <w:pPr>
              <w:jc w:val="center"/>
              <w:rPr>
                <w:rFonts w:hint="eastAsia" w:eastAsia="Times New Roman"/>
                <w:bCs/>
              </w:rPr>
            </w:pPr>
            <w:r>
              <w:rPr>
                <w:rFonts w:hint="eastAsia" w:eastAsia="Times New Roman"/>
                <w:bCs/>
              </w:rPr>
              <w:t>专业配音、配音合成到视频、画中画效果制作、后期其它制作及修改</w:t>
            </w:r>
          </w:p>
        </w:tc>
        <w:tc>
          <w:tcPr>
            <w:tcW w:w="670" w:type="dxa"/>
            <w:vAlign w:val="center"/>
          </w:tcPr>
          <w:p>
            <w:pPr>
              <w:jc w:val="center"/>
              <w:rPr>
                <w:rFonts w:eastAsia="Times New Roman"/>
                <w:bCs/>
              </w:rPr>
            </w:pPr>
            <w:r>
              <w:rPr>
                <w:rFonts w:hint="eastAsia" w:eastAsia="Times New Roman"/>
                <w:bCs/>
              </w:rPr>
              <w:t>次</w:t>
            </w:r>
          </w:p>
        </w:tc>
        <w:tc>
          <w:tcPr>
            <w:tcW w:w="725" w:type="dxa"/>
            <w:vAlign w:val="center"/>
          </w:tcPr>
          <w:p>
            <w:pPr>
              <w:jc w:val="center"/>
              <w:rPr>
                <w:rFonts w:hint="default" w:eastAsia="宋体"/>
                <w:bCs/>
                <w:lang w:val="en-US" w:eastAsia="zh-CN"/>
              </w:rPr>
            </w:pPr>
            <w:r>
              <w:rPr>
                <w:rFonts w:hint="eastAsia" w:eastAsia="宋体"/>
                <w:bCs/>
                <w:lang w:val="en-US" w:eastAsia="zh-CN"/>
              </w:rPr>
              <w:t>24</w:t>
            </w:r>
          </w:p>
        </w:tc>
        <w:tc>
          <w:tcPr>
            <w:tcW w:w="1410" w:type="dxa"/>
            <w:vAlign w:val="center"/>
          </w:tcPr>
          <w:p>
            <w:pPr>
              <w:jc w:val="center"/>
              <w:rPr>
                <w:rFonts w:eastAsia="Times New Roman"/>
                <w:bCs/>
              </w:rPr>
            </w:pPr>
          </w:p>
        </w:tc>
        <w:tc>
          <w:tcPr>
            <w:tcW w:w="1500" w:type="dxa"/>
            <w:vAlign w:val="center"/>
          </w:tcPr>
          <w:p>
            <w:pPr>
              <w:jc w:val="center"/>
              <w:rPr>
                <w:rFonts w:eastAsia="Times New Roman"/>
                <w:bCs/>
              </w:rPr>
            </w:pPr>
          </w:p>
        </w:tc>
        <w:tc>
          <w:tcPr>
            <w:tcW w:w="1500" w:type="dxa"/>
            <w:vAlign w:val="center"/>
          </w:tcPr>
          <w:p>
            <w:pPr>
              <w:jc w:val="center"/>
              <w:rPr>
                <w:rFonts w:eastAsia="Times New Roman"/>
                <w:bCs/>
              </w:rPr>
            </w:pPr>
            <w:r>
              <w:rPr>
                <w:rFonts w:hint="eastAsia" w:eastAsia="Times New Roman"/>
                <w:bCs/>
              </w:rPr>
              <w:t>无航拍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6341" w:type="dxa"/>
            <w:gridSpan w:val="5"/>
            <w:vAlign w:val="center"/>
          </w:tcPr>
          <w:p>
            <w:pPr>
              <w:jc w:val="center"/>
              <w:rPr>
                <w:rFonts w:eastAsia="Times New Roman"/>
                <w:b/>
              </w:rPr>
            </w:pPr>
            <w:r>
              <w:rPr>
                <w:rFonts w:hint="eastAsia" w:eastAsia="Times New Roman"/>
                <w:b/>
              </w:rPr>
              <w:t>合计</w:t>
            </w:r>
          </w:p>
        </w:tc>
        <w:tc>
          <w:tcPr>
            <w:tcW w:w="1500" w:type="dxa"/>
            <w:vAlign w:val="center"/>
          </w:tcPr>
          <w:p>
            <w:pPr>
              <w:jc w:val="center"/>
              <w:rPr>
                <w:rFonts w:eastAsia="Times New Roman"/>
                <w:b/>
              </w:rPr>
            </w:pPr>
          </w:p>
        </w:tc>
        <w:tc>
          <w:tcPr>
            <w:tcW w:w="1500" w:type="dxa"/>
            <w:vAlign w:val="center"/>
          </w:tcPr>
          <w:p>
            <w:pPr>
              <w:jc w:val="center"/>
              <w:rPr>
                <w:rFonts w:eastAsia="Times New Roman"/>
                <w:b/>
              </w:rPr>
            </w:pPr>
          </w:p>
        </w:tc>
      </w:tr>
    </w:tbl>
    <w:p>
      <w:pPr>
        <w:pStyle w:val="4"/>
        <w:spacing w:before="0" w:after="0" w:line="360" w:lineRule="auto"/>
        <w:jc w:val="center"/>
        <w:rPr>
          <w:rFonts w:ascii="宋体" w:hAnsi="宋体" w:eastAsia="宋体" w:cs="宋体"/>
          <w:sz w:val="28"/>
        </w:rPr>
      </w:pPr>
      <w:r>
        <w:rPr>
          <w:rFonts w:hint="eastAsia" w:ascii="宋体" w:hAnsi="宋体" w:eastAsia="宋体" w:cs="宋体"/>
          <w:sz w:val="28"/>
        </w:rPr>
        <w:br w:type="page"/>
      </w:r>
      <w:bookmarkStart w:id="250" w:name="_Toc18757"/>
      <w:bookmarkStart w:id="251" w:name="_Toc11961"/>
      <w:bookmarkStart w:id="252" w:name="_Toc12910"/>
      <w:r>
        <w:rPr>
          <w:rFonts w:hint="eastAsia" w:ascii="宋体" w:hAnsi="宋体" w:eastAsia="宋体" w:cs="宋体"/>
          <w:sz w:val="28"/>
        </w:rPr>
        <w:t>四、资格审查资料</w:t>
      </w:r>
      <w:bookmarkEnd w:id="239"/>
      <w:bookmarkEnd w:id="240"/>
      <w:bookmarkEnd w:id="241"/>
      <w:bookmarkEnd w:id="250"/>
      <w:bookmarkEnd w:id="251"/>
      <w:bookmarkEnd w:id="252"/>
    </w:p>
    <w:p>
      <w:pPr>
        <w:pStyle w:val="4"/>
        <w:spacing w:before="0" w:after="0" w:line="360" w:lineRule="auto"/>
        <w:jc w:val="center"/>
        <w:rPr>
          <w:rFonts w:ascii="宋体" w:hAnsi="宋体" w:eastAsia="宋体" w:cs="宋体"/>
          <w:sz w:val="28"/>
        </w:rPr>
      </w:pPr>
      <w:bookmarkStart w:id="253" w:name="_Toc17915"/>
      <w:bookmarkStart w:id="254" w:name="_Toc32456"/>
      <w:bookmarkStart w:id="255" w:name="_Toc22003"/>
      <w:r>
        <w:rPr>
          <w:rFonts w:hint="eastAsia" w:ascii="宋体" w:hAnsi="宋体" w:eastAsia="宋体" w:cs="宋体"/>
          <w:sz w:val="28"/>
        </w:rPr>
        <w:t>（营业执照、资质证书、项目人员资料等）</w:t>
      </w:r>
      <w:bookmarkEnd w:id="253"/>
      <w:bookmarkEnd w:id="254"/>
      <w:bookmarkEnd w:id="255"/>
    </w:p>
    <w:p>
      <w:pPr>
        <w:jc w:val="center"/>
        <w:rPr>
          <w:rFonts w:ascii="宋体" w:hAnsi="宋体" w:cs="宋体"/>
          <w:b/>
          <w:szCs w:val="21"/>
        </w:rPr>
      </w:pPr>
    </w:p>
    <w:p>
      <w:pPr>
        <w:jc w:val="center"/>
      </w:pPr>
      <w:r>
        <w:rPr>
          <w:rFonts w:hint="eastAsia" w:ascii="宋体" w:hAnsi="宋体" w:cs="宋体"/>
          <w:b/>
          <w:szCs w:val="21"/>
        </w:rPr>
        <w:t>主要管理人员名单</w:t>
      </w:r>
    </w:p>
    <w:bookmarkEnd w:id="242"/>
    <w:bookmarkEnd w:id="243"/>
    <w:bookmarkEnd w:id="244"/>
    <w:bookmarkEnd w:id="245"/>
    <w:bookmarkEnd w:id="246"/>
    <w:bookmarkEnd w:id="247"/>
    <w:bookmarkEnd w:id="248"/>
    <w:bookmarkEnd w:id="249"/>
    <w:tbl>
      <w:tblPr>
        <w:tblStyle w:val="43"/>
        <w:tblW w:w="10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
        <w:gridCol w:w="1797"/>
        <w:gridCol w:w="1191"/>
        <w:gridCol w:w="2808"/>
        <w:gridCol w:w="306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bookmarkStart w:id="256" w:name="_Toc513633973"/>
            <w:bookmarkStart w:id="257" w:name="_Toc503951055"/>
            <w:bookmarkStart w:id="258" w:name="_Toc447827068"/>
            <w:r>
              <w:rPr>
                <w:rFonts w:hint="eastAsia" w:ascii="宋体" w:hAnsi="宋体" w:cs="宋体"/>
                <w:szCs w:val="21"/>
              </w:rPr>
              <w:t>序号</w:t>
            </w:r>
          </w:p>
        </w:tc>
        <w:tc>
          <w:tcPr>
            <w:tcW w:w="17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人  员</w:t>
            </w: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姓名</w:t>
            </w: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身份证号码</w:t>
            </w:r>
          </w:p>
        </w:tc>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资格证件号码</w:t>
            </w: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17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项目负责人</w:t>
            </w: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r>
    </w:tbl>
    <w:p>
      <w:pPr>
        <w:pStyle w:val="149"/>
        <w:adjustRightInd/>
        <w:spacing w:line="360" w:lineRule="auto"/>
        <w:rPr>
          <w:rFonts w:ascii="Times New Roman" w:hAnsi="宋体" w:cs="Times New Roman"/>
          <w:color w:val="auto"/>
          <w:sz w:val="21"/>
          <w:szCs w:val="21"/>
        </w:rPr>
      </w:pPr>
      <w:bookmarkStart w:id="259" w:name="_Toc11672"/>
      <w:bookmarkStart w:id="260" w:name="_Toc11329281"/>
      <w:r>
        <w:rPr>
          <w:rFonts w:hint="eastAsia" w:ascii="Times New Roman" w:hAnsi="宋体" w:cs="Times New Roman"/>
          <w:color w:val="auto"/>
          <w:sz w:val="21"/>
          <w:szCs w:val="21"/>
        </w:rPr>
        <w:t>注：以上人员不得在其他项目重复任职。需提供项目主要管理人员名单（表格形式），以上人员相关资质证件、身份证复印件，并加盖单位鲜公章。</w:t>
      </w:r>
    </w:p>
    <w:p>
      <w:pPr>
        <w:pStyle w:val="4"/>
        <w:spacing w:before="0" w:after="0" w:line="360" w:lineRule="auto"/>
        <w:jc w:val="center"/>
        <w:rPr>
          <w:rFonts w:ascii="宋体" w:hAnsi="宋体" w:eastAsia="宋体" w:cs="宋体"/>
          <w:sz w:val="28"/>
        </w:rPr>
      </w:pPr>
    </w:p>
    <w:p>
      <w:pPr>
        <w:jc w:val="center"/>
      </w:pPr>
      <w:r>
        <w:rPr>
          <w:rFonts w:hint="eastAsia" w:ascii="宋体" w:hAnsi="宋体" w:cs="宋体"/>
          <w:b/>
          <w:szCs w:val="21"/>
        </w:rPr>
        <w:t>其他人员名单</w:t>
      </w:r>
    </w:p>
    <w:tbl>
      <w:tblPr>
        <w:tblStyle w:val="43"/>
        <w:tblW w:w="10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
        <w:gridCol w:w="1797"/>
        <w:gridCol w:w="1191"/>
        <w:gridCol w:w="2808"/>
        <w:gridCol w:w="306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序号</w:t>
            </w:r>
          </w:p>
        </w:tc>
        <w:tc>
          <w:tcPr>
            <w:tcW w:w="17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人  员</w:t>
            </w: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姓名</w:t>
            </w: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身份证号码</w:t>
            </w:r>
          </w:p>
        </w:tc>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资格证件号码</w:t>
            </w: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1</w:t>
            </w:r>
          </w:p>
        </w:tc>
        <w:tc>
          <w:tcPr>
            <w:tcW w:w="17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如：航拍工作人员</w:t>
            </w: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w:t>
            </w:r>
          </w:p>
        </w:tc>
        <w:tc>
          <w:tcPr>
            <w:tcW w:w="17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3</w:t>
            </w:r>
          </w:p>
        </w:tc>
        <w:tc>
          <w:tcPr>
            <w:tcW w:w="17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1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28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30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c>
          <w:tcPr>
            <w:tcW w:w="109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rPr>
            </w:pPr>
          </w:p>
        </w:tc>
      </w:tr>
    </w:tbl>
    <w:p>
      <w:pPr>
        <w:pStyle w:val="149"/>
        <w:adjustRightInd/>
        <w:spacing w:line="360" w:lineRule="auto"/>
        <w:rPr>
          <w:rFonts w:hAnsi="宋体"/>
          <w:color w:val="FF0000"/>
          <w:sz w:val="21"/>
          <w:szCs w:val="21"/>
        </w:rPr>
      </w:pPr>
      <w:r>
        <w:rPr>
          <w:rFonts w:hint="eastAsia" w:hAnsi="宋体"/>
          <w:color w:val="auto"/>
          <w:sz w:val="21"/>
          <w:szCs w:val="21"/>
        </w:rPr>
        <w:t>注：</w:t>
      </w:r>
      <w:r>
        <w:rPr>
          <w:rFonts w:hint="eastAsia" w:ascii="Times New Roman" w:hAnsi="宋体" w:cs="Times New Roman"/>
          <w:color w:val="auto"/>
          <w:sz w:val="21"/>
          <w:szCs w:val="21"/>
        </w:rPr>
        <w:t>以上人员不得</w:t>
      </w:r>
      <w:r>
        <w:rPr>
          <w:rFonts w:hint="eastAsia" w:hAnsi="宋体" w:cs="Times New Roman"/>
          <w:color w:val="auto"/>
          <w:sz w:val="21"/>
          <w:szCs w:val="21"/>
        </w:rPr>
        <w:t>在其他项目</w:t>
      </w:r>
      <w:r>
        <w:rPr>
          <w:rFonts w:hint="eastAsia" w:ascii="Times New Roman" w:hAnsi="宋体" w:cs="Times New Roman"/>
          <w:color w:val="auto"/>
          <w:sz w:val="21"/>
          <w:szCs w:val="21"/>
        </w:rPr>
        <w:t>重复任职</w:t>
      </w:r>
      <w:r>
        <w:rPr>
          <w:rFonts w:hint="eastAsia" w:ascii="Times New Roman" w:hAnsi="宋体" w:cs="Times New Roman"/>
          <w:color w:val="auto"/>
          <w:sz w:val="21"/>
          <w:szCs w:val="21"/>
          <w:lang w:eastAsia="zh-CN"/>
        </w:rPr>
        <w:t>，</w:t>
      </w:r>
      <w:r>
        <w:rPr>
          <w:rFonts w:hint="eastAsia" w:ascii="Times New Roman" w:hAnsi="宋体" w:cs="Times New Roman"/>
          <w:color w:val="auto"/>
          <w:sz w:val="21"/>
          <w:szCs w:val="21"/>
          <w:lang w:val="en-US" w:eastAsia="zh-CN"/>
        </w:rPr>
        <w:t>需自行承诺并加盖单位鲜公章</w:t>
      </w:r>
      <w:r>
        <w:rPr>
          <w:rFonts w:hint="eastAsia" w:hAnsi="宋体"/>
          <w:color w:val="auto"/>
          <w:sz w:val="21"/>
          <w:szCs w:val="21"/>
        </w:rPr>
        <w:t>。</w:t>
      </w:r>
    </w:p>
    <w:p>
      <w:pPr>
        <w:pStyle w:val="4"/>
        <w:spacing w:before="0" w:after="0" w:line="360" w:lineRule="auto"/>
        <w:jc w:val="center"/>
        <w:rPr>
          <w:rFonts w:ascii="宋体" w:hAnsi="宋体" w:eastAsia="宋体" w:cs="宋体"/>
          <w:sz w:val="28"/>
        </w:rPr>
      </w:pPr>
      <w:r>
        <w:rPr>
          <w:rFonts w:hint="eastAsia" w:ascii="宋体" w:hAnsi="宋体" w:eastAsia="宋体" w:cs="宋体"/>
          <w:sz w:val="28"/>
        </w:rPr>
        <w:br w:type="page"/>
      </w:r>
      <w:bookmarkStart w:id="261" w:name="_Toc29559"/>
      <w:bookmarkStart w:id="262" w:name="_Toc11243"/>
      <w:r>
        <w:rPr>
          <w:rFonts w:hint="eastAsia" w:ascii="宋体" w:hAnsi="宋体" w:eastAsia="宋体" w:cs="宋体"/>
          <w:sz w:val="28"/>
        </w:rPr>
        <w:t>五、</w:t>
      </w:r>
      <w:bookmarkEnd w:id="256"/>
      <w:bookmarkEnd w:id="257"/>
      <w:bookmarkEnd w:id="258"/>
      <w:r>
        <w:rPr>
          <w:rFonts w:hint="eastAsia" w:ascii="宋体" w:hAnsi="宋体" w:eastAsia="宋体" w:cs="宋体"/>
          <w:sz w:val="28"/>
        </w:rPr>
        <w:t>报价人须知前附表规定的材料</w:t>
      </w:r>
      <w:bookmarkEnd w:id="259"/>
      <w:bookmarkEnd w:id="260"/>
      <w:bookmarkEnd w:id="261"/>
      <w:bookmarkEnd w:id="262"/>
    </w:p>
    <w:p>
      <w:pPr>
        <w:pStyle w:val="5"/>
        <w:jc w:val="center"/>
        <w:rPr>
          <w:rFonts w:ascii="宋体" w:hAnsi="宋体" w:cs="宋体"/>
          <w:sz w:val="28"/>
        </w:rPr>
      </w:pPr>
      <w:bookmarkStart w:id="263" w:name="bookmark81"/>
      <w:bookmarkStart w:id="264" w:name="_Toc503951058"/>
      <w:bookmarkStart w:id="265" w:name="_Toc513633974"/>
      <w:r>
        <w:rPr>
          <w:rFonts w:hint="eastAsia" w:ascii="宋体" w:hAnsi="宋体" w:cs="宋体"/>
          <w:sz w:val="28"/>
        </w:rPr>
        <w:t>（一）</w:t>
      </w:r>
      <w:bookmarkEnd w:id="263"/>
      <w:bookmarkStart w:id="266" w:name="_Toc507681700"/>
      <w:bookmarkStart w:id="267" w:name="_Toc507681488"/>
      <w:bookmarkStart w:id="268" w:name="_Toc504639215"/>
      <w:r>
        <w:rPr>
          <w:rFonts w:hint="eastAsia" w:ascii="宋体" w:hAnsi="宋体" w:cs="宋体"/>
          <w:sz w:val="28"/>
        </w:rPr>
        <w:t>报价人自行承诺部分</w:t>
      </w:r>
      <w:bookmarkEnd w:id="266"/>
      <w:bookmarkEnd w:id="267"/>
      <w:bookmarkEnd w:id="268"/>
    </w:p>
    <w:p>
      <w:pPr>
        <w:spacing w:line="360" w:lineRule="auto"/>
        <w:ind w:firstLine="420" w:firstLineChars="200"/>
        <w:jc w:val="left"/>
        <w:rPr>
          <w:rFonts w:ascii="宋体" w:hAnsi="宋体" w:cs="宋体"/>
          <w:kern w:val="0"/>
          <w:szCs w:val="21"/>
        </w:rPr>
      </w:pPr>
      <w:r>
        <w:rPr>
          <w:rFonts w:hint="eastAsia" w:ascii="宋体" w:hAnsi="宋体" w:cs="宋体"/>
          <w:kern w:val="0"/>
          <w:szCs w:val="21"/>
        </w:rPr>
        <w:t>比选文件中要求报价人自行承诺的，由报价人按比选文件要求内容承诺，格式自拟。</w:t>
      </w:r>
    </w:p>
    <w:p>
      <w:pPr>
        <w:pStyle w:val="5"/>
        <w:ind w:firstLine="420" w:firstLineChars="200"/>
        <w:jc w:val="both"/>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我司参加</w:t>
      </w:r>
      <w:r>
        <w:rPr>
          <w:rFonts w:hint="eastAsia" w:ascii="Arial" w:hAnsi="Arial" w:cs="Arial"/>
          <w:color w:val="000000"/>
          <w:sz w:val="24"/>
          <w:u w:val="single"/>
          <w:lang w:val="en-US" w:eastAsia="zh-CN"/>
        </w:rPr>
        <w:t>渝赤叙高速（重庆段）航拍视频制作项目</w:t>
      </w:r>
      <w:bookmarkStart w:id="272" w:name="_GoBack"/>
      <w:bookmarkEnd w:id="272"/>
      <w:r>
        <w:rPr>
          <w:rFonts w:hint="eastAsia" w:ascii="宋体" w:hAnsi="宋体" w:eastAsia="宋体" w:cs="宋体"/>
          <w:b w:val="0"/>
          <w:bCs w:val="0"/>
          <w:kern w:val="0"/>
          <w:sz w:val="21"/>
          <w:szCs w:val="21"/>
          <w:lang w:val="en-US" w:eastAsia="zh-CN" w:bidi="ar-SA"/>
        </w:rPr>
        <w:t>的竞争性比选，对以下内容作出承诺：</w:t>
      </w:r>
    </w:p>
    <w:p>
      <w:pPr>
        <w:pStyle w:val="5"/>
        <w:ind w:firstLine="420" w:firstLineChars="200"/>
        <w:jc w:val="both"/>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 w:val="21"/>
          <w:szCs w:val="21"/>
          <w:lang w:val="en-US" w:eastAsia="zh-CN" w:bidi="ar-SA"/>
        </w:rPr>
        <w:t>1、</w:t>
      </w:r>
      <w:r>
        <w:rPr>
          <w:rFonts w:hint="eastAsia" w:ascii="宋体" w:hAnsi="宋体" w:eastAsia="宋体" w:cs="宋体"/>
          <w:b w:val="0"/>
          <w:bCs w:val="0"/>
          <w:kern w:val="0"/>
          <w:sz w:val="21"/>
          <w:szCs w:val="21"/>
          <w:lang w:val="en-US" w:eastAsia="zh-CN" w:bidi="ar-SA"/>
        </w:rPr>
        <w:t>（项目主要管理人员及其他人员未重复任职承诺）。</w:t>
      </w:r>
    </w:p>
    <w:p>
      <w:pPr>
        <w:pStyle w:val="5"/>
        <w:ind w:firstLine="420" w:firstLineChars="200"/>
        <w:jc w:val="both"/>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 w:val="21"/>
          <w:szCs w:val="21"/>
          <w:lang w:val="en-US" w:eastAsia="zh-CN" w:bidi="ar-SA"/>
        </w:rPr>
        <w:t>2、</w:t>
      </w:r>
      <w:r>
        <w:rPr>
          <w:rFonts w:hint="eastAsia" w:ascii="宋体" w:hAnsi="宋体" w:eastAsia="宋体" w:cs="宋体"/>
          <w:b w:val="0"/>
          <w:bCs w:val="0"/>
          <w:kern w:val="0"/>
          <w:sz w:val="21"/>
          <w:szCs w:val="21"/>
          <w:lang w:val="en-US" w:eastAsia="zh-CN" w:bidi="ar-SA"/>
        </w:rPr>
        <w:t>（工期承诺）。</w:t>
      </w:r>
    </w:p>
    <w:p>
      <w:pPr>
        <w:pStyle w:val="5"/>
        <w:ind w:firstLine="420" w:firstLineChars="200"/>
        <w:jc w:val="both"/>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 w:val="21"/>
          <w:szCs w:val="21"/>
          <w:lang w:val="en-US" w:eastAsia="zh-CN" w:bidi="ar-SA"/>
        </w:rPr>
        <w:t>3、</w:t>
      </w:r>
      <w:r>
        <w:rPr>
          <w:rFonts w:hint="eastAsia" w:ascii="宋体" w:hAnsi="宋体" w:eastAsia="宋体" w:cs="宋体"/>
          <w:b w:val="0"/>
          <w:bCs w:val="0"/>
          <w:kern w:val="0"/>
          <w:sz w:val="21"/>
          <w:szCs w:val="21"/>
          <w:lang w:val="en-US" w:eastAsia="zh-CN" w:bidi="ar-SA"/>
        </w:rPr>
        <w:t>（质量承诺）。</w:t>
      </w:r>
    </w:p>
    <w:p>
      <w:pPr>
        <w:pStyle w:val="5"/>
        <w:jc w:val="both"/>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 w:val="21"/>
          <w:szCs w:val="21"/>
          <w:lang w:val="en-US" w:eastAsia="zh-CN" w:bidi="ar-SA"/>
        </w:rPr>
        <w:t xml:space="preserve">    4、</w:t>
      </w:r>
      <w:r>
        <w:rPr>
          <w:rFonts w:hint="eastAsia" w:ascii="宋体" w:hAnsi="宋体" w:eastAsia="宋体" w:cs="宋体"/>
          <w:b w:val="0"/>
          <w:bCs w:val="0"/>
          <w:kern w:val="0"/>
          <w:sz w:val="21"/>
          <w:szCs w:val="21"/>
          <w:lang w:val="en-US" w:eastAsia="zh-CN" w:bidi="ar-SA"/>
        </w:rPr>
        <w:t>（安全承诺）。</w:t>
      </w:r>
    </w:p>
    <w:p>
      <w:pPr>
        <w:pStyle w:val="5"/>
        <w:jc w:val="both"/>
        <w:rPr>
          <w:rFonts w:hint="eastAsia" w:ascii="宋体" w:hAnsi="宋体" w:eastAsia="宋体" w:cs="宋体"/>
          <w:b w:val="0"/>
          <w:bCs w:val="0"/>
          <w:kern w:val="0"/>
          <w:sz w:val="21"/>
          <w:szCs w:val="21"/>
          <w:lang w:val="en-US" w:eastAsia="zh-CN" w:bidi="ar-SA"/>
        </w:rPr>
      </w:pPr>
      <w:r>
        <w:rPr>
          <w:rFonts w:hint="eastAsia" w:ascii="宋体" w:hAnsi="宋体" w:cs="宋体"/>
          <w:b w:val="0"/>
          <w:bCs w:val="0"/>
          <w:kern w:val="0"/>
          <w:sz w:val="21"/>
          <w:szCs w:val="21"/>
          <w:lang w:val="en-US" w:eastAsia="zh-CN" w:bidi="ar-SA"/>
        </w:rPr>
        <w:t xml:space="preserve">    5、</w:t>
      </w:r>
      <w:r>
        <w:rPr>
          <w:rFonts w:hint="eastAsia" w:ascii="宋体" w:hAnsi="宋体" w:eastAsia="宋体" w:cs="宋体"/>
          <w:b w:val="0"/>
          <w:bCs w:val="0"/>
          <w:kern w:val="0"/>
          <w:sz w:val="21"/>
          <w:szCs w:val="21"/>
          <w:lang w:val="en-US" w:eastAsia="zh-CN" w:bidi="ar-SA"/>
        </w:rPr>
        <w:t>（其余承诺报价人自行往下编号添加）</w:t>
      </w:r>
    </w:p>
    <w:p>
      <w:pPr>
        <w:pStyle w:val="5"/>
        <w:jc w:val="center"/>
        <w:rPr>
          <w:rFonts w:ascii="宋体" w:hAnsi="宋体" w:cs="宋体"/>
          <w:sz w:val="28"/>
        </w:rPr>
      </w:pPr>
    </w:p>
    <w:p>
      <w:pPr>
        <w:pStyle w:val="5"/>
        <w:jc w:val="center"/>
        <w:rPr>
          <w:rFonts w:ascii="宋体" w:hAnsi="宋体" w:cs="宋体"/>
          <w:sz w:val="28"/>
        </w:rPr>
      </w:pPr>
    </w:p>
    <w:p>
      <w:pPr>
        <w:pStyle w:val="4"/>
        <w:spacing w:before="0" w:after="0" w:line="360" w:lineRule="auto"/>
        <w:jc w:val="center"/>
        <w:rPr>
          <w:rFonts w:ascii="宋体" w:hAnsi="宋体" w:eastAsia="宋体" w:cs="宋体"/>
          <w:sz w:val="28"/>
        </w:rPr>
      </w:pPr>
      <w:r>
        <w:rPr>
          <w:rFonts w:hint="eastAsia" w:ascii="宋体" w:hAnsi="宋体" w:cs="宋体"/>
          <w:sz w:val="28"/>
        </w:rPr>
        <w:br w:type="page"/>
      </w:r>
      <w:r>
        <w:rPr>
          <w:rFonts w:hint="eastAsia" w:ascii="宋体" w:hAnsi="宋体" w:eastAsia="宋体" w:cs="宋体"/>
          <w:sz w:val="28"/>
        </w:rPr>
        <w:t>六、报价人基本信息及其他材料</w:t>
      </w:r>
    </w:p>
    <w:p>
      <w:pPr>
        <w:pStyle w:val="5"/>
        <w:spacing w:before="0" w:after="0" w:line="360" w:lineRule="auto"/>
        <w:jc w:val="center"/>
        <w:rPr>
          <w:sz w:val="28"/>
          <w:szCs w:val="28"/>
        </w:rPr>
      </w:pPr>
      <w:bookmarkStart w:id="269" w:name="_Toc452107137"/>
      <w:bookmarkStart w:id="270" w:name="_Toc4375"/>
      <w:bookmarkStart w:id="271" w:name="_Toc508110857"/>
      <w:r>
        <w:rPr>
          <w:rFonts w:hint="eastAsia"/>
          <w:sz w:val="28"/>
          <w:szCs w:val="28"/>
        </w:rPr>
        <w:t>（一）报价人基本信息表</w:t>
      </w:r>
      <w:bookmarkEnd w:id="269"/>
      <w:bookmarkEnd w:id="270"/>
      <w:bookmarkEnd w:id="271"/>
    </w:p>
    <w:p>
      <w:pPr>
        <w:pStyle w:val="26"/>
      </w:pPr>
    </w:p>
    <w:tbl>
      <w:tblPr>
        <w:tblStyle w:val="43"/>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w:t>
            </w:r>
          </w:p>
          <w:p>
            <w:pPr>
              <w:topLinePunct/>
              <w:spacing w:line="440" w:lineRule="exact"/>
              <w:jc w:val="center"/>
              <w:rPr>
                <w:rFonts w:ascii="宋体" w:hAnsi="宋体" w:cs="宋体"/>
                <w:color w:val="000000"/>
                <w:szCs w:val="21"/>
              </w:rPr>
            </w:pPr>
            <w:r>
              <w:rPr>
                <w:rFonts w:hint="eastAsia" w:ascii="宋体" w:hAnsi="宋体" w:cs="宋体"/>
                <w:color w:val="000000"/>
                <w:szCs w:val="21"/>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szCs w:val="21"/>
              </w:rPr>
            </w:pPr>
            <w:r>
              <w:rPr>
                <w:rFonts w:hint="eastAsia" w:ascii="宋体" w:hAnsi="宋体" w:cs="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rPr>
            </w:pPr>
            <w:r>
              <w:rPr>
                <w:rFonts w:hint="eastAsia" w:ascii="宋体" w:hAnsi="宋体" w:cs="宋体"/>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szCs w:val="21"/>
              </w:rPr>
            </w:pPr>
            <w:r>
              <w:rPr>
                <w:rFonts w:hint="eastAsia" w:ascii="宋体" w:hAnsi="宋体" w:cs="宋体"/>
                <w:color w:val="000000"/>
                <w:szCs w:val="21"/>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szCs w:val="21"/>
              </w:rPr>
            </w:pPr>
            <w:r>
              <w:rPr>
                <w:rFonts w:hint="eastAsia" w:ascii="宋体" w:hAnsi="宋体" w:cs="宋体"/>
                <w:color w:val="000000"/>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bl>
    <w:p>
      <w:pPr>
        <w:pStyle w:val="5"/>
        <w:jc w:val="center"/>
        <w:rPr>
          <w:rFonts w:ascii="宋体" w:hAnsi="宋体" w:cs="宋体"/>
          <w:sz w:val="28"/>
        </w:rPr>
      </w:pPr>
    </w:p>
    <w:p>
      <w:pPr>
        <w:pStyle w:val="5"/>
        <w:jc w:val="center"/>
        <w:rPr>
          <w:rFonts w:ascii="宋体" w:hAnsi="宋体" w:cs="宋体"/>
          <w:sz w:val="28"/>
        </w:rPr>
      </w:pPr>
      <w:r>
        <w:rPr>
          <w:rFonts w:hint="eastAsia" w:ascii="宋体" w:hAnsi="宋体" w:cs="宋体"/>
          <w:sz w:val="28"/>
        </w:rPr>
        <w:t>（二）其他材料</w:t>
      </w:r>
    </w:p>
    <w:p/>
    <w:p>
      <w:pPr>
        <w:pStyle w:val="2"/>
        <w:rPr>
          <w:rFonts w:hint="default" w:eastAsia="宋体"/>
          <w:lang w:val="en-US" w:eastAsia="zh-CN"/>
        </w:rPr>
      </w:pPr>
      <w:r>
        <w:rPr>
          <w:rFonts w:hint="eastAsia"/>
          <w:lang w:val="en-US" w:eastAsia="zh-CN"/>
        </w:rPr>
        <w:t>投标保证金截图等其他资料</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pStyle w:val="4"/>
        <w:spacing w:before="0" w:after="0" w:line="360" w:lineRule="auto"/>
        <w:jc w:val="center"/>
        <w:rPr>
          <w:rFonts w:ascii="宋体" w:hAnsi="宋体" w:eastAsia="宋体" w:cs="宋体"/>
          <w:sz w:val="28"/>
        </w:rPr>
      </w:pPr>
      <w:r>
        <w:rPr>
          <w:rFonts w:hint="eastAsia" w:ascii="宋体" w:hAnsi="宋体" w:eastAsia="宋体" w:cs="宋体"/>
          <w:sz w:val="28"/>
        </w:rPr>
        <w:t>七、现场安全负责人承诺书</w:t>
      </w:r>
    </w:p>
    <w:p/>
    <w:p>
      <w:pPr>
        <w:tabs>
          <w:tab w:val="left" w:pos="900"/>
        </w:tabs>
        <w:spacing w:line="300" w:lineRule="auto"/>
        <w:rPr>
          <w:rFonts w:ascii="Arial" w:hAnsi="Arial" w:cs="Arial"/>
          <w:b/>
          <w:bCs/>
          <w:color w:val="000000"/>
          <w:sz w:val="24"/>
          <w:u w:val="single"/>
        </w:rPr>
      </w:pPr>
      <w:r>
        <w:rPr>
          <w:rFonts w:ascii="Arial" w:hAnsi="Arial" w:cs="Arial"/>
          <w:color w:val="000000"/>
          <w:sz w:val="24"/>
        </w:rPr>
        <w:t xml:space="preserve"> </w:t>
      </w:r>
      <w:r>
        <w:rPr>
          <w:rFonts w:hint="eastAsia" w:ascii="Arial" w:hAnsi="Arial" w:cs="Arial"/>
          <w:b/>
          <w:color w:val="000000"/>
          <w:sz w:val="24"/>
        </w:rPr>
        <w:t>致：</w:t>
      </w:r>
      <w:r>
        <w:rPr>
          <w:rFonts w:hint="eastAsia" w:ascii="Arial" w:hAnsi="Arial" w:cs="Arial"/>
          <w:b/>
          <w:bCs/>
          <w:color w:val="000000"/>
          <w:sz w:val="24"/>
          <w:u w:val="single"/>
        </w:rPr>
        <w:t>重庆首讯科技股份有限公司</w:t>
      </w:r>
    </w:p>
    <w:p>
      <w:pPr>
        <w:spacing w:line="700" w:lineRule="atLeast"/>
        <w:ind w:firstLine="480" w:firstLineChars="200"/>
      </w:pPr>
      <w:r>
        <w:rPr>
          <w:rFonts w:hint="eastAsia" w:ascii="Arial" w:hAnsi="Arial" w:cs="Arial"/>
          <w:color w:val="000000"/>
          <w:sz w:val="24"/>
        </w:rPr>
        <w:t>根据贵方为</w:t>
      </w:r>
      <w:r>
        <w:rPr>
          <w:rFonts w:hint="eastAsia" w:ascii="Arial" w:hAnsi="Arial" w:cs="Arial"/>
          <w:color w:val="000000"/>
          <w:sz w:val="24"/>
          <w:u w:val="single"/>
          <w:lang w:val="en-US" w:eastAsia="zh-CN"/>
        </w:rPr>
        <w:t>渝赤叙高速（重庆段）航拍视频制作项目</w:t>
      </w:r>
      <w:r>
        <w:rPr>
          <w:rFonts w:hint="eastAsia" w:ascii="Arial" w:hAnsi="Arial" w:cs="Arial"/>
          <w:color w:val="000000"/>
          <w:sz w:val="24"/>
        </w:rPr>
        <w:t>竞争比选项目及服务的竞争比选邀请，</w:t>
      </w:r>
      <w:r>
        <w:rPr>
          <w:rFonts w:hint="eastAsia" w:ascii="Arial" w:hAnsi="Arial" w:cs="Arial"/>
          <w:color w:val="000000"/>
          <w:sz w:val="24"/>
          <w:u w:val="single"/>
        </w:rPr>
        <w:t xml:space="preserve"> （姓名）</w:t>
      </w:r>
      <w:r>
        <w:rPr>
          <w:rFonts w:hint="eastAsia" w:ascii="Arial" w:hAnsi="Arial" w:cs="Arial"/>
          <w:color w:val="000000"/>
          <w:sz w:val="24"/>
        </w:rPr>
        <w:t>经正式任命为</w:t>
      </w:r>
      <w:r>
        <w:rPr>
          <w:rFonts w:hint="eastAsia" w:ascii="Arial" w:hAnsi="Arial" w:cs="Arial"/>
          <w:color w:val="000000"/>
          <w:sz w:val="24"/>
          <w:u w:val="single"/>
          <w:lang w:val="en-US" w:eastAsia="zh-CN"/>
        </w:rPr>
        <w:t>渝赤叙高速（重庆段）航拍视频制作项目</w:t>
      </w:r>
      <w:r>
        <w:rPr>
          <w:rFonts w:hint="eastAsia" w:ascii="Arial" w:hAnsi="Arial" w:cs="Arial"/>
          <w:color w:val="000000"/>
          <w:sz w:val="24"/>
        </w:rPr>
        <w:t>竞争比选项目及服务现场安全负责人，严格遵守国家有关安全生产的法律法规及《首讯公司工程安全生产的违约处理细则》渝高速首讯文〔2019〕40 号等有关安全生产的规定，承诺施工期间在现场开展安全管理工作。</w:t>
      </w:r>
    </w:p>
    <w:p>
      <w:pPr>
        <w:tabs>
          <w:tab w:val="left" w:pos="540"/>
          <w:tab w:val="left" w:pos="900"/>
        </w:tabs>
        <w:spacing w:line="300" w:lineRule="auto"/>
        <w:rPr>
          <w:rFonts w:ascii="Arial" w:hAnsi="Arial" w:cs="Arial"/>
          <w:sz w:val="24"/>
        </w:rPr>
      </w:pPr>
      <w:r>
        <w:rPr>
          <w:rFonts w:hint="eastAsia" w:ascii="Arial" w:hAnsi="Arial" w:cs="Arial"/>
          <w:sz w:val="24"/>
        </w:rPr>
        <w:t xml:space="preserve">    </w:t>
      </w:r>
    </w:p>
    <w:p>
      <w:pPr>
        <w:pStyle w:val="28"/>
        <w:rPr>
          <w:rFonts w:ascii="Arial" w:hAnsi="Arial" w:cs="Arial"/>
          <w:caps w:val="0"/>
          <w:color w:val="000000"/>
          <w:sz w:val="24"/>
          <w:szCs w:val="24"/>
        </w:rPr>
      </w:pPr>
    </w:p>
    <w:p>
      <w:pPr>
        <w:rPr>
          <w:rFonts w:ascii="Arial" w:hAnsi="Arial" w:cs="Arial"/>
          <w:b/>
          <w:bCs/>
          <w:color w:val="000000"/>
          <w:sz w:val="24"/>
        </w:rPr>
      </w:pPr>
    </w:p>
    <w:p>
      <w:pPr>
        <w:pStyle w:val="28"/>
        <w:rPr>
          <w:rFonts w:ascii="Arial" w:hAnsi="Arial" w:cs="Arial"/>
          <w:caps w:val="0"/>
          <w:color w:val="000000"/>
          <w:sz w:val="24"/>
          <w:szCs w:val="24"/>
        </w:rPr>
      </w:pPr>
    </w:p>
    <w:p>
      <w:pPr>
        <w:rPr>
          <w:rFonts w:ascii="Arial" w:hAnsi="Arial" w:cs="Arial"/>
          <w:b/>
          <w:bCs/>
          <w:color w:val="000000"/>
          <w:sz w:val="24"/>
        </w:rPr>
      </w:pPr>
    </w:p>
    <w:p>
      <w:pPr>
        <w:rPr>
          <w:rFonts w:ascii="Arial" w:hAnsi="Arial" w:cs="Arial"/>
          <w:b/>
          <w:bCs/>
          <w:color w:val="000000"/>
          <w:sz w:val="24"/>
        </w:rPr>
      </w:pPr>
    </w:p>
    <w:p>
      <w:pPr>
        <w:pStyle w:val="28"/>
        <w:jc w:val="both"/>
        <w:rPr>
          <w:rFonts w:ascii="Arial" w:hAnsi="Arial" w:cs="Arial"/>
          <w:caps w:val="0"/>
          <w:color w:val="000000"/>
          <w:sz w:val="24"/>
          <w:szCs w:val="24"/>
          <w:u w:val="single"/>
        </w:rPr>
      </w:pPr>
      <w:r>
        <w:rPr>
          <w:rFonts w:ascii="Arial" w:hAnsi="Arial" w:cs="Arial"/>
          <w:caps w:val="0"/>
          <w:color w:val="000000"/>
          <w:sz w:val="24"/>
          <w:szCs w:val="24"/>
        </w:rPr>
        <w:t>竞争比选响应单位</w:t>
      </w:r>
      <w:r>
        <w:rPr>
          <w:rFonts w:hint="eastAsia" w:ascii="Arial" w:hAnsi="Arial" w:cs="Arial"/>
          <w:caps w:val="0"/>
          <w:color w:val="000000"/>
          <w:sz w:val="24"/>
          <w:szCs w:val="24"/>
        </w:rPr>
        <w:t>现场安全负责人</w:t>
      </w:r>
      <w:r>
        <w:rPr>
          <w:rFonts w:ascii="Arial" w:hAnsi="Arial" w:cs="Arial"/>
          <w:caps w:val="0"/>
          <w:color w:val="000000"/>
          <w:sz w:val="24"/>
          <w:szCs w:val="24"/>
        </w:rPr>
        <w:t>（签字）：</w:t>
      </w:r>
      <w:r>
        <w:rPr>
          <w:rFonts w:hint="eastAsia" w:ascii="Arial" w:hAnsi="Arial" w:cs="Arial"/>
          <w:caps w:val="0"/>
          <w:color w:val="000000"/>
          <w:sz w:val="24"/>
          <w:szCs w:val="24"/>
          <w:u w:val="single"/>
        </w:rPr>
        <w:t xml:space="preserve">               </w:t>
      </w:r>
    </w:p>
    <w:p>
      <w:pPr>
        <w:pStyle w:val="28"/>
        <w:jc w:val="both"/>
        <w:rPr>
          <w:rFonts w:ascii="Arial" w:hAnsi="Arial" w:cs="Arial"/>
          <w:caps w:val="0"/>
          <w:color w:val="000000"/>
          <w:sz w:val="24"/>
          <w:szCs w:val="24"/>
        </w:rPr>
      </w:pPr>
      <w:r>
        <w:rPr>
          <w:rFonts w:ascii="Arial" w:hAnsi="Arial" w:cs="Arial"/>
          <w:caps w:val="0"/>
          <w:color w:val="000000"/>
          <w:sz w:val="24"/>
          <w:szCs w:val="24"/>
        </w:rPr>
        <w:t>竞争比选响应单位名称（加盖公章）：</w:t>
      </w:r>
    </w:p>
    <w:p>
      <w:pPr>
        <w:pStyle w:val="28"/>
        <w:jc w:val="both"/>
        <w:rPr>
          <w:rFonts w:ascii="Arial" w:hAnsi="Arial" w:cs="Arial"/>
          <w:caps w:val="0"/>
          <w:color w:val="000000"/>
          <w:sz w:val="24"/>
          <w:szCs w:val="24"/>
        </w:rPr>
      </w:pPr>
      <w:r>
        <w:rPr>
          <w:rFonts w:ascii="Arial" w:hAnsi="Arial" w:cs="Arial"/>
          <w:caps w:val="0"/>
          <w:color w:val="000000"/>
          <w:sz w:val="24"/>
          <w:szCs w:val="24"/>
        </w:rPr>
        <w:t>日期：</w:t>
      </w:r>
      <w:r>
        <w:rPr>
          <w:rFonts w:ascii="Arial" w:hAnsi="Arial" w:cs="Arial"/>
          <w:caps w:val="0"/>
          <w:color w:val="000000"/>
          <w:sz w:val="24"/>
          <w:szCs w:val="24"/>
          <w:u w:val="single"/>
        </w:rPr>
        <w:t xml:space="preserve">     </w:t>
      </w:r>
      <w:r>
        <w:rPr>
          <w:rFonts w:ascii="Arial" w:hAnsi="Arial" w:cs="Arial"/>
          <w:caps w:val="0"/>
          <w:color w:val="000000"/>
          <w:sz w:val="24"/>
          <w:szCs w:val="24"/>
        </w:rPr>
        <w:t>年</w:t>
      </w:r>
      <w:r>
        <w:rPr>
          <w:rFonts w:ascii="Arial" w:hAnsi="Arial" w:cs="Arial"/>
          <w:caps w:val="0"/>
          <w:color w:val="000000"/>
          <w:sz w:val="24"/>
          <w:szCs w:val="24"/>
          <w:u w:val="single"/>
        </w:rPr>
        <w:t xml:space="preserve">      </w:t>
      </w:r>
      <w:r>
        <w:rPr>
          <w:rFonts w:ascii="Arial" w:hAnsi="Arial" w:cs="Arial"/>
          <w:caps w:val="0"/>
          <w:color w:val="000000"/>
          <w:sz w:val="24"/>
          <w:szCs w:val="24"/>
        </w:rPr>
        <w:t>月</w:t>
      </w:r>
      <w:r>
        <w:rPr>
          <w:rFonts w:ascii="Arial" w:hAnsi="Arial" w:cs="Arial"/>
          <w:caps w:val="0"/>
          <w:color w:val="000000"/>
          <w:sz w:val="24"/>
          <w:szCs w:val="24"/>
          <w:u w:val="single"/>
        </w:rPr>
        <w:t xml:space="preserve">      </w:t>
      </w:r>
      <w:r>
        <w:rPr>
          <w:rFonts w:ascii="Arial" w:hAnsi="Arial" w:cs="Arial"/>
          <w:caps w:val="0"/>
          <w:color w:val="000000"/>
          <w:sz w:val="24"/>
          <w:szCs w:val="24"/>
        </w:rPr>
        <w:t>日</w:t>
      </w:r>
    </w:p>
    <w:p>
      <w:pPr>
        <w:pStyle w:val="28"/>
        <w:rPr>
          <w:rFonts w:ascii="Arial" w:hAnsi="Arial" w:cs="Arial"/>
          <w:caps w:val="0"/>
          <w:color w:val="000000"/>
          <w:sz w:val="24"/>
          <w:szCs w:val="24"/>
        </w:rPr>
      </w:pPr>
    </w:p>
    <w:p>
      <w:pPr>
        <w:rPr>
          <w:rFonts w:ascii="Arial" w:hAnsi="Arial" w:cs="Arial"/>
          <w:b/>
          <w:bCs/>
          <w:color w:val="000000"/>
          <w:sz w:val="24"/>
        </w:rPr>
      </w:pPr>
    </w:p>
    <w:p>
      <w:pPr>
        <w:pStyle w:val="28"/>
        <w:rPr>
          <w:rFonts w:ascii="Arial" w:hAnsi="Arial" w:cs="Arial"/>
          <w:caps w:val="0"/>
          <w:color w:val="000000"/>
          <w:sz w:val="24"/>
          <w:szCs w:val="24"/>
        </w:rPr>
      </w:pPr>
    </w:p>
    <w:p>
      <w:pPr>
        <w:pStyle w:val="28"/>
        <w:rPr>
          <w:rFonts w:ascii="Arial" w:hAnsi="Arial" w:cs="Arial"/>
          <w:caps w:val="0"/>
          <w:color w:val="000000"/>
          <w:sz w:val="24"/>
          <w:szCs w:val="24"/>
        </w:rPr>
      </w:pPr>
    </w:p>
    <w:bookmarkEnd w:id="264"/>
    <w:bookmarkEnd w:id="265"/>
    <w:p>
      <w:pPr>
        <w:pStyle w:val="28"/>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8387A57-F9CB-4EE1-A556-01F834E187B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altName w:val="微软雅黑"/>
    <w:panose1 w:val="00000000000000000000"/>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rPr>
        <w:rStyle w:val="47"/>
      </w:rPr>
    </w:pPr>
    <w:r>
      <w:fldChar w:fldCharType="begin"/>
    </w:r>
    <w:r>
      <w:rPr>
        <w:rStyle w:val="47"/>
      </w:rPr>
      <w:instrText xml:space="preserve">PAGE  </w:instrText>
    </w:r>
    <w:r>
      <w:fldChar w:fldCharType="end"/>
    </w:r>
  </w:p>
  <w:p>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79</w:t>
    </w:r>
    <w:r>
      <w:fldChar w:fldCharType="end"/>
    </w:r>
  </w:p>
  <w:p>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fldChar w:fldCharType="begin"/>
    </w:r>
    <w:r>
      <w:instrText xml:space="preserve">PAGE   \* MERGEFORMAT</w:instrText>
    </w:r>
    <w:r>
      <w:fldChar w:fldCharType="separate"/>
    </w:r>
    <w:r>
      <w:rPr>
        <w:lang w:val="zh-CN"/>
      </w:rPr>
      <w:t>35</w:t>
    </w:r>
    <w:r>
      <w:fldChar w:fldCharType="end"/>
    </w:r>
  </w:p>
  <w:p>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73</w:t>
    </w:r>
    <w:r>
      <w:fldChar w:fldCharType="end"/>
    </w:r>
  </w:p>
  <w:p>
    <w:pPr>
      <w:pStyle w:val="26"/>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78</w:t>
    </w:r>
    <w:r>
      <w:fldChar w:fldCharType="end"/>
    </w:r>
  </w:p>
  <w:p>
    <w:pPr>
      <w:pStyle w:val="26"/>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6"/>
                      <w:rPr>
                        <w:rStyle w:val="47"/>
                      </w:rPr>
                    </w:pPr>
                    <w:r>
                      <w:fldChar w:fldCharType="begin"/>
                    </w:r>
                    <w:r>
                      <w:rPr>
                        <w:rStyle w:val="47"/>
                      </w:rPr>
                      <w:instrText xml:space="preserve">PAGE  </w:instrText>
                    </w:r>
                    <w:r>
                      <w:fldChar w:fldCharType="separate"/>
                    </w:r>
                    <w:r>
                      <w:rPr>
                        <w:rStyle w:val="47"/>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6"/>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094FDD"/>
    <w:multiLevelType w:val="singleLevel"/>
    <w:tmpl w:val="83094FDD"/>
    <w:lvl w:ilvl="0" w:tentative="0">
      <w:start w:val="1"/>
      <w:numFmt w:val="decimal"/>
      <w:suff w:val="nothing"/>
      <w:lvlText w:val="（%1）"/>
      <w:lvlJc w:val="left"/>
    </w:lvl>
  </w:abstractNum>
  <w:abstractNum w:abstractNumId="1">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EB53234"/>
    <w:multiLevelType w:val="singleLevel"/>
    <w:tmpl w:val="0EB53234"/>
    <w:lvl w:ilvl="0" w:tentative="0">
      <w:start w:val="4"/>
      <w:numFmt w:val="decimal"/>
      <w:suff w:val="nothing"/>
      <w:lvlText w:val="%1、"/>
      <w:lvlJc w:val="left"/>
    </w:lvl>
  </w:abstractNum>
  <w:abstractNum w:abstractNumId="3">
    <w:nsid w:val="3871CE1D"/>
    <w:multiLevelType w:val="singleLevel"/>
    <w:tmpl w:val="3871CE1D"/>
    <w:lvl w:ilvl="0" w:tentative="0">
      <w:start w:val="1"/>
      <w:numFmt w:val="chineseCounting"/>
      <w:suff w:val="nothing"/>
      <w:lvlText w:val="%1、"/>
      <w:lvlJc w:val="left"/>
      <w:rPr>
        <w:rFonts w:hint="eastAsia"/>
      </w:rPr>
    </w:lvl>
  </w:abstractNum>
  <w:abstractNum w:abstractNumId="4">
    <w:nsid w:val="55E7E3B4"/>
    <w:multiLevelType w:val="singleLevel"/>
    <w:tmpl w:val="55E7E3B4"/>
    <w:lvl w:ilvl="0" w:tentative="0">
      <w:start w:val="3"/>
      <w:numFmt w:val="chineseCounting"/>
      <w:suff w:val="space"/>
      <w:lvlText w:val="第%1章"/>
      <w:lvlJc w:val="left"/>
      <w:rPr>
        <w:rFonts w:hint="eastAsia"/>
      </w:rPr>
    </w:lvl>
  </w:abstractNum>
  <w:abstractNum w:abstractNumId="5">
    <w:nsid w:val="5A4A4994"/>
    <w:multiLevelType w:val="singleLevel"/>
    <w:tmpl w:val="5A4A4994"/>
    <w:lvl w:ilvl="0" w:tentative="0">
      <w:start w:val="1"/>
      <w:numFmt w:val="decimal"/>
      <w:suff w:val="nothing"/>
      <w:lvlText w:val="（%1）"/>
      <w:lvlJc w:val="left"/>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iY2MzMmY4ZjlhZjg2YzY5MDlhM2RhYjY2NWE4ZmI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1956"/>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C54"/>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7E8"/>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5FE1"/>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73F"/>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74E"/>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AC2"/>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B48CF"/>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22DB"/>
    <w:rsid w:val="005142E6"/>
    <w:rsid w:val="00514DF5"/>
    <w:rsid w:val="005216B1"/>
    <w:rsid w:val="005230E8"/>
    <w:rsid w:val="005248B7"/>
    <w:rsid w:val="00524AAD"/>
    <w:rsid w:val="00527DED"/>
    <w:rsid w:val="00533989"/>
    <w:rsid w:val="0053576A"/>
    <w:rsid w:val="0053749E"/>
    <w:rsid w:val="0053783C"/>
    <w:rsid w:val="00540A63"/>
    <w:rsid w:val="00541EAD"/>
    <w:rsid w:val="00543B84"/>
    <w:rsid w:val="00551444"/>
    <w:rsid w:val="005516BA"/>
    <w:rsid w:val="00554CE3"/>
    <w:rsid w:val="00565E3C"/>
    <w:rsid w:val="0056641F"/>
    <w:rsid w:val="005668C7"/>
    <w:rsid w:val="00567B81"/>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3C9A"/>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502D"/>
    <w:rsid w:val="00816118"/>
    <w:rsid w:val="00816C40"/>
    <w:rsid w:val="008170C3"/>
    <w:rsid w:val="00817E08"/>
    <w:rsid w:val="00825742"/>
    <w:rsid w:val="00833989"/>
    <w:rsid w:val="00833FEE"/>
    <w:rsid w:val="00834654"/>
    <w:rsid w:val="008346F1"/>
    <w:rsid w:val="008354B1"/>
    <w:rsid w:val="008365E2"/>
    <w:rsid w:val="00836AA3"/>
    <w:rsid w:val="0084014A"/>
    <w:rsid w:val="00840D93"/>
    <w:rsid w:val="0084176C"/>
    <w:rsid w:val="00842D69"/>
    <w:rsid w:val="00844285"/>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4FC9"/>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17EE0"/>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1F7E"/>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1302"/>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16E9"/>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80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110D91"/>
    <w:rsid w:val="01232ED2"/>
    <w:rsid w:val="015D18DC"/>
    <w:rsid w:val="0184380B"/>
    <w:rsid w:val="01852BD3"/>
    <w:rsid w:val="018A6C3C"/>
    <w:rsid w:val="01912179"/>
    <w:rsid w:val="01A8609A"/>
    <w:rsid w:val="01A93FA3"/>
    <w:rsid w:val="01B37E92"/>
    <w:rsid w:val="01CA6EA2"/>
    <w:rsid w:val="01E05F01"/>
    <w:rsid w:val="020C0D2B"/>
    <w:rsid w:val="02195A53"/>
    <w:rsid w:val="022831DB"/>
    <w:rsid w:val="02375428"/>
    <w:rsid w:val="02427F54"/>
    <w:rsid w:val="029D41FE"/>
    <w:rsid w:val="02A800C5"/>
    <w:rsid w:val="02B53517"/>
    <w:rsid w:val="02C6499B"/>
    <w:rsid w:val="02C91CAA"/>
    <w:rsid w:val="02D0709E"/>
    <w:rsid w:val="02FA438B"/>
    <w:rsid w:val="0342021E"/>
    <w:rsid w:val="035E20C2"/>
    <w:rsid w:val="037D0CD2"/>
    <w:rsid w:val="038B3366"/>
    <w:rsid w:val="03981B5E"/>
    <w:rsid w:val="03996EAD"/>
    <w:rsid w:val="03F60BFA"/>
    <w:rsid w:val="04023CC8"/>
    <w:rsid w:val="042674F4"/>
    <w:rsid w:val="042A6EF2"/>
    <w:rsid w:val="042D3C13"/>
    <w:rsid w:val="04566DE4"/>
    <w:rsid w:val="04722D72"/>
    <w:rsid w:val="047475DC"/>
    <w:rsid w:val="047A0BBC"/>
    <w:rsid w:val="04933E65"/>
    <w:rsid w:val="04945913"/>
    <w:rsid w:val="04B32944"/>
    <w:rsid w:val="04BF52ED"/>
    <w:rsid w:val="04C12ED8"/>
    <w:rsid w:val="04DC5749"/>
    <w:rsid w:val="04E26FED"/>
    <w:rsid w:val="04E41F94"/>
    <w:rsid w:val="04FD6633"/>
    <w:rsid w:val="050F1997"/>
    <w:rsid w:val="0515595C"/>
    <w:rsid w:val="052E2B3B"/>
    <w:rsid w:val="054416D2"/>
    <w:rsid w:val="05507F0F"/>
    <w:rsid w:val="055A4D20"/>
    <w:rsid w:val="056F275C"/>
    <w:rsid w:val="05753C79"/>
    <w:rsid w:val="05871A0A"/>
    <w:rsid w:val="058B2628"/>
    <w:rsid w:val="05A42E7B"/>
    <w:rsid w:val="05A70EA9"/>
    <w:rsid w:val="05D55D36"/>
    <w:rsid w:val="060C2525"/>
    <w:rsid w:val="062756FD"/>
    <w:rsid w:val="06465A4B"/>
    <w:rsid w:val="065F7A31"/>
    <w:rsid w:val="067C53E7"/>
    <w:rsid w:val="06820F5E"/>
    <w:rsid w:val="06A7180A"/>
    <w:rsid w:val="06AE2ABA"/>
    <w:rsid w:val="06BA1001"/>
    <w:rsid w:val="06C75DF5"/>
    <w:rsid w:val="06DD02BB"/>
    <w:rsid w:val="06E71F51"/>
    <w:rsid w:val="06F965AD"/>
    <w:rsid w:val="07035F04"/>
    <w:rsid w:val="07050666"/>
    <w:rsid w:val="071A6392"/>
    <w:rsid w:val="071C4DB7"/>
    <w:rsid w:val="07362674"/>
    <w:rsid w:val="073B54B2"/>
    <w:rsid w:val="073E79EE"/>
    <w:rsid w:val="07410810"/>
    <w:rsid w:val="07537EF9"/>
    <w:rsid w:val="0760673E"/>
    <w:rsid w:val="076619FA"/>
    <w:rsid w:val="077E1A2E"/>
    <w:rsid w:val="07815EE7"/>
    <w:rsid w:val="0784155A"/>
    <w:rsid w:val="079A613C"/>
    <w:rsid w:val="07E6454D"/>
    <w:rsid w:val="081748AE"/>
    <w:rsid w:val="085C3CE3"/>
    <w:rsid w:val="08635851"/>
    <w:rsid w:val="08891E69"/>
    <w:rsid w:val="08A30341"/>
    <w:rsid w:val="08C2359B"/>
    <w:rsid w:val="08ED052C"/>
    <w:rsid w:val="09041814"/>
    <w:rsid w:val="092D7BDC"/>
    <w:rsid w:val="09332D2B"/>
    <w:rsid w:val="093E2D64"/>
    <w:rsid w:val="09455F12"/>
    <w:rsid w:val="09472203"/>
    <w:rsid w:val="098B1DA7"/>
    <w:rsid w:val="09907951"/>
    <w:rsid w:val="099F43E4"/>
    <w:rsid w:val="09A31A61"/>
    <w:rsid w:val="09BA7A85"/>
    <w:rsid w:val="09DE1094"/>
    <w:rsid w:val="09E2475B"/>
    <w:rsid w:val="0A183EA3"/>
    <w:rsid w:val="0A1B0252"/>
    <w:rsid w:val="0A207013"/>
    <w:rsid w:val="0A3F34B7"/>
    <w:rsid w:val="0A4B11BE"/>
    <w:rsid w:val="0A7B4003"/>
    <w:rsid w:val="0A7D7D7B"/>
    <w:rsid w:val="0A8E5B8D"/>
    <w:rsid w:val="0A922065"/>
    <w:rsid w:val="0AA23F09"/>
    <w:rsid w:val="0AA240FA"/>
    <w:rsid w:val="0AAC0CBB"/>
    <w:rsid w:val="0ACC0D02"/>
    <w:rsid w:val="0AD84BD3"/>
    <w:rsid w:val="0AE941D3"/>
    <w:rsid w:val="0AFA761E"/>
    <w:rsid w:val="0B1061C6"/>
    <w:rsid w:val="0B246449"/>
    <w:rsid w:val="0B2B08D5"/>
    <w:rsid w:val="0B3A2110"/>
    <w:rsid w:val="0B896BF3"/>
    <w:rsid w:val="0B9874FD"/>
    <w:rsid w:val="0BA35012"/>
    <w:rsid w:val="0BB825ED"/>
    <w:rsid w:val="0BC0647C"/>
    <w:rsid w:val="0BD7624B"/>
    <w:rsid w:val="0BF26817"/>
    <w:rsid w:val="0C22464A"/>
    <w:rsid w:val="0C2B72AE"/>
    <w:rsid w:val="0C3A50BE"/>
    <w:rsid w:val="0C486A95"/>
    <w:rsid w:val="0C517E31"/>
    <w:rsid w:val="0C6222A3"/>
    <w:rsid w:val="0C623EAC"/>
    <w:rsid w:val="0C946488"/>
    <w:rsid w:val="0CA8201C"/>
    <w:rsid w:val="0CAB3827"/>
    <w:rsid w:val="0CAD24AF"/>
    <w:rsid w:val="0CB27F34"/>
    <w:rsid w:val="0D0D3F93"/>
    <w:rsid w:val="0D12389F"/>
    <w:rsid w:val="0D2820B7"/>
    <w:rsid w:val="0D2B5BA2"/>
    <w:rsid w:val="0D2F6875"/>
    <w:rsid w:val="0D33523D"/>
    <w:rsid w:val="0D5B6D69"/>
    <w:rsid w:val="0D6065F9"/>
    <w:rsid w:val="0D662EE5"/>
    <w:rsid w:val="0D6A3AE7"/>
    <w:rsid w:val="0D860EC5"/>
    <w:rsid w:val="0D9339BE"/>
    <w:rsid w:val="0D991370"/>
    <w:rsid w:val="0D9E6A67"/>
    <w:rsid w:val="0D9F0DC4"/>
    <w:rsid w:val="0DA07FC9"/>
    <w:rsid w:val="0DAE46EF"/>
    <w:rsid w:val="0DC02AA1"/>
    <w:rsid w:val="0DDE695A"/>
    <w:rsid w:val="0DF73A5B"/>
    <w:rsid w:val="0E164CA8"/>
    <w:rsid w:val="0E231949"/>
    <w:rsid w:val="0E2D072E"/>
    <w:rsid w:val="0E3B295D"/>
    <w:rsid w:val="0E47249B"/>
    <w:rsid w:val="0E551882"/>
    <w:rsid w:val="0E5C239D"/>
    <w:rsid w:val="0E7306EC"/>
    <w:rsid w:val="0E963048"/>
    <w:rsid w:val="0EAD7E50"/>
    <w:rsid w:val="0EB254B2"/>
    <w:rsid w:val="0EB567A2"/>
    <w:rsid w:val="0ED91C40"/>
    <w:rsid w:val="0EFB3F5D"/>
    <w:rsid w:val="0F041CC7"/>
    <w:rsid w:val="0F042317"/>
    <w:rsid w:val="0F1209F8"/>
    <w:rsid w:val="0F4C19DA"/>
    <w:rsid w:val="0F4C7D05"/>
    <w:rsid w:val="0F4F31AF"/>
    <w:rsid w:val="0F5F17BD"/>
    <w:rsid w:val="0F6B0BDE"/>
    <w:rsid w:val="0F7E014D"/>
    <w:rsid w:val="0F7F6CFB"/>
    <w:rsid w:val="0F90531D"/>
    <w:rsid w:val="0FAD64B5"/>
    <w:rsid w:val="0FB21FD4"/>
    <w:rsid w:val="0FFF5930"/>
    <w:rsid w:val="1018536D"/>
    <w:rsid w:val="104D6442"/>
    <w:rsid w:val="108E33C3"/>
    <w:rsid w:val="10A265EF"/>
    <w:rsid w:val="10EC4A0F"/>
    <w:rsid w:val="10FB7C4C"/>
    <w:rsid w:val="11156FC6"/>
    <w:rsid w:val="11485B0D"/>
    <w:rsid w:val="114C7209"/>
    <w:rsid w:val="11537A88"/>
    <w:rsid w:val="1154158B"/>
    <w:rsid w:val="11677BA5"/>
    <w:rsid w:val="117076B2"/>
    <w:rsid w:val="119E6579"/>
    <w:rsid w:val="11D435DD"/>
    <w:rsid w:val="11DA3C43"/>
    <w:rsid w:val="11E15B8A"/>
    <w:rsid w:val="11F35990"/>
    <w:rsid w:val="1220326C"/>
    <w:rsid w:val="123A67B6"/>
    <w:rsid w:val="125515DD"/>
    <w:rsid w:val="125670E6"/>
    <w:rsid w:val="125E1A9C"/>
    <w:rsid w:val="1276289F"/>
    <w:rsid w:val="1288522D"/>
    <w:rsid w:val="129D6A95"/>
    <w:rsid w:val="12AF4046"/>
    <w:rsid w:val="12CE506D"/>
    <w:rsid w:val="12D036D1"/>
    <w:rsid w:val="12F65490"/>
    <w:rsid w:val="12F73D2A"/>
    <w:rsid w:val="12F9698E"/>
    <w:rsid w:val="13112273"/>
    <w:rsid w:val="131C7C5D"/>
    <w:rsid w:val="13511DF6"/>
    <w:rsid w:val="1359610F"/>
    <w:rsid w:val="136F3685"/>
    <w:rsid w:val="138B4634"/>
    <w:rsid w:val="138F1214"/>
    <w:rsid w:val="13BF412F"/>
    <w:rsid w:val="13C00A21"/>
    <w:rsid w:val="13D101C7"/>
    <w:rsid w:val="1400440E"/>
    <w:rsid w:val="14005579"/>
    <w:rsid w:val="142669A3"/>
    <w:rsid w:val="142B5D9F"/>
    <w:rsid w:val="14301CC2"/>
    <w:rsid w:val="143805F9"/>
    <w:rsid w:val="144729D8"/>
    <w:rsid w:val="147A44EB"/>
    <w:rsid w:val="148530C5"/>
    <w:rsid w:val="148E78CB"/>
    <w:rsid w:val="149F4D92"/>
    <w:rsid w:val="14A13E6D"/>
    <w:rsid w:val="14AB614D"/>
    <w:rsid w:val="14B96C2B"/>
    <w:rsid w:val="15067DFC"/>
    <w:rsid w:val="15181495"/>
    <w:rsid w:val="153870BF"/>
    <w:rsid w:val="15436E45"/>
    <w:rsid w:val="154871D8"/>
    <w:rsid w:val="15507C7E"/>
    <w:rsid w:val="1557566D"/>
    <w:rsid w:val="15664AEF"/>
    <w:rsid w:val="158E23E1"/>
    <w:rsid w:val="159D7EA6"/>
    <w:rsid w:val="159F1BF9"/>
    <w:rsid w:val="15A00DC2"/>
    <w:rsid w:val="15B71B1D"/>
    <w:rsid w:val="15E63361"/>
    <w:rsid w:val="160B0227"/>
    <w:rsid w:val="1613731C"/>
    <w:rsid w:val="16864176"/>
    <w:rsid w:val="16B34B25"/>
    <w:rsid w:val="16E04880"/>
    <w:rsid w:val="16F86032"/>
    <w:rsid w:val="16FE2244"/>
    <w:rsid w:val="17081A7A"/>
    <w:rsid w:val="17092996"/>
    <w:rsid w:val="17292C0C"/>
    <w:rsid w:val="176F50FE"/>
    <w:rsid w:val="17D10049"/>
    <w:rsid w:val="17D565E9"/>
    <w:rsid w:val="17D75109"/>
    <w:rsid w:val="17DD0B49"/>
    <w:rsid w:val="17F1563C"/>
    <w:rsid w:val="17F23C73"/>
    <w:rsid w:val="180D0283"/>
    <w:rsid w:val="180F3B80"/>
    <w:rsid w:val="18185B8A"/>
    <w:rsid w:val="181B1411"/>
    <w:rsid w:val="181C1400"/>
    <w:rsid w:val="18223BBF"/>
    <w:rsid w:val="18406E44"/>
    <w:rsid w:val="185C1918"/>
    <w:rsid w:val="1880349D"/>
    <w:rsid w:val="18A24E51"/>
    <w:rsid w:val="18BD142C"/>
    <w:rsid w:val="18BD60C6"/>
    <w:rsid w:val="18C3452E"/>
    <w:rsid w:val="18D435BC"/>
    <w:rsid w:val="18E261BC"/>
    <w:rsid w:val="18E6320F"/>
    <w:rsid w:val="18F10816"/>
    <w:rsid w:val="190050D9"/>
    <w:rsid w:val="19193365"/>
    <w:rsid w:val="19261639"/>
    <w:rsid w:val="195D5C0E"/>
    <w:rsid w:val="19B116AD"/>
    <w:rsid w:val="19B17485"/>
    <w:rsid w:val="19B64CC2"/>
    <w:rsid w:val="19BA69A5"/>
    <w:rsid w:val="19CC487B"/>
    <w:rsid w:val="19DA3CF6"/>
    <w:rsid w:val="19DF6D3F"/>
    <w:rsid w:val="19E24459"/>
    <w:rsid w:val="19E75211"/>
    <w:rsid w:val="19EF2451"/>
    <w:rsid w:val="1A176F08"/>
    <w:rsid w:val="1A194A1B"/>
    <w:rsid w:val="1A305FF4"/>
    <w:rsid w:val="1A3D7EBE"/>
    <w:rsid w:val="1A4274FB"/>
    <w:rsid w:val="1A4353A0"/>
    <w:rsid w:val="1A557489"/>
    <w:rsid w:val="1A89451A"/>
    <w:rsid w:val="1AF45443"/>
    <w:rsid w:val="1AF673AA"/>
    <w:rsid w:val="1B075A0C"/>
    <w:rsid w:val="1B1C7DC9"/>
    <w:rsid w:val="1B67066F"/>
    <w:rsid w:val="1B7229E4"/>
    <w:rsid w:val="1B7A5EC7"/>
    <w:rsid w:val="1B8E5EC0"/>
    <w:rsid w:val="1BBE47DE"/>
    <w:rsid w:val="1BC10D01"/>
    <w:rsid w:val="1BCB334D"/>
    <w:rsid w:val="1BD163B0"/>
    <w:rsid w:val="1C2403B8"/>
    <w:rsid w:val="1C2613A8"/>
    <w:rsid w:val="1C477E44"/>
    <w:rsid w:val="1C9B22E2"/>
    <w:rsid w:val="1CA53B30"/>
    <w:rsid w:val="1CB33990"/>
    <w:rsid w:val="1CBE72D2"/>
    <w:rsid w:val="1CDA422E"/>
    <w:rsid w:val="1CF6260F"/>
    <w:rsid w:val="1CF83AEA"/>
    <w:rsid w:val="1CF911FC"/>
    <w:rsid w:val="1CFC0FD3"/>
    <w:rsid w:val="1CFF7A9C"/>
    <w:rsid w:val="1D0048A3"/>
    <w:rsid w:val="1D34223E"/>
    <w:rsid w:val="1D6914D5"/>
    <w:rsid w:val="1D7C7A22"/>
    <w:rsid w:val="1D7E09CF"/>
    <w:rsid w:val="1D9F1A69"/>
    <w:rsid w:val="1DB50BD0"/>
    <w:rsid w:val="1DE41480"/>
    <w:rsid w:val="1E2139B7"/>
    <w:rsid w:val="1E7A14A8"/>
    <w:rsid w:val="1E7F32B0"/>
    <w:rsid w:val="1EA77665"/>
    <w:rsid w:val="1EBA058B"/>
    <w:rsid w:val="1EBB622E"/>
    <w:rsid w:val="1ED17F52"/>
    <w:rsid w:val="1EDD751C"/>
    <w:rsid w:val="1EE170B7"/>
    <w:rsid w:val="1EEA13A6"/>
    <w:rsid w:val="1EEB392A"/>
    <w:rsid w:val="1EFE64E9"/>
    <w:rsid w:val="1F6207D0"/>
    <w:rsid w:val="1FA53BA4"/>
    <w:rsid w:val="1FCA360B"/>
    <w:rsid w:val="1FE1627D"/>
    <w:rsid w:val="1FEA603B"/>
    <w:rsid w:val="20084133"/>
    <w:rsid w:val="20133D98"/>
    <w:rsid w:val="20226856"/>
    <w:rsid w:val="20293E2F"/>
    <w:rsid w:val="20686E43"/>
    <w:rsid w:val="206E3E8E"/>
    <w:rsid w:val="207224C8"/>
    <w:rsid w:val="2076639A"/>
    <w:rsid w:val="2093114F"/>
    <w:rsid w:val="209B57AA"/>
    <w:rsid w:val="20A121FD"/>
    <w:rsid w:val="20C20004"/>
    <w:rsid w:val="20C66F34"/>
    <w:rsid w:val="20D83D6E"/>
    <w:rsid w:val="20DE5531"/>
    <w:rsid w:val="20E1180E"/>
    <w:rsid w:val="20EA6084"/>
    <w:rsid w:val="20F01139"/>
    <w:rsid w:val="20F1461D"/>
    <w:rsid w:val="211641D5"/>
    <w:rsid w:val="212B522B"/>
    <w:rsid w:val="213F6312"/>
    <w:rsid w:val="21736537"/>
    <w:rsid w:val="21977807"/>
    <w:rsid w:val="219A6D4B"/>
    <w:rsid w:val="21B30D9B"/>
    <w:rsid w:val="21B32189"/>
    <w:rsid w:val="21C2735E"/>
    <w:rsid w:val="21E57FA3"/>
    <w:rsid w:val="21FB5A74"/>
    <w:rsid w:val="22677BAA"/>
    <w:rsid w:val="226827C0"/>
    <w:rsid w:val="227C6EFF"/>
    <w:rsid w:val="22942795"/>
    <w:rsid w:val="22A10D06"/>
    <w:rsid w:val="22B665A5"/>
    <w:rsid w:val="22C925E0"/>
    <w:rsid w:val="22D84291"/>
    <w:rsid w:val="22E46F4A"/>
    <w:rsid w:val="22E82DE7"/>
    <w:rsid w:val="22F20159"/>
    <w:rsid w:val="23005537"/>
    <w:rsid w:val="231A3C9A"/>
    <w:rsid w:val="232C54A8"/>
    <w:rsid w:val="233C2C53"/>
    <w:rsid w:val="23486890"/>
    <w:rsid w:val="236F1F61"/>
    <w:rsid w:val="23AB4CDF"/>
    <w:rsid w:val="23C37A75"/>
    <w:rsid w:val="240404D0"/>
    <w:rsid w:val="24220F3E"/>
    <w:rsid w:val="2423604B"/>
    <w:rsid w:val="243A3F7E"/>
    <w:rsid w:val="24436391"/>
    <w:rsid w:val="2450121E"/>
    <w:rsid w:val="247A4C56"/>
    <w:rsid w:val="2487622C"/>
    <w:rsid w:val="248945BF"/>
    <w:rsid w:val="24973094"/>
    <w:rsid w:val="24AD6D9A"/>
    <w:rsid w:val="24E52AD8"/>
    <w:rsid w:val="24E85B0E"/>
    <w:rsid w:val="251418FC"/>
    <w:rsid w:val="254925FD"/>
    <w:rsid w:val="255249D2"/>
    <w:rsid w:val="256C0CC0"/>
    <w:rsid w:val="25712B23"/>
    <w:rsid w:val="25951FC5"/>
    <w:rsid w:val="25A845B3"/>
    <w:rsid w:val="25EB71B7"/>
    <w:rsid w:val="26154215"/>
    <w:rsid w:val="261A0BE6"/>
    <w:rsid w:val="26385E8A"/>
    <w:rsid w:val="263C7691"/>
    <w:rsid w:val="264E29E7"/>
    <w:rsid w:val="265E2776"/>
    <w:rsid w:val="26666FDC"/>
    <w:rsid w:val="26963D4E"/>
    <w:rsid w:val="26AB763C"/>
    <w:rsid w:val="26B267E7"/>
    <w:rsid w:val="26D794B7"/>
    <w:rsid w:val="26F131DC"/>
    <w:rsid w:val="26F65310"/>
    <w:rsid w:val="27052D05"/>
    <w:rsid w:val="27082804"/>
    <w:rsid w:val="270832AE"/>
    <w:rsid w:val="27343A60"/>
    <w:rsid w:val="27357F9F"/>
    <w:rsid w:val="275E35BF"/>
    <w:rsid w:val="276332FD"/>
    <w:rsid w:val="276C71C3"/>
    <w:rsid w:val="27A4553F"/>
    <w:rsid w:val="27CA7E10"/>
    <w:rsid w:val="27D35135"/>
    <w:rsid w:val="27DD1D93"/>
    <w:rsid w:val="27EF1935"/>
    <w:rsid w:val="280A1B75"/>
    <w:rsid w:val="28257458"/>
    <w:rsid w:val="283962F8"/>
    <w:rsid w:val="284E28FF"/>
    <w:rsid w:val="285D6583"/>
    <w:rsid w:val="287A36F4"/>
    <w:rsid w:val="288458E7"/>
    <w:rsid w:val="28A33A20"/>
    <w:rsid w:val="28A47F17"/>
    <w:rsid w:val="28A95D87"/>
    <w:rsid w:val="28EC32AF"/>
    <w:rsid w:val="28FE6071"/>
    <w:rsid w:val="290212C1"/>
    <w:rsid w:val="290D5ED8"/>
    <w:rsid w:val="29656DCE"/>
    <w:rsid w:val="29722140"/>
    <w:rsid w:val="298B4B23"/>
    <w:rsid w:val="29AD63FD"/>
    <w:rsid w:val="29B71FDB"/>
    <w:rsid w:val="29CF18DD"/>
    <w:rsid w:val="29D65D23"/>
    <w:rsid w:val="29D875FE"/>
    <w:rsid w:val="29FE44DD"/>
    <w:rsid w:val="2A1169E3"/>
    <w:rsid w:val="2A194E5D"/>
    <w:rsid w:val="2A21554B"/>
    <w:rsid w:val="2A594BC2"/>
    <w:rsid w:val="2A5A558B"/>
    <w:rsid w:val="2A9F7561"/>
    <w:rsid w:val="2AA90FA0"/>
    <w:rsid w:val="2AB103DC"/>
    <w:rsid w:val="2AB31CE2"/>
    <w:rsid w:val="2AB55266"/>
    <w:rsid w:val="2AD71DDB"/>
    <w:rsid w:val="2AF000D8"/>
    <w:rsid w:val="2B487382"/>
    <w:rsid w:val="2B552F60"/>
    <w:rsid w:val="2B5D3585"/>
    <w:rsid w:val="2B7841A6"/>
    <w:rsid w:val="2BB367B9"/>
    <w:rsid w:val="2BB62D59"/>
    <w:rsid w:val="2BEC2B5B"/>
    <w:rsid w:val="2C13380B"/>
    <w:rsid w:val="2C184D47"/>
    <w:rsid w:val="2C4602D1"/>
    <w:rsid w:val="2C796A89"/>
    <w:rsid w:val="2C7C10B6"/>
    <w:rsid w:val="2C9837D1"/>
    <w:rsid w:val="2CB204A3"/>
    <w:rsid w:val="2CBD3A96"/>
    <w:rsid w:val="2CC74339"/>
    <w:rsid w:val="2CCC23F7"/>
    <w:rsid w:val="2CCE1414"/>
    <w:rsid w:val="2CF93ABF"/>
    <w:rsid w:val="2D1E27A3"/>
    <w:rsid w:val="2D1E560F"/>
    <w:rsid w:val="2D394FF5"/>
    <w:rsid w:val="2D766528"/>
    <w:rsid w:val="2D797435"/>
    <w:rsid w:val="2D817536"/>
    <w:rsid w:val="2DF50B51"/>
    <w:rsid w:val="2E6111A5"/>
    <w:rsid w:val="2E671D49"/>
    <w:rsid w:val="2E6A704D"/>
    <w:rsid w:val="2E6C0B54"/>
    <w:rsid w:val="2E7A444E"/>
    <w:rsid w:val="2E8A6255"/>
    <w:rsid w:val="2E8B21B7"/>
    <w:rsid w:val="2EB8596B"/>
    <w:rsid w:val="2EBE4EA4"/>
    <w:rsid w:val="2EC8145A"/>
    <w:rsid w:val="2F0B1048"/>
    <w:rsid w:val="2F132DA3"/>
    <w:rsid w:val="2F141AAA"/>
    <w:rsid w:val="2F2165A1"/>
    <w:rsid w:val="2F57653D"/>
    <w:rsid w:val="2FCA4353"/>
    <w:rsid w:val="2FE55D75"/>
    <w:rsid w:val="2FF23F99"/>
    <w:rsid w:val="2FF43D8C"/>
    <w:rsid w:val="2FFD0E93"/>
    <w:rsid w:val="2FFF3277"/>
    <w:rsid w:val="30236367"/>
    <w:rsid w:val="30331BC6"/>
    <w:rsid w:val="303E7E03"/>
    <w:rsid w:val="30405AEB"/>
    <w:rsid w:val="304A182B"/>
    <w:rsid w:val="30700C52"/>
    <w:rsid w:val="30757C00"/>
    <w:rsid w:val="30782C0F"/>
    <w:rsid w:val="307D5D65"/>
    <w:rsid w:val="30B34CE3"/>
    <w:rsid w:val="30CB1C83"/>
    <w:rsid w:val="30CE6CD3"/>
    <w:rsid w:val="30ED2830"/>
    <w:rsid w:val="310743D8"/>
    <w:rsid w:val="3112096E"/>
    <w:rsid w:val="316B2857"/>
    <w:rsid w:val="317B3D70"/>
    <w:rsid w:val="31832D29"/>
    <w:rsid w:val="31997196"/>
    <w:rsid w:val="319D5339"/>
    <w:rsid w:val="319F2F47"/>
    <w:rsid w:val="31B2277E"/>
    <w:rsid w:val="31D20CDE"/>
    <w:rsid w:val="31F37E23"/>
    <w:rsid w:val="31FE689A"/>
    <w:rsid w:val="32036559"/>
    <w:rsid w:val="32223DC6"/>
    <w:rsid w:val="32551C6D"/>
    <w:rsid w:val="325A02A1"/>
    <w:rsid w:val="325E612F"/>
    <w:rsid w:val="3282506A"/>
    <w:rsid w:val="329032EF"/>
    <w:rsid w:val="329970EF"/>
    <w:rsid w:val="32AE0B6A"/>
    <w:rsid w:val="32B35AAA"/>
    <w:rsid w:val="32BA56C5"/>
    <w:rsid w:val="32F81DE5"/>
    <w:rsid w:val="32FD11AA"/>
    <w:rsid w:val="330F3777"/>
    <w:rsid w:val="33135210"/>
    <w:rsid w:val="3326373F"/>
    <w:rsid w:val="334459AC"/>
    <w:rsid w:val="33691AE5"/>
    <w:rsid w:val="33705A64"/>
    <w:rsid w:val="338E32D5"/>
    <w:rsid w:val="339517A6"/>
    <w:rsid w:val="33A055AF"/>
    <w:rsid w:val="33A51E80"/>
    <w:rsid w:val="33E16D1D"/>
    <w:rsid w:val="33EE589E"/>
    <w:rsid w:val="340329A9"/>
    <w:rsid w:val="340D7B12"/>
    <w:rsid w:val="341E2B5D"/>
    <w:rsid w:val="342645AD"/>
    <w:rsid w:val="342B057B"/>
    <w:rsid w:val="34335C8F"/>
    <w:rsid w:val="345968B4"/>
    <w:rsid w:val="34617CD8"/>
    <w:rsid w:val="346317C9"/>
    <w:rsid w:val="346A286F"/>
    <w:rsid w:val="346C1C91"/>
    <w:rsid w:val="34753860"/>
    <w:rsid w:val="34A61339"/>
    <w:rsid w:val="34AF4725"/>
    <w:rsid w:val="34CC3006"/>
    <w:rsid w:val="34F3793E"/>
    <w:rsid w:val="34FA09EA"/>
    <w:rsid w:val="354B5D9D"/>
    <w:rsid w:val="35574E9C"/>
    <w:rsid w:val="35580207"/>
    <w:rsid w:val="35681367"/>
    <w:rsid w:val="35712E34"/>
    <w:rsid w:val="35832558"/>
    <w:rsid w:val="359305B1"/>
    <w:rsid w:val="35966E67"/>
    <w:rsid w:val="35A973C7"/>
    <w:rsid w:val="35ED793B"/>
    <w:rsid w:val="35F06F52"/>
    <w:rsid w:val="35F84740"/>
    <w:rsid w:val="36383125"/>
    <w:rsid w:val="365E28A7"/>
    <w:rsid w:val="366A5CD5"/>
    <w:rsid w:val="366C082D"/>
    <w:rsid w:val="367571F9"/>
    <w:rsid w:val="368816D2"/>
    <w:rsid w:val="368C388A"/>
    <w:rsid w:val="36A26E38"/>
    <w:rsid w:val="36C00E6C"/>
    <w:rsid w:val="36C90DD1"/>
    <w:rsid w:val="36EF2646"/>
    <w:rsid w:val="36F275DD"/>
    <w:rsid w:val="36F55D23"/>
    <w:rsid w:val="37031C33"/>
    <w:rsid w:val="37114931"/>
    <w:rsid w:val="371918BE"/>
    <w:rsid w:val="372A4537"/>
    <w:rsid w:val="374634AB"/>
    <w:rsid w:val="37543CF6"/>
    <w:rsid w:val="37704489"/>
    <w:rsid w:val="37710026"/>
    <w:rsid w:val="37925427"/>
    <w:rsid w:val="37A01319"/>
    <w:rsid w:val="37A55DCC"/>
    <w:rsid w:val="37B97220"/>
    <w:rsid w:val="37C075FB"/>
    <w:rsid w:val="37CA04FF"/>
    <w:rsid w:val="37D30771"/>
    <w:rsid w:val="37E3512E"/>
    <w:rsid w:val="37EC0BB8"/>
    <w:rsid w:val="382F75E3"/>
    <w:rsid w:val="38371ACC"/>
    <w:rsid w:val="389205E6"/>
    <w:rsid w:val="38A748FD"/>
    <w:rsid w:val="38AA7F06"/>
    <w:rsid w:val="38AD10E3"/>
    <w:rsid w:val="38D53666"/>
    <w:rsid w:val="38E70932"/>
    <w:rsid w:val="38ED2171"/>
    <w:rsid w:val="38FF39F5"/>
    <w:rsid w:val="394C68A5"/>
    <w:rsid w:val="3952462B"/>
    <w:rsid w:val="395E479A"/>
    <w:rsid w:val="39675804"/>
    <w:rsid w:val="3988749C"/>
    <w:rsid w:val="398A60A0"/>
    <w:rsid w:val="399C03AF"/>
    <w:rsid w:val="39A36C2D"/>
    <w:rsid w:val="39AA29B9"/>
    <w:rsid w:val="39AE63D1"/>
    <w:rsid w:val="39D7D99B"/>
    <w:rsid w:val="39E71AEC"/>
    <w:rsid w:val="39F60058"/>
    <w:rsid w:val="3A104089"/>
    <w:rsid w:val="3A190FBF"/>
    <w:rsid w:val="3A1A692D"/>
    <w:rsid w:val="3A7A55EE"/>
    <w:rsid w:val="3A8217DE"/>
    <w:rsid w:val="3A822B01"/>
    <w:rsid w:val="3A8D375B"/>
    <w:rsid w:val="3AB8426E"/>
    <w:rsid w:val="3ACF765C"/>
    <w:rsid w:val="3AD278CD"/>
    <w:rsid w:val="3AFA4BE5"/>
    <w:rsid w:val="3B196D9D"/>
    <w:rsid w:val="3B2A44B8"/>
    <w:rsid w:val="3B2B6476"/>
    <w:rsid w:val="3B2E718A"/>
    <w:rsid w:val="3B83616D"/>
    <w:rsid w:val="3BA0301A"/>
    <w:rsid w:val="3BA50AE5"/>
    <w:rsid w:val="3BAF3CA2"/>
    <w:rsid w:val="3BBC038E"/>
    <w:rsid w:val="3BF72351"/>
    <w:rsid w:val="3BFE3F02"/>
    <w:rsid w:val="3C2972FD"/>
    <w:rsid w:val="3C3261E8"/>
    <w:rsid w:val="3C524EFE"/>
    <w:rsid w:val="3C5B4444"/>
    <w:rsid w:val="3C852047"/>
    <w:rsid w:val="3CA13116"/>
    <w:rsid w:val="3CA925AE"/>
    <w:rsid w:val="3CCF4FA4"/>
    <w:rsid w:val="3CF877AB"/>
    <w:rsid w:val="3D306CB2"/>
    <w:rsid w:val="3D32729D"/>
    <w:rsid w:val="3D485E54"/>
    <w:rsid w:val="3D604BEF"/>
    <w:rsid w:val="3D62504C"/>
    <w:rsid w:val="3D667959"/>
    <w:rsid w:val="3D8230F2"/>
    <w:rsid w:val="3D886E2C"/>
    <w:rsid w:val="3D9A6B04"/>
    <w:rsid w:val="3DAA5519"/>
    <w:rsid w:val="3DC413E8"/>
    <w:rsid w:val="3DCA34BB"/>
    <w:rsid w:val="3DD83D60"/>
    <w:rsid w:val="3DEE7764"/>
    <w:rsid w:val="3E044CAE"/>
    <w:rsid w:val="3E12201C"/>
    <w:rsid w:val="3E174CFF"/>
    <w:rsid w:val="3E2E34C3"/>
    <w:rsid w:val="3E427218"/>
    <w:rsid w:val="3E460E59"/>
    <w:rsid w:val="3E8F30B5"/>
    <w:rsid w:val="3E962C89"/>
    <w:rsid w:val="3E9D9EE9"/>
    <w:rsid w:val="3EA27573"/>
    <w:rsid w:val="3EA72ABE"/>
    <w:rsid w:val="3EAD4174"/>
    <w:rsid w:val="3EAD7F9C"/>
    <w:rsid w:val="3EB260B8"/>
    <w:rsid w:val="3EB32892"/>
    <w:rsid w:val="3EBC3336"/>
    <w:rsid w:val="3EDE47BC"/>
    <w:rsid w:val="3EDE79C6"/>
    <w:rsid w:val="3EF01ED0"/>
    <w:rsid w:val="3EF60080"/>
    <w:rsid w:val="3EF65530"/>
    <w:rsid w:val="3EFEC654"/>
    <w:rsid w:val="3F064AE9"/>
    <w:rsid w:val="3F3B0C43"/>
    <w:rsid w:val="3F4C62B0"/>
    <w:rsid w:val="3F585F31"/>
    <w:rsid w:val="3F6A4BE4"/>
    <w:rsid w:val="3F7279F0"/>
    <w:rsid w:val="3F7C65CA"/>
    <w:rsid w:val="3F7F0FB6"/>
    <w:rsid w:val="3F9717D1"/>
    <w:rsid w:val="3F9B13A5"/>
    <w:rsid w:val="3F9F2EEF"/>
    <w:rsid w:val="3FB2485B"/>
    <w:rsid w:val="3FBD3AE8"/>
    <w:rsid w:val="3FEE166B"/>
    <w:rsid w:val="401E123E"/>
    <w:rsid w:val="402A34B8"/>
    <w:rsid w:val="402C4889"/>
    <w:rsid w:val="40360CD1"/>
    <w:rsid w:val="40361D66"/>
    <w:rsid w:val="404339FD"/>
    <w:rsid w:val="404C1EBB"/>
    <w:rsid w:val="405214DD"/>
    <w:rsid w:val="406060C3"/>
    <w:rsid w:val="40613E30"/>
    <w:rsid w:val="40736573"/>
    <w:rsid w:val="407D7357"/>
    <w:rsid w:val="40860A30"/>
    <w:rsid w:val="408D0A8F"/>
    <w:rsid w:val="409B4A07"/>
    <w:rsid w:val="40BF6E39"/>
    <w:rsid w:val="40C25B7F"/>
    <w:rsid w:val="40C73A02"/>
    <w:rsid w:val="40DB53F4"/>
    <w:rsid w:val="40E02BC9"/>
    <w:rsid w:val="40F66678"/>
    <w:rsid w:val="40FA12EB"/>
    <w:rsid w:val="410A16AB"/>
    <w:rsid w:val="410E1C56"/>
    <w:rsid w:val="4120577A"/>
    <w:rsid w:val="41603084"/>
    <w:rsid w:val="41686388"/>
    <w:rsid w:val="416C142E"/>
    <w:rsid w:val="41E677EA"/>
    <w:rsid w:val="41FD121E"/>
    <w:rsid w:val="42004FD7"/>
    <w:rsid w:val="42117A10"/>
    <w:rsid w:val="421A7627"/>
    <w:rsid w:val="4233112B"/>
    <w:rsid w:val="42401E98"/>
    <w:rsid w:val="42474F8A"/>
    <w:rsid w:val="42675C80"/>
    <w:rsid w:val="42872311"/>
    <w:rsid w:val="428B5762"/>
    <w:rsid w:val="429F3B64"/>
    <w:rsid w:val="42B64F1C"/>
    <w:rsid w:val="42D47C2B"/>
    <w:rsid w:val="42DA32B5"/>
    <w:rsid w:val="42FB45E4"/>
    <w:rsid w:val="4307713D"/>
    <w:rsid w:val="433543AC"/>
    <w:rsid w:val="433E465F"/>
    <w:rsid w:val="43420FE8"/>
    <w:rsid w:val="434513F0"/>
    <w:rsid w:val="43606D1A"/>
    <w:rsid w:val="43702851"/>
    <w:rsid w:val="437269BA"/>
    <w:rsid w:val="437F3C65"/>
    <w:rsid w:val="43B34232"/>
    <w:rsid w:val="43CA4F48"/>
    <w:rsid w:val="43FE78B1"/>
    <w:rsid w:val="440A7CA0"/>
    <w:rsid w:val="441F3AB4"/>
    <w:rsid w:val="4424604A"/>
    <w:rsid w:val="442967DE"/>
    <w:rsid w:val="445014AB"/>
    <w:rsid w:val="44CE660D"/>
    <w:rsid w:val="44F103C7"/>
    <w:rsid w:val="450F3A65"/>
    <w:rsid w:val="452D47A4"/>
    <w:rsid w:val="4545710C"/>
    <w:rsid w:val="454C3E11"/>
    <w:rsid w:val="454F0B76"/>
    <w:rsid w:val="45595C53"/>
    <w:rsid w:val="45795008"/>
    <w:rsid w:val="4579514B"/>
    <w:rsid w:val="457E2BBE"/>
    <w:rsid w:val="457F72E8"/>
    <w:rsid w:val="459D0CC6"/>
    <w:rsid w:val="459F05CE"/>
    <w:rsid w:val="45D72674"/>
    <w:rsid w:val="45DE083B"/>
    <w:rsid w:val="45E076C0"/>
    <w:rsid w:val="45F36067"/>
    <w:rsid w:val="460C0745"/>
    <w:rsid w:val="463122D8"/>
    <w:rsid w:val="4632053D"/>
    <w:rsid w:val="46577675"/>
    <w:rsid w:val="4662415A"/>
    <w:rsid w:val="4662498C"/>
    <w:rsid w:val="46641814"/>
    <w:rsid w:val="466E26B2"/>
    <w:rsid w:val="468425B0"/>
    <w:rsid w:val="46A022D9"/>
    <w:rsid w:val="46A9554B"/>
    <w:rsid w:val="46AF05B5"/>
    <w:rsid w:val="46B04A59"/>
    <w:rsid w:val="46B21457"/>
    <w:rsid w:val="46B411EC"/>
    <w:rsid w:val="46BE1A6C"/>
    <w:rsid w:val="46BE6647"/>
    <w:rsid w:val="46D0431B"/>
    <w:rsid w:val="46D35FF3"/>
    <w:rsid w:val="46EE3897"/>
    <w:rsid w:val="47140585"/>
    <w:rsid w:val="471B3499"/>
    <w:rsid w:val="4730142A"/>
    <w:rsid w:val="476870E2"/>
    <w:rsid w:val="478A0CA0"/>
    <w:rsid w:val="478E4BD2"/>
    <w:rsid w:val="47C848F5"/>
    <w:rsid w:val="47D84DCE"/>
    <w:rsid w:val="47DD756D"/>
    <w:rsid w:val="48037A8A"/>
    <w:rsid w:val="48057880"/>
    <w:rsid w:val="48150BC3"/>
    <w:rsid w:val="482427DA"/>
    <w:rsid w:val="48377D23"/>
    <w:rsid w:val="4851401A"/>
    <w:rsid w:val="486634EE"/>
    <w:rsid w:val="48807890"/>
    <w:rsid w:val="48A64B98"/>
    <w:rsid w:val="48A71804"/>
    <w:rsid w:val="48B30830"/>
    <w:rsid w:val="48BC156D"/>
    <w:rsid w:val="48C14CEB"/>
    <w:rsid w:val="48CF5E32"/>
    <w:rsid w:val="48DF62C3"/>
    <w:rsid w:val="48EA3B26"/>
    <w:rsid w:val="48F765BE"/>
    <w:rsid w:val="490445F2"/>
    <w:rsid w:val="49137521"/>
    <w:rsid w:val="49320F23"/>
    <w:rsid w:val="493A087A"/>
    <w:rsid w:val="49831FB1"/>
    <w:rsid w:val="49A10911"/>
    <w:rsid w:val="49CA61CE"/>
    <w:rsid w:val="49DD73AE"/>
    <w:rsid w:val="49E97FD0"/>
    <w:rsid w:val="49F95BD6"/>
    <w:rsid w:val="4A0C7375"/>
    <w:rsid w:val="4A194AA5"/>
    <w:rsid w:val="4A2710F3"/>
    <w:rsid w:val="4A2B3C78"/>
    <w:rsid w:val="4A3B124A"/>
    <w:rsid w:val="4A4915FD"/>
    <w:rsid w:val="4A4934DE"/>
    <w:rsid w:val="4A4D25BF"/>
    <w:rsid w:val="4A5E47CC"/>
    <w:rsid w:val="4A6E0EB3"/>
    <w:rsid w:val="4A9106FD"/>
    <w:rsid w:val="4AA73240"/>
    <w:rsid w:val="4AB72272"/>
    <w:rsid w:val="4AC63E7C"/>
    <w:rsid w:val="4AD703A4"/>
    <w:rsid w:val="4B305E1B"/>
    <w:rsid w:val="4B4B6AFE"/>
    <w:rsid w:val="4B5D2E40"/>
    <w:rsid w:val="4B602D44"/>
    <w:rsid w:val="4B842010"/>
    <w:rsid w:val="4BB92D8E"/>
    <w:rsid w:val="4BBB7216"/>
    <w:rsid w:val="4BD07B58"/>
    <w:rsid w:val="4BE87BA5"/>
    <w:rsid w:val="4BFE1C3A"/>
    <w:rsid w:val="4C151D2C"/>
    <w:rsid w:val="4C155F10"/>
    <w:rsid w:val="4C2F7851"/>
    <w:rsid w:val="4C3176AB"/>
    <w:rsid w:val="4C324162"/>
    <w:rsid w:val="4C3C12ED"/>
    <w:rsid w:val="4C415DC1"/>
    <w:rsid w:val="4C571AC7"/>
    <w:rsid w:val="4C6E278E"/>
    <w:rsid w:val="4C9F789F"/>
    <w:rsid w:val="4CA95F3B"/>
    <w:rsid w:val="4CE45067"/>
    <w:rsid w:val="4CFF538B"/>
    <w:rsid w:val="4D2A4B22"/>
    <w:rsid w:val="4D471EEE"/>
    <w:rsid w:val="4D4D7800"/>
    <w:rsid w:val="4D7251FF"/>
    <w:rsid w:val="4DDB4948"/>
    <w:rsid w:val="4DE50C0B"/>
    <w:rsid w:val="4DF831B6"/>
    <w:rsid w:val="4E11105D"/>
    <w:rsid w:val="4E16225A"/>
    <w:rsid w:val="4E253AB8"/>
    <w:rsid w:val="4E472C92"/>
    <w:rsid w:val="4E824D97"/>
    <w:rsid w:val="4E9D5C2D"/>
    <w:rsid w:val="4EBA57C1"/>
    <w:rsid w:val="4EC8768D"/>
    <w:rsid w:val="4EE5084A"/>
    <w:rsid w:val="4EEB58EF"/>
    <w:rsid w:val="4EFC68C1"/>
    <w:rsid w:val="4EFE6975"/>
    <w:rsid w:val="4F047E0A"/>
    <w:rsid w:val="4F33177C"/>
    <w:rsid w:val="4F477F24"/>
    <w:rsid w:val="4FA91AAC"/>
    <w:rsid w:val="4FBD0FF5"/>
    <w:rsid w:val="4FC854D7"/>
    <w:rsid w:val="50051AD4"/>
    <w:rsid w:val="50142DE1"/>
    <w:rsid w:val="5015687B"/>
    <w:rsid w:val="501926CA"/>
    <w:rsid w:val="502E6B39"/>
    <w:rsid w:val="503109FF"/>
    <w:rsid w:val="503E7F87"/>
    <w:rsid w:val="504544C8"/>
    <w:rsid w:val="505E3D68"/>
    <w:rsid w:val="505F4DFA"/>
    <w:rsid w:val="505F5918"/>
    <w:rsid w:val="506F5953"/>
    <w:rsid w:val="507A0E74"/>
    <w:rsid w:val="50966E45"/>
    <w:rsid w:val="50A218B6"/>
    <w:rsid w:val="50C2531E"/>
    <w:rsid w:val="50D13748"/>
    <w:rsid w:val="50D43A3A"/>
    <w:rsid w:val="50E87D5C"/>
    <w:rsid w:val="510A120A"/>
    <w:rsid w:val="51426BF5"/>
    <w:rsid w:val="516A440A"/>
    <w:rsid w:val="51B053DC"/>
    <w:rsid w:val="51BA5A6F"/>
    <w:rsid w:val="51C42E16"/>
    <w:rsid w:val="51E5538B"/>
    <w:rsid w:val="520D6221"/>
    <w:rsid w:val="5244074B"/>
    <w:rsid w:val="525351F4"/>
    <w:rsid w:val="525A6FBC"/>
    <w:rsid w:val="526C0997"/>
    <w:rsid w:val="5277467D"/>
    <w:rsid w:val="52855A65"/>
    <w:rsid w:val="529E3DA2"/>
    <w:rsid w:val="52E11882"/>
    <w:rsid w:val="52E44E05"/>
    <w:rsid w:val="530B071F"/>
    <w:rsid w:val="53311AB3"/>
    <w:rsid w:val="53317F44"/>
    <w:rsid w:val="533D33D1"/>
    <w:rsid w:val="53511F1B"/>
    <w:rsid w:val="5353295D"/>
    <w:rsid w:val="53670B33"/>
    <w:rsid w:val="537735FB"/>
    <w:rsid w:val="53775B6A"/>
    <w:rsid w:val="538F5737"/>
    <w:rsid w:val="53BB3C51"/>
    <w:rsid w:val="53CA0B91"/>
    <w:rsid w:val="53D43855"/>
    <w:rsid w:val="53D6214F"/>
    <w:rsid w:val="53E030A9"/>
    <w:rsid w:val="53EE1101"/>
    <w:rsid w:val="53FC4E8E"/>
    <w:rsid w:val="54111ADD"/>
    <w:rsid w:val="541717DC"/>
    <w:rsid w:val="54271D5C"/>
    <w:rsid w:val="5427740E"/>
    <w:rsid w:val="542B571F"/>
    <w:rsid w:val="5473009A"/>
    <w:rsid w:val="54976AA9"/>
    <w:rsid w:val="549A3F89"/>
    <w:rsid w:val="54A022DD"/>
    <w:rsid w:val="54CF639A"/>
    <w:rsid w:val="54DE0134"/>
    <w:rsid w:val="54DE6493"/>
    <w:rsid w:val="54FC0026"/>
    <w:rsid w:val="553C46BA"/>
    <w:rsid w:val="55485688"/>
    <w:rsid w:val="55494082"/>
    <w:rsid w:val="555B3FA7"/>
    <w:rsid w:val="555F54CC"/>
    <w:rsid w:val="557D5B60"/>
    <w:rsid w:val="55834A19"/>
    <w:rsid w:val="559D43FA"/>
    <w:rsid w:val="55CF743F"/>
    <w:rsid w:val="55F27046"/>
    <w:rsid w:val="55F526C6"/>
    <w:rsid w:val="56066DC9"/>
    <w:rsid w:val="560B2337"/>
    <w:rsid w:val="561A7CC7"/>
    <w:rsid w:val="564E1228"/>
    <w:rsid w:val="56A6131D"/>
    <w:rsid w:val="56A82B00"/>
    <w:rsid w:val="56BC5AD0"/>
    <w:rsid w:val="56D00C68"/>
    <w:rsid w:val="56D02CD3"/>
    <w:rsid w:val="56EB60FD"/>
    <w:rsid w:val="57005202"/>
    <w:rsid w:val="57022BD1"/>
    <w:rsid w:val="57212B27"/>
    <w:rsid w:val="572809C2"/>
    <w:rsid w:val="57381EA7"/>
    <w:rsid w:val="57480C4D"/>
    <w:rsid w:val="574973B9"/>
    <w:rsid w:val="574C27F3"/>
    <w:rsid w:val="57895A45"/>
    <w:rsid w:val="579D6934"/>
    <w:rsid w:val="57A16858"/>
    <w:rsid w:val="57B30CDA"/>
    <w:rsid w:val="57C5313B"/>
    <w:rsid w:val="57D807D4"/>
    <w:rsid w:val="57E05B57"/>
    <w:rsid w:val="57EA7969"/>
    <w:rsid w:val="57F740F4"/>
    <w:rsid w:val="57FA3D86"/>
    <w:rsid w:val="58425BDC"/>
    <w:rsid w:val="58466FCB"/>
    <w:rsid w:val="58750691"/>
    <w:rsid w:val="58AB575D"/>
    <w:rsid w:val="58AD0DF8"/>
    <w:rsid w:val="58BC728D"/>
    <w:rsid w:val="58BD4DB3"/>
    <w:rsid w:val="58D22E69"/>
    <w:rsid w:val="58D64DCB"/>
    <w:rsid w:val="58DD0763"/>
    <w:rsid w:val="58EA22FF"/>
    <w:rsid w:val="58EB59C1"/>
    <w:rsid w:val="59445F91"/>
    <w:rsid w:val="596A4F3B"/>
    <w:rsid w:val="59815208"/>
    <w:rsid w:val="5993057B"/>
    <w:rsid w:val="59A43D8B"/>
    <w:rsid w:val="59A64B68"/>
    <w:rsid w:val="59C63D39"/>
    <w:rsid w:val="59F001A4"/>
    <w:rsid w:val="59F861A7"/>
    <w:rsid w:val="5A1E2DE7"/>
    <w:rsid w:val="5A20427A"/>
    <w:rsid w:val="5A331DE9"/>
    <w:rsid w:val="5A395FB6"/>
    <w:rsid w:val="5A436A2D"/>
    <w:rsid w:val="5A9833A8"/>
    <w:rsid w:val="5AAC047B"/>
    <w:rsid w:val="5AC95404"/>
    <w:rsid w:val="5ACD0648"/>
    <w:rsid w:val="5B0A066E"/>
    <w:rsid w:val="5B123FA7"/>
    <w:rsid w:val="5B1D0885"/>
    <w:rsid w:val="5B2D4966"/>
    <w:rsid w:val="5B5E18A4"/>
    <w:rsid w:val="5B613C0E"/>
    <w:rsid w:val="5B955E96"/>
    <w:rsid w:val="5B9B3675"/>
    <w:rsid w:val="5BA26571"/>
    <w:rsid w:val="5BBA7015"/>
    <w:rsid w:val="5BCA6564"/>
    <w:rsid w:val="5BD66D67"/>
    <w:rsid w:val="5BE24948"/>
    <w:rsid w:val="5BFE7E52"/>
    <w:rsid w:val="5C107D40"/>
    <w:rsid w:val="5C1D1988"/>
    <w:rsid w:val="5C1E3775"/>
    <w:rsid w:val="5C381264"/>
    <w:rsid w:val="5C5E6BE8"/>
    <w:rsid w:val="5C672644"/>
    <w:rsid w:val="5C8132C7"/>
    <w:rsid w:val="5CA23A25"/>
    <w:rsid w:val="5CC26330"/>
    <w:rsid w:val="5CD67F41"/>
    <w:rsid w:val="5CDF760E"/>
    <w:rsid w:val="5CE07ABA"/>
    <w:rsid w:val="5D017C51"/>
    <w:rsid w:val="5D4165A3"/>
    <w:rsid w:val="5D463591"/>
    <w:rsid w:val="5D4F2A78"/>
    <w:rsid w:val="5D570A59"/>
    <w:rsid w:val="5D792AE4"/>
    <w:rsid w:val="5D9E1D89"/>
    <w:rsid w:val="5DC25C67"/>
    <w:rsid w:val="5DD97571"/>
    <w:rsid w:val="5DDA1D04"/>
    <w:rsid w:val="5DE22BD1"/>
    <w:rsid w:val="5E101ABB"/>
    <w:rsid w:val="5E2F58D3"/>
    <w:rsid w:val="5E5A06FD"/>
    <w:rsid w:val="5E8A56FD"/>
    <w:rsid w:val="5E9342EC"/>
    <w:rsid w:val="5EA27CF7"/>
    <w:rsid w:val="5EBC3C1E"/>
    <w:rsid w:val="5EEE45E3"/>
    <w:rsid w:val="5EF17565"/>
    <w:rsid w:val="5F3815EE"/>
    <w:rsid w:val="5F5C32D6"/>
    <w:rsid w:val="5F9175A8"/>
    <w:rsid w:val="5FB10E83"/>
    <w:rsid w:val="5FC24A29"/>
    <w:rsid w:val="5FDC6467"/>
    <w:rsid w:val="5FFD96AC"/>
    <w:rsid w:val="600E788A"/>
    <w:rsid w:val="60173C67"/>
    <w:rsid w:val="601B025C"/>
    <w:rsid w:val="60206354"/>
    <w:rsid w:val="603911C4"/>
    <w:rsid w:val="604130CF"/>
    <w:rsid w:val="604162CA"/>
    <w:rsid w:val="60572C99"/>
    <w:rsid w:val="60663C94"/>
    <w:rsid w:val="606A7E85"/>
    <w:rsid w:val="60794FD4"/>
    <w:rsid w:val="60814FEF"/>
    <w:rsid w:val="60946411"/>
    <w:rsid w:val="60A00B94"/>
    <w:rsid w:val="60AE4E89"/>
    <w:rsid w:val="60CD4AC4"/>
    <w:rsid w:val="60D32F5A"/>
    <w:rsid w:val="61001CE1"/>
    <w:rsid w:val="610E2B4C"/>
    <w:rsid w:val="613E3956"/>
    <w:rsid w:val="6151253D"/>
    <w:rsid w:val="617F0AF7"/>
    <w:rsid w:val="619945D7"/>
    <w:rsid w:val="61C210E3"/>
    <w:rsid w:val="61C24BFD"/>
    <w:rsid w:val="61DE43D4"/>
    <w:rsid w:val="61E06967"/>
    <w:rsid w:val="61ED083B"/>
    <w:rsid w:val="622F0AD0"/>
    <w:rsid w:val="624216A0"/>
    <w:rsid w:val="626343A0"/>
    <w:rsid w:val="626736F9"/>
    <w:rsid w:val="626B4082"/>
    <w:rsid w:val="626B6B00"/>
    <w:rsid w:val="628E1BE9"/>
    <w:rsid w:val="62A3326C"/>
    <w:rsid w:val="62C126EC"/>
    <w:rsid w:val="62C351CA"/>
    <w:rsid w:val="62CF1703"/>
    <w:rsid w:val="62D06FF9"/>
    <w:rsid w:val="62D358FF"/>
    <w:rsid w:val="62D765EB"/>
    <w:rsid w:val="62E16861"/>
    <w:rsid w:val="63290C5F"/>
    <w:rsid w:val="636B22CC"/>
    <w:rsid w:val="636C198B"/>
    <w:rsid w:val="63B65AC7"/>
    <w:rsid w:val="63D7428B"/>
    <w:rsid w:val="64002DAD"/>
    <w:rsid w:val="640C4C0D"/>
    <w:rsid w:val="643477F7"/>
    <w:rsid w:val="64374EF8"/>
    <w:rsid w:val="643B5584"/>
    <w:rsid w:val="64550596"/>
    <w:rsid w:val="645830D7"/>
    <w:rsid w:val="64675414"/>
    <w:rsid w:val="646D58E0"/>
    <w:rsid w:val="647258C3"/>
    <w:rsid w:val="64763CBE"/>
    <w:rsid w:val="647F41B9"/>
    <w:rsid w:val="648F5856"/>
    <w:rsid w:val="64AA2E73"/>
    <w:rsid w:val="64B8434A"/>
    <w:rsid w:val="64BD6867"/>
    <w:rsid w:val="64C5008F"/>
    <w:rsid w:val="64E8446E"/>
    <w:rsid w:val="64E959FD"/>
    <w:rsid w:val="64F9CCE6"/>
    <w:rsid w:val="651B5828"/>
    <w:rsid w:val="6530087B"/>
    <w:rsid w:val="65376B47"/>
    <w:rsid w:val="654042F5"/>
    <w:rsid w:val="65434131"/>
    <w:rsid w:val="65AB2B63"/>
    <w:rsid w:val="65E44DFA"/>
    <w:rsid w:val="65E63B9C"/>
    <w:rsid w:val="65E91151"/>
    <w:rsid w:val="65F66C79"/>
    <w:rsid w:val="660447CA"/>
    <w:rsid w:val="662B5A52"/>
    <w:rsid w:val="665622BC"/>
    <w:rsid w:val="66653739"/>
    <w:rsid w:val="666C4EE6"/>
    <w:rsid w:val="66792487"/>
    <w:rsid w:val="668B794B"/>
    <w:rsid w:val="66E61293"/>
    <w:rsid w:val="66ED2CA0"/>
    <w:rsid w:val="66F722EC"/>
    <w:rsid w:val="66FB0FDC"/>
    <w:rsid w:val="66FC5AFF"/>
    <w:rsid w:val="6709462E"/>
    <w:rsid w:val="6777196F"/>
    <w:rsid w:val="67825F62"/>
    <w:rsid w:val="678A1ED0"/>
    <w:rsid w:val="67AB61F8"/>
    <w:rsid w:val="67BA7741"/>
    <w:rsid w:val="67E6170C"/>
    <w:rsid w:val="67ED1BBE"/>
    <w:rsid w:val="67ED7463"/>
    <w:rsid w:val="67FD51CC"/>
    <w:rsid w:val="680D0CA5"/>
    <w:rsid w:val="684D7F02"/>
    <w:rsid w:val="686C7F9F"/>
    <w:rsid w:val="68A45648"/>
    <w:rsid w:val="68A5668C"/>
    <w:rsid w:val="68BD44C2"/>
    <w:rsid w:val="68D27297"/>
    <w:rsid w:val="68D61A8E"/>
    <w:rsid w:val="68F42855"/>
    <w:rsid w:val="6911241F"/>
    <w:rsid w:val="69232A11"/>
    <w:rsid w:val="69586B5E"/>
    <w:rsid w:val="69B55D5F"/>
    <w:rsid w:val="69B67115"/>
    <w:rsid w:val="69B82DF4"/>
    <w:rsid w:val="69EF53B4"/>
    <w:rsid w:val="69FB8724"/>
    <w:rsid w:val="6A126DD2"/>
    <w:rsid w:val="6A2B4273"/>
    <w:rsid w:val="6A420E56"/>
    <w:rsid w:val="6A6C78F0"/>
    <w:rsid w:val="6A924E32"/>
    <w:rsid w:val="6A94008C"/>
    <w:rsid w:val="6AA005F1"/>
    <w:rsid w:val="6AC635A8"/>
    <w:rsid w:val="6AC83B0F"/>
    <w:rsid w:val="6AE60947"/>
    <w:rsid w:val="6AEF6EB8"/>
    <w:rsid w:val="6AFC79BD"/>
    <w:rsid w:val="6AFD0629"/>
    <w:rsid w:val="6B0B374F"/>
    <w:rsid w:val="6B0E6D92"/>
    <w:rsid w:val="6B17074E"/>
    <w:rsid w:val="6B1F0CCB"/>
    <w:rsid w:val="6B285847"/>
    <w:rsid w:val="6B5F1CFB"/>
    <w:rsid w:val="6B6234E5"/>
    <w:rsid w:val="6B711708"/>
    <w:rsid w:val="6B980A95"/>
    <w:rsid w:val="6BA67A32"/>
    <w:rsid w:val="6BBD11F5"/>
    <w:rsid w:val="6BCE1834"/>
    <w:rsid w:val="6BD12800"/>
    <w:rsid w:val="6C022DB1"/>
    <w:rsid w:val="6C172034"/>
    <w:rsid w:val="6C1B1096"/>
    <w:rsid w:val="6C5E02FC"/>
    <w:rsid w:val="6C611966"/>
    <w:rsid w:val="6C721812"/>
    <w:rsid w:val="6C8B0F52"/>
    <w:rsid w:val="6CC73E80"/>
    <w:rsid w:val="6CDD0DD0"/>
    <w:rsid w:val="6CFA7DB1"/>
    <w:rsid w:val="6D0127E4"/>
    <w:rsid w:val="6D135E16"/>
    <w:rsid w:val="6D1C168A"/>
    <w:rsid w:val="6D2154B9"/>
    <w:rsid w:val="6D344536"/>
    <w:rsid w:val="6D347A31"/>
    <w:rsid w:val="6D3668DD"/>
    <w:rsid w:val="6D471CAB"/>
    <w:rsid w:val="6D70425D"/>
    <w:rsid w:val="6D986796"/>
    <w:rsid w:val="6DAC0977"/>
    <w:rsid w:val="6DB941BD"/>
    <w:rsid w:val="6DC60F63"/>
    <w:rsid w:val="6DE735C7"/>
    <w:rsid w:val="6DF11063"/>
    <w:rsid w:val="6E3B32BE"/>
    <w:rsid w:val="6E4C770B"/>
    <w:rsid w:val="6E5F1098"/>
    <w:rsid w:val="6E6F2793"/>
    <w:rsid w:val="6E703D8E"/>
    <w:rsid w:val="6E7F1EDE"/>
    <w:rsid w:val="6E84323D"/>
    <w:rsid w:val="6E942A76"/>
    <w:rsid w:val="6EA41FA2"/>
    <w:rsid w:val="6EB44AD4"/>
    <w:rsid w:val="6EBA69C8"/>
    <w:rsid w:val="6EBC31C7"/>
    <w:rsid w:val="6ED94AD0"/>
    <w:rsid w:val="6F265009"/>
    <w:rsid w:val="6F313FE8"/>
    <w:rsid w:val="6F381CAC"/>
    <w:rsid w:val="6F5A1FC6"/>
    <w:rsid w:val="6F6128C1"/>
    <w:rsid w:val="6F723264"/>
    <w:rsid w:val="6F9C6902"/>
    <w:rsid w:val="6F9E6156"/>
    <w:rsid w:val="6FA06B69"/>
    <w:rsid w:val="6FA0729C"/>
    <w:rsid w:val="70100CA2"/>
    <w:rsid w:val="70393572"/>
    <w:rsid w:val="704F6D52"/>
    <w:rsid w:val="706E27A1"/>
    <w:rsid w:val="706F0977"/>
    <w:rsid w:val="707263F3"/>
    <w:rsid w:val="70A24D48"/>
    <w:rsid w:val="70B07280"/>
    <w:rsid w:val="70BA64EF"/>
    <w:rsid w:val="70C42D2B"/>
    <w:rsid w:val="70C900DF"/>
    <w:rsid w:val="70F80524"/>
    <w:rsid w:val="70F97209"/>
    <w:rsid w:val="71081E5C"/>
    <w:rsid w:val="710A2419"/>
    <w:rsid w:val="710E65A0"/>
    <w:rsid w:val="71326D32"/>
    <w:rsid w:val="71347EB1"/>
    <w:rsid w:val="71453598"/>
    <w:rsid w:val="714C2CD0"/>
    <w:rsid w:val="715A596A"/>
    <w:rsid w:val="716A44DC"/>
    <w:rsid w:val="717C247D"/>
    <w:rsid w:val="717F26E4"/>
    <w:rsid w:val="71816B8E"/>
    <w:rsid w:val="71832D29"/>
    <w:rsid w:val="71907818"/>
    <w:rsid w:val="71B252F9"/>
    <w:rsid w:val="71DE7E1D"/>
    <w:rsid w:val="71E95916"/>
    <w:rsid w:val="71EB1F0E"/>
    <w:rsid w:val="7203413E"/>
    <w:rsid w:val="72191ED0"/>
    <w:rsid w:val="721C3014"/>
    <w:rsid w:val="721D0BFB"/>
    <w:rsid w:val="7250588C"/>
    <w:rsid w:val="726F5278"/>
    <w:rsid w:val="7273049E"/>
    <w:rsid w:val="727E786A"/>
    <w:rsid w:val="72887FD4"/>
    <w:rsid w:val="72916342"/>
    <w:rsid w:val="72BD0544"/>
    <w:rsid w:val="72C0472D"/>
    <w:rsid w:val="72CB03A1"/>
    <w:rsid w:val="72D00816"/>
    <w:rsid w:val="72D11D5C"/>
    <w:rsid w:val="72DC3720"/>
    <w:rsid w:val="72DC4121"/>
    <w:rsid w:val="72E4193A"/>
    <w:rsid w:val="72E85DAD"/>
    <w:rsid w:val="73133AF6"/>
    <w:rsid w:val="732303D9"/>
    <w:rsid w:val="73360D13"/>
    <w:rsid w:val="7344428A"/>
    <w:rsid w:val="734979C3"/>
    <w:rsid w:val="73532CC9"/>
    <w:rsid w:val="735C549D"/>
    <w:rsid w:val="736F7373"/>
    <w:rsid w:val="738F6C61"/>
    <w:rsid w:val="73D223F2"/>
    <w:rsid w:val="73D73D11"/>
    <w:rsid w:val="73E95EE8"/>
    <w:rsid w:val="74097ADC"/>
    <w:rsid w:val="744975DD"/>
    <w:rsid w:val="744C34C9"/>
    <w:rsid w:val="74610332"/>
    <w:rsid w:val="746920A5"/>
    <w:rsid w:val="74AD6F4A"/>
    <w:rsid w:val="74AE06FF"/>
    <w:rsid w:val="74CB1EDB"/>
    <w:rsid w:val="74DE73F5"/>
    <w:rsid w:val="750E239F"/>
    <w:rsid w:val="7517095A"/>
    <w:rsid w:val="751E77AF"/>
    <w:rsid w:val="75702156"/>
    <w:rsid w:val="757A6A57"/>
    <w:rsid w:val="75D07F8B"/>
    <w:rsid w:val="75EE5669"/>
    <w:rsid w:val="764928A0"/>
    <w:rsid w:val="76957051"/>
    <w:rsid w:val="76BD4232"/>
    <w:rsid w:val="76C10199"/>
    <w:rsid w:val="76C57BCB"/>
    <w:rsid w:val="76D474B3"/>
    <w:rsid w:val="76EF6DD7"/>
    <w:rsid w:val="76F927CD"/>
    <w:rsid w:val="772F78A5"/>
    <w:rsid w:val="773B2934"/>
    <w:rsid w:val="773E064E"/>
    <w:rsid w:val="774E1211"/>
    <w:rsid w:val="7767181A"/>
    <w:rsid w:val="776E7DAE"/>
    <w:rsid w:val="777B71D8"/>
    <w:rsid w:val="779415BD"/>
    <w:rsid w:val="77A54D53"/>
    <w:rsid w:val="77AB25AD"/>
    <w:rsid w:val="77D75F2B"/>
    <w:rsid w:val="77FC6767"/>
    <w:rsid w:val="781A0BEC"/>
    <w:rsid w:val="78202415"/>
    <w:rsid w:val="78213FC9"/>
    <w:rsid w:val="78360DC6"/>
    <w:rsid w:val="78572B59"/>
    <w:rsid w:val="78701D9C"/>
    <w:rsid w:val="78F9F6D3"/>
    <w:rsid w:val="78FA0671"/>
    <w:rsid w:val="790635D1"/>
    <w:rsid w:val="79393B8B"/>
    <w:rsid w:val="793A634F"/>
    <w:rsid w:val="797A5A56"/>
    <w:rsid w:val="798635EB"/>
    <w:rsid w:val="79A062A8"/>
    <w:rsid w:val="79A5750A"/>
    <w:rsid w:val="79CF368F"/>
    <w:rsid w:val="79EB2FD6"/>
    <w:rsid w:val="79ECAB6F"/>
    <w:rsid w:val="79ED0DA8"/>
    <w:rsid w:val="7A0C1011"/>
    <w:rsid w:val="7A0E7A81"/>
    <w:rsid w:val="7A17211E"/>
    <w:rsid w:val="7A321CDB"/>
    <w:rsid w:val="7A4A1526"/>
    <w:rsid w:val="7A4B626B"/>
    <w:rsid w:val="7A567B6E"/>
    <w:rsid w:val="7A6E32C8"/>
    <w:rsid w:val="7AA5772A"/>
    <w:rsid w:val="7AB0113D"/>
    <w:rsid w:val="7AC900CF"/>
    <w:rsid w:val="7AE56F93"/>
    <w:rsid w:val="7B052FBD"/>
    <w:rsid w:val="7B28499C"/>
    <w:rsid w:val="7B2F54B5"/>
    <w:rsid w:val="7B48416D"/>
    <w:rsid w:val="7B5A5A6C"/>
    <w:rsid w:val="7B5C250E"/>
    <w:rsid w:val="7B5C3BBA"/>
    <w:rsid w:val="7B63305F"/>
    <w:rsid w:val="7B6D0F87"/>
    <w:rsid w:val="7B72691F"/>
    <w:rsid w:val="7B783FD8"/>
    <w:rsid w:val="7B9A3DB8"/>
    <w:rsid w:val="7BA113AB"/>
    <w:rsid w:val="7BA67BFD"/>
    <w:rsid w:val="7BAC4AE8"/>
    <w:rsid w:val="7BB06590"/>
    <w:rsid w:val="7BD52290"/>
    <w:rsid w:val="7BD568A0"/>
    <w:rsid w:val="7BE22960"/>
    <w:rsid w:val="7BF20E1E"/>
    <w:rsid w:val="7BF73D70"/>
    <w:rsid w:val="7BFF70BE"/>
    <w:rsid w:val="7C120F4C"/>
    <w:rsid w:val="7C1B29E5"/>
    <w:rsid w:val="7C5728ED"/>
    <w:rsid w:val="7C686BCF"/>
    <w:rsid w:val="7C9408F4"/>
    <w:rsid w:val="7CB83597"/>
    <w:rsid w:val="7CB90CC2"/>
    <w:rsid w:val="7CC752E0"/>
    <w:rsid w:val="7CFB2CE9"/>
    <w:rsid w:val="7CFBCE9D"/>
    <w:rsid w:val="7D0C34C4"/>
    <w:rsid w:val="7D1E71EA"/>
    <w:rsid w:val="7D212CA5"/>
    <w:rsid w:val="7D255EE2"/>
    <w:rsid w:val="7D26D855"/>
    <w:rsid w:val="7D293184"/>
    <w:rsid w:val="7D2B742D"/>
    <w:rsid w:val="7D4B3EE6"/>
    <w:rsid w:val="7D6112EF"/>
    <w:rsid w:val="7D68620F"/>
    <w:rsid w:val="7D69777E"/>
    <w:rsid w:val="7D6FB106"/>
    <w:rsid w:val="7D752C5B"/>
    <w:rsid w:val="7D927DC0"/>
    <w:rsid w:val="7D9F5025"/>
    <w:rsid w:val="7DB34706"/>
    <w:rsid w:val="7DCB6D3F"/>
    <w:rsid w:val="7DE9584E"/>
    <w:rsid w:val="7E1A0A9F"/>
    <w:rsid w:val="7E2327E1"/>
    <w:rsid w:val="7E3C401A"/>
    <w:rsid w:val="7E641213"/>
    <w:rsid w:val="7EA7EB6C"/>
    <w:rsid w:val="7EAD3628"/>
    <w:rsid w:val="7EB859C9"/>
    <w:rsid w:val="7ECB4935"/>
    <w:rsid w:val="7EE33139"/>
    <w:rsid w:val="7EEBD690"/>
    <w:rsid w:val="7EF34773"/>
    <w:rsid w:val="7EF931C4"/>
    <w:rsid w:val="7F0D08DC"/>
    <w:rsid w:val="7F173D26"/>
    <w:rsid w:val="7F263BA7"/>
    <w:rsid w:val="7F457705"/>
    <w:rsid w:val="7F666017"/>
    <w:rsid w:val="7F6FBE70"/>
    <w:rsid w:val="7F714EE5"/>
    <w:rsid w:val="7F765549"/>
    <w:rsid w:val="7F7F2734"/>
    <w:rsid w:val="7F8B714F"/>
    <w:rsid w:val="7F9B10FB"/>
    <w:rsid w:val="7FA63F96"/>
    <w:rsid w:val="7FB9287C"/>
    <w:rsid w:val="7FC32F20"/>
    <w:rsid w:val="7FCC47FD"/>
    <w:rsid w:val="7FD31973"/>
    <w:rsid w:val="7FD92575"/>
    <w:rsid w:val="7FE15B01"/>
    <w:rsid w:val="7FFB1B6E"/>
    <w:rsid w:val="C6F5E4F8"/>
    <w:rsid w:val="DCE705B6"/>
    <w:rsid w:val="DE35E862"/>
    <w:rsid w:val="DF77D5E2"/>
    <w:rsid w:val="DFE64E7C"/>
    <w:rsid w:val="F76F081C"/>
    <w:rsid w:val="F7B3F097"/>
    <w:rsid w:val="F7BF1B7E"/>
    <w:rsid w:val="F7E8024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64"/>
    <w:qFormat/>
    <w:uiPriority w:val="0"/>
    <w:pPr>
      <w:spacing w:after="120"/>
    </w:pPr>
    <w:rPr>
      <w:kern w:val="0"/>
      <w:sz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8"/>
    <w:qFormat/>
    <w:uiPriority w:val="0"/>
    <w:pPr>
      <w:ind w:firstLine="420" w:firstLineChars="200"/>
    </w:pPr>
  </w:style>
  <w:style w:type="paragraph" w:styleId="14">
    <w:name w:val="Document Map"/>
    <w:basedOn w:val="1"/>
    <w:link w:val="75"/>
    <w:qFormat/>
    <w:uiPriority w:val="0"/>
    <w:pPr>
      <w:shd w:val="clear" w:color="auto" w:fill="000080"/>
    </w:pPr>
    <w:rPr>
      <w:kern w:val="0"/>
      <w:sz w:val="20"/>
    </w:rPr>
  </w:style>
  <w:style w:type="paragraph" w:styleId="15">
    <w:name w:val="annotation text"/>
    <w:basedOn w:val="1"/>
    <w:link w:val="57"/>
    <w:unhideWhenUsed/>
    <w:qFormat/>
    <w:uiPriority w:val="99"/>
    <w:pPr>
      <w:jc w:val="left"/>
    </w:pPr>
    <w:rPr>
      <w:kern w:val="0"/>
      <w:sz w:val="20"/>
    </w:rPr>
  </w:style>
  <w:style w:type="paragraph" w:styleId="16">
    <w:name w:val="Body Text 3"/>
    <w:basedOn w:val="1"/>
    <w:link w:val="61"/>
    <w:qFormat/>
    <w:uiPriority w:val="0"/>
    <w:rPr>
      <w:rFonts w:ascii="宋体"/>
      <w:kern w:val="0"/>
      <w:sz w:val="24"/>
      <w:szCs w:val="20"/>
    </w:rPr>
  </w:style>
  <w:style w:type="paragraph" w:styleId="17">
    <w:name w:val="Body Text Indent"/>
    <w:basedOn w:val="1"/>
    <w:next w:val="1"/>
    <w:link w:val="74"/>
    <w:qFormat/>
    <w:uiPriority w:val="0"/>
    <w:pPr>
      <w:spacing w:after="120"/>
      <w:ind w:left="420" w:leftChars="200"/>
    </w:pPr>
    <w:rPr>
      <w:kern w:val="0"/>
      <w:sz w:val="20"/>
    </w:rPr>
  </w:style>
  <w:style w:type="paragraph" w:styleId="18">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19">
    <w:name w:val="toc 5"/>
    <w:basedOn w:val="1"/>
    <w:next w:val="1"/>
    <w:qFormat/>
    <w:uiPriority w:val="39"/>
    <w:pPr>
      <w:ind w:left="840"/>
      <w:jc w:val="left"/>
    </w:pPr>
    <w:rPr>
      <w:rFonts w:ascii="Calibri" w:hAnsi="Calibri"/>
      <w:sz w:val="18"/>
      <w:szCs w:val="18"/>
    </w:rPr>
  </w:style>
  <w:style w:type="paragraph" w:styleId="20">
    <w:name w:val="toc 3"/>
    <w:basedOn w:val="1"/>
    <w:next w:val="1"/>
    <w:qFormat/>
    <w:uiPriority w:val="39"/>
    <w:pPr>
      <w:ind w:left="420"/>
      <w:jc w:val="left"/>
    </w:pPr>
    <w:rPr>
      <w:rFonts w:ascii="Calibri" w:hAnsi="Calibri"/>
      <w:i/>
      <w:iCs/>
      <w:sz w:val="20"/>
      <w:szCs w:val="20"/>
    </w:rPr>
  </w:style>
  <w:style w:type="paragraph" w:styleId="21">
    <w:name w:val="Plain Text"/>
    <w:basedOn w:val="1"/>
    <w:link w:val="97"/>
    <w:qFormat/>
    <w:uiPriority w:val="99"/>
    <w:rPr>
      <w:rFonts w:ascii="Courier New" w:hAnsi="Courier New"/>
      <w:kern w:val="0"/>
      <w:sz w:val="20"/>
      <w:szCs w:val="20"/>
    </w:rPr>
  </w:style>
  <w:style w:type="paragraph" w:styleId="22">
    <w:name w:val="toc 8"/>
    <w:basedOn w:val="1"/>
    <w:next w:val="1"/>
    <w:qFormat/>
    <w:uiPriority w:val="39"/>
    <w:pPr>
      <w:ind w:left="1470"/>
      <w:jc w:val="left"/>
    </w:pPr>
    <w:rPr>
      <w:rFonts w:ascii="Calibri" w:hAnsi="Calibri"/>
      <w:sz w:val="18"/>
      <w:szCs w:val="18"/>
    </w:rPr>
  </w:style>
  <w:style w:type="paragraph" w:styleId="23">
    <w:name w:val="Date"/>
    <w:basedOn w:val="1"/>
    <w:next w:val="1"/>
    <w:link w:val="81"/>
    <w:qFormat/>
    <w:uiPriority w:val="0"/>
    <w:rPr>
      <w:kern w:val="0"/>
      <w:sz w:val="24"/>
      <w:szCs w:val="20"/>
    </w:rPr>
  </w:style>
  <w:style w:type="paragraph" w:styleId="24">
    <w:name w:val="Body Text Indent 2"/>
    <w:basedOn w:val="1"/>
    <w:qFormat/>
    <w:uiPriority w:val="0"/>
    <w:pPr>
      <w:spacing w:after="120" w:line="480" w:lineRule="auto"/>
      <w:ind w:left="420" w:leftChars="200"/>
    </w:pPr>
  </w:style>
  <w:style w:type="paragraph" w:styleId="25">
    <w:name w:val="Balloon Text"/>
    <w:basedOn w:val="1"/>
    <w:link w:val="79"/>
    <w:qFormat/>
    <w:uiPriority w:val="0"/>
    <w:rPr>
      <w:kern w:val="0"/>
      <w:sz w:val="18"/>
      <w:szCs w:val="18"/>
    </w:rPr>
  </w:style>
  <w:style w:type="paragraph" w:styleId="26">
    <w:name w:val="footer"/>
    <w:basedOn w:val="1"/>
    <w:link w:val="93"/>
    <w:qFormat/>
    <w:uiPriority w:val="99"/>
    <w:pPr>
      <w:tabs>
        <w:tab w:val="center" w:pos="4153"/>
        <w:tab w:val="right" w:pos="8306"/>
      </w:tabs>
      <w:snapToGrid w:val="0"/>
      <w:jc w:val="left"/>
    </w:pPr>
    <w:rPr>
      <w:kern w:val="0"/>
      <w:sz w:val="18"/>
      <w:szCs w:val="18"/>
    </w:rPr>
  </w:style>
  <w:style w:type="paragraph" w:styleId="27">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qFormat/>
    <w:uiPriority w:val="39"/>
    <w:pPr>
      <w:spacing w:before="120" w:after="120"/>
      <w:jc w:val="left"/>
    </w:pPr>
    <w:rPr>
      <w:rFonts w:ascii="Calibri" w:hAnsi="Calibri"/>
      <w:b/>
      <w:bCs/>
      <w:caps/>
      <w:sz w:val="20"/>
      <w:szCs w:val="20"/>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5"/>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5"/>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7"/>
    <w:qFormat/>
    <w:uiPriority w:val="0"/>
    <w:rPr>
      <w:b/>
      <w:bCs/>
    </w:rPr>
  </w:style>
  <w:style w:type="paragraph" w:styleId="41">
    <w:name w:val="Body Text First Indent"/>
    <w:basedOn w:val="2"/>
    <w:qFormat/>
    <w:uiPriority w:val="0"/>
    <w:pPr>
      <w:adjustRightInd w:val="0"/>
      <w:spacing w:line="275" w:lineRule="atLeast"/>
      <w:ind w:firstLine="420"/>
      <w:textAlignment w:val="baseline"/>
    </w:pPr>
    <w:rPr>
      <w:rFonts w:ascii="宋体" w:eastAsia="楷体_GB2312"/>
      <w:sz w:val="24"/>
      <w:szCs w:val="20"/>
    </w:rPr>
  </w:style>
  <w:style w:type="paragraph" w:styleId="42">
    <w:name w:val="Body Text First Indent 2"/>
    <w:basedOn w:val="17"/>
    <w:unhideWhenUsed/>
    <w:qFormat/>
    <w:uiPriority w:val="0"/>
    <w:pPr>
      <w:ind w:firstLine="420"/>
    </w:pPr>
  </w:style>
  <w:style w:type="table" w:styleId="44">
    <w:name w:val="Table Grid"/>
    <w:basedOn w:val="4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qFormat/>
    <w:uiPriority w:val="0"/>
  </w:style>
  <w:style w:type="character" w:styleId="48">
    <w:name w:val="FollowedHyperlink"/>
    <w:basedOn w:val="45"/>
    <w:qFormat/>
    <w:uiPriority w:val="0"/>
    <w:rPr>
      <w:rFonts w:hint="default" w:ascii="Arial" w:hAnsi="Arial" w:eastAsia="Arial" w:cs="Arial"/>
      <w:color w:val="333333"/>
      <w:sz w:val="21"/>
      <w:szCs w:val="21"/>
      <w:u w:val="none"/>
    </w:rPr>
  </w:style>
  <w:style w:type="character" w:styleId="49">
    <w:name w:val="Hyperlink"/>
    <w:basedOn w:val="45"/>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6">
    <w:name w:val="标题 3 字符"/>
    <w:link w:val="5"/>
    <w:qFormat/>
    <w:uiPriority w:val="0"/>
    <w:rPr>
      <w:rFonts w:ascii="Times New Roman" w:hAnsi="Times New Roman" w:eastAsia="宋体" w:cs="Times New Roman"/>
      <w:b/>
      <w:bCs/>
      <w:sz w:val="32"/>
      <w:szCs w:val="32"/>
    </w:rPr>
  </w:style>
  <w:style w:type="character" w:customStyle="1" w:styleId="57">
    <w:name w:val="批注文字 字符"/>
    <w:link w:val="15"/>
    <w:semiHidden/>
    <w:qFormat/>
    <w:uiPriority w:val="99"/>
    <w:rPr>
      <w:rFonts w:ascii="Times New Roman" w:hAnsi="Times New Roman" w:eastAsia="宋体" w:cs="Times New Roman"/>
      <w:szCs w:val="24"/>
    </w:rPr>
  </w:style>
  <w:style w:type="character" w:customStyle="1" w:styleId="58">
    <w:name w:val="标题 6 字符"/>
    <w:link w:val="7"/>
    <w:qFormat/>
    <w:uiPriority w:val="0"/>
    <w:rPr>
      <w:rFonts w:ascii="Arial" w:hAnsi="Arial" w:eastAsia="黑体" w:cs="Times New Roman"/>
      <w:b/>
      <w:bCs/>
      <w:kern w:val="0"/>
      <w:sz w:val="24"/>
      <w:szCs w:val="24"/>
    </w:rPr>
  </w:style>
  <w:style w:type="character" w:customStyle="1" w:styleId="59">
    <w:name w:val="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字符"/>
    <w:link w:val="16"/>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字符"/>
    <w:link w:val="2"/>
    <w:qFormat/>
    <w:uiPriority w:val="0"/>
    <w:rPr>
      <w:rFonts w:eastAsia="宋体"/>
      <w:szCs w:val="24"/>
    </w:rPr>
  </w:style>
  <w:style w:type="character" w:customStyle="1" w:styleId="65">
    <w:name w:val="脚注文本 字符"/>
    <w:link w:val="30"/>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字符"/>
    <w:link w:val="40"/>
    <w:qFormat/>
    <w:uiPriority w:val="0"/>
    <w:rPr>
      <w:rFonts w:ascii="Times New Roman" w:hAnsi="Times New Roman" w:eastAsia="宋体" w:cs="Times New Roman"/>
      <w:b/>
      <w:bCs/>
      <w:szCs w:val="24"/>
    </w:rPr>
  </w:style>
  <w:style w:type="character" w:customStyle="1" w:styleId="68">
    <w:name w:val="正文缩进 字符"/>
    <w:link w:val="13"/>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字符"/>
    <w:link w:val="27"/>
    <w:qFormat/>
    <w:uiPriority w:val="0"/>
    <w:rPr>
      <w:rFonts w:ascii="Times New Roman" w:hAnsi="Times New Roman" w:eastAsia="宋体" w:cs="Times New Roman"/>
      <w:sz w:val="18"/>
      <w:szCs w:val="18"/>
    </w:rPr>
  </w:style>
  <w:style w:type="character" w:customStyle="1" w:styleId="72">
    <w:name w:val="标题 9 字符"/>
    <w:link w:val="10"/>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字符"/>
    <w:link w:val="17"/>
    <w:qFormat/>
    <w:uiPriority w:val="0"/>
    <w:rPr>
      <w:szCs w:val="24"/>
    </w:rPr>
  </w:style>
  <w:style w:type="character" w:customStyle="1" w:styleId="75">
    <w:name w:val="文档结构图 字符"/>
    <w:link w:val="14"/>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字符"/>
    <w:link w:val="4"/>
    <w:qFormat/>
    <w:uiPriority w:val="0"/>
    <w:rPr>
      <w:rFonts w:ascii="Arial" w:hAnsi="Arial" w:eastAsia="黑体" w:cs="Times New Roman"/>
      <w:b/>
      <w:bCs/>
      <w:sz w:val="32"/>
      <w:szCs w:val="32"/>
    </w:rPr>
  </w:style>
  <w:style w:type="character" w:customStyle="1" w:styleId="78">
    <w:name w:val="标题 字符"/>
    <w:link w:val="39"/>
    <w:qFormat/>
    <w:uiPriority w:val="0"/>
    <w:rPr>
      <w:rFonts w:ascii="Arial" w:hAnsi="Arial"/>
      <w:b/>
      <w:sz w:val="32"/>
    </w:rPr>
  </w:style>
  <w:style w:type="character" w:customStyle="1" w:styleId="79">
    <w:name w:val="批注框文本 字符"/>
    <w:link w:val="25"/>
    <w:qFormat/>
    <w:uiPriority w:val="0"/>
    <w:rPr>
      <w:rFonts w:ascii="Times New Roman" w:hAnsi="Times New Roman" w:eastAsia="宋体" w:cs="Times New Roman"/>
      <w:sz w:val="18"/>
      <w:szCs w:val="18"/>
    </w:rPr>
  </w:style>
  <w:style w:type="character" w:customStyle="1" w:styleId="80">
    <w:name w:val="标题 8 字符"/>
    <w:link w:val="9"/>
    <w:qFormat/>
    <w:uiPriority w:val="0"/>
    <w:rPr>
      <w:rFonts w:ascii="Arial" w:hAnsi="Arial" w:eastAsia="黑体" w:cs="Times New Roman"/>
      <w:kern w:val="0"/>
      <w:sz w:val="24"/>
      <w:szCs w:val="24"/>
    </w:rPr>
  </w:style>
  <w:style w:type="character" w:customStyle="1" w:styleId="81">
    <w:name w:val="日期 字符"/>
    <w:link w:val="23"/>
    <w:qFormat/>
    <w:uiPriority w:val="0"/>
    <w:rPr>
      <w:rFonts w:ascii="Times New Roman" w:hAnsi="Times New Roman" w:eastAsia="宋体" w:cs="Times New Roman"/>
      <w:sz w:val="24"/>
      <w:szCs w:val="20"/>
    </w:rPr>
  </w:style>
  <w:style w:type="character" w:customStyle="1" w:styleId="82">
    <w:name w:val="标题 1 字符"/>
    <w:link w:val="3"/>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字符"/>
    <w:link w:val="32"/>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字符"/>
    <w:link w:val="6"/>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字符"/>
    <w:link w:val="26"/>
    <w:qFormat/>
    <w:uiPriority w:val="99"/>
    <w:rPr>
      <w:sz w:val="18"/>
      <w:szCs w:val="18"/>
    </w:rPr>
  </w:style>
  <w:style w:type="character" w:customStyle="1" w:styleId="94">
    <w:name w:val="Char Char7"/>
    <w:qFormat/>
    <w:uiPriority w:val="0"/>
    <w:rPr>
      <w:rFonts w:ascii="Arial" w:hAnsi="Arial" w:eastAsia="黑体"/>
      <w:b/>
      <w:bCs/>
      <w:kern w:val="2"/>
      <w:sz w:val="32"/>
      <w:szCs w:val="32"/>
      <w:lang w:val="en-US" w:eastAsia="zh-CN" w:bidi="ar-SA"/>
    </w:rPr>
  </w:style>
  <w:style w:type="character" w:customStyle="1" w:styleId="95">
    <w:name w:val="HTML 预设格式 字符"/>
    <w:link w:val="36"/>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字符"/>
    <w:link w:val="21"/>
    <w:qFormat/>
    <w:uiPriority w:val="99"/>
    <w:rPr>
      <w:rFonts w:ascii="Courier New" w:hAnsi="Courier New"/>
    </w:rPr>
  </w:style>
  <w:style w:type="character" w:customStyle="1" w:styleId="98">
    <w:name w:val="标题 7 字符"/>
    <w:link w:val="8"/>
    <w:qFormat/>
    <w:uiPriority w:val="0"/>
    <w:rPr>
      <w:rFonts w:ascii="Times New Roman" w:hAnsi="Times New Roman" w:eastAsia="宋体" w:cs="Times New Roman"/>
      <w:b/>
      <w:bCs/>
      <w:kern w:val="0"/>
      <w:sz w:val="24"/>
      <w:szCs w:val="24"/>
    </w:rPr>
  </w:style>
  <w:style w:type="paragraph" w:customStyle="1" w:styleId="99">
    <w:name w:val="样式4"/>
    <w:basedOn w:val="5"/>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5"/>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列表段落1"/>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1"/>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1"/>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5"/>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8">
    <w:name w:val="样式2"/>
    <w:basedOn w:val="5"/>
    <w:qFormat/>
    <w:uiPriority w:val="0"/>
  </w:style>
  <w:style w:type="character" w:customStyle="1" w:styleId="159">
    <w:name w:val="after"/>
    <w:basedOn w:val="45"/>
    <w:qFormat/>
    <w:uiPriority w:val="0"/>
    <w:rPr>
      <w:bdr w:val="dashed" w:color="auto" w:sz="48" w:space="0"/>
    </w:rPr>
  </w:style>
  <w:style w:type="character" w:customStyle="1" w:styleId="160">
    <w:name w:val="before"/>
    <w:basedOn w:val="45"/>
    <w:qFormat/>
    <w:uiPriority w:val="0"/>
    <w:rPr>
      <w:bdr w:val="single" w:color="auto" w:sz="48" w:space="0"/>
    </w:rPr>
  </w:style>
  <w:style w:type="character" w:customStyle="1" w:styleId="161">
    <w:name w:val="hover48"/>
    <w:basedOn w:val="45"/>
    <w:qFormat/>
    <w:uiPriority w:val="0"/>
    <w:rPr>
      <w:shd w:val="clear" w:color="auto" w:fill="346AC3"/>
    </w:rPr>
  </w:style>
  <w:style w:type="character" w:customStyle="1" w:styleId="162">
    <w:name w:val="hover49"/>
    <w:basedOn w:val="45"/>
    <w:qFormat/>
    <w:uiPriority w:val="0"/>
  </w:style>
  <w:style w:type="character" w:customStyle="1" w:styleId="163">
    <w:name w:val="hover50"/>
    <w:basedOn w:val="45"/>
    <w:qFormat/>
    <w:uiPriority w:val="0"/>
    <w:rPr>
      <w:color w:val="4285F4"/>
      <w:u w:val="none"/>
    </w:rPr>
  </w:style>
  <w:style w:type="character" w:customStyle="1" w:styleId="164">
    <w:name w:val="hover51"/>
    <w:basedOn w:val="45"/>
    <w:qFormat/>
    <w:uiPriority w:val="0"/>
    <w:rPr>
      <w:color w:val="4285F4"/>
    </w:rPr>
  </w:style>
  <w:style w:type="character" w:customStyle="1" w:styleId="165">
    <w:name w:val="hover52"/>
    <w:basedOn w:val="45"/>
    <w:qFormat/>
    <w:uiPriority w:val="0"/>
    <w:rPr>
      <w:color w:val="1A85D7"/>
    </w:rPr>
  </w:style>
  <w:style w:type="character" w:customStyle="1" w:styleId="166">
    <w:name w:val="credit"/>
    <w:basedOn w:val="45"/>
    <w:qFormat/>
    <w:uiPriority w:val="0"/>
    <w:rPr>
      <w:sz w:val="18"/>
      <w:szCs w:val="18"/>
    </w:rPr>
  </w:style>
  <w:style w:type="character" w:customStyle="1" w:styleId="167">
    <w:name w:val="first-child"/>
    <w:basedOn w:val="45"/>
    <w:qFormat/>
    <w:uiPriority w:val="0"/>
  </w:style>
  <w:style w:type="paragraph" w:customStyle="1" w:styleId="168">
    <w:name w:val="Table Paragraph"/>
    <w:basedOn w:val="1"/>
    <w:qFormat/>
    <w:uiPriority w:val="1"/>
  </w:style>
  <w:style w:type="table" w:customStyle="1" w:styleId="169">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33</Pages>
  <Words>2211</Words>
  <Characters>12606</Characters>
  <Lines>105</Lines>
  <Paragraphs>29</Paragraphs>
  <TotalTime>0</TotalTime>
  <ScaleCrop>false</ScaleCrop>
  <LinksUpToDate>false</LinksUpToDate>
  <CharactersWithSpaces>14788</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2020-05-02T00:16:00Z</dcterms:created>
  <dc:creator>陈桂兰</dc:creator>
  <cp:lastModifiedBy>Kevin</cp:lastModifiedBy>
  <cp:lastPrinted>2022-06-09T10:10:00Z</cp:lastPrinted>
  <dcterms:modified xsi:type="dcterms:W3CDTF">2023-03-22T10:10:17Z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30B4562C6E0648BDB52706EAF98EA11A</vt:lpwstr>
  </property>
  <property fmtid="{D5CDD505-2E9C-101B-9397-08002B2CF9AE}" pid="4" name="commondata">
    <vt:lpwstr>eyJoZGlkIjoiNmI0YzI4NGJiMjg2ZWZlN2MzZDcyYzg5ZDEwYzBhZDAifQ==</vt:lpwstr>
  </property>
</Properties>
</file>