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</w:rPr>
        <w:t>重庆高速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公路集团有限公司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</w:rPr>
        <w:t>东南营运分公司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</w:rPr>
        <w:t>关于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购买安全防护用品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</w:rPr>
        <w:t>的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val="en-US" w:eastAsia="zh-CN"/>
        </w:rPr>
        <w:t>竞争性比选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</w:rPr>
        <w:t>函</w:t>
      </w:r>
    </w:p>
    <w:p>
      <w:pPr>
        <w:pStyle w:val="2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为提高重庆高速公路集团有限公司东南营运分公司（以下简称“东南公司”）一线作业人员的安全防护能力，保障作业人员的作业安全，根据公司安全防护用品配备标准，拟对所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购买安全防护用品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开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展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竞争性比选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，具体方案如下：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val="en-US" w:eastAsia="zh-CN"/>
        </w:rPr>
        <w:t>一、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  <w:t>购买的安全防护用品种类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val="en-US" w:eastAsia="zh-CN"/>
        </w:rPr>
        <w:t>及数量、限价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1.反光背心：1188件，最高限价50元/件（本数量仅供参考，东南公司可对最终采</w:t>
      </w:r>
      <w:bookmarkStart w:id="1" w:name="_GoBack"/>
      <w:bookmarkEnd w:id="1"/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购数量作出上下浮动调整，其中下调时不超200件）。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2.防毒面具：8具，最高限价400元/具，总金额不超3200元。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3.频闪灯：80颗，最高限价35元/颗，总金额不超2800元。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4.电工防护用品：绝缘手套5双，最高限价400元/双；绝缘皮鞋5双，最高限价380元/双；安全绳5套，最高限价200元/套，上述电工防护用品总金额不超4900元。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highlight w:val="none"/>
          <w:lang w:val="en-US" w:eastAsia="zh-CN"/>
        </w:rPr>
        <w:t>5.本次安全防护用品最高总限价为：70300元（大写：柒万零叁佰元整）。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6.本次竞争比选价格含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税费、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运费、搬运费及其他相关费用。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val="en-US" w:eastAsia="zh-CN"/>
        </w:rPr>
        <w:t>二、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  <w:t>送货地点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b/>
          <w:bCs/>
          <w:color w:val="000000"/>
          <w:sz w:val="32"/>
          <w:szCs w:val="32"/>
        </w:rPr>
        <w:t xml:space="preserve"> 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东南分公司黔江办公点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  <w:t>三、支付方式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中标单位在将所有货品送到目的地并经东南公司验收合格，出具合格发票后，东南公司于当月内全额支付（发票送达时间不差过当月20日，超过的次月支付）。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  <w:t>四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</w:rPr>
        <w:t>、对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  <w:lang w:eastAsia="zh-CN"/>
        </w:rPr>
        <w:t>竞标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sz w:val="32"/>
          <w:szCs w:val="32"/>
        </w:rPr>
        <w:t>人的资质要求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独立的法人企业（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并取得相关资格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.2017-2021年期间重庆高速集团管辖单位供货商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3.竞标人在“信用中国”网站（http://www.creditchina.gov.cn/）中未被列入失信被执行人名单（黑名单）。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 xml:space="preserve">   五、竞争性比选规则和流程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highlight w:val="none"/>
          <w:lang w:val="en-US" w:eastAsia="zh-CN"/>
        </w:rPr>
        <w:t>1.本次竞争性比选采购的货品采用直接询价采购方式，开标之日，竞标人直接将样品及报价文件同时送达开标处，报价文件用信封密封。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highlight w:val="none"/>
          <w:lang w:val="en-US" w:eastAsia="zh-CN"/>
        </w:rPr>
        <w:t>2.开标之日，东南公司将组织相关人员成立评审小组，对现场货品进行查验，选取4家（报价单位低于6家的，最少选取3家）质量、样式较好的样品（剩余单位直接淘汰），再进行整体综合报价对比，综合总报价最低者中标；若最低价相同，则进行第二轮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highlight w:val="none"/>
          <w:lang w:val="en-US" w:eastAsia="zh-CN"/>
        </w:rPr>
        <w:t>3.竞标人的竞标报价均不得超过东南公司公布的最高限价（单价限价及总价限价），否则均为无效竞标。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000000"/>
          <w:sz w:val="32"/>
          <w:szCs w:val="32"/>
        </w:rPr>
        <w:t>六、报价资料</w:t>
      </w:r>
      <w:r>
        <w:rPr>
          <w:rFonts w:hint="eastAsia" w:ascii="方正仿宋_GBK" w:hAnsi="方正仿宋_GBK" w:eastAsia="方正仿宋_GBK" w:cs="方正仿宋_GBK"/>
          <w:b/>
          <w:bCs/>
          <w:color w:val="000000"/>
          <w:sz w:val="32"/>
          <w:szCs w:val="32"/>
          <w:lang w:eastAsia="zh-CN"/>
        </w:rPr>
        <w:t>及相关要求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  <w:t xml:space="preserve">   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</w:rPr>
        <w:t>（一）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eastAsia="zh-CN"/>
        </w:rPr>
        <w:t>样品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  <w:t>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1.竞标人提供的安全防护用品样品质量应符合国家相关要求，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参照附件2上打版样品要求的质量和样式而定，适合高速公路作业使用为宜。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2.竞标人在竞争性比选前可前往东南公司查看打版样品。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楷体_GBK" w:hAnsi="方正楷体_GBK" w:eastAsia="方正楷体_GBK" w:cs="方正楷体_GBK"/>
          <w:color w:val="00000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  <w:lang w:val="en-US" w:eastAsia="zh-CN"/>
        </w:rPr>
        <w:t xml:space="preserve">   （二）</w:t>
      </w:r>
      <w:r>
        <w:rPr>
          <w:rFonts w:hint="eastAsia" w:ascii="方正楷体_GBK" w:hAnsi="方正楷体_GBK" w:eastAsia="方正楷体_GBK" w:cs="方正楷体_GBK"/>
          <w:color w:val="000000"/>
          <w:sz w:val="32"/>
          <w:szCs w:val="32"/>
        </w:rPr>
        <w:t>报价文件构成：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 xml:space="preserve">    1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营业执照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及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银行开户许可证（复印件加盖鲜章）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 xml:space="preserve">    2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法人身份证复印件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3.授权委托书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4.报价书及承诺书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（附件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5.与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重庆高速集团管辖单位合作证明（如合同）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6.产品检验检测报告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7.其他证明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color w:val="000000"/>
          <w:sz w:val="32"/>
          <w:szCs w:val="32"/>
        </w:rPr>
        <w:t xml:space="preserve">    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  <w:lang w:eastAsia="zh-CN"/>
        </w:rPr>
        <w:t>三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）报价文件密封方式：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竞标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文件应按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上款的内容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封装。封包正面注明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竞标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单位名称（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须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与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竞标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单位提交的营业执照一致）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信封的资料文件均需密封完整，密封口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须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加盖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竞标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人单位公章。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0"/>
        <w:rPr>
          <w:rFonts w:hint="eastAsia" w:ascii="方正楷体_GBK" w:hAnsi="方正楷体_GBK" w:eastAsia="方正楷体_GBK" w:cs="方正楷体_GBK"/>
          <w:b/>
          <w:bCs/>
          <w:color w:val="00000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color w:val="000000"/>
          <w:sz w:val="32"/>
          <w:szCs w:val="32"/>
        </w:rPr>
        <w:t xml:space="preserve">     </w:t>
      </w:r>
      <w:r>
        <w:rPr>
          <w:rFonts w:hint="eastAsia" w:ascii="方正楷体_GBK" w:hAnsi="方正楷体_GBK" w:eastAsia="方正楷体_GBK" w:cs="方正楷体_GBK"/>
          <w:b w:val="0"/>
          <w:bCs w:val="0"/>
          <w:color w:val="000000"/>
          <w:sz w:val="32"/>
          <w:szCs w:val="32"/>
        </w:rPr>
        <w:t>（四）报价文件递交：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 xml:space="preserve">  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highlight w:val="none"/>
        </w:rPr>
        <w:t xml:space="preserve">  1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时为报价截止时间，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竞争性比选响应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函必须在规定时间之前送到发包人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，地址：重庆市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黔江区城西街道大庄居委（重庆高速集团东南营运分公司安全环保监督办公室）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逾期送达的报价函将不予受理。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联系人：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何超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、联系电话：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023-79852823、13896830507。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0"/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highlight w:val="none"/>
        </w:rPr>
        <w:t xml:space="preserve">    2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highlight w:val="none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highlight w:val="none"/>
        </w:rPr>
        <w:t>开标时间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为2021年11月10日14时，开标地点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为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重庆高速集团东南营运分公司黔江办公基地220会议室，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请各报价单位负责人或委托代理人准时参加开标，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凡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不按时参加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开标则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视为认可此次开标。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  <w:lang w:eastAsia="zh-CN"/>
        </w:rPr>
        <w:t>七、</w:t>
      </w: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</w:rPr>
        <w:t>供货要求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楷体_GBK" w:hAnsi="方正楷体_GBK" w:eastAsia="方正楷体_GBK" w:cs="方正楷体_GBK"/>
          <w:bCs/>
          <w:color w:val="000000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bCs/>
          <w:color w:val="000000"/>
          <w:sz w:val="32"/>
          <w:szCs w:val="32"/>
          <w:lang w:val="en-US" w:eastAsia="zh-CN"/>
        </w:rPr>
        <w:t>（一）</w:t>
      </w:r>
      <w:r>
        <w:rPr>
          <w:rFonts w:hint="eastAsia" w:ascii="方正楷体_GBK" w:hAnsi="方正楷体_GBK" w:eastAsia="方正楷体_GBK" w:cs="方正楷体_GBK"/>
          <w:bCs/>
          <w:color w:val="000000"/>
          <w:sz w:val="32"/>
          <w:szCs w:val="32"/>
        </w:rPr>
        <w:t>质量要求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Cs/>
          <w:color w:val="000000"/>
          <w:sz w:val="32"/>
          <w:szCs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供货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各项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质量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指标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应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达到国家规定的标准，专业质量检验评定达到合格以上。非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东南公司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原因，造成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供货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质量不符合要求或不合格，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东南公司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可要求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中标单位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停工或返工，返工费用由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中标单位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承担，由此造成损失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、责任和后果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全部由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中标单位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负责赔偿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及承担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且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工期不予顺延。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中标单位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使用的材料必须满足相关规范和设计要求，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东南公司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可随时抽检并送检。如抽检不合格，由此所产生的运费和检测费等全部有关的费用和责任全部由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中标单位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default" w:ascii="方正仿宋_GBK" w:hAnsi="方正仿宋_GBK" w:eastAsia="方正仿宋_GBK" w:cs="方正仿宋_GBK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val="en-US" w:eastAsia="zh-CN"/>
        </w:rPr>
        <w:t xml:space="preserve">3.中标单位须把样品留存在东南公司，以保证后续所供产品与样品的质量、样式等一致。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楷体_GBK" w:hAnsi="方正楷体_GBK" w:eastAsia="方正楷体_GBK" w:cs="方正楷体_GBK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Cs/>
          <w:color w:val="000000"/>
          <w:sz w:val="32"/>
          <w:szCs w:val="32"/>
          <w:lang w:val="en-US" w:eastAsia="zh-CN"/>
        </w:rPr>
        <w:t>（二）样式要求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1.反光背心应符合GB20653-2006或GB20653-2020《防护服装职业用高可视性警示服》各项指标及要求，使用专用透气网眼面料和白晶格反光材料，且在背面印制带反光效果的“重庆高速”字样（蓝底白字，字体为宋体，字号130，详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见附件二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，按大中小三种型号配货，具体型号待中标后由询价方提供。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2.频闪灯应携带方便，具有肩夹360°旋转、LED爆闪灯光、红蓝频闪、白光照明、可充电蓄电等功能，且正面印制“重庆高速”字样（详见附件二）。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3.防毒面具应为自吸过滤式化工消防全面罩，款式自定。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4.绝缘手套应为35KV高压手套，款式自定。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5.绝缘鞋电工鞋应为14kv高压劳保鞋，款式自定。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6.安全绳应为16mm蚕丝绳，款式自定。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0"/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</w:rPr>
        <w:t xml:space="preserve">   </w:t>
      </w: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  <w:lang w:eastAsia="zh-CN"/>
        </w:rPr>
        <w:t>八、</w:t>
      </w: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</w:rPr>
        <w:t>廉政约定：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为杜绝商业贿赂现象，共同营造公平、公正的竞争环境，敬请各竞标人在参与竞标报价过程中，将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东南公司相关工作人员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明示或暗示要求宴请、招待或索取礼金、礼品、礼券、其他利益，或故意刁难、显失公平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等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现象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向我司纪检监察人员进行举报。具体举报渠道告知如下：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举报电话及联系人：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刁淑娟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举报传真：023-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val="en-US" w:eastAsia="zh-CN"/>
        </w:rPr>
        <w:t>89138820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0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  <w:lang w:eastAsia="zh-CN"/>
        </w:rPr>
        <w:t>东南公司</w:t>
      </w: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32"/>
        </w:rPr>
        <w:t>承诺：对所有举报信息及时调查处理，对举报来源严格保守秘密，对举报单位因举报所可能遭受的利益损害采取特别措施予以保护。</w:t>
      </w:r>
      <w:r>
        <w:rPr>
          <w:rFonts w:hint="eastAsia" w:ascii="仿宋_GB2312" w:eastAsia="仿宋_GB2312"/>
          <w:sz w:val="36"/>
          <w:szCs w:val="36"/>
          <w:lang w:eastAsia="zh-CN"/>
        </w:rPr>
        <w:br w:type="page"/>
      </w:r>
    </w:p>
    <w:p>
      <w:pPr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东南营运分公司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安全防护用品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的报价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书及承诺书</w:t>
      </w:r>
    </w:p>
    <w:tbl>
      <w:tblPr>
        <w:tblStyle w:val="27"/>
        <w:tblpPr w:leftFromText="180" w:rightFromText="180" w:vertAnchor="text" w:horzAnchor="page" w:tblpX="1215" w:tblpY="226"/>
        <w:tblOverlap w:val="never"/>
        <w:tblW w:w="946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1964"/>
        <w:gridCol w:w="726"/>
        <w:gridCol w:w="956"/>
        <w:gridCol w:w="1045"/>
        <w:gridCol w:w="1111"/>
        <w:gridCol w:w="1104"/>
        <w:gridCol w:w="11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4" w:type="dxa"/>
            <w:vMerge w:val="restart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送货地点</w:t>
            </w:r>
          </w:p>
        </w:tc>
        <w:tc>
          <w:tcPr>
            <w:tcW w:w="1964" w:type="dxa"/>
            <w:vMerge w:val="restart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项目</w:t>
            </w:r>
          </w:p>
        </w:tc>
        <w:tc>
          <w:tcPr>
            <w:tcW w:w="726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956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数量</w:t>
            </w:r>
          </w:p>
        </w:tc>
        <w:tc>
          <w:tcPr>
            <w:tcW w:w="1045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最高限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价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单价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（元）</w:t>
            </w:r>
          </w:p>
        </w:tc>
        <w:tc>
          <w:tcPr>
            <w:tcW w:w="1111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单位报价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单价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（元）</w:t>
            </w:r>
          </w:p>
        </w:tc>
        <w:tc>
          <w:tcPr>
            <w:tcW w:w="1104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单位报价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lang w:eastAsia="zh-CN"/>
              </w:rPr>
              <w:t>总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价（元）</w:t>
            </w:r>
          </w:p>
        </w:tc>
        <w:tc>
          <w:tcPr>
            <w:tcW w:w="1100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4" w:type="dxa"/>
            <w:vMerge w:val="continue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continue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26" w:type="dxa"/>
            <w:vMerge w:val="continue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vMerge w:val="continue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45" w:type="dxa"/>
            <w:vMerge w:val="continue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11" w:type="dxa"/>
            <w:vMerge w:val="continue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vMerge w:val="continue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 w:val="continue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5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045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11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 w:val="continue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454" w:type="dxa"/>
            <w:vMerge w:val="restart"/>
            <w:vAlign w:val="center"/>
          </w:tcPr>
          <w:p>
            <w:pPr>
              <w:shd w:val="solid" w:color="FFFFFF" w:fill="auto"/>
              <w:autoSpaceDN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  <w:t>东南营运分公司黔江办公点</w:t>
            </w:r>
          </w:p>
        </w:tc>
        <w:tc>
          <w:tcPr>
            <w:tcW w:w="1964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反光背心</w:t>
            </w:r>
          </w:p>
        </w:tc>
        <w:tc>
          <w:tcPr>
            <w:tcW w:w="726" w:type="dxa"/>
            <w:shd w:val="clear" w:color="auto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  <w:t>件</w:t>
            </w:r>
          </w:p>
        </w:tc>
        <w:tc>
          <w:tcPr>
            <w:tcW w:w="956" w:type="dxa"/>
            <w:shd w:val="clear" w:color="auto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1188</w:t>
            </w:r>
          </w:p>
        </w:tc>
        <w:tc>
          <w:tcPr>
            <w:tcW w:w="1045" w:type="dxa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54" w:type="dxa"/>
            <w:vMerge w:val="continue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</w:p>
        </w:tc>
        <w:tc>
          <w:tcPr>
            <w:tcW w:w="1964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防毒面具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具</w:t>
            </w:r>
          </w:p>
        </w:tc>
        <w:tc>
          <w:tcPr>
            <w:tcW w:w="95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8</w:t>
            </w:r>
          </w:p>
        </w:tc>
        <w:tc>
          <w:tcPr>
            <w:tcW w:w="1045" w:type="dxa"/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1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54" w:type="dxa"/>
            <w:vMerge w:val="continue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</w:p>
        </w:tc>
        <w:tc>
          <w:tcPr>
            <w:tcW w:w="1964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频闪灯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颗</w:t>
            </w:r>
          </w:p>
        </w:tc>
        <w:tc>
          <w:tcPr>
            <w:tcW w:w="95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80</w:t>
            </w:r>
          </w:p>
        </w:tc>
        <w:tc>
          <w:tcPr>
            <w:tcW w:w="1045" w:type="dxa"/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1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54" w:type="dxa"/>
            <w:vMerge w:val="continue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</w:p>
        </w:tc>
        <w:tc>
          <w:tcPr>
            <w:tcW w:w="1964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绝缘手套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双</w:t>
            </w:r>
          </w:p>
        </w:tc>
        <w:tc>
          <w:tcPr>
            <w:tcW w:w="95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5</w:t>
            </w:r>
          </w:p>
        </w:tc>
        <w:tc>
          <w:tcPr>
            <w:tcW w:w="1045" w:type="dxa"/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1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54" w:type="dxa"/>
            <w:vMerge w:val="continue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</w:p>
        </w:tc>
        <w:tc>
          <w:tcPr>
            <w:tcW w:w="1964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绝缘皮鞋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双</w:t>
            </w:r>
          </w:p>
        </w:tc>
        <w:tc>
          <w:tcPr>
            <w:tcW w:w="95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5</w:t>
            </w:r>
          </w:p>
        </w:tc>
        <w:tc>
          <w:tcPr>
            <w:tcW w:w="1045" w:type="dxa"/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1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454" w:type="dxa"/>
            <w:vMerge w:val="continue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</w:p>
        </w:tc>
        <w:tc>
          <w:tcPr>
            <w:tcW w:w="1964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安全绳</w:t>
            </w:r>
          </w:p>
        </w:tc>
        <w:tc>
          <w:tcPr>
            <w:tcW w:w="72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套</w:t>
            </w:r>
          </w:p>
        </w:tc>
        <w:tc>
          <w:tcPr>
            <w:tcW w:w="956" w:type="dxa"/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5</w:t>
            </w:r>
          </w:p>
        </w:tc>
        <w:tc>
          <w:tcPr>
            <w:tcW w:w="1045" w:type="dxa"/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1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1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145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</w:rPr>
              <w:t>总  价</w:t>
            </w:r>
          </w:p>
        </w:tc>
        <w:tc>
          <w:tcPr>
            <w:tcW w:w="1964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6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</w:rPr>
              <w:t>元</w:t>
            </w:r>
          </w:p>
        </w:tc>
        <w:tc>
          <w:tcPr>
            <w:tcW w:w="3112" w:type="dxa"/>
            <w:gridSpan w:val="3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  <w:t xml:space="preserve">大写：  </w:t>
            </w:r>
          </w:p>
        </w:tc>
        <w:tc>
          <w:tcPr>
            <w:tcW w:w="11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10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</w:tbl>
    <w:p>
      <w:pPr>
        <w:jc w:val="left"/>
        <w:rPr>
          <w:rFonts w:hint="eastAsia"/>
        </w:rPr>
      </w:pPr>
    </w:p>
    <w:p>
      <w:pPr>
        <w:spacing w:line="48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我方已认真阅读《重庆高速集团东南营运分公司关于</w:t>
      </w:r>
      <w:r>
        <w:rPr>
          <w:rFonts w:hint="eastAsia" w:ascii="仿宋_GB2312" w:eastAsia="仿宋_GB2312"/>
          <w:sz w:val="28"/>
          <w:szCs w:val="28"/>
          <w:lang w:eastAsia="zh-CN"/>
        </w:rPr>
        <w:t>购买安全防护用品</w:t>
      </w:r>
      <w:r>
        <w:rPr>
          <w:rFonts w:hint="eastAsia" w:ascii="仿宋_GB2312" w:eastAsia="仿宋_GB2312"/>
          <w:sz w:val="28"/>
          <w:szCs w:val="28"/>
        </w:rPr>
        <w:t>的询价函》，并按规定参加了报价，如果中标我方承诺：</w:t>
      </w:r>
      <w:r>
        <w:rPr>
          <w:rFonts w:hint="eastAsia" w:ascii="仿宋_GB2312" w:eastAsia="仿宋_GB2312"/>
          <w:sz w:val="28"/>
          <w:szCs w:val="28"/>
          <w:lang w:eastAsia="zh-CN"/>
        </w:rPr>
        <w:t>货物交付时间应在合同签订后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30天</w:t>
      </w:r>
      <w:r>
        <w:rPr>
          <w:rFonts w:hint="eastAsia" w:ascii="仿宋_GB2312" w:eastAsia="仿宋_GB2312"/>
          <w:sz w:val="28"/>
          <w:szCs w:val="28"/>
          <w:lang w:eastAsia="zh-CN"/>
        </w:rPr>
        <w:t>内；交付货物的内在质量与外观形态都应和样品一致；如果不一致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，10个工作日内更换，如果不愿更换则视为放弃，所有产品由报价单位在十个工作日内自行取回。</w:t>
      </w:r>
    </w:p>
    <w:p>
      <w:pPr>
        <w:spacing w:line="48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80" w:lineRule="exac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报价单位（公章）：</w:t>
      </w:r>
    </w:p>
    <w:p>
      <w:pPr>
        <w:spacing w:line="48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80" w:lineRule="exac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法定代表人或授权代理人（签字）：</w:t>
      </w:r>
    </w:p>
    <w:p>
      <w:pPr>
        <w:spacing w:line="48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80" w:lineRule="exac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报价时间：</w:t>
      </w:r>
    </w:p>
    <w:p>
      <w:pPr>
        <w:spacing w:line="480" w:lineRule="exact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480" w:lineRule="exact"/>
        <w:rPr>
          <w:rFonts w:hint="eastAsia" w:ascii="仿宋_GB2312" w:eastAsia="仿宋_GB2312"/>
          <w:sz w:val="28"/>
          <w:szCs w:val="28"/>
          <w:lang w:val="en-US" w:eastAsia="zh-CN"/>
        </w:rPr>
      </w:pPr>
    </w:p>
    <w:tbl>
      <w:tblPr>
        <w:tblStyle w:val="28"/>
        <w:tblpPr w:leftFromText="180" w:rightFromText="180" w:vertAnchor="text" w:horzAnchor="page" w:tblpX="1705" w:tblpY="878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796"/>
        <w:gridCol w:w="4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8" w:hRule="exact"/>
        </w:trPr>
        <w:tc>
          <w:tcPr>
            <w:tcW w:w="4180" w:type="dxa"/>
            <w:gridSpan w:val="2"/>
            <w:vAlign w:val="center"/>
          </w:tcPr>
          <w:p>
            <w:pPr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"C:\\Users\\62729\\Documents\\Tencent Files\\627297291\\Image\\C2C\\FA1853AEEC7ACEF0E9DC7CFFA45B195C.jpg"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10790" cy="3348990"/>
                  <wp:effectExtent l="0" t="0" r="3810" b="381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334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  <w:tc>
          <w:tcPr>
            <w:tcW w:w="4342" w:type="dxa"/>
            <w:vAlign w:val="center"/>
          </w:tcPr>
          <w:p>
            <w:pPr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"C:\\Users\\62729\\Documents\\Tencent Files\\627297291\\Image\\C2C\\557DB402AC21EE8224EF54AD568B6DE2.jpg"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46680" cy="3529965"/>
                  <wp:effectExtent l="0" t="0" r="1270" b="1333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352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exact"/>
        </w:trPr>
        <w:tc>
          <w:tcPr>
            <w:tcW w:w="1384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  <w:tc>
          <w:tcPr>
            <w:tcW w:w="7138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反光背心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exact"/>
        </w:trPr>
        <w:tc>
          <w:tcPr>
            <w:tcW w:w="13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138" w:type="dxa"/>
            <w:gridSpan w:val="2"/>
            <w:vAlign w:val="center"/>
          </w:tcPr>
          <w:p>
            <w:pPr>
              <w:spacing w:line="3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符合国家标准：GB20653-2006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GB20653-2020《防护服装职业用高可视性警示服》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各项指标及要求。专用透气网眼面料和白晶格反光材料。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背面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“重庆高速”，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蓝底白字，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字体为宋体，字号130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，具反光效果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</w:tc>
      </w:tr>
    </w:tbl>
    <w:tbl>
      <w:tblPr>
        <w:tblStyle w:val="28"/>
        <w:tblpPr w:leftFromText="180" w:rightFromText="180" w:vertAnchor="text" w:horzAnchor="page" w:tblpX="1705" w:tblpY="7161"/>
        <w:tblOverlap w:val="never"/>
        <w:tblW w:w="85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3078"/>
        <w:gridCol w:w="41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4" w:hRule="atLeast"/>
        </w:trPr>
        <w:tc>
          <w:tcPr>
            <w:tcW w:w="4342" w:type="dxa"/>
            <w:gridSpan w:val="2"/>
          </w:tcPr>
          <w:p>
            <w:pPr>
              <w:tabs>
                <w:tab w:val="left" w:pos="2281"/>
              </w:tabs>
              <w:jc w:val="center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 w:eastAsia="宋体"/>
                <w:b/>
                <w:lang w:eastAsia="zh-CN"/>
              </w:rPr>
              <w:drawing>
                <wp:inline distT="0" distB="0" distL="114300" distR="114300">
                  <wp:extent cx="2614930" cy="1120140"/>
                  <wp:effectExtent l="0" t="0" r="13970" b="3810"/>
                  <wp:docPr id="9" name="图片 9" descr="频闪灯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频闪灯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>
            <w:pPr>
              <w:tabs>
                <w:tab w:val="left" w:pos="2281"/>
              </w:tabs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23490" cy="1109980"/>
                  <wp:effectExtent l="0" t="0" r="10160" b="13970"/>
                  <wp:docPr id="10" name="图片 10" descr="频闪灯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频闪灯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</w:trPr>
        <w:tc>
          <w:tcPr>
            <w:tcW w:w="4342" w:type="dxa"/>
            <w:gridSpan w:val="2"/>
          </w:tcPr>
          <w:p>
            <w:pPr>
              <w:tabs>
                <w:tab w:val="left" w:pos="2281"/>
              </w:tabs>
              <w:jc w:val="center"/>
              <w:rPr>
                <w:b/>
              </w:rPr>
            </w:pPr>
            <w:r>
              <w:rPr>
                <w:rFonts w:hint="eastAsia"/>
                <w:b/>
              </w:rPr>
              <w:drawing>
                <wp:inline distT="0" distB="0" distL="114300" distR="114300">
                  <wp:extent cx="2550795" cy="1070610"/>
                  <wp:effectExtent l="0" t="0" r="1905" b="15240"/>
                  <wp:docPr id="11" name="图片 30" descr="IMG_20180604_143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0" descr="IMG_20180604_1437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>
            <w:pPr>
              <w:tabs>
                <w:tab w:val="left" w:pos="2281"/>
              </w:tabs>
              <w:jc w:val="center"/>
            </w:pPr>
            <w:r>
              <w:drawing>
                <wp:inline distT="0" distB="0" distL="114300" distR="114300">
                  <wp:extent cx="2213610" cy="1115060"/>
                  <wp:effectExtent l="0" t="0" r="15240" b="889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264" w:type="dxa"/>
            <w:vMerge w:val="restart"/>
            <w:vAlign w:val="center"/>
          </w:tcPr>
          <w:p>
            <w:pPr>
              <w:tabs>
                <w:tab w:val="left" w:pos="2281"/>
              </w:tabs>
              <w:jc w:val="center"/>
            </w:pPr>
            <w:r>
              <w:rPr>
                <w:rFonts w:hint="eastAsia"/>
                <w:b/>
              </w:rPr>
              <w:t>说明</w:t>
            </w:r>
          </w:p>
        </w:tc>
        <w:tc>
          <w:tcPr>
            <w:tcW w:w="7271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爆闪肩灯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264" w:type="dxa"/>
            <w:vMerge w:val="continue"/>
          </w:tcPr>
          <w:p>
            <w:pPr>
              <w:tabs>
                <w:tab w:val="left" w:pos="2281"/>
              </w:tabs>
              <w:jc w:val="left"/>
            </w:pPr>
          </w:p>
        </w:tc>
        <w:tc>
          <w:tcPr>
            <w:tcW w:w="7271" w:type="dxa"/>
            <w:gridSpan w:val="2"/>
            <w:vAlign w:val="center"/>
          </w:tcPr>
          <w:p>
            <w:pPr>
              <w:jc w:val="both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/>
              </w:rPr>
              <w:t>LED爆闪灯光，肩夹可360°旋转，红蓝频闪，白光照明，可充电。</w:t>
            </w:r>
          </w:p>
        </w:tc>
      </w:tr>
    </w:tbl>
    <w:p>
      <w:pPr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             安全防护用品参考样式</w:t>
      </w:r>
    </w:p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tbl>
      <w:tblPr>
        <w:tblStyle w:val="28"/>
        <w:tblpPr w:leftFromText="180" w:rightFromText="180" w:vertAnchor="text" w:horzAnchor="page" w:tblpX="1605" w:tblpY="331"/>
        <w:tblOverlap w:val="never"/>
        <w:tblW w:w="86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2833"/>
        <w:gridCol w:w="2169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0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  <w:t>名称</w:t>
            </w:r>
          </w:p>
        </w:tc>
        <w:tc>
          <w:tcPr>
            <w:tcW w:w="283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  <w:t>品牌</w:t>
            </w:r>
          </w:p>
        </w:tc>
        <w:tc>
          <w:tcPr>
            <w:tcW w:w="216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  <w:t>其他要求</w:t>
            </w:r>
          </w:p>
        </w:tc>
        <w:tc>
          <w:tcPr>
            <w:tcW w:w="217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6"/>
                <w:szCs w:val="26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07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反光背心</w:t>
            </w:r>
          </w:p>
        </w:tc>
        <w:tc>
          <w:tcPr>
            <w:tcW w:w="2833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参考上述图片及要求</w:t>
            </w:r>
          </w:p>
        </w:tc>
        <w:tc>
          <w:tcPr>
            <w:tcW w:w="2169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----</w:t>
            </w:r>
          </w:p>
        </w:tc>
        <w:tc>
          <w:tcPr>
            <w:tcW w:w="217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Cs/>
                <w:sz w:val="26"/>
                <w:szCs w:val="2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07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频闪灯</w:t>
            </w:r>
          </w:p>
        </w:tc>
        <w:tc>
          <w:tcPr>
            <w:tcW w:w="2833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参考上述图片及要求</w:t>
            </w:r>
          </w:p>
        </w:tc>
        <w:tc>
          <w:tcPr>
            <w:tcW w:w="2169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----</w:t>
            </w:r>
          </w:p>
        </w:tc>
        <w:tc>
          <w:tcPr>
            <w:tcW w:w="217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Cs/>
                <w:sz w:val="26"/>
                <w:szCs w:val="2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07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防毒面具</w:t>
            </w:r>
          </w:p>
        </w:tc>
        <w:tc>
          <w:tcPr>
            <w:tcW w:w="2833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----</w:t>
            </w:r>
          </w:p>
        </w:tc>
        <w:tc>
          <w:tcPr>
            <w:tcW w:w="2169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自吸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过滤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式防毒面具 化工消防全面罩</w:t>
            </w:r>
          </w:p>
        </w:tc>
        <w:tc>
          <w:tcPr>
            <w:tcW w:w="217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Cs/>
                <w:sz w:val="26"/>
                <w:szCs w:val="2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07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绝缘手套</w:t>
            </w:r>
          </w:p>
        </w:tc>
        <w:tc>
          <w:tcPr>
            <w:tcW w:w="2833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----</w:t>
            </w:r>
          </w:p>
        </w:tc>
        <w:tc>
          <w:tcPr>
            <w:tcW w:w="2169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35KV高压手套</w:t>
            </w:r>
          </w:p>
        </w:tc>
        <w:tc>
          <w:tcPr>
            <w:tcW w:w="217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Cs/>
                <w:sz w:val="26"/>
                <w:szCs w:val="2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07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绝缘皮鞋</w:t>
            </w:r>
          </w:p>
        </w:tc>
        <w:tc>
          <w:tcPr>
            <w:tcW w:w="2833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-----</w:t>
            </w:r>
          </w:p>
        </w:tc>
        <w:tc>
          <w:tcPr>
            <w:tcW w:w="2169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绝缘鞋电工鞋14kv</w:t>
            </w:r>
          </w:p>
        </w:tc>
        <w:tc>
          <w:tcPr>
            <w:tcW w:w="217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Cs/>
                <w:sz w:val="26"/>
                <w:szCs w:val="2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507" w:type="dxa"/>
            <w:shd w:val="solid" w:color="FFFFFF" w:fill="auto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安全绳</w:t>
            </w:r>
          </w:p>
        </w:tc>
        <w:tc>
          <w:tcPr>
            <w:tcW w:w="2833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-----</w:t>
            </w:r>
          </w:p>
        </w:tc>
        <w:tc>
          <w:tcPr>
            <w:tcW w:w="2169" w:type="dxa"/>
            <w:vAlign w:val="center"/>
          </w:tcPr>
          <w:p>
            <w:pPr>
              <w:shd w:val="solid" w:color="FFFFFF" w:fill="auto"/>
              <w:autoSpaceDN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16mm蚕丝绳</w:t>
            </w:r>
          </w:p>
        </w:tc>
        <w:tc>
          <w:tcPr>
            <w:tcW w:w="217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bCs/>
                <w:sz w:val="26"/>
                <w:szCs w:val="26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pStyle w:val="7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pStyle w:val="7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pStyle w:val="7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pStyle w:val="7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pStyle w:val="7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eastAsia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方正黑体_GBK" w:hAnsi="方正黑体_GBK" w:eastAsia="方正黑体_GBK" w:cs="方正黑体_GBK"/>
          <w:b/>
          <w:sz w:val="32"/>
          <w:szCs w:val="32"/>
          <w:highlight w:val="no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附件3</w:t>
      </w:r>
      <w:r>
        <w:rPr>
          <w:rFonts w:hint="eastAsia" w:ascii="方正黑体_GBK" w:hAnsi="方正黑体_GBK" w:eastAsia="方正黑体_GBK" w:cs="方正黑体_GBK"/>
          <w:b/>
          <w:sz w:val="32"/>
          <w:szCs w:val="32"/>
          <w:highlight w:val="none"/>
          <w:lang w:val="en-US" w:eastAsia="zh-CN"/>
        </w:rPr>
        <w:t>：</w:t>
      </w:r>
    </w:p>
    <w:p>
      <w:pPr>
        <w:topLinePunct/>
        <w:spacing w:line="440" w:lineRule="exact"/>
        <w:ind w:firstLine="643" w:firstLineChars="200"/>
        <w:jc w:val="center"/>
        <w:outlineLvl w:val="2"/>
        <w:rPr>
          <w:rFonts w:hint="eastAsia"/>
          <w:b/>
          <w:sz w:val="32"/>
          <w:szCs w:val="32"/>
        </w:rPr>
      </w:pPr>
      <w:bookmarkStart w:id="0" w:name="_Toc262547329"/>
      <w:r>
        <w:rPr>
          <w:rFonts w:hint="eastAsia"/>
          <w:b/>
          <w:sz w:val="32"/>
          <w:szCs w:val="32"/>
        </w:rPr>
        <w:t>授权委托书</w:t>
      </w:r>
      <w:bookmarkEnd w:id="0"/>
      <w:r>
        <w:rPr>
          <w:b/>
          <w:sz w:val="32"/>
          <w:szCs w:val="32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MingLiU"/>
          <w:kern w:val="0"/>
          <w:sz w:val="12"/>
          <w:szCs w:val="12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hint="eastAsia" w:ascii="宋体" w:hAnsi="宋体" w:cs="MingLiU"/>
          <w:kern w:val="0"/>
          <w:sz w:val="20"/>
          <w:szCs w:val="20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hint="eastAsia" w:ascii="宋体" w:hAnsi="宋体" w:cs="MingLiU"/>
          <w:kern w:val="0"/>
          <w:sz w:val="20"/>
          <w:szCs w:val="20"/>
        </w:rPr>
      </w:pPr>
    </w:p>
    <w:p>
      <w:pPr>
        <w:tabs>
          <w:tab w:val="left" w:pos="182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rPr>
          <w:rFonts w:hint="eastAsia" w:ascii="宋体" w:hAnsi="宋体" w:cs="MingLiU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本人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kern w:val="0"/>
          <w:sz w:val="28"/>
          <w:szCs w:val="28"/>
          <w:u w:val="single"/>
        </w:rPr>
        <w:tab/>
      </w:r>
      <w:r>
        <w:rPr>
          <w:rFonts w:hint="eastAsia" w:ascii="宋体" w:hAnsi="宋体" w:cs="MingLiU"/>
          <w:kern w:val="0"/>
          <w:sz w:val="28"/>
          <w:szCs w:val="28"/>
        </w:rPr>
        <w:t>（姓名）系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kern w:val="0"/>
          <w:sz w:val="28"/>
          <w:szCs w:val="28"/>
          <w:u w:val="single"/>
        </w:rPr>
        <w:tab/>
      </w:r>
      <w:r>
        <w:rPr>
          <w:rFonts w:hint="eastAsia" w:ascii="宋体" w:hAnsi="宋体" w:cs="MingLiU"/>
          <w:kern w:val="0"/>
          <w:sz w:val="28"/>
          <w:szCs w:val="28"/>
        </w:rPr>
        <w:t>（</w:t>
      </w:r>
      <w:r>
        <w:rPr>
          <w:rFonts w:hint="eastAsia" w:ascii="宋体" w:hAnsi="宋体" w:cs="MingLiU"/>
          <w:spacing w:val="-1"/>
          <w:kern w:val="0"/>
          <w:sz w:val="28"/>
          <w:szCs w:val="28"/>
        </w:rPr>
        <w:t>投</w:t>
      </w:r>
      <w:r>
        <w:rPr>
          <w:rFonts w:hint="eastAsia" w:ascii="宋体" w:hAnsi="宋体" w:cs="MingLiU"/>
          <w:kern w:val="0"/>
          <w:sz w:val="28"/>
          <w:szCs w:val="28"/>
        </w:rPr>
        <w:t>标人名称</w:t>
      </w:r>
      <w:r>
        <w:rPr>
          <w:rFonts w:hint="eastAsia" w:ascii="宋体" w:hAnsi="宋体" w:cs="MingLiU"/>
          <w:spacing w:val="1"/>
          <w:kern w:val="0"/>
          <w:sz w:val="28"/>
          <w:szCs w:val="28"/>
        </w:rPr>
        <w:t>）</w:t>
      </w:r>
      <w:r>
        <w:rPr>
          <w:rFonts w:hint="eastAsia" w:ascii="宋体" w:hAnsi="宋体" w:cs="MingLiU"/>
          <w:kern w:val="0"/>
          <w:sz w:val="28"/>
          <w:szCs w:val="28"/>
        </w:rPr>
        <w:t>的法定代</w:t>
      </w:r>
      <w:r>
        <w:rPr>
          <w:rFonts w:hint="eastAsia" w:ascii="宋体" w:hAnsi="宋体" w:cs="MingLiU"/>
          <w:spacing w:val="1"/>
          <w:kern w:val="0"/>
          <w:sz w:val="28"/>
          <w:szCs w:val="28"/>
        </w:rPr>
        <w:t>表</w:t>
      </w:r>
      <w:r>
        <w:rPr>
          <w:rFonts w:hint="eastAsia" w:ascii="宋体" w:hAnsi="宋体" w:cs="MingLiU"/>
          <w:kern w:val="0"/>
          <w:sz w:val="28"/>
          <w:szCs w:val="28"/>
        </w:rPr>
        <w:t>人，现委托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 </w:t>
      </w:r>
      <w:r>
        <w:rPr>
          <w:rFonts w:hint="eastAsia" w:ascii="宋体" w:hAnsi="宋体" w:cs="MingLiU"/>
          <w:kern w:val="0"/>
          <w:sz w:val="28"/>
          <w:szCs w:val="28"/>
        </w:rPr>
        <w:t>（姓</w:t>
      </w:r>
      <w:r>
        <w:rPr>
          <w:rFonts w:hint="eastAsia" w:ascii="宋体" w:hAnsi="宋体"/>
          <w:kern w:val="0"/>
          <w:sz w:val="28"/>
          <w:szCs w:val="28"/>
        </w:rPr>
        <w:t xml:space="preserve"> </w:t>
      </w:r>
      <w:r>
        <w:rPr>
          <w:rFonts w:hint="eastAsia" w:ascii="宋体" w:hAnsi="宋体" w:cs="MingLiU"/>
          <w:kern w:val="0"/>
          <w:sz w:val="28"/>
          <w:szCs w:val="28"/>
        </w:rPr>
        <w:t>名）为我方代理人。代理人根据授权，以我方名义签署、澄清、说明、补正、递交、撤回、修改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 </w:t>
      </w:r>
      <w:r>
        <w:rPr>
          <w:rFonts w:hint="eastAsia" w:ascii="宋体" w:hAnsi="宋体" w:cs="MingLiU"/>
          <w:kern w:val="0"/>
          <w:sz w:val="28"/>
          <w:szCs w:val="28"/>
        </w:rPr>
        <w:t>（项</w:t>
      </w:r>
      <w:r>
        <w:rPr>
          <w:rFonts w:hint="eastAsia" w:ascii="宋体" w:hAnsi="宋体" w:cs="MingLiU"/>
          <w:spacing w:val="-1"/>
          <w:kern w:val="0"/>
          <w:sz w:val="28"/>
          <w:szCs w:val="28"/>
        </w:rPr>
        <w:t>目</w:t>
      </w:r>
      <w:r>
        <w:rPr>
          <w:rFonts w:hint="eastAsia" w:ascii="宋体" w:hAnsi="宋体" w:cs="MingLiU"/>
          <w:kern w:val="0"/>
          <w:sz w:val="28"/>
          <w:szCs w:val="28"/>
        </w:rPr>
        <w:t>名称）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   </w:t>
      </w:r>
      <w:r>
        <w:rPr>
          <w:rFonts w:hint="eastAsia" w:ascii="宋体" w:hAnsi="宋体" w:cs="MingLiU"/>
          <w:kern w:val="0"/>
          <w:sz w:val="28"/>
          <w:szCs w:val="28"/>
        </w:rPr>
        <w:t>报价文件、签订合同和处理有关事宜，</w:t>
      </w:r>
      <w:r>
        <w:rPr>
          <w:rFonts w:hint="eastAsia" w:ascii="宋体" w:hAnsi="宋体"/>
          <w:kern w:val="0"/>
          <w:sz w:val="28"/>
          <w:szCs w:val="28"/>
        </w:rPr>
        <w:t xml:space="preserve"> </w:t>
      </w:r>
      <w:r>
        <w:rPr>
          <w:rFonts w:hint="eastAsia" w:ascii="宋体" w:hAnsi="宋体" w:cs="MingLiU"/>
          <w:kern w:val="0"/>
          <w:sz w:val="28"/>
          <w:szCs w:val="28"/>
        </w:rPr>
        <w:t>其法律后果由我方承担。</w:t>
      </w: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委托</w:t>
      </w:r>
      <w:r>
        <w:rPr>
          <w:rFonts w:hint="eastAsia" w:ascii="宋体" w:hAnsi="宋体" w:cs="MingLiU"/>
          <w:spacing w:val="-1"/>
          <w:kern w:val="0"/>
          <w:sz w:val="28"/>
          <w:szCs w:val="28"/>
        </w:rPr>
        <w:t>期</w:t>
      </w:r>
      <w:r>
        <w:rPr>
          <w:rFonts w:hint="eastAsia" w:ascii="宋体" w:hAnsi="宋体" w:cs="MingLiU"/>
          <w:kern w:val="0"/>
          <w:sz w:val="28"/>
          <w:szCs w:val="28"/>
        </w:rPr>
        <w:t>限：</w:t>
      </w:r>
      <w:r>
        <w:rPr>
          <w:rFonts w:hint="eastAsia" w:ascii="宋体" w:hAnsi="宋体" w:cs="MingLiU"/>
          <w:w w:val="200"/>
          <w:kern w:val="0"/>
          <w:sz w:val="28"/>
          <w:szCs w:val="28"/>
        </w:rPr>
        <w:t xml:space="preserve"> </w:t>
      </w:r>
      <w:r>
        <w:rPr>
          <w:rFonts w:hint="eastAsia" w:ascii="宋体" w:hAnsi="宋体" w:cs="MingLiU"/>
          <w:kern w:val="0"/>
          <w:sz w:val="28"/>
          <w:szCs w:val="28"/>
          <w:u w:val="single"/>
        </w:rPr>
        <w:t xml:space="preserve"> 20</w:t>
      </w:r>
      <w:r>
        <w:rPr>
          <w:rFonts w:hint="eastAsia" w:ascii="宋体" w:hAnsi="宋体" w:cs="MingLiU"/>
          <w:kern w:val="0"/>
          <w:sz w:val="28"/>
          <w:szCs w:val="28"/>
          <w:u w:val="single"/>
          <w:lang w:val="en-US" w:eastAsia="zh-CN"/>
        </w:rPr>
        <w:t>21</w:t>
      </w:r>
      <w:r>
        <w:rPr>
          <w:rFonts w:hint="eastAsia" w:ascii="宋体" w:hAnsi="宋体" w:cs="MingLiU"/>
          <w:kern w:val="0"/>
          <w:sz w:val="28"/>
          <w:szCs w:val="28"/>
          <w:u w:val="single"/>
        </w:rPr>
        <w:t xml:space="preserve"> 年  月  日至20</w:t>
      </w:r>
      <w:r>
        <w:rPr>
          <w:rFonts w:hint="eastAsia" w:ascii="宋体" w:hAnsi="宋体" w:cs="MingLiU"/>
          <w:kern w:val="0"/>
          <w:sz w:val="28"/>
          <w:szCs w:val="28"/>
          <w:u w:val="single"/>
          <w:lang w:val="en-US" w:eastAsia="zh-CN"/>
        </w:rPr>
        <w:t>21</w:t>
      </w:r>
      <w:r>
        <w:rPr>
          <w:rFonts w:hint="eastAsia" w:ascii="宋体" w:hAnsi="宋体" w:cs="MingLiU"/>
          <w:kern w:val="0"/>
          <w:sz w:val="28"/>
          <w:szCs w:val="28"/>
          <w:u w:val="single"/>
        </w:rPr>
        <w:t xml:space="preserve"> 年  月  日。</w:t>
      </w:r>
      <w:r>
        <w:rPr>
          <w:rFonts w:hint="eastAsia" w:ascii="宋体" w:hAnsi="宋体"/>
          <w:kern w:val="0"/>
          <w:sz w:val="28"/>
          <w:szCs w:val="28"/>
        </w:rPr>
        <w:t xml:space="preserve"> </w:t>
      </w: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rPr>
          <w:rFonts w:hint="eastAsia" w:ascii="宋体" w:hAnsi="宋体" w:cs="MingLiU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代理人无转委托权。</w:t>
      </w:r>
    </w:p>
    <w:p>
      <w:pPr>
        <w:tabs>
          <w:tab w:val="left" w:pos="1680"/>
          <w:tab w:val="left" w:pos="4215"/>
          <w:tab w:val="left" w:pos="4305"/>
          <w:tab w:val="left" w:pos="8000"/>
        </w:tabs>
        <w:autoSpaceDE w:val="0"/>
        <w:autoSpaceDN w:val="0"/>
        <w:adjustRightInd w:val="0"/>
        <w:snapToGrid w:val="0"/>
        <w:spacing w:line="360" w:lineRule="auto"/>
        <w:ind w:firstLine="560" w:firstLineChars="200"/>
        <w:rPr>
          <w:rFonts w:hint="eastAsia" w:ascii="宋体" w:hAnsi="宋体" w:cs="MingLiU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附：法定代表人</w:t>
      </w:r>
      <w:r>
        <w:rPr>
          <w:rFonts w:hint="eastAsia" w:ascii="宋体" w:hAnsi="宋体" w:cs="MingLiU"/>
          <w:kern w:val="0"/>
          <w:sz w:val="28"/>
          <w:szCs w:val="28"/>
          <w:lang w:eastAsia="zh-CN"/>
        </w:rPr>
        <w:t>、委托人</w:t>
      </w:r>
      <w:r>
        <w:rPr>
          <w:rFonts w:hint="eastAsia" w:ascii="宋体" w:hAnsi="宋体" w:cs="MingLiU"/>
          <w:kern w:val="0"/>
          <w:sz w:val="28"/>
          <w:szCs w:val="28"/>
        </w:rPr>
        <w:t>身份证</w:t>
      </w:r>
      <w:r>
        <w:rPr>
          <w:rFonts w:hint="eastAsia" w:ascii="宋体" w:hAnsi="宋体" w:cs="MingLiU"/>
          <w:kern w:val="0"/>
          <w:sz w:val="28"/>
          <w:szCs w:val="28"/>
          <w:lang w:eastAsia="zh-CN"/>
        </w:rPr>
        <w:t>复印件</w:t>
      </w:r>
      <w:r>
        <w:rPr>
          <w:rFonts w:hint="eastAsia" w:ascii="宋体" w:hAnsi="宋体" w:cs="MingLiU"/>
          <w:kern w:val="0"/>
          <w:sz w:val="28"/>
          <w:szCs w:val="28"/>
        </w:rPr>
        <w:t>。</w:t>
      </w:r>
      <w:r>
        <w:rPr>
          <w:rFonts w:hint="eastAsia" w:ascii="宋体" w:hAnsi="宋体" w:cs="MingLiU"/>
          <w:kern w:val="0"/>
          <w:sz w:val="28"/>
          <w:szCs w:val="28"/>
          <w:lang w:eastAsia="zh-CN"/>
        </w:rPr>
        <w:t>（复印件应彩色清晰，无法辨认的按废标处理）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hint="eastAsia" w:ascii="宋体" w:hAnsi="宋体" w:cs="MingLiU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hint="eastAsia" w:ascii="宋体" w:hAnsi="宋体" w:cs="MingLiU"/>
          <w:kern w:val="0"/>
          <w:sz w:val="28"/>
          <w:szCs w:val="28"/>
        </w:rPr>
      </w:pPr>
    </w:p>
    <w:p>
      <w:pPr>
        <w:tabs>
          <w:tab w:val="left" w:pos="4200"/>
          <w:tab w:val="left" w:pos="4620"/>
        </w:tabs>
        <w:autoSpaceDE w:val="0"/>
        <w:autoSpaceDN w:val="0"/>
        <w:adjustRightInd w:val="0"/>
        <w:snapToGrid w:val="0"/>
        <w:spacing w:line="360" w:lineRule="auto"/>
        <w:ind w:firstLine="1694"/>
        <w:jc w:val="left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投  标  人：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cs="MingLiU"/>
          <w:kern w:val="0"/>
          <w:sz w:val="28"/>
          <w:szCs w:val="28"/>
        </w:rPr>
        <w:t>（</w:t>
      </w:r>
      <w:r>
        <w:rPr>
          <w:rFonts w:hint="eastAsia" w:ascii="宋体" w:hAnsi="宋体" w:cs="MingLiU"/>
          <w:spacing w:val="-1"/>
          <w:kern w:val="0"/>
          <w:sz w:val="28"/>
          <w:szCs w:val="28"/>
        </w:rPr>
        <w:t>盖</w:t>
      </w:r>
      <w:r>
        <w:rPr>
          <w:rFonts w:hint="eastAsia" w:ascii="宋体" w:hAnsi="宋体" w:cs="MingLiU"/>
          <w:kern w:val="0"/>
          <w:sz w:val="28"/>
          <w:szCs w:val="28"/>
        </w:rPr>
        <w:t>单位公章）</w:t>
      </w:r>
      <w:r>
        <w:rPr>
          <w:rFonts w:hint="eastAsia" w:ascii="宋体" w:hAnsi="宋体"/>
          <w:kern w:val="0"/>
          <w:sz w:val="28"/>
          <w:szCs w:val="28"/>
        </w:rPr>
        <w:t xml:space="preserve"> </w:t>
      </w:r>
    </w:p>
    <w:p>
      <w:pPr>
        <w:tabs>
          <w:tab w:val="left" w:pos="6300"/>
        </w:tabs>
        <w:autoSpaceDE w:val="0"/>
        <w:autoSpaceDN w:val="0"/>
        <w:adjustRightInd w:val="0"/>
        <w:snapToGrid w:val="0"/>
        <w:spacing w:line="360" w:lineRule="auto"/>
        <w:ind w:firstLine="1680"/>
        <w:jc w:val="left"/>
        <w:rPr>
          <w:rFonts w:hint="eastAsia" w:ascii="宋体" w:hAnsi="宋体" w:cs="MingLiU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法定代表人：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kern w:val="0"/>
          <w:sz w:val="28"/>
          <w:szCs w:val="28"/>
          <w:u w:val="single"/>
        </w:rPr>
        <w:tab/>
      </w:r>
      <w:r>
        <w:rPr>
          <w:rFonts w:hint="eastAsia" w:ascii="宋体" w:hAnsi="宋体"/>
          <w:kern w:val="0"/>
          <w:sz w:val="28"/>
          <w:szCs w:val="28"/>
          <w:u w:val="single"/>
        </w:rPr>
        <w:tab/>
      </w:r>
      <w:r>
        <w:rPr>
          <w:rFonts w:hint="eastAsia" w:ascii="宋体" w:hAnsi="宋体" w:cs="MingLiU"/>
          <w:kern w:val="0"/>
          <w:sz w:val="28"/>
          <w:szCs w:val="28"/>
        </w:rPr>
        <w:t>（签字）</w:t>
      </w:r>
    </w:p>
    <w:p>
      <w:pPr>
        <w:tabs>
          <w:tab w:val="left" w:pos="5260"/>
        </w:tabs>
        <w:autoSpaceDE w:val="0"/>
        <w:autoSpaceDN w:val="0"/>
        <w:adjustRightInd w:val="0"/>
        <w:snapToGrid w:val="0"/>
        <w:spacing w:line="360" w:lineRule="auto"/>
        <w:ind w:firstLine="1680"/>
        <w:jc w:val="left"/>
        <w:rPr>
          <w:rFonts w:hint="eastAsia" w:ascii="宋体" w:hAnsi="宋体" w:cs="MingLiU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身份证号码：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           </w:t>
      </w:r>
    </w:p>
    <w:p>
      <w:pPr>
        <w:tabs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1680"/>
        <w:jc w:val="left"/>
        <w:rPr>
          <w:rFonts w:hint="eastAsia" w:ascii="宋体" w:hAnsi="宋体" w:cs="MingLiU"/>
          <w:kern w:val="0"/>
          <w:sz w:val="28"/>
          <w:szCs w:val="28"/>
        </w:rPr>
      </w:pPr>
      <w:r>
        <w:rPr>
          <w:rFonts w:hint="eastAsia" w:ascii="宋体" w:hAnsi="宋体" w:cs="MingLiU"/>
          <w:kern w:val="0"/>
          <w:sz w:val="28"/>
          <w:szCs w:val="28"/>
        </w:rPr>
        <w:t>委托代理人：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kern w:val="0"/>
          <w:sz w:val="28"/>
          <w:szCs w:val="28"/>
          <w:u w:val="single"/>
        </w:rPr>
        <w:tab/>
      </w:r>
      <w:r>
        <w:rPr>
          <w:rFonts w:hint="eastAsia" w:ascii="宋体" w:hAnsi="宋体" w:cs="MingLiU"/>
          <w:kern w:val="0"/>
          <w:sz w:val="28"/>
          <w:szCs w:val="28"/>
        </w:rPr>
        <w:t>（签</w:t>
      </w:r>
      <w:r>
        <w:rPr>
          <w:rFonts w:hint="eastAsia" w:ascii="宋体" w:hAnsi="宋体" w:cs="MingLiU"/>
          <w:spacing w:val="-1"/>
          <w:kern w:val="0"/>
          <w:sz w:val="28"/>
          <w:szCs w:val="28"/>
        </w:rPr>
        <w:t>字</w:t>
      </w:r>
      <w:r>
        <w:rPr>
          <w:rFonts w:hint="eastAsia" w:ascii="宋体" w:hAnsi="宋体" w:cs="MingLiU"/>
          <w:kern w:val="0"/>
          <w:sz w:val="28"/>
          <w:szCs w:val="28"/>
        </w:rPr>
        <w:t>）</w:t>
      </w:r>
    </w:p>
    <w:p>
      <w:pPr>
        <w:tabs>
          <w:tab w:val="left" w:pos="6825"/>
        </w:tabs>
        <w:autoSpaceDE w:val="0"/>
        <w:autoSpaceDN w:val="0"/>
        <w:adjustRightInd w:val="0"/>
        <w:snapToGrid w:val="0"/>
        <w:spacing w:line="360" w:lineRule="auto"/>
        <w:ind w:firstLine="1680"/>
        <w:jc w:val="left"/>
        <w:rPr>
          <w:rFonts w:hint="eastAsia" w:ascii="宋体" w:hAnsi="宋体" w:cs="MingLiU"/>
          <w:kern w:val="0"/>
          <w:szCs w:val="21"/>
        </w:rPr>
      </w:pPr>
      <w:r>
        <w:rPr>
          <w:rFonts w:hint="eastAsia" w:ascii="宋体" w:hAnsi="宋体" w:cs="MingLiU"/>
          <w:kern w:val="0"/>
          <w:sz w:val="28"/>
          <w:szCs w:val="28"/>
        </w:rPr>
        <w:t>身份证号码：</w:t>
      </w:r>
      <w:r>
        <w:rPr>
          <w:rFonts w:hint="eastAsia" w:ascii="宋体" w:hAnsi="宋体" w:cs="MingLiU"/>
          <w:w w:val="20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kern w:val="0"/>
          <w:sz w:val="28"/>
          <w:szCs w:val="28"/>
          <w:u w:val="single"/>
        </w:rPr>
        <w:tab/>
      </w:r>
    </w:p>
    <w:p>
      <w:pPr>
        <w:spacing w:line="360" w:lineRule="auto"/>
        <w:rPr>
          <w:rFonts w:hint="eastAsia" w:ascii="宋体" w:hAnsi="宋体" w:eastAsia="宋体" w:cs="宋体"/>
          <w:sz w:val="30"/>
          <w:szCs w:val="30"/>
        </w:rPr>
      </w:pPr>
    </w:p>
    <w:p>
      <w:pPr>
        <w:spacing w:line="360" w:lineRule="auto"/>
        <w:ind w:right="40"/>
        <w:rPr>
          <w:rFonts w:hint="eastAsia" w:ascii="宋体" w:hAnsi="宋体"/>
          <w:color w:val="000000"/>
          <w:sz w:val="24"/>
        </w:rPr>
      </w:pPr>
    </w:p>
    <w:p>
      <w:pPr>
        <w:tabs>
          <w:tab w:val="left" w:pos="2281"/>
        </w:tabs>
        <w:jc w:val="left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sectPr>
      <w:headerReference r:id="rId3" w:type="default"/>
      <w:pgSz w:w="11906" w:h="16838"/>
      <w:pgMar w:top="1984" w:right="1474" w:bottom="1701" w:left="1474" w:header="851" w:footer="992" w:gutter="0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MingLiU">
    <w:altName w:val="PMingLiU-ExtB"/>
    <w:panose1 w:val="02020509000000000000"/>
    <w:charset w:val="88"/>
    <w:family w:val="roman"/>
    <w:pitch w:val="default"/>
    <w:sig w:usb0="00000000" w:usb1="00000000" w:usb2="00000016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2E4B90"/>
    <w:rsid w:val="0006346F"/>
    <w:rsid w:val="00094CD7"/>
    <w:rsid w:val="000F1C90"/>
    <w:rsid w:val="001118E7"/>
    <w:rsid w:val="00153E75"/>
    <w:rsid w:val="0016454C"/>
    <w:rsid w:val="001C2AD9"/>
    <w:rsid w:val="002D2BF7"/>
    <w:rsid w:val="00406D6B"/>
    <w:rsid w:val="00421B47"/>
    <w:rsid w:val="004313A7"/>
    <w:rsid w:val="004A3D67"/>
    <w:rsid w:val="00594469"/>
    <w:rsid w:val="005E23D8"/>
    <w:rsid w:val="00622A7C"/>
    <w:rsid w:val="00693F2E"/>
    <w:rsid w:val="006A7069"/>
    <w:rsid w:val="006E2CD5"/>
    <w:rsid w:val="00785095"/>
    <w:rsid w:val="00897323"/>
    <w:rsid w:val="009075B4"/>
    <w:rsid w:val="009C331D"/>
    <w:rsid w:val="00A23263"/>
    <w:rsid w:val="00A84121"/>
    <w:rsid w:val="00AE6B47"/>
    <w:rsid w:val="00B00BF1"/>
    <w:rsid w:val="00BC2BBE"/>
    <w:rsid w:val="00D641AB"/>
    <w:rsid w:val="00E1400A"/>
    <w:rsid w:val="00EB22E1"/>
    <w:rsid w:val="00EC6E69"/>
    <w:rsid w:val="00EC7CB7"/>
    <w:rsid w:val="00F5671F"/>
    <w:rsid w:val="00F87157"/>
    <w:rsid w:val="00FB51EF"/>
    <w:rsid w:val="00FC7D59"/>
    <w:rsid w:val="01040A26"/>
    <w:rsid w:val="012A08B6"/>
    <w:rsid w:val="01C02AB1"/>
    <w:rsid w:val="01EC3108"/>
    <w:rsid w:val="026D5E69"/>
    <w:rsid w:val="035A5AF2"/>
    <w:rsid w:val="03C4116F"/>
    <w:rsid w:val="042C6BB5"/>
    <w:rsid w:val="045B0252"/>
    <w:rsid w:val="051B3C1A"/>
    <w:rsid w:val="0546027B"/>
    <w:rsid w:val="05535069"/>
    <w:rsid w:val="05822479"/>
    <w:rsid w:val="05CB0EC8"/>
    <w:rsid w:val="06387E1A"/>
    <w:rsid w:val="063C0215"/>
    <w:rsid w:val="0651217F"/>
    <w:rsid w:val="0669788B"/>
    <w:rsid w:val="067E17CC"/>
    <w:rsid w:val="06B959A0"/>
    <w:rsid w:val="06E34DF8"/>
    <w:rsid w:val="071D1150"/>
    <w:rsid w:val="078550F1"/>
    <w:rsid w:val="080A38F9"/>
    <w:rsid w:val="082F7190"/>
    <w:rsid w:val="086A07C4"/>
    <w:rsid w:val="08720C86"/>
    <w:rsid w:val="08AA4D5C"/>
    <w:rsid w:val="08F6442E"/>
    <w:rsid w:val="09266556"/>
    <w:rsid w:val="097A7FCA"/>
    <w:rsid w:val="098E1C75"/>
    <w:rsid w:val="09A351FE"/>
    <w:rsid w:val="09B44319"/>
    <w:rsid w:val="0A05661F"/>
    <w:rsid w:val="0A0D5A82"/>
    <w:rsid w:val="0A7C0D4A"/>
    <w:rsid w:val="0A861165"/>
    <w:rsid w:val="0AE110AC"/>
    <w:rsid w:val="0B0D250B"/>
    <w:rsid w:val="0B4F6422"/>
    <w:rsid w:val="0BA47F2E"/>
    <w:rsid w:val="0BB26564"/>
    <w:rsid w:val="0BB42020"/>
    <w:rsid w:val="0C3B4104"/>
    <w:rsid w:val="0CCF3669"/>
    <w:rsid w:val="0CE67123"/>
    <w:rsid w:val="0CFE631A"/>
    <w:rsid w:val="0D08058E"/>
    <w:rsid w:val="0E025A2D"/>
    <w:rsid w:val="0E2E4611"/>
    <w:rsid w:val="0E4449E1"/>
    <w:rsid w:val="0EBE4DFC"/>
    <w:rsid w:val="0ECD3E91"/>
    <w:rsid w:val="0EFD22FA"/>
    <w:rsid w:val="0EFF11A0"/>
    <w:rsid w:val="0F1241E9"/>
    <w:rsid w:val="0F5C4C8D"/>
    <w:rsid w:val="0FAD5827"/>
    <w:rsid w:val="0FD8409D"/>
    <w:rsid w:val="101A1954"/>
    <w:rsid w:val="10660B2F"/>
    <w:rsid w:val="10D70EC2"/>
    <w:rsid w:val="10EF6D9D"/>
    <w:rsid w:val="111374D5"/>
    <w:rsid w:val="113E63EF"/>
    <w:rsid w:val="116229BD"/>
    <w:rsid w:val="11D26ACF"/>
    <w:rsid w:val="11D47B57"/>
    <w:rsid w:val="126F2374"/>
    <w:rsid w:val="127A7D3A"/>
    <w:rsid w:val="128A448F"/>
    <w:rsid w:val="12BC097D"/>
    <w:rsid w:val="130E3248"/>
    <w:rsid w:val="133442A1"/>
    <w:rsid w:val="13592A04"/>
    <w:rsid w:val="139127E8"/>
    <w:rsid w:val="13FA62F2"/>
    <w:rsid w:val="14034AF3"/>
    <w:rsid w:val="14471D7A"/>
    <w:rsid w:val="146636C8"/>
    <w:rsid w:val="149F15E3"/>
    <w:rsid w:val="14A41F65"/>
    <w:rsid w:val="14C00DCF"/>
    <w:rsid w:val="14DC59E7"/>
    <w:rsid w:val="14F34C6E"/>
    <w:rsid w:val="152B4828"/>
    <w:rsid w:val="15307DBD"/>
    <w:rsid w:val="158D5EE5"/>
    <w:rsid w:val="15A81FCF"/>
    <w:rsid w:val="15B72BCC"/>
    <w:rsid w:val="15F77B52"/>
    <w:rsid w:val="160E1B87"/>
    <w:rsid w:val="16CA75D8"/>
    <w:rsid w:val="16F8582F"/>
    <w:rsid w:val="16FB3D83"/>
    <w:rsid w:val="17B234B1"/>
    <w:rsid w:val="189E2048"/>
    <w:rsid w:val="18D566E7"/>
    <w:rsid w:val="18EB1786"/>
    <w:rsid w:val="19287B4A"/>
    <w:rsid w:val="19414809"/>
    <w:rsid w:val="19593046"/>
    <w:rsid w:val="19B92018"/>
    <w:rsid w:val="19C21F63"/>
    <w:rsid w:val="19DC466D"/>
    <w:rsid w:val="19F80522"/>
    <w:rsid w:val="19FE02AF"/>
    <w:rsid w:val="1A2C7D87"/>
    <w:rsid w:val="1A587BE3"/>
    <w:rsid w:val="1A99535E"/>
    <w:rsid w:val="1ADA6EDF"/>
    <w:rsid w:val="1AF53794"/>
    <w:rsid w:val="1B0B260F"/>
    <w:rsid w:val="1B5641BA"/>
    <w:rsid w:val="1B757968"/>
    <w:rsid w:val="1BE16DF2"/>
    <w:rsid w:val="1C586E9E"/>
    <w:rsid w:val="1C720E2C"/>
    <w:rsid w:val="1C780273"/>
    <w:rsid w:val="1C8E020A"/>
    <w:rsid w:val="1D1678F9"/>
    <w:rsid w:val="1D350DD8"/>
    <w:rsid w:val="1D53320E"/>
    <w:rsid w:val="1D7C2F38"/>
    <w:rsid w:val="1DE40365"/>
    <w:rsid w:val="1DF126AC"/>
    <w:rsid w:val="1E152927"/>
    <w:rsid w:val="1E3437BF"/>
    <w:rsid w:val="1E34726E"/>
    <w:rsid w:val="1E5B76D1"/>
    <w:rsid w:val="1E602C77"/>
    <w:rsid w:val="1EC524DE"/>
    <w:rsid w:val="1F223FAD"/>
    <w:rsid w:val="1F606DC1"/>
    <w:rsid w:val="1F8C1C23"/>
    <w:rsid w:val="2020795E"/>
    <w:rsid w:val="20233995"/>
    <w:rsid w:val="20543C25"/>
    <w:rsid w:val="207C6F2A"/>
    <w:rsid w:val="209A5017"/>
    <w:rsid w:val="20DA53A8"/>
    <w:rsid w:val="20F060D3"/>
    <w:rsid w:val="21025BFC"/>
    <w:rsid w:val="21173D30"/>
    <w:rsid w:val="216C6806"/>
    <w:rsid w:val="217A7FC6"/>
    <w:rsid w:val="217B7FF8"/>
    <w:rsid w:val="220B109D"/>
    <w:rsid w:val="221E1F6F"/>
    <w:rsid w:val="22847FC4"/>
    <w:rsid w:val="22EE3ADE"/>
    <w:rsid w:val="235D3426"/>
    <w:rsid w:val="24137A8A"/>
    <w:rsid w:val="242A29E1"/>
    <w:rsid w:val="2451539F"/>
    <w:rsid w:val="24931231"/>
    <w:rsid w:val="251E2199"/>
    <w:rsid w:val="252939AD"/>
    <w:rsid w:val="25503BEA"/>
    <w:rsid w:val="25714B55"/>
    <w:rsid w:val="257A79E4"/>
    <w:rsid w:val="2604567A"/>
    <w:rsid w:val="264B46B7"/>
    <w:rsid w:val="268377C3"/>
    <w:rsid w:val="26A60508"/>
    <w:rsid w:val="26BA039C"/>
    <w:rsid w:val="27210A15"/>
    <w:rsid w:val="272904F1"/>
    <w:rsid w:val="27CF1794"/>
    <w:rsid w:val="27D71516"/>
    <w:rsid w:val="280A04CA"/>
    <w:rsid w:val="283678B3"/>
    <w:rsid w:val="28CD3601"/>
    <w:rsid w:val="2937467C"/>
    <w:rsid w:val="29630168"/>
    <w:rsid w:val="299A41DB"/>
    <w:rsid w:val="29D07349"/>
    <w:rsid w:val="2A53214B"/>
    <w:rsid w:val="2ABE612E"/>
    <w:rsid w:val="2AC33BC4"/>
    <w:rsid w:val="2AEA48B1"/>
    <w:rsid w:val="2AEF6C82"/>
    <w:rsid w:val="2B016765"/>
    <w:rsid w:val="2B1C62C5"/>
    <w:rsid w:val="2B43490A"/>
    <w:rsid w:val="2B621B2F"/>
    <w:rsid w:val="2BC16FED"/>
    <w:rsid w:val="2BD37415"/>
    <w:rsid w:val="2C5048F5"/>
    <w:rsid w:val="2C8A76C8"/>
    <w:rsid w:val="2CB30F08"/>
    <w:rsid w:val="2D632E6E"/>
    <w:rsid w:val="2D7A5D3E"/>
    <w:rsid w:val="2DBE36B4"/>
    <w:rsid w:val="2DCA7360"/>
    <w:rsid w:val="2E012BDC"/>
    <w:rsid w:val="2E334270"/>
    <w:rsid w:val="2E371BB1"/>
    <w:rsid w:val="2E48476B"/>
    <w:rsid w:val="2E6D36A2"/>
    <w:rsid w:val="2E8449AB"/>
    <w:rsid w:val="2ECC2176"/>
    <w:rsid w:val="2F340E09"/>
    <w:rsid w:val="2FC74F53"/>
    <w:rsid w:val="2FC978DA"/>
    <w:rsid w:val="307A2288"/>
    <w:rsid w:val="30AE1E37"/>
    <w:rsid w:val="3135232B"/>
    <w:rsid w:val="31842E8A"/>
    <w:rsid w:val="31BA182D"/>
    <w:rsid w:val="32266FC4"/>
    <w:rsid w:val="327949C7"/>
    <w:rsid w:val="32DA66B6"/>
    <w:rsid w:val="32E01DDC"/>
    <w:rsid w:val="32E45E6A"/>
    <w:rsid w:val="330A39BF"/>
    <w:rsid w:val="338C7C06"/>
    <w:rsid w:val="33C33F27"/>
    <w:rsid w:val="33CB238D"/>
    <w:rsid w:val="33E5391E"/>
    <w:rsid w:val="34D1461A"/>
    <w:rsid w:val="35357145"/>
    <w:rsid w:val="35637FD9"/>
    <w:rsid w:val="35686B2D"/>
    <w:rsid w:val="35825A71"/>
    <w:rsid w:val="35937E68"/>
    <w:rsid w:val="35AC5B80"/>
    <w:rsid w:val="3607185F"/>
    <w:rsid w:val="36243F56"/>
    <w:rsid w:val="36386087"/>
    <w:rsid w:val="366C6ABD"/>
    <w:rsid w:val="36B614F8"/>
    <w:rsid w:val="36BA54AE"/>
    <w:rsid w:val="371308F1"/>
    <w:rsid w:val="37502614"/>
    <w:rsid w:val="383D6845"/>
    <w:rsid w:val="385A4C0B"/>
    <w:rsid w:val="38AB37FC"/>
    <w:rsid w:val="392A30AB"/>
    <w:rsid w:val="39410A45"/>
    <w:rsid w:val="394747EB"/>
    <w:rsid w:val="394C6BCC"/>
    <w:rsid w:val="394F2C56"/>
    <w:rsid w:val="3975556D"/>
    <w:rsid w:val="39D1472D"/>
    <w:rsid w:val="3A050CE7"/>
    <w:rsid w:val="3A102198"/>
    <w:rsid w:val="3A232578"/>
    <w:rsid w:val="3A2F3A45"/>
    <w:rsid w:val="3AAB41CE"/>
    <w:rsid w:val="3ACE1C06"/>
    <w:rsid w:val="3AD954D7"/>
    <w:rsid w:val="3AE16FED"/>
    <w:rsid w:val="3B0611E3"/>
    <w:rsid w:val="3B4943A0"/>
    <w:rsid w:val="3BAB1F13"/>
    <w:rsid w:val="3C9F7480"/>
    <w:rsid w:val="3CE956DD"/>
    <w:rsid w:val="3D227FA4"/>
    <w:rsid w:val="3D6000E3"/>
    <w:rsid w:val="3DA04699"/>
    <w:rsid w:val="3DC72517"/>
    <w:rsid w:val="3DCA3063"/>
    <w:rsid w:val="3DD4440C"/>
    <w:rsid w:val="3DD974F9"/>
    <w:rsid w:val="3DFD174D"/>
    <w:rsid w:val="3E1F1548"/>
    <w:rsid w:val="3E2D781F"/>
    <w:rsid w:val="3E425BBA"/>
    <w:rsid w:val="3EB640B3"/>
    <w:rsid w:val="3F2B6DB6"/>
    <w:rsid w:val="3F406B47"/>
    <w:rsid w:val="3F622340"/>
    <w:rsid w:val="3F76764E"/>
    <w:rsid w:val="3FB20A0C"/>
    <w:rsid w:val="3FE46974"/>
    <w:rsid w:val="404B6A84"/>
    <w:rsid w:val="4057308E"/>
    <w:rsid w:val="407C16FB"/>
    <w:rsid w:val="409F6B37"/>
    <w:rsid w:val="40F32B70"/>
    <w:rsid w:val="410160A5"/>
    <w:rsid w:val="41196C97"/>
    <w:rsid w:val="413C0854"/>
    <w:rsid w:val="41802003"/>
    <w:rsid w:val="419044A8"/>
    <w:rsid w:val="42161C04"/>
    <w:rsid w:val="422A7800"/>
    <w:rsid w:val="42CE49DB"/>
    <w:rsid w:val="42F20E6F"/>
    <w:rsid w:val="432273C2"/>
    <w:rsid w:val="43840FBC"/>
    <w:rsid w:val="43A63F33"/>
    <w:rsid w:val="4452079F"/>
    <w:rsid w:val="44BF706F"/>
    <w:rsid w:val="44DA3776"/>
    <w:rsid w:val="450E0E25"/>
    <w:rsid w:val="452F1CED"/>
    <w:rsid w:val="45CA3A70"/>
    <w:rsid w:val="45D46936"/>
    <w:rsid w:val="46555CBB"/>
    <w:rsid w:val="4669151D"/>
    <w:rsid w:val="467559B0"/>
    <w:rsid w:val="469A69CA"/>
    <w:rsid w:val="46E52148"/>
    <w:rsid w:val="47021A15"/>
    <w:rsid w:val="472A1F1D"/>
    <w:rsid w:val="47B15CD1"/>
    <w:rsid w:val="47B9184A"/>
    <w:rsid w:val="47F9268A"/>
    <w:rsid w:val="484C716F"/>
    <w:rsid w:val="485202E0"/>
    <w:rsid w:val="48601910"/>
    <w:rsid w:val="48A0551C"/>
    <w:rsid w:val="48A952CB"/>
    <w:rsid w:val="48E4011E"/>
    <w:rsid w:val="48FF4C16"/>
    <w:rsid w:val="491B3A57"/>
    <w:rsid w:val="49737D1D"/>
    <w:rsid w:val="4A0606CC"/>
    <w:rsid w:val="4A252D1F"/>
    <w:rsid w:val="4A2670DF"/>
    <w:rsid w:val="4A7C1E5D"/>
    <w:rsid w:val="4A87393F"/>
    <w:rsid w:val="4A9D6C3F"/>
    <w:rsid w:val="4AB705AE"/>
    <w:rsid w:val="4AD0135F"/>
    <w:rsid w:val="4B2A2406"/>
    <w:rsid w:val="4C7E3AA3"/>
    <w:rsid w:val="4C8620BB"/>
    <w:rsid w:val="4D2A6E53"/>
    <w:rsid w:val="4DC773FE"/>
    <w:rsid w:val="4E235FF4"/>
    <w:rsid w:val="4E2D199C"/>
    <w:rsid w:val="4E535618"/>
    <w:rsid w:val="4E8D7DC1"/>
    <w:rsid w:val="4EC15C28"/>
    <w:rsid w:val="4ED50C6C"/>
    <w:rsid w:val="4ED95E7D"/>
    <w:rsid w:val="4EE854AD"/>
    <w:rsid w:val="4F193686"/>
    <w:rsid w:val="4F695A97"/>
    <w:rsid w:val="4F7D662C"/>
    <w:rsid w:val="4FAE3AC2"/>
    <w:rsid w:val="4FAE5D0F"/>
    <w:rsid w:val="4FBB7FCB"/>
    <w:rsid w:val="4FCD3DF5"/>
    <w:rsid w:val="4FD41477"/>
    <w:rsid w:val="50143C13"/>
    <w:rsid w:val="50541BEC"/>
    <w:rsid w:val="506A7C36"/>
    <w:rsid w:val="517B4814"/>
    <w:rsid w:val="518E2309"/>
    <w:rsid w:val="519F6AF3"/>
    <w:rsid w:val="51D67972"/>
    <w:rsid w:val="52226CAC"/>
    <w:rsid w:val="522976B2"/>
    <w:rsid w:val="525652C2"/>
    <w:rsid w:val="52A87419"/>
    <w:rsid w:val="52B315F0"/>
    <w:rsid w:val="52B46DE1"/>
    <w:rsid w:val="53116F90"/>
    <w:rsid w:val="531E1939"/>
    <w:rsid w:val="534646DA"/>
    <w:rsid w:val="5385106D"/>
    <w:rsid w:val="53A82E14"/>
    <w:rsid w:val="53BF038C"/>
    <w:rsid w:val="5459631E"/>
    <w:rsid w:val="5491645D"/>
    <w:rsid w:val="54985D7F"/>
    <w:rsid w:val="54E70C4C"/>
    <w:rsid w:val="55F15044"/>
    <w:rsid w:val="56426165"/>
    <w:rsid w:val="565952CE"/>
    <w:rsid w:val="57180BF6"/>
    <w:rsid w:val="57712CA6"/>
    <w:rsid w:val="579A7C8A"/>
    <w:rsid w:val="57AC68DC"/>
    <w:rsid w:val="57E33896"/>
    <w:rsid w:val="583F39C1"/>
    <w:rsid w:val="58530F44"/>
    <w:rsid w:val="58A7160E"/>
    <w:rsid w:val="58AC7E27"/>
    <w:rsid w:val="58DD30B1"/>
    <w:rsid w:val="590442D0"/>
    <w:rsid w:val="590862DD"/>
    <w:rsid w:val="591C3628"/>
    <w:rsid w:val="5921109C"/>
    <w:rsid w:val="593C3CB8"/>
    <w:rsid w:val="594930A5"/>
    <w:rsid w:val="59C56308"/>
    <w:rsid w:val="59DA043B"/>
    <w:rsid w:val="5A363F11"/>
    <w:rsid w:val="5A4B50D2"/>
    <w:rsid w:val="5AAA10D8"/>
    <w:rsid w:val="5B262619"/>
    <w:rsid w:val="5B4419E6"/>
    <w:rsid w:val="5B5E76FD"/>
    <w:rsid w:val="5B671C26"/>
    <w:rsid w:val="5BA82A8C"/>
    <w:rsid w:val="5BAF698E"/>
    <w:rsid w:val="5BC03FA8"/>
    <w:rsid w:val="5BCD337D"/>
    <w:rsid w:val="5BE8424E"/>
    <w:rsid w:val="5C626FAA"/>
    <w:rsid w:val="5CBA42DC"/>
    <w:rsid w:val="5CC032D2"/>
    <w:rsid w:val="5CEA0754"/>
    <w:rsid w:val="5CF52BDA"/>
    <w:rsid w:val="5D0810BD"/>
    <w:rsid w:val="5D0E347B"/>
    <w:rsid w:val="5D115ADD"/>
    <w:rsid w:val="5D2C5E40"/>
    <w:rsid w:val="5D68371E"/>
    <w:rsid w:val="5D987026"/>
    <w:rsid w:val="5D9C7246"/>
    <w:rsid w:val="5DED0C99"/>
    <w:rsid w:val="5E0A1E91"/>
    <w:rsid w:val="5E1171CD"/>
    <w:rsid w:val="5E2829C2"/>
    <w:rsid w:val="5E44610E"/>
    <w:rsid w:val="5EB62168"/>
    <w:rsid w:val="5F20634F"/>
    <w:rsid w:val="5F532ED1"/>
    <w:rsid w:val="5FDA27F8"/>
    <w:rsid w:val="5FE12692"/>
    <w:rsid w:val="60475129"/>
    <w:rsid w:val="604B704C"/>
    <w:rsid w:val="60581854"/>
    <w:rsid w:val="609E1AA5"/>
    <w:rsid w:val="61623ED9"/>
    <w:rsid w:val="6191303A"/>
    <w:rsid w:val="619714D9"/>
    <w:rsid w:val="622E4B90"/>
    <w:rsid w:val="6273169F"/>
    <w:rsid w:val="627C4C61"/>
    <w:rsid w:val="62F64869"/>
    <w:rsid w:val="6330588F"/>
    <w:rsid w:val="63503B9F"/>
    <w:rsid w:val="636D3F3D"/>
    <w:rsid w:val="63756D1C"/>
    <w:rsid w:val="640478A5"/>
    <w:rsid w:val="640E20FF"/>
    <w:rsid w:val="64C609AA"/>
    <w:rsid w:val="64FD455C"/>
    <w:rsid w:val="654A6B71"/>
    <w:rsid w:val="65676584"/>
    <w:rsid w:val="65B755A7"/>
    <w:rsid w:val="65F369EF"/>
    <w:rsid w:val="669E1E92"/>
    <w:rsid w:val="66A56B68"/>
    <w:rsid w:val="670B503C"/>
    <w:rsid w:val="67414327"/>
    <w:rsid w:val="678D009B"/>
    <w:rsid w:val="67F8177A"/>
    <w:rsid w:val="68764155"/>
    <w:rsid w:val="69266263"/>
    <w:rsid w:val="698F331C"/>
    <w:rsid w:val="69AB7476"/>
    <w:rsid w:val="6A581AEA"/>
    <w:rsid w:val="6A5B4FD2"/>
    <w:rsid w:val="6AB814F7"/>
    <w:rsid w:val="6AD46C83"/>
    <w:rsid w:val="6AFD3D16"/>
    <w:rsid w:val="6AFF6238"/>
    <w:rsid w:val="6B3A010F"/>
    <w:rsid w:val="6B6741C0"/>
    <w:rsid w:val="6B7339FA"/>
    <w:rsid w:val="6BB47036"/>
    <w:rsid w:val="6C486E0A"/>
    <w:rsid w:val="6CA64793"/>
    <w:rsid w:val="6CB7263C"/>
    <w:rsid w:val="6D023C98"/>
    <w:rsid w:val="6D535020"/>
    <w:rsid w:val="6DD70457"/>
    <w:rsid w:val="6E6B6538"/>
    <w:rsid w:val="6E8104B9"/>
    <w:rsid w:val="6E9A5CE5"/>
    <w:rsid w:val="6EB86B00"/>
    <w:rsid w:val="6EBC544E"/>
    <w:rsid w:val="6F006084"/>
    <w:rsid w:val="6F1A5C35"/>
    <w:rsid w:val="6F775D4F"/>
    <w:rsid w:val="6F820A65"/>
    <w:rsid w:val="6FB76E27"/>
    <w:rsid w:val="70422066"/>
    <w:rsid w:val="70851B09"/>
    <w:rsid w:val="70DA04C4"/>
    <w:rsid w:val="718E08BA"/>
    <w:rsid w:val="71B47193"/>
    <w:rsid w:val="71FC0FD5"/>
    <w:rsid w:val="7202021F"/>
    <w:rsid w:val="72096B73"/>
    <w:rsid w:val="725C335F"/>
    <w:rsid w:val="725D0496"/>
    <w:rsid w:val="72A87975"/>
    <w:rsid w:val="72CC0607"/>
    <w:rsid w:val="72D05A50"/>
    <w:rsid w:val="73115476"/>
    <w:rsid w:val="733A04F5"/>
    <w:rsid w:val="73821FDD"/>
    <w:rsid w:val="73EE2380"/>
    <w:rsid w:val="743F58B3"/>
    <w:rsid w:val="74520E97"/>
    <w:rsid w:val="74BC5097"/>
    <w:rsid w:val="74D84E01"/>
    <w:rsid w:val="752F296E"/>
    <w:rsid w:val="753E3288"/>
    <w:rsid w:val="75481083"/>
    <w:rsid w:val="755D24CC"/>
    <w:rsid w:val="758861A9"/>
    <w:rsid w:val="764A1999"/>
    <w:rsid w:val="7653021D"/>
    <w:rsid w:val="76534D0F"/>
    <w:rsid w:val="767C3271"/>
    <w:rsid w:val="76A13384"/>
    <w:rsid w:val="773C0601"/>
    <w:rsid w:val="778C7258"/>
    <w:rsid w:val="77B40762"/>
    <w:rsid w:val="77E63F4E"/>
    <w:rsid w:val="77FA48D5"/>
    <w:rsid w:val="783D416F"/>
    <w:rsid w:val="78750B45"/>
    <w:rsid w:val="78C0230D"/>
    <w:rsid w:val="79A2531A"/>
    <w:rsid w:val="79AD5AF2"/>
    <w:rsid w:val="79B562D7"/>
    <w:rsid w:val="79E22A8F"/>
    <w:rsid w:val="7A102FEE"/>
    <w:rsid w:val="7A824543"/>
    <w:rsid w:val="7AA31C5D"/>
    <w:rsid w:val="7AFB2C97"/>
    <w:rsid w:val="7B2F1DFD"/>
    <w:rsid w:val="7B5659B8"/>
    <w:rsid w:val="7B5C04DF"/>
    <w:rsid w:val="7B5D2675"/>
    <w:rsid w:val="7B6D3015"/>
    <w:rsid w:val="7B941A53"/>
    <w:rsid w:val="7BBA33D4"/>
    <w:rsid w:val="7BBB161C"/>
    <w:rsid w:val="7C0714DE"/>
    <w:rsid w:val="7C0F7873"/>
    <w:rsid w:val="7C356842"/>
    <w:rsid w:val="7C953DAC"/>
    <w:rsid w:val="7CA90FDF"/>
    <w:rsid w:val="7D2C64FC"/>
    <w:rsid w:val="7DD63BDD"/>
    <w:rsid w:val="7DE978E7"/>
    <w:rsid w:val="7DFF72E7"/>
    <w:rsid w:val="7E2705DB"/>
    <w:rsid w:val="7E461026"/>
    <w:rsid w:val="7E4A16CA"/>
    <w:rsid w:val="7EA338A9"/>
    <w:rsid w:val="7EE41EB2"/>
    <w:rsid w:val="7EF6545A"/>
    <w:rsid w:val="7F0C4B9B"/>
    <w:rsid w:val="7F326D30"/>
    <w:rsid w:val="7F464955"/>
    <w:rsid w:val="7FE104E6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nhideWhenUsed="0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qFormat="1" w:unhideWhenUsed="0" w:uiPriority="99" w:semiHidden="0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iPriority="99" w:semiHidden="0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qFormat="1" w:uiPriority="99" w:semiHidden="0" w:name="HTML Preformatted"/>
    <w:lsdException w:qFormat="1" w:uiPriority="99" w:semiHidden="0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24"/>
      <w:szCs w:val="24"/>
      <w:lang w:val="en-US" w:eastAsia="zh-CN" w:bidi="ar"/>
    </w:rPr>
  </w:style>
  <w:style w:type="paragraph" w:styleId="4">
    <w:name w:val="heading 4"/>
    <w:basedOn w:val="1"/>
    <w:next w:val="1"/>
    <w:link w:val="31"/>
    <w:qFormat/>
    <w:locked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character" w:default="1" w:styleId="15">
    <w:name w:val="Default Paragraph Font"/>
    <w:unhideWhenUsed/>
    <w:qFormat/>
    <w:uiPriority w:val="1"/>
  </w:style>
  <w:style w:type="table" w:default="1" w:styleId="2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</w:rPr>
  </w:style>
  <w:style w:type="paragraph" w:styleId="5">
    <w:name w:val="annotation subject"/>
    <w:basedOn w:val="6"/>
    <w:next w:val="6"/>
    <w:link w:val="36"/>
    <w:unhideWhenUsed/>
    <w:qFormat/>
    <w:uiPriority w:val="99"/>
    <w:rPr>
      <w:b/>
      <w:bCs/>
    </w:rPr>
  </w:style>
  <w:style w:type="paragraph" w:styleId="6">
    <w:name w:val="annotation text"/>
    <w:basedOn w:val="1"/>
    <w:link w:val="35"/>
    <w:unhideWhenUsed/>
    <w:qFormat/>
    <w:uiPriority w:val="99"/>
    <w:pPr>
      <w:jc w:val="left"/>
    </w:pPr>
  </w:style>
  <w:style w:type="paragraph" w:styleId="7">
    <w:name w:val="Body Text"/>
    <w:basedOn w:val="1"/>
    <w:unhideWhenUsed/>
    <w:qFormat/>
    <w:uiPriority w:val="99"/>
    <w:rPr>
      <w:kern w:val="0"/>
    </w:rPr>
  </w:style>
  <w:style w:type="paragraph" w:styleId="8">
    <w:name w:val="List 2"/>
    <w:basedOn w:val="1"/>
    <w:qFormat/>
    <w:uiPriority w:val="99"/>
    <w:pPr>
      <w:ind w:left="100" w:leftChars="200" w:hanging="200" w:hangingChars="200"/>
    </w:pPr>
  </w:style>
  <w:style w:type="paragraph" w:styleId="9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Message Header"/>
    <w:basedOn w:val="1"/>
    <w:next w:val="7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13">
    <w:name w:val="HTML Preformatted"/>
    <w:basedOn w:val="1"/>
    <w:link w:val="32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4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locked/>
    <w:uiPriority w:val="0"/>
    <w:rPr>
      <w:b/>
    </w:rPr>
  </w:style>
  <w:style w:type="character" w:styleId="17">
    <w:name w:val="FollowedHyperlink"/>
    <w:basedOn w:val="15"/>
    <w:unhideWhenUsed/>
    <w:qFormat/>
    <w:uiPriority w:val="99"/>
    <w:rPr>
      <w:rFonts w:hint="default" w:ascii="Arial" w:hAnsi="Arial" w:cs="Arial"/>
      <w:color w:val="146C88"/>
      <w:u w:val="none"/>
    </w:rPr>
  </w:style>
  <w:style w:type="character" w:styleId="18">
    <w:name w:val="Emphasis"/>
    <w:basedOn w:val="15"/>
    <w:qFormat/>
    <w:locked/>
    <w:uiPriority w:val="0"/>
    <w:rPr>
      <w:i/>
    </w:rPr>
  </w:style>
  <w:style w:type="character" w:styleId="19">
    <w:name w:val="HTML Definition"/>
    <w:basedOn w:val="15"/>
    <w:unhideWhenUsed/>
    <w:qFormat/>
    <w:uiPriority w:val="99"/>
  </w:style>
  <w:style w:type="character" w:styleId="20">
    <w:name w:val="HTML Variable"/>
    <w:basedOn w:val="15"/>
    <w:unhideWhenUsed/>
    <w:qFormat/>
    <w:uiPriority w:val="99"/>
  </w:style>
  <w:style w:type="character" w:styleId="21">
    <w:name w:val="Hyperlink"/>
    <w:basedOn w:val="15"/>
    <w:unhideWhenUsed/>
    <w:qFormat/>
    <w:uiPriority w:val="99"/>
    <w:rPr>
      <w:rFonts w:ascii="Arial" w:hAnsi="Arial" w:cs="Arial"/>
      <w:color w:val="146C88"/>
      <w:u w:val="none"/>
    </w:rPr>
  </w:style>
  <w:style w:type="character" w:styleId="22">
    <w:name w:val="HTML Code"/>
    <w:basedOn w:val="15"/>
    <w:unhideWhenUsed/>
    <w:qFormat/>
    <w:uiPriority w:val="99"/>
    <w:rPr>
      <w:rFonts w:hint="default" w:ascii="Courier New" w:hAnsi="Courier New" w:eastAsia="Courier New" w:cs="Courier New"/>
      <w:sz w:val="20"/>
    </w:rPr>
  </w:style>
  <w:style w:type="character" w:styleId="23">
    <w:name w:val="annotation reference"/>
    <w:basedOn w:val="15"/>
    <w:unhideWhenUsed/>
    <w:qFormat/>
    <w:uiPriority w:val="99"/>
    <w:rPr>
      <w:sz w:val="21"/>
      <w:szCs w:val="21"/>
    </w:rPr>
  </w:style>
  <w:style w:type="character" w:styleId="24">
    <w:name w:val="HTML Cite"/>
    <w:basedOn w:val="15"/>
    <w:unhideWhenUsed/>
    <w:qFormat/>
    <w:uiPriority w:val="99"/>
  </w:style>
  <w:style w:type="character" w:styleId="25">
    <w:name w:val="HTML Keyboard"/>
    <w:basedOn w:val="15"/>
    <w:unhideWhenUsed/>
    <w:qFormat/>
    <w:uiPriority w:val="99"/>
    <w:rPr>
      <w:rFonts w:ascii="Courier New" w:hAnsi="Courier New" w:eastAsia="Courier New" w:cs="Courier New"/>
      <w:sz w:val="20"/>
    </w:rPr>
  </w:style>
  <w:style w:type="character" w:styleId="26">
    <w:name w:val="HTML Sample"/>
    <w:basedOn w:val="15"/>
    <w:unhideWhenUsed/>
    <w:qFormat/>
    <w:uiPriority w:val="99"/>
    <w:rPr>
      <w:rFonts w:hint="default" w:ascii="Courier New" w:hAnsi="Courier New" w:eastAsia="Courier New" w:cs="Courier New"/>
    </w:rPr>
  </w:style>
  <w:style w:type="table" w:styleId="28">
    <w:name w:val="Table Grid"/>
    <w:basedOn w:val="2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页眉 Char"/>
    <w:basedOn w:val="15"/>
    <w:link w:val="11"/>
    <w:semiHidden/>
    <w:qFormat/>
    <w:uiPriority w:val="99"/>
    <w:rPr>
      <w:sz w:val="18"/>
      <w:szCs w:val="18"/>
    </w:rPr>
  </w:style>
  <w:style w:type="character" w:customStyle="1" w:styleId="30">
    <w:name w:val="页脚 Char"/>
    <w:basedOn w:val="15"/>
    <w:link w:val="10"/>
    <w:semiHidden/>
    <w:qFormat/>
    <w:uiPriority w:val="99"/>
    <w:rPr>
      <w:kern w:val="2"/>
      <w:sz w:val="18"/>
      <w:szCs w:val="18"/>
    </w:rPr>
  </w:style>
  <w:style w:type="character" w:customStyle="1" w:styleId="31">
    <w:name w:val="标题 4 Char"/>
    <w:basedOn w:val="15"/>
    <w:link w:val="4"/>
    <w:qFormat/>
    <w:uiPriority w:val="9"/>
    <w:rPr>
      <w:rFonts w:ascii="宋体" w:hAnsi="宋体" w:cs="宋体"/>
      <w:b/>
      <w:bCs/>
      <w:sz w:val="24"/>
      <w:szCs w:val="24"/>
    </w:rPr>
  </w:style>
  <w:style w:type="character" w:customStyle="1" w:styleId="32">
    <w:name w:val="HTML 预设格式 Char"/>
    <w:basedOn w:val="15"/>
    <w:link w:val="13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33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34">
    <w:name w:val="批注框文本 Char"/>
    <w:basedOn w:val="15"/>
    <w:link w:val="9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35">
    <w:name w:val="批注文字 Char"/>
    <w:basedOn w:val="15"/>
    <w:link w:val="6"/>
    <w:semiHidden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36">
    <w:name w:val="批注主题 Char"/>
    <w:basedOn w:val="35"/>
    <w:link w:val="5"/>
    <w:qFormat/>
    <w:uiPriority w:val="0"/>
  </w:style>
  <w:style w:type="character" w:customStyle="1" w:styleId="37">
    <w:name w:val="checked"/>
    <w:basedOn w:val="15"/>
    <w:qFormat/>
    <w:uiPriority w:val="0"/>
    <w:rPr>
      <w:vanish/>
    </w:rPr>
  </w:style>
  <w:style w:type="character" w:customStyle="1" w:styleId="38">
    <w:name w:val="checked1"/>
    <w:basedOn w:val="15"/>
    <w:qFormat/>
    <w:uiPriority w:val="0"/>
  </w:style>
  <w:style w:type="character" w:customStyle="1" w:styleId="39">
    <w:name w:val="ca-nav-next"/>
    <w:basedOn w:val="15"/>
    <w:qFormat/>
    <w:uiPriority w:val="0"/>
  </w:style>
  <w:style w:type="character" w:customStyle="1" w:styleId="40">
    <w:name w:val="hover29"/>
    <w:basedOn w:val="15"/>
    <w:qFormat/>
    <w:uiPriority w:val="0"/>
  </w:style>
  <w:style w:type="character" w:customStyle="1" w:styleId="41">
    <w:name w:val="bbs_title1"/>
    <w:basedOn w:val="15"/>
    <w:qFormat/>
    <w:uiPriority w:val="0"/>
    <w:rPr>
      <w:color w:val="0000CC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file:///C:\Users\62729\Documents\Tencent%252520Files\627297291\Image\C2C\557DB402AC21EE8224EF54AD568B6DE2.jpg" TargetMode="External"/><Relationship Id="rId7" Type="http://schemas.openxmlformats.org/officeDocument/2006/relationships/image" Target="media/image2.jpeg"/><Relationship Id="rId6" Type="http://schemas.openxmlformats.org/officeDocument/2006/relationships/image" Target="file:///C:\Users\62729\Documents\Tencent%252520Files\627297291\Image\C2C\FA1853AEEC7ACEF0E9DC7CFFA45B195C.jpg" TargetMode="Externa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607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99CF47-86FF-4309-8A95-7B307EE6FF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微软中国</Company>
  <Pages>19</Pages>
  <Words>1571</Words>
  <Characters>8959</Characters>
  <Lines>74</Lines>
  <Paragraphs>21</Paragraphs>
  <ScaleCrop>false</ScaleCrop>
  <LinksUpToDate>false</LinksUpToDate>
  <CharactersWithSpaces>10509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2018-04-03T11:01:00Z</dcterms:created>
  <dc:creator>胡磊</dc:creator>
  <cp:lastModifiedBy>何超</cp:lastModifiedBy>
  <cp:lastPrinted>2019-10-22T00:47:00Z</cp:lastPrinted>
  <dcterms:modified xsi:type="dcterms:W3CDTF">2021-10-27T08:24:59Z</dcterms:modified>
  <dc:title>重庆高速集团东南营运分公司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