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outlineLvl w:val="1"/>
        <w:rPr>
          <w:rFonts w:hint="eastAsia" w:eastAsia="黑体"/>
          <w:b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 w:eastAsia="黑体"/>
          <w:b/>
          <w:bCs/>
          <w:kern w:val="0"/>
          <w:sz w:val="28"/>
          <w:szCs w:val="28"/>
          <w:highlight w:val="none"/>
        </w:rPr>
        <w:t>重庆高速2022年至2024年桥隧定期检查（监测）及设计项目</w:t>
      </w:r>
      <w:r>
        <w:rPr>
          <w:rFonts w:hint="eastAsia" w:eastAsia="黑体"/>
          <w:b/>
          <w:bCs/>
          <w:kern w:val="0"/>
          <w:sz w:val="28"/>
          <w:szCs w:val="28"/>
          <w:highlight w:val="none"/>
          <w:lang w:eastAsia="zh-CN"/>
        </w:rPr>
        <w:t>标段二</w:t>
      </w:r>
    </w:p>
    <w:p>
      <w:pPr>
        <w:spacing w:line="440" w:lineRule="exact"/>
        <w:jc w:val="center"/>
        <w:outlineLvl w:val="1"/>
        <w:rPr>
          <w:rFonts w:eastAsia="黑体"/>
          <w:b/>
          <w:bCs/>
          <w:kern w:val="0"/>
          <w:sz w:val="32"/>
          <w:szCs w:val="32"/>
          <w:highlight w:val="none"/>
        </w:rPr>
      </w:pPr>
      <w:r>
        <w:rPr>
          <w:rFonts w:eastAsia="黑体"/>
          <w:b/>
          <w:bCs/>
          <w:kern w:val="0"/>
          <w:sz w:val="28"/>
          <w:szCs w:val="28"/>
          <w:highlight w:val="none"/>
        </w:rPr>
        <w:t>招标公告</w:t>
      </w:r>
    </w:p>
    <w:p>
      <w:pPr>
        <w:spacing w:line="440" w:lineRule="exact"/>
        <w:jc w:val="center"/>
        <w:rPr>
          <w:rFonts w:eastAsia="黑体"/>
          <w:kern w:val="0"/>
          <w:sz w:val="20"/>
          <w:szCs w:val="20"/>
          <w:highlight w:val="none"/>
        </w:rPr>
      </w:pPr>
    </w:p>
    <w:p>
      <w:pPr>
        <w:pStyle w:val="3"/>
        <w:spacing w:before="240" w:after="240" w:line="400" w:lineRule="exact"/>
        <w:outlineLvl w:val="1"/>
        <w:rPr>
          <w:rFonts w:ascii="宋体" w:hAnsi="宋体" w:cs="宋体"/>
          <w:kern w:val="0"/>
          <w:sz w:val="24"/>
          <w:szCs w:val="24"/>
          <w:highlight w:val="none"/>
        </w:rPr>
      </w:pPr>
      <w:bookmarkStart w:id="0" w:name="_Toc1605"/>
      <w:bookmarkStart w:id="1" w:name="_Toc234832845"/>
      <w:bookmarkStart w:id="2" w:name="_Toc15998615"/>
      <w:bookmarkStart w:id="3" w:name="_Toc509841258"/>
      <w:r>
        <w:rPr>
          <w:rFonts w:hint="eastAsia" w:ascii="宋体" w:hAnsi="宋体" w:cs="宋体"/>
          <w:kern w:val="0"/>
          <w:sz w:val="24"/>
          <w:szCs w:val="24"/>
          <w:highlight w:val="none"/>
        </w:rPr>
        <w:t>1、招标条件</w:t>
      </w:r>
      <w:bookmarkEnd w:id="0"/>
      <w:bookmarkEnd w:id="1"/>
      <w:bookmarkEnd w:id="2"/>
      <w:bookmarkEnd w:id="3"/>
    </w:p>
    <w:p>
      <w:pPr>
        <w:spacing w:line="360" w:lineRule="auto"/>
        <w:ind w:firstLine="420" w:firstLineChars="200"/>
        <w:rPr>
          <w:rFonts w:ascii="宋体" w:hAnsi="宋体" w:cs="宋体"/>
          <w:kern w:val="0"/>
          <w:szCs w:val="21"/>
          <w:highlight w:val="none"/>
        </w:rPr>
      </w:pPr>
      <w:r>
        <w:rPr>
          <w:szCs w:val="21"/>
          <w:highlight w:val="none"/>
        </w:rPr>
        <w:t>本招标项目</w:t>
      </w:r>
      <w:r>
        <w:rPr>
          <w:rFonts w:hint="eastAsia"/>
          <w:szCs w:val="21"/>
          <w:highlight w:val="none"/>
          <w:u w:val="single"/>
        </w:rPr>
        <w:t>重庆高速2022年至2024年桥隧定期检查（监测）及设计项目</w:t>
      </w:r>
      <w:r>
        <w:rPr>
          <w:rFonts w:hint="eastAsia"/>
          <w:szCs w:val="21"/>
          <w:highlight w:val="none"/>
        </w:rPr>
        <w:t>，本项目招标人为</w:t>
      </w:r>
      <w:r>
        <w:rPr>
          <w:rFonts w:hint="eastAsia"/>
          <w:szCs w:val="21"/>
          <w:highlight w:val="none"/>
          <w:lang w:eastAsia="zh-CN"/>
        </w:rPr>
        <w:t>重庆高速公路集团有限公司东南营运分公司</w:t>
      </w:r>
      <w:r>
        <w:rPr>
          <w:rFonts w:hint="eastAsia"/>
          <w:szCs w:val="21"/>
          <w:highlight w:val="none"/>
        </w:rPr>
        <w:t>，项目</w:t>
      </w:r>
      <w:r>
        <w:rPr>
          <w:szCs w:val="21"/>
          <w:highlight w:val="none"/>
        </w:rPr>
        <w:t>业主为</w:t>
      </w:r>
      <w:r>
        <w:rPr>
          <w:rFonts w:hint="eastAsia"/>
          <w:szCs w:val="21"/>
          <w:highlight w:val="none"/>
        </w:rPr>
        <w:t>重庆高速公路集团有限公司下属各营运分公司（中渝营运分公司、渝合公司、南方营运分公司、东南营运分公司、东北营运分公司、忠都公司、重庆高速公路股份有限公司），</w:t>
      </w:r>
      <w:r>
        <w:rPr>
          <w:szCs w:val="21"/>
          <w:highlight w:val="none"/>
        </w:rPr>
        <w:t>建设资金来自</w:t>
      </w:r>
      <w:r>
        <w:rPr>
          <w:rFonts w:hint="eastAsia"/>
          <w:szCs w:val="21"/>
          <w:highlight w:val="none"/>
        </w:rPr>
        <w:t>各运营分公司养护专项资金自筹</w:t>
      </w:r>
      <w:r>
        <w:rPr>
          <w:szCs w:val="21"/>
          <w:highlight w:val="none"/>
        </w:rPr>
        <w:t>，项目出资比例为</w:t>
      </w:r>
      <w:r>
        <w:rPr>
          <w:rFonts w:hint="eastAsia"/>
          <w:szCs w:val="21"/>
          <w:highlight w:val="none"/>
          <w:u w:val="single"/>
        </w:rPr>
        <w:t>100%</w:t>
      </w:r>
      <w:r>
        <w:rPr>
          <w:rFonts w:hint="eastAsia"/>
          <w:szCs w:val="21"/>
          <w:highlight w:val="none"/>
        </w:rPr>
        <w:t>，项目中标后分别与各营运分公司进行合同谈判，并签订合同，</w:t>
      </w:r>
      <w:r>
        <w:rPr>
          <w:szCs w:val="21"/>
          <w:highlight w:val="none"/>
        </w:rPr>
        <w:t>项目已具备招标条件</w:t>
      </w:r>
      <w:r>
        <w:rPr>
          <w:rFonts w:hint="eastAsia"/>
          <w:szCs w:val="21"/>
          <w:highlight w:val="none"/>
        </w:rPr>
        <w:t>，采用资格后审</w:t>
      </w:r>
      <w:r>
        <w:rPr>
          <w:szCs w:val="21"/>
          <w:highlight w:val="none"/>
        </w:rPr>
        <w:t>，现</w:t>
      </w:r>
      <w:r>
        <w:rPr>
          <w:rFonts w:hint="eastAsia"/>
          <w:szCs w:val="21"/>
          <w:highlight w:val="none"/>
        </w:rPr>
        <w:t>委托</w:t>
      </w:r>
      <w:r>
        <w:rPr>
          <w:rFonts w:hint="eastAsia" w:ascii="宋体" w:hAnsi="宋体"/>
          <w:szCs w:val="21"/>
          <w:highlight w:val="none"/>
        </w:rPr>
        <w:t>招标代理重庆国际投资咨询集团有限公司</w:t>
      </w:r>
      <w:r>
        <w:rPr>
          <w:szCs w:val="21"/>
          <w:highlight w:val="none"/>
        </w:rPr>
        <w:t>对该项目</w:t>
      </w:r>
      <w:r>
        <w:rPr>
          <w:rFonts w:hint="eastAsia"/>
          <w:szCs w:val="21"/>
          <w:highlight w:val="none"/>
          <w:lang w:eastAsia="zh-CN"/>
        </w:rPr>
        <w:t>标段二</w:t>
      </w:r>
      <w:r>
        <w:rPr>
          <w:szCs w:val="21"/>
          <w:highlight w:val="none"/>
        </w:rPr>
        <w:t>进行公开招标。</w:t>
      </w:r>
    </w:p>
    <w:p>
      <w:pPr>
        <w:pStyle w:val="3"/>
        <w:spacing w:before="240" w:after="240" w:line="400" w:lineRule="exact"/>
        <w:outlineLvl w:val="1"/>
        <w:rPr>
          <w:rFonts w:ascii="宋体" w:hAnsi="宋体" w:cs="宋体"/>
          <w:kern w:val="0"/>
          <w:sz w:val="24"/>
          <w:szCs w:val="24"/>
          <w:highlight w:val="none"/>
        </w:rPr>
      </w:pPr>
      <w:bookmarkStart w:id="4" w:name="_Toc234832846"/>
      <w:bookmarkStart w:id="5" w:name="_Toc15998616"/>
      <w:bookmarkStart w:id="6" w:name="_Toc17533"/>
      <w:bookmarkStart w:id="7" w:name="_Toc509841259"/>
      <w:r>
        <w:rPr>
          <w:rFonts w:hint="eastAsia" w:ascii="宋体" w:hAnsi="宋体" w:cs="宋体"/>
          <w:kern w:val="0"/>
          <w:sz w:val="24"/>
          <w:szCs w:val="24"/>
          <w:highlight w:val="none"/>
        </w:rPr>
        <w:t>2、项目概况与招标范围</w:t>
      </w:r>
      <w:bookmarkEnd w:id="4"/>
      <w:bookmarkEnd w:id="5"/>
      <w:bookmarkEnd w:id="6"/>
      <w:bookmarkEnd w:id="7"/>
    </w:p>
    <w:p>
      <w:pPr>
        <w:spacing w:line="360" w:lineRule="auto"/>
        <w:ind w:firstLine="422"/>
        <w:rPr>
          <w:rFonts w:hint="eastAsia"/>
          <w:highlight w:val="none"/>
        </w:rPr>
      </w:pPr>
      <w:bookmarkStart w:id="8" w:name="_Toc406455433"/>
      <w:bookmarkStart w:id="9" w:name="_Toc406094396"/>
      <w:bookmarkStart w:id="10" w:name="_Toc509841261"/>
      <w:bookmarkStart w:id="11" w:name="_Toc234832848"/>
      <w:r>
        <w:rPr>
          <w:rFonts w:hint="eastAsia"/>
          <w:highlight w:val="none"/>
        </w:rPr>
        <w:t>2.1项目</w:t>
      </w:r>
      <w:bookmarkEnd w:id="8"/>
      <w:bookmarkEnd w:id="9"/>
      <w:r>
        <w:rPr>
          <w:rFonts w:hint="eastAsia"/>
          <w:highlight w:val="none"/>
        </w:rPr>
        <w:t>名称：重庆高速2022年至2024年桥隧定期检查（监测）及设计项目</w:t>
      </w:r>
      <w:r>
        <w:rPr>
          <w:rFonts w:hint="eastAsia"/>
          <w:highlight w:val="none"/>
          <w:lang w:eastAsia="zh-CN"/>
        </w:rPr>
        <w:t>标段二</w:t>
      </w:r>
      <w:r>
        <w:rPr>
          <w:rFonts w:hint="eastAsia"/>
          <w:highlight w:val="none"/>
        </w:rPr>
        <w:t>。</w:t>
      </w:r>
    </w:p>
    <w:p>
      <w:pPr>
        <w:spacing w:line="360" w:lineRule="auto"/>
        <w:ind w:firstLine="422"/>
        <w:rPr>
          <w:rFonts w:hint="eastAsia"/>
          <w:highlight w:val="none"/>
        </w:rPr>
      </w:pPr>
      <w:bookmarkStart w:id="12" w:name="_Toc406094397"/>
      <w:bookmarkStart w:id="13" w:name="_Toc406455434"/>
      <w:r>
        <w:rPr>
          <w:rFonts w:hint="eastAsia"/>
          <w:highlight w:val="none"/>
        </w:rPr>
        <w:t>2.2项目概况：本次将对重庆高速公</w:t>
      </w:r>
      <w:bookmarkStart w:id="52" w:name="_GoBack"/>
      <w:bookmarkEnd w:id="52"/>
      <w:r>
        <w:rPr>
          <w:rFonts w:hint="eastAsia"/>
          <w:highlight w:val="none"/>
        </w:rPr>
        <w:t>路集团有限公司所辖的</w:t>
      </w:r>
      <w:r>
        <w:rPr>
          <w:rFonts w:hint="eastAsia"/>
          <w:szCs w:val="21"/>
          <w:highlight w:val="none"/>
        </w:rPr>
        <w:t>中渝营运分公司、重庆渝合高速公路有限公司、南方营运分公司、东南营运分公司、东北营运分公司、重庆忠都高速公路有限公司、重庆高速公路股份有限公司</w:t>
      </w:r>
      <w:r>
        <w:rPr>
          <w:rFonts w:hint="eastAsia"/>
          <w:highlight w:val="none"/>
        </w:rPr>
        <w:t>的一般主线桥梁及匝道立交桥、人行天桥定期检查、特大桥定期检查及变形观测、隧道定期检查（含附属设施）、桥隧特殊检查（如有）和桥隧病害处治的设计任务，采取检测与设计服务整体化委托。</w:t>
      </w:r>
    </w:p>
    <w:p>
      <w:pPr>
        <w:spacing w:line="360" w:lineRule="auto"/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2.3服务周期：3年。每年</w:t>
      </w:r>
      <w:r>
        <w:rPr>
          <w:highlight w:val="none"/>
        </w:rPr>
        <w:t>预计工期：</w:t>
      </w:r>
      <w:r>
        <w:rPr>
          <w:rFonts w:hint="eastAsia"/>
          <w:highlight w:val="none"/>
        </w:rPr>
        <w:t>5</w:t>
      </w:r>
      <w:r>
        <w:rPr>
          <w:highlight w:val="none"/>
        </w:rPr>
        <w:t>个月（包括</w:t>
      </w:r>
      <w:r>
        <w:rPr>
          <w:rFonts w:hint="eastAsia"/>
          <w:highlight w:val="none"/>
        </w:rPr>
        <w:t>外业、</w:t>
      </w:r>
      <w:r>
        <w:rPr>
          <w:highlight w:val="none"/>
        </w:rPr>
        <w:t>内业，提交</w:t>
      </w:r>
      <w:r>
        <w:rPr>
          <w:rFonts w:hint="eastAsia"/>
          <w:highlight w:val="none"/>
        </w:rPr>
        <w:t>经业主单位组织</w:t>
      </w:r>
      <w:r>
        <w:rPr>
          <w:highlight w:val="none"/>
        </w:rPr>
        <w:t>评审</w:t>
      </w:r>
      <w:r>
        <w:rPr>
          <w:rFonts w:hint="eastAsia"/>
          <w:highlight w:val="none"/>
        </w:rPr>
        <w:t>合格</w:t>
      </w:r>
      <w:r>
        <w:rPr>
          <w:highlight w:val="none"/>
        </w:rPr>
        <w:t>的</w:t>
      </w:r>
      <w:r>
        <w:rPr>
          <w:rFonts w:hint="eastAsia"/>
          <w:highlight w:val="none"/>
        </w:rPr>
        <w:t>检查（监测）</w:t>
      </w:r>
      <w:r>
        <w:rPr>
          <w:highlight w:val="none"/>
        </w:rPr>
        <w:t>报告</w:t>
      </w:r>
      <w:r>
        <w:rPr>
          <w:rFonts w:hint="eastAsia"/>
          <w:highlight w:val="none"/>
        </w:rPr>
        <w:t>及病害处治施工设计图纸等</w:t>
      </w:r>
      <w:r>
        <w:rPr>
          <w:highlight w:val="none"/>
        </w:rPr>
        <w:t>）。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highlight w:val="none"/>
        </w:rPr>
        <w:t>2.4</w:t>
      </w:r>
      <w:r>
        <w:rPr>
          <w:rFonts w:hint="eastAsia"/>
          <w:highlight w:val="none"/>
        </w:rPr>
        <w:t>标段范围及工作内容：详见招标文件第五章</w:t>
      </w:r>
      <w:r>
        <w:rPr>
          <w:highlight w:val="none"/>
        </w:rPr>
        <w:t>。</w:t>
      </w:r>
    </w:p>
    <w:p>
      <w:pPr>
        <w:spacing w:line="360" w:lineRule="auto"/>
        <w:ind w:firstLine="422"/>
        <w:rPr>
          <w:rFonts w:hint="eastAsia"/>
          <w:highlight w:val="none"/>
        </w:rPr>
      </w:pPr>
      <w:r>
        <w:rPr>
          <w:rFonts w:hint="eastAsia"/>
          <w:highlight w:val="none"/>
        </w:rPr>
        <w:t>2.</w:t>
      </w:r>
      <w:r>
        <w:rPr>
          <w:highlight w:val="none"/>
        </w:rPr>
        <w:t>5</w:t>
      </w:r>
      <w:r>
        <w:rPr>
          <w:rFonts w:hint="eastAsia"/>
          <w:highlight w:val="none"/>
        </w:rPr>
        <w:t>本次招标分为三个标段，其中标段一：DN(东南公司全部桥隧)、NF(南方公司全部桥隧)；标段二：</w:t>
      </w:r>
      <w:r>
        <w:rPr>
          <w:rFonts w:hint="eastAsia"/>
          <w:szCs w:val="21"/>
          <w:highlight w:val="none"/>
        </w:rPr>
        <w:t>ZY（</w:t>
      </w:r>
      <w:r>
        <w:rPr>
          <w:rFonts w:hint="eastAsia"/>
          <w:highlight w:val="none"/>
        </w:rPr>
        <w:t>中渝公司全部桥隧</w:t>
      </w:r>
      <w:r>
        <w:rPr>
          <w:rFonts w:hint="eastAsia"/>
          <w:szCs w:val="21"/>
          <w:highlight w:val="none"/>
        </w:rPr>
        <w:t>）、Y</w:t>
      </w:r>
      <w:r>
        <w:rPr>
          <w:szCs w:val="21"/>
          <w:highlight w:val="none"/>
        </w:rPr>
        <w:t>H</w:t>
      </w:r>
      <w:r>
        <w:rPr>
          <w:rFonts w:hint="eastAsia"/>
          <w:szCs w:val="21"/>
          <w:highlight w:val="none"/>
        </w:rPr>
        <w:t>（渝合公司</w:t>
      </w:r>
      <w:r>
        <w:rPr>
          <w:rFonts w:hint="eastAsia"/>
          <w:highlight w:val="none"/>
        </w:rPr>
        <w:t>全部桥隧</w:t>
      </w:r>
      <w:r>
        <w:rPr>
          <w:rFonts w:hint="eastAsia"/>
          <w:szCs w:val="21"/>
          <w:highlight w:val="none"/>
        </w:rPr>
        <w:t>）、GF</w:t>
      </w:r>
      <w:r>
        <w:rPr>
          <w:rFonts w:hint="eastAsia"/>
          <w:highlight w:val="none"/>
        </w:rPr>
        <w:t>（股份公司全部桥隧）、ZD(忠都公司全部桥隧）、</w:t>
      </w:r>
      <w:r>
        <w:rPr>
          <w:szCs w:val="21"/>
          <w:highlight w:val="none"/>
        </w:rPr>
        <w:t>YW</w:t>
      </w:r>
      <w:r>
        <w:rPr>
          <w:rFonts w:hint="eastAsia"/>
          <w:szCs w:val="21"/>
          <w:highlight w:val="none"/>
        </w:rPr>
        <w:t>（</w:t>
      </w:r>
      <w:r>
        <w:rPr>
          <w:rFonts w:hint="eastAsia"/>
          <w:highlight w:val="none"/>
        </w:rPr>
        <w:t>东北公司云万路全部桥隧</w:t>
      </w:r>
      <w:r>
        <w:rPr>
          <w:rFonts w:hint="eastAsia"/>
          <w:szCs w:val="21"/>
          <w:highlight w:val="none"/>
        </w:rPr>
        <w:t>）</w:t>
      </w:r>
      <w:r>
        <w:rPr>
          <w:rFonts w:hint="eastAsia"/>
          <w:highlight w:val="none"/>
        </w:rPr>
        <w:t>；标段三DB(东北公司除云万路外的全部桥隧）。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277"/>
        <w:gridCol w:w="1715"/>
        <w:gridCol w:w="1724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32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标段号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运营公司名称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涉及路段行政所在地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高速公路编号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Merge w:val="restart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标段一（DN、NF）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重庆高速公路集团有限公司东南营运分公司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彭水县、黔江区、酉阳县、秀山县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G65、G5515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包茂高速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Merge w:val="continue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重庆高速公路集团有限公司南方营运分公司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巴南区、南川区、武隆区、涪陵区、万盛区、綦江区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G65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包茂高速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132" w:type="dxa"/>
            <w:vMerge w:val="restart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标段二（ZY、YH、GF、ZD、YW）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重庆高速公路集团有限公司中渝营运分公司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江津区、北碚区、巴南区、沙坪坝区、渝北区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G5001、G93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绕城高速、江合高速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Merge w:val="continue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重庆渝合高速公路有限公司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北碚区、合川区、渝北区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G75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渝武高速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Merge w:val="continue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重庆高速公路股份有限公司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长寿区、垫江县、梁平区、石柱县、</w:t>
            </w:r>
            <w:r>
              <w:rPr>
                <w:rFonts w:hint="eastAsia"/>
                <w:sz w:val="18"/>
                <w:szCs w:val="18"/>
                <w:highlight w:val="none"/>
              </w:rPr>
              <w:t>万州区、开州区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G50、G42、G69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长寿至垫江、忠县至石柱、垫江至万州段、万州至开州段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32" w:type="dxa"/>
            <w:vMerge w:val="continue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重庆忠都高速公路有限公司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忠县、丰都县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G69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忠县至丰都段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132" w:type="dxa"/>
            <w:vMerge w:val="continue"/>
            <w:noWrap w:val="0"/>
            <w:vAlign w:val="center"/>
          </w:tcPr>
          <w:p>
            <w:pPr>
              <w:pStyle w:val="6"/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pStyle w:val="6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重庆高速公路集团有限公司东北营运分公司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pStyle w:val="6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万州区、云阳县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G42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云阳至万州段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pStyle w:val="6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标段三（DB）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重庆高速公路集团有限公司东北营运分公司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万州区、云阳县、开州区、巫山县、巫溪县、奉节县、城口县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G42、</w:t>
            </w: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G69、G6911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云阳至巫山段、开州至城口段、奉节至巫溪段</w:t>
            </w:r>
          </w:p>
        </w:tc>
      </w:tr>
    </w:tbl>
    <w:p>
      <w:pPr>
        <w:pStyle w:val="6"/>
        <w:rPr>
          <w:highlight w:val="none"/>
        </w:rPr>
      </w:pPr>
    </w:p>
    <w:bookmarkEnd w:id="12"/>
    <w:bookmarkEnd w:id="13"/>
    <w:p>
      <w:pPr>
        <w:pStyle w:val="3"/>
        <w:spacing w:before="240" w:after="240" w:line="400" w:lineRule="exact"/>
        <w:outlineLvl w:val="1"/>
        <w:rPr>
          <w:rFonts w:ascii="宋体" w:hAnsi="宋体" w:cs="宋体"/>
          <w:kern w:val="0"/>
          <w:sz w:val="24"/>
          <w:szCs w:val="24"/>
          <w:highlight w:val="none"/>
        </w:rPr>
      </w:pPr>
      <w:bookmarkStart w:id="14" w:name="_Toc15998617"/>
      <w:bookmarkStart w:id="15" w:name="_Toc138"/>
      <w:r>
        <w:rPr>
          <w:rFonts w:hint="eastAsia" w:ascii="宋体" w:hAnsi="宋体" w:cs="宋体"/>
          <w:kern w:val="0"/>
          <w:sz w:val="24"/>
          <w:szCs w:val="24"/>
          <w:highlight w:val="none"/>
        </w:rPr>
        <w:t>3、投标人资格要求</w:t>
      </w:r>
      <w:bookmarkEnd w:id="14"/>
      <w:bookmarkEnd w:id="15"/>
    </w:p>
    <w:p>
      <w:pPr>
        <w:spacing w:line="312" w:lineRule="auto"/>
        <w:ind w:firstLine="422"/>
        <w:outlineLvl w:val="2"/>
        <w:rPr>
          <w:rFonts w:hint="eastAsia"/>
          <w:szCs w:val="21"/>
          <w:highlight w:val="none"/>
        </w:rPr>
      </w:pPr>
      <w:r>
        <w:rPr>
          <w:rFonts w:hint="eastAsia"/>
          <w:highlight w:val="none"/>
        </w:rPr>
        <w:t>3.1 资质</w:t>
      </w:r>
      <w:r>
        <w:rPr>
          <w:szCs w:val="21"/>
          <w:highlight w:val="none"/>
        </w:rPr>
        <w:t>要求</w:t>
      </w:r>
    </w:p>
    <w:p>
      <w:pPr>
        <w:spacing w:line="312" w:lineRule="auto"/>
        <w:ind w:firstLine="422"/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3.1.1检查（监测）资质要求：投标人须具有交通运输主管部门认定的《公路水运工程试验检测机构等级证书》公路工程综合甲级资质和《公路水运工程试验检测机构等级证书》公路工程桥梁隧道工程专项资质,同时具有省级（含省级）以上市场监督管理部门认定的《检验检测机构资质认定证书（CMA）》；</w:t>
      </w:r>
    </w:p>
    <w:p>
      <w:pPr>
        <w:spacing w:line="312" w:lineRule="auto"/>
        <w:ind w:firstLine="422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3.1.2设计资质要求：投标人须同时满足以下要求</w:t>
      </w:r>
    </w:p>
    <w:p>
      <w:pPr>
        <w:spacing w:line="312" w:lineRule="auto"/>
        <w:ind w:firstLine="422"/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（1）工程勘察综合甲级资质；</w:t>
      </w:r>
    </w:p>
    <w:p>
      <w:pPr>
        <w:spacing w:line="312" w:lineRule="auto"/>
        <w:ind w:firstLine="422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（2）工程设计综合甲级资质</w:t>
      </w:r>
      <w:r>
        <w:rPr>
          <w:rFonts w:hint="eastAsia"/>
          <w:szCs w:val="21"/>
          <w:highlight w:val="none"/>
          <w:lang w:val="en-US" w:eastAsia="zh-CN"/>
        </w:rPr>
        <w:t>，</w:t>
      </w:r>
      <w:r>
        <w:rPr>
          <w:rFonts w:hint="eastAsia"/>
          <w:szCs w:val="21"/>
          <w:highlight w:val="none"/>
        </w:rPr>
        <w:t>或公路行业甲级设计资质</w:t>
      </w:r>
      <w:r>
        <w:rPr>
          <w:rFonts w:hint="eastAsia"/>
          <w:szCs w:val="21"/>
          <w:highlight w:val="none"/>
          <w:lang w:eastAsia="zh-CN"/>
        </w:rPr>
        <w:t>，</w:t>
      </w:r>
      <w:r>
        <w:rPr>
          <w:rFonts w:hint="eastAsia"/>
          <w:szCs w:val="21"/>
          <w:highlight w:val="none"/>
        </w:rPr>
        <w:t>或公路行业（同时具有公路、特大桥梁、特长隧道）专业甲级资质。</w:t>
      </w:r>
    </w:p>
    <w:p>
      <w:pPr>
        <w:spacing w:line="312" w:lineRule="auto"/>
        <w:ind w:firstLine="422"/>
        <w:outlineLvl w:val="2"/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3.</w:t>
      </w:r>
      <w:r>
        <w:rPr>
          <w:szCs w:val="21"/>
          <w:highlight w:val="none"/>
        </w:rPr>
        <w:t>2</w:t>
      </w:r>
      <w:r>
        <w:rPr>
          <w:rFonts w:hint="eastAsia"/>
          <w:szCs w:val="21"/>
          <w:highlight w:val="none"/>
        </w:rPr>
        <w:t>业绩要求：</w:t>
      </w:r>
    </w:p>
    <w:p>
      <w:pPr>
        <w:spacing w:line="312" w:lineRule="auto"/>
        <w:ind w:firstLine="422"/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（1）检查（监测）业绩：近五年（2017.5.1至今，以合同签订时间为准），投标人具有不少于1个已通车高速公路桥隧定期检查业绩（须同时包含桥梁与隧道定期检查内容），且业绩中包含不少于1座特大桥变形监测。</w:t>
      </w:r>
    </w:p>
    <w:p>
      <w:pPr>
        <w:spacing w:line="312" w:lineRule="auto"/>
        <w:ind w:firstLine="422"/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（2）设计业绩：近五年（2017.5.1至今，以合同签订时间为准），投标人具有不少于1个已通车高速公路桥梁结构物</w:t>
      </w:r>
      <w:r>
        <w:rPr>
          <w:rFonts w:hint="eastAsia"/>
          <w:szCs w:val="21"/>
          <w:highlight w:val="none"/>
          <w:lang w:val="en-US" w:eastAsia="zh-CN"/>
        </w:rPr>
        <w:t>病害处治</w:t>
      </w:r>
      <w:r>
        <w:rPr>
          <w:rFonts w:hint="eastAsia"/>
          <w:szCs w:val="21"/>
          <w:highlight w:val="none"/>
        </w:rPr>
        <w:t>设计项目业绩以及不少于1个已通车高速公路隧道结构物</w:t>
      </w:r>
      <w:r>
        <w:rPr>
          <w:rFonts w:hint="eastAsia"/>
          <w:szCs w:val="21"/>
          <w:highlight w:val="none"/>
          <w:lang w:val="en-US" w:eastAsia="zh-CN"/>
        </w:rPr>
        <w:t>病害处治</w:t>
      </w:r>
      <w:r>
        <w:rPr>
          <w:rFonts w:hint="eastAsia"/>
          <w:szCs w:val="21"/>
          <w:highlight w:val="none"/>
        </w:rPr>
        <w:t>设计项目业绩。</w:t>
      </w:r>
    </w:p>
    <w:p>
      <w:pPr>
        <w:spacing w:line="420" w:lineRule="exact"/>
        <w:ind w:firstLine="400" w:firstLineChars="200"/>
        <w:jc w:val="left"/>
        <w:rPr>
          <w:rFonts w:hint="eastAsia" w:ascii="方正黑体_GBK" w:eastAsia="方正黑体_GBK"/>
          <w:sz w:val="20"/>
          <w:szCs w:val="20"/>
          <w:highlight w:val="none"/>
        </w:rPr>
      </w:pPr>
      <w:r>
        <w:rPr>
          <w:rFonts w:hint="eastAsia" w:ascii="方正黑体_GBK" w:eastAsia="方正黑体_GBK"/>
          <w:sz w:val="20"/>
          <w:szCs w:val="20"/>
          <w:highlight w:val="none"/>
        </w:rPr>
        <w:t>注：1、投标人综合咨询服务类合同中包含上述内容的也予认可；</w:t>
      </w:r>
    </w:p>
    <w:p>
      <w:pPr>
        <w:spacing w:line="420" w:lineRule="exact"/>
        <w:ind w:firstLine="800" w:firstLineChars="400"/>
        <w:jc w:val="left"/>
        <w:rPr>
          <w:rFonts w:hint="eastAsia" w:ascii="方正黑体_GBK" w:eastAsia="方正黑体_GBK"/>
          <w:sz w:val="20"/>
          <w:szCs w:val="20"/>
          <w:highlight w:val="none"/>
        </w:rPr>
      </w:pPr>
      <w:r>
        <w:rPr>
          <w:rFonts w:hint="eastAsia" w:ascii="方正黑体_GBK" w:eastAsia="方正黑体_GBK"/>
          <w:sz w:val="20"/>
          <w:szCs w:val="20"/>
          <w:highlight w:val="none"/>
        </w:rPr>
        <w:t>2、投标人如提供的单个合同同时包含上述（1）、（2）项业绩则视为3个业绩；</w:t>
      </w:r>
    </w:p>
    <w:p>
      <w:pPr>
        <w:spacing w:line="420" w:lineRule="exact"/>
        <w:ind w:firstLine="800" w:firstLineChars="400"/>
        <w:jc w:val="left"/>
        <w:rPr>
          <w:rFonts w:hint="eastAsia" w:ascii="方正黑体_GBK" w:eastAsia="方正黑体_GBK"/>
          <w:sz w:val="20"/>
          <w:szCs w:val="20"/>
          <w:highlight w:val="none"/>
        </w:rPr>
      </w:pPr>
      <w:r>
        <w:rPr>
          <w:rFonts w:hint="eastAsia" w:ascii="方正黑体_GBK" w:eastAsia="方正黑体_GBK"/>
          <w:sz w:val="20"/>
          <w:szCs w:val="20"/>
          <w:highlight w:val="none"/>
        </w:rPr>
        <w:t>3、投标人如提供的单个合同仅包含第（2）项业绩则视为2个业绩；</w:t>
      </w:r>
    </w:p>
    <w:p>
      <w:pPr>
        <w:spacing w:line="420" w:lineRule="exact"/>
        <w:ind w:firstLine="400" w:firstLineChars="200"/>
        <w:jc w:val="left"/>
        <w:rPr>
          <w:rFonts w:hint="eastAsia" w:ascii="方正黑体_GBK" w:eastAsia="方正黑体_GBK"/>
          <w:sz w:val="20"/>
          <w:szCs w:val="20"/>
          <w:highlight w:val="none"/>
        </w:rPr>
      </w:pPr>
      <w:r>
        <w:rPr>
          <w:rFonts w:hint="eastAsia" w:ascii="方正黑体_GBK" w:eastAsia="方正黑体_GBK"/>
          <w:sz w:val="20"/>
          <w:szCs w:val="20"/>
          <w:highlight w:val="none"/>
        </w:rPr>
        <w:t xml:space="preserve">    4、如联合体投标，业绩由联合体成员之一提供即可。</w:t>
      </w:r>
    </w:p>
    <w:p>
      <w:pPr>
        <w:spacing w:line="420" w:lineRule="exact"/>
        <w:ind w:firstLine="422"/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>3.2本次招标接受联合体投标，联合体要求如下：</w:t>
      </w:r>
    </w:p>
    <w:p>
      <w:pPr>
        <w:spacing w:line="420" w:lineRule="exact"/>
        <w:ind w:firstLine="422"/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>（1）联合体投标人之间需具备如下条件之一：母公司和其全资子公司、母公司和其控股子公司，上述联合体投标人需提供工商注册登记证明材料。</w:t>
      </w:r>
    </w:p>
    <w:p>
      <w:pPr>
        <w:spacing w:line="420" w:lineRule="exact"/>
        <w:ind w:firstLine="422"/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>（2）联合体单位不得超过2家；</w:t>
      </w:r>
    </w:p>
    <w:p>
      <w:pPr>
        <w:spacing w:line="420" w:lineRule="exact"/>
        <w:ind w:firstLine="422"/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>（3）联合体牵头人应具有交通运输主管部门认定的《公路水运工程试验检测机构等级证书》公路工程综合甲级资质和《公路水运工程试验检测机构等级证书》公路工程桥梁隧道工程专项资质,同时具有省级（含省级）以上市场监督管理部门认定的《检验检测机构资质认定证书（CMA）》，牵头单位自身若满足资质要求，则不能再参与组成联合体。</w:t>
      </w:r>
    </w:p>
    <w:p>
      <w:pPr>
        <w:spacing w:line="420" w:lineRule="exact"/>
        <w:ind w:firstLine="422"/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>（4）联合体投标人须提交联合体投标协议书，并明确牵头人，以及各方的权利和义务。</w:t>
      </w:r>
    </w:p>
    <w:p>
      <w:pPr>
        <w:spacing w:line="360" w:lineRule="auto"/>
        <w:ind w:firstLine="422"/>
        <w:rPr>
          <w:rFonts w:hint="eastAsia"/>
          <w:b/>
          <w:bCs/>
          <w:highlight w:val="none"/>
        </w:rPr>
      </w:pPr>
      <w:r>
        <w:rPr>
          <w:rFonts w:hint="eastAsia"/>
          <w:highlight w:val="none"/>
        </w:rPr>
        <w:t>（5）联合体各方签订共同投标协议后，不得再以自己名义单独投标，也不得组成新的联合体或参加其他联合体在本项目中投标。</w:t>
      </w:r>
    </w:p>
    <w:p>
      <w:pPr>
        <w:pStyle w:val="6"/>
        <w:adjustRightInd/>
        <w:spacing w:line="360" w:lineRule="auto"/>
        <w:ind w:firstLine="420" w:firstLineChars="200"/>
        <w:jc w:val="both"/>
        <w:rPr>
          <w:rFonts w:hint="eastAsia"/>
          <w:color w:val="auto"/>
          <w:kern w:val="2"/>
          <w:sz w:val="21"/>
          <w:highlight w:val="none"/>
        </w:rPr>
      </w:pPr>
      <w:r>
        <w:rPr>
          <w:rFonts w:hint="eastAsia"/>
          <w:color w:val="auto"/>
          <w:kern w:val="2"/>
          <w:sz w:val="21"/>
          <w:highlight w:val="none"/>
        </w:rPr>
        <w:t>3.3满足条件的投标人，可以对本项目的全部标段进行投标，最多允许中标两个标段；评标时按照对应最高限价金额从高到低进行评比，若同一投标人在三个标段评审中均被评为第一中标候选人，该投标人推荐为对应最高限价金额最高</w:t>
      </w:r>
      <w:r>
        <w:rPr>
          <w:rFonts w:hint="eastAsia"/>
          <w:color w:val="auto"/>
          <w:kern w:val="2"/>
          <w:sz w:val="21"/>
          <w:highlight w:val="none"/>
          <w:lang w:eastAsia="zh-CN"/>
        </w:rPr>
        <w:t>和次高</w:t>
      </w:r>
      <w:r>
        <w:rPr>
          <w:rFonts w:hint="eastAsia"/>
          <w:color w:val="auto"/>
          <w:kern w:val="2"/>
          <w:sz w:val="21"/>
          <w:highlight w:val="none"/>
        </w:rPr>
        <w:t>的两个标段的第一中标候选人，不再推荐为对应最高限价金额最低标段的中标候选人，由排名靠后的投标人依次递补。</w:t>
      </w:r>
    </w:p>
    <w:p>
      <w:pPr>
        <w:pStyle w:val="6"/>
        <w:spacing w:line="360" w:lineRule="auto"/>
        <w:ind w:firstLine="420" w:firstLineChars="200"/>
        <w:rPr>
          <w:rFonts w:hint="eastAsia"/>
          <w:color w:val="auto"/>
          <w:kern w:val="2"/>
          <w:sz w:val="21"/>
          <w:highlight w:val="none"/>
        </w:rPr>
      </w:pPr>
      <w:r>
        <w:rPr>
          <w:rFonts w:hint="eastAsia"/>
          <w:color w:val="auto"/>
          <w:kern w:val="2"/>
          <w:sz w:val="21"/>
          <w:highlight w:val="none"/>
        </w:rPr>
        <w:t>3.4与招标人存在利害关系可能影响招标公正性的法人、其他组织或者个人，不得参加投标。</w:t>
      </w:r>
    </w:p>
    <w:p>
      <w:pPr>
        <w:pStyle w:val="6"/>
        <w:adjustRightInd/>
        <w:spacing w:line="360" w:lineRule="auto"/>
        <w:ind w:firstLine="420" w:firstLineChars="200"/>
        <w:jc w:val="both"/>
        <w:rPr>
          <w:color w:val="auto"/>
          <w:kern w:val="2"/>
          <w:sz w:val="21"/>
          <w:highlight w:val="none"/>
        </w:rPr>
      </w:pPr>
      <w:r>
        <w:rPr>
          <w:rFonts w:hint="eastAsia"/>
          <w:color w:val="auto"/>
          <w:kern w:val="2"/>
          <w:sz w:val="21"/>
          <w:highlight w:val="none"/>
        </w:rPr>
        <w:t>3.5 在“信用中国”网站（http://www.creditchina.gov.cn/）中被列入失信被执行人名单的投标人，不得参加投标。</w:t>
      </w:r>
    </w:p>
    <w:p>
      <w:pPr>
        <w:pStyle w:val="3"/>
        <w:spacing w:before="240" w:after="240" w:line="400" w:lineRule="exact"/>
        <w:outlineLvl w:val="1"/>
        <w:rPr>
          <w:rFonts w:ascii="宋体" w:hAnsi="宋体" w:cs="宋体"/>
          <w:kern w:val="0"/>
          <w:sz w:val="24"/>
          <w:szCs w:val="24"/>
          <w:highlight w:val="none"/>
        </w:rPr>
      </w:pPr>
      <w:bookmarkStart w:id="16" w:name="_Toc15998618"/>
      <w:bookmarkStart w:id="17" w:name="_Toc32499"/>
      <w:r>
        <w:rPr>
          <w:rFonts w:hint="eastAsia" w:ascii="宋体" w:hAnsi="宋体" w:cs="宋体"/>
          <w:kern w:val="0"/>
          <w:sz w:val="24"/>
          <w:szCs w:val="24"/>
          <w:highlight w:val="none"/>
        </w:rPr>
        <w:t>4. 招标文件的获取</w:t>
      </w:r>
      <w:bookmarkEnd w:id="10"/>
      <w:bookmarkEnd w:id="11"/>
      <w:bookmarkEnd w:id="16"/>
      <w:bookmarkEnd w:id="17"/>
      <w:r>
        <w:rPr>
          <w:rFonts w:hint="eastAsia" w:ascii="宋体" w:hAnsi="宋体" w:cs="宋体"/>
          <w:kern w:val="0"/>
          <w:sz w:val="24"/>
          <w:szCs w:val="24"/>
          <w:highlight w:val="none"/>
        </w:rPr>
        <w:tab/>
      </w:r>
    </w:p>
    <w:p>
      <w:pPr>
        <w:tabs>
          <w:tab w:val="left" w:pos="360"/>
        </w:tabs>
        <w:spacing w:line="400" w:lineRule="exact"/>
        <w:ind w:firstLine="420" w:firstLineChars="200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4.1 凡有意参加的投标者，请于2022年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8</w:t>
      </w:r>
      <w:r>
        <w:rPr>
          <w:rFonts w:hint="eastAsia" w:ascii="宋体" w:hAnsi="宋体" w:cs="宋体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kern w:val="0"/>
          <w:szCs w:val="21"/>
          <w:highlight w:val="none"/>
        </w:rPr>
        <w:t>日起，在重庆市公共资源交易网(www.cqggzy.com)下载招标文件及有关资料，不管下载与否都视为投标人全部知晓有关招标过程和事宜。各投标人应随时关注重庆市公共资源交易网(www.cqggzy.com)上发布的招标文件及相关修改和补充内容。无论投标人下载与否都视为已全部知晓有关招标过程和所有事宜。</w:t>
      </w:r>
    </w:p>
    <w:p>
      <w:pPr>
        <w:tabs>
          <w:tab w:val="left" w:pos="3850"/>
          <w:tab w:val="left" w:pos="3980"/>
          <w:tab w:val="left" w:pos="4100"/>
          <w:tab w:val="left" w:pos="4600"/>
          <w:tab w:val="left" w:pos="5360"/>
          <w:tab w:val="left" w:pos="5460"/>
          <w:tab w:val="left" w:pos="6200"/>
          <w:tab w:val="left" w:pos="6327"/>
          <w:tab w:val="left" w:pos="6901"/>
        </w:tabs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ascii="宋体" w:hAnsi="宋体"/>
          <w:snapToGrid w:val="0"/>
          <w:kern w:val="0"/>
          <w:szCs w:val="21"/>
          <w:highlight w:val="none"/>
        </w:rPr>
      </w:pPr>
      <w:r>
        <w:rPr>
          <w:rFonts w:hint="eastAsia" w:ascii="宋体" w:hAnsi="宋体"/>
          <w:snapToGrid w:val="0"/>
          <w:kern w:val="0"/>
          <w:szCs w:val="21"/>
          <w:highlight w:val="none"/>
        </w:rPr>
        <w:t>4.2  投标人可在</w:t>
      </w:r>
      <w:r>
        <w:rPr>
          <w:rFonts w:hint="eastAsia" w:ascii="宋体" w:hAnsi="宋体"/>
          <w:snapToGrid w:val="0"/>
          <w:kern w:val="0"/>
          <w:szCs w:val="21"/>
          <w:highlight w:val="none"/>
          <w:u w:val="single"/>
        </w:rPr>
        <w:t>重庆市公共资源交易网（www.cqggzy.com）</w:t>
      </w:r>
      <w:r>
        <w:rPr>
          <w:rFonts w:hint="eastAsia" w:ascii="宋体" w:hAnsi="宋体"/>
          <w:snapToGrid w:val="0"/>
          <w:kern w:val="0"/>
          <w:szCs w:val="21"/>
          <w:highlight w:val="none"/>
        </w:rPr>
        <w:t>本项目招标公告网页下方“我要提问”栏提出疑问，提问时间从本公告发布至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2022</w:t>
      </w:r>
      <w:r>
        <w:rPr>
          <w:rFonts w:hint="eastAsia" w:ascii="宋体" w:hAnsi="宋体" w:cs="宋体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cs="宋体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宋体"/>
          <w:kern w:val="0"/>
          <w:szCs w:val="21"/>
          <w:highlight w:val="none"/>
        </w:rPr>
        <w:t>日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宋体"/>
          <w:szCs w:val="21"/>
          <w:highlight w:val="none"/>
        </w:rPr>
        <w:t>时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cs="宋体"/>
          <w:szCs w:val="21"/>
          <w:highlight w:val="none"/>
        </w:rPr>
        <w:t>分</w:t>
      </w:r>
      <w:r>
        <w:rPr>
          <w:rFonts w:hint="eastAsia" w:ascii="宋体" w:hAnsi="宋体"/>
          <w:snapToGrid w:val="0"/>
          <w:kern w:val="0"/>
          <w:szCs w:val="21"/>
          <w:highlight w:val="none"/>
        </w:rPr>
        <w:t>（北京时间）前。</w:t>
      </w:r>
    </w:p>
    <w:p>
      <w:pPr>
        <w:pStyle w:val="6"/>
        <w:spacing w:line="400" w:lineRule="exact"/>
        <w:ind w:firstLine="420" w:firstLineChars="200"/>
        <w:rPr>
          <w:sz w:val="21"/>
          <w:szCs w:val="21"/>
          <w:highlight w:val="none"/>
        </w:rPr>
      </w:pPr>
      <w:r>
        <w:rPr>
          <w:rFonts w:hint="eastAsia" w:ascii="宋体" w:hAnsi="宋体"/>
          <w:snapToGrid w:val="0"/>
          <w:kern w:val="0"/>
          <w:sz w:val="21"/>
          <w:szCs w:val="21"/>
          <w:highlight w:val="none"/>
        </w:rPr>
        <w:t>4.3  招标人应于</w:t>
      </w:r>
      <w:r>
        <w:rPr>
          <w:rFonts w:hint="eastAsia" w:ascii="宋体" w:hAnsi="宋体" w:cs="宋体"/>
          <w:kern w:val="0"/>
          <w:sz w:val="21"/>
          <w:szCs w:val="21"/>
          <w:highlight w:val="none"/>
          <w:u w:val="single"/>
          <w:lang w:val="en-US" w:eastAsia="zh-CN"/>
        </w:rPr>
        <w:t>2022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kern w:val="0"/>
          <w:sz w:val="21"/>
          <w:szCs w:val="21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kern w:val="0"/>
          <w:sz w:val="21"/>
          <w:szCs w:val="21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日</w:t>
      </w:r>
      <w:r>
        <w:rPr>
          <w:rFonts w:hint="eastAsia" w:ascii="宋体" w:hAnsi="宋体" w:cs="宋体"/>
          <w:kern w:val="0"/>
          <w:sz w:val="21"/>
          <w:szCs w:val="21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cs="宋体"/>
          <w:sz w:val="21"/>
          <w:szCs w:val="21"/>
          <w:highlight w:val="none"/>
        </w:rPr>
        <w:t>时</w:t>
      </w:r>
      <w:r>
        <w:rPr>
          <w:rFonts w:hint="eastAsia" w:ascii="宋体" w:hAnsi="宋体" w:cs="宋体"/>
          <w:kern w:val="0"/>
          <w:sz w:val="21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cs="宋体"/>
          <w:sz w:val="21"/>
          <w:szCs w:val="21"/>
          <w:highlight w:val="none"/>
        </w:rPr>
        <w:t>分</w:t>
      </w:r>
      <w:r>
        <w:rPr>
          <w:rFonts w:hint="eastAsia" w:ascii="宋体" w:hAnsi="宋体"/>
          <w:snapToGrid w:val="0"/>
          <w:kern w:val="0"/>
          <w:sz w:val="21"/>
          <w:szCs w:val="21"/>
          <w:highlight w:val="none"/>
        </w:rPr>
        <w:t>（北京时间）前在</w:t>
      </w:r>
      <w:r>
        <w:rPr>
          <w:rFonts w:hint="eastAsia" w:ascii="宋体" w:hAnsi="宋体"/>
          <w:snapToGrid w:val="0"/>
          <w:kern w:val="0"/>
          <w:sz w:val="21"/>
          <w:szCs w:val="21"/>
          <w:highlight w:val="none"/>
          <w:u w:val="single"/>
        </w:rPr>
        <w:t>重庆市公共资源交易网（www.cqggzy.com）</w:t>
      </w:r>
      <w:r>
        <w:rPr>
          <w:rFonts w:hint="eastAsia" w:ascii="宋体" w:hAnsi="宋体"/>
          <w:snapToGrid w:val="0"/>
          <w:kern w:val="0"/>
          <w:sz w:val="21"/>
          <w:szCs w:val="21"/>
          <w:highlight w:val="none"/>
        </w:rPr>
        <w:t>发布澄清</w:t>
      </w:r>
      <w:r>
        <w:rPr>
          <w:rFonts w:hint="eastAsia" w:ascii="宋体" w:hAnsi="宋体"/>
          <w:snapToGrid w:val="0"/>
          <w:kern w:val="0"/>
          <w:sz w:val="21"/>
          <w:szCs w:val="21"/>
          <w:highlight w:val="none"/>
          <w:lang w:val="en-US" w:eastAsia="zh-CN"/>
        </w:rPr>
        <w:t>或修改</w:t>
      </w:r>
      <w:r>
        <w:rPr>
          <w:rFonts w:hint="eastAsia" w:ascii="宋体" w:hAnsi="宋体"/>
          <w:snapToGrid w:val="0"/>
          <w:kern w:val="0"/>
          <w:sz w:val="21"/>
          <w:szCs w:val="21"/>
          <w:highlight w:val="none"/>
        </w:rPr>
        <w:t>。</w:t>
      </w:r>
    </w:p>
    <w:p>
      <w:pPr>
        <w:pStyle w:val="3"/>
        <w:spacing w:before="240" w:after="240" w:line="400" w:lineRule="exact"/>
        <w:outlineLvl w:val="1"/>
        <w:rPr>
          <w:rFonts w:ascii="宋体" w:hAnsi="宋体" w:cs="宋体"/>
          <w:kern w:val="0"/>
          <w:sz w:val="24"/>
          <w:szCs w:val="24"/>
          <w:highlight w:val="none"/>
        </w:rPr>
      </w:pPr>
      <w:bookmarkStart w:id="18" w:name="_Toc15998619"/>
      <w:bookmarkStart w:id="19" w:name="_Toc509841262"/>
      <w:bookmarkStart w:id="20" w:name="_Toc234832849"/>
      <w:bookmarkStart w:id="21" w:name="_Toc26622"/>
      <w:r>
        <w:rPr>
          <w:rFonts w:hint="eastAsia" w:ascii="宋体" w:hAnsi="宋体" w:cs="宋体"/>
          <w:kern w:val="0"/>
          <w:sz w:val="24"/>
          <w:szCs w:val="24"/>
          <w:highlight w:val="none"/>
        </w:rPr>
        <w:t>5. 投标文件的递交及相关事宜</w:t>
      </w:r>
      <w:bookmarkEnd w:id="18"/>
      <w:bookmarkEnd w:id="19"/>
      <w:bookmarkEnd w:id="20"/>
      <w:bookmarkEnd w:id="21"/>
    </w:p>
    <w:p>
      <w:pPr>
        <w:spacing w:line="400" w:lineRule="exact"/>
        <w:ind w:firstLine="420" w:firstLineChars="200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5.1 投标文件递交的截止时间为20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22</w:t>
      </w:r>
      <w:r>
        <w:rPr>
          <w:rFonts w:hint="eastAsia" w:ascii="宋体" w:hAnsi="宋体" w:cs="宋体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cs="宋体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26</w:t>
      </w:r>
      <w:r>
        <w:rPr>
          <w:rFonts w:hint="eastAsia" w:ascii="宋体" w:hAnsi="宋体" w:cs="宋体"/>
          <w:kern w:val="0"/>
          <w:szCs w:val="21"/>
          <w:highlight w:val="none"/>
        </w:rPr>
        <w:t>日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时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分</w:t>
      </w:r>
      <w:r>
        <w:rPr>
          <w:rFonts w:hint="eastAsia" w:ascii="宋体" w:hAnsi="宋体" w:cs="宋体"/>
          <w:kern w:val="0"/>
          <w:szCs w:val="21"/>
          <w:highlight w:val="none"/>
        </w:rPr>
        <w:t>，投标人应于当日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时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分</w:t>
      </w:r>
      <w:r>
        <w:rPr>
          <w:rFonts w:hint="eastAsia" w:ascii="宋体" w:hAnsi="宋体" w:cs="宋体"/>
          <w:kern w:val="0"/>
          <w:szCs w:val="21"/>
          <w:highlight w:val="none"/>
        </w:rPr>
        <w:t>至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时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分</w:t>
      </w:r>
      <w:r>
        <w:rPr>
          <w:rFonts w:hint="eastAsia" w:ascii="宋体" w:hAnsi="宋体" w:cs="宋体"/>
          <w:kern w:val="0"/>
          <w:szCs w:val="21"/>
          <w:highlight w:val="none"/>
        </w:rPr>
        <w:t>将投标文件递交至重庆市公共资源交易中心（地址：重庆市渝北区青枫北路6号渝兴广场B10栋），具体接标处以当日大厅电子显示屏公布信息为准。</w:t>
      </w:r>
    </w:p>
    <w:p>
      <w:pPr>
        <w:spacing w:line="400" w:lineRule="exact"/>
        <w:ind w:firstLine="420" w:firstLineChars="200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5.2 逾期送达的、未送达指定地点的或不按照招标文件要求密封的投标文件，招标人有权拒收。</w:t>
      </w:r>
    </w:p>
    <w:p>
      <w:pPr>
        <w:pStyle w:val="3"/>
        <w:numPr>
          <w:ilvl w:val="0"/>
          <w:numId w:val="1"/>
        </w:numPr>
        <w:spacing w:before="240" w:after="240" w:line="400" w:lineRule="exact"/>
        <w:outlineLvl w:val="1"/>
        <w:rPr>
          <w:rFonts w:ascii="宋体" w:hAnsi="宋体" w:cs="宋体"/>
          <w:kern w:val="0"/>
          <w:sz w:val="24"/>
          <w:szCs w:val="24"/>
          <w:highlight w:val="none"/>
        </w:rPr>
      </w:pPr>
      <w:bookmarkStart w:id="22" w:name="_Toc234832850"/>
      <w:bookmarkStart w:id="23" w:name="_Toc19517"/>
      <w:bookmarkStart w:id="24" w:name="_Toc15998620"/>
      <w:bookmarkStart w:id="25" w:name="_Toc509841263"/>
      <w:r>
        <w:rPr>
          <w:rFonts w:hint="eastAsia" w:ascii="宋体" w:hAnsi="宋体" w:cs="宋体"/>
          <w:kern w:val="0"/>
          <w:sz w:val="24"/>
          <w:szCs w:val="24"/>
          <w:highlight w:val="none"/>
        </w:rPr>
        <w:t>发布公告的媒介</w:t>
      </w:r>
      <w:bookmarkEnd w:id="22"/>
      <w:bookmarkEnd w:id="23"/>
      <w:bookmarkEnd w:id="24"/>
      <w:bookmarkEnd w:id="25"/>
    </w:p>
    <w:p>
      <w:pPr>
        <w:spacing w:line="400" w:lineRule="exact"/>
        <w:ind w:firstLine="420"/>
        <w:rPr>
          <w:rFonts w:ascii="宋体" w:hAnsi="宋体" w:cs="宋体"/>
          <w:kern w:val="0"/>
          <w:szCs w:val="21"/>
          <w:highlight w:val="none"/>
        </w:rPr>
      </w:pPr>
      <w:bookmarkStart w:id="26" w:name="_Toc509841264"/>
      <w:bookmarkStart w:id="27" w:name="_Toc234832851"/>
      <w:r>
        <w:rPr>
          <w:sz w:val="22"/>
          <w:szCs w:val="32"/>
          <w:highlight w:val="none"/>
        </w:rPr>
        <w:t>本次招标公告同时在重庆市公共资源交易网（www.cqggzy.com）重庆高速公路集团有限公司官方网站（http://www.cegc.com.cn/）及重庆高速公路集团有限公司招投标管理平台（http://43.240.249.108:8088/PMS/）网上发布</w:t>
      </w:r>
      <w:r>
        <w:rPr>
          <w:rFonts w:hint="eastAsia" w:ascii="宋体" w:hAnsi="宋体" w:cs="宋体"/>
          <w:kern w:val="0"/>
          <w:szCs w:val="21"/>
          <w:highlight w:val="none"/>
        </w:rPr>
        <w:t>。</w:t>
      </w:r>
    </w:p>
    <w:p>
      <w:pPr>
        <w:pStyle w:val="3"/>
        <w:spacing w:before="240" w:after="240" w:line="400" w:lineRule="exact"/>
        <w:outlineLvl w:val="1"/>
        <w:rPr>
          <w:rFonts w:ascii="宋体" w:hAnsi="宋体" w:cs="宋体"/>
          <w:kern w:val="0"/>
          <w:sz w:val="24"/>
          <w:szCs w:val="24"/>
          <w:highlight w:val="none"/>
        </w:rPr>
      </w:pPr>
      <w:bookmarkStart w:id="28" w:name="_Toc7373"/>
      <w:bookmarkStart w:id="29" w:name="_Toc15998621"/>
      <w:r>
        <w:rPr>
          <w:rFonts w:hint="eastAsia" w:ascii="宋体" w:hAnsi="宋体" w:cs="宋体"/>
          <w:kern w:val="0"/>
          <w:sz w:val="24"/>
          <w:szCs w:val="24"/>
          <w:highlight w:val="none"/>
        </w:rPr>
        <w:t>7. 联系方式</w:t>
      </w:r>
      <w:bookmarkEnd w:id="26"/>
      <w:bookmarkEnd w:id="27"/>
      <w:bookmarkEnd w:id="28"/>
      <w:bookmarkEnd w:id="29"/>
    </w:p>
    <w:p>
      <w:pPr>
        <w:spacing w:line="400" w:lineRule="exact"/>
        <w:ind w:firstLine="420" w:firstLineChars="200"/>
        <w:rPr>
          <w:rFonts w:hint="eastAsia" w:ascii="宋体" w:hAnsi="宋体" w:eastAsia="宋体"/>
          <w:szCs w:val="21"/>
          <w:highlight w:val="none"/>
          <w:lang w:eastAsia="zh-CN"/>
        </w:rPr>
      </w:pPr>
      <w:bookmarkStart w:id="30" w:name="_Toc152042301"/>
      <w:bookmarkEnd w:id="30"/>
      <w:bookmarkStart w:id="31" w:name="_Toc19794"/>
      <w:bookmarkEnd w:id="31"/>
      <w:bookmarkStart w:id="32" w:name="_Toc144974491"/>
      <w:bookmarkEnd w:id="32"/>
      <w:bookmarkStart w:id="33" w:name="_Toc247527547"/>
      <w:bookmarkEnd w:id="33"/>
      <w:bookmarkStart w:id="34" w:name="_Toc361508580"/>
      <w:bookmarkEnd w:id="34"/>
      <w:bookmarkStart w:id="35" w:name="_Toc352691469"/>
      <w:bookmarkEnd w:id="35"/>
      <w:bookmarkStart w:id="36" w:name="_Toc384308205"/>
      <w:bookmarkEnd w:id="36"/>
      <w:bookmarkStart w:id="37" w:name="_Toc152045523"/>
      <w:bookmarkEnd w:id="37"/>
      <w:bookmarkStart w:id="38" w:name="_Toc247513948"/>
      <w:bookmarkEnd w:id="38"/>
      <w:bookmarkStart w:id="39" w:name="_Toc352691467"/>
      <w:bookmarkEnd w:id="39"/>
      <w:bookmarkStart w:id="40" w:name="_Toc152042299"/>
      <w:bookmarkEnd w:id="40"/>
      <w:bookmarkStart w:id="41" w:name="_Toc247513946"/>
      <w:bookmarkEnd w:id="41"/>
      <w:bookmarkStart w:id="42" w:name="_Toc369531509"/>
      <w:bookmarkEnd w:id="42"/>
      <w:bookmarkStart w:id="43" w:name="_Toc152045525"/>
      <w:bookmarkEnd w:id="43"/>
      <w:bookmarkStart w:id="44" w:name="_Toc247527549"/>
      <w:bookmarkEnd w:id="44"/>
      <w:bookmarkStart w:id="45" w:name="_Toc300834941"/>
      <w:bookmarkEnd w:id="45"/>
      <w:bookmarkStart w:id="46" w:name="_Toc369531511"/>
      <w:bookmarkEnd w:id="46"/>
      <w:bookmarkStart w:id="47" w:name="_Toc384308203"/>
      <w:bookmarkEnd w:id="47"/>
      <w:bookmarkStart w:id="48" w:name="_Toc144974493"/>
      <w:bookmarkEnd w:id="48"/>
      <w:bookmarkStart w:id="49" w:name="_Toc300834943"/>
      <w:bookmarkEnd w:id="49"/>
      <w:bookmarkStart w:id="50" w:name="_Toc361508578"/>
      <w:bookmarkEnd w:id="50"/>
      <w:bookmarkStart w:id="51" w:name="_Toc14865"/>
      <w:bookmarkEnd w:id="51"/>
      <w:r>
        <w:rPr>
          <w:rFonts w:hint="eastAsia" w:ascii="宋体" w:hAnsi="宋体"/>
          <w:szCs w:val="21"/>
          <w:highlight w:val="none"/>
        </w:rPr>
        <w:t>招标人：</w:t>
      </w:r>
      <w:r>
        <w:rPr>
          <w:rFonts w:hint="eastAsia" w:ascii="宋体" w:hAnsi="宋体"/>
          <w:szCs w:val="21"/>
          <w:highlight w:val="none"/>
          <w:lang w:eastAsia="zh-CN"/>
        </w:rPr>
        <w:t>重庆高速公路集团有限公司东南营运分公司</w:t>
      </w:r>
    </w:p>
    <w:p>
      <w:pPr>
        <w:spacing w:line="40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地  址：重庆市渝北区银杉路66号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szCs w:val="21"/>
          <w:highlight w:val="none"/>
          <w:lang w:eastAsia="zh-CN"/>
        </w:rPr>
      </w:pPr>
      <w:r>
        <w:rPr>
          <w:rFonts w:hint="eastAsia" w:ascii="宋体" w:hAnsi="宋体"/>
          <w:szCs w:val="21"/>
          <w:highlight w:val="none"/>
        </w:rPr>
        <w:t>联系人：沈</w:t>
      </w:r>
      <w:r>
        <w:rPr>
          <w:rFonts w:hint="eastAsia" w:ascii="宋体" w:hAnsi="宋体"/>
          <w:szCs w:val="21"/>
          <w:highlight w:val="none"/>
          <w:lang w:eastAsia="zh-CN"/>
        </w:rPr>
        <w:t>老师</w:t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</w:rPr>
        <w:t>电  话：</w:t>
      </w:r>
      <w:r>
        <w:rPr>
          <w:rFonts w:hint="eastAsia" w:ascii="宋体" w:hAnsi="宋体"/>
          <w:szCs w:val="21"/>
          <w:highlight w:val="none"/>
          <w:lang w:val="en-US" w:eastAsia="zh-CN"/>
        </w:rPr>
        <w:t>023-79852507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  <w:highlight w:val="none"/>
        </w:rPr>
      </w:pPr>
    </w:p>
    <w:p>
      <w:pPr>
        <w:spacing w:line="40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招标代理机构：重庆国际投资咨询集团有限公司</w:t>
      </w:r>
    </w:p>
    <w:p>
      <w:pPr>
        <w:spacing w:line="40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地址：重庆市江北区五里店街道重庆咨询大厦A座</w:t>
      </w:r>
    </w:p>
    <w:p>
      <w:pPr>
        <w:spacing w:line="400" w:lineRule="exact"/>
        <w:ind w:firstLine="420" w:firstLineChars="200"/>
        <w:rPr>
          <w:rFonts w:hint="default" w:ascii="宋体" w:hAnsi="宋体" w:eastAsia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</w:rPr>
        <w:t>联系人：</w:t>
      </w:r>
      <w:r>
        <w:rPr>
          <w:rFonts w:hint="eastAsia" w:ascii="宋体" w:hAnsi="宋体"/>
          <w:szCs w:val="21"/>
          <w:highlight w:val="none"/>
          <w:lang w:val="en-US" w:eastAsia="zh-CN"/>
        </w:rPr>
        <w:t>刘老师</w:t>
      </w:r>
    </w:p>
    <w:p>
      <w:pPr>
        <w:ind w:firstLine="420" w:firstLineChars="200"/>
      </w:pPr>
      <w:r>
        <w:rPr>
          <w:rFonts w:hint="eastAsia" w:ascii="宋体" w:hAnsi="宋体"/>
          <w:szCs w:val="21"/>
          <w:highlight w:val="none"/>
        </w:rPr>
        <w:t>电话：023-67535469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322B2A"/>
    <w:multiLevelType w:val="singleLevel"/>
    <w:tmpl w:val="A6322B2A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A77FD"/>
    <w:rsid w:val="04E807A7"/>
    <w:rsid w:val="09385BDC"/>
    <w:rsid w:val="0BE43566"/>
    <w:rsid w:val="11FD6132"/>
    <w:rsid w:val="12C943C8"/>
    <w:rsid w:val="146D52A6"/>
    <w:rsid w:val="1DF00CC5"/>
    <w:rsid w:val="1E001E55"/>
    <w:rsid w:val="25BD2F35"/>
    <w:rsid w:val="25FE45CA"/>
    <w:rsid w:val="2ADE3AF5"/>
    <w:rsid w:val="2EE37D6F"/>
    <w:rsid w:val="308566EC"/>
    <w:rsid w:val="32EA6CF6"/>
    <w:rsid w:val="338363A6"/>
    <w:rsid w:val="34F765ED"/>
    <w:rsid w:val="35204799"/>
    <w:rsid w:val="35DA77FD"/>
    <w:rsid w:val="395A29CC"/>
    <w:rsid w:val="395F1BEC"/>
    <w:rsid w:val="39E23CBC"/>
    <w:rsid w:val="3AFE732B"/>
    <w:rsid w:val="3D7371AA"/>
    <w:rsid w:val="3E5F7DAF"/>
    <w:rsid w:val="400B06D4"/>
    <w:rsid w:val="4072666E"/>
    <w:rsid w:val="41F04187"/>
    <w:rsid w:val="42EC5FD0"/>
    <w:rsid w:val="4558700F"/>
    <w:rsid w:val="551C2FA9"/>
    <w:rsid w:val="586B45A5"/>
    <w:rsid w:val="59A06327"/>
    <w:rsid w:val="5EB33F87"/>
    <w:rsid w:val="641A1B32"/>
    <w:rsid w:val="660B701E"/>
    <w:rsid w:val="69D81617"/>
    <w:rsid w:val="6C174426"/>
    <w:rsid w:val="710C279E"/>
    <w:rsid w:val="73224B48"/>
    <w:rsid w:val="759018CB"/>
    <w:rsid w:val="759C6693"/>
    <w:rsid w:val="7C7042C8"/>
    <w:rsid w:val="7C90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eastAsia="黑体"/>
      <w:b/>
      <w:bCs/>
      <w:kern w:val="44"/>
      <w:sz w:val="56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00" w:lineRule="exact"/>
    </w:pPr>
    <w:rPr>
      <w:rFonts w:ascii="宋体" w:hAnsi="宋体"/>
      <w:sz w:val="24"/>
      <w:szCs w:val="20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2022-08-04T10:13:00Z</dcterms:created>
  <dc:creator>代理</dc:creator>
  <cp:lastModifiedBy>代理</cp:lastModifiedBy>
  <dcterms:modified xsi:type="dcterms:W3CDTF">2022-08-04T10:18:34Z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