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48"/>
          <w:szCs w:val="48"/>
          <w:highlight w:val="none"/>
          <w:lang w:val="en-US" w:eastAsia="zh-CN"/>
        </w:rPr>
      </w:pPr>
      <w:r>
        <w:rPr>
          <w:rFonts w:hint="eastAsia" w:asciiTheme="majorEastAsia" w:hAnsiTheme="majorEastAsia" w:eastAsiaTheme="majorEastAsia" w:cstheme="majorEastAsia"/>
          <w:b/>
          <w:color w:val="auto"/>
          <w:sz w:val="48"/>
          <w:szCs w:val="48"/>
          <w:highlight w:val="none"/>
        </w:rPr>
        <w:t>重庆</w:t>
      </w:r>
      <w:r>
        <w:rPr>
          <w:rFonts w:hint="eastAsia" w:asciiTheme="majorEastAsia" w:hAnsiTheme="majorEastAsia" w:eastAsiaTheme="majorEastAsia" w:cstheme="majorEastAsia"/>
          <w:b/>
          <w:color w:val="auto"/>
          <w:sz w:val="48"/>
          <w:szCs w:val="48"/>
          <w:highlight w:val="none"/>
          <w:lang w:val="en-US" w:eastAsia="zh-CN"/>
        </w:rPr>
        <w:t>高速文化传媒股份有限公司</w:t>
      </w:r>
    </w:p>
    <w:p>
      <w:pPr>
        <w:jc w:val="center"/>
        <w:rPr>
          <w:rFonts w:hint="eastAsia" w:asciiTheme="majorEastAsia" w:hAnsiTheme="majorEastAsia" w:eastAsiaTheme="majorEastAsia" w:cstheme="majorEastAsia"/>
          <w:b/>
          <w:color w:val="auto"/>
          <w:sz w:val="48"/>
          <w:szCs w:val="48"/>
          <w:highlight w:val="none"/>
          <w:lang w:val="en-US" w:eastAsia="zh-CN"/>
        </w:rPr>
      </w:pPr>
      <w:r>
        <w:rPr>
          <w:rFonts w:hint="eastAsia" w:asciiTheme="majorEastAsia" w:hAnsiTheme="majorEastAsia" w:eastAsiaTheme="majorEastAsia" w:cstheme="majorEastAsia"/>
          <w:b/>
          <w:color w:val="auto"/>
          <w:sz w:val="48"/>
          <w:szCs w:val="48"/>
          <w:highlight w:val="none"/>
          <w:lang w:val="en-US" w:eastAsia="zh-CN"/>
        </w:rPr>
        <w:t>白沙服务区、塘河服务区、珞璜服务区、大观服务区东西两侧服务区</w:t>
      </w:r>
    </w:p>
    <w:p>
      <w:pPr>
        <w:jc w:val="center"/>
        <w:rPr>
          <w:rFonts w:ascii="宋体" w:hAnsi="宋体" w:cs="宋体"/>
          <w:b/>
          <w:color w:val="auto"/>
          <w:spacing w:val="20"/>
          <w:sz w:val="72"/>
          <w:szCs w:val="72"/>
          <w:highlight w:val="none"/>
        </w:rPr>
      </w:pPr>
      <w:r>
        <w:rPr>
          <w:rFonts w:hint="eastAsia" w:asciiTheme="majorEastAsia" w:hAnsiTheme="majorEastAsia" w:eastAsiaTheme="majorEastAsia" w:cstheme="majorEastAsia"/>
          <w:b/>
          <w:color w:val="auto"/>
          <w:sz w:val="48"/>
          <w:szCs w:val="48"/>
          <w:highlight w:val="none"/>
          <w:lang w:val="en-US" w:eastAsia="zh-CN"/>
        </w:rPr>
        <w:t>加气站罩棚装饰项目</w:t>
      </w:r>
    </w:p>
    <w:p>
      <w:pPr>
        <w:pStyle w:val="2"/>
        <w:rPr>
          <w:color w:val="auto"/>
          <w:highlight w:val="none"/>
        </w:rPr>
      </w:pPr>
    </w:p>
    <w:p>
      <w:pPr>
        <w:jc w:val="center"/>
        <w:rPr>
          <w:rFonts w:ascii="宋体" w:hAnsi="宋体" w:cs="宋体"/>
          <w:b/>
          <w:color w:val="auto"/>
          <w:spacing w:val="20"/>
          <w:sz w:val="72"/>
          <w:szCs w:val="72"/>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lang w:val="en-US" w:eastAsia="zh-CN"/>
        </w:rPr>
        <w:t>竞争性比选</w:t>
      </w:r>
      <w:r>
        <w:rPr>
          <w:rFonts w:hint="eastAsia" w:ascii="宋体" w:hAnsi="宋体" w:cs="宋体"/>
          <w:b/>
          <w:color w:val="auto"/>
          <w:spacing w:val="20"/>
          <w:sz w:val="84"/>
          <w:szCs w:val="84"/>
          <w:highlight w:val="none"/>
        </w:rPr>
        <w:t>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color w:val="auto"/>
          <w:highlight w:val="none"/>
        </w:rPr>
      </w:pPr>
    </w:p>
    <w:p>
      <w:pPr>
        <w:rPr>
          <w:color w:val="auto"/>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rPr>
          <w:rFonts w:ascii="宋体" w:hAnsi="宋体" w:cs="宋体"/>
          <w:color w:val="auto"/>
          <w:szCs w:val="21"/>
          <w:highlight w:val="none"/>
        </w:rPr>
      </w:pPr>
    </w:p>
    <w:p>
      <w:pPr>
        <w:rPr>
          <w:rFonts w:ascii="宋体" w:hAnsi="宋体" w:cs="宋体"/>
          <w:color w:val="auto"/>
          <w:spacing w:val="100"/>
          <w:szCs w:val="21"/>
          <w:highlight w:val="none"/>
        </w:rPr>
      </w:pP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6"/>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w:t>
      </w:r>
      <w:r>
        <w:rPr>
          <w:rFonts w:hint="eastAsia" w:ascii="宋体" w:hAnsi="宋体" w:cs="宋体"/>
          <w:b/>
          <w:color w:val="auto"/>
          <w:sz w:val="32"/>
          <w:szCs w:val="32"/>
          <w:highlight w:val="none"/>
          <w:lang w:val="en-US" w:eastAsia="zh-CN"/>
        </w:rPr>
        <w:t>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p>
      <w:pPr>
        <w:rPr>
          <w:color w:val="auto"/>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重庆</w:t>
      </w:r>
      <w:r>
        <w:rPr>
          <w:rFonts w:hint="eastAsia" w:ascii="宋体" w:hAnsi="宋体" w:cs="宋体"/>
          <w:b/>
          <w:color w:val="auto"/>
          <w:sz w:val="30"/>
          <w:szCs w:val="30"/>
          <w:highlight w:val="none"/>
          <w:lang w:val="en-US" w:eastAsia="zh-CN"/>
        </w:rPr>
        <w:t>高速文化传媒股份有限公司白沙服务区、塘河服务区、珞璜服务区、大观服务区东西两侧服务区加气站罩棚装饰项目</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ascii="宋体" w:hAnsi="宋体" w:cs="宋体"/>
          <w:color w:val="auto"/>
          <w:sz w:val="24"/>
          <w:szCs w:val="24"/>
          <w:highlight w:val="none"/>
          <w:u w:val="single"/>
        </w:rPr>
      </w:pPr>
      <w:bookmarkStart w:id="0" w:name="_Toc152042295"/>
      <w:bookmarkStart w:id="1" w:name="_Toc247085680"/>
      <w:bookmarkStart w:id="2" w:name="_Toc246996909"/>
      <w:bookmarkStart w:id="3" w:name="_Toc152045519"/>
      <w:bookmarkStart w:id="4" w:name="_Toc179632536"/>
      <w:bookmarkStart w:id="5" w:name="_Toc144974487"/>
      <w:bookmarkStart w:id="6" w:name="_Toc296602410"/>
      <w:bookmarkStart w:id="7" w:name="_Toc246996166"/>
    </w:p>
    <w:bookmarkEnd w:id="0"/>
    <w:bookmarkEnd w:id="1"/>
    <w:bookmarkEnd w:id="2"/>
    <w:bookmarkEnd w:id="3"/>
    <w:bookmarkEnd w:id="4"/>
    <w:bookmarkEnd w:id="5"/>
    <w:bookmarkEnd w:id="6"/>
    <w:bookmarkEnd w:id="7"/>
    <w:p>
      <w:pPr>
        <w:ind w:firstLine="420" w:firstLineChars="200"/>
        <w:jc w:val="both"/>
        <w:rPr>
          <w:rFonts w:hint="eastAsia"/>
          <w:color w:val="auto"/>
          <w:szCs w:val="21"/>
          <w:highlight w:val="none"/>
          <w:lang w:val="en-US" w:eastAsia="zh-CN"/>
        </w:rPr>
      </w:pPr>
      <w:bookmarkStart w:id="8" w:name="_Toc247085682"/>
      <w:bookmarkStart w:id="9" w:name="_Toc246996911"/>
      <w:bookmarkStart w:id="10" w:name="_Toc179632538"/>
      <w:bookmarkStart w:id="11" w:name="_Toc296602412"/>
      <w:bookmarkStart w:id="12" w:name="_Toc152045521"/>
      <w:bookmarkStart w:id="13" w:name="_Toc144974489"/>
      <w:bookmarkStart w:id="14" w:name="_Toc246996168"/>
      <w:bookmarkStart w:id="15" w:name="_Toc152042297"/>
      <w:r>
        <w:rPr>
          <w:color w:val="auto"/>
          <w:szCs w:val="21"/>
          <w:highlight w:val="none"/>
        </w:rPr>
        <w:t>本项目</w:t>
      </w:r>
      <w:r>
        <w:rPr>
          <w:rFonts w:hint="eastAsia"/>
          <w:color w:val="auto"/>
          <w:szCs w:val="21"/>
          <w:highlight w:val="none"/>
          <w:lang w:val="en-US" w:eastAsia="zh-CN"/>
        </w:rPr>
        <w:t>为</w:t>
      </w:r>
      <w:r>
        <w:rPr>
          <w:rFonts w:hint="eastAsia"/>
          <w:color w:val="auto"/>
          <w:szCs w:val="21"/>
          <w:highlight w:val="none"/>
        </w:rPr>
        <w:t>重庆</w:t>
      </w:r>
      <w:r>
        <w:rPr>
          <w:rFonts w:hint="eastAsia"/>
          <w:color w:val="auto"/>
          <w:szCs w:val="21"/>
          <w:highlight w:val="none"/>
          <w:lang w:val="en-US" w:eastAsia="zh-CN"/>
        </w:rPr>
        <w:t>高速文化传媒股份有限公司白沙服务区、塘河服务区、珞璜服务区、大观东西两侧服务区加气站罩棚装饰项目，重庆高速文化传媒股份有限公司计划以竞争性比选方式确定实施单位，具体情况如下：</w:t>
      </w:r>
    </w:p>
    <w:p>
      <w:pPr>
        <w:pStyle w:val="2"/>
        <w:rPr>
          <w:color w:val="auto"/>
          <w:highlight w:val="none"/>
        </w:rPr>
      </w:pPr>
    </w:p>
    <w:p>
      <w:pPr>
        <w:spacing w:line="400" w:lineRule="exact"/>
        <w:rPr>
          <w:b/>
          <w:color w:val="auto"/>
          <w:szCs w:val="21"/>
          <w:highlight w:val="none"/>
        </w:rPr>
      </w:pPr>
      <w:bookmarkStart w:id="16" w:name="_Toc152042296"/>
      <w:bookmarkStart w:id="17" w:name="_Toc247085681"/>
      <w:bookmarkStart w:id="18" w:name="_Toc246996167"/>
      <w:bookmarkStart w:id="19" w:name="_Toc152045520"/>
      <w:bookmarkStart w:id="20" w:name="_Toc179632537"/>
      <w:bookmarkStart w:id="21" w:name="_Toc246996910"/>
      <w:bookmarkStart w:id="22" w:name="_Toc144974488"/>
      <w:bookmarkStart w:id="23" w:name="_Toc296602411"/>
      <w:r>
        <w:rPr>
          <w:b/>
          <w:color w:val="auto"/>
          <w:szCs w:val="21"/>
          <w:highlight w:val="none"/>
        </w:rPr>
        <w:t>一、</w:t>
      </w:r>
      <w:r>
        <w:rPr>
          <w:rFonts w:hint="eastAsia"/>
          <w:b/>
          <w:color w:val="auto"/>
          <w:szCs w:val="21"/>
          <w:highlight w:val="none"/>
        </w:rPr>
        <w:t>项目概况和</w:t>
      </w:r>
      <w:r>
        <w:rPr>
          <w:rFonts w:hint="eastAsia"/>
          <w:b/>
          <w:color w:val="auto"/>
          <w:szCs w:val="21"/>
          <w:highlight w:val="none"/>
          <w:lang w:val="en-US" w:eastAsia="zh-CN"/>
        </w:rPr>
        <w:t>比选</w:t>
      </w:r>
      <w:r>
        <w:rPr>
          <w:rFonts w:hint="eastAsia"/>
          <w:b/>
          <w:color w:val="auto"/>
          <w:szCs w:val="21"/>
          <w:highlight w:val="none"/>
        </w:rPr>
        <w:t>范围</w:t>
      </w:r>
    </w:p>
    <w:p>
      <w:pPr>
        <w:spacing w:line="400" w:lineRule="exact"/>
        <w:rPr>
          <w:b/>
          <w:color w:val="auto"/>
          <w:szCs w:val="21"/>
          <w:highlight w:val="none"/>
        </w:rPr>
      </w:pPr>
      <w:r>
        <w:rPr>
          <w:rFonts w:hint="eastAsia"/>
          <w:b/>
          <w:color w:val="auto"/>
          <w:szCs w:val="21"/>
          <w:highlight w:val="none"/>
          <w:lang w:val="en-US" w:eastAsia="zh-CN"/>
        </w:rPr>
        <w:t>1、</w:t>
      </w:r>
      <w:r>
        <w:rPr>
          <w:b/>
          <w:color w:val="auto"/>
          <w:szCs w:val="21"/>
          <w:highlight w:val="none"/>
        </w:rPr>
        <w:t>项目概况</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w:t>
      </w:r>
      <w:r>
        <w:rPr>
          <w:rFonts w:hint="eastAsia"/>
          <w:color w:val="auto"/>
          <w:szCs w:val="21"/>
          <w:highlight w:val="none"/>
          <w:lang w:val="en-US" w:eastAsia="zh-CN"/>
        </w:rPr>
        <w:t>为加气站罩棚装饰项目</w:t>
      </w:r>
      <w:r>
        <w:rPr>
          <w:color w:val="auto"/>
          <w:szCs w:val="21"/>
          <w:highlight w:val="none"/>
        </w:rPr>
        <w:t>。</w:t>
      </w:r>
    </w:p>
    <w:bookmarkEnd w:id="8"/>
    <w:bookmarkEnd w:id="9"/>
    <w:bookmarkEnd w:id="10"/>
    <w:bookmarkEnd w:id="11"/>
    <w:bookmarkEnd w:id="12"/>
    <w:bookmarkEnd w:id="13"/>
    <w:bookmarkEnd w:id="14"/>
    <w:bookmarkEnd w:id="15"/>
    <w:p>
      <w:pPr>
        <w:pStyle w:val="4"/>
        <w:adjustRightInd/>
        <w:snapToGrid/>
        <w:spacing w:line="400" w:lineRule="exact"/>
        <w:rPr>
          <w:rFonts w:ascii="Times New Roman" w:eastAsia="宋体"/>
          <w:snapToGrid w:val="0"/>
          <w:color w:val="auto"/>
          <w:sz w:val="21"/>
          <w:szCs w:val="21"/>
          <w:highlight w:val="none"/>
        </w:rPr>
      </w:pPr>
      <w:bookmarkStart w:id="24" w:name="_Toc287620668"/>
      <w:bookmarkStart w:id="25" w:name="_Toc365751393"/>
      <w:bookmarkStart w:id="26" w:name="_Toc277082537"/>
      <w:bookmarkStart w:id="27" w:name="_Toc3050"/>
      <w:bookmarkStart w:id="28" w:name="_Toc287607729"/>
      <w:bookmarkStart w:id="29" w:name="_Toc224103300"/>
      <w:bookmarkStart w:id="30" w:name="_Toc200359239"/>
      <w:bookmarkStart w:id="31" w:name="_Toc200359428"/>
      <w:bookmarkStart w:id="32" w:name="_Toc246996169"/>
      <w:bookmarkStart w:id="33" w:name="_Toc179632539"/>
      <w:bookmarkStart w:id="34" w:name="_Toc152042298"/>
      <w:bookmarkStart w:id="35" w:name="_Toc296602413"/>
      <w:bookmarkStart w:id="36" w:name="_Toc152045522"/>
      <w:bookmarkStart w:id="37" w:name="_Toc247085683"/>
      <w:bookmarkStart w:id="38" w:name="_Toc144974490"/>
      <w:bookmarkStart w:id="39" w:name="_Toc246996912"/>
      <w:r>
        <w:rPr>
          <w:rFonts w:ascii="Times New Roman" w:eastAsia="宋体"/>
          <w:snapToGrid w:val="0"/>
          <w:color w:val="auto"/>
          <w:sz w:val="21"/>
          <w:szCs w:val="21"/>
          <w:highlight w:val="none"/>
        </w:rPr>
        <w:t xml:space="preserve">2. </w:t>
      </w:r>
      <w:r>
        <w:rPr>
          <w:rFonts w:hint="eastAsia" w:ascii="Times New Roman" w:eastAsia="宋体"/>
          <w:snapToGrid w:val="0"/>
          <w:color w:val="auto"/>
          <w:sz w:val="21"/>
          <w:szCs w:val="21"/>
          <w:highlight w:val="none"/>
          <w:lang w:val="en-US" w:eastAsia="zh-CN"/>
        </w:rPr>
        <w:t>比选</w:t>
      </w:r>
      <w:r>
        <w:rPr>
          <w:rFonts w:ascii="Times New Roman" w:eastAsia="宋体"/>
          <w:snapToGrid w:val="0"/>
          <w:color w:val="auto"/>
          <w:sz w:val="21"/>
          <w:szCs w:val="21"/>
          <w:highlight w:val="none"/>
        </w:rPr>
        <w:t>范围</w:t>
      </w:r>
      <w:bookmarkEnd w:id="24"/>
      <w:bookmarkEnd w:id="25"/>
      <w:bookmarkEnd w:id="26"/>
      <w:bookmarkEnd w:id="27"/>
      <w:bookmarkEnd w:id="28"/>
      <w:bookmarkEnd w:id="29"/>
      <w:bookmarkEnd w:id="30"/>
      <w:bookmarkEnd w:id="31"/>
    </w:p>
    <w:p>
      <w:pPr>
        <w:spacing w:line="40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 xml:space="preserve">.1 </w:t>
      </w:r>
      <w:r>
        <w:rPr>
          <w:rFonts w:hint="eastAsia"/>
          <w:snapToGrid w:val="0"/>
          <w:color w:val="auto"/>
          <w:kern w:val="0"/>
          <w:szCs w:val="21"/>
          <w:highlight w:val="none"/>
          <w:lang w:val="en-US" w:eastAsia="zh-CN"/>
        </w:rPr>
        <w:t>项目</w:t>
      </w:r>
      <w:r>
        <w:rPr>
          <w:snapToGrid w:val="0"/>
          <w:color w:val="auto"/>
          <w:kern w:val="0"/>
          <w:szCs w:val="21"/>
          <w:highlight w:val="none"/>
        </w:rPr>
        <w:t>地点：</w:t>
      </w:r>
      <w:r>
        <w:rPr>
          <w:rFonts w:hint="eastAsia"/>
          <w:snapToGrid w:val="0"/>
          <w:color w:val="auto"/>
          <w:kern w:val="0"/>
          <w:szCs w:val="21"/>
          <w:highlight w:val="none"/>
          <w:lang w:val="en-US" w:eastAsia="zh-CN"/>
        </w:rPr>
        <w:t>白沙服务区、塘河服务区、珞璜服务区、大观服务区东西两侧共5处。</w:t>
      </w:r>
    </w:p>
    <w:p>
      <w:pPr>
        <w:spacing w:line="400" w:lineRule="exact"/>
        <w:ind w:firstLine="420" w:firstLineChars="200"/>
        <w:rPr>
          <w:rFonts w:hint="eastAsia" w:eastAsiaTheme="minorEastAsia"/>
          <w:snapToGrid w:val="0"/>
          <w:color w:val="auto"/>
          <w:kern w:val="0"/>
          <w:szCs w:val="21"/>
          <w:highlight w:val="none"/>
          <w:lang w:eastAsia="zh-CN"/>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2</w:t>
      </w:r>
      <w:r>
        <w:rPr>
          <w:snapToGrid w:val="0"/>
          <w:color w:val="auto"/>
          <w:kern w:val="0"/>
          <w:szCs w:val="21"/>
          <w:highlight w:val="none"/>
        </w:rPr>
        <w:t xml:space="preserve"> </w:t>
      </w:r>
      <w:r>
        <w:rPr>
          <w:rFonts w:hint="eastAsia"/>
          <w:snapToGrid w:val="0"/>
          <w:color w:val="auto"/>
          <w:kern w:val="0"/>
          <w:szCs w:val="21"/>
          <w:highlight w:val="none"/>
          <w:lang w:val="en-US" w:eastAsia="zh-CN"/>
        </w:rPr>
        <w:t>施工</w:t>
      </w:r>
      <w:r>
        <w:rPr>
          <w:snapToGrid w:val="0"/>
          <w:color w:val="auto"/>
          <w:kern w:val="0"/>
          <w:szCs w:val="21"/>
          <w:highlight w:val="none"/>
        </w:rPr>
        <w:t>工期：</w:t>
      </w:r>
      <w:r>
        <w:rPr>
          <w:rFonts w:hint="eastAsia"/>
          <w:snapToGrid w:val="0"/>
          <w:color w:val="auto"/>
          <w:kern w:val="0"/>
          <w:szCs w:val="21"/>
          <w:highlight w:val="none"/>
          <w:lang w:val="en-US" w:eastAsia="zh-CN"/>
        </w:rPr>
        <w:t>以业主下发通知为准</w:t>
      </w:r>
      <w:r>
        <w:rPr>
          <w:rFonts w:hint="eastAsia"/>
          <w:snapToGrid w:val="0"/>
          <w:color w:val="auto"/>
          <w:kern w:val="0"/>
          <w:szCs w:val="21"/>
          <w:highlight w:val="none"/>
        </w:rPr>
        <w:t>。</w:t>
      </w:r>
    </w:p>
    <w:p>
      <w:pPr>
        <w:spacing w:line="400" w:lineRule="exact"/>
        <w:ind w:firstLine="420" w:firstLineChars="200"/>
        <w:rPr>
          <w:rFonts w:hint="default" w:eastAsiaTheme="minorEastAsia"/>
          <w:snapToGrid w:val="0"/>
          <w:color w:val="auto"/>
          <w:kern w:val="0"/>
          <w:szCs w:val="21"/>
          <w:highlight w:val="none"/>
          <w:lang w:val="en-US" w:eastAsia="zh-CN"/>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 xml:space="preserve">3 </w:t>
      </w:r>
      <w:r>
        <w:rPr>
          <w:snapToGrid w:val="0"/>
          <w:color w:val="auto"/>
          <w:kern w:val="0"/>
          <w:szCs w:val="21"/>
          <w:highlight w:val="none"/>
        </w:rPr>
        <w:t>招标范围：</w:t>
      </w:r>
      <w:bookmarkStart w:id="40" w:name="_Toc287607730"/>
      <w:bookmarkStart w:id="41" w:name="_Toc200359429"/>
      <w:bookmarkStart w:id="42" w:name="_Toc200359240"/>
      <w:bookmarkStart w:id="43" w:name="_Toc277082538"/>
      <w:bookmarkStart w:id="44" w:name="_Toc224103301"/>
      <w:bookmarkStart w:id="45" w:name="_Toc365751394"/>
      <w:bookmarkStart w:id="46" w:name="_Toc287620669"/>
      <w:r>
        <w:rPr>
          <w:rFonts w:hint="eastAsia"/>
          <w:color w:val="auto"/>
          <w:szCs w:val="21"/>
          <w:highlight w:val="none"/>
          <w:lang w:val="en-US" w:eastAsia="zh-CN"/>
        </w:rPr>
        <w:t>白沙服务区、塘河服务区、珞璜服务区、大观东西两侧服务区加气站罩棚装饰及服务区标识标牌（每个服务区一个）</w:t>
      </w:r>
      <w:r>
        <w:rPr>
          <w:rFonts w:hint="eastAsia"/>
          <w:snapToGrid w:val="0"/>
          <w:color w:val="auto"/>
          <w:kern w:val="0"/>
          <w:szCs w:val="21"/>
          <w:highlight w:val="none"/>
          <w:lang w:val="en-US" w:eastAsia="zh-CN"/>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4</w:t>
      </w:r>
      <w:r>
        <w:rPr>
          <w:snapToGrid w:val="0"/>
          <w:color w:val="auto"/>
          <w:kern w:val="0"/>
          <w:szCs w:val="21"/>
          <w:highlight w:val="none"/>
        </w:rPr>
        <w:t>标段划分：本项目为一个</w:t>
      </w:r>
      <w:r>
        <w:rPr>
          <w:rFonts w:hint="eastAsia"/>
          <w:snapToGrid w:val="0"/>
          <w:color w:val="auto"/>
          <w:kern w:val="0"/>
          <w:szCs w:val="21"/>
          <w:highlight w:val="none"/>
        </w:rPr>
        <w:t>合同</w:t>
      </w:r>
      <w:r>
        <w:rPr>
          <w:snapToGrid w:val="0"/>
          <w:color w:val="auto"/>
          <w:kern w:val="0"/>
          <w:szCs w:val="21"/>
          <w:highlight w:val="none"/>
        </w:rPr>
        <w:t>标段。</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1</w:t>
      </w:r>
      <w:r>
        <w:rPr>
          <w:snapToGrid w:val="0"/>
          <w:color w:val="auto"/>
          <w:kern w:val="0"/>
          <w:szCs w:val="21"/>
          <w:highlight w:val="none"/>
        </w:rPr>
        <w:t>.</w:t>
      </w:r>
      <w:r>
        <w:rPr>
          <w:rFonts w:hint="eastAsia"/>
          <w:snapToGrid w:val="0"/>
          <w:color w:val="auto"/>
          <w:kern w:val="0"/>
          <w:szCs w:val="21"/>
          <w:highlight w:val="none"/>
          <w:lang w:val="en-US" w:eastAsia="zh-CN"/>
        </w:rPr>
        <w:t>5支付方式</w:t>
      </w:r>
      <w:r>
        <w:rPr>
          <w:snapToGrid w:val="0"/>
          <w:color w:val="auto"/>
          <w:kern w:val="0"/>
          <w:szCs w:val="21"/>
          <w:highlight w:val="none"/>
        </w:rPr>
        <w:t>：</w:t>
      </w:r>
      <w:r>
        <w:rPr>
          <w:rFonts w:hint="eastAsia"/>
          <w:snapToGrid w:val="0"/>
          <w:color w:val="auto"/>
          <w:kern w:val="0"/>
          <w:szCs w:val="21"/>
          <w:highlight w:val="none"/>
          <w:lang w:val="en-US" w:eastAsia="zh-CN"/>
        </w:rPr>
        <w:t>完成此项目并通过验收后</w:t>
      </w:r>
      <w:r>
        <w:rPr>
          <w:rFonts w:hint="eastAsia"/>
          <w:color w:val="auto"/>
          <w:szCs w:val="21"/>
          <w:highlight w:val="none"/>
          <w:lang w:val="en-US" w:eastAsia="zh-CN"/>
        </w:rPr>
        <w:t>支付合同金额的95%，质保期（质保期为2年）过后支付5%</w:t>
      </w:r>
      <w:r>
        <w:rPr>
          <w:snapToGrid w:val="0"/>
          <w:color w:val="auto"/>
          <w:kern w:val="0"/>
          <w:szCs w:val="21"/>
          <w:highlight w:val="none"/>
        </w:rPr>
        <w:t>。</w:t>
      </w:r>
    </w:p>
    <w:p>
      <w:pPr>
        <w:ind w:firstLine="420" w:firstLineChars="200"/>
        <w:rPr>
          <w:rFonts w:hint="default"/>
          <w:color w:val="auto"/>
          <w:highlight w:val="none"/>
          <w:lang w:val="en-US" w:eastAsia="zh-CN"/>
        </w:rPr>
      </w:pPr>
      <w:r>
        <w:rPr>
          <w:rFonts w:hint="eastAsia" w:cstheme="minorBidi"/>
          <w:b w:val="0"/>
          <w:snapToGrid w:val="0"/>
          <w:color w:val="auto"/>
          <w:kern w:val="0"/>
          <w:sz w:val="21"/>
          <w:szCs w:val="21"/>
          <w:highlight w:val="none"/>
          <w:lang w:val="en-US" w:eastAsia="zh-CN" w:bidi="ar-SA"/>
        </w:rPr>
        <w:t>1</w:t>
      </w:r>
      <w:r>
        <w:rPr>
          <w:rFonts w:hint="eastAsia" w:ascii="Calibri" w:hAnsi="Calibri" w:eastAsiaTheme="minorEastAsia" w:cstheme="minorBidi"/>
          <w:b w:val="0"/>
          <w:snapToGrid w:val="0"/>
          <w:color w:val="auto"/>
          <w:kern w:val="0"/>
          <w:sz w:val="21"/>
          <w:szCs w:val="21"/>
          <w:highlight w:val="none"/>
          <w:lang w:val="en-US" w:eastAsia="zh-CN" w:bidi="ar-SA"/>
        </w:rPr>
        <w:t>.</w:t>
      </w:r>
      <w:r>
        <w:rPr>
          <w:rFonts w:hint="eastAsia" w:cstheme="minorBidi"/>
          <w:b w:val="0"/>
          <w:snapToGrid w:val="0"/>
          <w:color w:val="auto"/>
          <w:kern w:val="0"/>
          <w:sz w:val="21"/>
          <w:szCs w:val="21"/>
          <w:highlight w:val="none"/>
          <w:lang w:val="en-US" w:eastAsia="zh-CN" w:bidi="ar-SA"/>
        </w:rPr>
        <w:t>6 比选申请人需自行进行深化设计已达到比选人要求。</w:t>
      </w:r>
    </w:p>
    <w:p>
      <w:pPr>
        <w:pStyle w:val="4"/>
        <w:adjustRightInd/>
        <w:snapToGrid/>
        <w:spacing w:line="400" w:lineRule="exact"/>
        <w:rPr>
          <w:rFonts w:hint="eastAsia" w:asciiTheme="minorHAnsi" w:hAnsiTheme="minorHAnsi" w:eastAsiaTheme="minorEastAsia" w:cstheme="minorBidi"/>
          <w:b/>
          <w:color w:val="auto"/>
          <w:spacing w:val="0"/>
          <w:w w:val="100"/>
          <w:kern w:val="2"/>
          <w:sz w:val="21"/>
          <w:szCs w:val="21"/>
          <w:highlight w:val="none"/>
          <w:lang w:val="en-US" w:eastAsia="zh-CN" w:bidi="ar-SA"/>
        </w:rPr>
      </w:pPr>
      <w:r>
        <w:rPr>
          <w:rFonts w:hint="eastAsia" w:asciiTheme="minorHAnsi" w:hAnsiTheme="minorHAnsi" w:eastAsiaTheme="minorEastAsia" w:cstheme="minorBidi"/>
          <w:b/>
          <w:color w:val="auto"/>
          <w:spacing w:val="0"/>
          <w:w w:val="100"/>
          <w:kern w:val="2"/>
          <w:sz w:val="21"/>
          <w:szCs w:val="21"/>
          <w:highlight w:val="none"/>
          <w:lang w:val="en-US" w:eastAsia="zh-CN" w:bidi="ar-SA"/>
        </w:rPr>
        <w:t>二. 投标人资格要求</w:t>
      </w:r>
      <w:bookmarkEnd w:id="40"/>
      <w:bookmarkEnd w:id="41"/>
      <w:bookmarkEnd w:id="42"/>
      <w:bookmarkEnd w:id="43"/>
      <w:bookmarkEnd w:id="44"/>
      <w:bookmarkEnd w:id="45"/>
      <w:bookmarkEnd w:id="46"/>
    </w:p>
    <w:p>
      <w:pPr>
        <w:spacing w:line="400" w:lineRule="exact"/>
        <w:ind w:firstLine="420" w:firstLineChars="200"/>
        <w:rPr>
          <w:rFonts w:hint="default" w:eastAsiaTheme="minorEastAsia"/>
          <w:color w:val="auto"/>
          <w:szCs w:val="21"/>
          <w:highlight w:val="none"/>
          <w:lang w:val="en-US" w:eastAsia="zh-CN"/>
        </w:rPr>
      </w:pPr>
      <w:bookmarkStart w:id="47" w:name="_Toc365751395"/>
      <w:r>
        <w:rPr>
          <w:rFonts w:hint="eastAsia"/>
          <w:color w:val="auto"/>
          <w:szCs w:val="21"/>
          <w:highlight w:val="none"/>
        </w:rPr>
        <w:t>资质要求：具有独立法人资格，具有有效的营业执照，营业</w:t>
      </w:r>
      <w:r>
        <w:rPr>
          <w:rFonts w:hint="eastAsia"/>
          <w:color w:val="auto"/>
          <w:szCs w:val="21"/>
          <w:highlight w:val="none"/>
          <w:lang w:val="en-US" w:eastAsia="zh-CN"/>
        </w:rPr>
        <w:t>范围包括广告类的设计、制作等。</w:t>
      </w:r>
      <w:r>
        <w:rPr>
          <w:rFonts w:hint="eastAsia" w:ascii="Calibri" w:hAnsi="Calibri" w:eastAsiaTheme="minorEastAsia" w:cstheme="minorBidi"/>
          <w:b w:val="0"/>
          <w:color w:val="auto"/>
          <w:kern w:val="2"/>
          <w:sz w:val="21"/>
          <w:szCs w:val="21"/>
          <w:highlight w:val="none"/>
          <w:lang w:val="en-US" w:eastAsia="zh-CN" w:bidi="ar-SA"/>
        </w:rPr>
        <w:t>并在人员、设备、资金等方面具有相应的工作能力</w:t>
      </w:r>
      <w:r>
        <w:rPr>
          <w:rFonts w:hint="eastAsia" w:ascii="Calibri" w:eastAsiaTheme="minorEastAsia" w:cstheme="minorBidi"/>
          <w:b w:val="0"/>
          <w:color w:val="auto"/>
          <w:kern w:val="2"/>
          <w:sz w:val="21"/>
          <w:szCs w:val="21"/>
          <w:highlight w:val="none"/>
          <w:lang w:val="en-US" w:eastAsia="zh-CN" w:bidi="ar-SA"/>
        </w:rPr>
        <w:t>。</w:t>
      </w:r>
    </w:p>
    <w:p>
      <w:pPr>
        <w:pStyle w:val="15"/>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（注：比选申请单位须提供须提供营业执照复印件或扫描件，并加盖比选申请单位公章。）</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rFonts w:hint="eastAsia"/>
          <w:color w:val="auto"/>
          <w:szCs w:val="21"/>
          <w:highlight w:val="none"/>
        </w:rPr>
        <w:t>信誉要求：</w:t>
      </w:r>
    </w:p>
    <w:p>
      <w:pPr>
        <w:spacing w:line="400" w:lineRule="exact"/>
        <w:ind w:firstLine="420" w:firstLineChars="200"/>
        <w:rPr>
          <w:rFonts w:hint="eastAsia" w:eastAsiaTheme="minorEastAsia"/>
          <w:color w:val="auto"/>
          <w:szCs w:val="21"/>
          <w:highlight w:val="none"/>
          <w:lang w:eastAsia="zh-CN"/>
        </w:rPr>
      </w:pPr>
      <w:bookmarkStart w:id="48" w:name="_Hlk36217333"/>
      <w:r>
        <w:rPr>
          <w:rFonts w:hint="eastAsia"/>
          <w:color w:val="auto"/>
          <w:szCs w:val="21"/>
          <w:highlight w:val="none"/>
        </w:rPr>
        <w:t>（1）企业存续期在行业内无不良信誉记录和重大安全责任事故记录。</w:t>
      </w:r>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color w:val="auto"/>
          <w:szCs w:val="21"/>
          <w:highlight w:val="none"/>
        </w:rPr>
      </w:pPr>
      <w:r>
        <w:rPr>
          <w:rFonts w:hint="eastAsia"/>
          <w:color w:val="auto"/>
          <w:szCs w:val="21"/>
          <w:highlight w:val="none"/>
        </w:rPr>
        <w:t>（2）在交通运输部和重庆市交通局发布的最新一期公路工程施工企业综合信用评价结果未被评为D级。</w:t>
      </w:r>
      <w:bookmarkEnd w:id="48"/>
      <w:r>
        <w:rPr>
          <w:rFonts w:hint="eastAsia"/>
          <w:color w:val="auto"/>
          <w:szCs w:val="21"/>
          <w:highlight w:val="none"/>
          <w:lang w:eastAsia="zh-CN"/>
        </w:rPr>
        <w:t>（</w:t>
      </w:r>
      <w:r>
        <w:rPr>
          <w:rFonts w:hint="eastAsia"/>
          <w:color w:val="auto"/>
          <w:szCs w:val="21"/>
          <w:highlight w:val="none"/>
          <w:lang w:val="en-US" w:eastAsia="zh-CN"/>
        </w:rPr>
        <w:t>承诺格式自理</w:t>
      </w:r>
      <w:r>
        <w:rPr>
          <w:rFonts w:hint="eastAsia"/>
          <w:color w:val="auto"/>
          <w:szCs w:val="21"/>
          <w:highlight w:val="none"/>
          <w:lang w:eastAsia="zh-CN"/>
        </w:rPr>
        <w:t>）</w:t>
      </w:r>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4</w:t>
      </w:r>
      <w:r>
        <w:rPr>
          <w:rFonts w:hint="eastAsia"/>
          <w:snapToGrid w:val="0"/>
          <w:color w:val="auto"/>
          <w:kern w:val="0"/>
          <w:szCs w:val="21"/>
          <w:highlight w:val="none"/>
          <w:lang w:eastAsia="zh-CN"/>
        </w:rPr>
        <w:t>、</w:t>
      </w:r>
      <w:r>
        <w:rPr>
          <w:snapToGrid w:val="0"/>
          <w:color w:val="auto"/>
          <w:kern w:val="0"/>
          <w:szCs w:val="21"/>
          <w:highlight w:val="none"/>
        </w:rPr>
        <w:t>本次招标不接受联合体投标。</w:t>
      </w:r>
      <w:bookmarkEnd w:id="47"/>
    </w:p>
    <w:p>
      <w:pPr>
        <w:spacing w:line="400" w:lineRule="exact"/>
        <w:ind w:firstLine="420" w:firstLineChars="200"/>
        <w:rPr>
          <w:snapToGrid w:val="0"/>
          <w:color w:val="auto"/>
          <w:kern w:val="0"/>
          <w:szCs w:val="21"/>
          <w:highlight w:val="none"/>
        </w:rPr>
      </w:pPr>
      <w:r>
        <w:rPr>
          <w:rFonts w:hint="eastAsia"/>
          <w:snapToGrid w:val="0"/>
          <w:color w:val="auto"/>
          <w:kern w:val="0"/>
          <w:szCs w:val="21"/>
          <w:highlight w:val="none"/>
          <w:lang w:val="en-US" w:eastAsia="zh-CN"/>
        </w:rPr>
        <w:t>5</w:t>
      </w:r>
      <w:r>
        <w:rPr>
          <w:rFonts w:hint="eastAsia"/>
          <w:snapToGrid w:val="0"/>
          <w:color w:val="auto"/>
          <w:kern w:val="0"/>
          <w:szCs w:val="21"/>
          <w:highlight w:val="none"/>
          <w:lang w:eastAsia="zh-CN"/>
        </w:rPr>
        <w:t>、</w:t>
      </w:r>
      <w:r>
        <w:rPr>
          <w:snapToGrid w:val="0"/>
          <w:color w:val="auto"/>
          <w:kern w:val="0"/>
          <w:szCs w:val="21"/>
          <w:highlight w:val="none"/>
        </w:rPr>
        <w:t>与招标人存在利害关系可能影响招标公正性的法人、其它组织或者个人不得参加投标。单位负责人为同一人或者存在控股、管理关系的不同单位，不得同时参加投标。</w:t>
      </w:r>
    </w:p>
    <w:p>
      <w:pPr>
        <w:pStyle w:val="15"/>
        <w:rPr>
          <w:rFonts w:hint="eastAsia" w:asciiTheme="minorHAnsi" w:hAnsiTheme="minorHAnsi" w:eastAsiaTheme="minorEastAsia" w:cstheme="minorBidi"/>
          <w:b/>
          <w:bCs/>
          <w:color w:val="auto"/>
          <w:kern w:val="2"/>
          <w:sz w:val="21"/>
          <w:szCs w:val="21"/>
          <w:highlight w:val="none"/>
          <w:lang w:val="en-US" w:eastAsia="zh-CN"/>
        </w:rPr>
      </w:pPr>
      <w:r>
        <w:rPr>
          <w:rFonts w:hint="eastAsia" w:asciiTheme="minorHAnsi" w:hAnsiTheme="minorHAnsi" w:eastAsiaTheme="minorEastAsia" w:cstheme="minorBidi"/>
          <w:b/>
          <w:bCs/>
          <w:color w:val="auto"/>
          <w:kern w:val="2"/>
          <w:sz w:val="21"/>
          <w:szCs w:val="21"/>
          <w:highlight w:val="none"/>
          <w:lang w:val="en-US" w:eastAsia="zh-CN"/>
        </w:rPr>
        <w:t>备注：第“二”要求需提供相关资料复印件（或原件）并加盖比选申请单位鲜章，否则按无效投标处理。</w:t>
      </w:r>
    </w:p>
    <w:p>
      <w:pPr>
        <w:rPr>
          <w:rFonts w:hint="eastAsia"/>
          <w:color w:val="auto"/>
          <w:highlight w:val="none"/>
          <w:lang w:val="en-US" w:eastAsia="zh-CN"/>
        </w:rPr>
      </w:pPr>
    </w:p>
    <w:p>
      <w:pPr>
        <w:spacing w:line="400" w:lineRule="exact"/>
        <w:rPr>
          <w:b/>
          <w:color w:val="auto"/>
          <w:szCs w:val="21"/>
          <w:highlight w:val="none"/>
        </w:rPr>
      </w:pPr>
      <w:r>
        <w:rPr>
          <w:b/>
          <w:color w:val="auto"/>
          <w:szCs w:val="21"/>
          <w:highlight w:val="none"/>
        </w:rPr>
        <w:t>三、</w:t>
      </w:r>
      <w:r>
        <w:rPr>
          <w:rFonts w:hint="eastAsia"/>
          <w:b/>
          <w:color w:val="auto"/>
          <w:szCs w:val="21"/>
          <w:highlight w:val="none"/>
          <w:lang w:val="en-US" w:eastAsia="zh-CN"/>
        </w:rPr>
        <w:t>比选</w:t>
      </w:r>
      <w:r>
        <w:rPr>
          <w:b/>
          <w:color w:val="auto"/>
          <w:szCs w:val="21"/>
          <w:highlight w:val="none"/>
        </w:rPr>
        <w:t>响应文件的相关要求：</w:t>
      </w:r>
    </w:p>
    <w:bookmarkEnd w:id="32"/>
    <w:bookmarkEnd w:id="33"/>
    <w:bookmarkEnd w:id="34"/>
    <w:bookmarkEnd w:id="35"/>
    <w:bookmarkEnd w:id="36"/>
    <w:bookmarkEnd w:id="37"/>
    <w:bookmarkEnd w:id="38"/>
    <w:bookmarkEnd w:id="39"/>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rFonts w:hint="eastAsia"/>
          <w:color w:val="auto"/>
          <w:szCs w:val="21"/>
          <w:highlight w:val="none"/>
          <w:lang w:eastAsia="zh-CN"/>
        </w:rPr>
      </w:pPr>
      <w:r>
        <w:rPr>
          <w:rFonts w:hint="eastAsia"/>
          <w:color w:val="auto"/>
          <w:szCs w:val="21"/>
          <w:highlight w:val="none"/>
        </w:rPr>
        <w:t>（1）本次竞标总限价为人民币：</w:t>
      </w:r>
      <w:r>
        <w:rPr>
          <w:rFonts w:hint="eastAsia"/>
          <w:color w:val="auto"/>
          <w:szCs w:val="21"/>
          <w:highlight w:val="none"/>
          <w:lang w:val="en-US" w:eastAsia="zh-CN"/>
        </w:rPr>
        <w:t>585000</w:t>
      </w:r>
      <w:r>
        <w:rPr>
          <w:rFonts w:hint="eastAsia"/>
          <w:color w:val="auto"/>
          <w:szCs w:val="21"/>
          <w:highlight w:val="none"/>
        </w:rPr>
        <w:t>元</w:t>
      </w:r>
      <w:r>
        <w:rPr>
          <w:rFonts w:hint="eastAsia"/>
          <w:color w:val="auto"/>
          <w:szCs w:val="21"/>
          <w:highlight w:val="none"/>
          <w:lang w:val="en-US" w:eastAsia="zh-CN"/>
        </w:rPr>
        <w:t>整</w:t>
      </w:r>
      <w:r>
        <w:rPr>
          <w:rFonts w:hint="eastAsia"/>
          <w:color w:val="auto"/>
          <w:szCs w:val="21"/>
          <w:highlight w:val="none"/>
        </w:rPr>
        <w:t>（大写：</w:t>
      </w:r>
      <w:r>
        <w:rPr>
          <w:rFonts w:hint="eastAsia"/>
          <w:color w:val="auto"/>
          <w:szCs w:val="21"/>
          <w:highlight w:val="none"/>
          <w:lang w:eastAsia="zh-CN"/>
        </w:rPr>
        <w:t>伍拾捌伍</w:t>
      </w:r>
      <w:r>
        <w:rPr>
          <w:rFonts w:hint="eastAsia"/>
          <w:color w:val="auto"/>
          <w:szCs w:val="21"/>
          <w:highlight w:val="none"/>
          <w:lang w:val="en-US" w:eastAsia="zh-CN"/>
        </w:rPr>
        <w:t>元整）</w:t>
      </w:r>
      <w:r>
        <w:rPr>
          <w:rFonts w:hint="eastAsia"/>
          <w:color w:val="auto"/>
          <w:szCs w:val="21"/>
          <w:highlight w:val="none"/>
          <w:lang w:eastAsia="zh-CN"/>
        </w:rPr>
        <w:t>。</w:t>
      </w:r>
    </w:p>
    <w:p>
      <w:pPr>
        <w:spacing w:line="400" w:lineRule="exact"/>
        <w:ind w:left="842" w:leftChars="200" w:hanging="422" w:hangingChars="200"/>
        <w:outlineLvl w:val="0"/>
        <w:rPr>
          <w:rFonts w:hint="eastAsia"/>
          <w:b/>
          <w:color w:val="auto"/>
          <w:szCs w:val="21"/>
          <w:highlight w:val="none"/>
          <w:lang w:val="en-US" w:eastAsia="zh-CN"/>
        </w:rPr>
      </w:pPr>
      <w:r>
        <w:rPr>
          <w:rFonts w:hint="eastAsia"/>
          <w:b/>
          <w:color w:val="auto"/>
          <w:szCs w:val="21"/>
          <w:highlight w:val="none"/>
        </w:rPr>
        <w:t>注：</w:t>
      </w:r>
      <w:r>
        <w:rPr>
          <w:rFonts w:hint="eastAsia"/>
          <w:b/>
          <w:color w:val="auto"/>
          <w:szCs w:val="21"/>
          <w:highlight w:val="none"/>
          <w:lang w:val="en-US" w:eastAsia="zh-CN"/>
        </w:rPr>
        <w:t>1、比选申请人的竞标报价总价不得超过比选人公布的相应最高限价，否则作无效竞标处理2、比选申请人所用材料必须得到比选人认可，否则比选人有权拒绝付款。</w:t>
      </w:r>
    </w:p>
    <w:p>
      <w:pPr>
        <w:numPr>
          <w:ilvl w:val="0"/>
          <w:numId w:val="0"/>
        </w:numPr>
        <w:ind w:left="420" w:leftChars="0" w:firstLine="420" w:firstLineChars="0"/>
        <w:rPr>
          <w:rFonts w:hint="default" w:eastAsiaTheme="minorEastAsia"/>
          <w:color w:val="auto"/>
          <w:highlight w:val="none"/>
          <w:lang w:val="en-US" w:eastAsia="zh-CN"/>
        </w:rPr>
      </w:pPr>
      <w:r>
        <w:rPr>
          <w:rFonts w:hint="eastAsia"/>
          <w:b/>
          <w:color w:val="auto"/>
          <w:szCs w:val="21"/>
          <w:highlight w:val="none"/>
          <w:lang w:val="en-US" w:eastAsia="zh-CN"/>
        </w:rPr>
        <w:t>3、</w:t>
      </w:r>
      <w:r>
        <w:rPr>
          <w:rFonts w:hint="eastAsia" w:asciiTheme="minorHAnsi" w:hAnsiTheme="minorHAnsi" w:eastAsiaTheme="minorEastAsia" w:cstheme="minorBidi"/>
          <w:b/>
          <w:bCs/>
          <w:color w:val="auto"/>
          <w:kern w:val="2"/>
          <w:sz w:val="21"/>
          <w:szCs w:val="21"/>
          <w:highlight w:val="none"/>
        </w:rPr>
        <w:t>本次比选报价为综合单价</w:t>
      </w:r>
      <w:r>
        <w:rPr>
          <w:rFonts w:hint="eastAsia" w:asciiTheme="minorHAnsi" w:hAnsiTheme="minorHAnsi" w:eastAsiaTheme="minorEastAsia" w:cstheme="minorBidi"/>
          <w:b/>
          <w:bCs/>
          <w:color w:val="auto"/>
          <w:kern w:val="2"/>
          <w:sz w:val="21"/>
          <w:szCs w:val="21"/>
          <w:highlight w:val="none"/>
          <w:lang w:eastAsia="zh-CN"/>
        </w:rPr>
        <w:t>：</w:t>
      </w:r>
      <w:r>
        <w:rPr>
          <w:rFonts w:hint="eastAsia" w:asciiTheme="minorHAnsi" w:hAnsiTheme="minorHAnsi" w:eastAsiaTheme="minorEastAsia" w:cstheme="minorBidi"/>
          <w:b/>
          <w:bCs/>
          <w:color w:val="auto"/>
          <w:kern w:val="2"/>
          <w:sz w:val="21"/>
          <w:szCs w:val="21"/>
          <w:highlight w:val="none"/>
        </w:rPr>
        <w:t>包括</w:t>
      </w:r>
      <w:r>
        <w:rPr>
          <w:rFonts w:hint="eastAsia" w:asciiTheme="minorHAnsi" w:hAnsiTheme="minorHAnsi" w:eastAsiaTheme="minorEastAsia" w:cstheme="minorBidi"/>
          <w:b/>
          <w:bCs/>
          <w:color w:val="auto"/>
          <w:kern w:val="2"/>
          <w:sz w:val="21"/>
          <w:szCs w:val="21"/>
          <w:highlight w:val="none"/>
          <w:lang w:val="en-US" w:eastAsia="zh-CN"/>
        </w:rPr>
        <w:t>人员工资</w:t>
      </w:r>
      <w:r>
        <w:rPr>
          <w:rFonts w:hint="eastAsia" w:asciiTheme="minorHAnsi" w:hAnsiTheme="minorHAnsi" w:eastAsiaTheme="minorEastAsia" w:cstheme="minorBidi"/>
          <w:b/>
          <w:bCs/>
          <w:color w:val="auto"/>
          <w:kern w:val="2"/>
          <w:sz w:val="21"/>
          <w:szCs w:val="21"/>
          <w:highlight w:val="none"/>
        </w:rPr>
        <w:t>、保险、</w:t>
      </w:r>
      <w:r>
        <w:rPr>
          <w:rFonts w:hint="eastAsia" w:asciiTheme="minorHAnsi" w:hAnsiTheme="minorHAnsi" w:eastAsiaTheme="minorEastAsia" w:cstheme="minorBidi"/>
          <w:b/>
          <w:bCs/>
          <w:color w:val="auto"/>
          <w:kern w:val="2"/>
          <w:sz w:val="21"/>
          <w:szCs w:val="21"/>
          <w:highlight w:val="none"/>
          <w:lang w:val="en-US" w:eastAsia="zh-CN"/>
        </w:rPr>
        <w:t>交通组织、施工组织、垃圾清运、</w:t>
      </w:r>
      <w:r>
        <w:rPr>
          <w:rFonts w:hint="eastAsia" w:asciiTheme="minorHAnsi" w:hAnsiTheme="minorHAnsi" w:eastAsiaTheme="minorEastAsia" w:cstheme="minorBidi"/>
          <w:b/>
          <w:bCs/>
          <w:color w:val="auto"/>
          <w:kern w:val="2"/>
          <w:sz w:val="21"/>
          <w:szCs w:val="21"/>
          <w:highlight w:val="none"/>
        </w:rPr>
        <w:t>合理利润</w:t>
      </w:r>
      <w:r>
        <w:rPr>
          <w:rFonts w:hint="eastAsia" w:asciiTheme="minorHAnsi" w:hAnsiTheme="minorHAnsi" w:eastAsiaTheme="minorEastAsia" w:cstheme="minorBidi"/>
          <w:b/>
          <w:bCs/>
          <w:color w:val="auto"/>
          <w:kern w:val="2"/>
          <w:sz w:val="21"/>
          <w:szCs w:val="21"/>
          <w:highlight w:val="none"/>
          <w:lang w:val="en-US" w:eastAsia="zh-CN"/>
        </w:rPr>
        <w:t>等</w:t>
      </w:r>
      <w:r>
        <w:rPr>
          <w:rFonts w:hint="eastAsia" w:asciiTheme="minorHAnsi" w:hAnsiTheme="minorHAnsi" w:eastAsiaTheme="minorEastAsia" w:cstheme="minorBidi"/>
          <w:b/>
          <w:bCs/>
          <w:color w:val="auto"/>
          <w:kern w:val="2"/>
          <w:sz w:val="21"/>
          <w:szCs w:val="21"/>
          <w:highlight w:val="none"/>
        </w:rPr>
        <w:t>。</w:t>
      </w:r>
      <w:r>
        <w:rPr>
          <w:rFonts w:hint="eastAsia"/>
          <w:b/>
          <w:color w:val="auto"/>
          <w:szCs w:val="21"/>
          <w:highlight w:val="none"/>
          <w:lang w:val="en-US" w:eastAsia="zh-CN"/>
        </w:rPr>
        <w:t>此价格为包干价，比选人不进行价格调整。</w:t>
      </w:r>
    </w:p>
    <w:p>
      <w:pPr>
        <w:spacing w:line="400" w:lineRule="exact"/>
        <w:ind w:firstLine="420" w:firstLineChars="200"/>
        <w:outlineLvl w:val="0"/>
        <w:rPr>
          <w:color w:val="auto"/>
          <w:szCs w:val="21"/>
          <w:highlight w:val="none"/>
        </w:rPr>
      </w:pPr>
      <w:r>
        <w:rPr>
          <w:color w:val="auto"/>
          <w:szCs w:val="21"/>
          <w:highlight w:val="none"/>
        </w:rPr>
        <w:t>2</w:t>
      </w:r>
      <w:r>
        <w:rPr>
          <w:rFonts w:hint="eastAsia"/>
          <w:color w:val="auto"/>
          <w:szCs w:val="21"/>
          <w:highlight w:val="none"/>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49" w:name="_Hlk44678182"/>
      <w:r>
        <w:rPr>
          <w:rFonts w:hint="eastAsia"/>
          <w:color w:val="auto"/>
          <w:szCs w:val="21"/>
          <w:highlight w:val="none"/>
        </w:rPr>
        <w:t>比选申请</w:t>
      </w:r>
      <w:r>
        <w:rPr>
          <w:color w:val="auto"/>
          <w:szCs w:val="21"/>
          <w:highlight w:val="none"/>
        </w:rPr>
        <w:t>单位有效的营业执照</w:t>
      </w:r>
      <w:bookmarkEnd w:id="49"/>
      <w:r>
        <w:rPr>
          <w:rFonts w:hint="eastAsia"/>
          <w:color w:val="auto"/>
          <w:szCs w:val="21"/>
          <w:highlight w:val="none"/>
        </w:rPr>
        <w:t>证明材料</w:t>
      </w:r>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④其他相关资料；</w:t>
      </w:r>
    </w:p>
    <w:p>
      <w:pPr>
        <w:spacing w:line="400" w:lineRule="exact"/>
        <w:ind w:firstLine="422" w:firstLineChars="200"/>
        <w:rPr>
          <w:rFonts w:hint="eastAsia"/>
          <w:b/>
          <w:color w:val="auto"/>
          <w:szCs w:val="21"/>
          <w:highlight w:val="none"/>
        </w:rPr>
      </w:pP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rPr>
        <w:t>3、竞争性比选申请</w:t>
      </w:r>
      <w:r>
        <w:rPr>
          <w:color w:val="auto"/>
          <w:szCs w:val="21"/>
          <w:highlight w:val="none"/>
        </w:rPr>
        <w:t>文件的份数及编制要求：</w:t>
      </w:r>
    </w:p>
    <w:p>
      <w:pPr>
        <w:autoSpaceDE w:val="0"/>
        <w:autoSpaceDN w:val="0"/>
        <w:spacing w:line="400" w:lineRule="exact"/>
        <w:ind w:firstLine="420" w:firstLineChars="200"/>
        <w:jc w:val="left"/>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r>
        <w:rPr>
          <w:rFonts w:hint="eastAsia"/>
          <w:color w:val="auto"/>
          <w:szCs w:val="21"/>
          <w:highlight w:val="none"/>
          <w:lang w:val="en-US" w:eastAsia="zh-CN"/>
        </w:rPr>
        <w:t>并装订成册</w:t>
      </w:r>
      <w:r>
        <w:rPr>
          <w:color w:val="auto"/>
          <w:szCs w:val="21"/>
          <w:highlight w:val="none"/>
        </w:rPr>
        <w:t>。</w:t>
      </w:r>
    </w:p>
    <w:p>
      <w:pPr>
        <w:rPr>
          <w:rFonts w:hint="default" w:ascii="宋体" w:hAnsi="宋体" w:cs="宋体" w:eastAsiaTheme="minorEastAsia"/>
          <w:color w:val="auto"/>
          <w:szCs w:val="21"/>
          <w:highlight w:val="none"/>
          <w:lang w:val="en-US" w:eastAsia="zh-CN"/>
        </w:rPr>
      </w:pPr>
      <w:r>
        <w:rPr>
          <w:rFonts w:hint="eastAsia"/>
          <w:b/>
          <w:color w:val="auto"/>
          <w:szCs w:val="21"/>
          <w:highlight w:val="none"/>
        </w:rPr>
        <w:t>备注：</w:t>
      </w:r>
      <w:r>
        <w:rPr>
          <w:rFonts w:hint="eastAsia"/>
          <w:b/>
          <w:color w:val="auto"/>
          <w:szCs w:val="21"/>
          <w:highlight w:val="none"/>
          <w:lang w:val="en-US" w:eastAsia="zh-CN"/>
        </w:rPr>
        <w:t>不按“二”或“三”条执行按无效竞标处理。</w:t>
      </w:r>
    </w:p>
    <w:p>
      <w:pPr>
        <w:rPr>
          <w:color w:val="auto"/>
          <w:szCs w:val="21"/>
          <w:highlight w:val="none"/>
        </w:rPr>
      </w:pPr>
    </w:p>
    <w:p>
      <w:pPr>
        <w:spacing w:line="400" w:lineRule="exact"/>
        <w:rPr>
          <w:b/>
          <w:color w:val="auto"/>
          <w:szCs w:val="21"/>
          <w:highlight w:val="none"/>
        </w:rPr>
      </w:pPr>
      <w:r>
        <w:rPr>
          <w:b/>
          <w:color w:val="auto"/>
          <w:szCs w:val="21"/>
          <w:highlight w:val="none"/>
        </w:rPr>
        <w:t>四、评标办法（</w:t>
      </w:r>
      <w:r>
        <w:rPr>
          <w:rFonts w:hint="eastAsia"/>
          <w:b/>
          <w:color w:val="auto"/>
          <w:szCs w:val="21"/>
          <w:highlight w:val="none"/>
        </w:rPr>
        <w:t>经评审的最低价法</w:t>
      </w:r>
      <w:r>
        <w:rPr>
          <w:b/>
          <w:color w:val="auto"/>
          <w:szCs w:val="21"/>
          <w:highlight w:val="none"/>
        </w:rPr>
        <w:t>）：</w:t>
      </w:r>
    </w:p>
    <w:tbl>
      <w:tblPr>
        <w:tblStyle w:val="13"/>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color w:val="auto"/>
                <w:highlight w:val="none"/>
              </w:rPr>
            </w:pPr>
            <w:r>
              <w:rPr>
                <w:rFonts w:hint="default"/>
                <w:color w:val="auto"/>
                <w:highlight w:val="none"/>
              </w:rPr>
              <w:t>本次评标采用经评审的</w:t>
            </w:r>
            <w:r>
              <w:rPr>
                <w:rFonts w:hint="eastAsia"/>
                <w:color w:val="auto"/>
                <w:highlight w:val="none"/>
                <w:lang w:val="en-US" w:eastAsia="zh-CN"/>
              </w:rPr>
              <w:t>最</w:t>
            </w:r>
            <w:r>
              <w:rPr>
                <w:rFonts w:hint="default"/>
                <w:color w:val="auto"/>
                <w:highlight w:val="none"/>
              </w:rPr>
              <w:t>低价法。评标委员会</w:t>
            </w:r>
            <w:r>
              <w:rPr>
                <w:rFonts w:hint="eastAsia"/>
                <w:color w:val="auto"/>
                <w:highlight w:val="none"/>
                <w:lang w:val="en-US" w:eastAsia="zh-CN"/>
              </w:rPr>
              <w:t>先</w:t>
            </w:r>
            <w:r>
              <w:rPr>
                <w:rFonts w:hint="default"/>
                <w:color w:val="auto"/>
                <w:highlight w:val="none"/>
              </w:rPr>
              <w:t>对满足招标文件</w:t>
            </w:r>
            <w:r>
              <w:rPr>
                <w:rFonts w:hint="eastAsia"/>
                <w:color w:val="auto"/>
                <w:highlight w:val="none"/>
                <w:lang w:val="en-US" w:eastAsia="zh-CN"/>
              </w:rPr>
              <w:t>资格</w:t>
            </w:r>
            <w:r>
              <w:rPr>
                <w:rFonts w:hint="default"/>
                <w:color w:val="auto"/>
                <w:highlight w:val="none"/>
              </w:rPr>
              <w:t>要求的投标文件</w:t>
            </w:r>
            <w:r>
              <w:rPr>
                <w:rFonts w:hint="eastAsia"/>
                <w:color w:val="auto"/>
                <w:highlight w:val="none"/>
                <w:lang w:val="en-US" w:eastAsia="zh-CN"/>
              </w:rPr>
              <w:t>进行方案评审</w:t>
            </w:r>
            <w:r>
              <w:rPr>
                <w:rFonts w:hint="default"/>
                <w:color w:val="auto"/>
                <w:highlight w:val="none"/>
              </w:rPr>
              <w:t>，</w:t>
            </w:r>
            <w:r>
              <w:rPr>
                <w:rFonts w:hint="eastAsia"/>
                <w:color w:val="auto"/>
                <w:highlight w:val="none"/>
                <w:lang w:val="en-US" w:eastAsia="zh-CN"/>
              </w:rPr>
              <w:t>选取3家最优方案进入二次评审。</w:t>
            </w:r>
            <w:r>
              <w:rPr>
                <w:rFonts w:hint="default"/>
                <w:color w:val="auto"/>
                <w:highlight w:val="none"/>
              </w:rPr>
              <w:t>根据本章第2.2款规定的量化因素及量化标准进行价格计算，</w:t>
            </w:r>
            <w:r>
              <w:rPr>
                <w:rFonts w:hint="eastAsia"/>
                <w:color w:val="auto"/>
                <w:highlight w:val="none"/>
                <w:lang w:val="en-US" w:eastAsia="zh-CN"/>
              </w:rPr>
              <w:t>对于进入二次评审的单位</w:t>
            </w:r>
            <w:r>
              <w:rPr>
                <w:rFonts w:hint="default"/>
                <w:color w:val="auto"/>
                <w:highlight w:val="none"/>
              </w:rPr>
              <w:t>按照经评审的投标报价由低到高的顺序推荐中标候选人，但投标报价低于其成本的除外。</w:t>
            </w:r>
          </w:p>
          <w:p>
            <w:pPr>
              <w:spacing w:line="360" w:lineRule="auto"/>
              <w:ind w:firstLine="420"/>
              <w:rPr>
                <w:rFonts w:hint="eastAsia" w:eastAsia="仿宋_GB2312"/>
                <w:color w:val="auto"/>
                <w:highlight w:val="none"/>
                <w:lang w:val="en-US" w:eastAsia="zh-CN"/>
              </w:rPr>
            </w:pPr>
            <w:r>
              <w:rPr>
                <w:rFonts w:hint="default"/>
                <w:color w:val="auto"/>
                <w:highlight w:val="none"/>
              </w:rPr>
              <w:t>经评审的投标报价得分相等时，则以抽签的形式确定第一中标候选人。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w:t>
            </w:r>
          </w:p>
        </w:tc>
        <w:tc>
          <w:tcPr>
            <w:tcW w:w="1391" w:type="dxa"/>
            <w:tcBorders>
              <w:top w:val="single" w:color="auto" w:sz="4" w:space="0"/>
              <w:left w:val="single" w:color="auto" w:sz="4" w:space="0"/>
              <w:bottom w:val="single" w:color="auto" w:sz="4" w:space="0"/>
              <w:right w:val="single" w:color="auto" w:sz="4" w:space="0"/>
            </w:tcBorders>
            <w:vAlign w:val="center"/>
          </w:tcPr>
          <w:p>
            <w:pPr>
              <w:pStyle w:val="17"/>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a.投标函按招标文件规定填写了项目名称、工期、</w:t>
            </w:r>
            <w:r>
              <w:rPr>
                <w:rFonts w:hint="eastAsia" w:ascii="Times New Roman" w:hAnsi="Times New Roman" w:cs="Times New Roman"/>
                <w:snapToGrid w:val="0"/>
                <w:color w:val="auto"/>
                <w:kern w:val="0"/>
                <w:szCs w:val="21"/>
                <w:highlight w:val="none"/>
                <w:lang w:val="en-US" w:eastAsia="zh-CN"/>
              </w:rPr>
              <w:t>项目</w:t>
            </w:r>
            <w:r>
              <w:rPr>
                <w:rFonts w:hint="default" w:ascii="Times New Roman" w:hAnsi="Times New Roman" w:cs="Times New Roman"/>
                <w:snapToGrid w:val="0"/>
                <w:color w:val="auto"/>
                <w:kern w:val="0"/>
                <w:szCs w:val="21"/>
                <w:highlight w:val="none"/>
              </w:rPr>
              <w:t>质量要求。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w:t>
            </w:r>
            <w:r>
              <w:rPr>
                <w:rFonts w:hint="eastAsia" w:ascii="Times New Roman" w:hAnsi="Times New Roman" w:cs="Times New Roman"/>
                <w:snapToGrid w:val="0"/>
                <w:color w:val="auto"/>
                <w:kern w:val="0"/>
                <w:szCs w:val="21"/>
                <w:highlight w:val="none"/>
                <w:lang w:val="en-US" w:eastAsia="zh-CN"/>
              </w:rPr>
              <w:t>比选</w:t>
            </w:r>
            <w:r>
              <w:rPr>
                <w:rFonts w:hint="default" w:ascii="Times New Roman" w:hAnsi="Times New Roman" w:cs="Times New Roman"/>
                <w:snapToGrid w:val="0"/>
                <w:color w:val="auto"/>
                <w:kern w:val="0"/>
                <w:szCs w:val="21"/>
                <w:highlight w:val="none"/>
              </w:rPr>
              <w:t>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w:t>
            </w:r>
            <w:r>
              <w:rPr>
                <w:rFonts w:hint="eastAsia" w:ascii="Times New Roman" w:hAnsi="Times New Roman" w:cs="Times New Roman"/>
                <w:snapToGrid w:val="0"/>
                <w:color w:val="auto"/>
                <w:kern w:val="0"/>
                <w:szCs w:val="21"/>
                <w:highlight w:val="none"/>
                <w:lang w:val="en-US" w:eastAsia="zh-CN"/>
              </w:rPr>
              <w:t>可</w:t>
            </w:r>
            <w:r>
              <w:rPr>
                <w:rFonts w:hint="default" w:ascii="Times New Roman" w:hAnsi="Times New Roman" w:cs="Times New Roman"/>
                <w:snapToGrid w:val="0"/>
                <w:color w:val="auto"/>
                <w:kern w:val="0"/>
                <w:szCs w:val="21"/>
                <w:highlight w:val="none"/>
              </w:rPr>
              <w:t>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w:t>
            </w:r>
            <w:r>
              <w:rPr>
                <w:rFonts w:hint="eastAsia" w:ascii="Times New Roman" w:hAnsi="Times New Roman" w:cs="Times New Roman"/>
                <w:snapToGrid w:val="0"/>
                <w:color w:val="auto"/>
                <w:kern w:val="0"/>
                <w:szCs w:val="21"/>
                <w:highlight w:val="none"/>
                <w:lang w:val="en-US" w:eastAsia="zh-CN"/>
              </w:rPr>
              <w:t>无效竞标</w:t>
            </w:r>
            <w:r>
              <w:rPr>
                <w:rFonts w:hint="default" w:ascii="Times New Roman" w:hAnsi="Times New Roman" w:cs="Times New Roman"/>
                <w:snapToGrid w:val="0"/>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本项目评标采用</w:t>
            </w:r>
            <w:r>
              <w:rPr>
                <w:rFonts w:hint="eastAsia" w:ascii="Times New Roman" w:hAnsi="Times New Roman" w:cs="Times New Roman"/>
                <w:color w:val="auto"/>
                <w:szCs w:val="21"/>
                <w:highlight w:val="none"/>
                <w:lang w:val="en-US" w:eastAsia="zh-CN"/>
              </w:rPr>
              <w:t>经评审的最</w:t>
            </w:r>
            <w:r>
              <w:rPr>
                <w:rFonts w:hint="default" w:ascii="Times New Roman" w:hAnsi="Times New Roman" w:cs="Times New Roman"/>
                <w:color w:val="auto"/>
                <w:szCs w:val="21"/>
                <w:highlight w:val="none"/>
              </w:rPr>
              <w:t>低价法，对通过初步评审、详细评审</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方案评审</w:t>
            </w:r>
            <w:r>
              <w:rPr>
                <w:rFonts w:hint="default" w:ascii="Times New Roman" w:hAnsi="Times New Roman" w:cs="Times New Roman"/>
                <w:color w:val="auto"/>
                <w:szCs w:val="21"/>
                <w:highlight w:val="none"/>
              </w:rPr>
              <w:t>的投标人按照经评审的投标报价由低到高的顺序依次推荐3名中标候选人。若不足3名，则只选取相应的数量。</w:t>
            </w:r>
          </w:p>
        </w:tc>
      </w:tr>
    </w:tbl>
    <w:p>
      <w:pPr>
        <w:spacing w:line="400" w:lineRule="exact"/>
        <w:rPr>
          <w:rFonts w:hint="default" w:eastAsiaTheme="minorEastAsia"/>
          <w:b/>
          <w:color w:val="auto"/>
          <w:szCs w:val="21"/>
          <w:highlight w:val="none"/>
          <w:lang w:val="en-US" w:eastAsia="zh-CN"/>
        </w:rPr>
      </w:pPr>
      <w:r>
        <w:rPr>
          <w:rFonts w:hint="eastAsia"/>
          <w:b/>
          <w:color w:val="auto"/>
          <w:szCs w:val="21"/>
          <w:highlight w:val="none"/>
          <w:lang w:val="en-US" w:eastAsia="zh-CN"/>
        </w:rPr>
        <w:t>备注：拆除后残值归业主所有，申请比选人须自行安排场地保管。</w:t>
      </w:r>
    </w:p>
    <w:p>
      <w:pPr>
        <w:spacing w:line="400" w:lineRule="exact"/>
        <w:rPr>
          <w:b/>
          <w:color w:val="auto"/>
          <w:szCs w:val="21"/>
          <w:highlight w:val="none"/>
        </w:rPr>
      </w:pPr>
      <w:r>
        <w:rPr>
          <w:b/>
          <w:color w:val="auto"/>
          <w:szCs w:val="21"/>
          <w:highlight w:val="none"/>
        </w:rPr>
        <w:t>五、</w:t>
      </w:r>
      <w:r>
        <w:rPr>
          <w:rFonts w:hint="eastAsia"/>
          <w:b/>
          <w:color w:val="auto"/>
          <w:szCs w:val="21"/>
          <w:highlight w:val="none"/>
          <w:lang w:val="en-US" w:eastAsia="zh-CN"/>
        </w:rPr>
        <w:t>比选</w:t>
      </w:r>
      <w:r>
        <w:rPr>
          <w:b/>
          <w:color w:val="auto"/>
          <w:szCs w:val="21"/>
          <w:highlight w:val="none"/>
        </w:rPr>
        <w:t>须知</w:t>
      </w:r>
    </w:p>
    <w:p>
      <w:pPr>
        <w:spacing w:line="400" w:lineRule="exact"/>
        <w:ind w:firstLine="420" w:firstLineChars="200"/>
        <w:rPr>
          <w:rFonts w:hint="eastAsia"/>
          <w:color w:val="auto"/>
          <w:szCs w:val="21"/>
          <w:highlight w:val="none"/>
        </w:rPr>
      </w:pPr>
      <w:r>
        <w:rPr>
          <w:color w:val="auto"/>
          <w:szCs w:val="21"/>
          <w:highlight w:val="none"/>
        </w:rPr>
        <w:t>（一）</w:t>
      </w:r>
      <w:r>
        <w:rPr>
          <w:rFonts w:hint="eastAsia"/>
          <w:color w:val="auto"/>
          <w:szCs w:val="21"/>
          <w:highlight w:val="none"/>
          <w:lang w:val="en-US" w:eastAsia="zh-CN"/>
        </w:rPr>
        <w:t>比选</w:t>
      </w:r>
      <w:r>
        <w:rPr>
          <w:color w:val="auto"/>
          <w:szCs w:val="21"/>
          <w:highlight w:val="none"/>
        </w:rPr>
        <w:t>文件发售时间：20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5</w:t>
      </w:r>
      <w:r>
        <w:rPr>
          <w:color w:val="auto"/>
          <w:szCs w:val="21"/>
          <w:highlight w:val="none"/>
        </w:rPr>
        <w:t>日-20</w:t>
      </w:r>
      <w:r>
        <w:rPr>
          <w:rFonts w:hint="eastAsia"/>
          <w:color w:val="auto"/>
          <w:szCs w:val="21"/>
          <w:highlight w:val="none"/>
          <w:lang w:val="en-US" w:eastAsia="zh-CN"/>
        </w:rPr>
        <w:t>22</w:t>
      </w:r>
      <w:r>
        <w:rPr>
          <w:color w:val="auto"/>
          <w:szCs w:val="21"/>
          <w:highlight w:val="none"/>
        </w:rPr>
        <w:t>年</w:t>
      </w:r>
      <w:r>
        <w:rPr>
          <w:rFonts w:hint="eastAsia"/>
          <w:color w:val="auto"/>
          <w:szCs w:val="21"/>
          <w:highlight w:val="none"/>
          <w:lang w:val="en-US" w:eastAsia="zh-CN"/>
        </w:rPr>
        <w:t>8</w:t>
      </w:r>
      <w:r>
        <w:rPr>
          <w:color w:val="auto"/>
          <w:szCs w:val="21"/>
          <w:highlight w:val="none"/>
        </w:rPr>
        <w:t>月</w:t>
      </w:r>
      <w:r>
        <w:rPr>
          <w:rFonts w:hint="eastAsia"/>
          <w:color w:val="auto"/>
          <w:szCs w:val="21"/>
          <w:highlight w:val="none"/>
          <w:lang w:val="en-US" w:eastAsia="zh-CN"/>
        </w:rPr>
        <w:t>9</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12"/>
          <w:color w:val="auto"/>
          <w:szCs w:val="21"/>
          <w:highlight w:val="none"/>
        </w:rPr>
        <w:t>http://bulletin.cebpubservice.com/）</w:t>
      </w:r>
      <w:r>
        <w:rPr>
          <w:rStyle w:val="12"/>
          <w:rFonts w:hint="eastAsia"/>
          <w:color w:val="auto"/>
          <w:szCs w:val="21"/>
          <w:highlight w:val="none"/>
          <w:lang w:eastAsia="zh-CN"/>
        </w:rPr>
        <w:t>、</w:t>
      </w:r>
      <w:r>
        <w:rPr>
          <w:rFonts w:hint="eastAsia"/>
          <w:bCs/>
          <w:color w:val="auto"/>
          <w:szCs w:val="21"/>
          <w:highlight w:val="none"/>
        </w:rPr>
        <w:t>重庆高速公路集团有限公司招投标管理平台（</w:t>
      </w:r>
      <w:bookmarkStart w:id="50" w:name="OLE_LINK1"/>
      <w:r>
        <w:rPr>
          <w:rFonts w:hint="eastAsia"/>
          <w:bCs/>
          <w:color w:val="auto"/>
          <w:szCs w:val="21"/>
          <w:highlight w:val="none"/>
        </w:rPr>
        <w:t>http://112.35.165.219:8088/PMS/）</w:t>
      </w:r>
      <w:bookmarkEnd w:id="50"/>
      <w:r>
        <w:rPr>
          <w:rFonts w:hint="eastAsia"/>
          <w:bCs/>
          <w:color w:val="auto"/>
          <w:szCs w:val="21"/>
          <w:highlight w:val="none"/>
          <w:lang w:val="en-US" w:eastAsia="zh-CN"/>
        </w:rPr>
        <w:t>和重庆高速集团官网上发布比选公告。</w:t>
      </w:r>
      <w:r>
        <w:rPr>
          <w:rStyle w:val="12"/>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15"/>
        <w:spacing w:line="400" w:lineRule="exact"/>
        <w:ind w:firstLine="420"/>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竞争性比选地点：重庆市渝北区海王星科技大厦D区5楼。</w:t>
      </w:r>
    </w:p>
    <w:p>
      <w:pPr>
        <w:pStyle w:val="15"/>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（四）竞争性比选截止及开标时间：</w:t>
      </w:r>
      <w:r>
        <w:rPr>
          <w:rFonts w:hint="eastAsia" w:ascii="Times New Roman" w:eastAsia="宋体" w:cs="Times New Roman"/>
          <w:color w:val="auto"/>
          <w:sz w:val="21"/>
          <w:szCs w:val="21"/>
          <w:highlight w:val="none"/>
          <w:lang w:eastAsia="zh-CN"/>
        </w:rPr>
        <w:t>202</w:t>
      </w:r>
      <w:r>
        <w:rPr>
          <w:rFonts w:hint="eastAsia" w:ascii="Times New Roman" w:eastAsia="宋体" w:cs="Times New Roman"/>
          <w:color w:val="auto"/>
          <w:sz w:val="21"/>
          <w:szCs w:val="21"/>
          <w:highlight w:val="none"/>
          <w:lang w:val="en-US" w:eastAsia="zh-CN"/>
        </w:rPr>
        <w:t>2</w:t>
      </w:r>
      <w:r>
        <w:rPr>
          <w:rFonts w:hint="eastAsia" w:ascii="Times New Roman" w:eastAsia="宋体" w:cs="Times New Roman"/>
          <w:color w:val="auto"/>
          <w:sz w:val="21"/>
          <w:szCs w:val="21"/>
          <w:highlight w:val="none"/>
        </w:rPr>
        <w:t>年</w:t>
      </w:r>
      <w:r>
        <w:rPr>
          <w:rFonts w:hint="eastAsia" w:ascii="Times New Roman" w:eastAsia="宋体" w:cs="Times New Roman"/>
          <w:color w:val="auto"/>
          <w:sz w:val="21"/>
          <w:szCs w:val="21"/>
          <w:highlight w:val="none"/>
          <w:lang w:val="en-US" w:eastAsia="zh-CN"/>
        </w:rPr>
        <w:t>8</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10</w:t>
      </w:r>
      <w:r>
        <w:rPr>
          <w:rFonts w:hint="eastAsia" w:ascii="Times New Roman" w:eastAsia="宋体" w:cs="Times New Roman"/>
          <w:color w:val="auto"/>
          <w:sz w:val="21"/>
          <w:szCs w:val="21"/>
          <w:highlight w:val="none"/>
        </w:rPr>
        <w:t>日</w:t>
      </w:r>
      <w:r>
        <w:rPr>
          <w:rFonts w:ascii="Times New Roman" w:eastAsia="宋体" w:cs="Times New Roman"/>
          <w:color w:val="auto"/>
          <w:sz w:val="21"/>
          <w:szCs w:val="21"/>
          <w:highlight w:val="none"/>
        </w:rPr>
        <w:t xml:space="preserve"> 1</w:t>
      </w:r>
      <w:r>
        <w:rPr>
          <w:rFonts w:hint="eastAsia" w:ascii="Times New Roman" w:eastAsia="宋体" w:cs="Times New Roman"/>
          <w:color w:val="auto"/>
          <w:sz w:val="21"/>
          <w:szCs w:val="21"/>
          <w:highlight w:val="none"/>
          <w:lang w:val="en-US" w:eastAsia="zh-CN"/>
        </w:rPr>
        <w:t>0</w:t>
      </w:r>
      <w:r>
        <w:rPr>
          <w:rFonts w:hint="eastAsia" w:ascii="Times New Roman" w:eastAsia="宋体" w:cs="Times New Roman"/>
          <w:color w:val="auto"/>
          <w:sz w:val="21"/>
          <w:szCs w:val="21"/>
          <w:highlight w:val="none"/>
        </w:rPr>
        <w:t>时</w:t>
      </w:r>
      <w:r>
        <w:rPr>
          <w:rFonts w:ascii="Times New Roman" w:eastAsia="宋体" w:cs="Times New Roman"/>
          <w:color w:val="auto"/>
          <w:sz w:val="21"/>
          <w:szCs w:val="21"/>
          <w:highlight w:val="none"/>
        </w:rPr>
        <w:t xml:space="preserve"> 00 </w:t>
      </w:r>
      <w:r>
        <w:rPr>
          <w:rFonts w:hint="eastAsia" w:ascii="Times New Roman" w:eastAsia="宋体" w:cs="Times New Roman"/>
          <w:color w:val="auto"/>
          <w:sz w:val="21"/>
          <w:szCs w:val="21"/>
          <w:highlight w:val="none"/>
        </w:rPr>
        <w:t>分（北京时间）。</w:t>
      </w:r>
    </w:p>
    <w:p>
      <w:pPr>
        <w:spacing w:line="400" w:lineRule="exact"/>
        <w:ind w:firstLine="420" w:firstLineChars="200"/>
        <w:rPr>
          <w:rFonts w:hint="default" w:ascii="Times New Roman" w:eastAsia="宋体" w:cs="Times New Roman" w:hAnsiTheme="minorHAnsi"/>
          <w:b w:val="0"/>
          <w:color w:val="auto"/>
          <w:kern w:val="2"/>
          <w:sz w:val="21"/>
          <w:szCs w:val="21"/>
          <w:highlight w:val="none"/>
          <w:lang w:val="en-US" w:eastAsia="zh-CN" w:bidi="ar-SA"/>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eastAsia="宋体" w:cs="Times New Roman"/>
          <w:color w:val="auto"/>
          <w:szCs w:val="21"/>
          <w:highlight w:val="none"/>
          <w:lang w:val="en-US" w:eastAsia="zh-CN"/>
        </w:rPr>
        <w:t>10000</w:t>
      </w:r>
      <w:r>
        <w:rPr>
          <w:rFonts w:hint="eastAsia" w:ascii="Times New Roman" w:eastAsia="宋体" w:cs="Times New Roman"/>
          <w:color w:val="auto"/>
          <w:szCs w:val="21"/>
          <w:highlight w:val="none"/>
        </w:rPr>
        <w:t>元整。比选申请单位需在</w:t>
      </w:r>
      <w:r>
        <w:rPr>
          <w:rFonts w:hint="eastAsia" w:ascii="Times New Roman" w:eastAsia="宋体" w:cs="Times New Roman"/>
          <w:color w:val="auto"/>
          <w:szCs w:val="21"/>
          <w:highlight w:val="none"/>
          <w:lang w:eastAsia="zh-CN"/>
        </w:rPr>
        <w:t>202</w:t>
      </w:r>
      <w:r>
        <w:rPr>
          <w:rFonts w:hint="eastAsia" w:ascii="Times New Roman" w:eastAsia="宋体" w:cs="Times New Roman"/>
          <w:color w:val="auto"/>
          <w:szCs w:val="21"/>
          <w:highlight w:val="none"/>
          <w:lang w:val="en-US" w:eastAsia="zh-CN"/>
        </w:rPr>
        <w:t>2</w:t>
      </w:r>
      <w:r>
        <w:rPr>
          <w:rFonts w:ascii="Times New Roman" w:eastAsia="宋体" w:cs="Times New Roman"/>
          <w:color w:val="auto"/>
          <w:szCs w:val="21"/>
          <w:highlight w:val="none"/>
        </w:rPr>
        <w:t>年</w:t>
      </w:r>
      <w:r>
        <w:rPr>
          <w:rFonts w:hint="eastAsia"/>
          <w:color w:val="auto"/>
          <w:szCs w:val="21"/>
          <w:highlight w:val="none"/>
          <w:lang w:val="en-US" w:eastAsia="zh-CN"/>
        </w:rPr>
        <w:t>8</w:t>
      </w:r>
      <w:r>
        <w:rPr>
          <w:rFonts w:ascii="Times New Roman" w:eastAsia="宋体" w:cs="Times New Roman"/>
          <w:color w:val="auto"/>
          <w:szCs w:val="21"/>
          <w:highlight w:val="none"/>
        </w:rPr>
        <w:t>月</w:t>
      </w:r>
      <w:r>
        <w:rPr>
          <w:rFonts w:hint="eastAsia"/>
          <w:color w:val="auto"/>
          <w:szCs w:val="21"/>
          <w:highlight w:val="none"/>
          <w:lang w:val="en-US" w:eastAsia="zh-CN"/>
        </w:rPr>
        <w:t>9</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lang w:val="en-US" w:eastAsia="zh-CN"/>
        </w:rPr>
        <w:t>7</w:t>
      </w:r>
      <w:r>
        <w:rPr>
          <w:rFonts w:hint="eastAsia" w:ascii="Times New Roman" w:eastAsia="宋体" w:cs="Times New Roman"/>
          <w:color w:val="auto"/>
          <w:szCs w:val="21"/>
          <w:highlight w:val="none"/>
        </w:rPr>
        <w:t>:00（北京时间）前将保证金</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lang w:val="en-US" w:eastAsia="zh-CN"/>
        </w:rPr>
        <w:t>需备注项目全称</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rPr>
        <w:t>交到比选人指定账户（比选人账户见下）。比选结果公布后，比选申请单位向比选人提出退保证金申请</w:t>
      </w:r>
      <w:r>
        <w:rPr>
          <w:rFonts w:hint="eastAsia" w:ascii="Times New Roman" w:eastAsia="宋体" w:cs="Times New Roman"/>
          <w:color w:val="auto"/>
          <w:szCs w:val="21"/>
          <w:highlight w:val="none"/>
          <w:lang w:eastAsia="zh-CN"/>
        </w:rPr>
        <w:t>（盖公章）并付收据（盖财务章）</w:t>
      </w:r>
      <w:r>
        <w:rPr>
          <w:rFonts w:hint="eastAsia" w:ascii="Times New Roman" w:eastAsia="宋体" w:cs="Times New Roman"/>
          <w:color w:val="auto"/>
          <w:szCs w:val="21"/>
          <w:highlight w:val="none"/>
        </w:rPr>
        <w:t>，比选人在收到退保证金申请后的20个工作日内无息返还竞标保证金。</w:t>
      </w:r>
      <w:r>
        <w:rPr>
          <w:rFonts w:hint="eastAsia" w:ascii="Times New Roman" w:eastAsia="宋体" w:cs="Times New Roman"/>
          <w:color w:val="auto"/>
          <w:szCs w:val="21"/>
          <w:highlight w:val="none"/>
          <w:lang w:eastAsia="zh-CN"/>
        </w:rPr>
        <w:t>中标单位的投标保证金自动转为履约保证金，待合同履行完毕后退还</w:t>
      </w:r>
      <w:r>
        <w:rPr>
          <w:rFonts w:hint="eastAsia" w:ascii="Times New Roman" w:eastAsia="宋体" w:cs="Times New Roman"/>
          <w:color w:val="auto"/>
          <w:szCs w:val="21"/>
          <w:highlight w:val="none"/>
          <w:lang w:val="en-US" w:eastAsia="zh-CN"/>
        </w:rPr>
        <w:t>。</w:t>
      </w:r>
    </w:p>
    <w:p>
      <w:pPr>
        <w:pStyle w:val="15"/>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比选人账户：</w:t>
      </w:r>
    </w:p>
    <w:p>
      <w:pPr>
        <w:widowControl/>
        <w:spacing w:line="400" w:lineRule="exact"/>
        <w:jc w:val="left"/>
        <w:rPr>
          <w:color w:val="auto"/>
          <w:kern w:val="0"/>
          <w:szCs w:val="21"/>
          <w:highlight w:val="none"/>
          <w:lang w:val="en-US"/>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numPr>
          <w:ilvl w:val="0"/>
          <w:numId w:val="0"/>
        </w:numPr>
        <w:spacing w:line="400" w:lineRule="exact"/>
        <w:rPr>
          <w:color w:val="auto"/>
          <w:szCs w:val="21"/>
          <w:highlight w:val="none"/>
        </w:rPr>
      </w:pP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rFonts w:hint="eastAsia"/>
          <w:color w:val="auto"/>
          <w:szCs w:val="21"/>
          <w:highlight w:val="none"/>
        </w:rPr>
      </w:pPr>
      <w:r>
        <w:rPr>
          <w:color w:val="auto"/>
          <w:szCs w:val="21"/>
          <w:highlight w:val="none"/>
        </w:rPr>
        <w:t>按要求制作的</w:t>
      </w:r>
      <w:r>
        <w:rPr>
          <w:rFonts w:hint="eastAsia"/>
          <w:color w:val="auto"/>
          <w:szCs w:val="21"/>
          <w:highlight w:val="none"/>
          <w:lang w:val="en-US" w:eastAsia="zh-CN"/>
        </w:rPr>
        <w:t>比选</w:t>
      </w:r>
      <w:r>
        <w:rPr>
          <w:color w:val="auto"/>
          <w:szCs w:val="21"/>
          <w:highlight w:val="none"/>
        </w:rPr>
        <w:t>响应文件，将</w:t>
      </w:r>
      <w:r>
        <w:rPr>
          <w:rFonts w:hint="eastAsia"/>
          <w:color w:val="auto"/>
          <w:szCs w:val="21"/>
          <w:highlight w:val="none"/>
          <w:lang w:val="en-US" w:eastAsia="zh-CN"/>
        </w:rPr>
        <w:t>比选</w:t>
      </w:r>
      <w:r>
        <w:rPr>
          <w:color w:val="auto"/>
          <w:szCs w:val="21"/>
          <w:highlight w:val="none"/>
        </w:rPr>
        <w:t>响应文件密封到一个封套中，再在封套上写明</w:t>
      </w:r>
      <w:r>
        <w:rPr>
          <w:rFonts w:hint="eastAsia"/>
          <w:color w:val="auto"/>
          <w:szCs w:val="21"/>
          <w:highlight w:val="none"/>
        </w:rPr>
        <w:t>以下信息：</w:t>
      </w:r>
    </w:p>
    <w:p>
      <w:pPr>
        <w:pStyle w:val="2"/>
        <w:rPr>
          <w:rFonts w:hint="eastAsia"/>
          <w:color w:val="auto"/>
          <w:szCs w:val="21"/>
          <w:highlight w:val="none"/>
        </w:rPr>
      </w:pPr>
    </w:p>
    <w:p>
      <w:pPr>
        <w:rPr>
          <w:color w:val="auto"/>
          <w:highlight w:val="none"/>
        </w:rPr>
      </w:pPr>
    </w:p>
    <w:p>
      <w:pPr>
        <w:jc w:val="center"/>
        <w:rPr>
          <w:rFonts w:hint="eastAsia" w:asciiTheme="minorHAnsi" w:hAnsiTheme="minorHAnsi" w:eastAsiaTheme="minorEastAsia" w:cstheme="minorBidi"/>
          <w:b w:val="0"/>
          <w:color w:val="auto"/>
          <w:kern w:val="2"/>
          <w:sz w:val="21"/>
          <w:szCs w:val="21"/>
          <w:highlight w:val="none"/>
          <w:u w:val="single"/>
          <w:lang w:val="en-US" w:eastAsia="zh-CN" w:bidi="ar-SA"/>
        </w:rPr>
      </w:pPr>
      <w:r>
        <w:rPr>
          <w:rFonts w:hint="eastAsia" w:asciiTheme="minorHAnsi" w:eastAsiaTheme="minorEastAsia" w:cstheme="minorBidi"/>
          <w:b w:val="0"/>
          <w:color w:val="auto"/>
          <w:kern w:val="2"/>
          <w:sz w:val="21"/>
          <w:szCs w:val="21"/>
          <w:highlight w:val="none"/>
          <w:u w:val="single"/>
          <w:lang w:val="en-US" w:eastAsia="zh-CN" w:bidi="ar-SA"/>
        </w:rPr>
        <w:t xml:space="preserve">  </w:t>
      </w:r>
      <w:r>
        <w:rPr>
          <w:rFonts w:hint="eastAsia" w:asciiTheme="minorHAnsi" w:hAnsiTheme="minorHAnsi" w:eastAsiaTheme="minorEastAsia" w:cstheme="minorBidi"/>
          <w:b w:val="0"/>
          <w:color w:val="auto"/>
          <w:kern w:val="2"/>
          <w:sz w:val="21"/>
          <w:szCs w:val="21"/>
          <w:highlight w:val="none"/>
          <w:u w:val="single"/>
          <w:lang w:val="en-US" w:eastAsia="zh-CN" w:bidi="ar-SA"/>
        </w:rPr>
        <w:t>重庆高速文化传媒股份有限公司</w:t>
      </w:r>
      <w:r>
        <w:rPr>
          <w:rFonts w:hint="eastAsia" w:asciiTheme="minorHAnsi" w:hAnsiTheme="minorHAnsi" w:cstheme="minorBidi"/>
          <w:b w:val="0"/>
          <w:color w:val="auto"/>
          <w:kern w:val="2"/>
          <w:sz w:val="21"/>
          <w:szCs w:val="21"/>
          <w:highlight w:val="none"/>
          <w:u w:val="single"/>
          <w:lang w:val="en-US" w:eastAsia="zh-CN" w:bidi="ar-SA"/>
        </w:rPr>
        <w:t>重庆高速文化传媒股份有限公司白沙服务区、塘河服务区、珞璜服务区、大观服务区东西两侧服务区加气站罩棚装饰项目</w:t>
      </w:r>
    </w:p>
    <w:p>
      <w:pPr>
        <w:rPr>
          <w:rFonts w:hint="eastAsia"/>
          <w:color w:val="auto"/>
          <w:highlight w:val="none"/>
          <w:lang w:val="en-US" w:eastAsia="zh-CN"/>
        </w:rPr>
      </w:pPr>
    </w:p>
    <w:p>
      <w:pPr>
        <w:spacing w:line="400" w:lineRule="exact"/>
        <w:ind w:firstLine="420" w:firstLineChars="200"/>
        <w:jc w:val="center"/>
        <w:rPr>
          <w:color w:val="auto"/>
          <w:szCs w:val="21"/>
          <w:highlight w:val="none"/>
          <w:u w:val="single"/>
        </w:rPr>
      </w:pPr>
      <w:r>
        <w:rPr>
          <w:color w:val="auto"/>
          <w:szCs w:val="21"/>
          <w:highlight w:val="none"/>
          <w:u w:val="single"/>
        </w:rPr>
        <w:t>在20</w:t>
      </w:r>
      <w:r>
        <w:rPr>
          <w:rFonts w:hint="eastAsia"/>
          <w:color w:val="auto"/>
          <w:szCs w:val="21"/>
          <w:highlight w:val="none"/>
          <w:u w:val="single"/>
          <w:lang w:val="en-US" w:eastAsia="zh-CN"/>
        </w:rPr>
        <w:t>22</w:t>
      </w:r>
      <w:r>
        <w:rPr>
          <w:color w:val="auto"/>
          <w:szCs w:val="21"/>
          <w:highlight w:val="none"/>
          <w:u w:val="single"/>
        </w:rPr>
        <w:t xml:space="preserve">年 </w:t>
      </w:r>
      <w:r>
        <w:rPr>
          <w:rFonts w:hint="eastAsia"/>
          <w:color w:val="auto"/>
          <w:szCs w:val="21"/>
          <w:highlight w:val="none"/>
          <w:u w:val="single"/>
          <w:lang w:val="en-US" w:eastAsia="zh-CN"/>
        </w:rPr>
        <w:t>8</w:t>
      </w:r>
      <w:r>
        <w:rPr>
          <w:color w:val="auto"/>
          <w:szCs w:val="21"/>
          <w:highlight w:val="none"/>
          <w:u w:val="single"/>
        </w:rPr>
        <w:t xml:space="preserve">月 </w:t>
      </w:r>
      <w:r>
        <w:rPr>
          <w:rFonts w:hint="eastAsia"/>
          <w:color w:val="auto"/>
          <w:szCs w:val="21"/>
          <w:highlight w:val="none"/>
          <w:u w:val="single"/>
          <w:lang w:val="en-US" w:eastAsia="zh-CN"/>
        </w:rPr>
        <w:t>10</w:t>
      </w:r>
      <w:r>
        <w:rPr>
          <w:color w:val="auto"/>
          <w:szCs w:val="21"/>
          <w:highlight w:val="none"/>
          <w:u w:val="single"/>
        </w:rPr>
        <w:t>日</w:t>
      </w:r>
      <w:r>
        <w:rPr>
          <w:rFonts w:hint="eastAsia"/>
          <w:color w:val="auto"/>
          <w:szCs w:val="21"/>
          <w:highlight w:val="none"/>
          <w:u w:val="single"/>
          <w:lang w:eastAsia="zh-CN"/>
        </w:rPr>
        <w:t>上</w:t>
      </w:r>
      <w:r>
        <w:rPr>
          <w:color w:val="auto"/>
          <w:szCs w:val="21"/>
          <w:highlight w:val="none"/>
          <w:u w:val="single"/>
        </w:rPr>
        <w:t>午</w:t>
      </w:r>
      <w:r>
        <w:rPr>
          <w:rFonts w:hint="eastAsia"/>
          <w:color w:val="auto"/>
          <w:szCs w:val="21"/>
          <w:highlight w:val="none"/>
          <w:u w:val="single"/>
        </w:rPr>
        <w:t>1</w:t>
      </w:r>
      <w:r>
        <w:rPr>
          <w:rFonts w:hint="eastAsia"/>
          <w:color w:val="auto"/>
          <w:szCs w:val="21"/>
          <w:highlight w:val="none"/>
          <w:u w:val="single"/>
          <w:lang w:val="en-US" w:eastAsia="zh-CN"/>
        </w:rPr>
        <w:t>0</w:t>
      </w:r>
      <w:r>
        <w:rPr>
          <w:color w:val="auto"/>
          <w:szCs w:val="21"/>
          <w:highlight w:val="none"/>
          <w:u w:val="single"/>
        </w:rPr>
        <w:t>:00时前不得开启</w:t>
      </w: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p>
    <w:p>
      <w:pPr>
        <w:spacing w:line="400" w:lineRule="exact"/>
        <w:ind w:firstLine="420" w:firstLineChars="200"/>
        <w:jc w:val="left"/>
        <w:rPr>
          <w:color w:val="auto"/>
          <w:szCs w:val="21"/>
          <w:highlight w:val="none"/>
        </w:rPr>
      </w:pPr>
      <w:r>
        <w:rPr>
          <w:rFonts w:hint="eastAsia"/>
          <w:color w:val="auto"/>
          <w:szCs w:val="21"/>
          <w:highlight w:val="none"/>
          <w:lang w:val="en-US" w:eastAsia="zh-CN"/>
        </w:rPr>
        <w:t>比选</w:t>
      </w:r>
      <w:r>
        <w:rPr>
          <w:color w:val="auto"/>
          <w:szCs w:val="21"/>
          <w:highlight w:val="none"/>
        </w:rPr>
        <w:t>人：重庆高速文化传媒股份有限公司</w:t>
      </w:r>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地址：</w:t>
      </w:r>
      <w:r>
        <w:rPr>
          <w:rFonts w:hint="eastAsia" w:ascii="Times New Roman" w:eastAsia="宋体" w:cs="Times New Roman"/>
          <w:color w:val="auto"/>
          <w:sz w:val="21"/>
          <w:szCs w:val="21"/>
          <w:highlight w:val="none"/>
        </w:rPr>
        <w:t>：重庆市渝北区海王星科技大厦D区5楼</w:t>
      </w:r>
      <w:r>
        <w:rPr>
          <w:rFonts w:hint="eastAsia" w:ascii="Times New Roman" w:eastAsia="宋体" w:cs="Times New Roman"/>
          <w:color w:val="auto"/>
          <w:sz w:val="21"/>
          <w:szCs w:val="21"/>
          <w:highlight w:val="none"/>
          <w:lang w:val="en-US" w:eastAsia="zh-CN"/>
        </w:rPr>
        <w:t>办公室</w:t>
      </w:r>
      <w:r>
        <w:rPr>
          <w:color w:val="auto"/>
          <w:szCs w:val="21"/>
          <w:highlight w:val="none"/>
        </w:rPr>
        <w:br w:type="textWrapping"/>
      </w:r>
      <w:r>
        <w:rPr>
          <w:color w:val="auto"/>
          <w:szCs w:val="21"/>
          <w:highlight w:val="none"/>
        </w:rPr>
        <w:t xml:space="preserve">联系人：吴老师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023－89139</w:t>
      </w:r>
      <w:r>
        <w:rPr>
          <w:rFonts w:hint="eastAsia"/>
          <w:color w:val="auto"/>
          <w:szCs w:val="21"/>
          <w:highlight w:val="none"/>
          <w:lang w:val="en-US" w:eastAsia="zh-CN"/>
        </w:rPr>
        <w:t>0907</w:t>
      </w: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pStyle w:val="15"/>
        <w:rPr>
          <w:color w:val="auto"/>
          <w:szCs w:val="21"/>
          <w:highlight w:val="none"/>
        </w:rPr>
      </w:pPr>
    </w:p>
    <w:p>
      <w:pPr>
        <w:spacing w:line="400" w:lineRule="exact"/>
        <w:ind w:firstLine="420" w:firstLineChars="200"/>
        <w:jc w:val="left"/>
        <w:rPr>
          <w:color w:val="auto"/>
          <w:highlight w:val="none"/>
        </w:rPr>
      </w:pPr>
      <w:r>
        <w:rPr>
          <w:color w:val="auto"/>
          <w:szCs w:val="21"/>
          <w:highlight w:val="none"/>
        </w:rPr>
        <w:t xml:space="preserve"> </w:t>
      </w:r>
    </w:p>
    <w:p>
      <w:pPr>
        <w:jc w:val="center"/>
        <w:rPr>
          <w:rFonts w:ascii="宋体" w:hAnsi="宋体" w:cs="宋体"/>
          <w:b/>
          <w:color w:val="auto"/>
          <w:sz w:val="24"/>
          <w:highlight w:val="none"/>
        </w:rPr>
      </w:pPr>
      <w:r>
        <w:rPr>
          <w:rFonts w:hint="eastAsia" w:ascii="宋体" w:hAnsi="宋体" w:cs="宋体"/>
          <w:b/>
          <w:color w:val="auto"/>
          <w:sz w:val="24"/>
          <w:highlight w:val="none"/>
          <w:lang w:val="en-US" w:eastAsia="zh-CN"/>
        </w:rPr>
        <w:t>竞争比选</w:t>
      </w:r>
      <w:r>
        <w:rPr>
          <w:rFonts w:hint="eastAsia" w:ascii="宋体" w:hAnsi="宋体" w:cs="宋体"/>
          <w:b/>
          <w:color w:val="auto"/>
          <w:sz w:val="24"/>
          <w:highlight w:val="none"/>
        </w:rPr>
        <w:t>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重庆高速文化传媒股份有限公司白沙服务区、塘河服务区、珞璜服务区、大观服务区东西两侧服务区</w:t>
      </w: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lang w:val="en-US" w:eastAsia="zh-CN"/>
        </w:rPr>
        <w:t>加气站罩棚装饰项目</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15"/>
        <w:rPr>
          <w:color w:val="auto"/>
          <w:highlight w:val="none"/>
        </w:rPr>
      </w:pPr>
    </w:p>
    <w:p>
      <w:pPr>
        <w:rPr>
          <w:color w:val="auto"/>
          <w:highlight w:val="none"/>
        </w:rPr>
      </w:pPr>
    </w:p>
    <w:p>
      <w:pPr>
        <w:pStyle w:val="2"/>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1"/>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报价书</w:t>
      </w:r>
    </w:p>
    <w:p>
      <w:pPr>
        <w:numPr>
          <w:ilvl w:val="0"/>
          <w:numId w:val="1"/>
        </w:numPr>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法定代表人身份证明及授权委托书</w:t>
      </w:r>
    </w:p>
    <w:p>
      <w:pPr>
        <w:numPr>
          <w:ilvl w:val="0"/>
          <w:numId w:val="1"/>
        </w:numPr>
        <w:spacing w:line="360" w:lineRule="auto"/>
        <w:ind w:firstLine="720" w:firstLineChars="300"/>
        <w:rPr>
          <w:rFonts w:hint="eastAsia"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比选</w:t>
      </w:r>
      <w:r>
        <w:rPr>
          <w:rFonts w:hint="eastAsia" w:ascii="宋体" w:hAnsi="宋体" w:cs="宋体"/>
          <w:color w:val="auto"/>
          <w:sz w:val="24"/>
          <w:szCs w:val="24"/>
          <w:highlight w:val="none"/>
        </w:rPr>
        <w:t>响应单位有效的营业执照</w:t>
      </w:r>
      <w:r>
        <w:rPr>
          <w:rFonts w:hint="eastAsia" w:ascii="宋体" w:hAnsi="宋体" w:cs="宋体"/>
          <w:color w:val="auto"/>
          <w:sz w:val="24"/>
          <w:szCs w:val="24"/>
          <w:highlight w:val="none"/>
          <w:lang w:val="en-US" w:eastAsia="zh-CN"/>
        </w:rPr>
        <w:t>等</w:t>
      </w:r>
    </w:p>
    <w:p>
      <w:pPr>
        <w:numPr>
          <w:ilvl w:val="0"/>
          <w:numId w:val="0"/>
        </w:num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四、其他相关资料</w:t>
      </w:r>
    </w:p>
    <w:p>
      <w:pPr>
        <w:tabs>
          <w:tab w:val="left" w:pos="900"/>
          <w:tab w:val="left" w:pos="1080"/>
        </w:tabs>
        <w:spacing w:line="360" w:lineRule="auto"/>
        <w:outlineLvl w:val="0"/>
        <w:rPr>
          <w:rFonts w:ascii="宋体" w:hAnsi="宋体" w:cs="宋体"/>
          <w:b/>
          <w:color w:val="auto"/>
          <w:sz w:val="24"/>
          <w:szCs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pPr>
        <w:rPr>
          <w:color w:val="auto"/>
          <w:highlight w:val="none"/>
        </w:rPr>
      </w:pPr>
    </w:p>
    <w:p>
      <w:pPr>
        <w:pStyle w:val="2"/>
        <w:rPr>
          <w:color w:val="auto"/>
          <w:highlight w:val="none"/>
        </w:rPr>
      </w:pPr>
    </w:p>
    <w:p>
      <w:pPr>
        <w:rPr>
          <w:color w:val="auto"/>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pStyle w:val="2"/>
        <w:rPr>
          <w:rFonts w:ascii="宋体" w:hAnsi="宋体" w:cs="宋体"/>
          <w:b/>
          <w:color w:val="auto"/>
          <w:sz w:val="24"/>
          <w:highlight w:val="none"/>
        </w:rPr>
      </w:pPr>
    </w:p>
    <w:p>
      <w:bookmarkStart w:id="54" w:name="_GoBack"/>
      <w:bookmarkEnd w:id="54"/>
    </w:p>
    <w:p>
      <w:pPr>
        <w:jc w:val="center"/>
        <w:outlineLvl w:val="2"/>
        <w:rPr>
          <w:rFonts w:ascii="宋体" w:hAnsi="宋体" w:cs="宋体"/>
          <w:b/>
          <w:color w:val="auto"/>
          <w:sz w:val="28"/>
          <w:szCs w:val="28"/>
          <w:highlight w:val="none"/>
        </w:rPr>
      </w:pPr>
      <w:bookmarkStart w:id="51" w:name="_Toc265510122"/>
      <w:r>
        <w:rPr>
          <w:rFonts w:hint="eastAsia" w:ascii="宋体" w:hAnsi="宋体" w:cs="宋体"/>
          <w:b/>
          <w:color w:val="auto"/>
          <w:sz w:val="28"/>
          <w:szCs w:val="28"/>
          <w:highlight w:val="none"/>
        </w:rPr>
        <w:t>一、报价书</w:t>
      </w:r>
      <w:bookmarkEnd w:id="51"/>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tabs>
          <w:tab w:val="left" w:pos="9720"/>
        </w:tabs>
        <w:ind w:right="-294" w:rightChars="-140" w:firstLine="422" w:firstLineChars="200"/>
        <w:jc w:val="both"/>
        <w:rPr>
          <w:rFonts w:hint="eastAsia" w:ascii="宋体" w:hAnsi="宋体" w:cs="宋体" w:eastAsiaTheme="minorEastAsia"/>
          <w:b w:val="0"/>
          <w:color w:val="auto"/>
          <w:kern w:val="2"/>
          <w:sz w:val="21"/>
          <w:szCs w:val="21"/>
          <w:highlight w:val="none"/>
          <w:u w:val="single"/>
          <w:lang w:val="en-US" w:eastAsia="zh-CN" w:bidi="ar-SA"/>
        </w:rPr>
      </w:pPr>
      <w:r>
        <w:rPr>
          <w:rFonts w:hint="eastAsia" w:ascii="宋体" w:hAnsi="宋体" w:cs="宋体" w:eastAsiaTheme="minorEastAsia"/>
          <w:b/>
          <w:color w:val="auto"/>
          <w:kern w:val="2"/>
          <w:sz w:val="21"/>
          <w:szCs w:val="21"/>
          <w:highlight w:val="none"/>
          <w:u w:val="single"/>
          <w:lang w:val="en-US" w:eastAsia="zh-CN" w:bidi="ar-SA"/>
        </w:rPr>
        <w:t>我方已仔细研究了重庆高速文化传媒股份有限公司白沙服务区、塘河服务区、珞璜服务区、大观东西两侧服务区加气站罩棚装饰项目</w:t>
      </w:r>
      <w:r>
        <w:rPr>
          <w:rFonts w:hint="eastAsia" w:ascii="宋体" w:hAnsi="宋体" w:cs="宋体" w:eastAsiaTheme="minorEastAsia"/>
          <w:b w:val="0"/>
          <w:color w:val="auto"/>
          <w:kern w:val="2"/>
          <w:sz w:val="21"/>
          <w:szCs w:val="21"/>
          <w:highlight w:val="none"/>
          <w:u w:val="single"/>
          <w:lang w:val="en-US" w:eastAsia="zh-CN" w:bidi="ar-SA"/>
        </w:rPr>
        <w:t xml:space="preserve">比选文件的全部内容，我司愿意以总报价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（大写）（¥     </w:t>
      </w:r>
      <w:r>
        <w:rPr>
          <w:rFonts w:hint="eastAsia" w:ascii="宋体" w:hAnsi="宋体" w:cs="宋体"/>
          <w:b w:val="0"/>
          <w:color w:val="auto"/>
          <w:kern w:val="2"/>
          <w:sz w:val="21"/>
          <w:szCs w:val="21"/>
          <w:highlight w:val="none"/>
          <w:u w:val="single"/>
          <w:lang w:val="en-US" w:eastAsia="zh-CN" w:bidi="ar-SA"/>
        </w:rPr>
        <w:t xml:space="preserve">  </w:t>
      </w:r>
      <w:r>
        <w:rPr>
          <w:rFonts w:hint="eastAsia" w:ascii="宋体" w:hAnsi="宋体" w:cs="宋体" w:eastAsiaTheme="minorEastAsia"/>
          <w:b w:val="0"/>
          <w:color w:val="auto"/>
          <w:kern w:val="2"/>
          <w:sz w:val="21"/>
          <w:szCs w:val="21"/>
          <w:highlight w:val="none"/>
          <w:u w:val="single"/>
          <w:lang w:val="en-US" w:eastAsia="zh-CN" w:bidi="ar-SA"/>
        </w:rPr>
        <w:t xml:space="preserve">      ），并按合同约定履行义务。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．我方承诺在竞标有效期内不修改、撤销</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highlight w:val="none"/>
        </w:rPr>
        <w:t>我方在此声明，所递交的询价响应文件及有关资料内容完整、真实和准确。</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．在合同协议书正式签署生效之前，本报价书连同你方的成交通知书将构成我们双方之间共同遵守的文件。对双方具有约束力。</w:t>
      </w:r>
    </w:p>
    <w:p>
      <w:pPr>
        <w:spacing w:line="440" w:lineRule="exact"/>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4.此价格为包干价，比选申请人不进行价格调整。</w:t>
      </w:r>
    </w:p>
    <w:p>
      <w:pPr>
        <w:pStyle w:val="2"/>
        <w:rPr>
          <w:rFonts w:hint="default" w:eastAsia="仿宋_GB2312"/>
          <w:color w:val="auto"/>
          <w:highlight w:val="none"/>
          <w:lang w:val="en-US" w:eastAsia="zh-CN"/>
        </w:rPr>
      </w:pPr>
    </w:p>
    <w:p>
      <w:pPr>
        <w:pStyle w:val="2"/>
        <w:rPr>
          <w:rFonts w:hint="eastAsia" w:ascii="宋体" w:hAnsi="宋体" w:cs="宋体"/>
          <w:color w:val="auto"/>
          <w:szCs w:val="21"/>
          <w:highlight w:val="none"/>
        </w:rPr>
      </w:pPr>
    </w:p>
    <w:p>
      <w:pPr>
        <w:spacing w:line="440" w:lineRule="exact"/>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rFonts w:ascii="宋体" w:hAnsi="宋体" w:cs="宋体"/>
          <w:color w:val="auto"/>
          <w:szCs w:val="21"/>
          <w:highlight w:val="none"/>
        </w:rPr>
      </w:pPr>
    </w:p>
    <w:p>
      <w:pPr>
        <w:rPr>
          <w:rFonts w:ascii="宋体" w:hAnsi="宋体" w:cs="宋体"/>
          <w:color w:val="auto"/>
          <w:szCs w:val="21"/>
          <w:highlight w:val="none"/>
        </w:rPr>
      </w:pPr>
    </w:p>
    <w:p>
      <w:pPr>
        <w:pStyle w:val="2"/>
        <w:rPr>
          <w:color w:val="auto"/>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hint="eastAsia" w:ascii="宋体" w:hAnsi="宋体" w:cs="宋体"/>
          <w:b/>
          <w:color w:val="auto"/>
          <w:sz w:val="28"/>
          <w:szCs w:val="28"/>
          <w:highlight w:val="none"/>
        </w:rPr>
      </w:pP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52" w:name="_Toc262547328"/>
      <w:r>
        <w:rPr>
          <w:rFonts w:hint="eastAsia" w:ascii="宋体" w:hAnsi="宋体" w:cs="宋体"/>
          <w:b/>
          <w:color w:val="auto"/>
          <w:szCs w:val="21"/>
          <w:highlight w:val="none"/>
        </w:rPr>
        <w:t>（一）法定代表人身份证明</w:t>
      </w:r>
      <w:bookmarkEnd w:id="52"/>
    </w:p>
    <w:p>
      <w:pPr>
        <w:spacing w:line="440" w:lineRule="exact"/>
        <w:rPr>
          <w:rFonts w:ascii="宋体" w:hAnsi="宋体" w:cs="宋体"/>
          <w:color w:val="auto"/>
          <w:szCs w:val="21"/>
          <w:highlight w:val="none"/>
        </w:rPr>
      </w:pPr>
      <w:r>
        <w:rPr>
          <w:rFonts w:hint="eastAsia" w:ascii="宋体" w:hAnsi="宋体" w:cs="宋体"/>
          <w:color w:val="auto"/>
          <w:kern w:val="0"/>
          <w:szCs w:val="21"/>
          <w:highlight w:val="none"/>
          <w:lang w:val="en-US" w:eastAsia="zh-CN"/>
        </w:rPr>
        <w:t>比选响应</w:t>
      </w:r>
      <w:r>
        <w:rPr>
          <w:rFonts w:hint="eastAsia" w:ascii="宋体" w:hAnsi="宋体" w:cs="宋体"/>
          <w:color w:val="auto"/>
          <w:szCs w:val="21"/>
          <w:highlight w:val="none"/>
        </w:rPr>
        <w:t>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竞标人：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pStyle w:val="15"/>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53" w:name="_Toc262547329"/>
      <w:r>
        <w:rPr>
          <w:rFonts w:hint="eastAsia" w:ascii="宋体" w:hAnsi="宋体" w:cs="宋体"/>
          <w:b/>
          <w:color w:val="auto"/>
          <w:szCs w:val="21"/>
          <w:highlight w:val="none"/>
        </w:rPr>
        <w:t>（二）授权委托书</w:t>
      </w:r>
      <w:bookmarkEnd w:id="53"/>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比选响应</w:t>
      </w:r>
      <w:r>
        <w:rPr>
          <w:rFonts w:hint="eastAsia" w:ascii="宋体" w:hAnsi="宋体" w:cs="宋体"/>
          <w:color w:val="auto"/>
          <w:kern w:val="0"/>
          <w:szCs w:val="21"/>
          <w:highlight w:val="none"/>
        </w:rPr>
        <w:t>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pStyle w:val="2"/>
        <w:rPr>
          <w:rFonts w:ascii="宋体" w:hAnsi="宋体" w:cs="宋体"/>
          <w:color w:val="auto"/>
          <w:kern w:val="0"/>
          <w:sz w:val="20"/>
          <w:highlight w:val="none"/>
        </w:rPr>
      </w:pPr>
    </w:p>
    <w:p>
      <w:pPr>
        <w:rPr>
          <w:rFonts w:ascii="宋体" w:hAnsi="宋体" w:cs="宋体"/>
          <w:color w:val="auto"/>
          <w:kern w:val="0"/>
          <w:sz w:val="20"/>
          <w:highlight w:val="none"/>
        </w:rPr>
      </w:pPr>
    </w:p>
    <w:p>
      <w:pPr>
        <w:pStyle w:val="2"/>
        <w:rPr>
          <w:rFonts w:ascii="宋体" w:hAnsi="宋体" w:cs="宋体"/>
          <w:color w:val="auto"/>
          <w:kern w:val="0"/>
          <w:sz w:val="20"/>
          <w:highlight w:val="none"/>
        </w:rPr>
      </w:pPr>
    </w:p>
    <w:p>
      <w:pPr>
        <w:rPr>
          <w:color w:val="auto"/>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val="en-US" w:eastAsia="zh-CN"/>
        </w:rPr>
        <w:t>比选</w:t>
      </w:r>
      <w:r>
        <w:rPr>
          <w:rFonts w:hint="eastAsia" w:ascii="宋体" w:hAnsi="宋体" w:cs="宋体"/>
          <w:b/>
          <w:color w:val="auto"/>
          <w:sz w:val="28"/>
          <w:szCs w:val="28"/>
          <w:highlight w:val="none"/>
        </w:rPr>
        <w:t>响应单位有效的营业执照</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rPr>
        <w:t>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numPr>
          <w:ilvl w:val="0"/>
          <w:numId w:val="1"/>
        </w:numPr>
        <w:tabs>
          <w:tab w:val="left" w:pos="900"/>
          <w:tab w:val="left" w:pos="1080"/>
        </w:tabs>
        <w:spacing w:line="300" w:lineRule="auto"/>
        <w:ind w:firstLine="843" w:firstLineChars="300"/>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其他相关资料</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p>
      <w:pPr>
        <w:rPr>
          <w:rFonts w:hint="eastAsia" w:ascii="方正仿宋_GBK" w:hAnsi="方正仿宋_GBK" w:eastAsia="方正仿宋_GBK" w:cs="方正仿宋_GBK"/>
          <w:color w:val="auto"/>
          <w:sz w:val="28"/>
          <w:szCs w:val="28"/>
          <w:highlight w:val="none"/>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000001FF" w:csb1="00000000"/>
  </w:font>
  <w:font w:name="fontmu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7"/>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2E491"/>
    <w:multiLevelType w:val="singleLevel"/>
    <w:tmpl w:val="2882E4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jViOTJhYTRiYzdkZDI2YmYxM2NmZTY0MjVjYWQifQ=="/>
  </w:docVars>
  <w:rsids>
    <w:rsidRoot w:val="47A05F66"/>
    <w:rsid w:val="00C6664C"/>
    <w:rsid w:val="01085AD3"/>
    <w:rsid w:val="012810B4"/>
    <w:rsid w:val="01395ADE"/>
    <w:rsid w:val="014B08FF"/>
    <w:rsid w:val="01B34E22"/>
    <w:rsid w:val="01CF32DE"/>
    <w:rsid w:val="01D217C2"/>
    <w:rsid w:val="022655F4"/>
    <w:rsid w:val="02504B05"/>
    <w:rsid w:val="028B5457"/>
    <w:rsid w:val="028E13EB"/>
    <w:rsid w:val="0295755B"/>
    <w:rsid w:val="029A7D90"/>
    <w:rsid w:val="030D0562"/>
    <w:rsid w:val="03522419"/>
    <w:rsid w:val="03681C3C"/>
    <w:rsid w:val="03EC461B"/>
    <w:rsid w:val="0442248D"/>
    <w:rsid w:val="04706FFA"/>
    <w:rsid w:val="04CB5FDF"/>
    <w:rsid w:val="05386E6A"/>
    <w:rsid w:val="05810075"/>
    <w:rsid w:val="065B1597"/>
    <w:rsid w:val="068D7ACC"/>
    <w:rsid w:val="06B412B1"/>
    <w:rsid w:val="06C771E5"/>
    <w:rsid w:val="070E6657"/>
    <w:rsid w:val="077A1F3E"/>
    <w:rsid w:val="07A1571D"/>
    <w:rsid w:val="07E06245"/>
    <w:rsid w:val="082A3964"/>
    <w:rsid w:val="08BB280E"/>
    <w:rsid w:val="08D51B22"/>
    <w:rsid w:val="08EE0000"/>
    <w:rsid w:val="09D663E1"/>
    <w:rsid w:val="0A1619B0"/>
    <w:rsid w:val="0A3E36F7"/>
    <w:rsid w:val="0A445B94"/>
    <w:rsid w:val="0A5151D8"/>
    <w:rsid w:val="0A8455AD"/>
    <w:rsid w:val="0AC71502"/>
    <w:rsid w:val="0AE61DC4"/>
    <w:rsid w:val="0AF33642"/>
    <w:rsid w:val="0AF65D7F"/>
    <w:rsid w:val="0C394176"/>
    <w:rsid w:val="0C6805B7"/>
    <w:rsid w:val="0CBE248C"/>
    <w:rsid w:val="0D531267"/>
    <w:rsid w:val="0E1F774D"/>
    <w:rsid w:val="0E320E7D"/>
    <w:rsid w:val="0E74021F"/>
    <w:rsid w:val="0E800F92"/>
    <w:rsid w:val="0EAD4172"/>
    <w:rsid w:val="0F114641"/>
    <w:rsid w:val="0F177F00"/>
    <w:rsid w:val="0F1F3AF7"/>
    <w:rsid w:val="0FCB77DB"/>
    <w:rsid w:val="117D6FD6"/>
    <w:rsid w:val="11E12814"/>
    <w:rsid w:val="12525F91"/>
    <w:rsid w:val="12E8656E"/>
    <w:rsid w:val="132A0CBC"/>
    <w:rsid w:val="132F0080"/>
    <w:rsid w:val="13354569"/>
    <w:rsid w:val="138D7A11"/>
    <w:rsid w:val="142B67CA"/>
    <w:rsid w:val="148D7063"/>
    <w:rsid w:val="15461B76"/>
    <w:rsid w:val="154A11A2"/>
    <w:rsid w:val="1565077E"/>
    <w:rsid w:val="15AC59B8"/>
    <w:rsid w:val="15FA2BC8"/>
    <w:rsid w:val="165B0C98"/>
    <w:rsid w:val="16A85F2F"/>
    <w:rsid w:val="170F0256"/>
    <w:rsid w:val="177644D0"/>
    <w:rsid w:val="17973CBE"/>
    <w:rsid w:val="18434425"/>
    <w:rsid w:val="184711CD"/>
    <w:rsid w:val="184F5FB3"/>
    <w:rsid w:val="18716A45"/>
    <w:rsid w:val="18E5190D"/>
    <w:rsid w:val="19BC282F"/>
    <w:rsid w:val="19BC48CA"/>
    <w:rsid w:val="19CE05F3"/>
    <w:rsid w:val="1A15286F"/>
    <w:rsid w:val="1A491640"/>
    <w:rsid w:val="1A5959E3"/>
    <w:rsid w:val="1A9A7B05"/>
    <w:rsid w:val="1AA94BBC"/>
    <w:rsid w:val="1AE63B5B"/>
    <w:rsid w:val="1B02026D"/>
    <w:rsid w:val="1BFE4A94"/>
    <w:rsid w:val="1C2362A8"/>
    <w:rsid w:val="1CE06507"/>
    <w:rsid w:val="1D301F4D"/>
    <w:rsid w:val="1D305121"/>
    <w:rsid w:val="1DA74DEC"/>
    <w:rsid w:val="1DD96FB4"/>
    <w:rsid w:val="1E197963"/>
    <w:rsid w:val="1E68256B"/>
    <w:rsid w:val="1E7828DC"/>
    <w:rsid w:val="1EEE0DF0"/>
    <w:rsid w:val="1F6A21D6"/>
    <w:rsid w:val="1F8B663F"/>
    <w:rsid w:val="1F8F25D3"/>
    <w:rsid w:val="1F953961"/>
    <w:rsid w:val="1F9C4CF0"/>
    <w:rsid w:val="1FE44A8C"/>
    <w:rsid w:val="20565FAF"/>
    <w:rsid w:val="20573022"/>
    <w:rsid w:val="207E43F5"/>
    <w:rsid w:val="209239FD"/>
    <w:rsid w:val="20E33B79"/>
    <w:rsid w:val="21150DE8"/>
    <w:rsid w:val="21674E89"/>
    <w:rsid w:val="21DE3B3F"/>
    <w:rsid w:val="21F030D1"/>
    <w:rsid w:val="220F79FB"/>
    <w:rsid w:val="222E39BD"/>
    <w:rsid w:val="228F4698"/>
    <w:rsid w:val="22AC349C"/>
    <w:rsid w:val="22CD4538"/>
    <w:rsid w:val="239F4DAE"/>
    <w:rsid w:val="239F6B5C"/>
    <w:rsid w:val="23D127CA"/>
    <w:rsid w:val="23F8626D"/>
    <w:rsid w:val="24561911"/>
    <w:rsid w:val="250255F5"/>
    <w:rsid w:val="250E4A81"/>
    <w:rsid w:val="25315AAD"/>
    <w:rsid w:val="2532477F"/>
    <w:rsid w:val="259310F5"/>
    <w:rsid w:val="25AB17E9"/>
    <w:rsid w:val="25B56EE6"/>
    <w:rsid w:val="25BC1C48"/>
    <w:rsid w:val="26086C3B"/>
    <w:rsid w:val="26130B40"/>
    <w:rsid w:val="26140A97"/>
    <w:rsid w:val="265359DC"/>
    <w:rsid w:val="266F1099"/>
    <w:rsid w:val="26714CD0"/>
    <w:rsid w:val="268169ED"/>
    <w:rsid w:val="26FA3134"/>
    <w:rsid w:val="278B45E2"/>
    <w:rsid w:val="27973DAE"/>
    <w:rsid w:val="280338A4"/>
    <w:rsid w:val="284701FB"/>
    <w:rsid w:val="286345FC"/>
    <w:rsid w:val="28BB61E6"/>
    <w:rsid w:val="29385A89"/>
    <w:rsid w:val="298C6A59"/>
    <w:rsid w:val="29F77E84"/>
    <w:rsid w:val="2A030D8D"/>
    <w:rsid w:val="2A5840DC"/>
    <w:rsid w:val="2B33475A"/>
    <w:rsid w:val="2B443F8D"/>
    <w:rsid w:val="2B6A3EF4"/>
    <w:rsid w:val="2B981496"/>
    <w:rsid w:val="2BD011FB"/>
    <w:rsid w:val="2D55028C"/>
    <w:rsid w:val="2D845160"/>
    <w:rsid w:val="2DE03FF9"/>
    <w:rsid w:val="2E04418C"/>
    <w:rsid w:val="2E314855"/>
    <w:rsid w:val="2E81512F"/>
    <w:rsid w:val="2F1403FE"/>
    <w:rsid w:val="2F164902"/>
    <w:rsid w:val="2F292F39"/>
    <w:rsid w:val="2F7E3ACA"/>
    <w:rsid w:val="2FEA773E"/>
    <w:rsid w:val="2FEC137B"/>
    <w:rsid w:val="300E30A0"/>
    <w:rsid w:val="3025488D"/>
    <w:rsid w:val="306F7660"/>
    <w:rsid w:val="3148438F"/>
    <w:rsid w:val="31605B7D"/>
    <w:rsid w:val="316D0EFB"/>
    <w:rsid w:val="31D04385"/>
    <w:rsid w:val="31FB7585"/>
    <w:rsid w:val="3238132C"/>
    <w:rsid w:val="324810F2"/>
    <w:rsid w:val="32792C23"/>
    <w:rsid w:val="32C4213C"/>
    <w:rsid w:val="33170067"/>
    <w:rsid w:val="332E52B9"/>
    <w:rsid w:val="333768AB"/>
    <w:rsid w:val="33867D6A"/>
    <w:rsid w:val="33C323F3"/>
    <w:rsid w:val="33E8267C"/>
    <w:rsid w:val="3467639A"/>
    <w:rsid w:val="348A37BC"/>
    <w:rsid w:val="34A22009"/>
    <w:rsid w:val="34B24F22"/>
    <w:rsid w:val="34B9627A"/>
    <w:rsid w:val="34C13B45"/>
    <w:rsid w:val="34CB6C54"/>
    <w:rsid w:val="34CD2D9E"/>
    <w:rsid w:val="34EB7E53"/>
    <w:rsid w:val="351153E0"/>
    <w:rsid w:val="356D0868"/>
    <w:rsid w:val="35EF5721"/>
    <w:rsid w:val="363B23D4"/>
    <w:rsid w:val="36CB6948"/>
    <w:rsid w:val="37353608"/>
    <w:rsid w:val="37976071"/>
    <w:rsid w:val="37BE35FD"/>
    <w:rsid w:val="380A6843"/>
    <w:rsid w:val="3814146F"/>
    <w:rsid w:val="38441E69"/>
    <w:rsid w:val="3A1F40FB"/>
    <w:rsid w:val="3A26548A"/>
    <w:rsid w:val="3A3D7EDC"/>
    <w:rsid w:val="3AB962FE"/>
    <w:rsid w:val="3B437820"/>
    <w:rsid w:val="3B626A2A"/>
    <w:rsid w:val="3B676B23"/>
    <w:rsid w:val="3B7A3AF2"/>
    <w:rsid w:val="3C4A0BA7"/>
    <w:rsid w:val="3C5636BB"/>
    <w:rsid w:val="3C9C5ED7"/>
    <w:rsid w:val="3CA55AA9"/>
    <w:rsid w:val="3CB155B4"/>
    <w:rsid w:val="3CE4386B"/>
    <w:rsid w:val="3CEA6C43"/>
    <w:rsid w:val="3E8A7568"/>
    <w:rsid w:val="3ED6747E"/>
    <w:rsid w:val="3EDA6843"/>
    <w:rsid w:val="3EF52CF1"/>
    <w:rsid w:val="3EF618CF"/>
    <w:rsid w:val="3F067638"/>
    <w:rsid w:val="3F3E534C"/>
    <w:rsid w:val="3FC65745"/>
    <w:rsid w:val="3FE53DC4"/>
    <w:rsid w:val="3FF878C8"/>
    <w:rsid w:val="3FFA40B4"/>
    <w:rsid w:val="403A3F4E"/>
    <w:rsid w:val="407C5370"/>
    <w:rsid w:val="409D5D7A"/>
    <w:rsid w:val="413C4351"/>
    <w:rsid w:val="41BD7261"/>
    <w:rsid w:val="424C0E33"/>
    <w:rsid w:val="424C5CAA"/>
    <w:rsid w:val="425828A0"/>
    <w:rsid w:val="42F47C6C"/>
    <w:rsid w:val="43084B5F"/>
    <w:rsid w:val="434B0262"/>
    <w:rsid w:val="437D19E5"/>
    <w:rsid w:val="438C2802"/>
    <w:rsid w:val="4399653F"/>
    <w:rsid w:val="448D4A83"/>
    <w:rsid w:val="45C7739E"/>
    <w:rsid w:val="46720785"/>
    <w:rsid w:val="46EE5581"/>
    <w:rsid w:val="47A05F66"/>
    <w:rsid w:val="47FD3CCE"/>
    <w:rsid w:val="482E2540"/>
    <w:rsid w:val="48396CD0"/>
    <w:rsid w:val="484E4529"/>
    <w:rsid w:val="486C2C02"/>
    <w:rsid w:val="489F4D85"/>
    <w:rsid w:val="48D52555"/>
    <w:rsid w:val="48DC194D"/>
    <w:rsid w:val="491C63D6"/>
    <w:rsid w:val="49661D2E"/>
    <w:rsid w:val="496F29A9"/>
    <w:rsid w:val="49951CE4"/>
    <w:rsid w:val="499B1B51"/>
    <w:rsid w:val="49B44860"/>
    <w:rsid w:val="49B71889"/>
    <w:rsid w:val="49F65EB3"/>
    <w:rsid w:val="4A175C88"/>
    <w:rsid w:val="4A286FFC"/>
    <w:rsid w:val="4A4F27DB"/>
    <w:rsid w:val="4A767D68"/>
    <w:rsid w:val="4AD738A1"/>
    <w:rsid w:val="4B333730"/>
    <w:rsid w:val="4B904E59"/>
    <w:rsid w:val="4BF54CBC"/>
    <w:rsid w:val="4C03329C"/>
    <w:rsid w:val="4C1930A0"/>
    <w:rsid w:val="4C2061DD"/>
    <w:rsid w:val="4C5D11DF"/>
    <w:rsid w:val="4C79769B"/>
    <w:rsid w:val="4C8524E4"/>
    <w:rsid w:val="4CA010CC"/>
    <w:rsid w:val="4CB579F3"/>
    <w:rsid w:val="4CFD0E94"/>
    <w:rsid w:val="4D44709E"/>
    <w:rsid w:val="4DE90991"/>
    <w:rsid w:val="4E161AD8"/>
    <w:rsid w:val="4E355844"/>
    <w:rsid w:val="4E7B594C"/>
    <w:rsid w:val="4E835AEC"/>
    <w:rsid w:val="4F1B712F"/>
    <w:rsid w:val="4FE439C5"/>
    <w:rsid w:val="4FE8200D"/>
    <w:rsid w:val="50C7131D"/>
    <w:rsid w:val="50F26D18"/>
    <w:rsid w:val="50FF11BA"/>
    <w:rsid w:val="51714DE5"/>
    <w:rsid w:val="51752B27"/>
    <w:rsid w:val="518B46B1"/>
    <w:rsid w:val="51917CEE"/>
    <w:rsid w:val="51F2795F"/>
    <w:rsid w:val="522349C8"/>
    <w:rsid w:val="52893494"/>
    <w:rsid w:val="52C8137C"/>
    <w:rsid w:val="52E15D23"/>
    <w:rsid w:val="53341050"/>
    <w:rsid w:val="542D76E9"/>
    <w:rsid w:val="547277F2"/>
    <w:rsid w:val="54F2189F"/>
    <w:rsid w:val="55222FC6"/>
    <w:rsid w:val="56075D18"/>
    <w:rsid w:val="5616728B"/>
    <w:rsid w:val="56211DA1"/>
    <w:rsid w:val="562870CF"/>
    <w:rsid w:val="564A085F"/>
    <w:rsid w:val="56625644"/>
    <w:rsid w:val="57014E5D"/>
    <w:rsid w:val="57376AD1"/>
    <w:rsid w:val="57C13220"/>
    <w:rsid w:val="583C27A6"/>
    <w:rsid w:val="5852253F"/>
    <w:rsid w:val="58620CA6"/>
    <w:rsid w:val="58623CDE"/>
    <w:rsid w:val="58F83489"/>
    <w:rsid w:val="598853C1"/>
    <w:rsid w:val="59D61838"/>
    <w:rsid w:val="59F415B2"/>
    <w:rsid w:val="59FF442E"/>
    <w:rsid w:val="5A1B0778"/>
    <w:rsid w:val="5AB26B9A"/>
    <w:rsid w:val="5AD563E4"/>
    <w:rsid w:val="5B6327DE"/>
    <w:rsid w:val="5B90055D"/>
    <w:rsid w:val="5B981120"/>
    <w:rsid w:val="5BF35EBF"/>
    <w:rsid w:val="5C822A20"/>
    <w:rsid w:val="5C9F231B"/>
    <w:rsid w:val="5CA442C0"/>
    <w:rsid w:val="5CAF56E0"/>
    <w:rsid w:val="5D694301"/>
    <w:rsid w:val="5D9562FF"/>
    <w:rsid w:val="5E0771FD"/>
    <w:rsid w:val="5E715A79"/>
    <w:rsid w:val="5EB36A0A"/>
    <w:rsid w:val="5EBB4F4E"/>
    <w:rsid w:val="5F0B0627"/>
    <w:rsid w:val="5F2518F9"/>
    <w:rsid w:val="605162EF"/>
    <w:rsid w:val="608C1109"/>
    <w:rsid w:val="608F5287"/>
    <w:rsid w:val="60F21347"/>
    <w:rsid w:val="61447A6B"/>
    <w:rsid w:val="616E7593"/>
    <w:rsid w:val="617C6152"/>
    <w:rsid w:val="61930460"/>
    <w:rsid w:val="61E6537B"/>
    <w:rsid w:val="61EA1E59"/>
    <w:rsid w:val="623954AB"/>
    <w:rsid w:val="631303F2"/>
    <w:rsid w:val="631803DE"/>
    <w:rsid w:val="6356208C"/>
    <w:rsid w:val="63972DD1"/>
    <w:rsid w:val="63AF3EC4"/>
    <w:rsid w:val="63CA5825"/>
    <w:rsid w:val="646457EC"/>
    <w:rsid w:val="64B17EC2"/>
    <w:rsid w:val="64DF01F6"/>
    <w:rsid w:val="656121F5"/>
    <w:rsid w:val="656E7B61"/>
    <w:rsid w:val="65896749"/>
    <w:rsid w:val="65AE4402"/>
    <w:rsid w:val="65E676F8"/>
    <w:rsid w:val="660A5ADC"/>
    <w:rsid w:val="66652D12"/>
    <w:rsid w:val="6694184A"/>
    <w:rsid w:val="669C46D8"/>
    <w:rsid w:val="66D659BE"/>
    <w:rsid w:val="67C1041C"/>
    <w:rsid w:val="680E5A27"/>
    <w:rsid w:val="68712C83"/>
    <w:rsid w:val="687F3E33"/>
    <w:rsid w:val="69286279"/>
    <w:rsid w:val="693D7F76"/>
    <w:rsid w:val="6940447E"/>
    <w:rsid w:val="6949691B"/>
    <w:rsid w:val="69AC068B"/>
    <w:rsid w:val="6A8616A7"/>
    <w:rsid w:val="6AD26C52"/>
    <w:rsid w:val="6B122D3D"/>
    <w:rsid w:val="6C8934D3"/>
    <w:rsid w:val="6CB467A2"/>
    <w:rsid w:val="6CF11A49"/>
    <w:rsid w:val="6D071D81"/>
    <w:rsid w:val="6D586671"/>
    <w:rsid w:val="6D586C1E"/>
    <w:rsid w:val="6E5D69C5"/>
    <w:rsid w:val="6E753D0F"/>
    <w:rsid w:val="6E810905"/>
    <w:rsid w:val="6F131CAE"/>
    <w:rsid w:val="6F231A34"/>
    <w:rsid w:val="6F34261A"/>
    <w:rsid w:val="6FB97C2B"/>
    <w:rsid w:val="6FCE7B7A"/>
    <w:rsid w:val="7056191E"/>
    <w:rsid w:val="70787AE6"/>
    <w:rsid w:val="715220E5"/>
    <w:rsid w:val="72200435"/>
    <w:rsid w:val="726C551E"/>
    <w:rsid w:val="7327134F"/>
    <w:rsid w:val="733841D6"/>
    <w:rsid w:val="733A5527"/>
    <w:rsid w:val="738B5D82"/>
    <w:rsid w:val="739B3916"/>
    <w:rsid w:val="740A314B"/>
    <w:rsid w:val="74E142DB"/>
    <w:rsid w:val="751C3136"/>
    <w:rsid w:val="75266847"/>
    <w:rsid w:val="756845CD"/>
    <w:rsid w:val="75994786"/>
    <w:rsid w:val="763E3305"/>
    <w:rsid w:val="7682455A"/>
    <w:rsid w:val="770519A8"/>
    <w:rsid w:val="771147F0"/>
    <w:rsid w:val="7722607D"/>
    <w:rsid w:val="77811976"/>
    <w:rsid w:val="77A30120"/>
    <w:rsid w:val="77CB499F"/>
    <w:rsid w:val="782B18E2"/>
    <w:rsid w:val="786170B2"/>
    <w:rsid w:val="789E20B4"/>
    <w:rsid w:val="78A07DA2"/>
    <w:rsid w:val="79002D6F"/>
    <w:rsid w:val="791F1447"/>
    <w:rsid w:val="7A0B3779"/>
    <w:rsid w:val="7A1E16FE"/>
    <w:rsid w:val="7AB931D5"/>
    <w:rsid w:val="7B5F28AD"/>
    <w:rsid w:val="7BB631B8"/>
    <w:rsid w:val="7BE32846"/>
    <w:rsid w:val="7C324FED"/>
    <w:rsid w:val="7C9D6ADD"/>
    <w:rsid w:val="7CF84488"/>
    <w:rsid w:val="7D0312A8"/>
    <w:rsid w:val="7D0C5944"/>
    <w:rsid w:val="7D2F5AFF"/>
    <w:rsid w:val="7D413C91"/>
    <w:rsid w:val="7D950AEB"/>
    <w:rsid w:val="7DB12889"/>
    <w:rsid w:val="7E3A735D"/>
    <w:rsid w:val="7EDB586C"/>
    <w:rsid w:val="7F985AAF"/>
    <w:rsid w:val="7FF56A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340" w:beforeLines="0" w:beforeAutospacing="0" w:after="330" w:afterLines="0" w:afterAutospacing="0" w:line="520" w:lineRule="exact"/>
      <w:jc w:val="center"/>
      <w:outlineLvl w:val="0"/>
    </w:pPr>
    <w:rPr>
      <w:rFonts w:eastAsia="方正小标宋_GBK" w:asciiTheme="minorAscii" w:hAnsiTheme="minorAsci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character" w:styleId="12">
    <w:name w:val="Hyperlink"/>
    <w:qFormat/>
    <w:uiPriority w:val="0"/>
    <w:rPr>
      <w:color w:val="0000FF"/>
      <w:u w:val="single"/>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5">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6">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8">
    <w:name w:val="_Style 3"/>
    <w:qFormat/>
    <w:uiPriority w:val="0"/>
    <w:pPr>
      <w:widowControl w:val="0"/>
      <w:jc w:val="both"/>
    </w:pPr>
    <w:rPr>
      <w:rFonts w:ascii="Calibri" w:hAnsi="Calibri" w:eastAsiaTheme="minorEastAsia" w:cstheme="minorBidi"/>
      <w:kern w:val="2"/>
      <w:sz w:val="21"/>
      <w:szCs w:val="22"/>
      <w:lang w:val="en-US" w:eastAsia="zh-CN" w:bidi="ar-SA"/>
    </w:rPr>
  </w:style>
  <w:style w:type="character" w:customStyle="1" w:styleId="19">
    <w:name w:val="font21"/>
    <w:basedOn w:val="11"/>
    <w:qFormat/>
    <w:uiPriority w:val="0"/>
    <w:rPr>
      <w:rFonts w:hint="eastAsia" w:ascii="宋体" w:hAnsi="宋体" w:eastAsia="宋体" w:cs="宋体"/>
      <w:color w:val="000000"/>
      <w:sz w:val="22"/>
      <w:szCs w:val="22"/>
      <w:u w:val="none"/>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3521</Words>
  <Characters>3711</Characters>
  <Lines>0</Lines>
  <Paragraphs>0</Paragraphs>
  <ScaleCrop>false</ScaleCrop>
  <LinksUpToDate>false</LinksUpToDate>
  <CharactersWithSpaces>4669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吴骏</cp:lastModifiedBy>
  <cp:lastPrinted>2021-10-29T07:29:00Z</cp:lastPrinted>
  <dcterms:modified xsi:type="dcterms:W3CDTF">2022-08-05T02:00:41Z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D9AEB7457D0D4F328BE4EE15CB817CBA</vt:lpwstr>
  </property>
</Properties>
</file>