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firstLine="470" w:firstLineChars="168"/>
        <w:jc w:val="center"/>
        <w:rPr>
          <w:rFonts w:hint="eastAsia" w:ascii="宋体" w:hAnsi="宋体"/>
          <w:snapToGrid w:val="0"/>
          <w:kern w:val="0"/>
          <w:sz w:val="24"/>
          <w:lang w:val="en-US" w:eastAsia="zh-CN"/>
        </w:rPr>
      </w:pPr>
      <w:bookmarkStart w:id="0" w:name="OLE_LINK1"/>
      <w:r>
        <w:rPr>
          <w:rFonts w:hint="eastAsia" w:ascii="宋体" w:hAnsi="宋体"/>
          <w:snapToGrid w:val="0"/>
          <w:kern w:val="0"/>
          <w:sz w:val="28"/>
          <w:szCs w:val="28"/>
        </w:rPr>
        <w:t>重庆港万州港区新田作业区二期工程初步设计阶段勘察设计</w:t>
      </w:r>
    </w:p>
    <w:p>
      <w:pPr>
        <w:snapToGrid w:val="0"/>
        <w:spacing w:line="360" w:lineRule="auto"/>
        <w:ind w:firstLine="470" w:firstLineChars="168"/>
        <w:jc w:val="center"/>
        <w:rPr>
          <w:rFonts w:hint="eastAsia" w:ascii="宋体" w:hAnsi="宋体"/>
          <w:snapToGrid w:val="0"/>
          <w:color w:val="auto"/>
          <w:kern w:val="0"/>
          <w:sz w:val="28"/>
          <w:szCs w:val="28"/>
        </w:rPr>
      </w:pPr>
      <w:r>
        <w:rPr>
          <w:rFonts w:hint="eastAsia" w:ascii="宋体" w:hAnsi="宋体"/>
          <w:snapToGrid w:val="0"/>
          <w:color w:val="auto"/>
          <w:kern w:val="0"/>
          <w:sz w:val="28"/>
          <w:szCs w:val="28"/>
        </w:rPr>
        <w:t>招标公告</w:t>
      </w:r>
    </w:p>
    <w:bookmarkEnd w:id="0"/>
    <w:p>
      <w:pPr>
        <w:pStyle w:val="3"/>
        <w:adjustRightInd w:val="0"/>
        <w:snapToGrid w:val="0"/>
        <w:spacing w:before="0" w:after="0" w:line="360" w:lineRule="auto"/>
        <w:rPr>
          <w:rFonts w:ascii="宋体" w:hAnsi="宋体"/>
          <w:snapToGrid w:val="0"/>
          <w:color w:val="auto"/>
          <w:sz w:val="28"/>
          <w:szCs w:val="28"/>
        </w:rPr>
      </w:pPr>
      <w:bookmarkStart w:id="1" w:name="_Toc287607728"/>
      <w:bookmarkStart w:id="2" w:name="_Toc70612398"/>
      <w:bookmarkStart w:id="3" w:name="_Toc200359427"/>
      <w:bookmarkStart w:id="4" w:name="_Toc287620667"/>
      <w:bookmarkStart w:id="5" w:name="_Toc430530416"/>
      <w:bookmarkStart w:id="6" w:name="_Toc277082536"/>
      <w:bookmarkStart w:id="7" w:name="_Toc224103299"/>
      <w:bookmarkStart w:id="8" w:name="_Toc200359238"/>
      <w:bookmarkStart w:id="9" w:name="_Toc509218692"/>
      <w:r>
        <w:rPr>
          <w:rFonts w:ascii="宋体" w:hAnsi="宋体"/>
          <w:snapToGrid w:val="0"/>
          <w:color w:val="auto"/>
          <w:sz w:val="28"/>
          <w:szCs w:val="28"/>
        </w:rPr>
        <w:t>1.</w:t>
      </w:r>
      <w:r>
        <w:rPr>
          <w:rFonts w:hint="eastAsia" w:ascii="宋体" w:hAnsi="宋体"/>
          <w:snapToGrid w:val="0"/>
          <w:color w:val="auto"/>
          <w:sz w:val="28"/>
          <w:szCs w:val="28"/>
        </w:rPr>
        <w:t xml:space="preserve"> </w:t>
      </w:r>
      <w:r>
        <w:rPr>
          <w:rFonts w:ascii="宋体" w:hAnsi="宋体"/>
          <w:snapToGrid w:val="0"/>
          <w:color w:val="auto"/>
          <w:sz w:val="28"/>
          <w:szCs w:val="28"/>
        </w:rPr>
        <w:t>招标条件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Start w:id="62" w:name="_GoBack"/>
      <w:bookmarkEnd w:id="62"/>
    </w:p>
    <w:p>
      <w:pPr>
        <w:tabs>
          <w:tab w:val="left" w:pos="3315"/>
          <w:tab w:val="left" w:pos="3390"/>
          <w:tab w:val="left" w:pos="6120"/>
          <w:tab w:val="left" w:pos="8850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ascii="宋体" w:hAnsi="宋体"/>
          <w:snapToGrid w:val="0"/>
          <w:color w:val="auto"/>
          <w:kern w:val="0"/>
          <w:szCs w:val="21"/>
        </w:rPr>
      </w:pPr>
      <w:r>
        <w:rPr>
          <w:rFonts w:ascii="宋体" w:hAnsi="宋体"/>
          <w:snapToGrid w:val="0"/>
          <w:color w:val="auto"/>
          <w:kern w:val="0"/>
          <w:szCs w:val="21"/>
        </w:rPr>
        <w:t>本招标项目</w:t>
      </w:r>
      <w:r>
        <w:rPr>
          <w:rFonts w:hint="eastAsia" w:ascii="宋体" w:hAnsi="宋体"/>
          <w:snapToGrid w:val="0"/>
          <w:color w:val="auto"/>
          <w:kern w:val="0"/>
          <w:szCs w:val="21"/>
          <w:u w:val="single"/>
        </w:rPr>
        <w:t>重庆港万州港区新田作业区二期工程</w:t>
      </w:r>
      <w:r>
        <w:rPr>
          <w:rFonts w:ascii="宋体" w:hAnsi="宋体"/>
          <w:snapToGrid w:val="0"/>
          <w:color w:val="auto"/>
          <w:kern w:val="0"/>
          <w:szCs w:val="21"/>
        </w:rPr>
        <w:t>已由</w:t>
      </w:r>
      <w:r>
        <w:rPr>
          <w:rFonts w:hint="eastAsia" w:ascii="宋体" w:hAnsi="宋体"/>
          <w:snapToGrid w:val="0"/>
          <w:color w:val="auto"/>
          <w:kern w:val="0"/>
          <w:szCs w:val="21"/>
          <w:u w:val="single"/>
        </w:rPr>
        <w:t>重庆市发展和改革委员会</w:t>
      </w:r>
      <w:r>
        <w:rPr>
          <w:rFonts w:ascii="宋体" w:hAnsi="宋体"/>
          <w:snapToGrid w:val="0"/>
          <w:color w:val="auto"/>
          <w:kern w:val="0"/>
          <w:szCs w:val="21"/>
        </w:rPr>
        <w:t>以</w:t>
      </w:r>
      <w:r>
        <w:rPr>
          <w:rFonts w:hint="eastAsia" w:ascii="宋体" w:hAnsi="宋体"/>
          <w:snapToGrid w:val="0"/>
          <w:color w:val="auto"/>
          <w:kern w:val="0"/>
          <w:szCs w:val="21"/>
          <w:u w:val="single"/>
        </w:rPr>
        <w:t>渝发改交通〔2021〕175号文</w:t>
      </w:r>
      <w:r>
        <w:rPr>
          <w:rFonts w:ascii="宋体" w:hAnsi="宋体"/>
          <w:snapToGrid w:val="0"/>
          <w:color w:val="auto"/>
          <w:kern w:val="0"/>
          <w:szCs w:val="21"/>
        </w:rPr>
        <w:t>批准建设，项目业主为</w:t>
      </w:r>
      <w:r>
        <w:rPr>
          <w:rFonts w:hint="eastAsia" w:ascii="宋体" w:hAnsi="宋体"/>
          <w:snapToGrid w:val="0"/>
          <w:color w:val="auto"/>
          <w:kern w:val="0"/>
          <w:szCs w:val="21"/>
          <w:u w:val="single"/>
        </w:rPr>
        <w:t>重庆航运建设发展（集团）有限公司</w:t>
      </w:r>
      <w:r>
        <w:rPr>
          <w:rFonts w:ascii="宋体" w:hAnsi="宋体"/>
          <w:snapToGrid w:val="0"/>
          <w:color w:val="auto"/>
          <w:kern w:val="0"/>
          <w:szCs w:val="21"/>
        </w:rPr>
        <w:t>，</w:t>
      </w:r>
      <w:r>
        <w:rPr>
          <w:rFonts w:ascii="宋体" w:hAnsi="宋体"/>
          <w:snapToGrid w:val="0"/>
          <w:color w:val="auto"/>
          <w:kern w:val="0"/>
          <w:position w:val="-2"/>
          <w:szCs w:val="21"/>
        </w:rPr>
        <w:t>建设资金来自</w:t>
      </w:r>
      <w:r>
        <w:rPr>
          <w:rFonts w:hint="eastAsia" w:ascii="宋体" w:hAnsi="宋体"/>
          <w:snapToGrid w:val="0"/>
          <w:color w:val="auto"/>
          <w:kern w:val="0"/>
          <w:position w:val="-2"/>
          <w:szCs w:val="21"/>
          <w:u w:val="single"/>
        </w:rPr>
        <w:t>政府补助及业主自筹</w:t>
      </w:r>
      <w:r>
        <w:rPr>
          <w:rFonts w:ascii="宋体" w:hAnsi="宋体"/>
          <w:snapToGrid w:val="0"/>
          <w:color w:val="auto"/>
          <w:kern w:val="0"/>
          <w:position w:val="-2"/>
          <w:szCs w:val="21"/>
        </w:rPr>
        <w:t>，出资比例为</w:t>
      </w:r>
      <w:r>
        <w:rPr>
          <w:rFonts w:hint="eastAsia" w:ascii="宋体" w:hAnsi="宋体"/>
          <w:snapToGrid w:val="0"/>
          <w:color w:val="auto"/>
          <w:kern w:val="0"/>
          <w:position w:val="-2"/>
          <w:szCs w:val="21"/>
          <w:u w:val="single"/>
        </w:rPr>
        <w:t>国有资金占70%以上</w:t>
      </w:r>
      <w:r>
        <w:rPr>
          <w:rFonts w:hint="eastAsia" w:ascii="宋体" w:hAnsi="宋体"/>
          <w:snapToGrid w:val="0"/>
          <w:color w:val="auto"/>
          <w:kern w:val="0"/>
          <w:position w:val="-2"/>
          <w:szCs w:val="21"/>
        </w:rPr>
        <w:t>，</w:t>
      </w:r>
      <w:r>
        <w:rPr>
          <w:rFonts w:ascii="宋体" w:hAnsi="宋体"/>
          <w:snapToGrid w:val="0"/>
          <w:color w:val="auto"/>
          <w:kern w:val="0"/>
          <w:position w:val="-2"/>
          <w:szCs w:val="21"/>
        </w:rPr>
        <w:t>招标人为</w:t>
      </w:r>
      <w:r>
        <w:rPr>
          <w:rFonts w:hint="eastAsia" w:ascii="宋体" w:hAnsi="宋体"/>
          <w:snapToGrid w:val="0"/>
          <w:color w:val="auto"/>
          <w:kern w:val="0"/>
          <w:position w:val="-2"/>
          <w:szCs w:val="21"/>
          <w:u w:val="single"/>
        </w:rPr>
        <w:t>重庆航运建设发展（集团）有限公司</w:t>
      </w:r>
      <w:r>
        <w:rPr>
          <w:rFonts w:ascii="宋体" w:hAnsi="宋体"/>
          <w:snapToGrid w:val="0"/>
          <w:color w:val="auto"/>
          <w:kern w:val="0"/>
          <w:position w:val="-2"/>
          <w:szCs w:val="21"/>
        </w:rPr>
        <w:t>。项目已具备招标条件，现对</w:t>
      </w:r>
      <w:r>
        <w:rPr>
          <w:rFonts w:hint="eastAsia" w:ascii="宋体" w:hAnsi="宋体"/>
          <w:snapToGrid w:val="0"/>
          <w:color w:val="auto"/>
          <w:kern w:val="0"/>
          <w:position w:val="-2"/>
          <w:szCs w:val="21"/>
        </w:rPr>
        <w:t>该项目的</w:t>
      </w:r>
      <w:r>
        <w:rPr>
          <w:rFonts w:hint="eastAsia" w:ascii="宋体" w:hAnsi="宋体"/>
          <w:snapToGrid w:val="0"/>
          <w:color w:val="auto"/>
          <w:kern w:val="0"/>
          <w:position w:val="-2"/>
          <w:szCs w:val="21"/>
          <w:u w:val="single"/>
        </w:rPr>
        <w:t>初步设计阶段勘察设计</w:t>
      </w:r>
      <w:r>
        <w:rPr>
          <w:rFonts w:ascii="宋体" w:hAnsi="宋体"/>
          <w:snapToGrid w:val="0"/>
          <w:color w:val="auto"/>
          <w:kern w:val="0"/>
          <w:position w:val="-2"/>
          <w:szCs w:val="21"/>
        </w:rPr>
        <w:t>进行公开招标。</w:t>
      </w:r>
    </w:p>
    <w:p>
      <w:pPr>
        <w:pStyle w:val="3"/>
        <w:adjustRightInd w:val="0"/>
        <w:snapToGrid w:val="0"/>
        <w:spacing w:before="0" w:after="0" w:line="360" w:lineRule="auto"/>
        <w:rPr>
          <w:rFonts w:ascii="宋体" w:hAnsi="宋体"/>
          <w:snapToGrid w:val="0"/>
          <w:color w:val="auto"/>
          <w:sz w:val="28"/>
          <w:szCs w:val="28"/>
        </w:rPr>
      </w:pPr>
      <w:bookmarkStart w:id="10" w:name="_Toc224103300"/>
      <w:bookmarkStart w:id="11" w:name="_Toc509218693"/>
      <w:bookmarkStart w:id="12" w:name="_Toc287607729"/>
      <w:bookmarkStart w:id="13" w:name="_Toc287620668"/>
      <w:bookmarkStart w:id="14" w:name="_Toc200359239"/>
      <w:bookmarkStart w:id="15" w:name="_Toc200359428"/>
      <w:bookmarkStart w:id="16" w:name="_Toc430530417"/>
      <w:bookmarkStart w:id="17" w:name="_Toc70612399"/>
      <w:bookmarkStart w:id="18" w:name="_Toc277082537"/>
      <w:r>
        <w:rPr>
          <w:rFonts w:ascii="宋体" w:hAnsi="宋体"/>
          <w:snapToGrid w:val="0"/>
          <w:color w:val="auto"/>
          <w:sz w:val="28"/>
          <w:szCs w:val="28"/>
        </w:rPr>
        <w:t>2.</w:t>
      </w:r>
      <w:r>
        <w:rPr>
          <w:rFonts w:hint="eastAsia" w:ascii="宋体" w:hAnsi="宋体"/>
          <w:snapToGrid w:val="0"/>
          <w:color w:val="auto"/>
          <w:sz w:val="28"/>
          <w:szCs w:val="28"/>
        </w:rPr>
        <w:t xml:space="preserve"> </w:t>
      </w:r>
      <w:r>
        <w:rPr>
          <w:rFonts w:ascii="宋体" w:hAnsi="宋体"/>
          <w:snapToGrid w:val="0"/>
          <w:color w:val="auto"/>
          <w:sz w:val="28"/>
          <w:szCs w:val="28"/>
        </w:rPr>
        <w:t>项目概况与招标范围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/>
          <w:snapToGrid w:val="0"/>
          <w:color w:val="auto"/>
          <w:kern w:val="0"/>
          <w:szCs w:val="21"/>
          <w:u w:val="single"/>
        </w:rPr>
      </w:pPr>
      <w:r>
        <w:rPr>
          <w:rFonts w:hint="eastAsia" w:ascii="宋体" w:hAnsi="宋体"/>
          <w:snapToGrid w:val="0"/>
          <w:color w:val="auto"/>
          <w:kern w:val="0"/>
          <w:szCs w:val="21"/>
        </w:rPr>
        <w:t>2.1 建设地点：重庆市万州区新田镇白水湖区域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/>
          <w:color w:val="auto"/>
        </w:rPr>
      </w:pPr>
      <w:r>
        <w:rPr>
          <w:rFonts w:hint="eastAsia" w:ascii="宋体" w:hAnsi="宋体"/>
          <w:snapToGrid w:val="0"/>
          <w:color w:val="auto"/>
          <w:kern w:val="0"/>
          <w:szCs w:val="21"/>
        </w:rPr>
        <w:t>2.2 项目概况与建设规模：重庆港万州港区新田作业区位于万州区新田镇，万州城区上游10km右岸的新田水泥厂上游3000m至新田水泥厂之间，距宜昌航道里程，350.5km～347.3km。</w:t>
      </w:r>
      <w:r>
        <w:rPr>
          <w:rFonts w:hint="eastAsia" w:ascii="宋体" w:hAnsi="宋体"/>
          <w:color w:val="auto"/>
        </w:rPr>
        <w:t>新田作业区二期工程拟新建4个5000吨级散货泊位(水工结构兼顾10000吨级)及相应的配套设施，设计吞吐量散货1400万吨/年，设计通过能力1477万吨/年，占用岸线645m。主要建设内容为水工建筑物、陆域形成、堆场道路、生产辅助建筑物、装卸设备购置及安装，以及相应的配套设施。最终规模以各相关行业或行政主管部门批复为准。</w:t>
      </w:r>
      <w:r>
        <w:rPr>
          <w:rFonts w:hint="eastAsia"/>
          <w:color w:val="auto"/>
        </w:rPr>
        <w:t>工可估算总投资16.98亿元，其中建安工程费9.69亿元。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/>
          <w:snapToGrid w:val="0"/>
          <w:color w:val="auto"/>
          <w:kern w:val="0"/>
          <w:szCs w:val="21"/>
        </w:rPr>
      </w:pPr>
      <w:r>
        <w:rPr>
          <w:rFonts w:hint="eastAsia" w:ascii="宋体" w:hAnsi="宋体"/>
          <w:snapToGrid w:val="0"/>
          <w:color w:val="auto"/>
          <w:kern w:val="0"/>
          <w:szCs w:val="21"/>
        </w:rPr>
        <w:t>2.3 招标范围：重庆港万州港区新田作业区二期工程初勘、1:500地形图测量、初步设计（含概算文件编制）、设计后续服务（即项目业主在推进后续阶段设计工作中所必要的配合工作）及本招标文件规定的其他设计等工作。</w:t>
      </w:r>
      <w:r>
        <w:rPr>
          <w:rFonts w:hint="eastAsia"/>
          <w:color w:val="auto"/>
        </w:rPr>
        <w:t>工程设计内容包括港池开挖、水工建筑物、码头前沿护岸、陆域形成、边坡防护、堆场道路、装卸设备基础、隧道、生产及辅助生产建筑物、供电照明、暖通、控制、信息通信、给排水、消防、污水处理、水保、环保、导助航设施、港外接线（道路、水、电、通信）、临时工程等</w:t>
      </w:r>
      <w:r>
        <w:rPr>
          <w:rFonts w:hint="eastAsia" w:ascii="宋体" w:hAnsi="宋体"/>
          <w:snapToGrid w:val="0"/>
          <w:color w:val="auto"/>
          <w:kern w:val="0"/>
          <w:szCs w:val="21"/>
        </w:rPr>
        <w:t>。合同估算金额约1800万元。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/>
          <w:color w:val="auto"/>
        </w:rPr>
      </w:pPr>
      <w:r>
        <w:rPr>
          <w:rFonts w:hint="eastAsia" w:ascii="宋体" w:hAnsi="宋体"/>
          <w:snapToGrid w:val="0"/>
          <w:color w:val="auto"/>
          <w:kern w:val="0"/>
          <w:szCs w:val="21"/>
        </w:rPr>
        <w:t>2.4 服务期限：本项目勘察和初步设计服务期限为</w:t>
      </w:r>
      <w:r>
        <w:rPr>
          <w:rFonts w:hint="eastAsia" w:ascii="宋体" w:hAnsi="宋体"/>
          <w:snapToGrid w:val="0"/>
          <w:color w:val="auto"/>
          <w:kern w:val="0"/>
          <w:szCs w:val="21"/>
          <w:u w:val="single"/>
        </w:rPr>
        <w:t xml:space="preserve"> 60 </w:t>
      </w:r>
      <w:r>
        <w:rPr>
          <w:rFonts w:hint="eastAsia" w:ascii="宋体" w:hAnsi="宋体"/>
          <w:snapToGrid w:val="0"/>
          <w:color w:val="auto"/>
          <w:kern w:val="0"/>
          <w:szCs w:val="21"/>
        </w:rPr>
        <w:t>日历天。</w:t>
      </w:r>
      <w:r>
        <w:rPr>
          <w:rFonts w:hint="eastAsia" w:ascii="宋体" w:hAnsi="宋体"/>
          <w:color w:val="auto"/>
        </w:rPr>
        <w:t>详细成果资料提交时间详下表。</w:t>
      </w:r>
    </w:p>
    <w:tbl>
      <w:tblPr>
        <w:tblStyle w:val="5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1920"/>
        <w:gridCol w:w="1610"/>
        <w:gridCol w:w="2326"/>
        <w:gridCol w:w="19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21"/>
              </w:rPr>
              <w:t>序号</w:t>
            </w:r>
          </w:p>
        </w:tc>
        <w:tc>
          <w:tcPr>
            <w:tcW w:w="19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21"/>
              </w:rPr>
              <w:t>资料及文件名称</w:t>
            </w:r>
          </w:p>
        </w:tc>
        <w:tc>
          <w:tcPr>
            <w:tcW w:w="16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21"/>
              </w:rPr>
              <w:t>份数</w:t>
            </w:r>
          </w:p>
        </w:tc>
        <w:tc>
          <w:tcPr>
            <w:tcW w:w="23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21"/>
              </w:rPr>
              <w:t>内容要求</w:t>
            </w:r>
          </w:p>
        </w:tc>
        <w:tc>
          <w:tcPr>
            <w:tcW w:w="19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21"/>
              </w:rPr>
              <w:t>提交时间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21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21"/>
              </w:rPr>
              <w:t>勘察方案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21"/>
              </w:rPr>
              <w:t>8份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21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21"/>
              </w:rPr>
              <w:t>中标通知书发出后10日内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21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21"/>
              </w:rPr>
              <w:t>1:500水上水下地形图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21"/>
              </w:rPr>
              <w:t>10份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21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21"/>
              </w:rPr>
              <w:t>中标通知书发出后20日内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21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21"/>
              </w:rPr>
              <w:t>初勘成果资料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21"/>
              </w:rPr>
              <w:t>8份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21"/>
              </w:rPr>
              <w:t>审查合格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21"/>
              </w:rPr>
              <w:t>中标通知书发出后20日内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21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21"/>
              </w:rPr>
              <w:t>初步设计文件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21"/>
              </w:rPr>
              <w:t>12份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21"/>
              </w:rPr>
              <w:t>工程效果图、初步设计说明书、图纸及概算（满足初设批复及发包人要求以及规范深度的设计文件）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21"/>
              </w:rPr>
              <w:t>中标通知书发出后60日内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21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21"/>
              </w:rPr>
              <w:t>以上归档资料电子版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21"/>
              </w:rPr>
              <w:t>U盘及光盘各4份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21"/>
              </w:rPr>
              <w:t>文件格式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21"/>
              </w:rPr>
            </w:pPr>
          </w:p>
        </w:tc>
      </w:tr>
    </w:tbl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/>
          <w:snapToGrid w:val="0"/>
          <w:color w:val="auto"/>
          <w:kern w:val="0"/>
          <w:szCs w:val="21"/>
        </w:rPr>
      </w:pPr>
      <w:r>
        <w:rPr>
          <w:rFonts w:hint="eastAsia" w:ascii="宋体" w:hAnsi="宋体"/>
          <w:snapToGrid w:val="0"/>
          <w:color w:val="auto"/>
          <w:kern w:val="0"/>
          <w:szCs w:val="21"/>
        </w:rPr>
        <w:t>2.5 标段划分（如有）：</w:t>
      </w:r>
      <w:r>
        <w:rPr>
          <w:rFonts w:hint="eastAsia" w:ascii="宋体" w:hAnsi="宋体"/>
          <w:snapToGrid w:val="0"/>
          <w:color w:val="auto"/>
          <w:kern w:val="0"/>
          <w:szCs w:val="21"/>
          <w:u w:val="single"/>
        </w:rPr>
        <w:t>\</w:t>
      </w:r>
    </w:p>
    <w:p>
      <w:pPr>
        <w:pStyle w:val="3"/>
        <w:adjustRightInd w:val="0"/>
        <w:snapToGrid w:val="0"/>
        <w:spacing w:before="0" w:after="0" w:line="360" w:lineRule="auto"/>
        <w:rPr>
          <w:rFonts w:ascii="宋体" w:hAnsi="宋体"/>
          <w:snapToGrid w:val="0"/>
          <w:color w:val="auto"/>
          <w:sz w:val="28"/>
          <w:szCs w:val="28"/>
        </w:rPr>
      </w:pPr>
      <w:bookmarkStart w:id="19" w:name="_Toc200359240"/>
      <w:bookmarkStart w:id="20" w:name="_Toc287607730"/>
      <w:bookmarkStart w:id="21" w:name="_Toc200359429"/>
      <w:bookmarkStart w:id="22" w:name="_Toc224103301"/>
      <w:bookmarkStart w:id="23" w:name="_Toc430530418"/>
      <w:bookmarkStart w:id="24" w:name="_Toc287620669"/>
      <w:bookmarkStart w:id="25" w:name="_Toc277082538"/>
      <w:bookmarkStart w:id="26" w:name="_Toc70612400"/>
      <w:bookmarkStart w:id="27" w:name="_Toc509218694"/>
      <w:r>
        <w:rPr>
          <w:rFonts w:ascii="宋体" w:hAnsi="宋体"/>
          <w:snapToGrid w:val="0"/>
          <w:color w:val="auto"/>
          <w:sz w:val="28"/>
          <w:szCs w:val="28"/>
        </w:rPr>
        <w:t>3. 投标人资格要求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/>
          <w:snapToGrid w:val="0"/>
          <w:color w:val="auto"/>
          <w:kern w:val="0"/>
          <w:szCs w:val="21"/>
        </w:rPr>
      </w:pPr>
      <w:r>
        <w:rPr>
          <w:rFonts w:ascii="宋体" w:hAnsi="宋体"/>
          <w:snapToGrid w:val="0"/>
          <w:color w:val="auto"/>
          <w:kern w:val="0"/>
          <w:szCs w:val="21"/>
        </w:rPr>
        <w:t>3.1</w:t>
      </w:r>
      <w:r>
        <w:rPr>
          <w:rFonts w:hint="eastAsia" w:ascii="宋体" w:hAnsi="宋体"/>
          <w:snapToGrid w:val="0"/>
          <w:color w:val="auto"/>
          <w:kern w:val="0"/>
          <w:szCs w:val="21"/>
        </w:rPr>
        <w:t xml:space="preserve"> </w:t>
      </w:r>
      <w:r>
        <w:rPr>
          <w:rFonts w:ascii="宋体" w:hAnsi="宋体"/>
          <w:snapToGrid w:val="0"/>
          <w:color w:val="auto"/>
          <w:kern w:val="0"/>
          <w:szCs w:val="21"/>
        </w:rPr>
        <w:t>本次招标要求投标人须具备</w:t>
      </w:r>
      <w:r>
        <w:rPr>
          <w:rFonts w:hint="eastAsia" w:ascii="宋体" w:hAnsi="宋体"/>
          <w:snapToGrid w:val="0"/>
          <w:color w:val="auto"/>
          <w:kern w:val="0"/>
          <w:szCs w:val="21"/>
        </w:rPr>
        <w:t>以下资质条件和业绩要求：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/>
          <w:snapToGrid w:val="0"/>
          <w:color w:val="auto"/>
          <w:kern w:val="0"/>
          <w:szCs w:val="21"/>
        </w:rPr>
      </w:pPr>
      <w:r>
        <w:rPr>
          <w:rFonts w:hint="eastAsia" w:ascii="宋体" w:hAnsi="宋体"/>
          <w:snapToGrid w:val="0"/>
          <w:color w:val="auto"/>
          <w:kern w:val="0"/>
          <w:szCs w:val="21"/>
        </w:rPr>
        <w:t>（1）同时具备建设行政主管部门颁发的以下有效资质。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/>
          <w:snapToGrid w:val="0"/>
          <w:color w:val="auto"/>
          <w:kern w:val="0"/>
          <w:szCs w:val="21"/>
        </w:rPr>
      </w:pPr>
      <w:r>
        <w:rPr>
          <w:rFonts w:hint="eastAsia" w:ascii="宋体" w:hAnsi="宋体"/>
          <w:snapToGrid w:val="0"/>
          <w:color w:val="auto"/>
          <w:kern w:val="0"/>
          <w:szCs w:val="21"/>
        </w:rPr>
        <w:t>①勘察资质：工程勘察专业类（岩土工程、测量）甲级或工程勘察综合甲级资质；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/>
          <w:snapToGrid w:val="0"/>
          <w:color w:val="auto"/>
          <w:kern w:val="0"/>
          <w:szCs w:val="21"/>
        </w:rPr>
      </w:pPr>
      <w:r>
        <w:rPr>
          <w:rFonts w:hint="eastAsia" w:ascii="宋体" w:hAnsi="宋体"/>
          <w:snapToGrid w:val="0"/>
          <w:color w:val="auto"/>
          <w:kern w:val="0"/>
          <w:szCs w:val="21"/>
        </w:rPr>
        <w:t>②设计资质：工程设计水运行业甲级或工程设计综合甲级资质。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/>
          <w:snapToGrid w:val="0"/>
          <w:color w:val="auto"/>
          <w:kern w:val="0"/>
          <w:szCs w:val="21"/>
        </w:rPr>
      </w:pPr>
      <w:r>
        <w:rPr>
          <w:rFonts w:hint="eastAsia" w:ascii="宋体" w:hAnsi="宋体"/>
          <w:snapToGrid w:val="0"/>
          <w:color w:val="auto"/>
          <w:kern w:val="0"/>
          <w:szCs w:val="21"/>
        </w:rPr>
        <w:t>（2）是独立法人，或者是由独立法人组成的联合体。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/>
          <w:snapToGrid w:val="0"/>
          <w:color w:val="auto"/>
          <w:kern w:val="0"/>
          <w:szCs w:val="21"/>
        </w:rPr>
      </w:pPr>
      <w:r>
        <w:rPr>
          <w:rFonts w:hint="eastAsia" w:ascii="宋体" w:hAnsi="宋体"/>
          <w:snapToGrid w:val="0"/>
          <w:color w:val="auto"/>
          <w:kern w:val="0"/>
          <w:szCs w:val="21"/>
        </w:rPr>
        <w:t>（3）投标人须同时具备以下业绩：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/>
          <w:snapToGrid w:val="0"/>
          <w:color w:val="auto"/>
          <w:kern w:val="0"/>
          <w:szCs w:val="21"/>
        </w:rPr>
      </w:pPr>
      <w:r>
        <w:rPr>
          <w:rFonts w:hint="eastAsia" w:ascii="宋体" w:hAnsi="宋体"/>
          <w:snapToGrid w:val="0"/>
          <w:color w:val="auto"/>
          <w:kern w:val="0"/>
          <w:szCs w:val="21"/>
        </w:rPr>
        <w:t>①2011年1月1日至投标截止日，至少具有1个3000吨级（以设计吨级为准，兼顾吨级除外）及以上已完成的内河港口码头工程初步设计或施工图设计业绩；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/>
          <w:snapToGrid w:val="0"/>
          <w:color w:val="auto"/>
          <w:kern w:val="0"/>
          <w:szCs w:val="21"/>
        </w:rPr>
      </w:pPr>
      <w:r>
        <w:rPr>
          <w:rFonts w:hint="eastAsia" w:ascii="宋体" w:hAnsi="宋体"/>
          <w:snapToGrid w:val="0"/>
          <w:color w:val="auto"/>
          <w:kern w:val="0"/>
          <w:szCs w:val="21"/>
        </w:rPr>
        <w:t>②2011年1月1日至投标截止日，至少具有1个3000吨级（以设计吨级为准，兼顾吨级除外）及以上已完成的内河港口码头工程勘察业绩。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/>
          <w:snapToGrid w:val="0"/>
          <w:color w:val="auto"/>
          <w:kern w:val="0"/>
          <w:szCs w:val="21"/>
        </w:rPr>
      </w:pPr>
      <w:r>
        <w:rPr>
          <w:rFonts w:hint="eastAsia" w:ascii="宋体" w:hAnsi="宋体"/>
          <w:snapToGrid w:val="0"/>
          <w:color w:val="auto"/>
          <w:kern w:val="0"/>
          <w:szCs w:val="21"/>
        </w:rPr>
        <w:t>（4）投标人还应在人员、设备、资金等方面具有相应的勘察设计能力，详见招标文件第二章投标人须知前附表第1.4.1条内容。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/>
          <w:snapToGrid w:val="0"/>
          <w:color w:val="auto"/>
          <w:kern w:val="0"/>
          <w:szCs w:val="21"/>
        </w:rPr>
      </w:pPr>
      <w:r>
        <w:rPr>
          <w:rFonts w:hint="eastAsia" w:ascii="宋体" w:hAnsi="宋体"/>
          <w:snapToGrid w:val="0"/>
          <w:color w:val="auto"/>
          <w:kern w:val="0"/>
          <w:szCs w:val="21"/>
        </w:rPr>
        <w:t>3.2 本次招标接受联合体投标。联合体投标的，应满足下列要求：联合体牵头单位为设计单位，</w:t>
      </w:r>
      <w:r>
        <w:rPr>
          <w:rFonts w:hint="eastAsia" w:ascii="宋体" w:hAnsi="宋体"/>
          <w:snapToGrid w:val="0"/>
          <w:color w:val="auto"/>
          <w:kern w:val="0"/>
          <w:szCs w:val="21"/>
          <w:u w:val="single"/>
        </w:rPr>
        <w:t>组成联合体的单位不超过2家，须签署联合体协议书，明确联合体各成员单位职责分工，并满足第二章投标人须知前附表1.4.1条和1.4.2条要求。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/>
          <w:snapToGrid w:val="0"/>
          <w:color w:val="auto"/>
          <w:kern w:val="0"/>
          <w:szCs w:val="21"/>
        </w:rPr>
      </w:pPr>
      <w:r>
        <w:rPr>
          <w:rFonts w:hint="eastAsia" w:ascii="宋体" w:hAnsi="宋体"/>
          <w:snapToGrid w:val="0"/>
          <w:color w:val="auto"/>
          <w:kern w:val="0"/>
          <w:szCs w:val="21"/>
        </w:rPr>
        <w:t>3.3 单位负责人为同一人或者存在控股、管理关系的不同单位，不得同时参加本招标项目投标，相关投标均无效。</w:t>
      </w:r>
    </w:p>
    <w:p>
      <w:pPr>
        <w:pStyle w:val="3"/>
        <w:adjustRightInd w:val="0"/>
        <w:snapToGrid w:val="0"/>
        <w:spacing w:before="0" w:after="0" w:line="360" w:lineRule="auto"/>
        <w:rPr>
          <w:rFonts w:ascii="宋体" w:hAnsi="宋体"/>
          <w:snapToGrid w:val="0"/>
          <w:color w:val="auto"/>
          <w:sz w:val="28"/>
          <w:szCs w:val="28"/>
        </w:rPr>
      </w:pPr>
      <w:bookmarkStart w:id="28" w:name="_Toc200359430"/>
      <w:bookmarkStart w:id="29" w:name="_Toc277082539"/>
      <w:bookmarkStart w:id="30" w:name="_Toc70612401"/>
      <w:bookmarkStart w:id="31" w:name="_Toc287607731"/>
      <w:bookmarkStart w:id="32" w:name="_Toc200359241"/>
      <w:bookmarkStart w:id="33" w:name="_Toc430530419"/>
      <w:bookmarkStart w:id="34" w:name="_Toc287620670"/>
      <w:bookmarkStart w:id="35" w:name="_Toc509218695"/>
      <w:bookmarkStart w:id="36" w:name="_Toc224103302"/>
      <w:r>
        <w:rPr>
          <w:rFonts w:ascii="宋体" w:hAnsi="宋体"/>
          <w:snapToGrid w:val="0"/>
          <w:color w:val="auto"/>
          <w:sz w:val="28"/>
          <w:szCs w:val="28"/>
        </w:rPr>
        <w:t>4.</w:t>
      </w:r>
      <w:r>
        <w:rPr>
          <w:rFonts w:hint="eastAsia" w:ascii="宋体" w:hAnsi="宋体"/>
          <w:snapToGrid w:val="0"/>
          <w:color w:val="auto"/>
          <w:sz w:val="28"/>
          <w:szCs w:val="28"/>
        </w:rPr>
        <w:t xml:space="preserve"> </w:t>
      </w:r>
      <w:r>
        <w:rPr>
          <w:rFonts w:ascii="宋体" w:hAnsi="宋体"/>
          <w:snapToGrid w:val="0"/>
          <w:color w:val="auto"/>
          <w:sz w:val="28"/>
          <w:szCs w:val="28"/>
        </w:rPr>
        <w:t>招标文件的获取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>
      <w:pPr>
        <w:tabs>
          <w:tab w:val="left" w:pos="2420"/>
          <w:tab w:val="left" w:pos="5445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ascii="宋体" w:hAnsi="宋体"/>
          <w:snapToGrid w:val="0"/>
          <w:color w:val="auto"/>
          <w:kern w:val="0"/>
          <w:szCs w:val="21"/>
        </w:rPr>
      </w:pPr>
      <w:r>
        <w:rPr>
          <w:rFonts w:hint="eastAsia" w:ascii="宋体" w:hAnsi="宋体"/>
          <w:snapToGrid w:val="0"/>
          <w:color w:val="auto"/>
          <w:kern w:val="0"/>
          <w:szCs w:val="21"/>
        </w:rPr>
        <w:t>4</w:t>
      </w:r>
      <w:r>
        <w:rPr>
          <w:rFonts w:ascii="宋体" w:hAnsi="宋体"/>
          <w:snapToGrid w:val="0"/>
          <w:color w:val="auto"/>
          <w:kern w:val="0"/>
          <w:szCs w:val="21"/>
        </w:rPr>
        <w:t>.1</w:t>
      </w:r>
      <w:r>
        <w:rPr>
          <w:rFonts w:hint="eastAsia" w:ascii="宋体" w:hAnsi="宋体"/>
          <w:snapToGrid w:val="0"/>
          <w:color w:val="auto"/>
          <w:kern w:val="0"/>
          <w:szCs w:val="21"/>
        </w:rPr>
        <w:t xml:space="preserve"> </w:t>
      </w:r>
      <w:r>
        <w:rPr>
          <w:rFonts w:ascii="宋体" w:hAnsi="宋体"/>
          <w:snapToGrid w:val="0"/>
          <w:color w:val="auto"/>
          <w:kern w:val="0"/>
          <w:szCs w:val="21"/>
        </w:rPr>
        <w:t>本招标项目采用</w:t>
      </w:r>
      <w:r>
        <w:rPr>
          <w:rFonts w:hint="eastAsia" w:ascii="宋体" w:hAnsi="宋体"/>
          <w:snapToGrid w:val="0"/>
          <w:color w:val="auto"/>
          <w:kern w:val="0"/>
          <w:szCs w:val="21"/>
        </w:rPr>
        <w:t>全流程电子</w:t>
      </w:r>
      <w:r>
        <w:rPr>
          <w:rFonts w:ascii="宋体" w:hAnsi="宋体"/>
          <w:snapToGrid w:val="0"/>
          <w:color w:val="auto"/>
          <w:kern w:val="0"/>
          <w:szCs w:val="21"/>
        </w:rPr>
        <w:t>招投标，投标人在投标前可在</w:t>
      </w:r>
      <w:r>
        <w:rPr>
          <w:rFonts w:hint="eastAsia" w:ascii="宋体" w:hAnsi="宋体"/>
          <w:snapToGrid w:val="0"/>
          <w:color w:val="auto"/>
          <w:kern w:val="0"/>
          <w:szCs w:val="21"/>
          <w:u w:val="single"/>
        </w:rPr>
        <w:t>重庆市公共资源交易网（www.cqggzy.com）</w:t>
      </w:r>
      <w:r>
        <w:rPr>
          <w:rFonts w:ascii="宋体" w:hAnsi="宋体"/>
          <w:snapToGrid w:val="0"/>
          <w:color w:val="auto"/>
          <w:kern w:val="0"/>
          <w:szCs w:val="21"/>
        </w:rPr>
        <w:t>下载招标文件、工程量清单</w:t>
      </w:r>
      <w:r>
        <w:rPr>
          <w:rFonts w:hint="eastAsia" w:ascii="宋体" w:hAnsi="宋体"/>
          <w:snapToGrid w:val="0"/>
          <w:color w:val="auto"/>
          <w:kern w:val="0"/>
          <w:szCs w:val="21"/>
        </w:rPr>
        <w:t>（如有）</w:t>
      </w:r>
      <w:r>
        <w:rPr>
          <w:rFonts w:ascii="宋体" w:hAnsi="宋体"/>
          <w:snapToGrid w:val="0"/>
          <w:color w:val="auto"/>
          <w:kern w:val="0"/>
          <w:szCs w:val="21"/>
        </w:rPr>
        <w:t>、电子图纸等资料。参与投标的投标人</w:t>
      </w:r>
      <w:r>
        <w:rPr>
          <w:rFonts w:hint="eastAsia" w:ascii="宋体" w:hAnsi="宋体"/>
          <w:snapToGrid w:val="0"/>
          <w:color w:val="auto"/>
          <w:kern w:val="0"/>
          <w:szCs w:val="21"/>
        </w:rPr>
        <w:t>需在</w:t>
      </w:r>
      <w:r>
        <w:rPr>
          <w:rFonts w:hint="eastAsia" w:ascii="宋体" w:hAnsi="宋体"/>
          <w:snapToGrid w:val="0"/>
          <w:color w:val="auto"/>
          <w:kern w:val="0"/>
          <w:szCs w:val="21"/>
          <w:u w:val="single"/>
        </w:rPr>
        <w:t>重庆市公共资源交易网（www.cqggzy.com）</w:t>
      </w:r>
      <w:r>
        <w:rPr>
          <w:rFonts w:hint="eastAsia" w:ascii="宋体" w:hAnsi="宋体"/>
          <w:snapToGrid w:val="0"/>
          <w:color w:val="auto"/>
          <w:kern w:val="0"/>
          <w:szCs w:val="21"/>
        </w:rPr>
        <w:t>完成市场主体信息登记以及 CA 数字证书办理，办理方式请参见</w:t>
      </w:r>
      <w:r>
        <w:rPr>
          <w:rFonts w:hint="eastAsia" w:ascii="宋体" w:hAnsi="宋体"/>
          <w:snapToGrid w:val="0"/>
          <w:color w:val="auto"/>
          <w:kern w:val="0"/>
          <w:szCs w:val="21"/>
          <w:u w:val="single"/>
        </w:rPr>
        <w:t>重庆市公共资源交易网（www.cqggzy.com）</w:t>
      </w:r>
      <w:r>
        <w:rPr>
          <w:rFonts w:hint="eastAsia" w:ascii="宋体" w:hAnsi="宋体"/>
          <w:snapToGrid w:val="0"/>
          <w:color w:val="auto"/>
          <w:kern w:val="0"/>
          <w:szCs w:val="21"/>
        </w:rPr>
        <w:t>导航栏“主体信息”页面中“市场主体信息登记”“CA 数字证书办理”。若投标人未及时完成市场主体信息登记和 CA 数字证书办理导致无法完成全流程电子招投标的，责任自负</w:t>
      </w:r>
      <w:r>
        <w:rPr>
          <w:rFonts w:ascii="宋体" w:hAnsi="宋体"/>
          <w:snapToGrid w:val="0"/>
          <w:color w:val="auto"/>
          <w:kern w:val="0"/>
          <w:szCs w:val="21"/>
        </w:rPr>
        <w:t>。</w:t>
      </w:r>
    </w:p>
    <w:p>
      <w:pPr>
        <w:tabs>
          <w:tab w:val="left" w:pos="2420"/>
          <w:tab w:val="left" w:pos="5445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4.2 投标人可在</w:t>
      </w:r>
      <w:r>
        <w:rPr>
          <w:rFonts w:hint="eastAsia" w:ascii="宋体" w:hAnsi="宋体"/>
          <w:color w:val="auto"/>
          <w:u w:val="single"/>
        </w:rPr>
        <w:t>重庆市公共资源交易网（www.cqggzy.com）</w:t>
      </w:r>
      <w:r>
        <w:rPr>
          <w:rFonts w:hint="eastAsia" w:ascii="宋体" w:hAnsi="宋体"/>
          <w:color w:val="auto"/>
        </w:rPr>
        <w:t>本项目招标公告网页下方“我要提问”栏提出疑问，提问时间从本公告发布至</w:t>
      </w:r>
      <w:r>
        <w:rPr>
          <w:rFonts w:hint="eastAsia" w:ascii="宋体" w:hAnsi="宋体"/>
          <w:snapToGrid w:val="0"/>
          <w:color w:val="auto"/>
          <w:kern w:val="0"/>
          <w:szCs w:val="21"/>
          <w:u w:val="single"/>
        </w:rPr>
        <w:t>2021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>05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</w:rPr>
        <w:t>0</w:t>
      </w:r>
      <w:r>
        <w:rPr>
          <w:rFonts w:hint="eastAsia" w:ascii="宋体" w:hAnsi="宋体"/>
          <w:color w:val="auto"/>
          <w:u w:val="single"/>
          <w:lang w:val="en-US" w:eastAsia="zh-CN"/>
        </w:rPr>
        <w:t>7</w:t>
      </w:r>
      <w:r>
        <w:rPr>
          <w:rFonts w:hint="eastAsia" w:ascii="宋体" w:hAnsi="宋体"/>
          <w:color w:val="auto"/>
        </w:rPr>
        <w:t>日</w:t>
      </w:r>
      <w:r>
        <w:rPr>
          <w:rFonts w:hint="eastAsia" w:ascii="宋体" w:hAnsi="宋体"/>
          <w:color w:val="auto"/>
          <w:u w:val="single"/>
          <w:lang w:val="en-US" w:eastAsia="zh-CN"/>
        </w:rPr>
        <w:t>14</w:t>
      </w:r>
      <w:r>
        <w:rPr>
          <w:rFonts w:hint="eastAsia" w:ascii="宋体" w:hAnsi="宋体"/>
          <w:color w:val="auto"/>
        </w:rPr>
        <w:t>时</w:t>
      </w:r>
      <w:r>
        <w:rPr>
          <w:rFonts w:hint="eastAsia" w:ascii="宋体" w:hAnsi="宋体"/>
          <w:color w:val="auto"/>
          <w:u w:val="single"/>
        </w:rPr>
        <w:t>00</w:t>
      </w:r>
      <w:r>
        <w:rPr>
          <w:rFonts w:hint="eastAsia" w:ascii="宋体" w:hAnsi="宋体"/>
          <w:color w:val="auto"/>
        </w:rPr>
        <w:t>分（北京时间）前。</w:t>
      </w:r>
    </w:p>
    <w:p>
      <w:pPr>
        <w:tabs>
          <w:tab w:val="left" w:pos="2420"/>
          <w:tab w:val="left" w:pos="5445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4.3 招标人应于</w:t>
      </w:r>
      <w:r>
        <w:rPr>
          <w:rFonts w:hint="eastAsia" w:ascii="宋体" w:hAnsi="宋体"/>
          <w:color w:val="auto"/>
          <w:u w:val="single"/>
        </w:rPr>
        <w:t>2021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>05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</w:rPr>
        <w:t>12</w:t>
      </w:r>
      <w:r>
        <w:rPr>
          <w:rFonts w:hint="eastAsia" w:ascii="宋体" w:hAnsi="宋体"/>
          <w:color w:val="auto"/>
        </w:rPr>
        <w:t>日</w:t>
      </w:r>
      <w:r>
        <w:rPr>
          <w:rFonts w:hint="eastAsia" w:ascii="宋体" w:hAnsi="宋体"/>
          <w:color w:val="auto"/>
          <w:u w:val="single"/>
        </w:rPr>
        <w:t>17</w:t>
      </w:r>
      <w:r>
        <w:rPr>
          <w:rFonts w:hint="eastAsia" w:ascii="宋体" w:hAnsi="宋体"/>
          <w:color w:val="auto"/>
        </w:rPr>
        <w:t>时</w:t>
      </w:r>
      <w:r>
        <w:rPr>
          <w:rFonts w:hint="eastAsia" w:ascii="宋体" w:hAnsi="宋体"/>
          <w:color w:val="auto"/>
          <w:u w:val="single"/>
        </w:rPr>
        <w:t>30</w:t>
      </w:r>
      <w:r>
        <w:rPr>
          <w:rFonts w:hint="eastAsia" w:ascii="宋体" w:hAnsi="宋体"/>
          <w:color w:val="auto"/>
        </w:rPr>
        <w:t>分（北京时间）前在</w:t>
      </w:r>
      <w:r>
        <w:rPr>
          <w:rFonts w:hint="eastAsia" w:ascii="宋体" w:hAnsi="宋体"/>
          <w:color w:val="auto"/>
          <w:u w:val="single"/>
        </w:rPr>
        <w:t>重庆市公共资源交易网（www.cqggzy.com）</w:t>
      </w:r>
      <w:r>
        <w:rPr>
          <w:rFonts w:hint="eastAsia" w:ascii="宋体" w:hAnsi="宋体"/>
          <w:color w:val="auto"/>
        </w:rPr>
        <w:t>发布澄清。</w:t>
      </w:r>
    </w:p>
    <w:p>
      <w:pPr>
        <w:pStyle w:val="3"/>
        <w:adjustRightInd w:val="0"/>
        <w:snapToGrid w:val="0"/>
        <w:spacing w:before="0" w:after="0" w:line="360" w:lineRule="auto"/>
        <w:rPr>
          <w:rFonts w:ascii="宋体" w:hAnsi="宋体"/>
          <w:snapToGrid w:val="0"/>
          <w:color w:val="auto"/>
          <w:sz w:val="28"/>
          <w:szCs w:val="28"/>
        </w:rPr>
      </w:pPr>
      <w:bookmarkStart w:id="37" w:name="_Toc287620671"/>
      <w:bookmarkStart w:id="38" w:name="_Toc430530420"/>
      <w:bookmarkStart w:id="39" w:name="_Toc509218696"/>
      <w:bookmarkStart w:id="40" w:name="_Toc200359242"/>
      <w:bookmarkStart w:id="41" w:name="_Toc70612402"/>
      <w:bookmarkStart w:id="42" w:name="_Toc224103303"/>
      <w:bookmarkStart w:id="43" w:name="_Toc277082540"/>
      <w:bookmarkStart w:id="44" w:name="_Toc287607732"/>
      <w:bookmarkStart w:id="45" w:name="_Toc200359431"/>
      <w:r>
        <w:rPr>
          <w:rFonts w:ascii="宋体" w:hAnsi="宋体"/>
          <w:snapToGrid w:val="0"/>
          <w:color w:val="auto"/>
          <w:sz w:val="28"/>
          <w:szCs w:val="28"/>
        </w:rPr>
        <w:t>5. 投标文件的递交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>
      <w:pPr>
        <w:tabs>
          <w:tab w:val="left" w:pos="2000"/>
          <w:tab w:val="left" w:pos="5580"/>
          <w:tab w:val="left" w:pos="6220"/>
          <w:tab w:val="left" w:pos="6840"/>
          <w:tab w:val="left" w:pos="7460"/>
          <w:tab w:val="left" w:pos="8100"/>
        </w:tabs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="宋体" w:hAnsi="宋体"/>
          <w:snapToGrid w:val="0"/>
          <w:color w:val="auto"/>
          <w:kern w:val="0"/>
          <w:szCs w:val="21"/>
        </w:rPr>
      </w:pPr>
      <w:r>
        <w:rPr>
          <w:rFonts w:ascii="宋体" w:hAnsi="宋体"/>
          <w:snapToGrid w:val="0"/>
          <w:color w:val="auto"/>
          <w:kern w:val="0"/>
          <w:szCs w:val="21"/>
        </w:rPr>
        <w:t>5.1</w:t>
      </w:r>
      <w:r>
        <w:rPr>
          <w:rFonts w:hint="eastAsia" w:ascii="宋体" w:hAnsi="宋体"/>
          <w:snapToGrid w:val="0"/>
          <w:color w:val="auto"/>
          <w:kern w:val="0"/>
          <w:szCs w:val="21"/>
        </w:rPr>
        <w:t xml:space="preserve"> </w:t>
      </w:r>
      <w:r>
        <w:rPr>
          <w:rFonts w:ascii="宋体" w:hAnsi="宋体"/>
          <w:snapToGrid w:val="0"/>
          <w:color w:val="auto"/>
          <w:kern w:val="0"/>
          <w:szCs w:val="21"/>
        </w:rPr>
        <w:t>投标文件递交的截止时间（投标截止时间，下同）为</w:t>
      </w:r>
      <w:r>
        <w:rPr>
          <w:rFonts w:hint="eastAsia" w:ascii="宋体" w:hAnsi="宋体"/>
          <w:snapToGrid w:val="0"/>
          <w:color w:val="auto"/>
          <w:kern w:val="0"/>
          <w:szCs w:val="21"/>
          <w:u w:val="single"/>
        </w:rPr>
        <w:t>2021</w:t>
      </w:r>
      <w:r>
        <w:rPr>
          <w:rFonts w:ascii="宋体" w:hAnsi="宋体"/>
          <w:snapToGrid w:val="0"/>
          <w:color w:val="auto"/>
          <w:kern w:val="0"/>
          <w:szCs w:val="21"/>
        </w:rPr>
        <w:t>年</w:t>
      </w:r>
      <w:r>
        <w:rPr>
          <w:rFonts w:hint="eastAsia" w:ascii="宋体" w:hAnsi="宋体"/>
          <w:snapToGrid w:val="0"/>
          <w:color w:val="auto"/>
          <w:kern w:val="0"/>
          <w:szCs w:val="21"/>
          <w:u w:val="single"/>
        </w:rPr>
        <w:t>05</w:t>
      </w:r>
      <w:r>
        <w:rPr>
          <w:rFonts w:ascii="宋体" w:hAnsi="宋体"/>
          <w:snapToGrid w:val="0"/>
          <w:color w:val="auto"/>
          <w:kern w:val="0"/>
          <w:szCs w:val="21"/>
        </w:rPr>
        <w:t>月</w:t>
      </w:r>
      <w:r>
        <w:rPr>
          <w:rFonts w:hint="eastAsia" w:ascii="宋体" w:hAnsi="宋体"/>
          <w:snapToGrid w:val="0"/>
          <w:color w:val="auto"/>
          <w:kern w:val="0"/>
          <w:szCs w:val="21"/>
          <w:u w:val="single"/>
        </w:rPr>
        <w:t>27</w:t>
      </w:r>
      <w:r>
        <w:rPr>
          <w:rFonts w:ascii="宋体" w:hAnsi="宋体"/>
          <w:snapToGrid w:val="0"/>
          <w:color w:val="auto"/>
          <w:kern w:val="0"/>
          <w:szCs w:val="21"/>
        </w:rPr>
        <w:t>日</w:t>
      </w:r>
      <w:r>
        <w:rPr>
          <w:rFonts w:hint="eastAsia" w:ascii="宋体" w:hAnsi="宋体"/>
          <w:snapToGrid w:val="0"/>
          <w:color w:val="auto"/>
          <w:kern w:val="0"/>
          <w:szCs w:val="21"/>
          <w:u w:val="single"/>
        </w:rPr>
        <w:t>10</w:t>
      </w:r>
      <w:r>
        <w:rPr>
          <w:rFonts w:ascii="宋体" w:hAnsi="宋体"/>
          <w:snapToGrid w:val="0"/>
          <w:color w:val="auto"/>
          <w:kern w:val="0"/>
          <w:szCs w:val="21"/>
        </w:rPr>
        <w:t>时</w:t>
      </w:r>
      <w:r>
        <w:rPr>
          <w:rFonts w:hint="eastAsia" w:ascii="宋体" w:hAnsi="宋体"/>
          <w:snapToGrid w:val="0"/>
          <w:color w:val="auto"/>
          <w:kern w:val="0"/>
          <w:szCs w:val="21"/>
          <w:u w:val="single"/>
        </w:rPr>
        <w:t>00</w:t>
      </w:r>
      <w:r>
        <w:rPr>
          <w:rFonts w:ascii="宋体" w:hAnsi="宋体"/>
          <w:snapToGrid w:val="0"/>
          <w:color w:val="auto"/>
          <w:kern w:val="0"/>
          <w:szCs w:val="21"/>
        </w:rPr>
        <w:t>分，</w:t>
      </w:r>
      <w:r>
        <w:rPr>
          <w:rFonts w:hint="eastAsia" w:ascii="宋体" w:hAnsi="宋体"/>
          <w:snapToGrid w:val="0"/>
          <w:color w:val="auto"/>
          <w:kern w:val="0"/>
          <w:szCs w:val="21"/>
        </w:rPr>
        <w:t>投标人应当在投标截止时间前，通过互联网使用CA数字证书登录重庆市电子招投标系统，将加密的电子投标文件上传。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="宋体" w:hAnsi="宋体"/>
          <w:snapToGrid w:val="0"/>
          <w:color w:val="auto"/>
          <w:kern w:val="0"/>
          <w:szCs w:val="21"/>
        </w:rPr>
      </w:pPr>
      <w:r>
        <w:rPr>
          <w:rFonts w:ascii="宋体" w:hAnsi="宋体"/>
          <w:snapToGrid w:val="0"/>
          <w:color w:val="auto"/>
          <w:kern w:val="0"/>
          <w:szCs w:val="21"/>
        </w:rPr>
        <w:t>5.2</w:t>
      </w:r>
      <w:r>
        <w:rPr>
          <w:rFonts w:hint="eastAsia" w:ascii="宋体" w:hAnsi="宋体"/>
          <w:snapToGrid w:val="0"/>
          <w:color w:val="auto"/>
          <w:kern w:val="0"/>
          <w:szCs w:val="21"/>
        </w:rPr>
        <w:t xml:space="preserve"> 未按要求加密的电子投标文件，将无法上传至重庆市电子招投标系统，逾期未完成投标文件上传的，视为撤回投标文件。</w:t>
      </w:r>
    </w:p>
    <w:p>
      <w:pPr>
        <w:pStyle w:val="3"/>
        <w:adjustRightInd w:val="0"/>
        <w:snapToGrid w:val="0"/>
        <w:spacing w:before="0" w:after="0" w:line="360" w:lineRule="auto"/>
        <w:rPr>
          <w:rFonts w:ascii="宋体" w:hAnsi="宋体"/>
          <w:snapToGrid w:val="0"/>
          <w:color w:val="auto"/>
          <w:sz w:val="28"/>
          <w:szCs w:val="28"/>
        </w:rPr>
      </w:pPr>
      <w:bookmarkStart w:id="46" w:name="_Toc200359243"/>
      <w:bookmarkStart w:id="47" w:name="_Toc200359432"/>
      <w:bookmarkStart w:id="48" w:name="_Toc224103304"/>
      <w:bookmarkStart w:id="49" w:name="_Toc287620672"/>
      <w:bookmarkStart w:id="50" w:name="_Toc430530421"/>
      <w:bookmarkStart w:id="51" w:name="_Toc287607733"/>
      <w:bookmarkStart w:id="52" w:name="_Toc277082541"/>
      <w:bookmarkStart w:id="53" w:name="_Toc70612403"/>
      <w:bookmarkStart w:id="54" w:name="_Toc509218697"/>
      <w:r>
        <w:rPr>
          <w:rFonts w:ascii="宋体" w:hAnsi="宋体"/>
          <w:snapToGrid w:val="0"/>
          <w:color w:val="auto"/>
          <w:sz w:val="28"/>
          <w:szCs w:val="28"/>
        </w:rPr>
        <w:t>6. 发布公告的媒介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>
      <w:pPr>
        <w:tabs>
          <w:tab w:val="left" w:pos="4950"/>
        </w:tabs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="宋体" w:hAnsi="宋体"/>
          <w:color w:val="auto"/>
        </w:rPr>
      </w:pPr>
      <w:r>
        <w:rPr>
          <w:rFonts w:ascii="宋体" w:hAnsi="宋体"/>
          <w:snapToGrid w:val="0"/>
          <w:color w:val="auto"/>
          <w:kern w:val="0"/>
          <w:szCs w:val="21"/>
        </w:rPr>
        <w:t>本次招标公告同时在</w:t>
      </w:r>
      <w:r>
        <w:rPr>
          <w:rFonts w:hint="eastAsia" w:ascii="宋体" w:hAnsi="宋体"/>
          <w:snapToGrid w:val="0"/>
          <w:color w:val="auto"/>
          <w:kern w:val="0"/>
          <w:szCs w:val="21"/>
          <w:u w:val="single"/>
        </w:rPr>
        <w:t>中国招标投标公共服务平台（http://www.cebpubservice.com/）、重庆市公共资源交易监督网（ggzyjyjgj.cq.gov.cn）、重庆市公共资源交易网（www.cqggzy.com）、重庆高速公路集团有限公司官网（http://www.cegc.com.cn/）和重庆高速公路集团有限公司招投标管理平台（http://43.240.249.108:8088）</w:t>
      </w:r>
      <w:r>
        <w:rPr>
          <w:rFonts w:ascii="宋体" w:hAnsi="宋体"/>
          <w:snapToGrid w:val="0"/>
          <w:color w:val="auto"/>
          <w:kern w:val="0"/>
          <w:szCs w:val="21"/>
        </w:rPr>
        <w:t>上发布。</w:t>
      </w:r>
    </w:p>
    <w:p>
      <w:pPr>
        <w:pStyle w:val="3"/>
        <w:adjustRightInd w:val="0"/>
        <w:snapToGrid w:val="0"/>
        <w:spacing w:before="0" w:after="0" w:line="360" w:lineRule="auto"/>
        <w:rPr>
          <w:rFonts w:ascii="宋体" w:hAnsi="宋体"/>
          <w:snapToGrid w:val="0"/>
          <w:color w:val="auto"/>
          <w:sz w:val="28"/>
          <w:szCs w:val="28"/>
        </w:rPr>
      </w:pPr>
      <w:bookmarkStart w:id="55" w:name="_Toc287607734"/>
      <w:bookmarkStart w:id="56" w:name="_Toc224103305"/>
      <w:bookmarkStart w:id="57" w:name="_Toc277082542"/>
      <w:bookmarkStart w:id="58" w:name="_Toc509218698"/>
      <w:bookmarkStart w:id="59" w:name="_Toc70612404"/>
      <w:bookmarkStart w:id="60" w:name="_Toc287620673"/>
      <w:bookmarkStart w:id="61" w:name="_Toc430530422"/>
      <w:r>
        <w:rPr>
          <w:rFonts w:hint="eastAsia" w:ascii="宋体" w:hAnsi="宋体"/>
          <w:snapToGrid w:val="0"/>
          <w:color w:val="auto"/>
          <w:sz w:val="28"/>
          <w:szCs w:val="28"/>
        </w:rPr>
        <w:t>7</w:t>
      </w:r>
      <w:r>
        <w:rPr>
          <w:rFonts w:ascii="宋体" w:hAnsi="宋体"/>
          <w:snapToGrid w:val="0"/>
          <w:color w:val="auto"/>
          <w:sz w:val="28"/>
          <w:szCs w:val="28"/>
        </w:rPr>
        <w:t>. 联系方式</w:t>
      </w:r>
      <w:bookmarkEnd w:id="55"/>
      <w:bookmarkEnd w:id="56"/>
      <w:bookmarkEnd w:id="57"/>
      <w:bookmarkEnd w:id="58"/>
      <w:bookmarkEnd w:id="59"/>
      <w:bookmarkEnd w:id="60"/>
      <w:bookmarkEnd w:id="61"/>
    </w:p>
    <w:p>
      <w:pPr>
        <w:tabs>
          <w:tab w:val="left" w:pos="5140"/>
          <w:tab w:val="left" w:pos="8520"/>
        </w:tabs>
        <w:autoSpaceDE w:val="0"/>
        <w:autoSpaceDN w:val="0"/>
        <w:adjustRightInd w:val="0"/>
        <w:snapToGrid w:val="0"/>
        <w:spacing w:line="360" w:lineRule="auto"/>
        <w:ind w:left="6720" w:leftChars="200" w:hanging="6300" w:hangingChars="3000"/>
        <w:jc w:val="left"/>
        <w:rPr>
          <w:rFonts w:ascii="宋体" w:hAnsi="宋体"/>
          <w:snapToGrid w:val="0"/>
          <w:color w:val="auto"/>
          <w:kern w:val="0"/>
          <w:szCs w:val="21"/>
        </w:rPr>
      </w:pPr>
      <w:r>
        <w:rPr>
          <w:rFonts w:ascii="宋体" w:hAnsi="宋体"/>
          <w:snapToGrid w:val="0"/>
          <w:color w:val="auto"/>
          <w:kern w:val="0"/>
          <w:szCs w:val="21"/>
        </w:rPr>
        <w:t>招 标 人：</w:t>
      </w:r>
      <w:r>
        <w:rPr>
          <w:rFonts w:hint="eastAsia" w:ascii="宋体" w:hAnsi="宋体"/>
          <w:snapToGrid w:val="0"/>
          <w:color w:val="auto"/>
          <w:kern w:val="0"/>
          <w:szCs w:val="21"/>
        </w:rPr>
        <w:t>重庆航运建设发展（集团）有限公司</w:t>
      </w:r>
    </w:p>
    <w:p>
      <w:pPr>
        <w:tabs>
          <w:tab w:val="left" w:pos="5140"/>
          <w:tab w:val="left" w:pos="8520"/>
        </w:tabs>
        <w:autoSpaceDE w:val="0"/>
        <w:autoSpaceDN w:val="0"/>
        <w:adjustRightInd w:val="0"/>
        <w:snapToGrid w:val="0"/>
        <w:spacing w:line="360" w:lineRule="auto"/>
        <w:ind w:left="6720" w:leftChars="200" w:hanging="6300" w:hangingChars="3000"/>
        <w:jc w:val="left"/>
        <w:rPr>
          <w:rFonts w:ascii="宋体" w:hAnsi="宋体"/>
          <w:snapToGrid w:val="0"/>
          <w:color w:val="auto"/>
          <w:kern w:val="0"/>
          <w:szCs w:val="21"/>
        </w:rPr>
      </w:pPr>
      <w:r>
        <w:rPr>
          <w:rFonts w:ascii="宋体" w:hAnsi="宋体"/>
          <w:snapToGrid w:val="0"/>
          <w:color w:val="auto"/>
          <w:kern w:val="0"/>
          <w:szCs w:val="21"/>
        </w:rPr>
        <w:t>地    址：</w:t>
      </w:r>
      <w:r>
        <w:rPr>
          <w:rFonts w:hint="eastAsia" w:ascii="宋体" w:hAnsi="宋体"/>
          <w:snapToGrid w:val="0"/>
          <w:color w:val="auto"/>
          <w:kern w:val="0"/>
          <w:szCs w:val="21"/>
        </w:rPr>
        <w:t>重庆市北部新区高新园星光大道76号天王星商务大厦B座23楼</w:t>
      </w:r>
    </w:p>
    <w:p>
      <w:pPr>
        <w:tabs>
          <w:tab w:val="left" w:pos="5140"/>
          <w:tab w:val="left" w:pos="8520"/>
        </w:tabs>
        <w:autoSpaceDE w:val="0"/>
        <w:autoSpaceDN w:val="0"/>
        <w:adjustRightInd w:val="0"/>
        <w:snapToGrid w:val="0"/>
        <w:spacing w:line="360" w:lineRule="auto"/>
        <w:ind w:left="6720" w:leftChars="200" w:hanging="6300" w:hangingChars="3000"/>
        <w:jc w:val="left"/>
        <w:rPr>
          <w:rFonts w:ascii="宋体" w:hAnsi="宋体"/>
          <w:snapToGrid w:val="0"/>
          <w:color w:val="auto"/>
          <w:kern w:val="0"/>
          <w:szCs w:val="21"/>
        </w:rPr>
      </w:pPr>
      <w:r>
        <w:rPr>
          <w:rFonts w:ascii="宋体" w:hAnsi="宋体"/>
          <w:snapToGrid w:val="0"/>
          <w:color w:val="auto"/>
          <w:kern w:val="0"/>
          <w:szCs w:val="21"/>
        </w:rPr>
        <w:t>联 系 人：</w:t>
      </w:r>
      <w:r>
        <w:rPr>
          <w:rFonts w:hint="eastAsia" w:ascii="宋体" w:hAnsi="宋体"/>
          <w:snapToGrid w:val="0"/>
          <w:color w:val="auto"/>
          <w:kern w:val="0"/>
          <w:szCs w:val="21"/>
        </w:rPr>
        <w:t>邓先生</w:t>
      </w:r>
    </w:p>
    <w:p>
      <w:pPr>
        <w:tabs>
          <w:tab w:val="left" w:pos="5140"/>
          <w:tab w:val="left" w:pos="8520"/>
        </w:tabs>
        <w:autoSpaceDE w:val="0"/>
        <w:autoSpaceDN w:val="0"/>
        <w:adjustRightInd w:val="0"/>
        <w:snapToGrid w:val="0"/>
        <w:spacing w:line="360" w:lineRule="auto"/>
        <w:ind w:left="6720" w:leftChars="200" w:hanging="6300" w:hangingChars="3000"/>
        <w:jc w:val="left"/>
        <w:rPr>
          <w:rFonts w:ascii="宋体" w:hAnsi="宋体"/>
          <w:snapToGrid w:val="0"/>
          <w:color w:val="auto"/>
          <w:kern w:val="0"/>
          <w:szCs w:val="21"/>
        </w:rPr>
      </w:pPr>
      <w:r>
        <w:rPr>
          <w:rFonts w:ascii="宋体" w:hAnsi="宋体"/>
          <w:snapToGrid w:val="0"/>
          <w:color w:val="auto"/>
          <w:kern w:val="0"/>
          <w:szCs w:val="21"/>
        </w:rPr>
        <w:t>电    话：023-89734299</w:t>
      </w:r>
    </w:p>
    <w:p>
      <w:pPr>
        <w:tabs>
          <w:tab w:val="left" w:pos="5140"/>
          <w:tab w:val="left" w:pos="8520"/>
        </w:tabs>
        <w:autoSpaceDE w:val="0"/>
        <w:autoSpaceDN w:val="0"/>
        <w:adjustRightInd w:val="0"/>
        <w:snapToGrid w:val="0"/>
        <w:spacing w:line="360" w:lineRule="auto"/>
        <w:ind w:left="6720" w:leftChars="200" w:hanging="6300" w:hangingChars="3000"/>
        <w:jc w:val="left"/>
        <w:rPr>
          <w:rFonts w:ascii="宋体" w:hAnsi="宋体"/>
          <w:snapToGrid w:val="0"/>
          <w:color w:val="auto"/>
          <w:kern w:val="0"/>
          <w:szCs w:val="21"/>
        </w:rPr>
      </w:pPr>
      <w:r>
        <w:rPr>
          <w:rFonts w:ascii="宋体" w:hAnsi="宋体"/>
          <w:snapToGrid w:val="0"/>
          <w:color w:val="auto"/>
          <w:kern w:val="0"/>
          <w:szCs w:val="21"/>
        </w:rPr>
        <w:t>传    真：023-89076638</w:t>
      </w:r>
    </w:p>
    <w:p>
      <w:pPr>
        <w:tabs>
          <w:tab w:val="left" w:pos="5140"/>
          <w:tab w:val="left" w:pos="8520"/>
        </w:tabs>
        <w:autoSpaceDE w:val="0"/>
        <w:autoSpaceDN w:val="0"/>
        <w:adjustRightInd w:val="0"/>
        <w:snapToGrid w:val="0"/>
        <w:spacing w:line="360" w:lineRule="auto"/>
        <w:ind w:left="6720" w:leftChars="200" w:hanging="6300" w:hangingChars="3000"/>
        <w:jc w:val="left"/>
        <w:rPr>
          <w:rFonts w:ascii="宋体" w:hAnsi="宋体"/>
          <w:snapToGrid w:val="0"/>
          <w:color w:val="auto"/>
          <w:kern w:val="0"/>
          <w:szCs w:val="21"/>
          <w:u w:val="single"/>
        </w:rPr>
      </w:pPr>
    </w:p>
    <w:p>
      <w:pPr>
        <w:tabs>
          <w:tab w:val="left" w:pos="5140"/>
          <w:tab w:val="left" w:pos="8520"/>
        </w:tabs>
        <w:autoSpaceDE w:val="0"/>
        <w:autoSpaceDN w:val="0"/>
        <w:adjustRightInd w:val="0"/>
        <w:snapToGrid w:val="0"/>
        <w:spacing w:line="360" w:lineRule="auto"/>
        <w:ind w:left="6720" w:leftChars="200" w:hanging="6300" w:hangingChars="3000"/>
        <w:jc w:val="left"/>
        <w:rPr>
          <w:rFonts w:ascii="宋体" w:hAnsi="宋体"/>
          <w:snapToGrid w:val="0"/>
          <w:color w:val="auto"/>
          <w:kern w:val="0"/>
          <w:szCs w:val="21"/>
        </w:rPr>
      </w:pPr>
      <w:r>
        <w:rPr>
          <w:rFonts w:ascii="宋体" w:hAnsi="宋体"/>
          <w:snapToGrid w:val="0"/>
          <w:color w:val="auto"/>
          <w:kern w:val="0"/>
          <w:szCs w:val="21"/>
        </w:rPr>
        <w:t>招标代理机构：</w:t>
      </w:r>
      <w:r>
        <w:rPr>
          <w:rFonts w:hint="eastAsia" w:ascii="宋体" w:hAnsi="宋体"/>
          <w:snapToGrid w:val="0"/>
          <w:color w:val="auto"/>
          <w:kern w:val="0"/>
          <w:szCs w:val="21"/>
        </w:rPr>
        <w:t>重庆市五环工程建设管理有限公司</w:t>
      </w:r>
    </w:p>
    <w:p>
      <w:pPr>
        <w:tabs>
          <w:tab w:val="left" w:pos="5140"/>
          <w:tab w:val="left" w:pos="8520"/>
        </w:tabs>
        <w:autoSpaceDE w:val="0"/>
        <w:autoSpaceDN w:val="0"/>
        <w:adjustRightInd w:val="0"/>
        <w:snapToGrid w:val="0"/>
        <w:spacing w:line="360" w:lineRule="auto"/>
        <w:ind w:left="6720" w:leftChars="200" w:hanging="6300" w:hangingChars="3000"/>
        <w:jc w:val="left"/>
        <w:rPr>
          <w:rFonts w:ascii="宋体" w:hAnsi="宋体"/>
          <w:snapToGrid w:val="0"/>
          <w:color w:val="auto"/>
          <w:kern w:val="0"/>
          <w:position w:val="-3"/>
          <w:szCs w:val="21"/>
        </w:rPr>
      </w:pPr>
      <w:r>
        <w:rPr>
          <w:rFonts w:ascii="宋体" w:hAnsi="宋体"/>
          <w:snapToGrid w:val="0"/>
          <w:color w:val="auto"/>
          <w:kern w:val="0"/>
          <w:szCs w:val="21"/>
        </w:rPr>
        <w:t>地    址：</w:t>
      </w:r>
      <w:r>
        <w:rPr>
          <w:rFonts w:hint="eastAsia" w:ascii="宋体" w:hAnsi="宋体"/>
          <w:snapToGrid w:val="0"/>
          <w:color w:val="auto"/>
          <w:kern w:val="0"/>
          <w:position w:val="-3"/>
          <w:szCs w:val="21"/>
        </w:rPr>
        <w:t>重庆市江北区五简路2号重庆咨询大厦A座2008室</w:t>
      </w:r>
    </w:p>
    <w:p>
      <w:pPr>
        <w:tabs>
          <w:tab w:val="left" w:pos="5140"/>
          <w:tab w:val="left" w:pos="8520"/>
        </w:tabs>
        <w:autoSpaceDE w:val="0"/>
        <w:autoSpaceDN w:val="0"/>
        <w:adjustRightInd w:val="0"/>
        <w:snapToGrid w:val="0"/>
        <w:spacing w:line="360" w:lineRule="auto"/>
        <w:ind w:left="6720" w:leftChars="200" w:hanging="6300" w:hangingChars="3000"/>
        <w:jc w:val="left"/>
        <w:rPr>
          <w:rFonts w:ascii="宋体" w:hAnsi="宋体"/>
          <w:snapToGrid w:val="0"/>
          <w:color w:val="auto"/>
          <w:kern w:val="0"/>
          <w:szCs w:val="21"/>
        </w:rPr>
      </w:pPr>
      <w:r>
        <w:rPr>
          <w:rFonts w:ascii="宋体" w:hAnsi="宋体"/>
          <w:snapToGrid w:val="0"/>
          <w:color w:val="auto"/>
          <w:kern w:val="0"/>
          <w:position w:val="-3"/>
          <w:szCs w:val="21"/>
        </w:rPr>
        <w:t>邮    编：</w:t>
      </w:r>
      <w:r>
        <w:rPr>
          <w:rFonts w:hint="eastAsia" w:ascii="宋体" w:hAnsi="宋体"/>
          <w:snapToGrid w:val="0"/>
          <w:color w:val="auto"/>
          <w:kern w:val="0"/>
          <w:position w:val="-3"/>
          <w:szCs w:val="21"/>
        </w:rPr>
        <w:t>400023</w:t>
      </w:r>
    </w:p>
    <w:p>
      <w:pPr>
        <w:tabs>
          <w:tab w:val="left" w:pos="5140"/>
          <w:tab w:val="left" w:pos="8420"/>
        </w:tabs>
        <w:autoSpaceDE w:val="0"/>
        <w:autoSpaceDN w:val="0"/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/>
          <w:snapToGrid w:val="0"/>
          <w:color w:val="auto"/>
          <w:kern w:val="0"/>
          <w:szCs w:val="21"/>
        </w:rPr>
      </w:pPr>
      <w:r>
        <w:rPr>
          <w:rFonts w:ascii="宋体" w:hAnsi="宋体"/>
          <w:snapToGrid w:val="0"/>
          <w:color w:val="auto"/>
          <w:kern w:val="0"/>
          <w:szCs w:val="21"/>
        </w:rPr>
        <w:t>联 系 人：</w:t>
      </w:r>
      <w:r>
        <w:rPr>
          <w:rFonts w:hint="eastAsia" w:ascii="宋体" w:hAnsi="宋体"/>
          <w:snapToGrid w:val="0"/>
          <w:color w:val="auto"/>
          <w:kern w:val="0"/>
          <w:szCs w:val="21"/>
        </w:rPr>
        <w:t>李先生、</w:t>
      </w:r>
      <w:r>
        <w:rPr>
          <w:rFonts w:ascii="宋体" w:hAnsi="宋体"/>
          <w:snapToGrid w:val="0"/>
          <w:color w:val="auto"/>
          <w:kern w:val="0"/>
          <w:szCs w:val="21"/>
        </w:rPr>
        <w:t>谢先生</w:t>
      </w:r>
    </w:p>
    <w:p>
      <w:pPr>
        <w:tabs>
          <w:tab w:val="left" w:pos="5140"/>
          <w:tab w:val="left" w:pos="8420"/>
        </w:tabs>
        <w:autoSpaceDE w:val="0"/>
        <w:autoSpaceDN w:val="0"/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/>
          <w:snapToGrid w:val="0"/>
          <w:color w:val="auto"/>
          <w:kern w:val="0"/>
          <w:szCs w:val="21"/>
        </w:rPr>
      </w:pPr>
      <w:r>
        <w:rPr>
          <w:rFonts w:ascii="宋体" w:hAnsi="宋体"/>
          <w:snapToGrid w:val="0"/>
          <w:color w:val="auto"/>
          <w:kern w:val="0"/>
          <w:szCs w:val="21"/>
        </w:rPr>
        <w:t>电    话：</w:t>
      </w:r>
      <w:r>
        <w:rPr>
          <w:rFonts w:hint="eastAsia" w:ascii="宋体" w:hAnsi="宋体"/>
          <w:snapToGrid w:val="0"/>
          <w:color w:val="auto"/>
          <w:kern w:val="0"/>
          <w:szCs w:val="21"/>
        </w:rPr>
        <w:t>023-67706153</w:t>
      </w:r>
    </w:p>
    <w:p>
      <w:pPr>
        <w:tabs>
          <w:tab w:val="left" w:pos="5140"/>
          <w:tab w:val="left" w:pos="8420"/>
        </w:tabs>
        <w:autoSpaceDE w:val="0"/>
        <w:autoSpaceDN w:val="0"/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/>
          <w:snapToGrid w:val="0"/>
          <w:color w:val="auto"/>
          <w:kern w:val="0"/>
          <w:szCs w:val="21"/>
          <w:u w:val="single"/>
        </w:rPr>
      </w:pPr>
      <w:r>
        <w:rPr>
          <w:rFonts w:ascii="宋体" w:hAnsi="宋体"/>
          <w:snapToGrid w:val="0"/>
          <w:color w:val="auto"/>
          <w:kern w:val="0"/>
          <w:szCs w:val="21"/>
        </w:rPr>
        <w:t>传    真：</w:t>
      </w:r>
      <w:r>
        <w:rPr>
          <w:rFonts w:hint="eastAsia" w:ascii="宋体" w:hAnsi="宋体"/>
          <w:snapToGrid w:val="0"/>
          <w:color w:val="auto"/>
          <w:kern w:val="0"/>
          <w:szCs w:val="21"/>
        </w:rPr>
        <w:t>023-67767956</w:t>
      </w:r>
    </w:p>
    <w:p>
      <w:pPr>
        <w:autoSpaceDE w:val="0"/>
        <w:autoSpaceDN w:val="0"/>
        <w:adjustRightInd w:val="0"/>
        <w:snapToGrid w:val="0"/>
        <w:spacing w:line="360" w:lineRule="auto"/>
        <w:ind w:firstLine="3906" w:firstLineChars="1860"/>
        <w:jc w:val="right"/>
        <w:rPr>
          <w:rFonts w:ascii="宋体" w:hAnsi="宋体"/>
          <w:snapToGrid w:val="0"/>
          <w:color w:val="auto"/>
          <w:kern w:val="0"/>
          <w:szCs w:val="21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u w:val="single"/>
        </w:rPr>
        <w:t>2021</w:t>
      </w:r>
      <w:r>
        <w:rPr>
          <w:rFonts w:ascii="宋体" w:hAnsi="宋体"/>
          <w:snapToGrid w:val="0"/>
          <w:color w:val="auto"/>
          <w:kern w:val="0"/>
          <w:szCs w:val="21"/>
        </w:rPr>
        <w:t>年</w:t>
      </w:r>
      <w:r>
        <w:rPr>
          <w:rFonts w:hint="eastAsia" w:ascii="宋体" w:hAnsi="宋体"/>
          <w:snapToGrid w:val="0"/>
          <w:color w:val="auto"/>
          <w:kern w:val="0"/>
          <w:szCs w:val="21"/>
          <w:u w:val="single"/>
        </w:rPr>
        <w:t>04</w:t>
      </w:r>
      <w:r>
        <w:rPr>
          <w:rFonts w:ascii="宋体" w:hAnsi="宋体"/>
          <w:snapToGrid w:val="0"/>
          <w:color w:val="auto"/>
          <w:kern w:val="0"/>
          <w:szCs w:val="21"/>
        </w:rPr>
        <w:t>月</w:t>
      </w:r>
      <w:r>
        <w:rPr>
          <w:rFonts w:hint="eastAsia" w:ascii="宋体" w:hAnsi="宋体"/>
          <w:snapToGrid w:val="0"/>
          <w:color w:val="auto"/>
          <w:kern w:val="0"/>
          <w:szCs w:val="21"/>
          <w:u w:val="single"/>
        </w:rPr>
        <w:t>30</w:t>
      </w:r>
      <w:r>
        <w:rPr>
          <w:rFonts w:ascii="宋体" w:hAnsi="宋体"/>
          <w:snapToGrid w:val="0"/>
          <w:color w:val="auto"/>
          <w:kern w:val="0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yriad Pro Light">
    <w:altName w:val="Segoe Print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66BA5"/>
    <w:rsid w:val="354C6F83"/>
    <w:rsid w:val="44C104F7"/>
    <w:rsid w:val="51E6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tabs>
        <w:tab w:val="left" w:leader="dot" w:pos="0"/>
      </w:tabs>
      <w:autoSpaceDE w:val="0"/>
      <w:autoSpaceDN w:val="0"/>
      <w:adjustRightInd w:val="0"/>
      <w:snapToGrid w:val="0"/>
      <w:spacing w:line="360" w:lineRule="auto"/>
      <w:outlineLvl w:val="2"/>
    </w:pPr>
    <w:rPr>
      <w:rFonts w:cs="宋体"/>
      <w:color w:val="000000"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tabs>
        <w:tab w:val="left" w:leader="dot" w:pos="480"/>
      </w:tabs>
      <w:autoSpaceDE w:val="0"/>
      <w:autoSpaceDN w:val="0"/>
      <w:spacing w:after="120" w:afterLines="0" w:line="360" w:lineRule="auto"/>
      <w:textAlignment w:val="baseline"/>
    </w:pPr>
    <w:rPr>
      <w:rFonts w:ascii="Myriad Pro Light" w:hAnsi="Myriad Pro Light"/>
      <w:snapToGrid w:val="0"/>
      <w:kern w:val="0"/>
      <w:sz w:val="24"/>
    </w:rPr>
  </w:style>
  <w:style w:type="paragraph" w:customStyle="1" w:styleId="7">
    <w:name w:val="题目"/>
    <w:basedOn w:val="1"/>
    <w:qFormat/>
    <w:uiPriority w:val="0"/>
    <w:pPr>
      <w:spacing w:before="624" w:beforeLines="200" w:after="312" w:afterLines="100"/>
      <w:jc w:val="center"/>
    </w:pPr>
    <w:rPr>
      <w:rFonts w:ascii="黑体" w:eastAsia="黑体"/>
      <w:color w:val="C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邓海</cp:lastModifiedBy>
  <dcterms:modified xsi:type="dcterms:W3CDTF">2021-04-29T10:39:44Z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804D8F918C834340B034516179A0E85F</vt:lpwstr>
  </property>
</Properties>
</file>