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rPr>
      </w:pPr>
    </w:p>
    <w:p>
      <w:pPr>
        <w:spacing w:line="400" w:lineRule="exact"/>
        <w:jc w:val="center"/>
        <w:rPr>
          <w:rFonts w:ascii="宋体" w:hAnsi="宋体" w:cs="宋体"/>
          <w:b/>
          <w:sz w:val="32"/>
          <w:szCs w:val="32"/>
        </w:rPr>
      </w:pPr>
      <w:r>
        <w:rPr>
          <w:rFonts w:hint="eastAsia" w:ascii="宋体" w:hAnsi="宋体" w:cs="宋体"/>
          <w:b/>
          <w:sz w:val="32"/>
          <w:szCs w:val="32"/>
        </w:rPr>
        <w:t>项目名称：土地资源监测管理平台开发技术服务项目</w:t>
      </w:r>
    </w:p>
    <w:p>
      <w:pPr>
        <w:rPr>
          <w:rFonts w:ascii="宋体" w:hAnsi="宋体" w:cs="宋体"/>
          <w:sz w:val="28"/>
          <w:szCs w:val="28"/>
        </w:rPr>
      </w:pPr>
    </w:p>
    <w:p>
      <w:pPr>
        <w:jc w:val="center"/>
        <w:rPr>
          <w:rFonts w:ascii="宋体" w:hAnsi="宋体" w:cs="宋体"/>
          <w:b/>
          <w:sz w:val="48"/>
          <w:szCs w:val="48"/>
        </w:rPr>
      </w:pPr>
      <w:r>
        <w:rPr>
          <w:rFonts w:hint="eastAsia" w:ascii="宋体" w:hAnsi="宋体" w:cs="宋体"/>
          <w:b/>
          <w:sz w:val="48"/>
          <w:szCs w:val="48"/>
        </w:rPr>
        <w:t>竞</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性</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比</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文</w:t>
      </w:r>
    </w:p>
    <w:p>
      <w:pPr>
        <w:jc w:val="center"/>
        <w:rPr>
          <w:rFonts w:ascii="宋体" w:hAnsi="宋体" w:cs="宋体"/>
          <w:b/>
          <w:sz w:val="48"/>
          <w:szCs w:val="48"/>
        </w:rPr>
      </w:pPr>
    </w:p>
    <w:p>
      <w:pPr>
        <w:jc w:val="center"/>
        <w:rPr>
          <w:rFonts w:ascii="宋体" w:hAnsi="宋体" w:cs="宋体"/>
          <w:b/>
          <w:sz w:val="96"/>
          <w:szCs w:val="72"/>
        </w:rPr>
      </w:pPr>
      <w:r>
        <w:rPr>
          <w:rFonts w:hint="eastAsia" w:ascii="宋体" w:hAnsi="宋体" w:cs="宋体"/>
          <w:b/>
          <w:sz w:val="48"/>
          <w:szCs w:val="48"/>
        </w:rPr>
        <w:t>件</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
    <w:p>
      <w:pPr>
        <w:jc w:val="center"/>
        <w:rPr>
          <w:rFonts w:ascii="宋体" w:hAnsi="宋体" w:cs="宋体"/>
          <w:b/>
          <w:sz w:val="28"/>
          <w:szCs w:val="28"/>
        </w:rPr>
      </w:pPr>
      <w:r>
        <w:rPr>
          <w:rFonts w:hint="eastAsia" w:ascii="宋体" w:hAnsi="宋体" w:cs="宋体"/>
          <w:b/>
          <w:sz w:val="28"/>
          <w:szCs w:val="28"/>
        </w:rPr>
        <w:t>采购人：重庆首讯科技股份有限公司</w:t>
      </w:r>
    </w:p>
    <w:p>
      <w:pPr>
        <w:jc w:val="center"/>
        <w:rPr>
          <w:rFonts w:ascii="宋体" w:hAnsi="宋体" w:cs="宋体"/>
          <w:b/>
          <w:sz w:val="28"/>
          <w:szCs w:val="28"/>
        </w:rPr>
      </w:pPr>
      <w:r>
        <w:rPr>
          <w:rFonts w:hint="eastAsia" w:ascii="宋体" w:hAnsi="宋体" w:cs="宋体"/>
          <w:b/>
          <w:sz w:val="28"/>
          <w:szCs w:val="28"/>
          <w:u w:val="single"/>
        </w:rPr>
        <w:t>2022</w:t>
      </w:r>
      <w:r>
        <w:rPr>
          <w:rFonts w:hint="eastAsia" w:ascii="宋体" w:hAnsi="宋体" w:cs="宋体"/>
          <w:b/>
          <w:sz w:val="28"/>
          <w:szCs w:val="28"/>
        </w:rPr>
        <w:t>年</w:t>
      </w:r>
      <w:r>
        <w:rPr>
          <w:rFonts w:hint="eastAsia" w:ascii="宋体" w:hAnsi="宋体" w:cs="宋体"/>
          <w:b/>
          <w:sz w:val="28"/>
          <w:szCs w:val="28"/>
          <w:u w:val="single"/>
        </w:rPr>
        <w:t xml:space="preserve"> 8 </w:t>
      </w:r>
      <w:r>
        <w:rPr>
          <w:rFonts w:hint="eastAsia" w:ascii="宋体" w:hAnsi="宋体" w:cs="宋体"/>
          <w:b/>
          <w:sz w:val="28"/>
          <w:szCs w:val="28"/>
        </w:rPr>
        <w:t>月</w:t>
      </w:r>
    </w:p>
    <w:p>
      <w:pPr>
        <w:pStyle w:val="2"/>
        <w:jc w:val="center"/>
        <w:rPr>
          <w:rFonts w:ascii="宋体" w:hAnsi="宋体" w:cs="宋体"/>
          <w:szCs w:val="21"/>
        </w:rPr>
      </w:pPr>
      <w:r>
        <w:br w:type="page"/>
      </w:r>
      <w:bookmarkStart w:id="0" w:name="_Toc246996898"/>
      <w:bookmarkStart w:id="1" w:name="_Toc296602400"/>
      <w:bookmarkStart w:id="2" w:name="_Toc507319889"/>
      <w:bookmarkStart w:id="3" w:name="_Toc507428442"/>
      <w:bookmarkStart w:id="4" w:name="_Toc247085669"/>
      <w:r>
        <w:rPr>
          <w:rFonts w:hint="eastAsia" w:ascii="宋体" w:hAnsi="宋体" w:cs="宋体"/>
          <w:b w:val="0"/>
          <w:sz w:val="32"/>
        </w:rPr>
        <w:t>目   录</w:t>
      </w:r>
      <w:bookmarkEnd w:id="0"/>
      <w:bookmarkEnd w:id="1"/>
      <w:bookmarkEnd w:id="2"/>
      <w:bookmarkEnd w:id="3"/>
      <w:bookmarkEnd w:id="4"/>
    </w:p>
    <w:p>
      <w:pPr>
        <w:pStyle w:val="2"/>
        <w:tabs>
          <w:tab w:val="right" w:leader="dot" w:pos="9638"/>
        </w:tabs>
      </w:pPr>
      <w:r>
        <w:rPr>
          <w:rFonts w:hint="eastAsia" w:ascii="宋体" w:hAnsi="宋体" w:cs="宋体"/>
        </w:rPr>
        <w:fldChar w:fldCharType="begin"/>
      </w:r>
      <w:r>
        <w:rPr>
          <w:rFonts w:hint="eastAsia" w:ascii="宋体" w:hAnsi="宋体" w:cs="宋体"/>
        </w:rPr>
        <w:instrText xml:space="preserve"> TOC \o "1-2" \h \z \u </w:instrText>
      </w:r>
      <w:r>
        <w:rPr>
          <w:rFonts w:hint="eastAsia" w:ascii="宋体" w:hAnsi="宋体" w:cs="宋体"/>
        </w:rPr>
        <w:fldChar w:fldCharType="separate"/>
      </w:r>
      <w:r>
        <w:fldChar w:fldCharType="begin"/>
      </w:r>
      <w:r>
        <w:instrText xml:space="preserve"> HYPERLINK \l "_Toc14955" </w:instrText>
      </w:r>
      <w:r>
        <w:fldChar w:fldCharType="separate"/>
      </w:r>
      <w:r>
        <w:rPr>
          <w:rFonts w:hint="eastAsia"/>
        </w:rPr>
        <w:t xml:space="preserve">第一章 </w:t>
      </w:r>
      <w:r>
        <w:rPr>
          <w:rFonts w:hint="eastAsia" w:ascii="宋体" w:hAnsi="宋体" w:cs="宋体"/>
        </w:rPr>
        <w:t>比选公告</w:t>
      </w:r>
      <w:r>
        <w:tab/>
      </w:r>
      <w:r>
        <w:fldChar w:fldCharType="begin"/>
      </w:r>
      <w:r>
        <w:instrText xml:space="preserve"> PAGEREF _Toc14955 \h </w:instrText>
      </w:r>
      <w:r>
        <w:fldChar w:fldCharType="separate"/>
      </w:r>
      <w:r>
        <w:t>1</w:t>
      </w:r>
      <w:r>
        <w:fldChar w:fldCharType="end"/>
      </w:r>
      <w:r>
        <w:fldChar w:fldCharType="end"/>
      </w:r>
    </w:p>
    <w:p>
      <w:pPr>
        <w:pStyle w:val="2"/>
        <w:tabs>
          <w:tab w:val="right" w:leader="dot" w:pos="9638"/>
        </w:tabs>
      </w:pPr>
      <w:r>
        <w:fldChar w:fldCharType="begin"/>
      </w:r>
      <w:r>
        <w:instrText xml:space="preserve"> HYPERLINK \l "_Toc14958" </w:instrText>
      </w:r>
      <w:r>
        <w:fldChar w:fldCharType="separate"/>
      </w:r>
      <w:r>
        <w:rPr>
          <w:rFonts w:hint="eastAsia" w:ascii="宋体" w:hAnsi="宋体" w:cs="宋体"/>
        </w:rPr>
        <w:t>第二章 报价人须知</w:t>
      </w:r>
      <w:r>
        <w:tab/>
      </w:r>
      <w:r>
        <w:fldChar w:fldCharType="begin"/>
      </w:r>
      <w:r>
        <w:instrText xml:space="preserve"> PAGEREF _Toc14958 \h </w:instrText>
      </w:r>
      <w:r>
        <w:fldChar w:fldCharType="separate"/>
      </w:r>
      <w:r>
        <w:t>4</w:t>
      </w:r>
      <w:r>
        <w:fldChar w:fldCharType="end"/>
      </w:r>
      <w:r>
        <w:fldChar w:fldCharType="end"/>
      </w:r>
    </w:p>
    <w:p>
      <w:pPr>
        <w:pStyle w:val="2"/>
        <w:tabs>
          <w:tab w:val="right" w:leader="dot" w:pos="9638"/>
        </w:tabs>
      </w:pPr>
      <w:r>
        <w:fldChar w:fldCharType="begin"/>
      </w:r>
      <w:r>
        <w:instrText xml:space="preserve"> HYPERLINK \l "_Toc9135" </w:instrText>
      </w:r>
      <w:r>
        <w:fldChar w:fldCharType="separate"/>
      </w:r>
      <w:r>
        <w:rPr>
          <w:rFonts w:hint="eastAsia" w:ascii="宋体" w:hAnsi="宋体" w:cs="宋体"/>
        </w:rPr>
        <w:t>第三章 评标办法（综合评估法）</w:t>
      </w:r>
      <w:r>
        <w:tab/>
      </w:r>
      <w:r>
        <w:fldChar w:fldCharType="begin"/>
      </w:r>
      <w:r>
        <w:instrText xml:space="preserve"> PAGEREF _Toc9135 \h </w:instrText>
      </w:r>
      <w:r>
        <w:fldChar w:fldCharType="separate"/>
      </w:r>
      <w:r>
        <w:t>9</w:t>
      </w:r>
      <w:r>
        <w:fldChar w:fldCharType="end"/>
      </w:r>
      <w:r>
        <w:fldChar w:fldCharType="end"/>
      </w:r>
    </w:p>
    <w:p>
      <w:pPr>
        <w:pStyle w:val="2"/>
        <w:tabs>
          <w:tab w:val="right" w:leader="dot" w:pos="9638"/>
        </w:tabs>
      </w:pPr>
      <w:r>
        <w:fldChar w:fldCharType="begin"/>
      </w:r>
      <w:r>
        <w:instrText xml:space="preserve"> HYPERLINK \l "_Toc363" </w:instrText>
      </w:r>
      <w:r>
        <w:fldChar w:fldCharType="separate"/>
      </w:r>
      <w:r>
        <w:rPr>
          <w:rFonts w:hint="eastAsia"/>
        </w:rPr>
        <w:t>第四章 报价说明</w:t>
      </w:r>
      <w:r>
        <w:tab/>
      </w:r>
      <w:r>
        <w:fldChar w:fldCharType="begin"/>
      </w:r>
      <w:r>
        <w:instrText xml:space="preserve"> PAGEREF _Toc363 \h </w:instrText>
      </w:r>
      <w:r>
        <w:fldChar w:fldCharType="separate"/>
      </w:r>
      <w:r>
        <w:t>13</w:t>
      </w:r>
      <w:r>
        <w:fldChar w:fldCharType="end"/>
      </w:r>
      <w:r>
        <w:fldChar w:fldCharType="end"/>
      </w:r>
    </w:p>
    <w:p>
      <w:pPr>
        <w:pStyle w:val="2"/>
        <w:tabs>
          <w:tab w:val="right" w:leader="dot" w:pos="9638"/>
        </w:tabs>
      </w:pPr>
      <w:r>
        <w:fldChar w:fldCharType="begin"/>
      </w:r>
      <w:r>
        <w:instrText xml:space="preserve"> HYPERLINK \l "_Toc1532" </w:instrText>
      </w:r>
      <w:r>
        <w:fldChar w:fldCharType="separate"/>
      </w:r>
      <w:r>
        <w:rPr>
          <w:rFonts w:hint="eastAsia" w:ascii="宋体" w:hAnsi="宋体" w:cs="宋体"/>
        </w:rPr>
        <w:t>第五章  工程量清单</w:t>
      </w:r>
      <w:r>
        <w:tab/>
      </w:r>
      <w:r>
        <w:fldChar w:fldCharType="begin"/>
      </w:r>
      <w:r>
        <w:instrText xml:space="preserve"> PAGEREF _Toc1532 \h </w:instrText>
      </w:r>
      <w:r>
        <w:fldChar w:fldCharType="separate"/>
      </w:r>
      <w:r>
        <w:t>14</w:t>
      </w:r>
      <w:r>
        <w:fldChar w:fldCharType="end"/>
      </w:r>
      <w:r>
        <w:fldChar w:fldCharType="end"/>
      </w:r>
    </w:p>
    <w:p>
      <w:pPr>
        <w:pStyle w:val="2"/>
        <w:tabs>
          <w:tab w:val="right" w:leader="dot" w:pos="9638"/>
        </w:tabs>
      </w:pPr>
      <w:r>
        <w:fldChar w:fldCharType="begin"/>
      </w:r>
      <w:r>
        <w:instrText xml:space="preserve"> HYPERLINK \l "_Toc18088" </w:instrText>
      </w:r>
      <w:r>
        <w:fldChar w:fldCharType="separate"/>
      </w:r>
      <w:r>
        <w:rPr>
          <w:rFonts w:hint="eastAsia" w:ascii="宋体" w:hAnsi="宋体" w:cs="宋体"/>
        </w:rPr>
        <w:t>第六章  图  纸</w:t>
      </w:r>
      <w:r>
        <w:tab/>
      </w:r>
      <w:r>
        <w:fldChar w:fldCharType="begin"/>
      </w:r>
      <w:r>
        <w:instrText xml:space="preserve"> PAGEREF _Toc18088 \h </w:instrText>
      </w:r>
      <w:r>
        <w:fldChar w:fldCharType="separate"/>
      </w:r>
      <w:r>
        <w:t>15</w:t>
      </w:r>
      <w:r>
        <w:fldChar w:fldCharType="end"/>
      </w:r>
      <w:r>
        <w:fldChar w:fldCharType="end"/>
      </w:r>
    </w:p>
    <w:p>
      <w:pPr>
        <w:pStyle w:val="2"/>
        <w:tabs>
          <w:tab w:val="right" w:leader="dot" w:pos="9638"/>
        </w:tabs>
      </w:pPr>
      <w:r>
        <w:fldChar w:fldCharType="begin"/>
      </w:r>
      <w:r>
        <w:instrText xml:space="preserve"> HYPERLINK \l "_Toc25212" </w:instrText>
      </w:r>
      <w:r>
        <w:fldChar w:fldCharType="separate"/>
      </w:r>
      <w:r>
        <w:rPr>
          <w:rFonts w:hint="eastAsia" w:ascii="宋体" w:hAnsi="宋体" w:cs="宋体"/>
        </w:rPr>
        <w:t>第七章 技术标准和工作要求</w:t>
      </w:r>
      <w:r>
        <w:tab/>
      </w:r>
      <w:r>
        <w:fldChar w:fldCharType="begin"/>
      </w:r>
      <w:r>
        <w:instrText xml:space="preserve"> PAGEREF _Toc25212 \h </w:instrText>
      </w:r>
      <w:r>
        <w:fldChar w:fldCharType="separate"/>
      </w:r>
      <w:r>
        <w:t>16</w:t>
      </w:r>
      <w:r>
        <w:fldChar w:fldCharType="end"/>
      </w:r>
      <w:r>
        <w:fldChar w:fldCharType="end"/>
      </w:r>
    </w:p>
    <w:p>
      <w:pPr>
        <w:pStyle w:val="2"/>
        <w:tabs>
          <w:tab w:val="right" w:leader="dot" w:pos="9638"/>
        </w:tabs>
      </w:pPr>
      <w:r>
        <w:fldChar w:fldCharType="begin"/>
      </w:r>
      <w:r>
        <w:instrText xml:space="preserve"> HYPERLINK \l "_Toc23208" </w:instrText>
      </w:r>
      <w:r>
        <w:fldChar w:fldCharType="separate"/>
      </w:r>
      <w:r>
        <w:rPr>
          <w:rFonts w:hint="eastAsia" w:ascii="宋体" w:hAnsi="宋体" w:cs="宋体"/>
        </w:rPr>
        <w:t>第八章  工程量清单计量规则</w:t>
      </w:r>
      <w:r>
        <w:tab/>
      </w:r>
      <w:r>
        <w:fldChar w:fldCharType="begin"/>
      </w:r>
      <w:r>
        <w:instrText xml:space="preserve"> PAGEREF _Toc23208 \h </w:instrText>
      </w:r>
      <w:r>
        <w:fldChar w:fldCharType="separate"/>
      </w:r>
      <w:r>
        <w:t>19</w:t>
      </w:r>
      <w:r>
        <w:fldChar w:fldCharType="end"/>
      </w:r>
      <w:r>
        <w:fldChar w:fldCharType="end"/>
      </w:r>
    </w:p>
    <w:p>
      <w:pPr>
        <w:pStyle w:val="2"/>
        <w:tabs>
          <w:tab w:val="right" w:leader="dot" w:pos="9638"/>
        </w:tabs>
      </w:pPr>
      <w:r>
        <w:fldChar w:fldCharType="begin"/>
      </w:r>
      <w:r>
        <w:instrText xml:space="preserve"> HYPERLINK \l "_Toc22294" </w:instrText>
      </w:r>
      <w:r>
        <w:fldChar w:fldCharType="separate"/>
      </w:r>
      <w:r>
        <w:rPr>
          <w:rFonts w:hint="eastAsia" w:ascii="宋体" w:hAnsi="宋体" w:cs="宋体"/>
        </w:rPr>
        <w:t>第九章  竞争性比选响应文件格式</w:t>
      </w:r>
      <w:r>
        <w:tab/>
      </w:r>
      <w:r>
        <w:fldChar w:fldCharType="begin"/>
      </w:r>
      <w:r>
        <w:instrText xml:space="preserve"> PAGEREF _Toc22294 \h </w:instrText>
      </w:r>
      <w:r>
        <w:fldChar w:fldCharType="separate"/>
      </w:r>
      <w:r>
        <w:t>20</w:t>
      </w:r>
      <w:r>
        <w:fldChar w:fldCharType="end"/>
      </w:r>
      <w:r>
        <w:fldChar w:fldCharType="end"/>
      </w:r>
    </w:p>
    <w:p>
      <w:pPr>
        <w:pStyle w:val="33"/>
        <w:tabs>
          <w:tab w:val="right" w:leader="dot" w:pos="9628"/>
        </w:tabs>
        <w:rPr>
          <w:rFonts w:ascii="宋体" w:hAnsi="宋体" w:cs="宋体"/>
          <w:b/>
          <w:bCs/>
          <w:caps/>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rPr>
        <w:fldChar w:fldCharType="end"/>
      </w:r>
    </w:p>
    <w:p>
      <w:pPr>
        <w:pStyle w:val="3"/>
        <w:numPr>
          <w:ilvl w:val="0"/>
          <w:numId w:val="2"/>
        </w:numPr>
        <w:spacing w:before="0" w:after="0" w:line="360" w:lineRule="auto"/>
        <w:jc w:val="center"/>
      </w:pPr>
      <w:bookmarkStart w:id="5" w:name="_Toc10533"/>
      <w:bookmarkStart w:id="6" w:name="_Toc14955"/>
      <w:r>
        <w:rPr>
          <w:rFonts w:hint="eastAsia" w:ascii="宋体" w:hAnsi="宋体" w:cs="宋体"/>
        </w:rPr>
        <w:t>比选公告</w:t>
      </w:r>
      <w:bookmarkEnd w:id="5"/>
      <w:bookmarkEnd w:id="6"/>
    </w:p>
    <w:p>
      <w:pPr>
        <w:spacing w:line="440" w:lineRule="exact"/>
        <w:rPr>
          <w:rFonts w:ascii="宋体" w:hAnsi="宋体" w:cs="宋体"/>
          <w:b/>
          <w:sz w:val="28"/>
          <w:szCs w:val="28"/>
        </w:rPr>
      </w:pPr>
      <w:bookmarkStart w:id="7" w:name="OLE_LINK3"/>
      <w:bookmarkStart w:id="8" w:name="OLE_LINK2"/>
    </w:p>
    <w:p>
      <w:pPr>
        <w:pStyle w:val="4"/>
        <w:spacing w:before="0" w:after="0" w:line="360" w:lineRule="auto"/>
        <w:rPr>
          <w:rFonts w:ascii="宋体" w:hAnsi="宋体" w:eastAsia="宋体" w:cs="宋体"/>
        </w:rPr>
      </w:pPr>
      <w:bookmarkStart w:id="9" w:name="_Toc15945"/>
      <w:bookmarkStart w:id="10" w:name="_Toc507319891"/>
      <w:bookmarkStart w:id="11" w:name="_Toc6549"/>
      <w:bookmarkStart w:id="12" w:name="_Toc246996158"/>
      <w:bookmarkStart w:id="13" w:name="_Toc11329213"/>
      <w:bookmarkStart w:id="14" w:name="_Toc19148"/>
      <w:bookmarkStart w:id="15" w:name="_Toc247085672"/>
      <w:bookmarkStart w:id="16" w:name="_Toc10076"/>
      <w:bookmarkStart w:id="17" w:name="_Toc144974480"/>
      <w:bookmarkStart w:id="18" w:name="_Toc179632528"/>
      <w:bookmarkStart w:id="19" w:name="_Toc152042288"/>
      <w:bookmarkStart w:id="20" w:name="_Toc24874"/>
      <w:bookmarkStart w:id="21" w:name="_Toc246996901"/>
      <w:bookmarkStart w:id="22" w:name="_Toc152045512"/>
      <w:r>
        <w:rPr>
          <w:rFonts w:hint="eastAsia" w:ascii="宋体" w:hAnsi="宋体" w:eastAsia="宋体" w:cs="宋体"/>
        </w:rPr>
        <w:t>1. 比选条件</w:t>
      </w:r>
      <w:bookmarkEnd w:id="9"/>
      <w:bookmarkEnd w:id="10"/>
      <w:bookmarkEnd w:id="11"/>
      <w:bookmarkEnd w:id="12"/>
      <w:bookmarkEnd w:id="13"/>
      <w:bookmarkEnd w:id="14"/>
      <w:bookmarkEnd w:id="15"/>
      <w:bookmarkEnd w:id="16"/>
      <w:bookmarkEnd w:id="17"/>
      <w:bookmarkEnd w:id="18"/>
      <w:bookmarkEnd w:id="19"/>
      <w:bookmarkEnd w:id="20"/>
      <w:bookmarkEnd w:id="21"/>
      <w:bookmarkEnd w:id="22"/>
    </w:p>
    <w:p>
      <w:pPr>
        <w:spacing w:line="400" w:lineRule="exact"/>
        <w:jc w:val="left"/>
        <w:rPr>
          <w:rFonts w:ascii="宋体" w:hAnsi="宋体" w:cs="宋体"/>
          <w:szCs w:val="21"/>
        </w:rPr>
      </w:pPr>
      <w:r>
        <w:rPr>
          <w:rFonts w:hint="eastAsia" w:ascii="宋体" w:hAnsi="宋体" w:cs="宋体"/>
          <w:szCs w:val="21"/>
        </w:rPr>
        <w:t>　　本竞争性比选项目土地资源监测管理平台开发技术服务项目的采购，采购人为</w:t>
      </w:r>
      <w:r>
        <w:rPr>
          <w:rFonts w:hint="eastAsia" w:ascii="宋体" w:hAnsi="宋体" w:cs="宋体"/>
          <w:szCs w:val="21"/>
          <w:u w:val="single"/>
        </w:rPr>
        <w:t xml:space="preserve"> 重庆首讯科技股份有限公司 </w:t>
      </w:r>
      <w:r>
        <w:rPr>
          <w:rFonts w:hint="eastAsia" w:ascii="宋体" w:hAnsi="宋体" w:cs="宋体"/>
          <w:szCs w:val="21"/>
        </w:rPr>
        <w:t>，该项目已具备比选条件，现对该项目进行竞争性比选。</w:t>
      </w:r>
    </w:p>
    <w:p>
      <w:pPr>
        <w:pStyle w:val="4"/>
        <w:spacing w:before="120" w:after="0" w:line="360" w:lineRule="auto"/>
        <w:rPr>
          <w:rFonts w:ascii="宋体" w:hAnsi="宋体" w:eastAsia="宋体" w:cs="宋体"/>
        </w:rPr>
      </w:pPr>
      <w:bookmarkStart w:id="23" w:name="_Toc246996159"/>
      <w:bookmarkStart w:id="24" w:name="_Toc144974481"/>
      <w:bookmarkStart w:id="25" w:name="_Toc152045513"/>
      <w:bookmarkStart w:id="26" w:name="_Toc507319892"/>
      <w:bookmarkStart w:id="27" w:name="_Toc21343"/>
      <w:bookmarkStart w:id="28" w:name="_Toc18109"/>
      <w:bookmarkStart w:id="29" w:name="_Toc11329214"/>
      <w:bookmarkStart w:id="30" w:name="_Toc246996902"/>
      <w:bookmarkStart w:id="31" w:name="_Toc179632529"/>
      <w:bookmarkStart w:id="32" w:name="_Toc152042289"/>
      <w:bookmarkStart w:id="33" w:name="_Toc247085673"/>
      <w:bookmarkStart w:id="34" w:name="_Toc10321"/>
      <w:bookmarkStart w:id="35" w:name="_Toc10952"/>
      <w:bookmarkStart w:id="36" w:name="_Toc9168"/>
      <w:r>
        <w:rPr>
          <w:rFonts w:hint="eastAsia" w:ascii="宋体" w:hAnsi="宋体" w:eastAsia="宋体" w:cs="宋体"/>
        </w:rPr>
        <w:t>2. 项目概况与比选范围</w:t>
      </w:r>
      <w:bookmarkEnd w:id="23"/>
      <w:bookmarkEnd w:id="24"/>
      <w:bookmarkEnd w:id="25"/>
      <w:bookmarkEnd w:id="26"/>
      <w:bookmarkEnd w:id="27"/>
      <w:bookmarkEnd w:id="28"/>
      <w:bookmarkEnd w:id="29"/>
      <w:bookmarkEnd w:id="30"/>
      <w:bookmarkEnd w:id="31"/>
      <w:bookmarkEnd w:id="32"/>
      <w:bookmarkEnd w:id="33"/>
      <w:bookmarkEnd w:id="34"/>
      <w:bookmarkEnd w:id="35"/>
      <w:bookmarkEnd w:id="36"/>
    </w:p>
    <w:p>
      <w:pPr>
        <w:spacing w:line="360" w:lineRule="auto"/>
        <w:ind w:firstLine="420" w:firstLineChars="200"/>
        <w:rPr>
          <w:rFonts w:ascii="宋体" w:hAnsi="宋体" w:cs="宋体"/>
        </w:rPr>
      </w:pPr>
      <w:bookmarkStart w:id="37" w:name="_Toc446247226"/>
      <w:r>
        <w:rPr>
          <w:rFonts w:hint="eastAsia" w:ascii="宋体" w:hAnsi="宋体" w:cs="宋体"/>
        </w:rPr>
        <w:t>2.1 项目地点：</w:t>
      </w:r>
      <w:bookmarkEnd w:id="37"/>
      <w:r>
        <w:rPr>
          <w:rFonts w:hint="eastAsia" w:ascii="宋体" w:hAnsi="宋体" w:cs="宋体"/>
        </w:rPr>
        <w:t>重庆首讯科技股份有限公司。</w:t>
      </w:r>
    </w:p>
    <w:p>
      <w:pPr>
        <w:pStyle w:val="12"/>
        <w:adjustRightInd w:val="0"/>
        <w:spacing w:line="400" w:lineRule="exact"/>
        <w:rPr>
          <w:rFonts w:ascii="宋体" w:hAnsi="宋体" w:cs="宋体"/>
          <w:szCs w:val="21"/>
        </w:rPr>
      </w:pPr>
      <w:r>
        <w:rPr>
          <w:rFonts w:hint="eastAsia" w:ascii="宋体" w:hAnsi="宋体" w:cs="宋体"/>
          <w:szCs w:val="21"/>
        </w:rPr>
        <w:t>2.2 服务内容：本项目为土地资源监测管理平台开发技术服务项目，主要包括</w:t>
      </w:r>
    </w:p>
    <w:p>
      <w:pPr>
        <w:pStyle w:val="12"/>
        <w:adjustRightInd w:val="0"/>
        <w:spacing w:line="400" w:lineRule="exact"/>
        <w:rPr>
          <w:rFonts w:ascii="宋体" w:hAnsi="宋体" w:cs="宋体"/>
          <w:szCs w:val="21"/>
        </w:rPr>
      </w:pPr>
      <w:r>
        <w:rPr>
          <w:rFonts w:hint="eastAsia" w:ascii="宋体" w:hAnsi="宋体" w:cs="宋体"/>
          <w:szCs w:val="21"/>
        </w:rPr>
        <w:t>（一）项目背景</w:t>
      </w:r>
    </w:p>
    <w:p>
      <w:pPr>
        <w:pStyle w:val="12"/>
        <w:adjustRightInd w:val="0"/>
        <w:spacing w:line="400" w:lineRule="exact"/>
        <w:rPr>
          <w:rFonts w:ascii="宋体" w:hAnsi="宋体" w:cs="宋体"/>
          <w:szCs w:val="21"/>
        </w:rPr>
      </w:pPr>
      <w:r>
        <w:rPr>
          <w:rFonts w:hint="eastAsia" w:ascii="宋体" w:hAnsi="宋体" w:cs="宋体"/>
          <w:szCs w:val="21"/>
        </w:rPr>
        <w:t>重庆高速公路集团有限公司建成并运营高速公路2283公里，占全市高速路网总里程的70%，在高速公里沿线重庆高速集团共有1100多宗存量土地。现有土地资源存在无证地未批先建、有证地多次转手、土地违规违建的情况，现有土地数据存在杂乱、缺失、数据利用不充分，难以摸清存量用地现状等问题，严重影响了高速集团土地的监测监管效率。</w:t>
      </w:r>
    </w:p>
    <w:p>
      <w:pPr>
        <w:pStyle w:val="12"/>
        <w:adjustRightInd w:val="0"/>
        <w:spacing w:line="400" w:lineRule="exact"/>
        <w:rPr>
          <w:rFonts w:ascii="宋体" w:hAnsi="宋体" w:cs="宋体"/>
          <w:szCs w:val="21"/>
        </w:rPr>
      </w:pPr>
      <w:r>
        <w:rPr>
          <w:rFonts w:hint="eastAsia" w:ascii="宋体" w:hAnsi="宋体" w:cs="宋体"/>
          <w:szCs w:val="21"/>
        </w:rPr>
        <w:t>原有高速集团储备用地监管系统存在数据更新慢、管理功能滞后等问题，无法实现存量土地数据的实时动态更新，信息化程度较低，难以满足目前土地信息化监测监管需求。面对新的形势和任务，亟需利用新的技术架构体系，对原有高速集团储备用地监管系统进行重构和升级改造，对土地的开发、租赁情况进行全流程监管，对土地的违法情况进行动态监测，提高重庆高速公路集团土地监测监管效率，提高土地资源利用率，为土地管理提供信息支持和决策依据，提升重庆高速公路集团土地管理的科学化和规范化水平。</w:t>
      </w:r>
    </w:p>
    <w:p>
      <w:pPr>
        <w:pStyle w:val="12"/>
        <w:adjustRightInd w:val="0"/>
        <w:spacing w:line="400" w:lineRule="exact"/>
        <w:rPr>
          <w:rFonts w:ascii="宋体" w:hAnsi="宋体" w:cs="宋体"/>
          <w:szCs w:val="21"/>
        </w:rPr>
      </w:pPr>
      <w:r>
        <w:rPr>
          <w:rFonts w:hint="eastAsia" w:ascii="宋体" w:hAnsi="宋体" w:cs="宋体"/>
          <w:szCs w:val="21"/>
        </w:rPr>
        <w:t>（2）总体需求</w:t>
      </w:r>
    </w:p>
    <w:p>
      <w:pPr>
        <w:pStyle w:val="12"/>
        <w:adjustRightInd w:val="0"/>
        <w:spacing w:line="400" w:lineRule="exact"/>
        <w:rPr>
          <w:rFonts w:ascii="宋体" w:hAnsi="宋体" w:cs="宋体"/>
          <w:szCs w:val="21"/>
        </w:rPr>
      </w:pPr>
      <w:r>
        <w:rPr>
          <w:rFonts w:hint="eastAsia" w:ascii="宋体" w:hAnsi="宋体" w:cs="宋体"/>
          <w:szCs w:val="21"/>
        </w:rPr>
        <w:t>结合重庆高速公路集团对土地信息化监测监管的应用需求，充分运用大数据、遥感、地理信息系统等新技术，利用新的技术架构体系，建设土地一张图、土地资源现状监测、移动端巡查、综合服务支撑为一体的信息化监管系统，提升储备用地监管效能，保障集团土地资产不受侵犯。</w:t>
      </w:r>
    </w:p>
    <w:p>
      <w:pPr>
        <w:pStyle w:val="12"/>
        <w:adjustRightInd w:val="0"/>
        <w:spacing w:line="400" w:lineRule="exact"/>
        <w:rPr>
          <w:rFonts w:ascii="宋体" w:hAnsi="宋体" w:cs="宋体"/>
          <w:szCs w:val="21"/>
        </w:rPr>
      </w:pPr>
      <w:r>
        <w:rPr>
          <w:rFonts w:hint="eastAsia" w:ascii="宋体" w:hAnsi="宋体" w:cs="宋体"/>
          <w:szCs w:val="21"/>
        </w:rPr>
        <w:t>具体参数详见“第七章  技术标准和工作要求”。</w:t>
      </w:r>
    </w:p>
    <w:p>
      <w:pPr>
        <w:pStyle w:val="12"/>
        <w:adjustRightInd w:val="0"/>
        <w:spacing w:line="400" w:lineRule="exact"/>
        <w:rPr>
          <w:rFonts w:ascii="宋体" w:hAnsi="宋体" w:cs="宋体"/>
          <w:szCs w:val="21"/>
        </w:rPr>
      </w:pPr>
      <w:r>
        <w:rPr>
          <w:rFonts w:hint="eastAsia" w:ascii="宋体" w:hAnsi="宋体" w:cs="宋体"/>
          <w:szCs w:val="21"/>
        </w:rPr>
        <w:t>2.3 实施期：</w:t>
      </w:r>
      <w:r>
        <w:rPr>
          <w:rFonts w:hint="eastAsia" w:ascii="宋体" w:hAnsi="宋体" w:cs="宋体"/>
          <w:szCs w:val="21"/>
          <w:highlight w:val="none"/>
        </w:rPr>
        <w:t>2022年12月31日前完成。</w:t>
      </w:r>
    </w:p>
    <w:p>
      <w:pPr>
        <w:pStyle w:val="4"/>
        <w:spacing w:before="120" w:after="0" w:line="360" w:lineRule="auto"/>
        <w:rPr>
          <w:rFonts w:ascii="宋体" w:hAnsi="宋体" w:eastAsia="宋体" w:cs="宋体"/>
        </w:rPr>
      </w:pPr>
      <w:bookmarkStart w:id="38" w:name="_Toc179632530"/>
      <w:bookmarkStart w:id="39" w:name="_Toc26889"/>
      <w:bookmarkStart w:id="40" w:name="_Toc11329215"/>
      <w:bookmarkStart w:id="41" w:name="_Toc30356"/>
      <w:bookmarkStart w:id="42" w:name="_Toc247085674"/>
      <w:bookmarkStart w:id="43" w:name="_Toc507319893"/>
      <w:bookmarkStart w:id="44" w:name="_Toc152042290"/>
      <w:bookmarkStart w:id="45" w:name="_Toc10171"/>
      <w:bookmarkStart w:id="46" w:name="_Toc7065"/>
      <w:bookmarkStart w:id="47" w:name="_Toc246996160"/>
      <w:bookmarkStart w:id="48" w:name="_Toc8744"/>
      <w:bookmarkStart w:id="49" w:name="_Toc152045514"/>
      <w:bookmarkStart w:id="50" w:name="_Toc144974482"/>
      <w:bookmarkStart w:id="51" w:name="_Toc246996903"/>
      <w:r>
        <w:rPr>
          <w:rFonts w:hint="eastAsia" w:ascii="宋体" w:hAnsi="宋体" w:eastAsia="宋体" w:cs="宋体"/>
        </w:rPr>
        <w:t>3. 报价人资格要求</w:t>
      </w:r>
      <w:bookmarkEnd w:id="38"/>
      <w:bookmarkEnd w:id="39"/>
      <w:bookmarkEnd w:id="40"/>
      <w:bookmarkEnd w:id="41"/>
      <w:bookmarkEnd w:id="42"/>
      <w:bookmarkEnd w:id="43"/>
      <w:bookmarkEnd w:id="44"/>
      <w:bookmarkEnd w:id="45"/>
      <w:bookmarkEnd w:id="46"/>
      <w:bookmarkEnd w:id="47"/>
      <w:bookmarkEnd w:id="48"/>
      <w:bookmarkEnd w:id="49"/>
      <w:bookmarkEnd w:id="50"/>
      <w:bookmarkEnd w:id="51"/>
    </w:p>
    <w:p>
      <w:pPr>
        <w:spacing w:line="400" w:lineRule="exact"/>
        <w:ind w:firstLine="420" w:firstLineChars="200"/>
        <w:rPr>
          <w:rFonts w:ascii="宋体" w:hAnsi="宋体" w:cs="宋体"/>
          <w:szCs w:val="21"/>
          <w:shd w:val="clear" w:color="auto" w:fill="FFFFFF"/>
        </w:rPr>
      </w:pPr>
      <w:bookmarkStart w:id="52" w:name="_Toc246996161"/>
      <w:bookmarkStart w:id="53" w:name="_Toc152045515"/>
      <w:bookmarkStart w:id="54" w:name="_Toc179632531"/>
      <w:bookmarkStart w:id="55" w:name="_Toc152042291"/>
      <w:bookmarkStart w:id="56" w:name="_Toc246996904"/>
      <w:bookmarkStart w:id="57" w:name="_Toc144974483"/>
      <w:bookmarkStart w:id="58" w:name="_Toc247085675"/>
      <w:r>
        <w:rPr>
          <w:rFonts w:hint="eastAsia" w:ascii="宋体" w:hAnsi="宋体" w:cs="宋体"/>
          <w:szCs w:val="21"/>
          <w:shd w:val="clear" w:color="auto" w:fill="FFFFFF"/>
        </w:rPr>
        <w:t>3.1 资质要求：</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w:t>
      </w:r>
      <w:r>
        <w:rPr>
          <w:rFonts w:hint="eastAsia" w:ascii="宋体" w:hAnsi="宋体" w:cs="宋体"/>
          <w:szCs w:val="21"/>
          <w:highlight w:val="none"/>
          <w:shd w:val="clear" w:color="auto" w:fill="FFFFFF"/>
          <w:lang w:val="en-US" w:eastAsia="zh-CN"/>
        </w:rPr>
        <w:t>1</w:t>
      </w:r>
      <w:r>
        <w:rPr>
          <w:rFonts w:hint="eastAsia" w:ascii="宋体" w:hAnsi="宋体" w:cs="宋体"/>
          <w:szCs w:val="21"/>
          <w:highlight w:val="none"/>
          <w:shd w:val="clear" w:color="auto" w:fill="FFFFFF"/>
        </w:rPr>
        <w:t>）具有有效的营业执照或事业单位法人证书（业务范围至少包含其中1项：计算机软硬件开发、地理空间信息科学研究、城乡规划地理空间信息服务、计算机信息系统集成、生产和销售或技术咨询服务）；</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w:t>
      </w:r>
      <w:r>
        <w:rPr>
          <w:rFonts w:hint="eastAsia" w:ascii="宋体" w:hAnsi="宋体" w:cs="宋体"/>
          <w:szCs w:val="21"/>
          <w:highlight w:val="none"/>
          <w:shd w:val="clear" w:color="auto" w:fill="FFFFFF"/>
          <w:lang w:val="en-US" w:eastAsia="zh-CN"/>
        </w:rPr>
        <w:t>2</w:t>
      </w:r>
      <w:r>
        <w:rPr>
          <w:rFonts w:hint="eastAsia" w:ascii="宋体" w:hAnsi="宋体" w:cs="宋体"/>
          <w:szCs w:val="21"/>
          <w:highlight w:val="none"/>
          <w:shd w:val="clear" w:color="auto" w:fill="FFFFFF"/>
        </w:rPr>
        <w:t>）需提供2020年1月1日至本竞争性比选函发出之日期间至少1个</w:t>
      </w:r>
      <w:r>
        <w:rPr>
          <w:rFonts w:hint="default" w:ascii="宋体" w:hAnsi="宋体" w:cs="宋体"/>
          <w:szCs w:val="21"/>
          <w:highlight w:val="none"/>
          <w:shd w:val="clear" w:color="auto" w:fill="FFFFFF"/>
        </w:rPr>
        <w:t>60</w:t>
      </w:r>
      <w:r>
        <w:rPr>
          <w:rFonts w:hint="eastAsia" w:ascii="宋体" w:hAnsi="宋体" w:cs="宋体"/>
          <w:szCs w:val="21"/>
          <w:highlight w:val="none"/>
          <w:shd w:val="clear" w:color="auto" w:fill="FFFFFF"/>
        </w:rPr>
        <w:t>万元以上类似软件开发项目相关业绩（以合同签订时间为准）。</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3.2 本次比选不接受联合体报价。</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3.3与采购人存在利害关系可能影响比选公正性的法人、其他组织或者个人，不得参加本项目报价；单位负责人为同一人或者存在控股、管理关系的不同单位，不得同时参加本项目报价，否则均按无效报价处理。</w:t>
      </w:r>
    </w:p>
    <w:p>
      <w:pPr>
        <w:pStyle w:val="4"/>
        <w:spacing w:before="120" w:after="0" w:line="400" w:lineRule="exact"/>
        <w:rPr>
          <w:rFonts w:ascii="宋体" w:hAnsi="宋体" w:eastAsia="宋体" w:cs="宋体"/>
        </w:rPr>
      </w:pPr>
      <w:bookmarkStart w:id="59" w:name="_Toc20193"/>
      <w:bookmarkStart w:id="60" w:name="_Toc25619"/>
      <w:bookmarkStart w:id="61" w:name="_Toc11329216"/>
      <w:bookmarkStart w:id="62" w:name="_Toc12460"/>
      <w:bookmarkStart w:id="63" w:name="_Toc7266"/>
      <w:bookmarkStart w:id="64" w:name="_Toc14361"/>
      <w:bookmarkStart w:id="65" w:name="_Toc507319894"/>
      <w:r>
        <w:rPr>
          <w:rFonts w:hint="eastAsia" w:ascii="宋体" w:hAnsi="宋体" w:eastAsia="宋体" w:cs="宋体"/>
        </w:rPr>
        <w:t>4. 比选文件的获取</w:t>
      </w:r>
      <w:bookmarkEnd w:id="52"/>
      <w:bookmarkEnd w:id="53"/>
      <w:bookmarkEnd w:id="54"/>
      <w:bookmarkEnd w:id="55"/>
      <w:bookmarkEnd w:id="56"/>
      <w:bookmarkEnd w:id="57"/>
      <w:bookmarkEnd w:id="58"/>
      <w:bookmarkEnd w:id="59"/>
      <w:bookmarkEnd w:id="60"/>
      <w:bookmarkEnd w:id="61"/>
      <w:bookmarkEnd w:id="62"/>
      <w:bookmarkEnd w:id="63"/>
      <w:bookmarkEnd w:id="64"/>
      <w:bookmarkEnd w:id="65"/>
    </w:p>
    <w:p>
      <w:pPr>
        <w:spacing w:line="360" w:lineRule="auto"/>
        <w:ind w:firstLine="420" w:firstLineChars="200"/>
        <w:rPr>
          <w:rFonts w:ascii="宋体" w:hAnsi="宋体"/>
          <w:szCs w:val="21"/>
        </w:rPr>
      </w:pPr>
      <w:bookmarkStart w:id="66" w:name="_Toc507319895"/>
      <w:bookmarkStart w:id="67" w:name="_Toc246996162"/>
      <w:bookmarkStart w:id="68" w:name="_Toc144974484"/>
      <w:bookmarkStart w:id="69" w:name="_Toc152042292"/>
      <w:bookmarkStart w:id="70" w:name="_Toc11329217"/>
      <w:bookmarkStart w:id="71" w:name="_Toc179632532"/>
      <w:bookmarkStart w:id="72" w:name="_Toc247085676"/>
      <w:bookmarkStart w:id="73" w:name="_Toc152045516"/>
      <w:bookmarkStart w:id="74" w:name="_Toc246996905"/>
      <w:r>
        <w:rPr>
          <w:rFonts w:ascii="宋体" w:hAnsi="宋体"/>
          <w:szCs w:val="21"/>
        </w:rPr>
        <w:t>凡愿意参加的潜在</w:t>
      </w:r>
      <w:r>
        <w:rPr>
          <w:rFonts w:hint="eastAsia" w:ascii="宋体" w:hAnsi="宋体"/>
          <w:szCs w:val="21"/>
        </w:rPr>
        <w:t>报价</w:t>
      </w:r>
      <w:r>
        <w:rPr>
          <w:rFonts w:ascii="宋体" w:hAnsi="宋体"/>
          <w:szCs w:val="21"/>
        </w:rPr>
        <w:t>人，</w:t>
      </w:r>
      <w:r>
        <w:rPr>
          <w:rFonts w:hint="eastAsia" w:ascii="宋体" w:hAnsi="宋体"/>
          <w:szCs w:val="21"/>
        </w:rPr>
        <w:t>在</w:t>
      </w:r>
      <w:r>
        <w:rPr>
          <w:rFonts w:hint="eastAsia" w:ascii="宋体" w:hAnsi="宋体"/>
          <w:szCs w:val="21"/>
          <w:u w:val="single"/>
        </w:rPr>
        <w:t>2022</w:t>
      </w:r>
      <w:r>
        <w:rPr>
          <w:rFonts w:hint="eastAsia" w:ascii="宋体" w:hAnsi="宋体"/>
          <w:szCs w:val="21"/>
        </w:rPr>
        <w:t>年</w:t>
      </w:r>
      <w:r>
        <w:rPr>
          <w:rFonts w:hint="eastAsia" w:ascii="宋体" w:hAnsi="宋体"/>
          <w:szCs w:val="21"/>
          <w:u w:val="single"/>
        </w:rPr>
        <w:t xml:space="preserve"> 9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5</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日上午</w:t>
      </w:r>
      <w:r>
        <w:rPr>
          <w:rFonts w:hint="eastAsia" w:ascii="宋体" w:hAnsi="宋体"/>
          <w:szCs w:val="21"/>
          <w:u w:val="single"/>
        </w:rPr>
        <w:t>11:00</w:t>
      </w:r>
      <w:r>
        <w:rPr>
          <w:rFonts w:hint="eastAsia" w:ascii="宋体" w:hAnsi="宋体"/>
          <w:szCs w:val="21"/>
        </w:rPr>
        <w:t>前在重庆高速集团官网平台上获取报价文件</w:t>
      </w:r>
      <w:bookmarkStart w:id="282" w:name="_GoBack"/>
      <w:bookmarkEnd w:id="282"/>
      <w:r>
        <w:rPr>
          <w:rFonts w:hint="eastAsia" w:ascii="宋体" w:hAnsi="宋体"/>
          <w:szCs w:val="21"/>
        </w:rPr>
        <w:t>，各报价人应随时关注网上发布的竞争性比选文件答疑、补遗、澄清等文件内容，不管报价人是否下载，均视为已知晓竞争性比选文件的全部内容和有关事宜。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rPr>
      </w:pPr>
      <w:bookmarkStart w:id="75" w:name="_Toc17832"/>
      <w:bookmarkStart w:id="76" w:name="_Toc31493"/>
      <w:bookmarkStart w:id="77" w:name="_Toc16686"/>
      <w:bookmarkStart w:id="78" w:name="_Toc9131"/>
      <w:bookmarkStart w:id="79" w:name="_Toc3064"/>
      <w:r>
        <w:rPr>
          <w:rFonts w:hint="eastAsia" w:ascii="宋体" w:hAnsi="宋体" w:eastAsia="宋体" w:cs="宋体"/>
        </w:rPr>
        <w:t>5. 竞争性比选响应文件的递交</w:t>
      </w:r>
      <w:bookmarkEnd w:id="66"/>
      <w:bookmarkEnd w:id="67"/>
      <w:bookmarkEnd w:id="68"/>
      <w:bookmarkEnd w:id="69"/>
      <w:bookmarkEnd w:id="70"/>
      <w:bookmarkEnd w:id="71"/>
      <w:bookmarkEnd w:id="72"/>
      <w:bookmarkEnd w:id="73"/>
      <w:bookmarkEnd w:id="74"/>
      <w:r>
        <w:rPr>
          <w:rFonts w:hint="eastAsia" w:ascii="宋体" w:hAnsi="宋体" w:eastAsia="宋体" w:cs="宋体"/>
        </w:rPr>
        <w:t>及相关事宜</w:t>
      </w:r>
      <w:bookmarkEnd w:id="75"/>
      <w:bookmarkEnd w:id="76"/>
      <w:bookmarkEnd w:id="77"/>
      <w:bookmarkEnd w:id="78"/>
      <w:bookmarkEnd w:id="79"/>
    </w:p>
    <w:p>
      <w:pPr>
        <w:tabs>
          <w:tab w:val="left" w:pos="360"/>
        </w:tabs>
        <w:spacing w:line="400" w:lineRule="exact"/>
        <w:ind w:firstLine="420" w:firstLineChars="200"/>
        <w:rPr>
          <w:rFonts w:ascii="宋体" w:hAnsi="宋体" w:cs="宋体"/>
          <w:szCs w:val="21"/>
        </w:rPr>
      </w:pPr>
      <w:r>
        <w:rPr>
          <w:rFonts w:hint="eastAsia" w:ascii="宋体" w:hAnsi="宋体" w:cs="宋体"/>
          <w:szCs w:val="21"/>
        </w:rPr>
        <w:t>5.1报价截止时间和开标时间：</w:t>
      </w:r>
      <w:r>
        <w:rPr>
          <w:rFonts w:hint="eastAsia" w:ascii="宋体" w:hAnsi="宋体"/>
          <w:szCs w:val="21"/>
          <w:u w:val="single"/>
        </w:rPr>
        <w:t>2022</w:t>
      </w:r>
      <w:r>
        <w:rPr>
          <w:rFonts w:hint="eastAsia" w:ascii="宋体" w:hAnsi="宋体"/>
          <w:szCs w:val="21"/>
        </w:rPr>
        <w:t>年</w:t>
      </w:r>
      <w:r>
        <w:rPr>
          <w:rFonts w:hint="eastAsia" w:ascii="宋体" w:hAnsi="宋体"/>
          <w:szCs w:val="21"/>
          <w:u w:val="single"/>
        </w:rPr>
        <w:t xml:space="preserve"> 9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5</w:t>
      </w:r>
      <w:r>
        <w:rPr>
          <w:rFonts w:hint="eastAsia" w:ascii="宋体" w:hAnsi="宋体"/>
          <w:szCs w:val="21"/>
          <w:u w:val="single"/>
        </w:rPr>
        <w:t xml:space="preserve"> </w:t>
      </w:r>
      <w:r>
        <w:rPr>
          <w:rFonts w:hint="eastAsia" w:ascii="宋体" w:hAnsi="宋体"/>
          <w:szCs w:val="21"/>
        </w:rPr>
        <w:t>日上午</w:t>
      </w:r>
      <w:r>
        <w:rPr>
          <w:rFonts w:hint="eastAsia" w:ascii="宋体" w:hAnsi="宋体"/>
          <w:szCs w:val="21"/>
          <w:u w:val="single"/>
        </w:rPr>
        <w:t>11</w:t>
      </w:r>
      <w:r>
        <w:rPr>
          <w:rFonts w:hint="eastAsia" w:ascii="宋体" w:hAnsi="宋体" w:cs="宋体"/>
          <w:szCs w:val="21"/>
        </w:rPr>
        <w:t>时</w:t>
      </w:r>
      <w:r>
        <w:rPr>
          <w:rFonts w:hint="eastAsia" w:ascii="宋体" w:hAnsi="宋体" w:cs="宋体"/>
          <w:szCs w:val="21"/>
          <w:u w:val="single"/>
        </w:rPr>
        <w:t xml:space="preserve"> 00 </w:t>
      </w:r>
      <w:r>
        <w:rPr>
          <w:rFonts w:hint="eastAsia" w:ascii="宋体" w:hAnsi="宋体" w:cs="宋体"/>
          <w:szCs w:val="21"/>
        </w:rPr>
        <w:t>分（北京时间）。</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5.2报价的递交：重庆市南岸区四公里内环入口200米处重庆首讯科技大楼。</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5.3</w:t>
      </w:r>
      <w:r>
        <w:rPr>
          <w:rFonts w:ascii="宋体" w:hAnsi="宋体" w:cs="宋体"/>
          <w:szCs w:val="21"/>
        </w:rPr>
        <w:t>采购</w:t>
      </w:r>
      <w:r>
        <w:rPr>
          <w:rFonts w:hint="eastAsia" w:ascii="宋体" w:hAnsi="宋体" w:cs="宋体"/>
          <w:szCs w:val="21"/>
        </w:rPr>
        <w:tab/>
      </w:r>
      <w:r>
        <w:rPr>
          <w:rFonts w:ascii="宋体" w:hAnsi="宋体" w:cs="宋体"/>
          <w:szCs w:val="21"/>
        </w:rPr>
        <w:t>人不召开报价预备会。</w:t>
      </w:r>
    </w:p>
    <w:p>
      <w:pPr>
        <w:pStyle w:val="4"/>
        <w:spacing w:before="120" w:after="0" w:line="400" w:lineRule="exact"/>
        <w:rPr>
          <w:rFonts w:ascii="宋体" w:hAnsi="宋体" w:eastAsia="宋体" w:cs="宋体"/>
        </w:rPr>
      </w:pPr>
      <w:bookmarkStart w:id="80" w:name="_Toc152045517"/>
      <w:bookmarkStart w:id="81" w:name="_Toc247085678"/>
      <w:bookmarkStart w:id="82" w:name="_Toc18284"/>
      <w:bookmarkStart w:id="83" w:name="_Toc21615"/>
      <w:bookmarkStart w:id="84" w:name="_Toc18402"/>
      <w:bookmarkStart w:id="85" w:name="_Toc246996907"/>
      <w:bookmarkStart w:id="86" w:name="_Toc10307"/>
      <w:bookmarkStart w:id="87" w:name="_Toc11329219"/>
      <w:bookmarkStart w:id="88" w:name="_Toc144974485"/>
      <w:bookmarkStart w:id="89" w:name="_Toc152042293"/>
      <w:bookmarkStart w:id="90" w:name="_Toc393"/>
      <w:bookmarkStart w:id="91" w:name="_Toc246996164"/>
      <w:bookmarkStart w:id="92" w:name="_Toc507319897"/>
      <w:bookmarkStart w:id="93" w:name="_Toc179632534"/>
      <w:r>
        <w:rPr>
          <w:rFonts w:hint="eastAsia" w:ascii="宋体" w:hAnsi="宋体" w:eastAsia="宋体" w:cs="宋体"/>
        </w:rPr>
        <w:t>6. 联系方式</w:t>
      </w:r>
      <w:bookmarkEnd w:id="80"/>
      <w:bookmarkEnd w:id="81"/>
      <w:bookmarkEnd w:id="82"/>
      <w:bookmarkEnd w:id="83"/>
      <w:bookmarkEnd w:id="84"/>
      <w:bookmarkEnd w:id="85"/>
      <w:bookmarkEnd w:id="86"/>
      <w:bookmarkEnd w:id="87"/>
      <w:bookmarkEnd w:id="88"/>
      <w:bookmarkEnd w:id="89"/>
      <w:bookmarkEnd w:id="90"/>
      <w:bookmarkEnd w:id="91"/>
      <w:bookmarkEnd w:id="92"/>
      <w:bookmarkEnd w:id="93"/>
    </w:p>
    <w:tbl>
      <w:tblPr>
        <w:tblStyle w:val="41"/>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1"/>
              <w:spacing w:before="0" w:beforeAutospacing="0" w:after="0" w:afterAutospacing="0" w:line="400" w:lineRule="exact"/>
              <w:ind w:firstLine="420" w:firstLineChars="200"/>
              <w:jc w:val="both"/>
              <w:rPr>
                <w:rFonts w:ascii="宋体" w:hAnsi="宋体" w:cs="宋体"/>
                <w:kern w:val="2"/>
                <w:sz w:val="21"/>
                <w:szCs w:val="21"/>
              </w:rPr>
            </w:pPr>
            <w:r>
              <w:rPr>
                <w:rFonts w:hint="eastAsia" w:ascii="宋体" w:hAnsi="宋体" w:cs="宋体"/>
                <w:kern w:val="2"/>
                <w:sz w:val="21"/>
                <w:szCs w:val="21"/>
              </w:rPr>
              <w:t>采购人：重庆首讯科技股份有限公司</w:t>
            </w:r>
          </w:p>
        </w:tc>
        <w:tc>
          <w:tcPr>
            <w:tcW w:w="1415" w:type="dxa"/>
            <w:vAlign w:val="center"/>
          </w:tcPr>
          <w:p>
            <w:pPr>
              <w:pStyle w:val="101"/>
              <w:spacing w:before="0" w:beforeAutospacing="0" w:after="0" w:afterAutospacing="0" w:line="400" w:lineRule="exact"/>
              <w:ind w:firstLine="420" w:firstLineChars="200"/>
              <w:jc w:val="both"/>
              <w:rPr>
                <w:rFonts w:ascii="宋体" w:hAnsi="宋体" w:cs="宋体"/>
                <w:kern w:val="2"/>
                <w:sz w:val="21"/>
                <w:szCs w:val="21"/>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szCs w:val="21"/>
              </w:rPr>
            </w:pPr>
            <w:r>
              <w:rPr>
                <w:rFonts w:hint="eastAsia" w:ascii="宋体" w:hAnsi="宋体" w:cs="宋体"/>
                <w:szCs w:val="21"/>
              </w:rPr>
              <w:t>地址：重庆市渝北区新南路52号东界龙湖三楼</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ascii="宋体" w:hAnsi="宋体" w:cs="宋体"/>
                <w:szCs w:val="21"/>
              </w:rPr>
            </w:pPr>
            <w:r>
              <w:rPr>
                <w:rFonts w:hint="eastAsia" w:ascii="宋体" w:hAnsi="宋体" w:cs="宋体"/>
                <w:szCs w:val="21"/>
              </w:rPr>
              <w:t>技术联系人：代老师</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80" w:hRule="atLeast"/>
        </w:trPr>
        <w:tc>
          <w:tcPr>
            <w:tcW w:w="8213" w:type="dxa"/>
            <w:vAlign w:val="center"/>
          </w:tcPr>
          <w:p>
            <w:pPr>
              <w:topLinePunct/>
              <w:spacing w:line="420" w:lineRule="exact"/>
              <w:ind w:firstLine="420" w:firstLineChars="200"/>
            </w:pPr>
            <w:r>
              <w:rPr>
                <w:rFonts w:hint="eastAsia" w:ascii="宋体" w:hAnsi="宋体" w:cs="宋体"/>
                <w:szCs w:val="21"/>
              </w:rPr>
              <w:t>电 话：18502360486</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80" w:hRule="atLeast"/>
        </w:trPr>
        <w:tc>
          <w:tcPr>
            <w:tcW w:w="8213" w:type="dxa"/>
            <w:vAlign w:val="center"/>
          </w:tcPr>
          <w:p>
            <w:pPr>
              <w:topLinePunct/>
              <w:spacing w:line="400" w:lineRule="exact"/>
              <w:ind w:firstLine="420" w:firstLineChars="200"/>
              <w:rPr>
                <w:rFonts w:ascii="宋体" w:hAnsi="宋体" w:cs="宋体"/>
                <w:szCs w:val="21"/>
              </w:rPr>
            </w:pPr>
            <w:r>
              <w:rPr>
                <w:rFonts w:hint="eastAsia" w:ascii="宋体" w:hAnsi="宋体" w:cs="宋体"/>
                <w:szCs w:val="21"/>
              </w:rPr>
              <w:t>商务联系人：刘老师</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80" w:hRule="atLeast"/>
        </w:trPr>
        <w:tc>
          <w:tcPr>
            <w:tcW w:w="8213" w:type="dxa"/>
            <w:vAlign w:val="center"/>
          </w:tcPr>
          <w:p>
            <w:pPr>
              <w:topLinePunct/>
              <w:spacing w:line="420" w:lineRule="exact"/>
              <w:ind w:firstLine="420" w:firstLineChars="200"/>
              <w:rPr>
                <w:rFonts w:ascii="宋体" w:hAnsi="宋体" w:cs="宋体"/>
                <w:szCs w:val="21"/>
              </w:rPr>
            </w:pPr>
            <w:r>
              <w:rPr>
                <w:rFonts w:hint="eastAsia" w:ascii="宋体" w:hAnsi="宋体" w:cs="宋体"/>
                <w:szCs w:val="21"/>
              </w:rPr>
              <w:t>电 话：18623655450</w:t>
            </w:r>
          </w:p>
        </w:tc>
        <w:tc>
          <w:tcPr>
            <w:tcW w:w="1415" w:type="dxa"/>
            <w:vAlign w:val="center"/>
          </w:tcPr>
          <w:p>
            <w:pPr>
              <w:spacing w:line="400" w:lineRule="exact"/>
              <w:ind w:firstLine="420" w:firstLineChars="200"/>
              <w:rPr>
                <w:rFonts w:ascii="宋体" w:hAnsi="宋体" w:cs="宋体"/>
                <w:szCs w:val="21"/>
              </w:rPr>
            </w:pPr>
          </w:p>
        </w:tc>
      </w:tr>
    </w:tbl>
    <w:p/>
    <w:p>
      <w:pPr>
        <w:pStyle w:val="2"/>
      </w:pPr>
    </w:p>
    <w:p/>
    <w:p>
      <w:pPr>
        <w:pStyle w:val="2"/>
      </w:pPr>
    </w:p>
    <w:p/>
    <w:p>
      <w:pPr>
        <w:pStyle w:val="2"/>
      </w:pPr>
    </w:p>
    <w:p/>
    <w:p>
      <w:pPr>
        <w:pStyle w:val="2"/>
      </w:pPr>
    </w:p>
    <w:p/>
    <w:bookmarkEnd w:id="7"/>
    <w:bookmarkEnd w:id="8"/>
    <w:p>
      <w:pPr>
        <w:pStyle w:val="3"/>
        <w:spacing w:before="0" w:after="0" w:line="360" w:lineRule="auto"/>
        <w:jc w:val="center"/>
        <w:rPr>
          <w:rFonts w:ascii="宋体" w:hAnsi="宋体" w:cs="宋体"/>
        </w:rPr>
      </w:pPr>
      <w:bookmarkStart w:id="94" w:name="_Toc246996916"/>
      <w:bookmarkStart w:id="95" w:name="_Toc152042303"/>
      <w:bookmarkStart w:id="96" w:name="_Toc247085687"/>
      <w:bookmarkStart w:id="97" w:name="_Toc507319898"/>
      <w:bookmarkStart w:id="98" w:name="_Toc21719"/>
      <w:bookmarkStart w:id="99" w:name="_Toc179632544"/>
      <w:bookmarkStart w:id="100" w:name="_Toc2000405"/>
      <w:bookmarkStart w:id="101" w:name="_Toc152045527"/>
      <w:bookmarkStart w:id="102" w:name="_Toc144974495"/>
      <w:bookmarkStart w:id="103" w:name="_Toc246996173"/>
      <w:r>
        <w:rPr>
          <w:rFonts w:hint="eastAsia" w:ascii="宋体" w:hAnsi="宋体" w:cs="宋体"/>
        </w:rPr>
        <w:br w:type="page"/>
      </w:r>
      <w:bookmarkStart w:id="104" w:name="_Toc14958"/>
      <w:r>
        <w:rPr>
          <w:rFonts w:hint="eastAsia" w:ascii="宋体" w:hAnsi="宋体" w:cs="宋体"/>
        </w:rPr>
        <w:t>第二章 报价人须知</w:t>
      </w:r>
      <w:bookmarkEnd w:id="94"/>
      <w:bookmarkEnd w:id="95"/>
      <w:bookmarkEnd w:id="96"/>
      <w:bookmarkEnd w:id="97"/>
      <w:bookmarkEnd w:id="98"/>
      <w:bookmarkEnd w:id="99"/>
      <w:bookmarkEnd w:id="100"/>
      <w:bookmarkEnd w:id="101"/>
      <w:bookmarkEnd w:id="102"/>
      <w:bookmarkEnd w:id="103"/>
      <w:bookmarkEnd w:id="104"/>
    </w:p>
    <w:p/>
    <w:tbl>
      <w:tblPr>
        <w:tblStyle w:val="41"/>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rPr>
            </w:pPr>
            <w:bookmarkStart w:id="105" w:name="_Toc326760840"/>
            <w:r>
              <w:rPr>
                <w:rFonts w:hint="eastAsia" w:ascii="宋体" w:hAnsi="宋体" w:cs="宋体"/>
                <w:b/>
                <w:kern w:val="0"/>
                <w:szCs w:val="21"/>
              </w:rPr>
              <w:t>序号</w:t>
            </w:r>
          </w:p>
        </w:tc>
        <w:tc>
          <w:tcPr>
            <w:tcW w:w="2106" w:type="dxa"/>
            <w:vAlign w:val="center"/>
          </w:tcPr>
          <w:p>
            <w:pPr>
              <w:spacing w:line="400" w:lineRule="exact"/>
              <w:jc w:val="center"/>
              <w:rPr>
                <w:rFonts w:ascii="宋体" w:hAnsi="宋体" w:cs="宋体"/>
                <w:b/>
                <w:kern w:val="0"/>
                <w:szCs w:val="21"/>
              </w:rPr>
            </w:pPr>
            <w:r>
              <w:rPr>
                <w:rFonts w:hint="eastAsia" w:ascii="宋体" w:hAnsi="宋体" w:cs="宋体"/>
                <w:b/>
                <w:kern w:val="0"/>
                <w:szCs w:val="21"/>
              </w:rPr>
              <w:t>条款名称</w:t>
            </w:r>
          </w:p>
        </w:tc>
        <w:tc>
          <w:tcPr>
            <w:tcW w:w="7104" w:type="dxa"/>
            <w:vAlign w:val="center"/>
          </w:tcPr>
          <w:p>
            <w:pPr>
              <w:spacing w:line="400" w:lineRule="exact"/>
              <w:ind w:firstLine="422" w:firstLineChars="200"/>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采购人</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采购人：重庆首讯科技股份有限公司</w:t>
            </w:r>
          </w:p>
          <w:p>
            <w:pPr>
              <w:spacing w:line="400" w:lineRule="exact"/>
              <w:ind w:firstLine="420" w:firstLineChars="200"/>
              <w:rPr>
                <w:rFonts w:ascii="宋体" w:hAnsi="宋体" w:cs="宋体"/>
                <w:szCs w:val="21"/>
              </w:rPr>
            </w:pPr>
            <w:r>
              <w:rPr>
                <w:rFonts w:hint="eastAsia" w:ascii="宋体" w:hAnsi="宋体" w:cs="宋体"/>
                <w:szCs w:val="21"/>
              </w:rPr>
              <w:t>地  址：重庆市渝北区新南路52号东界龙湖三楼</w:t>
            </w:r>
          </w:p>
          <w:p>
            <w:pPr>
              <w:spacing w:line="400" w:lineRule="exact"/>
              <w:ind w:firstLine="420" w:firstLineChars="200"/>
              <w:rPr>
                <w:rFonts w:ascii="宋体" w:hAnsi="宋体" w:cs="宋体"/>
                <w:szCs w:val="21"/>
              </w:rPr>
            </w:pPr>
            <w:r>
              <w:rPr>
                <w:rFonts w:hint="eastAsia" w:ascii="宋体" w:hAnsi="宋体" w:cs="宋体"/>
                <w:szCs w:val="21"/>
              </w:rPr>
              <w:t>联系人：刘老师</w:t>
            </w:r>
          </w:p>
          <w:p>
            <w:pPr>
              <w:topLinePunct/>
              <w:spacing w:line="420" w:lineRule="exact"/>
              <w:ind w:firstLine="420" w:firstLineChars="200"/>
            </w:pPr>
            <w:r>
              <w:rPr>
                <w:rFonts w:hint="eastAsia" w:ascii="宋体" w:hAnsi="宋体" w:cs="宋体"/>
                <w:szCs w:val="21"/>
              </w:rPr>
              <w:t>电  话：18623655450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项目名称</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土地资源监测管理平台开发技术服务项目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3</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项目地点</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4</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资金来源</w:t>
            </w:r>
          </w:p>
        </w:tc>
        <w:tc>
          <w:tcPr>
            <w:tcW w:w="7104" w:type="dxa"/>
            <w:vAlign w:val="center"/>
          </w:tcPr>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重庆首讯科技股份有限公司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5</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出资比例</w:t>
            </w:r>
          </w:p>
        </w:tc>
        <w:tc>
          <w:tcPr>
            <w:tcW w:w="7104" w:type="dxa"/>
            <w:vAlign w:val="center"/>
          </w:tcPr>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业主100%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6</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资金落实情况</w:t>
            </w:r>
          </w:p>
        </w:tc>
        <w:tc>
          <w:tcPr>
            <w:tcW w:w="7104" w:type="dxa"/>
            <w:vAlign w:val="center"/>
          </w:tcPr>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7</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比选范围</w:t>
            </w:r>
          </w:p>
        </w:tc>
        <w:tc>
          <w:tcPr>
            <w:tcW w:w="7104" w:type="dxa"/>
            <w:vAlign w:val="center"/>
          </w:tcPr>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8</w:t>
            </w:r>
          </w:p>
        </w:tc>
        <w:tc>
          <w:tcPr>
            <w:tcW w:w="2106" w:type="dxa"/>
            <w:vAlign w:val="center"/>
          </w:tcPr>
          <w:p>
            <w:pPr>
              <w:spacing w:line="400" w:lineRule="exact"/>
              <w:jc w:val="center"/>
              <w:rPr>
                <w:rFonts w:ascii="宋体" w:hAnsi="宋体" w:cs="宋体"/>
                <w:szCs w:val="21"/>
              </w:rPr>
            </w:pPr>
            <w:r>
              <w:rPr>
                <w:rFonts w:hint="eastAsia" w:ascii="宋体" w:hAnsi="宋体" w:cs="宋体"/>
                <w:kern w:val="0"/>
                <w:szCs w:val="21"/>
              </w:rPr>
              <w:t>计划工期</w:t>
            </w:r>
          </w:p>
        </w:tc>
        <w:tc>
          <w:tcPr>
            <w:tcW w:w="7104" w:type="dxa"/>
            <w:vAlign w:val="center"/>
          </w:tcPr>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9</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质量要求</w:t>
            </w:r>
          </w:p>
        </w:tc>
        <w:tc>
          <w:tcPr>
            <w:tcW w:w="7104" w:type="dxa"/>
          </w:tcPr>
          <w:p>
            <w:pPr>
              <w:spacing w:line="400" w:lineRule="exact"/>
              <w:ind w:firstLine="420" w:firstLineChars="200"/>
              <w:rPr>
                <w:rFonts w:ascii="宋体" w:hAnsi="宋体" w:cs="宋体"/>
                <w:kern w:val="0"/>
                <w:szCs w:val="21"/>
              </w:rPr>
            </w:pPr>
            <w:r>
              <w:rPr>
                <w:rFonts w:hint="eastAsia" w:ascii="宋体" w:hAnsi="宋体" w:cs="宋体"/>
                <w:szCs w:val="21"/>
              </w:rPr>
              <w:t>达到国家和地方现行有关质量标准和比选文件第七章技术标准和工作要求，并且一次性验收合格。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10</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安全目标</w:t>
            </w:r>
          </w:p>
        </w:tc>
        <w:tc>
          <w:tcPr>
            <w:tcW w:w="7104" w:type="dxa"/>
          </w:tcPr>
          <w:p>
            <w:pPr>
              <w:spacing w:line="400" w:lineRule="exact"/>
              <w:ind w:firstLine="420" w:firstLineChars="200"/>
              <w:rPr>
                <w:rFonts w:ascii="宋体" w:hAnsi="宋体" w:cs="宋体"/>
                <w:szCs w:val="21"/>
              </w:rPr>
            </w:pPr>
            <w:r>
              <w:rPr>
                <w:rFonts w:hint="eastAsia" w:ascii="宋体" w:hAnsi="宋体" w:cs="宋体"/>
                <w:szCs w:val="21"/>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11</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报价人资质条件、能力与信誉</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（1）资质条件：见附录1</w:t>
            </w:r>
          </w:p>
          <w:p>
            <w:pPr>
              <w:spacing w:line="400" w:lineRule="exact"/>
              <w:ind w:firstLine="420" w:firstLineChars="200"/>
              <w:rPr>
                <w:rFonts w:ascii="宋体" w:hAnsi="宋体" w:cs="宋体"/>
                <w:szCs w:val="21"/>
              </w:rPr>
            </w:pPr>
            <w:r>
              <w:rPr>
                <w:rFonts w:hint="eastAsia" w:ascii="宋体" w:hAnsi="宋体" w:cs="宋体"/>
                <w:szCs w:val="21"/>
              </w:rPr>
              <w:t>（2）财务要求：见附录2</w:t>
            </w:r>
          </w:p>
          <w:p>
            <w:pPr>
              <w:spacing w:line="400" w:lineRule="exact"/>
              <w:ind w:firstLine="420" w:firstLineChars="200"/>
              <w:rPr>
                <w:rFonts w:ascii="宋体" w:hAnsi="宋体" w:cs="宋体"/>
                <w:szCs w:val="21"/>
              </w:rPr>
            </w:pPr>
            <w:r>
              <w:rPr>
                <w:rFonts w:hint="eastAsia" w:ascii="宋体" w:hAnsi="宋体" w:cs="宋体"/>
                <w:szCs w:val="21"/>
              </w:rPr>
              <w:t>（3）业绩要求：见附录3</w:t>
            </w:r>
          </w:p>
          <w:p>
            <w:pPr>
              <w:spacing w:line="400" w:lineRule="exact"/>
              <w:ind w:firstLine="420" w:firstLineChars="200"/>
              <w:rPr>
                <w:rFonts w:ascii="宋体" w:hAnsi="宋体" w:cs="宋体"/>
                <w:szCs w:val="21"/>
              </w:rPr>
            </w:pPr>
            <w:r>
              <w:rPr>
                <w:rFonts w:hint="eastAsia" w:ascii="宋体" w:hAnsi="宋体" w:cs="宋体"/>
                <w:szCs w:val="21"/>
              </w:rPr>
              <w:t>（4）信誉要求：见附录4</w:t>
            </w:r>
          </w:p>
          <w:p>
            <w:pPr>
              <w:spacing w:line="400" w:lineRule="exact"/>
              <w:ind w:firstLine="420" w:firstLineChars="200"/>
              <w:rPr>
                <w:rFonts w:ascii="宋体" w:hAnsi="宋体" w:cs="宋体"/>
                <w:szCs w:val="21"/>
              </w:rPr>
            </w:pPr>
            <w:r>
              <w:rPr>
                <w:rFonts w:hint="eastAsia" w:ascii="宋体" w:hAnsi="宋体" w:cs="宋体"/>
                <w:szCs w:val="21"/>
              </w:rPr>
              <w:t>（5）项目主要人员要求：见附录5</w:t>
            </w:r>
          </w:p>
          <w:p>
            <w:pPr>
              <w:spacing w:line="400" w:lineRule="exact"/>
              <w:ind w:firstLine="420" w:firstLineChars="200"/>
              <w:rPr>
                <w:rFonts w:ascii="宋体" w:hAnsi="宋体" w:cs="宋体"/>
                <w:szCs w:val="21"/>
              </w:rPr>
            </w:pPr>
            <w:r>
              <w:rPr>
                <w:rFonts w:hint="eastAsia" w:ascii="宋体" w:hAnsi="宋体" w:cs="宋体"/>
                <w:szCs w:val="21"/>
              </w:rPr>
              <w:t>（6）其他要求：见附录6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是否接受</w:t>
            </w:r>
          </w:p>
          <w:p>
            <w:pPr>
              <w:spacing w:line="400" w:lineRule="exact"/>
              <w:jc w:val="center"/>
              <w:rPr>
                <w:rFonts w:ascii="宋体" w:hAnsi="宋体" w:cs="宋体"/>
                <w:kern w:val="0"/>
                <w:szCs w:val="21"/>
              </w:rPr>
            </w:pPr>
            <w:r>
              <w:rPr>
                <w:rFonts w:hint="eastAsia" w:ascii="宋体" w:hAnsi="宋体" w:cs="宋体"/>
                <w:kern w:val="0"/>
                <w:szCs w:val="21"/>
              </w:rPr>
              <w:t>联合体报价</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13</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踏勘现场</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14</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分包</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15</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偏差</w:t>
            </w:r>
          </w:p>
        </w:tc>
        <w:tc>
          <w:tcPr>
            <w:tcW w:w="7104" w:type="dxa"/>
            <w:vAlign w:val="center"/>
          </w:tcPr>
          <w:p>
            <w:pPr>
              <w:spacing w:line="400" w:lineRule="exact"/>
              <w:ind w:firstLine="422" w:firstLineChars="200"/>
              <w:rPr>
                <w:rFonts w:ascii="宋体" w:hAnsi="宋体" w:cs="宋体"/>
                <w:kern w:val="0"/>
                <w:szCs w:val="21"/>
              </w:rPr>
            </w:pPr>
            <w:r>
              <w:rPr>
                <w:rFonts w:hint="eastAsia" w:ascii="宋体" w:hAnsi="宋体" w:cs="宋体"/>
                <w:b/>
                <w:kern w:val="0"/>
                <w:szCs w:val="21"/>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16</w:t>
            </w:r>
          </w:p>
        </w:tc>
        <w:tc>
          <w:tcPr>
            <w:tcW w:w="2106" w:type="dxa"/>
            <w:vAlign w:val="center"/>
          </w:tcPr>
          <w:p>
            <w:pPr>
              <w:spacing w:line="440" w:lineRule="exact"/>
              <w:jc w:val="center"/>
              <w:rPr>
                <w:rFonts w:ascii="宋体" w:hAnsi="宋体" w:cs="宋体"/>
                <w:kern w:val="0"/>
                <w:szCs w:val="21"/>
              </w:rPr>
            </w:pPr>
            <w:r>
              <w:rPr>
                <w:rFonts w:hint="eastAsia" w:ascii="宋体" w:hAnsi="宋体" w:cs="宋体"/>
                <w:bCs/>
                <w:szCs w:val="21"/>
              </w:rPr>
              <w:t>构成比选文件的其他材料</w:t>
            </w:r>
          </w:p>
        </w:tc>
        <w:tc>
          <w:tcPr>
            <w:tcW w:w="7104" w:type="dxa"/>
            <w:vAlign w:val="center"/>
          </w:tcPr>
          <w:p>
            <w:pPr>
              <w:spacing w:line="440" w:lineRule="exact"/>
              <w:ind w:firstLine="420" w:firstLineChars="200"/>
              <w:rPr>
                <w:rFonts w:ascii="宋体" w:hAnsi="宋体" w:cs="宋体"/>
                <w:szCs w:val="21"/>
              </w:rPr>
            </w:pPr>
            <w:r>
              <w:rPr>
                <w:rFonts w:hint="eastAsia" w:ascii="宋体" w:hAnsi="宋体" w:cs="宋体"/>
                <w:szCs w:val="21"/>
              </w:rPr>
              <w:t>采购人发布的工程量清单、补遗书、答疑、澄清、最高限价通知等附件。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kern w:val="0"/>
                <w:szCs w:val="21"/>
              </w:rPr>
            </w:pPr>
            <w:bookmarkStart w:id="106" w:name="_Hlt227984024"/>
            <w:bookmarkEnd w:id="106"/>
            <w:r>
              <w:rPr>
                <w:rFonts w:hint="eastAsia" w:ascii="宋体" w:hAnsi="宋体" w:cs="宋体"/>
                <w:kern w:val="0"/>
                <w:szCs w:val="21"/>
              </w:rPr>
              <w:t>17</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构成竞争性比选响应文件的其他材料</w:t>
            </w:r>
          </w:p>
        </w:tc>
        <w:tc>
          <w:tcPr>
            <w:tcW w:w="7104" w:type="dxa"/>
            <w:vAlign w:val="center"/>
          </w:tcPr>
          <w:p>
            <w:pPr>
              <w:pStyle w:val="50"/>
              <w:spacing w:before="72" w:line="400" w:lineRule="exact"/>
              <w:ind w:firstLine="420" w:firstLineChars="200"/>
              <w:jc w:val="both"/>
              <w:rPr>
                <w:rFonts w:hAnsi="宋体"/>
                <w:color w:val="auto"/>
                <w:sz w:val="21"/>
                <w:szCs w:val="21"/>
              </w:rPr>
            </w:pPr>
            <w:r>
              <w:rPr>
                <w:rFonts w:hint="eastAsia" w:hAnsi="宋体"/>
                <w:color w:val="auto"/>
                <w:sz w:val="21"/>
                <w:szCs w:val="21"/>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18</w:t>
            </w:r>
          </w:p>
        </w:tc>
        <w:tc>
          <w:tcPr>
            <w:tcW w:w="2106" w:type="dxa"/>
            <w:tcBorders>
              <w:bottom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工程量清单的填写方式</w:t>
            </w:r>
          </w:p>
        </w:tc>
        <w:tc>
          <w:tcPr>
            <w:tcW w:w="7104" w:type="dxa"/>
            <w:tcBorders>
              <w:bottom w:val="single" w:color="auto" w:sz="4" w:space="0"/>
            </w:tcBorders>
          </w:tcPr>
          <w:p>
            <w:pPr>
              <w:spacing w:line="400" w:lineRule="exact"/>
              <w:ind w:firstLine="420" w:firstLineChars="200"/>
              <w:jc w:val="left"/>
              <w:rPr>
                <w:rFonts w:ascii="宋体" w:hAnsi="宋体" w:cs="宋体"/>
                <w:szCs w:val="21"/>
              </w:rPr>
            </w:pPr>
            <w:r>
              <w:rPr>
                <w:rFonts w:hint="eastAsia" w:ascii="宋体" w:hAnsi="宋体" w:cs="宋体"/>
              </w:rPr>
              <w:t>报价人按照采购人提供的工程量清单填写工程量清单</w:t>
            </w:r>
          </w:p>
          <w:p>
            <w:pPr>
              <w:spacing w:line="400" w:lineRule="exact"/>
              <w:ind w:firstLine="422" w:firstLineChars="200"/>
              <w:rPr>
                <w:rFonts w:ascii="宋体" w:hAnsi="宋体" w:cs="宋体"/>
                <w:b/>
                <w:szCs w:val="21"/>
              </w:rPr>
            </w:pPr>
            <w:r>
              <w:rPr>
                <w:rFonts w:hint="eastAsia" w:ascii="宋体" w:hAnsi="宋体" w:cs="宋体"/>
                <w:b/>
                <w:szCs w:val="21"/>
              </w:rPr>
              <w:t>综合单价取小数点后两位，小数点后第三位四舍五入。</w:t>
            </w:r>
          </w:p>
          <w:p>
            <w:pPr>
              <w:spacing w:line="400" w:lineRule="exact"/>
              <w:ind w:firstLine="422" w:firstLineChars="200"/>
              <w:rPr>
                <w:rFonts w:ascii="宋体" w:hAnsi="宋体" w:cs="宋体"/>
                <w:szCs w:val="21"/>
              </w:rPr>
            </w:pPr>
            <w:r>
              <w:rPr>
                <w:rFonts w:hint="eastAsia" w:ascii="宋体" w:hAnsi="宋体" w:cs="宋体"/>
                <w:b/>
                <w:bCs/>
                <w:szCs w:val="21"/>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19</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最高投标限价</w:t>
            </w:r>
          </w:p>
        </w:tc>
        <w:tc>
          <w:tcPr>
            <w:tcW w:w="7104" w:type="dxa"/>
            <w:tcBorders>
              <w:bottom w:val="single" w:color="auto" w:sz="4" w:space="0"/>
            </w:tcBorders>
          </w:tcPr>
          <w:p>
            <w:pPr>
              <w:spacing w:line="400" w:lineRule="exact"/>
              <w:ind w:firstLine="422" w:firstLineChars="200"/>
              <w:rPr>
                <w:rFonts w:ascii="宋体" w:hAnsi="宋体"/>
                <w:szCs w:val="21"/>
                <w:highlight w:val="none"/>
              </w:rPr>
            </w:pPr>
            <w:r>
              <w:rPr>
                <w:rFonts w:hint="eastAsia" w:ascii="宋体" w:hAnsi="宋体"/>
                <w:b/>
                <w:bCs/>
                <w:szCs w:val="21"/>
                <w:highlight w:val="none"/>
              </w:rPr>
              <w:t>本项目最高限价</w:t>
            </w:r>
            <w:r>
              <w:rPr>
                <w:rFonts w:hint="eastAsia" w:ascii="宋体" w:hAnsi="宋体"/>
                <w:b/>
                <w:bCs/>
                <w:szCs w:val="21"/>
                <w:highlight w:val="none"/>
                <w:u w:val="single"/>
                <w:lang w:val="zh-CN" w:eastAsia="zh-CN"/>
              </w:rPr>
              <w:t>876,800</w:t>
            </w:r>
            <w:r>
              <w:rPr>
                <w:rFonts w:hint="eastAsia" w:ascii="宋体" w:hAnsi="宋体"/>
                <w:b/>
                <w:bCs/>
                <w:szCs w:val="21"/>
                <w:highlight w:val="none"/>
                <w:u w:val="single"/>
                <w:lang w:val="en-US" w:eastAsia="zh-CN"/>
              </w:rPr>
              <w:t>.00</w:t>
            </w:r>
            <w:r>
              <w:rPr>
                <w:rFonts w:hint="eastAsia" w:ascii="宋体" w:hAnsi="宋体"/>
                <w:b/>
                <w:bCs/>
                <w:szCs w:val="21"/>
                <w:highlight w:val="none"/>
              </w:rPr>
              <w:t>元。</w:t>
            </w:r>
          </w:p>
          <w:p>
            <w:pPr>
              <w:spacing w:line="400" w:lineRule="exact"/>
              <w:ind w:firstLine="422" w:firstLineChars="200"/>
              <w:rPr>
                <w:rFonts w:ascii="宋体" w:hAnsi="宋体" w:cs="宋体"/>
                <w:b/>
                <w:bCs/>
                <w:kern w:val="0"/>
                <w:szCs w:val="21"/>
              </w:rPr>
            </w:pPr>
            <w:r>
              <w:rPr>
                <w:rFonts w:hint="eastAsia" w:ascii="宋体" w:hAnsi="宋体" w:cs="宋体"/>
                <w:b/>
                <w:szCs w:val="21"/>
              </w:rPr>
              <w:t>报价人总价及单项目报价均不得高于采购人发布的最高限价和单项目限价，否则其竞争性比选响应文件视为重大偏差，竞争性比选响应文件将按否决报价处理</w:t>
            </w:r>
            <w:r>
              <w:rPr>
                <w:rFonts w:hint="eastAsia" w:ascii="宋体" w:hAnsi="宋体" w:cs="宋体"/>
                <w:b/>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20</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合同支付办法</w:t>
            </w:r>
          </w:p>
        </w:tc>
        <w:tc>
          <w:tcPr>
            <w:tcW w:w="7104" w:type="dxa"/>
            <w:tcBorders>
              <w:bottom w:val="single" w:color="auto" w:sz="4" w:space="0"/>
            </w:tcBorders>
          </w:tcPr>
          <w:p>
            <w:pPr>
              <w:pStyle w:val="2"/>
              <w:numPr>
                <w:ilvl w:val="0"/>
                <w:numId w:val="0"/>
              </w:numPr>
              <w:ind w:firstLine="420" w:firstLineChars="200"/>
              <w:rPr>
                <w:rFonts w:ascii="Times New Roman" w:hAnsi="Times New Roman"/>
                <w:b w:val="0"/>
                <w:bCs w:val="0"/>
                <w:caps w:val="0"/>
                <w:sz w:val="21"/>
                <w:szCs w:val="24"/>
              </w:rPr>
            </w:pPr>
            <w:r>
              <w:rPr>
                <w:rFonts w:hint="eastAsia" w:ascii="Times New Roman" w:hAnsi="Times New Roman"/>
                <w:b w:val="0"/>
                <w:bCs w:val="0"/>
                <w:caps w:val="0"/>
                <w:sz w:val="21"/>
                <w:szCs w:val="24"/>
                <w:lang w:val="en-US" w:eastAsia="zh-CN"/>
              </w:rPr>
              <w:t>1、</w:t>
            </w:r>
            <w:r>
              <w:rPr>
                <w:rFonts w:hint="eastAsia" w:ascii="Times New Roman" w:hAnsi="Times New Roman"/>
                <w:b w:val="0"/>
                <w:bCs w:val="0"/>
                <w:caps w:val="0"/>
                <w:sz w:val="21"/>
                <w:szCs w:val="24"/>
              </w:rPr>
              <w:t>本合同签订后，由中标人向采购人提供正式发票</w:t>
            </w:r>
            <w:r>
              <w:rPr>
                <w:rFonts w:hint="eastAsia" w:ascii="Times New Roman" w:hAnsi="Times New Roman"/>
                <w:b w:val="0"/>
                <w:bCs w:val="0"/>
                <w:caps w:val="0"/>
                <w:sz w:val="21"/>
                <w:szCs w:val="24"/>
                <w:lang w:val="en-US" w:eastAsia="zh-CN"/>
              </w:rPr>
              <w:t>并提供合同</w:t>
            </w:r>
            <w:r>
              <w:rPr>
                <w:rFonts w:hint="eastAsia" w:ascii="Times New Roman" w:hAnsi="Times New Roman"/>
                <w:b w:val="0"/>
                <w:bCs w:val="0"/>
                <w:caps w:val="0"/>
                <w:sz w:val="21"/>
                <w:szCs w:val="24"/>
              </w:rPr>
              <w:t>总</w:t>
            </w:r>
            <w:r>
              <w:rPr>
                <w:rFonts w:hint="eastAsia" w:ascii="Times New Roman" w:hAnsi="Times New Roman"/>
                <w:b w:val="0"/>
                <w:bCs w:val="0"/>
                <w:caps w:val="0"/>
                <w:sz w:val="21"/>
                <w:szCs w:val="24"/>
                <w:lang w:val="en-US" w:eastAsia="zh-CN"/>
              </w:rPr>
              <w:t>金额30%的保函后</w:t>
            </w:r>
            <w:r>
              <w:rPr>
                <w:rFonts w:hint="eastAsia" w:ascii="Times New Roman" w:hAnsi="Times New Roman"/>
                <w:b w:val="0"/>
                <w:bCs w:val="0"/>
                <w:caps w:val="0"/>
                <w:sz w:val="21"/>
                <w:szCs w:val="24"/>
              </w:rPr>
              <w:t>，采购人向中标人支付合同总金额的30%作为启动资金。</w:t>
            </w:r>
          </w:p>
          <w:p>
            <w:pPr>
              <w:pStyle w:val="2"/>
              <w:numPr>
                <w:ilvl w:val="0"/>
                <w:numId w:val="0"/>
              </w:numPr>
              <w:ind w:firstLine="420" w:firstLineChars="200"/>
              <w:rPr>
                <w:rFonts w:ascii="Times New Roman" w:hAnsi="Times New Roman"/>
                <w:b w:val="0"/>
                <w:bCs w:val="0"/>
                <w:caps w:val="0"/>
                <w:sz w:val="21"/>
                <w:szCs w:val="24"/>
              </w:rPr>
            </w:pPr>
            <w:r>
              <w:rPr>
                <w:rFonts w:hint="eastAsia" w:ascii="Times New Roman" w:hAnsi="Times New Roman"/>
                <w:b w:val="0"/>
                <w:bCs w:val="0"/>
                <w:caps w:val="0"/>
                <w:sz w:val="21"/>
                <w:szCs w:val="24"/>
                <w:lang w:val="en-US" w:eastAsia="zh-CN"/>
              </w:rPr>
              <w:t>2、</w:t>
            </w:r>
            <w:r>
              <w:rPr>
                <w:rFonts w:hint="eastAsia" w:ascii="Times New Roman" w:hAnsi="Times New Roman"/>
                <w:b w:val="0"/>
                <w:bCs w:val="0"/>
                <w:caps w:val="0"/>
                <w:sz w:val="21"/>
                <w:szCs w:val="24"/>
              </w:rPr>
              <w:t>项目上线试运行，由中标人向采购人提供正式发票，采购人向中标人支付合同总金额的30%作为进度款。</w:t>
            </w:r>
          </w:p>
          <w:p>
            <w:pPr>
              <w:pStyle w:val="2"/>
              <w:numPr>
                <w:ilvl w:val="0"/>
                <w:numId w:val="0"/>
              </w:numPr>
              <w:ind w:firstLine="420" w:firstLineChars="200"/>
              <w:rPr>
                <w:rFonts w:ascii="Times New Roman" w:hAnsi="Times New Roman"/>
                <w:b w:val="0"/>
                <w:bCs w:val="0"/>
                <w:caps w:val="0"/>
                <w:sz w:val="21"/>
                <w:szCs w:val="24"/>
              </w:rPr>
            </w:pPr>
            <w:r>
              <w:rPr>
                <w:rFonts w:hint="eastAsia" w:ascii="Times New Roman" w:hAnsi="Times New Roman"/>
                <w:b w:val="0"/>
                <w:bCs w:val="0"/>
                <w:caps w:val="0"/>
                <w:sz w:val="21"/>
                <w:szCs w:val="24"/>
                <w:lang w:val="en-US" w:eastAsia="zh-CN"/>
              </w:rPr>
              <w:t>3、</w:t>
            </w:r>
            <w:r>
              <w:rPr>
                <w:rFonts w:hint="eastAsia" w:ascii="Times New Roman" w:hAnsi="Times New Roman"/>
                <w:b w:val="0"/>
                <w:bCs w:val="0"/>
                <w:caps w:val="0"/>
                <w:sz w:val="21"/>
                <w:szCs w:val="24"/>
              </w:rPr>
              <w:t>按照工作要求，经采购人验收合格并开具正式发票，采购人向中标人支付合同总金额的35%作为项目尾款，剩余5%转为项目质保金。</w:t>
            </w:r>
          </w:p>
          <w:p>
            <w:pPr>
              <w:numPr>
                <w:ilvl w:val="0"/>
                <w:numId w:val="0"/>
              </w:numPr>
              <w:spacing w:line="400" w:lineRule="exact"/>
              <w:ind w:firstLine="420" w:firstLineChars="200"/>
            </w:pPr>
            <w:r>
              <w:rPr>
                <w:rFonts w:hint="eastAsia"/>
                <w:b w:val="0"/>
                <w:bCs w:val="0"/>
                <w:caps w:val="0"/>
                <w:sz w:val="21"/>
                <w:szCs w:val="24"/>
                <w:lang w:val="en-US" w:eastAsia="zh-CN"/>
              </w:rPr>
              <w:t>4、</w:t>
            </w:r>
            <w:r>
              <w:rPr>
                <w:rFonts w:hint="eastAsia" w:ascii="Times New Roman" w:hAnsi="Times New Roman"/>
                <w:b w:val="0"/>
                <w:bCs w:val="0"/>
                <w:caps w:val="0"/>
                <w:sz w:val="21"/>
                <w:szCs w:val="24"/>
              </w:rPr>
              <w:t>项目完成验收1年后，由中标人向采购人提供正式发票，采购人向中标人支付合同总金额的5%的质保金。由中标人主动提出书面申请，经采购人业务部门确认后，30个工作日内全额退还（质量保证金不计任何利息），若中标人未提出书面申请，则相应的延迟责任由中标人自行承担。</w:t>
            </w:r>
            <w:r>
              <w:rPr>
                <w:rFonts w:hint="eastAsia"/>
              </w:rPr>
              <w:t>注：乙方每次办理支付前</w:t>
            </w:r>
            <w:r>
              <w:rPr>
                <w:rFonts w:hint="eastAsia"/>
                <w:highlight w:val="none"/>
              </w:rPr>
              <w:t>须开具等额的税率</w:t>
            </w:r>
            <w:r>
              <w:rPr>
                <w:highlight w:val="none"/>
              </w:rPr>
              <w:t>6</w:t>
            </w:r>
            <w:r>
              <w:rPr>
                <w:rFonts w:hint="eastAsia"/>
                <w:highlight w:val="none"/>
              </w:rPr>
              <w:t>%的增值税</w:t>
            </w:r>
            <w:r>
              <w:rPr>
                <w:rFonts w:hint="eastAsia"/>
              </w:rPr>
              <w:t>专用发票给甲方，否则甲方不予支付。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21</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乙方人员的管理</w:t>
            </w:r>
          </w:p>
        </w:tc>
        <w:tc>
          <w:tcPr>
            <w:tcW w:w="7104" w:type="dxa"/>
            <w:tcBorders>
              <w:bottom w:val="single" w:color="auto" w:sz="4" w:space="0"/>
            </w:tcBorders>
            <w:vAlign w:val="center"/>
          </w:tcPr>
          <w:p>
            <w:pPr>
              <w:spacing w:line="400" w:lineRule="exact"/>
              <w:ind w:firstLine="420" w:firstLineChars="200"/>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22</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szCs w:val="21"/>
              </w:rPr>
              <w:t>乙方人员违约的处理</w:t>
            </w:r>
          </w:p>
        </w:tc>
        <w:tc>
          <w:tcPr>
            <w:tcW w:w="7104" w:type="dxa"/>
            <w:tcBorders>
              <w:bottom w:val="single" w:color="auto" w:sz="4" w:space="0"/>
            </w:tcBorders>
          </w:tcPr>
          <w:p>
            <w:pPr>
              <w:spacing w:line="400" w:lineRule="exact"/>
              <w:ind w:firstLine="420" w:firstLineChars="200"/>
            </w:pPr>
            <w:r>
              <w:rPr>
                <w:rFonts w:hint="eastAsia"/>
              </w:rPr>
              <w:t>1.乙方未能按合同进度计划及时完成合同约定的工作，已造成或预期造成工期延误，甲方有权终止乙方不能按合同约定或预期不能按时完成的剩余工程，并由甲方另行选择单位实施，且因此产生的费用由乙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szCs w:val="21"/>
              </w:rPr>
            </w:pPr>
            <w:r>
              <w:rPr>
                <w:rFonts w:hint="eastAsia" w:ascii="宋体" w:hAnsi="宋体" w:cs="宋体"/>
                <w:szCs w:val="21"/>
              </w:rPr>
              <w:t>22</w:t>
            </w:r>
          </w:p>
        </w:tc>
        <w:tc>
          <w:tcPr>
            <w:tcW w:w="2106" w:type="dxa"/>
          </w:tcPr>
          <w:p>
            <w:pPr>
              <w:spacing w:line="400" w:lineRule="exact"/>
              <w:jc w:val="center"/>
              <w:rPr>
                <w:rFonts w:ascii="宋体" w:hAnsi="宋体" w:cs="宋体"/>
                <w:szCs w:val="21"/>
              </w:rPr>
            </w:pPr>
            <w:r>
              <w:rPr>
                <w:rFonts w:hint="eastAsia" w:ascii="宋体" w:hAnsi="宋体" w:cs="宋体"/>
                <w:szCs w:val="21"/>
              </w:rPr>
              <w:t>中标候选人的人数</w:t>
            </w:r>
          </w:p>
        </w:tc>
        <w:tc>
          <w:tcPr>
            <w:tcW w:w="7104" w:type="dxa"/>
            <w:vAlign w:val="center"/>
          </w:tcPr>
          <w:p>
            <w:pPr>
              <w:spacing w:line="400" w:lineRule="exact"/>
              <w:ind w:firstLine="420" w:firstLineChars="200"/>
              <w:rPr>
                <w:rFonts w:ascii="宋体" w:hAnsi="宋体" w:cs="宋体"/>
              </w:rPr>
            </w:pPr>
            <w:r>
              <w:rPr>
                <w:rFonts w:hint="eastAsia" w:ascii="宋体" w:hAnsi="宋体" w:cs="宋体"/>
              </w:rPr>
              <w:t>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50"/>
              <w:spacing w:line="400" w:lineRule="exact"/>
              <w:jc w:val="center"/>
              <w:rPr>
                <w:rFonts w:hAnsi="宋体"/>
                <w:color w:val="auto"/>
                <w:sz w:val="21"/>
                <w:szCs w:val="21"/>
              </w:rPr>
            </w:pPr>
            <w:r>
              <w:rPr>
                <w:rFonts w:hint="eastAsia" w:hAnsi="宋体"/>
                <w:color w:val="auto"/>
                <w:kern w:val="2"/>
                <w:sz w:val="21"/>
                <w:szCs w:val="21"/>
              </w:rPr>
              <w:t>23</w:t>
            </w:r>
          </w:p>
        </w:tc>
        <w:tc>
          <w:tcPr>
            <w:tcW w:w="2106" w:type="dxa"/>
            <w:vAlign w:val="center"/>
          </w:tcPr>
          <w:p>
            <w:pPr>
              <w:pStyle w:val="50"/>
              <w:spacing w:line="400" w:lineRule="exact"/>
              <w:jc w:val="center"/>
              <w:rPr>
                <w:rFonts w:hAnsi="宋体"/>
                <w:color w:val="auto"/>
                <w:sz w:val="21"/>
                <w:szCs w:val="21"/>
              </w:rPr>
            </w:pPr>
            <w:r>
              <w:rPr>
                <w:rFonts w:hint="eastAsia" w:hAnsi="宋体"/>
                <w:color w:val="auto"/>
                <w:kern w:val="2"/>
                <w:sz w:val="21"/>
                <w:szCs w:val="21"/>
              </w:rPr>
              <w:t>监督部门</w:t>
            </w:r>
          </w:p>
        </w:tc>
        <w:tc>
          <w:tcPr>
            <w:tcW w:w="7104" w:type="dxa"/>
            <w:vAlign w:val="center"/>
          </w:tcPr>
          <w:p>
            <w:pPr>
              <w:pStyle w:val="50"/>
              <w:spacing w:line="400" w:lineRule="exact"/>
              <w:ind w:firstLine="420" w:firstLineChars="200"/>
              <w:rPr>
                <w:rFonts w:hAnsi="宋体"/>
                <w:color w:val="auto"/>
                <w:kern w:val="2"/>
                <w:sz w:val="21"/>
                <w:szCs w:val="21"/>
              </w:rPr>
            </w:pPr>
            <w:r>
              <w:rPr>
                <w:rFonts w:hint="eastAsia" w:hAnsi="宋体"/>
                <w:color w:val="auto"/>
                <w:kern w:val="2"/>
                <w:sz w:val="21"/>
                <w:szCs w:val="21"/>
              </w:rPr>
              <w:t>监督部门：重庆首讯科技股份有限公司风险管理部</w:t>
            </w:r>
          </w:p>
          <w:p>
            <w:pPr>
              <w:pStyle w:val="50"/>
              <w:spacing w:line="400" w:lineRule="exact"/>
              <w:ind w:firstLine="420" w:firstLineChars="200"/>
              <w:rPr>
                <w:rFonts w:hAnsi="宋体"/>
                <w:color w:val="auto"/>
                <w:kern w:val="2"/>
                <w:sz w:val="21"/>
                <w:szCs w:val="21"/>
              </w:rPr>
            </w:pPr>
            <w:r>
              <w:rPr>
                <w:rFonts w:hint="eastAsia" w:hAnsi="宋体"/>
                <w:color w:val="auto"/>
                <w:kern w:val="2"/>
                <w:sz w:val="21"/>
                <w:szCs w:val="21"/>
              </w:rPr>
              <w:t>地    址：重庆市渝北区新南路52号东界龙湖三楼</w:t>
            </w:r>
          </w:p>
          <w:p>
            <w:pPr>
              <w:pStyle w:val="50"/>
              <w:spacing w:line="400" w:lineRule="exact"/>
              <w:ind w:firstLine="420" w:firstLineChars="200"/>
              <w:rPr>
                <w:rFonts w:hAnsi="宋体"/>
                <w:color w:val="auto"/>
                <w:sz w:val="21"/>
                <w:szCs w:val="21"/>
              </w:rPr>
            </w:pPr>
            <w:r>
              <w:rPr>
                <w:rFonts w:hint="eastAsia" w:hAnsi="宋体"/>
                <w:color w:val="auto"/>
                <w:kern w:val="2"/>
                <w:sz w:val="21"/>
                <w:szCs w:val="21"/>
              </w:rPr>
              <w:t>电    话：023-86376833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50"/>
              <w:spacing w:line="400" w:lineRule="exact"/>
              <w:jc w:val="center"/>
              <w:rPr>
                <w:rFonts w:hAnsi="宋体"/>
                <w:color w:val="auto"/>
                <w:kern w:val="2"/>
                <w:sz w:val="21"/>
                <w:szCs w:val="21"/>
              </w:rPr>
            </w:pPr>
            <w:r>
              <w:rPr>
                <w:rFonts w:hint="eastAsia" w:hAnsi="宋体"/>
                <w:color w:val="auto"/>
                <w:kern w:val="2"/>
                <w:sz w:val="21"/>
                <w:szCs w:val="21"/>
              </w:rPr>
              <w:t>24</w:t>
            </w:r>
          </w:p>
        </w:tc>
        <w:tc>
          <w:tcPr>
            <w:tcW w:w="2106" w:type="dxa"/>
            <w:vAlign w:val="center"/>
          </w:tcPr>
          <w:p>
            <w:pPr>
              <w:pStyle w:val="50"/>
              <w:spacing w:line="400" w:lineRule="exact"/>
              <w:jc w:val="center"/>
              <w:rPr>
                <w:rFonts w:hAnsi="宋体"/>
                <w:color w:val="auto"/>
                <w:kern w:val="2"/>
                <w:sz w:val="21"/>
                <w:szCs w:val="21"/>
              </w:rPr>
            </w:pPr>
            <w:r>
              <w:rPr>
                <w:rFonts w:hint="eastAsia" w:hAnsi="宋体"/>
                <w:color w:val="auto"/>
                <w:kern w:val="2"/>
                <w:sz w:val="21"/>
                <w:szCs w:val="21"/>
              </w:rPr>
              <w:t>竞争性比选响应文件的递交</w:t>
            </w:r>
          </w:p>
        </w:tc>
        <w:tc>
          <w:tcPr>
            <w:tcW w:w="7104" w:type="dxa"/>
            <w:vAlign w:val="center"/>
          </w:tcPr>
          <w:p>
            <w:pPr>
              <w:pStyle w:val="50"/>
              <w:spacing w:line="400" w:lineRule="exact"/>
              <w:ind w:firstLine="420" w:firstLineChars="200"/>
              <w:rPr>
                <w:rFonts w:hAnsi="宋体"/>
                <w:color w:val="auto"/>
                <w:kern w:val="2"/>
                <w:sz w:val="21"/>
                <w:szCs w:val="21"/>
              </w:rPr>
            </w:pPr>
            <w:r>
              <w:rPr>
                <w:rFonts w:hint="eastAsia" w:hAnsi="宋体"/>
                <w:color w:val="auto"/>
                <w:kern w:val="2"/>
                <w:sz w:val="21"/>
                <w:szCs w:val="21"/>
              </w:rPr>
              <w:t>1.报价截止时间和开标时间：</w:t>
            </w:r>
            <w:r>
              <w:rPr>
                <w:rFonts w:hint="eastAsia" w:hAnsi="宋体"/>
                <w:sz w:val="21"/>
                <w:szCs w:val="18"/>
                <w:u w:val="single"/>
              </w:rPr>
              <w:t xml:space="preserve">2022 </w:t>
            </w:r>
            <w:r>
              <w:rPr>
                <w:rFonts w:hint="eastAsia" w:hAnsi="宋体"/>
                <w:sz w:val="21"/>
                <w:szCs w:val="18"/>
              </w:rPr>
              <w:t>年</w:t>
            </w:r>
            <w:r>
              <w:rPr>
                <w:rFonts w:hint="eastAsia" w:hAnsi="宋体"/>
                <w:sz w:val="21"/>
                <w:szCs w:val="18"/>
                <w:u w:val="single"/>
              </w:rPr>
              <w:t xml:space="preserve"> 9 </w:t>
            </w:r>
            <w:r>
              <w:rPr>
                <w:rFonts w:hint="eastAsia" w:hAnsi="宋体"/>
                <w:sz w:val="21"/>
                <w:szCs w:val="18"/>
              </w:rPr>
              <w:t>月</w:t>
            </w:r>
            <w:r>
              <w:rPr>
                <w:rFonts w:hint="eastAsia" w:hAnsi="宋体"/>
                <w:sz w:val="21"/>
                <w:szCs w:val="18"/>
                <w:u w:val="single"/>
              </w:rPr>
              <w:t xml:space="preserve"> </w:t>
            </w:r>
            <w:r>
              <w:rPr>
                <w:rFonts w:hint="eastAsia" w:hAnsi="宋体"/>
                <w:sz w:val="21"/>
                <w:szCs w:val="18"/>
                <w:u w:val="single"/>
                <w:lang w:val="en-US" w:eastAsia="zh-CN"/>
              </w:rPr>
              <w:t>5</w:t>
            </w:r>
            <w:r>
              <w:rPr>
                <w:rFonts w:hint="eastAsia" w:hAnsi="宋体"/>
                <w:sz w:val="21"/>
                <w:szCs w:val="18"/>
                <w:u w:val="single"/>
              </w:rPr>
              <w:t xml:space="preserve"> </w:t>
            </w:r>
            <w:r>
              <w:rPr>
                <w:rFonts w:hint="eastAsia" w:hAnsi="宋体"/>
                <w:sz w:val="21"/>
                <w:szCs w:val="18"/>
              </w:rPr>
              <w:t>日上</w:t>
            </w:r>
            <w:r>
              <w:rPr>
                <w:rFonts w:hint="eastAsia" w:hAnsi="宋体"/>
                <w:color w:val="auto"/>
                <w:kern w:val="2"/>
                <w:sz w:val="21"/>
                <w:szCs w:val="21"/>
              </w:rPr>
              <w:t>午11时 00分（北京时间）。</w:t>
            </w:r>
          </w:p>
          <w:p>
            <w:pPr>
              <w:pStyle w:val="50"/>
              <w:spacing w:line="400" w:lineRule="exact"/>
              <w:ind w:firstLine="420" w:firstLineChars="200"/>
              <w:rPr>
                <w:rFonts w:hAnsi="宋体"/>
                <w:color w:val="auto"/>
                <w:kern w:val="2"/>
                <w:sz w:val="21"/>
                <w:szCs w:val="21"/>
              </w:rPr>
            </w:pPr>
            <w:r>
              <w:rPr>
                <w:rFonts w:hint="eastAsia" w:hAnsi="宋体"/>
                <w:color w:val="auto"/>
                <w:kern w:val="2"/>
                <w:sz w:val="21"/>
                <w:szCs w:val="21"/>
              </w:rPr>
              <w:t>2.报价地点和开标地点：重庆首讯科技股份有限公司（重庆市渝北区新南路52号东界龙湖三楼）。</w:t>
            </w:r>
          </w:p>
          <w:p>
            <w:pPr>
              <w:pStyle w:val="50"/>
              <w:spacing w:line="400" w:lineRule="exact"/>
              <w:ind w:firstLine="420" w:firstLineChars="200"/>
              <w:rPr>
                <w:rFonts w:hAnsi="宋体"/>
                <w:color w:val="auto"/>
                <w:kern w:val="2"/>
                <w:sz w:val="21"/>
                <w:szCs w:val="21"/>
              </w:rPr>
            </w:pPr>
            <w:r>
              <w:rPr>
                <w:rFonts w:hint="eastAsia" w:hAnsi="宋体"/>
                <w:color w:val="auto"/>
                <w:kern w:val="2"/>
                <w:sz w:val="21"/>
                <w:szCs w:val="21"/>
              </w:rPr>
              <w:t>3.逾期送达，或未送达指定地点，或未密封的竞争性比选响应文件，采购人不予受理。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50"/>
              <w:spacing w:line="400" w:lineRule="exact"/>
              <w:jc w:val="center"/>
              <w:rPr>
                <w:rFonts w:hAnsi="宋体"/>
                <w:color w:val="auto"/>
                <w:kern w:val="2"/>
                <w:sz w:val="21"/>
                <w:szCs w:val="21"/>
              </w:rPr>
            </w:pPr>
            <w:r>
              <w:rPr>
                <w:rFonts w:hint="eastAsia" w:hAnsi="宋体"/>
                <w:color w:val="auto"/>
                <w:kern w:val="2"/>
                <w:sz w:val="21"/>
                <w:szCs w:val="21"/>
              </w:rPr>
              <w:t>25</w:t>
            </w:r>
          </w:p>
        </w:tc>
        <w:tc>
          <w:tcPr>
            <w:tcW w:w="2106" w:type="dxa"/>
            <w:vAlign w:val="center"/>
          </w:tcPr>
          <w:p>
            <w:pPr>
              <w:pStyle w:val="50"/>
              <w:spacing w:line="400" w:lineRule="exact"/>
              <w:jc w:val="center"/>
              <w:rPr>
                <w:rFonts w:hAnsi="宋体"/>
                <w:color w:val="auto"/>
                <w:kern w:val="2"/>
                <w:sz w:val="21"/>
                <w:szCs w:val="21"/>
              </w:rPr>
            </w:pPr>
            <w:r>
              <w:rPr>
                <w:rFonts w:hint="eastAsia" w:hAnsi="宋体"/>
                <w:color w:val="auto"/>
                <w:kern w:val="2"/>
                <w:sz w:val="21"/>
                <w:szCs w:val="21"/>
              </w:rPr>
              <w:t>本次竞争性比选响应文件的组成</w:t>
            </w:r>
          </w:p>
        </w:tc>
        <w:tc>
          <w:tcPr>
            <w:tcW w:w="7104" w:type="dxa"/>
            <w:vAlign w:val="center"/>
          </w:tcPr>
          <w:p>
            <w:pPr>
              <w:pStyle w:val="50"/>
              <w:numPr>
                <w:ilvl w:val="0"/>
                <w:numId w:val="3"/>
              </w:numPr>
              <w:spacing w:line="400" w:lineRule="exact"/>
              <w:ind w:firstLine="422" w:firstLineChars="200"/>
              <w:rPr>
                <w:rFonts w:hAnsi="宋体"/>
                <w:color w:val="auto"/>
                <w:kern w:val="2"/>
                <w:sz w:val="21"/>
                <w:szCs w:val="21"/>
              </w:rPr>
            </w:pPr>
            <w:r>
              <w:rPr>
                <w:rFonts w:hint="eastAsia" w:hAnsi="宋体"/>
                <w:b/>
                <w:bCs/>
                <w:color w:val="000000" w:themeColor="text1"/>
                <w:sz w:val="21"/>
                <w:szCs w:val="21"/>
                <w14:textFill>
                  <w14:solidFill>
                    <w14:schemeClr w14:val="tx1"/>
                  </w14:solidFill>
                </w14:textFill>
              </w:rPr>
              <w:t>竞争性比选文件需逐页加盖报价人的公章</w:t>
            </w:r>
            <w:r>
              <w:rPr>
                <w:rFonts w:hint="eastAsia" w:hAnsi="宋体"/>
                <w:color w:val="000000" w:themeColor="text1"/>
                <w:sz w:val="21"/>
                <w:szCs w:val="21"/>
                <w14:textFill>
                  <w14:solidFill>
                    <w14:schemeClr w14:val="tx1"/>
                  </w14:solidFill>
                </w14:textFill>
              </w:rPr>
              <w:t>，竞争性比选响应文件提交正本1份，副本1份，副本可为正本的复印件，竞争性比选响应文件需装订成册，</w:t>
            </w:r>
            <w:r>
              <w:rPr>
                <w:rFonts w:hint="eastAsia" w:hAnsi="宋体"/>
                <w:color w:val="auto"/>
                <w:kern w:val="2"/>
                <w:sz w:val="21"/>
                <w:szCs w:val="21"/>
              </w:rPr>
              <w:t>封面右上角需标注“正本”、“副本”加以区别，所有报价文件需密封到一个封袋中。</w:t>
            </w:r>
          </w:p>
          <w:p>
            <w:pPr>
              <w:pStyle w:val="50"/>
              <w:numPr>
                <w:ilvl w:val="0"/>
                <w:numId w:val="3"/>
              </w:numPr>
              <w:spacing w:line="400" w:lineRule="exact"/>
              <w:ind w:firstLine="420" w:firstLineChars="200"/>
              <w:rPr>
                <w:rFonts w:hAnsi="宋体"/>
                <w:color w:val="auto"/>
                <w:kern w:val="2"/>
                <w:sz w:val="21"/>
                <w:szCs w:val="21"/>
              </w:rPr>
            </w:pPr>
            <w:r>
              <w:rPr>
                <w:rFonts w:hint="eastAsia" w:hAnsi="宋体"/>
                <w:color w:val="000000" w:themeColor="text1"/>
                <w:sz w:val="21"/>
                <w:szCs w:val="21"/>
                <w14:textFill>
                  <w14:solidFill>
                    <w14:schemeClr w14:val="tx1"/>
                  </w14:solidFill>
                </w14:textFill>
              </w:rPr>
              <w:t>报价人应提供竞争性比选响应文件</w:t>
            </w:r>
            <w:r>
              <w:rPr>
                <w:rFonts w:hint="eastAsia" w:hAnsi="宋体"/>
                <w:b/>
                <w:bCs/>
                <w:color w:val="000000" w:themeColor="text1"/>
                <w:sz w:val="21"/>
                <w:szCs w:val="21"/>
                <w14:textFill>
                  <w14:solidFill>
                    <w14:schemeClr w14:val="tx1"/>
                  </w14:solidFill>
                </w14:textFill>
              </w:rPr>
              <w:t>电子文件1份</w:t>
            </w:r>
            <w:r>
              <w:rPr>
                <w:rFonts w:hint="eastAsia" w:hAnsi="宋体"/>
                <w:color w:val="000000" w:themeColor="text1"/>
                <w:sz w:val="21"/>
                <w:szCs w:val="21"/>
                <w14:textFill>
                  <w14:solidFill>
                    <w14:schemeClr w14:val="tx1"/>
                  </w14:solidFill>
                </w14:textFill>
              </w:rPr>
              <w:t>（U盘1份，电子文件为报价人竞争性比选响应文件加盖公章后的扫描件，要求为PDF格式）。当电子文件与纸质版竞争性比选响应文件不一致时，以纸质版竞争性比选响应文件为准，当正本与副本不一致时，以正本为准</w:t>
            </w:r>
            <w:r>
              <w:rPr>
                <w:rFonts w:hint="eastAsia" w:hAnsi="宋体"/>
                <w:color w:val="000000" w:themeColor="text1"/>
                <w14:textFill>
                  <w14:solidFill>
                    <w14:schemeClr w14:val="tx1"/>
                  </w14:solidFill>
                </w14:textFill>
              </w:rPr>
              <w:t>。</w:t>
            </w:r>
          </w:p>
          <w:p>
            <w:pPr>
              <w:pStyle w:val="50"/>
              <w:spacing w:line="400" w:lineRule="exact"/>
              <w:ind w:firstLine="420" w:firstLineChars="200"/>
              <w:rPr>
                <w:rFonts w:hAnsi="宋体"/>
                <w:color w:val="auto"/>
                <w:kern w:val="2"/>
                <w:sz w:val="21"/>
                <w:szCs w:val="21"/>
              </w:rPr>
            </w:pPr>
            <w:r>
              <w:rPr>
                <w:rFonts w:hint="eastAsia" w:hAnsi="宋体"/>
                <w:color w:val="auto"/>
                <w:kern w:val="2"/>
                <w:sz w:val="21"/>
                <w:szCs w:val="21"/>
              </w:rPr>
              <w:t>2.竞争性比选响应声明书、报价函、资格要求材料、报价人认为需要提供的其他相关文件（注：以上所有文件均须逐页加盖报价人的公章）。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50"/>
              <w:spacing w:line="400" w:lineRule="exact"/>
              <w:jc w:val="center"/>
              <w:rPr>
                <w:rFonts w:hAnsi="宋体"/>
                <w:color w:val="auto"/>
                <w:kern w:val="2"/>
                <w:sz w:val="21"/>
                <w:szCs w:val="21"/>
              </w:rPr>
            </w:pPr>
            <w:r>
              <w:rPr>
                <w:rFonts w:hint="eastAsia" w:hAnsi="宋体"/>
                <w:color w:val="auto"/>
                <w:kern w:val="2"/>
                <w:sz w:val="21"/>
                <w:szCs w:val="21"/>
              </w:rPr>
              <w:t>26</w:t>
            </w:r>
          </w:p>
        </w:tc>
        <w:tc>
          <w:tcPr>
            <w:tcW w:w="2106" w:type="dxa"/>
            <w:vAlign w:val="center"/>
          </w:tcPr>
          <w:p>
            <w:pPr>
              <w:pStyle w:val="50"/>
              <w:spacing w:line="400" w:lineRule="exact"/>
              <w:jc w:val="center"/>
              <w:rPr>
                <w:rFonts w:hAnsi="宋体"/>
                <w:color w:val="auto"/>
                <w:kern w:val="2"/>
                <w:sz w:val="21"/>
                <w:szCs w:val="21"/>
              </w:rPr>
            </w:pPr>
            <w:r>
              <w:rPr>
                <w:rFonts w:hint="eastAsia" w:hAnsi="宋体"/>
                <w:color w:val="auto"/>
                <w:kern w:val="2"/>
                <w:sz w:val="21"/>
                <w:szCs w:val="21"/>
              </w:rPr>
              <w:t>密封要求</w:t>
            </w:r>
          </w:p>
        </w:tc>
        <w:tc>
          <w:tcPr>
            <w:tcW w:w="7104" w:type="dxa"/>
            <w:vAlign w:val="center"/>
          </w:tcPr>
          <w:p>
            <w:pPr>
              <w:pStyle w:val="50"/>
              <w:spacing w:line="400" w:lineRule="exact"/>
              <w:ind w:firstLine="420" w:firstLineChars="200"/>
              <w:rPr>
                <w:rFonts w:hAnsi="宋体"/>
                <w:color w:val="auto"/>
                <w:kern w:val="2"/>
                <w:sz w:val="21"/>
                <w:szCs w:val="21"/>
              </w:rPr>
            </w:pPr>
            <w:r>
              <w:rPr>
                <w:rFonts w:hint="eastAsia" w:hAnsi="宋体"/>
                <w:color w:val="auto"/>
                <w:kern w:val="2"/>
                <w:sz w:val="21"/>
                <w:szCs w:val="21"/>
              </w:rPr>
              <w:t>竞争性比选响应文件密封到一个封袋中，在封套上写明：</w:t>
            </w:r>
          </w:p>
          <w:p>
            <w:pPr>
              <w:pStyle w:val="50"/>
              <w:spacing w:line="400" w:lineRule="exact"/>
              <w:ind w:firstLine="420" w:firstLineChars="200"/>
              <w:rPr>
                <w:rFonts w:hAnsi="宋体"/>
                <w:color w:val="auto"/>
                <w:kern w:val="2"/>
                <w:sz w:val="21"/>
                <w:szCs w:val="21"/>
              </w:rPr>
            </w:pPr>
            <w:r>
              <w:rPr>
                <w:rFonts w:hint="eastAsia" w:hAnsi="宋体"/>
                <w:color w:val="auto"/>
                <w:kern w:val="2"/>
                <w:sz w:val="21"/>
                <w:szCs w:val="21"/>
              </w:rPr>
              <w:t>土地资源监测管理平台开发技术服务项目竞争性比选响应文件</w:t>
            </w:r>
          </w:p>
          <w:p>
            <w:pPr>
              <w:pStyle w:val="50"/>
              <w:spacing w:line="400" w:lineRule="exact"/>
              <w:ind w:firstLine="420" w:firstLineChars="200"/>
              <w:rPr>
                <w:rFonts w:hAnsi="宋体"/>
                <w:color w:val="auto"/>
                <w:kern w:val="2"/>
                <w:sz w:val="21"/>
                <w:szCs w:val="21"/>
              </w:rPr>
            </w:pPr>
            <w:r>
              <w:rPr>
                <w:rFonts w:hint="eastAsia" w:hAnsi="宋体"/>
                <w:color w:val="auto"/>
                <w:kern w:val="2"/>
                <w:sz w:val="21"/>
                <w:szCs w:val="21"/>
              </w:rPr>
              <w:t>在</w:t>
            </w:r>
            <w:r>
              <w:rPr>
                <w:rFonts w:hint="eastAsia" w:hAnsi="宋体"/>
                <w:color w:val="auto"/>
                <w:kern w:val="2"/>
                <w:sz w:val="21"/>
                <w:szCs w:val="21"/>
                <w:u w:val="single"/>
              </w:rPr>
              <w:t xml:space="preserve"> </w:t>
            </w:r>
            <w:r>
              <w:rPr>
                <w:rFonts w:hint="eastAsia" w:hAnsi="宋体"/>
                <w:sz w:val="21"/>
                <w:szCs w:val="18"/>
                <w:u w:val="single"/>
              </w:rPr>
              <w:t xml:space="preserve">2022 </w:t>
            </w:r>
            <w:r>
              <w:rPr>
                <w:rFonts w:hint="eastAsia" w:hAnsi="宋体"/>
                <w:sz w:val="21"/>
                <w:szCs w:val="18"/>
              </w:rPr>
              <w:t>年</w:t>
            </w:r>
            <w:r>
              <w:rPr>
                <w:rFonts w:hint="eastAsia" w:hAnsi="宋体"/>
                <w:sz w:val="21"/>
                <w:szCs w:val="18"/>
                <w:u w:val="single"/>
              </w:rPr>
              <w:t xml:space="preserve"> 9 </w:t>
            </w:r>
            <w:r>
              <w:rPr>
                <w:rFonts w:hint="eastAsia" w:hAnsi="宋体"/>
                <w:sz w:val="21"/>
                <w:szCs w:val="18"/>
              </w:rPr>
              <w:t>月</w:t>
            </w:r>
            <w:r>
              <w:rPr>
                <w:rFonts w:hint="eastAsia" w:hAnsi="宋体"/>
                <w:sz w:val="21"/>
                <w:szCs w:val="18"/>
                <w:u w:val="single"/>
              </w:rPr>
              <w:t xml:space="preserve"> 1</w:t>
            </w:r>
            <w:r>
              <w:rPr>
                <w:rFonts w:hAnsi="宋体"/>
                <w:sz w:val="21"/>
                <w:szCs w:val="18"/>
                <w:u w:val="single"/>
              </w:rPr>
              <w:t xml:space="preserve"> </w:t>
            </w:r>
            <w:r>
              <w:rPr>
                <w:rFonts w:hint="eastAsia" w:hAnsi="宋体"/>
                <w:sz w:val="21"/>
                <w:szCs w:val="18"/>
              </w:rPr>
              <w:t>日</w:t>
            </w:r>
            <w:r>
              <w:rPr>
                <w:rFonts w:hint="eastAsia" w:hAnsi="宋体"/>
                <w:color w:val="auto"/>
                <w:kern w:val="2"/>
                <w:sz w:val="21"/>
                <w:szCs w:val="21"/>
              </w:rPr>
              <w:t>上午11：00时前不得开启。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50"/>
              <w:spacing w:line="400" w:lineRule="exact"/>
              <w:jc w:val="center"/>
              <w:rPr>
                <w:rFonts w:hAnsi="宋体"/>
                <w:color w:val="auto"/>
                <w:kern w:val="2"/>
                <w:sz w:val="21"/>
                <w:szCs w:val="21"/>
              </w:rPr>
            </w:pPr>
            <w:r>
              <w:rPr>
                <w:rFonts w:hint="eastAsia" w:hAnsi="宋体"/>
                <w:color w:val="auto"/>
                <w:kern w:val="2"/>
                <w:sz w:val="21"/>
                <w:szCs w:val="21"/>
              </w:rPr>
              <w:t>27</w:t>
            </w:r>
          </w:p>
        </w:tc>
        <w:tc>
          <w:tcPr>
            <w:tcW w:w="9210" w:type="dxa"/>
            <w:gridSpan w:val="2"/>
            <w:vAlign w:val="center"/>
          </w:tcPr>
          <w:p>
            <w:pPr>
              <w:pStyle w:val="50"/>
              <w:spacing w:line="400" w:lineRule="exact"/>
              <w:ind w:firstLine="482" w:firstLineChars="200"/>
              <w:jc w:val="center"/>
              <w:rPr>
                <w:rFonts w:hAnsi="宋体"/>
                <w:color w:val="auto"/>
                <w:kern w:val="2"/>
                <w:sz w:val="21"/>
                <w:szCs w:val="21"/>
              </w:rPr>
            </w:pPr>
            <w:r>
              <w:rPr>
                <w:rFonts w:hAnsi="宋体"/>
                <w:b/>
                <w:bCs/>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50"/>
              <w:spacing w:line="400" w:lineRule="exact"/>
              <w:jc w:val="center"/>
              <w:rPr>
                <w:rFonts w:hAnsi="宋体"/>
                <w:color w:val="auto"/>
                <w:kern w:val="2"/>
                <w:sz w:val="21"/>
                <w:szCs w:val="21"/>
              </w:rPr>
            </w:pPr>
            <w:r>
              <w:rPr>
                <w:rFonts w:hint="eastAsia" w:hAnsi="宋体"/>
                <w:color w:val="auto"/>
                <w:kern w:val="2"/>
                <w:sz w:val="21"/>
                <w:szCs w:val="21"/>
              </w:rPr>
              <w:t>27.1</w:t>
            </w:r>
          </w:p>
        </w:tc>
        <w:tc>
          <w:tcPr>
            <w:tcW w:w="9210" w:type="dxa"/>
            <w:gridSpan w:val="2"/>
            <w:vAlign w:val="center"/>
          </w:tcPr>
          <w:p>
            <w:pPr>
              <w:pStyle w:val="50"/>
              <w:spacing w:line="400" w:lineRule="exact"/>
              <w:ind w:firstLine="420" w:firstLineChars="200"/>
              <w:rPr>
                <w:rFonts w:hAnsi="宋体"/>
                <w:b/>
                <w:bCs/>
                <w:szCs w:val="21"/>
              </w:rPr>
            </w:pPr>
            <w:r>
              <w:rPr>
                <w:rFonts w:hint="eastAsia" w:hAnsi="宋体"/>
                <w:sz w:val="21"/>
                <w:szCs w:val="21"/>
              </w:rPr>
              <w:t>截止竞争性比选响应文件递交时间，递交竞争性比选响应文件不足3家的不得开启竞争性比选文件。</w:t>
            </w:r>
          </w:p>
        </w:tc>
      </w:tr>
      <w:bookmarkEnd w:id="105"/>
    </w:tbl>
    <w:p>
      <w:pPr>
        <w:spacing w:line="360" w:lineRule="auto"/>
        <w:jc w:val="center"/>
        <w:rPr>
          <w:rFonts w:ascii="宋体" w:hAnsi="宋体" w:cs="宋体"/>
          <w:b/>
          <w:sz w:val="28"/>
          <w:szCs w:val="28"/>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ascii="宋体" w:hAnsi="宋体" w:eastAsia="宋体" w:cs="宋体"/>
          <w:sz w:val="30"/>
          <w:szCs w:val="30"/>
        </w:rPr>
      </w:pPr>
      <w:bookmarkStart w:id="107" w:name="_Toc17399"/>
      <w:bookmarkStart w:id="108" w:name="_Toc17532"/>
      <w:bookmarkStart w:id="109" w:name="_Toc5691"/>
      <w:bookmarkStart w:id="110" w:name="_Toc11284"/>
      <w:bookmarkStart w:id="111" w:name="_Toc11329222"/>
      <w:bookmarkStart w:id="112" w:name="_Toc30198"/>
      <w:r>
        <w:rPr>
          <w:rFonts w:hint="eastAsia" w:ascii="宋体" w:hAnsi="宋体" w:eastAsia="宋体" w:cs="宋体"/>
          <w:sz w:val="28"/>
          <w:szCs w:val="28"/>
        </w:rPr>
        <w:t>附录1  资格审查条件（资质最低要求）</w:t>
      </w:r>
      <w:bookmarkEnd w:id="107"/>
      <w:bookmarkEnd w:id="108"/>
      <w:bookmarkEnd w:id="109"/>
      <w:bookmarkEnd w:id="110"/>
      <w:bookmarkEnd w:id="111"/>
      <w:bookmarkEnd w:id="112"/>
    </w:p>
    <w:tbl>
      <w:tblPr>
        <w:tblStyle w:val="41"/>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9108" w:type="dxa"/>
            <w:vAlign w:val="center"/>
          </w:tcPr>
          <w:p>
            <w:pPr>
              <w:spacing w:line="400" w:lineRule="exact"/>
              <w:jc w:val="center"/>
              <w:rPr>
                <w:rFonts w:ascii="宋体" w:hAnsi="宋体" w:cs="宋体"/>
                <w:szCs w:val="21"/>
              </w:rPr>
            </w:pPr>
            <w:r>
              <w:rPr>
                <w:rFonts w:hint="eastAsia" w:ascii="宋体" w:hAnsi="宋体" w:cs="宋体"/>
                <w:szCs w:val="21"/>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108" w:type="dxa"/>
          </w:tcPr>
          <w:p>
            <w:pPr>
              <w:spacing w:line="400" w:lineRule="exact"/>
            </w:pPr>
            <w:r>
              <w:rPr>
                <w:rFonts w:hint="eastAsia" w:ascii="宋体" w:hAnsi="宋体" w:cs="宋体"/>
                <w:szCs w:val="21"/>
                <w:highlight w:val="none"/>
                <w:shd w:val="clear" w:color="auto" w:fill="FFFFFF"/>
              </w:rPr>
              <w:t>具有有效的营业执照或事业单位法人证书（业务范围至少包含其中1项：计算机软硬件开发、地理空间信息科学研究、城乡规划地理空间信息服务、计算机信息系统集成、生产和销售或技术咨询服务）；</w:t>
            </w:r>
          </w:p>
        </w:tc>
      </w:tr>
    </w:tbl>
    <w:p>
      <w:pPr>
        <w:spacing w:line="440" w:lineRule="exact"/>
        <w:ind w:firstLine="420" w:firstLineChars="200"/>
        <w:rPr>
          <w:rFonts w:ascii="宋体" w:hAnsi="宋体" w:cs="宋体"/>
        </w:rPr>
      </w:pPr>
      <w:r>
        <w:rPr>
          <w:rFonts w:hint="eastAsia" w:ascii="宋体" w:hAnsi="宋体" w:cs="宋体"/>
        </w:rPr>
        <w:t>注：须提供报价人营业执照、资质证书等复印件,并加盖单位鲜公章。</w:t>
      </w:r>
    </w:p>
    <w:p>
      <w:pPr>
        <w:spacing w:line="440" w:lineRule="exact"/>
        <w:ind w:firstLine="413" w:firstLineChars="147"/>
        <w:jc w:val="center"/>
        <w:rPr>
          <w:rFonts w:ascii="宋体" w:hAnsi="宋体" w:cs="宋体"/>
          <w:b/>
          <w:sz w:val="28"/>
          <w:szCs w:val="28"/>
        </w:rPr>
      </w:pPr>
    </w:p>
    <w:p>
      <w:pPr>
        <w:pStyle w:val="4"/>
        <w:jc w:val="center"/>
        <w:rPr>
          <w:rFonts w:ascii="宋体" w:hAnsi="宋体" w:eastAsia="宋体" w:cs="宋体"/>
          <w:bCs w:val="0"/>
        </w:rPr>
      </w:pPr>
      <w:bookmarkStart w:id="113" w:name="_Toc1778"/>
      <w:bookmarkStart w:id="114" w:name="_Toc30363"/>
      <w:bookmarkStart w:id="115" w:name="_Toc13719"/>
      <w:bookmarkStart w:id="116" w:name="_Toc30995"/>
      <w:bookmarkStart w:id="117" w:name="_Toc11329223"/>
      <w:bookmarkStart w:id="118" w:name="_Toc17235"/>
      <w:r>
        <w:rPr>
          <w:rFonts w:hint="eastAsia" w:ascii="宋体" w:hAnsi="宋体" w:eastAsia="宋体" w:cs="宋体"/>
          <w:bCs w:val="0"/>
          <w:sz w:val="28"/>
          <w:szCs w:val="28"/>
        </w:rPr>
        <w:t>附录2  资格审查条件（财务最低要求）</w:t>
      </w:r>
      <w:bookmarkEnd w:id="113"/>
      <w:bookmarkEnd w:id="114"/>
      <w:bookmarkEnd w:id="115"/>
      <w:bookmarkEnd w:id="116"/>
      <w:bookmarkEnd w:id="117"/>
      <w:bookmarkEnd w:id="118"/>
    </w:p>
    <w:tbl>
      <w:tblPr>
        <w:tblStyle w:val="41"/>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130" w:type="dxa"/>
            <w:vAlign w:val="center"/>
          </w:tcPr>
          <w:p>
            <w:pPr>
              <w:spacing w:line="400" w:lineRule="exact"/>
              <w:jc w:val="center"/>
              <w:rPr>
                <w:rFonts w:ascii="宋体" w:hAnsi="宋体" w:cs="宋体"/>
                <w:szCs w:val="21"/>
              </w:rPr>
            </w:pPr>
            <w:r>
              <w:rPr>
                <w:rFonts w:hint="eastAsia" w:ascii="宋体" w:hAnsi="宋体" w:cs="宋体"/>
                <w:szCs w:val="21"/>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130" w:type="dxa"/>
          </w:tcPr>
          <w:p>
            <w:pPr>
              <w:spacing w:line="400" w:lineRule="exact"/>
            </w:pPr>
            <w:r>
              <w:rPr>
                <w:rFonts w:hint="eastAsia"/>
              </w:rPr>
              <w:t>无要求</w:t>
            </w:r>
          </w:p>
        </w:tc>
      </w:tr>
    </w:tbl>
    <w:p>
      <w:pPr>
        <w:pStyle w:val="4"/>
        <w:jc w:val="center"/>
        <w:rPr>
          <w:rFonts w:ascii="宋体" w:hAnsi="宋体" w:eastAsia="宋体" w:cs="宋体"/>
          <w:bCs w:val="0"/>
          <w:sz w:val="28"/>
          <w:szCs w:val="28"/>
        </w:rPr>
      </w:pPr>
      <w:bookmarkStart w:id="119" w:name="_Toc11329224"/>
    </w:p>
    <w:p>
      <w:pPr>
        <w:pStyle w:val="4"/>
        <w:jc w:val="center"/>
        <w:rPr>
          <w:rFonts w:ascii="宋体" w:hAnsi="宋体" w:eastAsia="宋体" w:cs="宋体"/>
          <w:bCs w:val="0"/>
          <w:sz w:val="28"/>
          <w:szCs w:val="28"/>
        </w:rPr>
      </w:pPr>
      <w:bookmarkStart w:id="120" w:name="_Toc19507"/>
      <w:bookmarkStart w:id="121" w:name="_Toc28315"/>
      <w:bookmarkStart w:id="122" w:name="_Toc16638"/>
      <w:bookmarkStart w:id="123" w:name="_Toc16937"/>
      <w:bookmarkStart w:id="124" w:name="_Toc6263"/>
      <w:r>
        <w:rPr>
          <w:rFonts w:hint="eastAsia" w:ascii="宋体" w:hAnsi="宋体" w:eastAsia="宋体" w:cs="宋体"/>
          <w:bCs w:val="0"/>
          <w:sz w:val="28"/>
          <w:szCs w:val="28"/>
        </w:rPr>
        <w:t>附录3  资格审查条件（业绩最低要求）</w:t>
      </w:r>
      <w:bookmarkEnd w:id="119"/>
      <w:bookmarkEnd w:id="120"/>
      <w:bookmarkEnd w:id="121"/>
      <w:bookmarkEnd w:id="122"/>
      <w:bookmarkEnd w:id="123"/>
      <w:bookmarkEnd w:id="124"/>
    </w:p>
    <w:tbl>
      <w:tblPr>
        <w:tblStyle w:val="41"/>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142" w:type="dxa"/>
            <w:vAlign w:val="center"/>
          </w:tcPr>
          <w:p>
            <w:pPr>
              <w:spacing w:line="400" w:lineRule="exact"/>
              <w:jc w:val="center"/>
              <w:rPr>
                <w:rFonts w:ascii="宋体" w:hAnsi="宋体" w:cs="宋体"/>
                <w:szCs w:val="21"/>
              </w:rPr>
            </w:pPr>
            <w:r>
              <w:rPr>
                <w:rFonts w:hint="eastAsia" w:ascii="宋体" w:hAnsi="宋体" w:cs="宋体"/>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142" w:type="dxa"/>
          </w:tcPr>
          <w:p>
            <w:pPr>
              <w:spacing w:line="400" w:lineRule="exact"/>
              <w:rPr>
                <w:rFonts w:hint="eastAsia" w:ascii="宋体" w:hAnsi="宋体" w:cs="宋体"/>
                <w:szCs w:val="21"/>
                <w:highlight w:val="yellow"/>
                <w:shd w:val="clear" w:color="auto" w:fill="FFFFFF"/>
              </w:rPr>
            </w:pPr>
            <w:r>
              <w:rPr>
                <w:rFonts w:hint="eastAsia" w:ascii="宋体" w:hAnsi="宋体" w:cs="宋体"/>
                <w:szCs w:val="21"/>
                <w:highlight w:val="none"/>
                <w:shd w:val="clear" w:color="auto" w:fill="FFFFFF"/>
              </w:rPr>
              <w:t>需提供2020年1月1日至本竞争性比选函发出之日期间至少1个</w:t>
            </w:r>
            <w:r>
              <w:rPr>
                <w:rFonts w:hint="default" w:ascii="宋体" w:hAnsi="宋体" w:cs="宋体"/>
                <w:szCs w:val="21"/>
                <w:highlight w:val="none"/>
                <w:shd w:val="clear" w:color="auto" w:fill="FFFFFF"/>
              </w:rPr>
              <w:t>60</w:t>
            </w:r>
            <w:r>
              <w:rPr>
                <w:rFonts w:hint="eastAsia" w:ascii="宋体" w:hAnsi="宋体" w:cs="宋体"/>
                <w:szCs w:val="21"/>
                <w:highlight w:val="none"/>
                <w:shd w:val="clear" w:color="auto" w:fill="FFFFFF"/>
              </w:rPr>
              <w:t>万元以上类似软件开发项目相关业绩（以合同签订时间为准）。</w:t>
            </w:r>
          </w:p>
        </w:tc>
      </w:tr>
    </w:tbl>
    <w:p>
      <w:pPr>
        <w:pStyle w:val="4"/>
        <w:jc w:val="center"/>
        <w:rPr>
          <w:rFonts w:ascii="宋体" w:hAnsi="宋体" w:eastAsia="宋体" w:cs="宋体"/>
          <w:bCs w:val="0"/>
          <w:sz w:val="28"/>
          <w:szCs w:val="28"/>
        </w:rPr>
      </w:pPr>
      <w:bookmarkStart w:id="125" w:name="_Toc11329225"/>
    </w:p>
    <w:p>
      <w:pPr>
        <w:pStyle w:val="4"/>
        <w:jc w:val="center"/>
        <w:rPr>
          <w:rFonts w:ascii="宋体" w:hAnsi="宋体" w:cs="宋体"/>
          <w:b w:val="0"/>
          <w:sz w:val="28"/>
          <w:szCs w:val="28"/>
        </w:rPr>
      </w:pPr>
      <w:bookmarkStart w:id="126" w:name="_Toc10083"/>
      <w:bookmarkStart w:id="127" w:name="_Toc26749"/>
      <w:bookmarkStart w:id="128" w:name="_Toc5047"/>
      <w:bookmarkStart w:id="129" w:name="_Toc2830"/>
      <w:bookmarkStart w:id="130" w:name="_Toc12296"/>
      <w:r>
        <w:rPr>
          <w:rFonts w:hint="eastAsia" w:ascii="宋体" w:hAnsi="宋体" w:eastAsia="宋体" w:cs="宋体"/>
          <w:bCs w:val="0"/>
          <w:sz w:val="28"/>
          <w:szCs w:val="28"/>
        </w:rPr>
        <w:t>附录4 资格审查条件（信誉最低要求）</w:t>
      </w:r>
      <w:bookmarkEnd w:id="125"/>
      <w:bookmarkEnd w:id="126"/>
      <w:bookmarkEnd w:id="127"/>
      <w:bookmarkEnd w:id="128"/>
      <w:bookmarkEnd w:id="129"/>
      <w:bookmarkEnd w:id="130"/>
    </w:p>
    <w:tbl>
      <w:tblPr>
        <w:tblStyle w:val="41"/>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9138" w:type="dxa"/>
          </w:tcPr>
          <w:p>
            <w:pPr>
              <w:spacing w:line="400" w:lineRule="exact"/>
              <w:jc w:val="center"/>
              <w:rPr>
                <w:rFonts w:ascii="宋体" w:hAnsi="宋体" w:cs="宋体"/>
                <w:szCs w:val="21"/>
              </w:rPr>
            </w:pPr>
            <w:r>
              <w:rPr>
                <w:rFonts w:hint="eastAsia" w:ascii="宋体" w:hAnsi="宋体" w:cs="宋体"/>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9138" w:type="dxa"/>
          </w:tcPr>
          <w:p>
            <w:pPr>
              <w:spacing w:line="400" w:lineRule="exact"/>
              <w:rPr>
                <w:rFonts w:ascii="宋体" w:hAnsi="宋体" w:cs="宋体"/>
                <w:szCs w:val="21"/>
                <w:shd w:val="clear" w:color="auto" w:fill="FFFFFF"/>
              </w:rPr>
            </w:pPr>
            <w:r>
              <w:rPr>
                <w:rFonts w:hint="eastAsia" w:ascii="宋体" w:hAnsi="宋体" w:cs="宋体"/>
                <w:szCs w:val="21"/>
              </w:rPr>
              <w:t>信誉良好：在国家企业信用信息公示系统（http://www.gsxt.gov.cn/）中未被列入严重违法失信企业名单（黑名单）信息；在“信用中国”网站（http://www.creditchina.gov.cn/）中未被列入失信惩戒执行人名单。</w:t>
            </w:r>
          </w:p>
        </w:tc>
      </w:tr>
    </w:tbl>
    <w:p>
      <w:pPr>
        <w:pStyle w:val="2"/>
        <w:ind w:firstLine="402" w:firstLineChars="200"/>
        <w:rPr>
          <w:rFonts w:ascii="Times New Roman" w:hAnsi="宋体"/>
          <w:sz w:val="21"/>
          <w:szCs w:val="21"/>
        </w:rPr>
      </w:pPr>
      <w:r>
        <w:rPr>
          <w:rFonts w:hint="eastAsia"/>
        </w:rPr>
        <w:t>注：</w:t>
      </w:r>
      <w:r>
        <w:rPr>
          <w:rFonts w:hint="eastAsia" w:ascii="Times New Roman" w:hAnsi="宋体"/>
          <w:sz w:val="21"/>
          <w:szCs w:val="21"/>
        </w:rPr>
        <w:t>须提供信誉网站查询结果截图,并加盖单位鲜公章。</w:t>
      </w:r>
    </w:p>
    <w:p>
      <w:pPr>
        <w:pStyle w:val="4"/>
        <w:jc w:val="center"/>
        <w:rPr>
          <w:rFonts w:ascii="宋体" w:hAnsi="宋体" w:eastAsia="宋体" w:cs="宋体"/>
          <w:bCs w:val="0"/>
          <w:sz w:val="28"/>
          <w:szCs w:val="28"/>
        </w:rPr>
      </w:pPr>
      <w:bookmarkStart w:id="131" w:name="_Toc11329226"/>
      <w:bookmarkStart w:id="132" w:name="_Toc12773"/>
      <w:bookmarkStart w:id="133" w:name="_Toc27096"/>
      <w:bookmarkStart w:id="134" w:name="_Toc14083"/>
      <w:bookmarkStart w:id="135" w:name="_Toc25591"/>
      <w:bookmarkStart w:id="136" w:name="_Toc21425"/>
      <w:r>
        <w:rPr>
          <w:rFonts w:hint="eastAsia" w:ascii="宋体" w:hAnsi="宋体" w:eastAsia="宋体" w:cs="宋体"/>
          <w:bCs w:val="0"/>
          <w:sz w:val="28"/>
          <w:szCs w:val="28"/>
        </w:rPr>
        <w:t>附录5 资格审查文件（项目主要管理人员最低要求）</w:t>
      </w:r>
      <w:bookmarkEnd w:id="131"/>
      <w:bookmarkEnd w:id="132"/>
      <w:bookmarkEnd w:id="133"/>
      <w:bookmarkEnd w:id="134"/>
      <w:bookmarkEnd w:id="135"/>
      <w:bookmarkEnd w:id="136"/>
    </w:p>
    <w:p>
      <w:pPr>
        <w:spacing w:line="400" w:lineRule="exact"/>
        <w:jc w:val="center"/>
      </w:pPr>
      <w:r>
        <w:rPr>
          <w:rFonts w:hint="eastAsia" w:ascii="宋体" w:hAnsi="宋体" w:cs="宋体"/>
          <w:b/>
          <w:szCs w:val="21"/>
        </w:rPr>
        <w:t>主要管理人员最低要求</w:t>
      </w:r>
    </w:p>
    <w:tbl>
      <w:tblPr>
        <w:tblStyle w:val="41"/>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5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bookmarkStart w:id="137" w:name="_Toc388534043"/>
            <w:bookmarkStart w:id="138" w:name="_Toc387234996"/>
            <w:r>
              <w:rPr>
                <w:rFonts w:hint="eastAsia" w:ascii="宋体" w:hAnsi="宋体" w:cs="宋体"/>
                <w:szCs w:val="21"/>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人  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数量</w:t>
            </w:r>
          </w:p>
        </w:tc>
        <w:tc>
          <w:tcPr>
            <w:tcW w:w="57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项目负责人</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571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ascii="宋体" w:hAnsi="宋体" w:cs="宋体"/>
                <w:szCs w:val="21"/>
              </w:rPr>
              <w:t xml:space="preserve">无。 </w:t>
            </w:r>
          </w:p>
        </w:tc>
      </w:tr>
    </w:tbl>
    <w:p>
      <w:pPr>
        <w:spacing w:line="400" w:lineRule="exact"/>
        <w:jc w:val="center"/>
        <w:rPr>
          <w:rFonts w:ascii="宋体" w:hAnsi="宋体" w:cs="宋体"/>
          <w:szCs w:val="21"/>
        </w:rPr>
      </w:pPr>
      <w:r>
        <w:rPr>
          <w:rFonts w:hint="eastAsia" w:ascii="宋体" w:hAnsi="宋体" w:cs="宋体"/>
          <w:szCs w:val="21"/>
        </w:rPr>
        <w:t xml:space="preserve">   </w:t>
      </w:r>
      <w:r>
        <w:rPr>
          <w:rFonts w:hint="eastAsia" w:hAnsi="宋体"/>
          <w:b/>
          <w:bCs/>
          <w:szCs w:val="21"/>
        </w:rPr>
        <w:t>注：以上人员不得重复任职。报价人自行承诺即可，无需提供相关证明材料，并加盖单位鲜公章。</w:t>
      </w:r>
    </w:p>
    <w:p>
      <w:pPr>
        <w:pStyle w:val="2"/>
      </w:pPr>
    </w:p>
    <w:p>
      <w:pPr>
        <w:pStyle w:val="4"/>
        <w:jc w:val="center"/>
        <w:rPr>
          <w:rFonts w:ascii="宋体" w:hAnsi="宋体" w:eastAsia="宋体" w:cs="宋体"/>
          <w:bCs w:val="0"/>
          <w:sz w:val="28"/>
          <w:szCs w:val="28"/>
        </w:rPr>
      </w:pPr>
      <w:bookmarkStart w:id="139" w:name="_Toc26246"/>
      <w:bookmarkStart w:id="140" w:name="_Toc4169"/>
      <w:bookmarkStart w:id="141" w:name="_Toc17384"/>
      <w:bookmarkStart w:id="142" w:name="_Toc17216"/>
      <w:bookmarkStart w:id="143" w:name="_Toc6096"/>
      <w:r>
        <w:rPr>
          <w:rFonts w:hint="eastAsia" w:ascii="宋体" w:hAnsi="宋体" w:eastAsia="宋体" w:cs="宋体"/>
          <w:bCs w:val="0"/>
          <w:sz w:val="28"/>
          <w:szCs w:val="28"/>
        </w:rPr>
        <w:t>附录6 资格审查文件（主要机械设备和试验检测设备最低要求）</w:t>
      </w:r>
      <w:bookmarkEnd w:id="139"/>
      <w:bookmarkEnd w:id="140"/>
      <w:bookmarkEnd w:id="141"/>
      <w:bookmarkEnd w:id="142"/>
      <w:bookmarkEnd w:id="143"/>
    </w:p>
    <w:tbl>
      <w:tblPr>
        <w:tblStyle w:val="41"/>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625" w:type="dxa"/>
            <w:vAlign w:val="center"/>
          </w:tcPr>
          <w:p>
            <w:pPr>
              <w:spacing w:line="400" w:lineRule="exact"/>
              <w:jc w:val="center"/>
              <w:rPr>
                <w:rFonts w:ascii="宋体" w:hAnsi="宋体" w:cs="宋体"/>
                <w:szCs w:val="21"/>
              </w:rPr>
            </w:pPr>
            <w:r>
              <w:rPr>
                <w:rFonts w:hint="eastAsia" w:ascii="宋体" w:hAnsi="宋体" w:cs="宋体"/>
                <w:szCs w:val="21"/>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8625" w:type="dxa"/>
          </w:tcPr>
          <w:p>
            <w:pPr>
              <w:ind w:firstLine="420" w:firstLineChars="200"/>
            </w:pPr>
            <w:r>
              <w:rPr>
                <w:rFonts w:hint="eastAsia" w:ascii="宋体" w:hAnsi="宋体" w:cs="宋体"/>
                <w:caps/>
                <w:szCs w:val="21"/>
              </w:rPr>
              <w:t xml:space="preserve">无。 </w:t>
            </w:r>
          </w:p>
        </w:tc>
      </w:tr>
    </w:tbl>
    <w:p>
      <w:pPr>
        <w:spacing w:line="400" w:lineRule="exact"/>
        <w:ind w:firstLine="420"/>
        <w:rPr>
          <w:rFonts w:ascii="宋体" w:hAnsi="宋体" w:cs="宋体"/>
          <w:kern w:val="0"/>
          <w:szCs w:val="21"/>
        </w:rPr>
      </w:pPr>
      <w:r>
        <w:rPr>
          <w:rFonts w:hint="eastAsia" w:ascii="宋体" w:hAnsi="宋体" w:cs="宋体"/>
          <w:bCs/>
          <w:kern w:val="0"/>
          <w:szCs w:val="21"/>
        </w:rPr>
        <w:t>注：以上设备</w:t>
      </w:r>
      <w:r>
        <w:rPr>
          <w:rFonts w:hint="eastAsia" w:ascii="宋体" w:hAnsi="宋体" w:cs="宋体"/>
          <w:kern w:val="0"/>
        </w:rPr>
        <w:t>由报价人</w:t>
      </w:r>
      <w:r>
        <w:rPr>
          <w:rFonts w:hint="eastAsia" w:ascii="宋体" w:hAnsi="宋体" w:cs="宋体"/>
          <w:b/>
          <w:kern w:val="0"/>
        </w:rPr>
        <w:t>自行承诺</w:t>
      </w:r>
      <w:r>
        <w:rPr>
          <w:rFonts w:hint="eastAsia" w:ascii="宋体" w:hAnsi="宋体" w:cs="宋体"/>
          <w:kern w:val="0"/>
        </w:rPr>
        <w:t>，</w:t>
      </w:r>
      <w:r>
        <w:rPr>
          <w:rFonts w:hint="eastAsia" w:ascii="宋体" w:hAnsi="宋体" w:cs="宋体"/>
          <w:kern w:val="0"/>
          <w:szCs w:val="21"/>
        </w:rPr>
        <w:t>无需提供有关证明资料，并加盖单位鲜公章。</w:t>
      </w:r>
    </w:p>
    <w:p>
      <w:pPr>
        <w:pStyle w:val="50"/>
        <w:adjustRightInd/>
        <w:spacing w:line="400" w:lineRule="exact"/>
        <w:ind w:firstLine="422" w:firstLineChars="200"/>
        <w:jc w:val="both"/>
        <w:rPr>
          <w:rFonts w:hAnsi="宋体"/>
          <w:bCs/>
          <w:color w:val="auto"/>
          <w:sz w:val="21"/>
          <w:szCs w:val="21"/>
        </w:rPr>
      </w:pPr>
      <w:r>
        <w:rPr>
          <w:rFonts w:hint="eastAsia" w:hAnsi="宋体"/>
          <w:b/>
          <w:bCs/>
          <w:color w:val="auto"/>
          <w:sz w:val="21"/>
          <w:szCs w:val="21"/>
        </w:rPr>
        <w:t>以上（附录1-附录6中的资格审查）的要求均为强制性条件，其中任何一条不满足要求，则按否决报价处理。</w:t>
      </w:r>
    </w:p>
    <w:p>
      <w:pPr>
        <w:pStyle w:val="50"/>
        <w:adjustRightInd/>
        <w:spacing w:line="360" w:lineRule="auto"/>
        <w:jc w:val="both"/>
        <w:rPr>
          <w:rFonts w:hAnsi="宋体"/>
          <w:bCs/>
          <w:color w:val="auto"/>
          <w:sz w:val="21"/>
          <w:szCs w:val="21"/>
        </w:rPr>
      </w:pPr>
    </w:p>
    <w:bookmarkEnd w:id="137"/>
    <w:bookmarkEnd w:id="138"/>
    <w:p>
      <w:pPr>
        <w:spacing w:line="440" w:lineRule="exact"/>
        <w:rPr>
          <w:rFonts w:ascii="宋体" w:hAnsi="宋体" w:cs="宋体"/>
          <w:szCs w:val="21"/>
        </w:rPr>
        <w:sectPr>
          <w:footerReference r:id="rId8" w:type="default"/>
          <w:pgSz w:w="11906" w:h="16838"/>
          <w:pgMar w:top="1440" w:right="1800" w:bottom="1440" w:left="1800" w:header="851" w:footer="992" w:gutter="0"/>
          <w:cols w:space="720" w:num="1"/>
          <w:titlePg/>
          <w:docGrid w:type="lines" w:linePitch="312" w:charSpace="0"/>
        </w:sectPr>
      </w:pPr>
    </w:p>
    <w:p>
      <w:pPr>
        <w:pStyle w:val="3"/>
        <w:numPr>
          <w:ilvl w:val="0"/>
          <w:numId w:val="4"/>
        </w:numPr>
        <w:spacing w:before="0" w:after="0" w:line="360" w:lineRule="auto"/>
        <w:jc w:val="center"/>
        <w:rPr>
          <w:rFonts w:ascii="宋体" w:hAnsi="宋体" w:cs="宋体"/>
        </w:rPr>
      </w:pPr>
      <w:bookmarkStart w:id="144" w:name="_Toc247085745"/>
      <w:bookmarkStart w:id="145" w:name="_Toc152045587"/>
      <w:bookmarkStart w:id="146" w:name="_Toc246996973"/>
      <w:bookmarkStart w:id="147" w:name="_Toc179632605"/>
      <w:bookmarkStart w:id="148" w:name="_Toc152042364"/>
      <w:bookmarkStart w:id="149" w:name="_Toc9135"/>
      <w:bookmarkStart w:id="150" w:name="_Toc246996230"/>
      <w:bookmarkStart w:id="151" w:name="_Toc144974554"/>
      <w:bookmarkStart w:id="152" w:name="_Toc507319957"/>
      <w:bookmarkStart w:id="153" w:name="_Toc2000406"/>
      <w:bookmarkStart w:id="154" w:name="_Toc7682"/>
      <w:r>
        <w:rPr>
          <w:rFonts w:hint="eastAsia" w:ascii="宋体" w:hAnsi="宋体" w:cs="宋体"/>
        </w:rPr>
        <w:t>评标办法（经评审的综合评估法）</w:t>
      </w:r>
      <w:bookmarkEnd w:id="144"/>
      <w:bookmarkEnd w:id="145"/>
      <w:bookmarkEnd w:id="146"/>
      <w:bookmarkEnd w:id="147"/>
      <w:bookmarkEnd w:id="148"/>
      <w:bookmarkEnd w:id="149"/>
      <w:bookmarkEnd w:id="150"/>
      <w:bookmarkEnd w:id="151"/>
      <w:bookmarkEnd w:id="152"/>
      <w:bookmarkEnd w:id="153"/>
      <w:bookmarkEnd w:id="154"/>
    </w:p>
    <w:p/>
    <w:tbl>
      <w:tblPr>
        <w:tblStyle w:val="41"/>
        <w:tblW w:w="101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9"/>
        <w:gridCol w:w="1263"/>
        <w:gridCol w:w="2050"/>
        <w:gridCol w:w="56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472" w:type="dxa"/>
            <w:gridSpan w:val="2"/>
            <w:tcBorders>
              <w:top w:val="single" w:color="auto" w:sz="4" w:space="0"/>
              <w:bottom w:val="single" w:color="auto" w:sz="4" w:space="0"/>
              <w:right w:val="single" w:color="auto" w:sz="4" w:space="0"/>
            </w:tcBorders>
            <w:vAlign w:val="center"/>
          </w:tcPr>
          <w:p>
            <w:pPr>
              <w:spacing w:line="400" w:lineRule="exact"/>
              <w:jc w:val="center"/>
              <w:rPr>
                <w:b/>
              </w:rPr>
            </w:pPr>
            <w:r>
              <w:rPr>
                <w:b/>
              </w:rPr>
              <w:t>条款号</w:t>
            </w: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评审因素</w:t>
            </w:r>
          </w:p>
        </w:tc>
        <w:tc>
          <w:tcPr>
            <w:tcW w:w="5642" w:type="dxa"/>
            <w:tcBorders>
              <w:top w:val="single" w:color="auto" w:sz="4" w:space="0"/>
              <w:left w:val="single" w:color="auto" w:sz="4" w:space="0"/>
              <w:bottom w:val="single" w:color="auto" w:sz="4" w:space="0"/>
            </w:tcBorders>
            <w:vAlign w:val="center"/>
          </w:tcPr>
          <w:p>
            <w:pPr>
              <w:spacing w:line="400" w:lineRule="exact"/>
              <w:jc w:val="center"/>
              <w:rPr>
                <w:b/>
              </w:rPr>
            </w:pPr>
            <w:r>
              <w:rPr>
                <w:b/>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1209" w:type="dxa"/>
            <w:tcBorders>
              <w:top w:val="single" w:color="auto" w:sz="4" w:space="0"/>
              <w:right w:val="single" w:color="auto" w:sz="4" w:space="0"/>
            </w:tcBorders>
            <w:vAlign w:val="center"/>
          </w:tcPr>
          <w:p>
            <w:pPr>
              <w:spacing w:line="400" w:lineRule="exact"/>
              <w:jc w:val="center"/>
            </w:pPr>
            <w:r>
              <w:t>1</w:t>
            </w:r>
          </w:p>
        </w:tc>
        <w:tc>
          <w:tcPr>
            <w:tcW w:w="1263" w:type="dxa"/>
            <w:tcBorders>
              <w:top w:val="single" w:color="auto" w:sz="4" w:space="0"/>
              <w:left w:val="single" w:color="auto" w:sz="4" w:space="0"/>
              <w:right w:val="single" w:color="auto" w:sz="4" w:space="0"/>
            </w:tcBorders>
            <w:vAlign w:val="center"/>
          </w:tcPr>
          <w:p>
            <w:pPr>
              <w:spacing w:line="400" w:lineRule="exact"/>
              <w:jc w:val="center"/>
            </w:pPr>
            <w:r>
              <w:t>评标方法</w:t>
            </w: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中标候选人排序方法</w:t>
            </w:r>
          </w:p>
        </w:tc>
        <w:tc>
          <w:tcPr>
            <w:tcW w:w="5642" w:type="dxa"/>
            <w:tcBorders>
              <w:top w:val="single" w:color="auto" w:sz="4" w:space="0"/>
              <w:left w:val="single" w:color="auto" w:sz="4" w:space="0"/>
              <w:bottom w:val="single" w:color="auto" w:sz="4" w:space="0"/>
            </w:tcBorders>
          </w:tcPr>
          <w:p>
            <w:pPr>
              <w:spacing w:line="400" w:lineRule="exact"/>
            </w:pPr>
            <w:r>
              <w:rPr>
                <w:rFonts w:hint="eastAsia"/>
              </w:rPr>
              <w:t>报价人得分=A+B+C，对通过初步评审的报价人按照投标总得分（商务+技术+报价）由从高到低的先后顺序。如出现得分(精确到小数点后两位)相等时，按以下原则确定第一中标候选人：</w:t>
            </w:r>
          </w:p>
          <w:p>
            <w:pPr>
              <w:spacing w:line="400" w:lineRule="exact"/>
            </w:pPr>
            <w:r>
              <w:rPr>
                <w:rFonts w:hint="eastAsia"/>
              </w:rPr>
              <w:t>（1）以评标价低的报价人优先；</w:t>
            </w:r>
          </w:p>
          <w:p>
            <w:pPr>
              <w:spacing w:line="400" w:lineRule="exact"/>
            </w:pPr>
            <w:r>
              <w:rPr>
                <w:rFonts w:hint="eastAsia"/>
              </w:rPr>
              <w:t>（2）如评标价也相同时，以技术得分较高的报价人优先；</w:t>
            </w:r>
          </w:p>
          <w:p>
            <w:pPr>
              <w:spacing w:line="400" w:lineRule="exact"/>
            </w:pPr>
            <w:r>
              <w:rPr>
                <w:rFonts w:hint="eastAsia"/>
              </w:rPr>
              <w:t>（3）如技术得分也相同时，以商务得分高的优先；</w:t>
            </w:r>
          </w:p>
          <w:p>
            <w:pPr>
              <w:spacing w:line="400" w:lineRule="exact"/>
            </w:pPr>
            <w:r>
              <w:rPr>
                <w:rFonts w:hint="eastAsia"/>
              </w:rPr>
              <w:t>（4）</w:t>
            </w:r>
            <w:r>
              <w:t>如商务得分也</w:t>
            </w:r>
            <w:r>
              <w:rPr>
                <w:rFonts w:hint="eastAsia"/>
              </w:rPr>
              <w:t>相</w:t>
            </w:r>
            <w:r>
              <w:t>同时，</w:t>
            </w:r>
            <w:r>
              <w:rPr>
                <w:rFonts w:hint="eastAsia"/>
              </w:rPr>
              <w:t xml:space="preserve">由评标委员会投票决定。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209" w:type="dxa"/>
            <w:vMerge w:val="restart"/>
            <w:tcBorders>
              <w:top w:val="single" w:color="auto" w:sz="4" w:space="0"/>
              <w:right w:val="single" w:color="auto" w:sz="4" w:space="0"/>
            </w:tcBorders>
            <w:vAlign w:val="center"/>
          </w:tcPr>
          <w:p>
            <w:pPr>
              <w:spacing w:line="400" w:lineRule="exact"/>
              <w:jc w:val="center"/>
            </w:pPr>
            <w:r>
              <w:rPr>
                <w:rFonts w:hint="eastAsia"/>
              </w:rPr>
              <w:t>2</w:t>
            </w:r>
          </w:p>
        </w:tc>
        <w:tc>
          <w:tcPr>
            <w:tcW w:w="1263" w:type="dxa"/>
            <w:vMerge w:val="restart"/>
            <w:tcBorders>
              <w:top w:val="single" w:color="auto" w:sz="4" w:space="0"/>
              <w:left w:val="single" w:color="auto" w:sz="4" w:space="0"/>
              <w:right w:val="single" w:color="auto" w:sz="4" w:space="0"/>
            </w:tcBorders>
            <w:vAlign w:val="center"/>
          </w:tcPr>
          <w:p>
            <w:pPr>
              <w:spacing w:line="400" w:lineRule="exact"/>
              <w:jc w:val="center"/>
            </w:pPr>
            <w:r>
              <w:t>形式评审标准</w:t>
            </w: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报价人名称</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209" w:type="dxa"/>
            <w:vMerge w:val="continue"/>
            <w:tcBorders>
              <w:top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报价函签字盖章</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209" w:type="dxa"/>
            <w:vMerge w:val="continue"/>
            <w:tcBorders>
              <w:top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竞争性比选响应文件格式</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符合第九章“竞争性比选响应文件格式”的要求，字迹清晰可辨。</w:t>
            </w:r>
          </w:p>
          <w:p>
            <w:pPr>
              <w:spacing w:line="400" w:lineRule="exact"/>
            </w:pPr>
            <w:r>
              <w:rPr>
                <w:rFonts w:hint="eastAsia"/>
              </w:rPr>
              <w:t>1.报价函的所有数据均符合比选文件的规定；</w:t>
            </w:r>
          </w:p>
          <w:p>
            <w:pPr>
              <w:spacing w:line="400" w:lineRule="exact"/>
            </w:pPr>
            <w:r>
              <w:rPr>
                <w:rFonts w:hint="eastAsia"/>
              </w:rPr>
              <w:t>2.竞争性比选响应文件附表齐全完整，内容均按规定填写；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209" w:type="dxa"/>
            <w:vMerge w:val="continue"/>
            <w:tcBorders>
              <w:top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已标价工程量清单</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符合第五章“工程量清单”给出的范围及数量。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209" w:type="dxa"/>
            <w:vMerge w:val="continue"/>
            <w:tcBorders>
              <w:top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报价其它要求</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竞争性比选响应文件报价表中的报价与报价书文字报价应保持一致。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209" w:type="dxa"/>
            <w:vMerge w:val="continue"/>
            <w:tcBorders>
              <w:right w:val="single" w:color="auto" w:sz="4" w:space="0"/>
            </w:tcBorders>
            <w:vAlign w:val="center"/>
          </w:tcPr>
          <w:p>
            <w:pPr>
              <w:spacing w:line="400" w:lineRule="exact"/>
              <w:jc w:val="center"/>
            </w:pPr>
          </w:p>
        </w:tc>
        <w:tc>
          <w:tcPr>
            <w:tcW w:w="1263" w:type="dxa"/>
            <w:vMerge w:val="continue"/>
            <w:tcBorders>
              <w:left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right w:val="single" w:color="auto" w:sz="4" w:space="0"/>
            </w:tcBorders>
            <w:vAlign w:val="center"/>
          </w:tcPr>
          <w:p>
            <w:pPr>
              <w:spacing w:line="400" w:lineRule="exact"/>
              <w:jc w:val="center"/>
            </w:pPr>
            <w:r>
              <w:rPr>
                <w:rFonts w:hint="eastAsia"/>
              </w:rPr>
              <w:t>竞争性</w:t>
            </w:r>
            <w:r>
              <w:t>比选响应文件正本中法定代表人或其授权代理人签署</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竞争性比选响应文件正本中法定代表人或授权代理人签署姓名齐全，符合比选文件规定；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1209" w:type="dxa"/>
            <w:vMerge w:val="continue"/>
            <w:tcBorders>
              <w:right w:val="single" w:color="auto" w:sz="4" w:space="0"/>
            </w:tcBorders>
            <w:vAlign w:val="center"/>
          </w:tcPr>
          <w:p>
            <w:pPr>
              <w:spacing w:line="400" w:lineRule="exact"/>
              <w:jc w:val="center"/>
            </w:pPr>
          </w:p>
        </w:tc>
        <w:tc>
          <w:tcPr>
            <w:tcW w:w="1263" w:type="dxa"/>
            <w:vMerge w:val="continue"/>
            <w:tcBorders>
              <w:left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right w:val="single" w:color="auto" w:sz="4" w:space="0"/>
            </w:tcBorders>
            <w:vAlign w:val="center"/>
          </w:tcPr>
          <w:p>
            <w:pPr>
              <w:spacing w:line="400" w:lineRule="exact"/>
              <w:jc w:val="center"/>
            </w:pPr>
            <w:r>
              <w:t>其它材料</w:t>
            </w:r>
          </w:p>
        </w:tc>
        <w:tc>
          <w:tcPr>
            <w:tcW w:w="5642" w:type="dxa"/>
            <w:tcBorders>
              <w:top w:val="single" w:color="auto" w:sz="4" w:space="0"/>
              <w:left w:val="single" w:color="auto" w:sz="4" w:space="0"/>
            </w:tcBorders>
            <w:vAlign w:val="center"/>
          </w:tcPr>
          <w:p>
            <w:pPr>
              <w:spacing w:line="400" w:lineRule="exact"/>
            </w:pPr>
            <w:r>
              <w:rPr>
                <w:rFonts w:hint="eastAsia"/>
              </w:rPr>
              <w:t>与采购人存在利害关系可能影响比选公正性的法人、其他组织或者个人，不得参加报价；单位负责人为同一人或者存在控股、管理关系的不同单位，不得同时参加报价，否则相关报价均无效。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209"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3</w:t>
            </w:r>
          </w:p>
        </w:tc>
        <w:tc>
          <w:tcPr>
            <w:tcW w:w="126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资格评审标准</w:t>
            </w: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营业执照</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符合第二章“报价人须知”第11项规定，具备有效的营业执照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209"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资质要求</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符合第二章“报价人须知”前附表附录1的规定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209"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财务要求</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符合第二章“报价人须知”前附表附录2的规定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1209"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业绩要求</w:t>
            </w:r>
          </w:p>
        </w:tc>
        <w:tc>
          <w:tcPr>
            <w:tcW w:w="5642" w:type="dxa"/>
            <w:tcBorders>
              <w:top w:val="single" w:color="auto" w:sz="4" w:space="0"/>
              <w:left w:val="single" w:color="auto" w:sz="4" w:space="0"/>
              <w:bottom w:val="single" w:color="auto" w:sz="4" w:space="0"/>
            </w:tcBorders>
          </w:tcPr>
          <w:p>
            <w:pPr>
              <w:spacing w:line="400" w:lineRule="exact"/>
            </w:pPr>
            <w:r>
              <w:rPr>
                <w:rFonts w:hint="eastAsia"/>
              </w:rPr>
              <w:t>符合第二章“报价人须知”前附表附录3的规定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1209"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信誉要求</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符合第二章“报价人须知”前附表附录4的规定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1209"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ascii="宋体" w:hAnsi="宋体" w:cs="宋体"/>
                <w:szCs w:val="21"/>
              </w:rPr>
              <w:t>项目主要管理人员</w:t>
            </w:r>
            <w:r>
              <w:t>最低要求</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符合第二章“报价人须知”前附表附录5的规定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1209"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kern w:val="1"/>
              </w:rPr>
              <w:t>主要机械设备和试验检测设备最低要求</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符合第二章“报价人须知”前附表附录6的规定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209"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4</w:t>
            </w:r>
          </w:p>
        </w:tc>
        <w:tc>
          <w:tcPr>
            <w:tcW w:w="126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响应性评审标准</w:t>
            </w: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投标内容</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符合第二章“报价人须知”第7项规定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209" w:type="dxa"/>
            <w:vMerge w:val="continue"/>
            <w:tcBorders>
              <w:right w:val="single" w:color="auto" w:sz="4" w:space="0"/>
            </w:tcBorders>
            <w:vAlign w:val="center"/>
          </w:tcPr>
          <w:p>
            <w:pPr>
              <w:spacing w:line="400" w:lineRule="exact"/>
              <w:jc w:val="center"/>
            </w:pPr>
          </w:p>
        </w:tc>
        <w:tc>
          <w:tcPr>
            <w:tcW w:w="1263" w:type="dxa"/>
            <w:vMerge w:val="continue"/>
            <w:tcBorders>
              <w:left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报价</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符合比选文件给出的范围及数量，且报价不得超过采购人公布的最高限价，但也不得低于报价人的企业成本。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209"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工期</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符合第二章“报价人须知”第8项规定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209"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施工地点</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符合第二章“报价人须知”第3项规定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209"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质量标准</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符合第二章“报价人须知”第9项规定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209"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2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0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安全目标</w:t>
            </w:r>
          </w:p>
        </w:tc>
        <w:tc>
          <w:tcPr>
            <w:tcW w:w="5642" w:type="dxa"/>
            <w:tcBorders>
              <w:top w:val="single" w:color="auto" w:sz="4" w:space="0"/>
              <w:left w:val="single" w:color="auto" w:sz="4" w:space="0"/>
              <w:bottom w:val="single" w:color="auto" w:sz="4" w:space="0"/>
            </w:tcBorders>
            <w:vAlign w:val="center"/>
          </w:tcPr>
          <w:p>
            <w:pPr>
              <w:spacing w:line="400" w:lineRule="exact"/>
            </w:pPr>
            <w:r>
              <w:rPr>
                <w:rFonts w:hint="eastAsia"/>
              </w:rPr>
              <w:t>符合第二章“报价人须知”第10项规定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209" w:type="dxa"/>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1263" w:type="dxa"/>
            <w:tcBorders>
              <w:top w:val="single" w:color="auto" w:sz="4" w:space="0"/>
              <w:left w:val="single" w:color="auto" w:sz="4" w:space="0"/>
              <w:bottom w:val="single" w:color="auto" w:sz="4" w:space="0"/>
              <w:right w:val="single" w:color="auto" w:sz="4" w:space="0"/>
            </w:tcBorders>
            <w:vAlign w:val="center"/>
          </w:tcPr>
          <w:p>
            <w:pPr>
              <w:tabs>
                <w:tab w:val="left" w:pos="1875"/>
              </w:tabs>
              <w:spacing w:line="400" w:lineRule="exact"/>
              <w:jc w:val="center"/>
            </w:pPr>
            <w:r>
              <w:rPr>
                <w:rFonts w:hint="eastAsia" w:asciiTheme="minorEastAsia" w:hAnsiTheme="minorEastAsia" w:eastAsiaTheme="minorEastAsia" w:cstheme="minorEastAsia"/>
                <w:kern w:val="0"/>
                <w:szCs w:val="21"/>
              </w:rPr>
              <w:t>分值构成</w:t>
            </w:r>
          </w:p>
          <w:p>
            <w:pPr>
              <w:tabs>
                <w:tab w:val="left" w:pos="1875"/>
              </w:tabs>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(总分1O0分)</w:t>
            </w:r>
          </w:p>
        </w:tc>
        <w:tc>
          <w:tcPr>
            <w:tcW w:w="7692" w:type="dxa"/>
            <w:gridSpan w:val="2"/>
            <w:tcBorders>
              <w:top w:val="single" w:color="auto" w:sz="4" w:space="0"/>
              <w:left w:val="single" w:color="auto" w:sz="4" w:space="0"/>
              <w:bottom w:val="single" w:color="auto" w:sz="4" w:space="0"/>
            </w:tcBorders>
          </w:tcPr>
          <w:p>
            <w:pPr>
              <w:spacing w:line="400" w:lineRule="exact"/>
              <w:ind w:firstLine="420"/>
            </w:pPr>
            <w:r>
              <w:rPr>
                <w:rFonts w:hint="eastAsia"/>
              </w:rPr>
              <w:t>A：投标报价50分；</w:t>
            </w:r>
          </w:p>
          <w:p>
            <w:pPr>
              <w:spacing w:line="400" w:lineRule="exact"/>
              <w:ind w:firstLine="420"/>
            </w:pPr>
            <w:r>
              <w:rPr>
                <w:rFonts w:hint="eastAsia"/>
              </w:rPr>
              <w:t>B：商务部分20分；</w:t>
            </w:r>
          </w:p>
          <w:p>
            <w:pPr>
              <w:spacing w:line="400" w:lineRule="exact"/>
              <w:ind w:firstLine="420"/>
            </w:pPr>
            <w:r>
              <w:rPr>
                <w:rFonts w:hint="eastAsia"/>
              </w:rPr>
              <w:t>C：技术部分30分。</w:t>
            </w:r>
          </w:p>
        </w:tc>
      </w:tr>
    </w:tbl>
    <w:p>
      <w:pPr>
        <w:spacing w:line="400" w:lineRule="exact"/>
      </w:pPr>
    </w:p>
    <w:p>
      <w:pPr>
        <w:spacing w:line="400" w:lineRule="exact"/>
      </w:pPr>
      <w:r>
        <w:rPr>
          <w:rFonts w:hint="eastAsia"/>
        </w:rPr>
        <w:t>评分细则：</w:t>
      </w:r>
    </w:p>
    <w:tbl>
      <w:tblPr>
        <w:tblStyle w:val="41"/>
        <w:tblW w:w="10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164"/>
        <w:gridCol w:w="1050"/>
        <w:gridCol w:w="5646"/>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b/>
                <w:szCs w:val="21"/>
              </w:rPr>
            </w:pPr>
            <w:r>
              <w:rPr>
                <w:rFonts w:hint="eastAsia" w:ascii="宋体" w:hAnsi="宋体" w:cs="宋体"/>
                <w:b/>
                <w:szCs w:val="21"/>
              </w:rPr>
              <w:t>序号</w:t>
            </w:r>
          </w:p>
        </w:tc>
        <w:tc>
          <w:tcPr>
            <w:tcW w:w="116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b/>
                <w:szCs w:val="21"/>
              </w:rPr>
            </w:pPr>
            <w:r>
              <w:rPr>
                <w:rFonts w:hint="eastAsia" w:ascii="宋体" w:hAnsi="宋体" w:cs="宋体"/>
                <w:b/>
                <w:szCs w:val="21"/>
              </w:rPr>
              <w:t>评分因素</w:t>
            </w:r>
          </w:p>
          <w:p>
            <w:pPr>
              <w:snapToGrid w:val="0"/>
              <w:spacing w:line="400" w:lineRule="exact"/>
              <w:jc w:val="center"/>
              <w:rPr>
                <w:rFonts w:ascii="宋体" w:hAnsi="宋体" w:cs="宋体"/>
                <w:b/>
                <w:szCs w:val="21"/>
              </w:rPr>
            </w:pPr>
            <w:r>
              <w:rPr>
                <w:rFonts w:hint="eastAsia" w:ascii="宋体" w:hAnsi="宋体" w:cs="宋体"/>
                <w:b/>
                <w:szCs w:val="21"/>
              </w:rPr>
              <w:t>及权重</w:t>
            </w: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b/>
                <w:szCs w:val="21"/>
              </w:rPr>
            </w:pPr>
            <w:r>
              <w:rPr>
                <w:rFonts w:hint="eastAsia" w:ascii="宋体" w:hAnsi="宋体" w:cs="宋体"/>
                <w:b/>
                <w:szCs w:val="21"/>
              </w:rPr>
              <w:t>分值</w:t>
            </w:r>
          </w:p>
        </w:tc>
        <w:tc>
          <w:tcPr>
            <w:tcW w:w="564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b/>
                <w:szCs w:val="21"/>
              </w:rPr>
            </w:pPr>
            <w:r>
              <w:rPr>
                <w:rFonts w:hint="eastAsia" w:ascii="宋体" w:hAnsi="宋体" w:cs="宋体"/>
                <w:b/>
                <w:szCs w:val="21"/>
              </w:rPr>
              <w:t>评分标准</w:t>
            </w:r>
          </w:p>
        </w:tc>
        <w:tc>
          <w:tcPr>
            <w:tcW w:w="1558" w:type="dxa"/>
            <w:tcBorders>
              <w:top w:val="single" w:color="auto" w:sz="4" w:space="0"/>
              <w:left w:val="single" w:color="auto" w:sz="4" w:space="0"/>
              <w:bottom w:val="single" w:color="auto" w:sz="4" w:space="0"/>
              <w:right w:val="single" w:color="auto" w:sz="4" w:space="0"/>
            </w:tcBorders>
            <w:vAlign w:val="center"/>
          </w:tcPr>
          <w:p>
            <w:pPr>
              <w:pStyle w:val="171"/>
              <w:snapToGrid w:val="0"/>
              <w:spacing w:line="400" w:lineRule="exact"/>
              <w:rPr>
                <w:rFonts w:ascii="宋体" w:hAnsi="宋体" w:eastAsia="宋体" w:cs="宋体"/>
                <w:sz w:val="21"/>
                <w:szCs w:val="21"/>
              </w:rPr>
            </w:pPr>
            <w:r>
              <w:rPr>
                <w:rFonts w:hint="eastAsia" w:ascii="宋体" w:hAnsi="宋体" w:eastAsia="宋体" w:cs="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 xml:space="preserve">1 </w:t>
            </w:r>
          </w:p>
        </w:tc>
        <w:tc>
          <w:tcPr>
            <w:tcW w:w="116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投标报价</w:t>
            </w:r>
          </w:p>
          <w:p>
            <w:pPr>
              <w:snapToGrid w:val="0"/>
              <w:spacing w:line="400" w:lineRule="exact"/>
              <w:jc w:val="center"/>
              <w:rPr>
                <w:rFonts w:ascii="宋体" w:hAnsi="宋体" w:cs="宋体"/>
                <w:szCs w:val="21"/>
              </w:rPr>
            </w:pPr>
            <w:r>
              <w:rPr>
                <w:rFonts w:hint="eastAsia" w:ascii="宋体" w:hAnsi="宋体" w:cs="宋体"/>
                <w:szCs w:val="21"/>
              </w:rPr>
              <w:t>（50%）</w:t>
            </w: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50分</w:t>
            </w:r>
          </w:p>
        </w:tc>
        <w:tc>
          <w:tcPr>
            <w:tcW w:w="5646" w:type="dxa"/>
            <w:tcBorders>
              <w:top w:val="single" w:color="auto" w:sz="4" w:space="0"/>
              <w:left w:val="single" w:color="auto" w:sz="4" w:space="0"/>
              <w:bottom w:val="single" w:color="auto" w:sz="4" w:space="0"/>
              <w:right w:val="single" w:color="auto" w:sz="4" w:space="0"/>
            </w:tcBorders>
            <w:vAlign w:val="center"/>
          </w:tcPr>
          <w:p>
            <w:pPr>
              <w:pStyle w:val="40"/>
              <w:spacing w:line="400" w:lineRule="exact"/>
              <w:ind w:firstLine="210"/>
              <w:contextualSpacing/>
              <w:rPr>
                <w:rFonts w:hAnsi="宋体" w:eastAsia="宋体" w:cs="宋体"/>
                <w:sz w:val="21"/>
                <w:szCs w:val="21"/>
              </w:rPr>
            </w:pPr>
            <w:r>
              <w:rPr>
                <w:rFonts w:hint="eastAsia" w:hAnsi="宋体" w:eastAsia="宋体" w:cs="宋体"/>
                <w:sz w:val="21"/>
                <w:szCs w:val="21"/>
              </w:rPr>
              <w:t>（1）满足招标文件要求，有效的投标报价的平均值为评标基准价。</w:t>
            </w:r>
          </w:p>
          <w:p>
            <w:pPr>
              <w:pStyle w:val="40"/>
              <w:spacing w:line="400" w:lineRule="exact"/>
              <w:ind w:firstLine="210"/>
              <w:contextualSpacing/>
              <w:rPr>
                <w:rFonts w:hAnsi="宋体" w:eastAsia="宋体" w:cs="宋体"/>
                <w:sz w:val="21"/>
                <w:szCs w:val="21"/>
              </w:rPr>
            </w:pPr>
            <w:r>
              <w:rPr>
                <w:rFonts w:hint="eastAsia" w:hAnsi="宋体" w:eastAsia="宋体" w:cs="宋体"/>
                <w:sz w:val="21"/>
                <w:szCs w:val="21"/>
              </w:rPr>
              <w:t>（2）偏差率=100%×（投标人报价－评标基准价）/评标基准价（线性得分）。</w:t>
            </w:r>
          </w:p>
          <w:p>
            <w:pPr>
              <w:pStyle w:val="40"/>
              <w:spacing w:line="400" w:lineRule="exact"/>
              <w:ind w:firstLine="210"/>
              <w:contextualSpacing/>
              <w:rPr>
                <w:rFonts w:hAnsi="宋体" w:eastAsia="宋体" w:cs="宋体"/>
                <w:sz w:val="21"/>
                <w:szCs w:val="21"/>
              </w:rPr>
            </w:pPr>
            <w:r>
              <w:rPr>
                <w:rFonts w:hint="eastAsia" w:hAnsi="宋体" w:eastAsia="宋体" w:cs="宋体"/>
                <w:sz w:val="21"/>
                <w:szCs w:val="21"/>
              </w:rPr>
              <w:t>（3）经评审的有效投标报价与评标基准价相比，等于基准价的得50分，每增加1%扣0.5分，每减少1%扣0.25分，扣完为止。</w:t>
            </w:r>
          </w:p>
          <w:p>
            <w:pPr>
              <w:pStyle w:val="40"/>
              <w:spacing w:line="400" w:lineRule="exact"/>
              <w:ind w:firstLine="210"/>
              <w:contextualSpacing/>
              <w:rPr>
                <w:rFonts w:hAnsi="宋体" w:eastAsia="宋体" w:cs="宋体"/>
                <w:sz w:val="21"/>
                <w:szCs w:val="21"/>
              </w:rPr>
            </w:pPr>
            <w:r>
              <w:rPr>
                <w:rFonts w:hint="eastAsia" w:hAnsi="宋体" w:eastAsia="宋体" w:cs="宋体"/>
                <w:sz w:val="21"/>
                <w:szCs w:val="21"/>
              </w:rPr>
              <w:t>（4）结果保留2位小数。</w:t>
            </w:r>
          </w:p>
        </w:tc>
        <w:tc>
          <w:tcPr>
            <w:tcW w:w="1558" w:type="dxa"/>
            <w:tcBorders>
              <w:top w:val="single" w:color="auto" w:sz="4" w:space="0"/>
              <w:left w:val="single" w:color="auto" w:sz="4" w:space="0"/>
              <w:bottom w:val="single" w:color="auto" w:sz="4" w:space="0"/>
              <w:right w:val="single" w:color="auto" w:sz="4" w:space="0"/>
            </w:tcBorders>
            <w:vAlign w:val="center"/>
          </w:tcPr>
          <w:p>
            <w:pPr>
              <w:pStyle w:val="40"/>
              <w:spacing w:line="400" w:lineRule="exact"/>
              <w:ind w:firstLine="210"/>
              <w:rPr>
                <w:rFonts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11"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 xml:space="preserve">2 </w:t>
            </w:r>
          </w:p>
        </w:tc>
        <w:tc>
          <w:tcPr>
            <w:tcW w:w="1164"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技术部分</w:t>
            </w:r>
          </w:p>
          <w:p>
            <w:pPr>
              <w:snapToGrid w:val="0"/>
              <w:spacing w:line="400" w:lineRule="exact"/>
              <w:jc w:val="center"/>
              <w:rPr>
                <w:rFonts w:ascii="宋体" w:hAnsi="宋体" w:cs="宋体"/>
                <w:szCs w:val="21"/>
              </w:rPr>
            </w:pPr>
            <w:r>
              <w:rPr>
                <w:rFonts w:hint="eastAsia" w:ascii="宋体" w:hAnsi="宋体" w:cs="宋体"/>
                <w:szCs w:val="21"/>
              </w:rPr>
              <w:t>30%</w:t>
            </w:r>
          </w:p>
        </w:tc>
        <w:tc>
          <w:tcPr>
            <w:tcW w:w="105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bCs/>
                <w:szCs w:val="21"/>
              </w:rPr>
            </w:pPr>
            <w:r>
              <w:rPr>
                <w:rFonts w:hint="eastAsia" w:ascii="宋体" w:hAnsi="宋体" w:cs="宋体"/>
                <w:bCs/>
                <w:szCs w:val="21"/>
              </w:rPr>
              <w:t>一、技术方案 （24分）</w:t>
            </w:r>
          </w:p>
        </w:tc>
        <w:tc>
          <w:tcPr>
            <w:tcW w:w="5646" w:type="dxa"/>
            <w:tcBorders>
              <w:top w:val="single" w:color="auto" w:sz="4" w:space="0"/>
              <w:left w:val="single" w:color="auto" w:sz="4" w:space="0"/>
              <w:bottom w:val="single" w:color="auto" w:sz="4" w:space="0"/>
              <w:right w:val="single" w:color="auto" w:sz="4" w:space="0"/>
            </w:tcBorders>
            <w:vAlign w:val="center"/>
          </w:tcPr>
          <w:p>
            <w:pPr>
              <w:pStyle w:val="40"/>
              <w:spacing w:line="400" w:lineRule="exact"/>
              <w:ind w:firstLine="210"/>
              <w:contextualSpacing/>
              <w:rPr>
                <w:rFonts w:hAnsi="宋体" w:eastAsia="宋体" w:cs="宋体"/>
                <w:sz w:val="21"/>
                <w:szCs w:val="21"/>
              </w:rPr>
            </w:pPr>
            <w:r>
              <w:rPr>
                <w:rFonts w:hint="eastAsia" w:hAnsi="宋体" w:eastAsia="宋体" w:cs="宋体"/>
                <w:sz w:val="21"/>
                <w:szCs w:val="21"/>
              </w:rPr>
              <w:t>1、现状及需求分析（3分）</w:t>
            </w:r>
          </w:p>
          <w:p>
            <w:pPr>
              <w:pStyle w:val="40"/>
              <w:spacing w:line="400" w:lineRule="exact"/>
              <w:ind w:firstLine="210"/>
              <w:contextualSpacing/>
              <w:rPr>
                <w:rFonts w:hAnsi="宋体" w:eastAsia="宋体" w:cs="宋体"/>
                <w:sz w:val="21"/>
                <w:szCs w:val="21"/>
              </w:rPr>
            </w:pPr>
            <w:r>
              <w:rPr>
                <w:rFonts w:hint="eastAsia" w:hAnsi="宋体" w:eastAsia="宋体" w:cs="宋体"/>
                <w:sz w:val="21"/>
                <w:szCs w:val="21"/>
              </w:rPr>
              <w:t>技术方案须提供对本项目的现状及需求分析。在充分理解本项目整体要求的前提下，对项目现状、相关用户、功能需求、存在问题有详细准确的阐述。优得3分，良得2分，一般得1分，差或无内容得0分。</w:t>
            </w:r>
          </w:p>
        </w:tc>
        <w:tc>
          <w:tcPr>
            <w:tcW w:w="1558" w:type="dxa"/>
            <w:vMerge w:val="restart"/>
            <w:tcBorders>
              <w:top w:val="single" w:color="auto" w:sz="4" w:space="0"/>
              <w:left w:val="single" w:color="auto" w:sz="4" w:space="0"/>
              <w:right w:val="single" w:color="auto" w:sz="4" w:space="0"/>
            </w:tcBorders>
            <w:vAlign w:val="center"/>
          </w:tcPr>
          <w:p>
            <w:pPr>
              <w:pStyle w:val="40"/>
              <w:spacing w:line="400" w:lineRule="exact"/>
              <w:ind w:firstLine="210"/>
              <w:rPr>
                <w:rFonts w:hAnsi="宋体" w:eastAsia="宋体" w:cs="宋体"/>
                <w:sz w:val="21"/>
                <w:szCs w:val="21"/>
              </w:rPr>
            </w:pPr>
            <w:r>
              <w:rPr>
                <w:rFonts w:hint="eastAsia" w:hAnsi="宋体" w:eastAsia="宋体" w:cs="宋体"/>
                <w:sz w:val="21"/>
                <w:szCs w:val="21"/>
              </w:rPr>
              <w:t>1.根据投标人提供的方案独立评审打分。</w:t>
            </w:r>
          </w:p>
          <w:p>
            <w:pPr>
              <w:pStyle w:val="40"/>
              <w:spacing w:line="400" w:lineRule="exact"/>
              <w:ind w:firstLine="210"/>
              <w:rPr>
                <w:rFonts w:hAnsi="宋体" w:eastAsia="宋体" w:cs="宋体"/>
                <w:sz w:val="21"/>
                <w:szCs w:val="21"/>
              </w:rPr>
            </w:pPr>
            <w:r>
              <w:rPr>
                <w:rFonts w:hint="eastAsia" w:hAnsi="宋体" w:eastAsia="宋体" w:cs="宋体"/>
                <w:sz w:val="21"/>
                <w:szCs w:val="21"/>
              </w:rPr>
              <w:t>2.方案科学合理，有针对性，符合项目实际情况且表述清晰有逻辑性的为“优”；方案科学合理，有针对性，符合项目实际情况且表述清晰有逻辑性，但稍有不足的为“良”；方案基本符合项目情况，有针对性但逻辑性和表述有欠缺的，为“一般”；方案科学合理性不足，或针对性不足，或存在不符合项目实际情况或表述模糊无逻辑性的，为“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vMerge w:val="continue"/>
            <w:tcBorders>
              <w:left w:val="single" w:color="auto" w:sz="4" w:space="0"/>
              <w:right w:val="single" w:color="auto" w:sz="4" w:space="0"/>
            </w:tcBorders>
            <w:vAlign w:val="center"/>
          </w:tcPr>
          <w:p>
            <w:pPr>
              <w:widowControl/>
              <w:spacing w:beforeAutospacing="1"/>
              <w:jc w:val="left"/>
              <w:rPr>
                <w:rFonts w:ascii="宋体" w:hAnsi="宋体" w:cs="宋体"/>
                <w:szCs w:val="21"/>
              </w:rPr>
            </w:pPr>
          </w:p>
        </w:tc>
        <w:tc>
          <w:tcPr>
            <w:tcW w:w="1164" w:type="dxa"/>
            <w:vMerge w:val="continue"/>
            <w:tcBorders>
              <w:left w:val="single" w:color="auto" w:sz="4" w:space="0"/>
              <w:right w:val="single" w:color="auto" w:sz="4" w:space="0"/>
            </w:tcBorders>
            <w:vAlign w:val="center"/>
          </w:tcPr>
          <w:p>
            <w:pPr>
              <w:widowControl/>
              <w:spacing w:beforeAutospacing="1"/>
              <w:jc w:val="left"/>
              <w:rPr>
                <w:rFonts w:ascii="宋体" w:hAnsi="宋体" w:cs="宋体"/>
                <w:szCs w:val="21"/>
              </w:rPr>
            </w:pPr>
          </w:p>
        </w:tc>
        <w:tc>
          <w:tcPr>
            <w:tcW w:w="1050" w:type="dxa"/>
            <w:vMerge w:val="continue"/>
            <w:tcBorders>
              <w:left w:val="single" w:color="auto" w:sz="4" w:space="0"/>
              <w:right w:val="single" w:color="auto" w:sz="4" w:space="0"/>
            </w:tcBorders>
            <w:vAlign w:val="center"/>
          </w:tcPr>
          <w:p>
            <w:pPr>
              <w:widowControl/>
              <w:spacing w:beforeAutospacing="1"/>
              <w:jc w:val="left"/>
              <w:rPr>
                <w:rFonts w:ascii="宋体" w:hAnsi="宋体" w:cs="宋体"/>
                <w:szCs w:val="21"/>
              </w:rPr>
            </w:pPr>
          </w:p>
        </w:tc>
        <w:tc>
          <w:tcPr>
            <w:tcW w:w="5646" w:type="dxa"/>
            <w:tcBorders>
              <w:top w:val="single" w:color="auto" w:sz="4" w:space="0"/>
              <w:left w:val="single" w:color="auto" w:sz="4" w:space="0"/>
              <w:bottom w:val="single" w:color="auto" w:sz="4" w:space="0"/>
              <w:right w:val="single" w:color="auto" w:sz="4" w:space="0"/>
            </w:tcBorders>
            <w:vAlign w:val="center"/>
          </w:tcPr>
          <w:p>
            <w:pPr>
              <w:pStyle w:val="40"/>
              <w:spacing w:line="400" w:lineRule="exact"/>
              <w:ind w:firstLine="210"/>
              <w:contextualSpacing/>
              <w:rPr>
                <w:rFonts w:hAnsi="宋体" w:eastAsia="宋体" w:cs="宋体"/>
                <w:sz w:val="21"/>
                <w:szCs w:val="21"/>
              </w:rPr>
            </w:pPr>
            <w:r>
              <w:rPr>
                <w:rFonts w:hint="eastAsia" w:hAnsi="宋体" w:eastAsia="宋体" w:cs="宋体"/>
                <w:sz w:val="21"/>
                <w:szCs w:val="21"/>
              </w:rPr>
              <w:t>2、技术方案总体架构（9分）</w:t>
            </w:r>
          </w:p>
          <w:p>
            <w:pPr>
              <w:pStyle w:val="40"/>
              <w:spacing w:line="400" w:lineRule="exact"/>
              <w:ind w:firstLine="210"/>
              <w:contextualSpacing/>
              <w:rPr>
                <w:rFonts w:hAnsi="宋体" w:eastAsia="宋体" w:cs="宋体"/>
                <w:sz w:val="21"/>
                <w:szCs w:val="21"/>
              </w:rPr>
            </w:pPr>
            <w:r>
              <w:rPr>
                <w:rFonts w:hint="eastAsia" w:hAnsi="宋体" w:eastAsia="宋体" w:cs="宋体"/>
                <w:sz w:val="21"/>
                <w:szCs w:val="21"/>
              </w:rPr>
              <w:t>技术方案须提供对系统的总体构架、数据架构、运行架构的描述。方案完整合理，总体架构设计先进合理，技术路线成熟可靠、功能实现充分符合采购人业务现状及未来发展需要。</w:t>
            </w:r>
          </w:p>
          <w:p>
            <w:pPr>
              <w:pStyle w:val="40"/>
              <w:spacing w:line="400" w:lineRule="exact"/>
              <w:ind w:firstLine="210"/>
              <w:contextualSpacing/>
              <w:rPr>
                <w:rFonts w:hAnsi="宋体" w:eastAsia="宋体" w:cs="宋体"/>
                <w:sz w:val="21"/>
                <w:szCs w:val="21"/>
              </w:rPr>
            </w:pPr>
            <w:r>
              <w:rPr>
                <w:rFonts w:hint="eastAsia" w:hAnsi="宋体" w:eastAsia="宋体" w:cs="宋体"/>
                <w:sz w:val="21"/>
                <w:szCs w:val="21"/>
              </w:rPr>
              <w:t>优得9分，良得6分，一般得3分，差或无内容得0分。</w:t>
            </w:r>
          </w:p>
        </w:tc>
        <w:tc>
          <w:tcPr>
            <w:tcW w:w="1558" w:type="dxa"/>
            <w:vMerge w:val="continue"/>
            <w:tcBorders>
              <w:left w:val="single" w:color="auto" w:sz="4" w:space="0"/>
              <w:right w:val="single" w:color="auto" w:sz="4" w:space="0"/>
            </w:tcBorders>
            <w:vAlign w:val="center"/>
          </w:tcPr>
          <w:p>
            <w:pPr>
              <w:widowControl/>
              <w:spacing w:beforeAutospacing="1"/>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vMerge w:val="continue"/>
            <w:tcBorders>
              <w:left w:val="single" w:color="auto" w:sz="4" w:space="0"/>
              <w:right w:val="single" w:color="auto" w:sz="4" w:space="0"/>
            </w:tcBorders>
            <w:vAlign w:val="center"/>
          </w:tcPr>
          <w:p>
            <w:pPr>
              <w:widowControl/>
              <w:spacing w:beforeAutospacing="1"/>
              <w:jc w:val="left"/>
              <w:rPr>
                <w:rFonts w:ascii="宋体" w:hAnsi="宋体" w:cs="宋体"/>
                <w:szCs w:val="21"/>
              </w:rPr>
            </w:pPr>
          </w:p>
        </w:tc>
        <w:tc>
          <w:tcPr>
            <w:tcW w:w="1164" w:type="dxa"/>
            <w:vMerge w:val="continue"/>
            <w:tcBorders>
              <w:left w:val="single" w:color="auto" w:sz="4" w:space="0"/>
              <w:right w:val="single" w:color="auto" w:sz="4" w:space="0"/>
            </w:tcBorders>
            <w:vAlign w:val="center"/>
          </w:tcPr>
          <w:p>
            <w:pPr>
              <w:widowControl/>
              <w:spacing w:beforeAutospacing="1"/>
              <w:jc w:val="left"/>
              <w:rPr>
                <w:rFonts w:ascii="宋体" w:hAnsi="宋体" w:cs="宋体"/>
                <w:szCs w:val="21"/>
              </w:rPr>
            </w:pPr>
          </w:p>
        </w:tc>
        <w:tc>
          <w:tcPr>
            <w:tcW w:w="1050" w:type="dxa"/>
            <w:vMerge w:val="continue"/>
            <w:tcBorders>
              <w:left w:val="single" w:color="auto" w:sz="4" w:space="0"/>
              <w:right w:val="single" w:color="auto" w:sz="4" w:space="0"/>
            </w:tcBorders>
            <w:vAlign w:val="center"/>
          </w:tcPr>
          <w:p>
            <w:pPr>
              <w:widowControl/>
              <w:spacing w:beforeAutospacing="1"/>
              <w:jc w:val="left"/>
              <w:rPr>
                <w:rFonts w:ascii="宋体" w:hAnsi="宋体" w:cs="宋体"/>
                <w:szCs w:val="21"/>
              </w:rPr>
            </w:pPr>
          </w:p>
        </w:tc>
        <w:tc>
          <w:tcPr>
            <w:tcW w:w="5646" w:type="dxa"/>
            <w:tcBorders>
              <w:top w:val="single" w:color="auto" w:sz="4" w:space="0"/>
              <w:left w:val="single" w:color="auto" w:sz="4" w:space="0"/>
              <w:bottom w:val="single" w:color="auto" w:sz="4" w:space="0"/>
              <w:right w:val="single" w:color="auto" w:sz="4" w:space="0"/>
            </w:tcBorders>
            <w:vAlign w:val="center"/>
          </w:tcPr>
          <w:p>
            <w:pPr>
              <w:pStyle w:val="40"/>
              <w:spacing w:line="400" w:lineRule="exact"/>
              <w:ind w:firstLine="210"/>
              <w:contextualSpacing/>
              <w:rPr>
                <w:rFonts w:hAnsi="宋体" w:eastAsia="宋体" w:cs="宋体"/>
                <w:sz w:val="21"/>
                <w:szCs w:val="21"/>
              </w:rPr>
            </w:pPr>
            <w:r>
              <w:rPr>
                <w:rFonts w:hint="eastAsia" w:hAnsi="宋体" w:eastAsia="宋体" w:cs="宋体"/>
                <w:sz w:val="21"/>
                <w:szCs w:val="21"/>
              </w:rPr>
              <w:t>3、系统功能建设（12分）</w:t>
            </w:r>
          </w:p>
          <w:p>
            <w:pPr>
              <w:pStyle w:val="40"/>
              <w:spacing w:line="400" w:lineRule="exact"/>
              <w:ind w:firstLine="210"/>
              <w:contextualSpacing/>
              <w:rPr>
                <w:rFonts w:hAnsi="宋体" w:eastAsia="宋体" w:cs="宋体"/>
                <w:sz w:val="21"/>
                <w:szCs w:val="21"/>
              </w:rPr>
            </w:pPr>
            <w:r>
              <w:rPr>
                <w:rFonts w:hint="eastAsia" w:hAnsi="宋体" w:eastAsia="宋体" w:cs="宋体"/>
                <w:sz w:val="21"/>
                <w:szCs w:val="21"/>
              </w:rPr>
              <w:t>投标人在满足招标文件的建设要求的前提下，提供具体的功能及建设方案，内容包含但不限于：</w:t>
            </w:r>
          </w:p>
          <w:p>
            <w:pPr>
              <w:pStyle w:val="40"/>
              <w:spacing w:line="400" w:lineRule="exact"/>
              <w:ind w:firstLine="210"/>
              <w:contextualSpacing/>
              <w:rPr>
                <w:rFonts w:hAnsi="宋体" w:eastAsia="宋体" w:cs="宋体"/>
                <w:sz w:val="21"/>
                <w:szCs w:val="21"/>
              </w:rPr>
            </w:pPr>
            <w:r>
              <w:rPr>
                <w:rFonts w:hint="eastAsia" w:hAnsi="宋体" w:eastAsia="宋体" w:cs="宋体"/>
                <w:sz w:val="21"/>
                <w:szCs w:val="21"/>
              </w:rPr>
              <w:t>3.1技术方案能够详细阐述土地一张图功能和技术方案。</w:t>
            </w:r>
          </w:p>
          <w:p>
            <w:pPr>
              <w:pStyle w:val="40"/>
              <w:spacing w:line="400" w:lineRule="exact"/>
              <w:ind w:firstLine="210"/>
              <w:contextualSpacing/>
              <w:rPr>
                <w:rFonts w:hAnsi="宋体" w:eastAsia="宋体" w:cs="宋体"/>
                <w:sz w:val="21"/>
                <w:szCs w:val="21"/>
              </w:rPr>
            </w:pPr>
            <w:r>
              <w:rPr>
                <w:rFonts w:hint="eastAsia" w:hAnsi="宋体" w:eastAsia="宋体" w:cs="宋体"/>
                <w:sz w:val="21"/>
                <w:szCs w:val="21"/>
              </w:rPr>
              <w:t>3.2技术方案能够详细阐述土地资源现状监测的相关技术方案及功能。</w:t>
            </w:r>
          </w:p>
          <w:p>
            <w:pPr>
              <w:pStyle w:val="40"/>
              <w:spacing w:line="400" w:lineRule="exact"/>
              <w:ind w:firstLine="210"/>
              <w:contextualSpacing/>
              <w:rPr>
                <w:rFonts w:hAnsi="宋体" w:eastAsia="宋体" w:cs="宋体"/>
                <w:sz w:val="21"/>
                <w:szCs w:val="21"/>
              </w:rPr>
            </w:pPr>
            <w:r>
              <w:rPr>
                <w:rFonts w:hint="eastAsia" w:hAnsi="宋体" w:eastAsia="宋体" w:cs="宋体"/>
                <w:sz w:val="21"/>
                <w:szCs w:val="21"/>
              </w:rPr>
              <w:t>3.3技术方案能够详细阐述土地监测监管移动端巡查APP功能及处置流程的相关技术方案及功能。</w:t>
            </w:r>
          </w:p>
          <w:p>
            <w:pPr>
              <w:pStyle w:val="40"/>
              <w:spacing w:line="400" w:lineRule="exact"/>
              <w:ind w:firstLine="210"/>
              <w:contextualSpacing/>
              <w:rPr>
                <w:rFonts w:hAnsi="宋体" w:eastAsia="宋体" w:cs="宋体"/>
                <w:sz w:val="21"/>
                <w:szCs w:val="21"/>
              </w:rPr>
            </w:pPr>
            <w:r>
              <w:rPr>
                <w:rFonts w:hint="eastAsia" w:hAnsi="宋体" w:eastAsia="宋体" w:cs="宋体"/>
                <w:sz w:val="21"/>
                <w:szCs w:val="21"/>
              </w:rPr>
              <w:t>3.4技术方案能够详细阐述综合服务支撑模块功能和技术方案。</w:t>
            </w:r>
          </w:p>
          <w:p>
            <w:pPr>
              <w:pStyle w:val="40"/>
              <w:spacing w:line="400" w:lineRule="exact"/>
              <w:ind w:firstLine="210"/>
              <w:contextualSpacing/>
              <w:rPr>
                <w:rFonts w:hAnsi="宋体" w:eastAsia="宋体" w:cs="宋体"/>
                <w:sz w:val="21"/>
                <w:szCs w:val="21"/>
              </w:rPr>
            </w:pPr>
            <w:r>
              <w:rPr>
                <w:rFonts w:hint="eastAsia" w:hAnsi="宋体" w:eastAsia="宋体" w:cs="宋体"/>
                <w:sz w:val="21"/>
                <w:szCs w:val="21"/>
              </w:rPr>
              <w:t>上述3.1-3.4项，根据方案整体技术的先进性、完整性、可行性、可扩展性等方面进行评审，内容每项评为优得4分，良得2分，一般得1分，差或无内容得0分，最高得12分。</w:t>
            </w:r>
          </w:p>
        </w:tc>
        <w:tc>
          <w:tcPr>
            <w:tcW w:w="1558" w:type="dxa"/>
            <w:vMerge w:val="continue"/>
            <w:tcBorders>
              <w:left w:val="single" w:color="auto" w:sz="4" w:space="0"/>
              <w:right w:val="single" w:color="auto" w:sz="4" w:space="0"/>
            </w:tcBorders>
            <w:vAlign w:val="center"/>
          </w:tcPr>
          <w:p>
            <w:pPr>
              <w:widowControl/>
              <w:spacing w:beforeAutospacing="1"/>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vMerge w:val="continue"/>
            <w:tcBorders>
              <w:left w:val="single" w:color="auto" w:sz="4" w:space="0"/>
              <w:right w:val="single" w:color="auto" w:sz="4" w:space="0"/>
            </w:tcBorders>
            <w:vAlign w:val="center"/>
          </w:tcPr>
          <w:p>
            <w:pPr>
              <w:widowControl/>
              <w:spacing w:beforeAutospacing="1"/>
              <w:jc w:val="left"/>
              <w:rPr>
                <w:rFonts w:ascii="宋体" w:hAnsi="宋体" w:cs="宋体"/>
                <w:szCs w:val="21"/>
              </w:rPr>
            </w:pPr>
          </w:p>
        </w:tc>
        <w:tc>
          <w:tcPr>
            <w:tcW w:w="1164" w:type="dxa"/>
            <w:vMerge w:val="continue"/>
            <w:tcBorders>
              <w:left w:val="single" w:color="auto" w:sz="4" w:space="0"/>
              <w:right w:val="single" w:color="auto" w:sz="4" w:space="0"/>
            </w:tcBorders>
            <w:vAlign w:val="center"/>
          </w:tcPr>
          <w:p>
            <w:pPr>
              <w:widowControl/>
              <w:spacing w:beforeAutospacing="1"/>
              <w:jc w:val="left"/>
              <w:rPr>
                <w:rFonts w:ascii="宋体" w:hAnsi="宋体" w:cs="宋体"/>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numPr>
                <w:ilvl w:val="0"/>
                <w:numId w:val="5"/>
              </w:numPr>
              <w:snapToGrid w:val="0"/>
              <w:spacing w:line="400" w:lineRule="exact"/>
              <w:jc w:val="center"/>
              <w:rPr>
                <w:rFonts w:ascii="宋体" w:hAnsi="宋体" w:cs="宋体"/>
                <w:bCs/>
                <w:szCs w:val="21"/>
              </w:rPr>
            </w:pPr>
            <w:r>
              <w:rPr>
                <w:rFonts w:hint="eastAsia" w:ascii="宋体" w:hAnsi="宋体" w:cs="宋体"/>
                <w:bCs/>
                <w:szCs w:val="21"/>
              </w:rPr>
              <w:t>组织实施</w:t>
            </w:r>
          </w:p>
          <w:p>
            <w:pPr>
              <w:snapToGrid w:val="0"/>
              <w:spacing w:line="400" w:lineRule="exact"/>
              <w:rPr>
                <w:rFonts w:ascii="宋体" w:hAnsi="宋体" w:cs="宋体"/>
                <w:szCs w:val="21"/>
              </w:rPr>
            </w:pPr>
            <w:r>
              <w:rPr>
                <w:rFonts w:hint="eastAsia" w:ascii="宋体" w:hAnsi="宋体" w:cs="宋体"/>
                <w:bCs/>
                <w:szCs w:val="21"/>
              </w:rPr>
              <w:t>（3分）</w:t>
            </w:r>
          </w:p>
        </w:tc>
        <w:tc>
          <w:tcPr>
            <w:tcW w:w="5646" w:type="dxa"/>
            <w:tcBorders>
              <w:top w:val="single" w:color="auto" w:sz="4" w:space="0"/>
              <w:left w:val="single" w:color="auto" w:sz="4" w:space="0"/>
              <w:bottom w:val="single" w:color="auto" w:sz="4" w:space="0"/>
              <w:right w:val="single" w:color="auto" w:sz="4" w:space="0"/>
            </w:tcBorders>
            <w:vAlign w:val="center"/>
          </w:tcPr>
          <w:p>
            <w:pPr>
              <w:pStyle w:val="40"/>
              <w:spacing w:line="400" w:lineRule="exact"/>
              <w:ind w:firstLine="210"/>
              <w:contextualSpacing/>
              <w:rPr>
                <w:rFonts w:hAnsi="宋体" w:eastAsia="宋体" w:cs="宋体"/>
                <w:sz w:val="21"/>
                <w:szCs w:val="21"/>
              </w:rPr>
            </w:pPr>
            <w:r>
              <w:rPr>
                <w:rFonts w:hint="eastAsia" w:hAnsi="宋体" w:eastAsia="宋体" w:cs="宋体"/>
                <w:sz w:val="21"/>
                <w:szCs w:val="21"/>
              </w:rPr>
              <w:t>投标方案中实施计划合理，包括组织机构、岗位、人员、时间设置方案设计得当，符合项目实际需求情况，并有项目实施进度计划。优得3分，良得2分，一般得1分，差或无内容得0分。</w:t>
            </w:r>
          </w:p>
        </w:tc>
        <w:tc>
          <w:tcPr>
            <w:tcW w:w="1558" w:type="dxa"/>
            <w:vMerge w:val="continue"/>
            <w:tcBorders>
              <w:left w:val="single" w:color="auto" w:sz="4" w:space="0"/>
              <w:right w:val="single" w:color="auto" w:sz="4" w:space="0"/>
            </w:tcBorders>
            <w:vAlign w:val="center"/>
          </w:tcPr>
          <w:p>
            <w:pPr>
              <w:widowControl/>
              <w:spacing w:beforeAutospacing="1"/>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vMerge w:val="continue"/>
            <w:tcBorders>
              <w:left w:val="single" w:color="auto" w:sz="4" w:space="0"/>
              <w:bottom w:val="single" w:color="auto" w:sz="4" w:space="0"/>
              <w:right w:val="single" w:color="auto" w:sz="4" w:space="0"/>
            </w:tcBorders>
            <w:vAlign w:val="center"/>
          </w:tcPr>
          <w:p>
            <w:pPr>
              <w:widowControl/>
              <w:spacing w:beforeAutospacing="1"/>
              <w:jc w:val="left"/>
              <w:rPr>
                <w:rFonts w:ascii="宋体" w:hAnsi="宋体" w:cs="宋体"/>
                <w:szCs w:val="21"/>
              </w:rPr>
            </w:pPr>
          </w:p>
        </w:tc>
        <w:tc>
          <w:tcPr>
            <w:tcW w:w="1164" w:type="dxa"/>
            <w:vMerge w:val="continue"/>
            <w:tcBorders>
              <w:left w:val="single" w:color="auto" w:sz="4" w:space="0"/>
              <w:bottom w:val="single" w:color="auto" w:sz="4" w:space="0"/>
              <w:right w:val="single" w:color="auto" w:sz="4" w:space="0"/>
            </w:tcBorders>
            <w:vAlign w:val="center"/>
          </w:tcPr>
          <w:p>
            <w:pPr>
              <w:widowControl/>
              <w:spacing w:beforeAutospacing="1"/>
              <w:jc w:val="left"/>
              <w:rPr>
                <w:rFonts w:ascii="宋体" w:hAnsi="宋体" w:cs="宋体"/>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numPr>
                <w:ilvl w:val="0"/>
                <w:numId w:val="6"/>
              </w:numPr>
              <w:snapToGrid w:val="0"/>
              <w:spacing w:line="400" w:lineRule="exact"/>
              <w:jc w:val="center"/>
              <w:rPr>
                <w:rFonts w:ascii="宋体" w:hAnsi="宋体" w:cs="宋体"/>
                <w:bCs/>
                <w:szCs w:val="21"/>
              </w:rPr>
            </w:pPr>
            <w:r>
              <w:rPr>
                <w:rFonts w:hint="eastAsia" w:ascii="宋体" w:hAnsi="宋体" w:cs="宋体"/>
                <w:bCs/>
                <w:szCs w:val="21"/>
              </w:rPr>
              <w:t>售后服务（3分）</w:t>
            </w:r>
          </w:p>
        </w:tc>
        <w:tc>
          <w:tcPr>
            <w:tcW w:w="5646" w:type="dxa"/>
            <w:tcBorders>
              <w:top w:val="single" w:color="auto" w:sz="4" w:space="0"/>
              <w:left w:val="single" w:color="auto" w:sz="4" w:space="0"/>
              <w:bottom w:val="single" w:color="auto" w:sz="4" w:space="0"/>
              <w:right w:val="single" w:color="auto" w:sz="4" w:space="0"/>
            </w:tcBorders>
            <w:vAlign w:val="center"/>
          </w:tcPr>
          <w:p>
            <w:pPr>
              <w:pStyle w:val="40"/>
              <w:spacing w:line="400" w:lineRule="exact"/>
              <w:ind w:firstLine="210"/>
              <w:contextualSpacing/>
              <w:rPr>
                <w:rFonts w:hAnsi="宋体" w:eastAsia="宋体" w:cs="宋体"/>
                <w:sz w:val="21"/>
                <w:szCs w:val="21"/>
              </w:rPr>
            </w:pPr>
            <w:r>
              <w:rPr>
                <w:rFonts w:hint="eastAsia" w:hAnsi="宋体" w:eastAsia="宋体" w:cs="宋体"/>
                <w:sz w:val="21"/>
                <w:szCs w:val="21"/>
              </w:rPr>
              <w:t>投标方案中售后服务方案内容完善，服务期限合采购要求，服务响应及时，服务体系科学；优得3分，良得2分，一般得1分，差或无内容得0分。</w:t>
            </w:r>
          </w:p>
        </w:tc>
        <w:tc>
          <w:tcPr>
            <w:tcW w:w="1558" w:type="dxa"/>
            <w:vMerge w:val="continue"/>
            <w:tcBorders>
              <w:left w:val="single" w:color="auto" w:sz="4" w:space="0"/>
              <w:bottom w:val="single" w:color="auto" w:sz="4" w:space="0"/>
              <w:right w:val="single" w:color="auto" w:sz="4" w:space="0"/>
            </w:tcBorders>
            <w:vAlign w:val="center"/>
          </w:tcPr>
          <w:p>
            <w:pPr>
              <w:widowControl/>
              <w:spacing w:beforeAutospacing="1"/>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3</w:t>
            </w:r>
          </w:p>
        </w:tc>
        <w:tc>
          <w:tcPr>
            <w:tcW w:w="116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商务部分</w:t>
            </w:r>
          </w:p>
          <w:p>
            <w:pPr>
              <w:snapToGrid w:val="0"/>
              <w:spacing w:line="400" w:lineRule="exact"/>
              <w:jc w:val="center"/>
              <w:rPr>
                <w:rFonts w:ascii="宋体" w:hAnsi="宋体" w:cs="宋体"/>
                <w:szCs w:val="21"/>
              </w:rPr>
            </w:pPr>
            <w:r>
              <w:rPr>
                <w:rFonts w:hint="eastAsia" w:ascii="宋体" w:hAnsi="宋体" w:cs="宋体"/>
                <w:szCs w:val="21"/>
              </w:rPr>
              <w:t>（20%）</w:t>
            </w:r>
          </w:p>
        </w:tc>
        <w:tc>
          <w:tcPr>
            <w:tcW w:w="105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bCs/>
                <w:szCs w:val="21"/>
              </w:rPr>
            </w:pPr>
            <w:r>
              <w:rPr>
                <w:rFonts w:hint="eastAsia" w:ascii="宋体" w:hAnsi="宋体" w:cs="宋体"/>
                <w:szCs w:val="21"/>
              </w:rPr>
              <w:t>一、</w:t>
            </w:r>
            <w:r>
              <w:rPr>
                <w:rFonts w:hint="eastAsia" w:ascii="宋体" w:hAnsi="宋体" w:cs="宋体"/>
                <w:bCs/>
                <w:szCs w:val="21"/>
              </w:rPr>
              <w:t>综合实力</w:t>
            </w:r>
          </w:p>
          <w:p>
            <w:pPr>
              <w:snapToGrid w:val="0"/>
              <w:spacing w:line="400" w:lineRule="exact"/>
              <w:jc w:val="center"/>
              <w:rPr>
                <w:rFonts w:ascii="宋体" w:hAnsi="宋体" w:cs="宋体"/>
                <w:szCs w:val="21"/>
              </w:rPr>
            </w:pPr>
            <w:r>
              <w:rPr>
                <w:rFonts w:hint="eastAsia" w:ascii="宋体" w:hAnsi="宋体" w:cs="宋体"/>
                <w:bCs/>
                <w:szCs w:val="21"/>
              </w:rPr>
              <w:t>9分</w:t>
            </w:r>
          </w:p>
        </w:tc>
        <w:tc>
          <w:tcPr>
            <w:tcW w:w="5646" w:type="dxa"/>
            <w:tcBorders>
              <w:top w:val="single" w:color="auto" w:sz="4" w:space="0"/>
              <w:left w:val="single" w:color="auto" w:sz="4" w:space="0"/>
              <w:bottom w:val="single" w:color="auto" w:sz="4" w:space="0"/>
              <w:right w:val="single" w:color="auto" w:sz="4" w:space="0"/>
            </w:tcBorders>
            <w:vAlign w:val="center"/>
          </w:tcPr>
          <w:p>
            <w:pPr>
              <w:pStyle w:val="40"/>
              <w:spacing w:line="400" w:lineRule="exact"/>
              <w:ind w:firstLine="210"/>
              <w:contextualSpacing/>
              <w:rPr>
                <w:rFonts w:hAnsi="宋体" w:eastAsia="宋体" w:cs="宋体"/>
                <w:sz w:val="21"/>
                <w:szCs w:val="21"/>
              </w:rPr>
            </w:pPr>
            <w:r>
              <w:rPr>
                <w:rFonts w:hint="eastAsia" w:hAnsi="宋体" w:eastAsia="宋体" w:cs="宋体"/>
                <w:sz w:val="21"/>
                <w:szCs w:val="21"/>
              </w:rPr>
              <w:t>1、投标人2018年1月1号以来在信息平台建设、空间信息、时空大数据、云计算等相关领域获得过省级及以上人民政府颁布的科技进步奖，每个得2分，最高得4分，否则不得分。</w:t>
            </w:r>
          </w:p>
        </w:tc>
        <w:tc>
          <w:tcPr>
            <w:tcW w:w="1558"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left"/>
              <w:rPr>
                <w:rFonts w:ascii="宋体" w:hAnsi="宋体" w:cs="宋体"/>
                <w:szCs w:val="21"/>
              </w:rPr>
            </w:pPr>
            <w:r>
              <w:rPr>
                <w:rFonts w:hint="eastAsia" w:ascii="宋体" w:hAnsi="宋体" w:cs="宋体"/>
                <w:szCs w:val="21"/>
              </w:rPr>
              <w:t>提供证书或证明材料复印件并加盖投标人公章。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jc w:val="left"/>
              <w:rPr>
                <w:rFonts w:ascii="宋体" w:hAnsi="宋体" w:cs="宋体"/>
                <w:szCs w:val="21"/>
              </w:rPr>
            </w:pPr>
          </w:p>
        </w:tc>
        <w:tc>
          <w:tcPr>
            <w:tcW w:w="116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jc w:val="left"/>
              <w:rPr>
                <w:rFonts w:ascii="宋体" w:hAnsi="宋体" w:cs="宋体"/>
                <w:szCs w:val="21"/>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jc w:val="left"/>
              <w:rPr>
                <w:rFonts w:ascii="宋体" w:hAnsi="宋体" w:cs="宋体"/>
                <w:szCs w:val="21"/>
              </w:rPr>
            </w:pPr>
          </w:p>
        </w:tc>
        <w:tc>
          <w:tcPr>
            <w:tcW w:w="5646" w:type="dxa"/>
            <w:tcBorders>
              <w:top w:val="single" w:color="auto" w:sz="4" w:space="0"/>
              <w:left w:val="single" w:color="auto" w:sz="4" w:space="0"/>
              <w:bottom w:val="single" w:color="auto" w:sz="4" w:space="0"/>
              <w:right w:val="single" w:color="auto" w:sz="4" w:space="0"/>
            </w:tcBorders>
            <w:vAlign w:val="center"/>
          </w:tcPr>
          <w:p>
            <w:pPr>
              <w:pStyle w:val="40"/>
              <w:spacing w:line="400" w:lineRule="exact"/>
              <w:ind w:firstLine="210"/>
              <w:contextualSpacing/>
              <w:rPr>
                <w:rFonts w:hAnsi="宋体" w:eastAsia="宋体" w:cs="宋体"/>
                <w:sz w:val="21"/>
                <w:szCs w:val="21"/>
              </w:rPr>
            </w:pPr>
            <w:r>
              <w:rPr>
                <w:rFonts w:hint="eastAsia" w:hAnsi="宋体" w:eastAsia="宋体" w:cs="宋体"/>
                <w:sz w:val="21"/>
                <w:szCs w:val="21"/>
              </w:rPr>
              <w:t>2、投标人具有ISO9001质量管理体系认证证书，得1分，否则不得分。</w:t>
            </w: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jc w:val="left"/>
              <w:rPr>
                <w:rFonts w:ascii="宋体" w:hAnsi="宋体" w:cs="宋体"/>
                <w:szCs w:val="21"/>
              </w:rPr>
            </w:pPr>
          </w:p>
        </w:tc>
        <w:tc>
          <w:tcPr>
            <w:tcW w:w="116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jc w:val="left"/>
              <w:rPr>
                <w:rFonts w:ascii="宋体" w:hAnsi="宋体" w:cs="宋体"/>
                <w:szCs w:val="21"/>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jc w:val="left"/>
              <w:rPr>
                <w:rFonts w:ascii="宋体" w:hAnsi="宋体" w:cs="宋体"/>
                <w:szCs w:val="21"/>
              </w:rPr>
            </w:pPr>
          </w:p>
        </w:tc>
        <w:tc>
          <w:tcPr>
            <w:tcW w:w="5646" w:type="dxa"/>
            <w:tcBorders>
              <w:top w:val="single" w:color="auto" w:sz="4" w:space="0"/>
              <w:left w:val="single" w:color="auto" w:sz="4" w:space="0"/>
              <w:bottom w:val="single" w:color="auto" w:sz="4" w:space="0"/>
              <w:right w:val="single" w:color="auto" w:sz="4" w:space="0"/>
            </w:tcBorders>
            <w:vAlign w:val="center"/>
          </w:tcPr>
          <w:p>
            <w:pPr>
              <w:pStyle w:val="40"/>
              <w:spacing w:line="400" w:lineRule="exact"/>
              <w:ind w:firstLine="210"/>
              <w:contextualSpacing/>
              <w:rPr>
                <w:rFonts w:hAnsi="宋体" w:eastAsia="宋体" w:cs="宋体"/>
                <w:sz w:val="21"/>
                <w:szCs w:val="21"/>
              </w:rPr>
            </w:pPr>
            <w:r>
              <w:rPr>
                <w:rFonts w:hint="eastAsia" w:hAnsi="宋体" w:eastAsia="宋体" w:cs="宋体"/>
                <w:sz w:val="21"/>
                <w:szCs w:val="21"/>
              </w:rPr>
              <w:t>3、投标人提供主管部门颁发且有效的甲级测绘资质证书得2分，乙级测绘资质得1分，否则不得分。</w:t>
            </w: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jc w:val="left"/>
              <w:rPr>
                <w:rFonts w:ascii="宋体" w:hAnsi="宋体" w:cs="宋体"/>
                <w:szCs w:val="21"/>
              </w:rPr>
            </w:pPr>
          </w:p>
        </w:tc>
        <w:tc>
          <w:tcPr>
            <w:tcW w:w="116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jc w:val="left"/>
              <w:rPr>
                <w:rFonts w:ascii="宋体" w:hAnsi="宋体" w:cs="宋体"/>
                <w:szCs w:val="21"/>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jc w:val="left"/>
              <w:rPr>
                <w:rFonts w:ascii="宋体" w:hAnsi="宋体" w:cs="宋体"/>
                <w:szCs w:val="21"/>
              </w:rPr>
            </w:pPr>
          </w:p>
        </w:tc>
        <w:tc>
          <w:tcPr>
            <w:tcW w:w="5646" w:type="dxa"/>
            <w:tcBorders>
              <w:top w:val="single" w:color="auto" w:sz="4" w:space="0"/>
              <w:left w:val="single" w:color="auto" w:sz="4" w:space="0"/>
              <w:bottom w:val="single" w:color="auto" w:sz="4" w:space="0"/>
              <w:right w:val="single" w:color="auto" w:sz="4" w:space="0"/>
            </w:tcBorders>
            <w:vAlign w:val="center"/>
          </w:tcPr>
          <w:p>
            <w:pPr>
              <w:pStyle w:val="40"/>
              <w:spacing w:line="400" w:lineRule="exact"/>
              <w:ind w:firstLine="210"/>
              <w:contextualSpacing/>
              <w:rPr>
                <w:rFonts w:hAnsi="宋体" w:eastAsia="宋体" w:cs="宋体"/>
                <w:sz w:val="21"/>
                <w:szCs w:val="21"/>
              </w:rPr>
            </w:pPr>
            <w:r>
              <w:rPr>
                <w:rFonts w:hint="eastAsia" w:hAnsi="宋体" w:eastAsia="宋体" w:cs="宋体"/>
                <w:sz w:val="21"/>
                <w:szCs w:val="21"/>
              </w:rPr>
              <w:t>4、投标人具有时空大数据相关软件著作权证书，每个得1分，最高得2分，否则不得分。</w:t>
            </w: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jc w:val="left"/>
              <w:rPr>
                <w:rFonts w:ascii="宋体" w:hAnsi="宋体" w:cs="宋体"/>
                <w:szCs w:val="21"/>
              </w:rPr>
            </w:pPr>
          </w:p>
        </w:tc>
        <w:tc>
          <w:tcPr>
            <w:tcW w:w="116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jc w:val="left"/>
              <w:rPr>
                <w:rFonts w:ascii="宋体" w:hAnsi="宋体" w:cs="宋体"/>
                <w:szCs w:val="21"/>
              </w:rPr>
            </w:pP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bCs/>
                <w:szCs w:val="21"/>
              </w:rPr>
            </w:pPr>
            <w:r>
              <w:rPr>
                <w:rFonts w:hint="eastAsia" w:ascii="宋体" w:hAnsi="宋体" w:cs="宋体"/>
                <w:bCs/>
                <w:szCs w:val="21"/>
              </w:rPr>
              <w:t>二、相关业绩</w:t>
            </w:r>
          </w:p>
          <w:p>
            <w:pPr>
              <w:snapToGrid w:val="0"/>
              <w:spacing w:line="400" w:lineRule="exact"/>
              <w:jc w:val="center"/>
              <w:rPr>
                <w:rFonts w:ascii="宋体" w:hAnsi="宋体" w:cs="宋体"/>
                <w:szCs w:val="21"/>
              </w:rPr>
            </w:pPr>
            <w:r>
              <w:rPr>
                <w:rFonts w:hint="eastAsia" w:ascii="宋体" w:hAnsi="宋体" w:cs="宋体"/>
                <w:bCs/>
                <w:szCs w:val="21"/>
              </w:rPr>
              <w:t>3分</w:t>
            </w:r>
          </w:p>
        </w:tc>
        <w:tc>
          <w:tcPr>
            <w:tcW w:w="5646"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rPr>
                <w:rFonts w:ascii="宋体" w:hAnsi="宋体" w:cs="宋体"/>
                <w:szCs w:val="21"/>
              </w:rPr>
            </w:pPr>
            <w:r>
              <w:rPr>
                <w:rFonts w:hint="eastAsia" w:ascii="宋体" w:hAnsi="宋体" w:cs="宋体"/>
                <w:szCs w:val="21"/>
              </w:rPr>
              <w:t>投标人自2018年1月1日以来承担过省级及以上政府相关部门信息化系统建设项目，每个得1分，最高3分，否则不得分。</w:t>
            </w:r>
          </w:p>
        </w:tc>
        <w:tc>
          <w:tcPr>
            <w:tcW w:w="1558"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left"/>
              <w:rPr>
                <w:rFonts w:ascii="宋体" w:hAnsi="宋体" w:cs="宋体"/>
                <w:szCs w:val="21"/>
              </w:rPr>
            </w:pPr>
            <w:r>
              <w:rPr>
                <w:rFonts w:hint="eastAsia" w:ascii="宋体" w:hAnsi="宋体" w:cs="宋体"/>
                <w:szCs w:val="21"/>
              </w:rPr>
              <w:t>提供项目合同复印件（若无合同，须提供相应国家机关批复或批文）加盖投标人公章，不提供不得分。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jc w:val="left"/>
              <w:rPr>
                <w:rFonts w:ascii="宋体" w:hAnsi="宋体" w:cs="宋体"/>
                <w:szCs w:val="21"/>
              </w:rPr>
            </w:pPr>
          </w:p>
        </w:tc>
        <w:tc>
          <w:tcPr>
            <w:tcW w:w="116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jc w:val="left"/>
              <w:rPr>
                <w:rFonts w:ascii="宋体" w:hAnsi="宋体" w:cs="宋体"/>
                <w:szCs w:val="21"/>
              </w:rPr>
            </w:pPr>
          </w:p>
        </w:tc>
        <w:tc>
          <w:tcPr>
            <w:tcW w:w="105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bCs/>
                <w:szCs w:val="21"/>
              </w:rPr>
            </w:pPr>
            <w:r>
              <w:rPr>
                <w:rFonts w:hint="eastAsia" w:ascii="宋体" w:hAnsi="宋体" w:cs="宋体"/>
                <w:bCs/>
                <w:szCs w:val="21"/>
              </w:rPr>
              <w:t>三、服务能力</w:t>
            </w:r>
          </w:p>
          <w:p>
            <w:pPr>
              <w:snapToGrid w:val="0"/>
              <w:spacing w:line="400" w:lineRule="exact"/>
              <w:jc w:val="center"/>
              <w:rPr>
                <w:rFonts w:ascii="宋体" w:hAnsi="宋体" w:cs="宋体"/>
                <w:bCs/>
                <w:szCs w:val="21"/>
              </w:rPr>
            </w:pPr>
            <w:r>
              <w:rPr>
                <w:rFonts w:hint="eastAsia" w:ascii="宋体" w:hAnsi="宋体" w:cs="宋体"/>
                <w:bCs/>
                <w:szCs w:val="21"/>
              </w:rPr>
              <w:t>8分</w:t>
            </w:r>
          </w:p>
        </w:tc>
        <w:tc>
          <w:tcPr>
            <w:tcW w:w="5646"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left"/>
              <w:rPr>
                <w:rFonts w:ascii="宋体" w:hAnsi="宋体" w:cs="宋体"/>
                <w:szCs w:val="21"/>
              </w:rPr>
            </w:pPr>
            <w:r>
              <w:rPr>
                <w:rFonts w:hint="eastAsia" w:ascii="宋体" w:hAnsi="宋体" w:cs="宋体"/>
                <w:szCs w:val="21"/>
              </w:rPr>
              <w:t>1、项目团队人员具有高级信息系统项目管理师或项目管理专业人士(PMP）资格认证，每个得1分，最高得2分，否则不得分。</w:t>
            </w:r>
          </w:p>
        </w:tc>
        <w:tc>
          <w:tcPr>
            <w:tcW w:w="1558"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left"/>
              <w:rPr>
                <w:rFonts w:ascii="宋体" w:hAnsi="宋体" w:cs="宋体"/>
                <w:szCs w:val="21"/>
              </w:rPr>
            </w:pPr>
            <w:r>
              <w:rPr>
                <w:rFonts w:hint="eastAsia" w:ascii="宋体" w:hAnsi="宋体" w:cs="宋体"/>
                <w:szCs w:val="21"/>
              </w:rPr>
              <w:t>提供投标人为上述人员在近半年内缴纳不少于1个月的社保证明材料并加盖投标人公章。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jc w:val="left"/>
              <w:rPr>
                <w:rFonts w:ascii="宋体" w:hAnsi="宋体" w:cs="宋体"/>
                <w:szCs w:val="21"/>
              </w:rPr>
            </w:pPr>
          </w:p>
        </w:tc>
        <w:tc>
          <w:tcPr>
            <w:tcW w:w="116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jc w:val="left"/>
              <w:rPr>
                <w:rFonts w:ascii="宋体" w:hAnsi="宋体" w:cs="宋体"/>
                <w:szCs w:val="21"/>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jc w:val="left"/>
              <w:rPr>
                <w:rFonts w:ascii="宋体" w:hAnsi="宋体" w:cs="宋体"/>
                <w:bCs/>
                <w:szCs w:val="21"/>
              </w:rPr>
            </w:pPr>
          </w:p>
        </w:tc>
        <w:tc>
          <w:tcPr>
            <w:tcW w:w="5646"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left"/>
              <w:rPr>
                <w:rFonts w:ascii="宋体" w:hAnsi="宋体" w:cs="宋体"/>
                <w:szCs w:val="21"/>
              </w:rPr>
            </w:pPr>
            <w:r>
              <w:rPr>
                <w:rFonts w:hint="eastAsia" w:ascii="宋体" w:hAnsi="宋体" w:cs="宋体"/>
                <w:szCs w:val="21"/>
              </w:rPr>
              <w:t>2、项目团队具有计算机、软件相关专业毕业证书，且获得高级工程师及以上职称证书，正高级每有1人得2分，副高级每有1人得1分，最高得4分，否则不得分。</w:t>
            </w: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11"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jc w:val="left"/>
              <w:rPr>
                <w:rFonts w:ascii="宋体" w:hAnsi="宋体" w:cs="宋体"/>
                <w:szCs w:val="21"/>
              </w:rPr>
            </w:pPr>
          </w:p>
        </w:tc>
        <w:tc>
          <w:tcPr>
            <w:tcW w:w="116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jc w:val="left"/>
              <w:rPr>
                <w:rFonts w:ascii="宋体" w:hAnsi="宋体" w:cs="宋体"/>
                <w:szCs w:val="21"/>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jc w:val="left"/>
              <w:rPr>
                <w:rFonts w:ascii="宋体" w:hAnsi="宋体" w:cs="宋体"/>
                <w:bCs/>
                <w:szCs w:val="21"/>
              </w:rPr>
            </w:pPr>
          </w:p>
        </w:tc>
        <w:tc>
          <w:tcPr>
            <w:tcW w:w="5646" w:type="dxa"/>
            <w:tcBorders>
              <w:top w:val="single" w:color="auto" w:sz="4" w:space="0"/>
              <w:left w:val="single" w:color="auto" w:sz="4" w:space="0"/>
              <w:bottom w:val="single" w:color="auto" w:sz="4" w:space="0"/>
              <w:right w:val="single" w:color="auto" w:sz="4" w:space="0"/>
            </w:tcBorders>
            <w:vAlign w:val="center"/>
          </w:tcPr>
          <w:p>
            <w:pPr>
              <w:spacing w:line="400" w:lineRule="exact"/>
              <w:contextualSpacing/>
              <w:jc w:val="left"/>
              <w:rPr>
                <w:rFonts w:ascii="宋体" w:hAnsi="宋体" w:cs="宋体"/>
                <w:szCs w:val="21"/>
              </w:rPr>
            </w:pPr>
            <w:r>
              <w:rPr>
                <w:rFonts w:hint="eastAsia" w:ascii="宋体" w:hAnsi="宋体" w:cs="宋体"/>
                <w:szCs w:val="21"/>
              </w:rPr>
              <w:t>3、项目团队具有注册信息安全专业人员（CISP）证书的，每有1人得1分，最高得2分，否则不得分。</w:t>
            </w: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Autospacing="1"/>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25" w:hRule="atLeast"/>
          <w:jc w:val="center"/>
        </w:trPr>
        <w:tc>
          <w:tcPr>
            <w:tcW w:w="711"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4</w:t>
            </w:r>
          </w:p>
        </w:tc>
        <w:tc>
          <w:tcPr>
            <w:tcW w:w="11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hint="eastAsia" w:ascii="宋体" w:hAnsi="宋体" w:cs="宋体"/>
              </w:rPr>
              <w:t>评标结果</w:t>
            </w:r>
          </w:p>
        </w:tc>
        <w:tc>
          <w:tcPr>
            <w:tcW w:w="8254" w:type="dxa"/>
            <w:gridSpan w:val="3"/>
            <w:tcBorders>
              <w:top w:val="single" w:color="auto" w:sz="4" w:space="0"/>
              <w:left w:val="single" w:color="auto" w:sz="4" w:space="0"/>
              <w:bottom w:val="single" w:color="auto" w:sz="4" w:space="0"/>
            </w:tcBorders>
          </w:tcPr>
          <w:p>
            <w:pPr>
              <w:spacing w:line="400" w:lineRule="exact"/>
              <w:ind w:firstLine="420"/>
              <w:rPr>
                <w:rFonts w:ascii="宋体" w:hAnsi="宋体" w:cs="宋体"/>
              </w:rPr>
            </w:pPr>
            <w:r>
              <w:rPr>
                <w:rFonts w:hint="eastAsia" w:ascii="宋体" w:hAnsi="宋体" w:cs="宋体"/>
              </w:rPr>
              <w:t>补充细化：</w:t>
            </w:r>
          </w:p>
          <w:p>
            <w:pPr>
              <w:spacing w:line="400" w:lineRule="exact"/>
              <w:ind w:firstLine="420" w:firstLineChars="200"/>
              <w:rPr>
                <w:rFonts w:ascii="宋体" w:hAnsi="宋体" w:cs="宋体"/>
              </w:rPr>
            </w:pPr>
            <w:r>
              <w:rPr>
                <w:rFonts w:hint="eastAsia" w:ascii="宋体" w:hAnsi="宋体" w:cs="宋体"/>
              </w:rPr>
              <w:t>本项目评标采用经评审的综合评估法。</w:t>
            </w:r>
          </w:p>
          <w:p>
            <w:pPr>
              <w:spacing w:line="400" w:lineRule="exact"/>
              <w:ind w:firstLine="420" w:firstLineChars="200"/>
              <w:rPr>
                <w:rFonts w:ascii="宋体" w:hAnsi="宋体" w:cs="宋体"/>
              </w:rPr>
            </w:pPr>
            <w:r>
              <w:rPr>
                <w:rFonts w:hint="eastAsia" w:ascii="宋体" w:hAnsi="宋体" w:cs="宋体"/>
              </w:rPr>
              <w:t>1.初步评审前，按规定对投标报价有算术性错误的进行算术性错误修正，并对所有报价人递交的竞争性比选响应文件进行初步评审（形式、资格、响应评审）。</w:t>
            </w:r>
          </w:p>
          <w:p>
            <w:pPr>
              <w:spacing w:line="400" w:lineRule="exact"/>
              <w:ind w:firstLine="420" w:firstLineChars="200"/>
              <w:rPr>
                <w:rFonts w:ascii="宋体" w:hAnsi="宋体" w:cs="宋体"/>
              </w:rPr>
            </w:pPr>
            <w:r>
              <w:rPr>
                <w:rFonts w:hint="eastAsia" w:ascii="宋体" w:hAnsi="宋体" w:cs="宋体"/>
              </w:rPr>
              <w:t>2.初步评审合格的才进行详细评审。</w:t>
            </w:r>
          </w:p>
          <w:p>
            <w:pPr>
              <w:spacing w:line="400" w:lineRule="exact"/>
              <w:ind w:firstLine="420" w:firstLineChars="200"/>
              <w:rPr>
                <w:rFonts w:ascii="宋体" w:hAnsi="宋体" w:cs="宋体"/>
              </w:rPr>
            </w:pPr>
            <w:r>
              <w:rPr>
                <w:rFonts w:hint="eastAsia" w:ascii="宋体" w:hAnsi="宋体" w:cs="宋体"/>
              </w:rPr>
              <w:t>3.报价人得分=A+B+C，对通过初步评审的报价人按照投标总得分（商务+技术+报价）由从高到低的先后顺序推荐2名中标候选人。保留2位小数。</w:t>
            </w:r>
          </w:p>
        </w:tc>
      </w:tr>
    </w:tbl>
    <w:p>
      <w:pPr>
        <w:pStyle w:val="2"/>
      </w:pPr>
    </w:p>
    <w:p>
      <w:pPr>
        <w:tabs>
          <w:tab w:val="left" w:pos="360"/>
        </w:tabs>
        <w:spacing w:line="400" w:lineRule="exact"/>
        <w:ind w:firstLine="420" w:firstLineChars="200"/>
        <w:rPr>
          <w:rFonts w:ascii="宋体" w:hAnsi="宋体" w:cs="宋体"/>
          <w:szCs w:val="21"/>
        </w:rPr>
      </w:pPr>
      <w:r>
        <w:rPr>
          <w:rFonts w:hint="eastAsia" w:ascii="宋体" w:hAnsi="宋体" w:cs="宋体"/>
          <w:szCs w:val="21"/>
        </w:rPr>
        <w:t>综合评分法，是指投标文件满足招标文件全部实质性要求且按照评审因素的量化指标评审得分最高的报价人为中标候选人的评标方法。报价人总得分为价格、商务、技术等评定因素分别按照相应权重值计算分项得分后相加，满分为100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（一）符合性审查</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评标委员会应当对符合资格的报价人的投标文件进行符合性审查，以确定其是否满足招标文件的实质性要求。</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二）澄清有关问题。对投标文件中含义不明确、同类问题表述不一致或者有明显文字和计算错误的内容，评标委员会可以书面形式（应当由评标委员会成员签字）要求报价人作出必要澄清、说明或者纠正。报价人的澄清、说明或者补正应当采用书面形式，由其法定代表人授权代表签字，其澄清的内容不得超出投标文件的范围或者改变投标文件的实质性内容。</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（三）比较与评价。按招标文件中规定的评标方法和标准，对资格审查和符合性审查合格的投标文件进行商务和技术评估。</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评标委员会各成员独立对每个有效报价人（通过资格审查、符合性审查的报价人）的投标文件进行评价、打分，然后由评标委员会对各成员打分情况进行核查及复核，个别成员对同一报价人同一评分项的打分偏离较大的，应对报价人的投标文件进行再次核对，确属打分有误的，应及时进行修正。</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复核后，评标委员会汇总每个报价人每项评分因素的得分。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（四）推荐中标候选人名单。</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按评审后得分由高到低的排列顺序推荐综合得分前</w:t>
      </w:r>
      <w:r>
        <w:rPr>
          <w:rFonts w:hint="eastAsia"/>
        </w:rPr>
        <w:t>2名中标候选人</w:t>
      </w:r>
      <w:r>
        <w:rPr>
          <w:rFonts w:hint="eastAsia" w:ascii="宋体" w:hAnsi="宋体" w:cs="宋体"/>
          <w:szCs w:val="21"/>
        </w:rPr>
        <w:t>为本项目中标候选人。</w:t>
      </w:r>
    </w:p>
    <w:p>
      <w:pPr>
        <w:tabs>
          <w:tab w:val="left" w:pos="360"/>
        </w:tabs>
        <w:spacing w:line="400" w:lineRule="exact"/>
        <w:ind w:firstLine="422" w:firstLineChars="200"/>
        <w:rPr>
          <w:rFonts w:ascii="宋体" w:hAnsi="宋体" w:cs="宋体"/>
          <w:b/>
          <w:bCs/>
          <w:szCs w:val="21"/>
        </w:rPr>
      </w:pPr>
      <w:r>
        <w:rPr>
          <w:rFonts w:hint="eastAsia" w:ascii="宋体" w:hAnsi="宋体" w:cs="宋体"/>
          <w:b/>
          <w:bCs/>
          <w:szCs w:val="21"/>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六、无效投标条款</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报价人或其投标文件出现下列情况之一者，应为无效投标：</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（1）投标文件未按招标文件要求签署、盖章的；</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（2）不具备招标文件中规定的资格要求的；</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（3）报价超过招标文件中规定的预算金额或者最高限价的；</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（4）投标文件含有采购人不能接受的附加条件的；</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（5）报价人串通投标的；</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（6）报价人组成联合体投标的；</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（7）法律、法规和招标文件规定的其他无效情形。</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七、废标条款</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评标委员会评审时出现以下情况之一的，应予废标：</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（1）符合专业条件的报价人或者对招标文件作实质响应的报价人不足三家的；</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（2）报价人的报价均超过了采购预算，采购人不能支付的；</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（3）出现影响采购公正的违法、违规行为的；</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（4）因重大变故，采购任务取消的。</w:t>
      </w:r>
    </w:p>
    <w:p>
      <w:pPr>
        <w:pStyle w:val="2"/>
        <w:jc w:val="center"/>
      </w:pPr>
      <w:r>
        <w:rPr>
          <w:rFonts w:hint="eastAsia"/>
        </w:rPr>
        <w:br w:type="page"/>
      </w:r>
      <w:bookmarkStart w:id="155" w:name="_Toc363"/>
      <w:bookmarkStart w:id="156" w:name="_Toc13787"/>
      <w:r>
        <w:rPr>
          <w:rStyle w:val="81"/>
          <w:rFonts w:hint="eastAsia"/>
          <w:b/>
          <w:bCs/>
        </w:rPr>
        <w:t>第四章 报价说明</w:t>
      </w:r>
      <w:bookmarkEnd w:id="155"/>
      <w:bookmarkEnd w:id="156"/>
    </w:p>
    <w:p>
      <w:pPr>
        <w:tabs>
          <w:tab w:val="left" w:pos="360"/>
        </w:tabs>
        <w:spacing w:line="400" w:lineRule="exact"/>
        <w:ind w:firstLine="420" w:firstLineChars="200"/>
        <w:rPr>
          <w:rFonts w:ascii="宋体" w:hAnsi="宋体" w:cs="宋体"/>
          <w:szCs w:val="21"/>
        </w:rPr>
      </w:pPr>
      <w:r>
        <w:rPr>
          <w:rFonts w:hint="eastAsia" w:ascii="宋体" w:hAnsi="宋体" w:cs="宋体"/>
          <w:szCs w:val="21"/>
        </w:rPr>
        <w:t>（1）本次报价须为人民币报价，包含但不限于完成本项目所需的员工工资、社会保险（五险）、劳保福利、税费、加班费、配送费、交通费、节假日慰问费等所有服务产生的一切费用（报价人若有漏项，则被认为此项费用已包含在总报价中）。因中标人自身原因造成漏报、少报皆由其自行承担责任，招标人不再补偿。</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（2）报价人在分项报价表中填报的综合单价承包到现场所产生的路费、差旅费等。</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（3）报价有算术错误的，评审小组按以下原则对报价进行修正，修正的价格经报价人书面确认后具有约束力。报价人不接受修正价格的，其报价应当予以否决。</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①竞争性比选响应文件中的大写金额与小写金额不一致的，以大写金额为准。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②总价金额与依据单价计算出的结果不一致的，以单价金额为准修正总价，但单价金额小数点有明显错误的除外。</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（4）实际采购数量以采购人最终需求数量为准，报价清单中单价在合同执行过程中保持固定不变，报价人不得以实际采购数量的变化提出调整合同单价。</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（5）报价清单中各项金额均以人民币（元）结算。</w:t>
      </w:r>
    </w:p>
    <w:p>
      <w:pPr>
        <w:tabs>
          <w:tab w:val="left" w:pos="360"/>
        </w:tabs>
        <w:spacing w:line="400" w:lineRule="exact"/>
        <w:ind w:firstLine="420" w:firstLineChars="200"/>
        <w:rPr>
          <w:rFonts w:ascii="宋体" w:hAnsi="宋体" w:cs="宋体"/>
          <w:szCs w:val="21"/>
        </w:rPr>
        <w:sectPr>
          <w:footerReference r:id="rId9" w:type="default"/>
          <w:pgSz w:w="11906" w:h="16838"/>
          <w:pgMar w:top="1440" w:right="1800" w:bottom="1440" w:left="1800" w:header="851" w:footer="992" w:gutter="0"/>
          <w:cols w:space="720" w:num="1"/>
          <w:titlePg/>
          <w:docGrid w:type="lines" w:linePitch="312" w:charSpace="0"/>
        </w:sectPr>
      </w:pPr>
      <w:r>
        <w:rPr>
          <w:rFonts w:hint="eastAsia" w:ascii="宋体" w:hAnsi="宋体" w:cs="宋体"/>
          <w:szCs w:val="21"/>
        </w:rPr>
        <w:t>（6）需缴纳的一切税费均由报价单位承担，所有税费均由服务单位自行缴纳。</w:t>
      </w:r>
    </w:p>
    <w:p>
      <w:pPr>
        <w:pStyle w:val="3"/>
        <w:spacing w:before="0" w:after="0" w:line="360" w:lineRule="auto"/>
        <w:jc w:val="center"/>
        <w:rPr>
          <w:rFonts w:ascii="宋体" w:hAnsi="宋体" w:cs="宋体"/>
        </w:rPr>
      </w:pPr>
      <w:bookmarkStart w:id="157" w:name="_Toc179632789"/>
      <w:bookmarkStart w:id="158" w:name="_Toc152042554"/>
      <w:bookmarkStart w:id="159" w:name="_Toc144974834"/>
      <w:bookmarkStart w:id="160" w:name="_Toc2000409"/>
      <w:bookmarkStart w:id="161" w:name="_Toc514858705"/>
      <w:bookmarkStart w:id="162" w:name="_Toc247085855"/>
      <w:bookmarkStart w:id="163" w:name="_Toc152045772"/>
      <w:bookmarkStart w:id="164" w:name="_Toc24503"/>
      <w:bookmarkStart w:id="165" w:name="_Toc246996340"/>
      <w:bookmarkStart w:id="166" w:name="_Toc246997083"/>
      <w:bookmarkStart w:id="167" w:name="_Toc1532"/>
      <w:bookmarkStart w:id="168" w:name="_Toc144974855"/>
      <w:bookmarkStart w:id="169" w:name="_Toc152045786"/>
      <w:bookmarkStart w:id="170" w:name="_Toc246997097"/>
      <w:bookmarkStart w:id="171" w:name="_Toc179632806"/>
      <w:bookmarkStart w:id="172" w:name="_Toc152042575"/>
      <w:bookmarkStart w:id="173" w:name="_Toc247085872"/>
      <w:bookmarkStart w:id="174" w:name="_Toc246996354"/>
      <w:r>
        <w:rPr>
          <w:rFonts w:hint="eastAsia" w:ascii="宋体" w:hAnsi="宋体" w:cs="宋体"/>
        </w:rPr>
        <w:t>第五章  工程量清单</w:t>
      </w:r>
      <w:bookmarkEnd w:id="157"/>
      <w:bookmarkEnd w:id="158"/>
      <w:bookmarkEnd w:id="159"/>
      <w:bookmarkEnd w:id="160"/>
      <w:bookmarkEnd w:id="161"/>
      <w:bookmarkEnd w:id="162"/>
      <w:bookmarkEnd w:id="163"/>
      <w:bookmarkEnd w:id="164"/>
      <w:bookmarkEnd w:id="165"/>
      <w:bookmarkEnd w:id="166"/>
      <w:bookmarkEnd w:id="167"/>
    </w:p>
    <w:p>
      <w:pPr>
        <w:pStyle w:val="2"/>
        <w:jc w:val="center"/>
      </w:pPr>
      <w:bookmarkStart w:id="175" w:name="_Toc152042571"/>
      <w:bookmarkStart w:id="176" w:name="_Toc179632800"/>
      <w:bookmarkStart w:id="177" w:name="_Toc247085866"/>
      <w:bookmarkStart w:id="178" w:name="_Toc246997093"/>
      <w:bookmarkStart w:id="179" w:name="_Toc144974851"/>
      <w:bookmarkStart w:id="180" w:name="_Toc152045782"/>
      <w:bookmarkStart w:id="181" w:name="_Toc246996350"/>
      <w:bookmarkStart w:id="182" w:name="_Toc247096438"/>
      <w:r>
        <w:rPr>
          <w:rFonts w:hint="eastAsia" w:ascii="宋体" w:hAnsi="宋体" w:cs="宋体"/>
        </w:rPr>
        <w:t>无。</w:t>
      </w: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rPr>
          <w:rFonts w:ascii="宋体" w:hAnsi="宋体" w:cs="宋体"/>
          <w:b/>
        </w:rPr>
      </w:pPr>
    </w:p>
    <w:p>
      <w:pPr>
        <w:jc w:val="center"/>
        <w:rPr>
          <w:rFonts w:ascii="宋体" w:hAnsi="宋体" w:cs="宋体"/>
          <w:b/>
        </w:rPr>
        <w:sectPr>
          <w:pgSz w:w="11906" w:h="16838"/>
          <w:pgMar w:top="1440" w:right="1800" w:bottom="1440" w:left="1800" w:header="851" w:footer="992" w:gutter="0"/>
          <w:cols w:space="720" w:num="1"/>
          <w:titlePg/>
          <w:docGrid w:type="lines" w:linePitch="312" w:charSpace="0"/>
        </w:sectPr>
      </w:pPr>
    </w:p>
    <w:p>
      <w:pPr>
        <w:pStyle w:val="3"/>
        <w:spacing w:before="0" w:after="0" w:line="360" w:lineRule="auto"/>
        <w:jc w:val="center"/>
        <w:rPr>
          <w:rFonts w:ascii="宋体" w:hAnsi="宋体" w:cs="宋体"/>
        </w:rPr>
      </w:pPr>
      <w:bookmarkStart w:id="183" w:name="_Toc503951042"/>
      <w:bookmarkStart w:id="184" w:name="_Toc2000410"/>
      <w:bookmarkStart w:id="185" w:name="_Toc513633963"/>
      <w:bookmarkStart w:id="186" w:name="_Toc18088"/>
      <w:bookmarkStart w:id="187" w:name="_Toc514858706"/>
      <w:bookmarkStart w:id="188" w:name="_Toc12440"/>
      <w:bookmarkStart w:id="189" w:name="_Toc447827048"/>
      <w:r>
        <w:rPr>
          <w:rFonts w:hint="eastAsia" w:ascii="宋体" w:hAnsi="宋体" w:cs="宋体"/>
        </w:rPr>
        <w:t>第六章  图  纸</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pPr>
        <w:jc w:val="center"/>
        <w:rPr>
          <w:rFonts w:ascii="宋体" w:hAnsi="宋体" w:cs="宋体"/>
          <w:b/>
        </w:rPr>
      </w:pPr>
      <w:r>
        <w:rPr>
          <w:rFonts w:hint="eastAsia" w:ascii="宋体" w:hAnsi="宋体" w:cs="宋体"/>
          <w:b/>
          <w:kern w:val="0"/>
          <w:sz w:val="24"/>
        </w:rPr>
        <w:t>无。</w:t>
      </w:r>
    </w:p>
    <w:p>
      <w:pPr>
        <w:spacing w:line="400" w:lineRule="exact"/>
        <w:rPr>
          <w:rFonts w:ascii="宋体" w:hAnsi="宋体" w:cs="宋体"/>
        </w:rPr>
      </w:pPr>
      <w:r>
        <w:rPr>
          <w:rFonts w:hint="eastAsia" w:ascii="宋体" w:hAnsi="宋体" w:cs="宋体"/>
        </w:rPr>
        <w:br w:type="page"/>
      </w:r>
      <w:bookmarkStart w:id="190" w:name="_Toc152045785"/>
      <w:bookmarkStart w:id="191" w:name="_Toc144974854"/>
      <w:bookmarkStart w:id="192" w:name="_Toc152042574"/>
    </w:p>
    <w:p>
      <w:pPr>
        <w:pStyle w:val="3"/>
        <w:numPr>
          <w:ilvl w:val="0"/>
          <w:numId w:val="7"/>
        </w:numPr>
        <w:spacing w:before="0" w:after="0" w:line="360" w:lineRule="auto"/>
        <w:jc w:val="center"/>
        <w:rPr>
          <w:rFonts w:ascii="宋体" w:hAnsi="宋体" w:cs="宋体"/>
          <w:szCs w:val="21"/>
        </w:rPr>
      </w:pPr>
      <w:bookmarkStart w:id="193" w:name="_Toc246996353"/>
      <w:bookmarkStart w:id="194" w:name="_Toc514858707"/>
      <w:bookmarkStart w:id="195" w:name="_Toc513633964"/>
      <w:bookmarkStart w:id="196" w:name="_Toc2000411"/>
      <w:bookmarkStart w:id="197" w:name="_Toc179632804"/>
      <w:bookmarkStart w:id="198" w:name="_Toc246997096"/>
      <w:bookmarkStart w:id="199" w:name="_Toc10887"/>
      <w:bookmarkStart w:id="200" w:name="_Toc447827049"/>
      <w:bookmarkStart w:id="201" w:name="_Toc503951043"/>
      <w:bookmarkStart w:id="202" w:name="_Toc247085870"/>
      <w:r>
        <w:rPr>
          <w:rFonts w:hint="eastAsia" w:ascii="宋体" w:hAnsi="宋体" w:cs="宋体"/>
        </w:rPr>
        <w:t xml:space="preserve"> </w:t>
      </w:r>
      <w:bookmarkStart w:id="203" w:name="_Toc25212"/>
      <w:r>
        <w:rPr>
          <w:rFonts w:hint="eastAsia" w:ascii="宋体" w:hAnsi="宋体" w:cs="宋体"/>
        </w:rPr>
        <w:t>技术标准和工作要求</w:t>
      </w:r>
      <w:bookmarkEnd w:id="168"/>
      <w:bookmarkEnd w:id="169"/>
      <w:bookmarkEnd w:id="170"/>
      <w:bookmarkEnd w:id="171"/>
      <w:bookmarkEnd w:id="172"/>
      <w:bookmarkEnd w:id="173"/>
      <w:bookmarkEnd w:id="174"/>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Start w:id="204" w:name="_Toc13280"/>
      <w:bookmarkStart w:id="205" w:name="_Toc2000412"/>
      <w:bookmarkStart w:id="206" w:name="_Toc12089"/>
      <w:bookmarkStart w:id="207" w:name="_Toc514430114"/>
      <w:bookmarkStart w:id="208" w:name="_Toc514858708"/>
      <w:bookmarkStart w:id="209" w:name="_Toc246997098"/>
      <w:bookmarkStart w:id="210" w:name="_Toc247085873"/>
      <w:bookmarkStart w:id="211" w:name="_Toc152042576"/>
      <w:bookmarkStart w:id="212" w:name="_Toc152045787"/>
      <w:bookmarkStart w:id="213" w:name="_Toc246996355"/>
      <w:bookmarkStart w:id="214" w:name="_Toc507320039"/>
      <w:bookmarkStart w:id="215" w:name="_Toc179632807"/>
      <w:bookmarkStart w:id="216" w:name="_Toc144974856"/>
    </w:p>
    <w:p>
      <w:pPr>
        <w:spacing w:line="360" w:lineRule="auto"/>
        <w:ind w:firstLine="420" w:firstLineChars="200"/>
        <w:rPr>
          <w:rFonts w:ascii="宋体" w:hAnsi="宋体" w:cs="宋体"/>
          <w:szCs w:val="21"/>
        </w:rPr>
      </w:pPr>
      <w:r>
        <w:rPr>
          <w:rFonts w:hint="eastAsia" w:ascii="宋体" w:hAnsi="宋体" w:cs="宋体"/>
          <w:szCs w:val="21"/>
        </w:rPr>
        <w:t>（一）项目背景</w:t>
      </w:r>
    </w:p>
    <w:p>
      <w:pPr>
        <w:pStyle w:val="166"/>
        <w:numPr>
          <w:ilvl w:val="0"/>
          <w:numId w:val="8"/>
        </w:numPr>
        <w:ind w:left="80" w:firstLine="480" w:firstLineChars="0"/>
        <w:rPr>
          <w:rFonts w:ascii="宋体" w:hAnsi="宋体" w:cs="宋体"/>
          <w:szCs w:val="21"/>
        </w:rPr>
      </w:pPr>
      <w:r>
        <w:rPr>
          <w:rFonts w:hint="eastAsia" w:ascii="宋体" w:hAnsi="宋体" w:cs="宋体"/>
          <w:szCs w:val="21"/>
        </w:rPr>
        <w:t>重庆高速公路集团有限公司建成并运营高速公路2283公里，占全市高速路网总里程的70%，在高速公里沿线重庆高速集团共有1100多宗存量土地。现有土地资源存在无证地未批先建、有证地多次转手、土地违规违建的情况，现有土地数据存在杂乱、缺失、数据利用不充分，难以摸清存量用地现状等问题，严重影响了高速集团土地的监测监管效率。</w:t>
      </w:r>
    </w:p>
    <w:p>
      <w:pPr>
        <w:pStyle w:val="166"/>
        <w:numPr>
          <w:ilvl w:val="0"/>
          <w:numId w:val="8"/>
        </w:numPr>
        <w:ind w:left="80" w:firstLine="480" w:firstLineChars="0"/>
        <w:rPr>
          <w:rFonts w:ascii="宋体" w:hAnsi="宋体" w:cs="宋体"/>
          <w:szCs w:val="21"/>
        </w:rPr>
      </w:pPr>
      <w:r>
        <w:rPr>
          <w:rFonts w:hint="eastAsia" w:ascii="宋体" w:hAnsi="宋体" w:cs="宋体"/>
          <w:szCs w:val="21"/>
        </w:rPr>
        <w:t>原有高速集团储备用地监管系统存在数据更新慢、管理功能滞后等问题，无法实现存量土地数据的实时动态更新，信息化程度较低，难以满足目前土地信息化监测监管需求。面对新的形势和任务，亟需利用新的技术架构体系，对原有高速集团储备用地监管系统进行重构和升级改造，对土地的开发、租赁情况进行全流程监管，对土地的违法情况进行动态监测，提高重庆高速公路集团土地监测监管效率，提高土地资源利用率，为土地管理提供信息支持和决策依据，提升重庆高速公路集团土地管理的科学化和规范化水平。</w:t>
      </w:r>
    </w:p>
    <w:p>
      <w:pPr>
        <w:pStyle w:val="166"/>
        <w:ind w:left="560" w:firstLine="0" w:firstLineChars="0"/>
        <w:rPr>
          <w:rFonts w:ascii="宋体" w:hAnsi="宋体" w:cs="宋体"/>
          <w:szCs w:val="21"/>
        </w:rPr>
      </w:pPr>
      <w:r>
        <w:rPr>
          <w:rFonts w:hint="eastAsia" w:ascii="宋体" w:hAnsi="宋体" w:cs="宋体"/>
          <w:szCs w:val="21"/>
        </w:rPr>
        <w:t>（二）总体需求</w:t>
      </w:r>
    </w:p>
    <w:p>
      <w:pPr>
        <w:pStyle w:val="166"/>
        <w:numPr>
          <w:ilvl w:val="0"/>
          <w:numId w:val="8"/>
        </w:numPr>
        <w:ind w:left="80" w:firstLine="480" w:firstLineChars="0"/>
        <w:rPr>
          <w:rFonts w:ascii="宋体" w:hAnsi="宋体" w:cs="宋体"/>
          <w:szCs w:val="21"/>
        </w:rPr>
      </w:pPr>
      <w:r>
        <w:rPr>
          <w:rFonts w:hint="eastAsia" w:ascii="宋体" w:hAnsi="宋体" w:cs="宋体"/>
          <w:szCs w:val="21"/>
        </w:rPr>
        <w:t>结合重庆高速公路集团对土地信息化监测监管的应用需求，充分运用大数据、遥感、地理信息系统等新技术，利用新的技术架构体系，建设土地一张图、土地资源现状监测、移动端巡查、综合服务支撑为一体的信息化监管系统，提升储备用地监管效能，保障集团土地资产不受侵犯。</w:t>
      </w:r>
    </w:p>
    <w:p>
      <w:pPr>
        <w:spacing w:line="360" w:lineRule="auto"/>
        <w:ind w:firstLine="560"/>
        <w:rPr>
          <w:rFonts w:ascii="宋体" w:hAnsi="宋体" w:cs="宋体"/>
          <w:szCs w:val="21"/>
        </w:rPr>
      </w:pPr>
      <w:r>
        <w:rPr>
          <w:rFonts w:hint="eastAsia" w:ascii="宋体" w:hAnsi="宋体" w:cs="宋体"/>
          <w:szCs w:val="21"/>
        </w:rPr>
        <w:t>（三）工作内容</w:t>
      </w:r>
    </w:p>
    <w:p>
      <w:pPr>
        <w:pStyle w:val="166"/>
        <w:numPr>
          <w:ilvl w:val="0"/>
          <w:numId w:val="8"/>
        </w:numPr>
        <w:ind w:left="80" w:firstLine="480" w:firstLineChars="0"/>
        <w:rPr>
          <w:rFonts w:ascii="宋体" w:hAnsi="宋体" w:cs="宋体"/>
          <w:szCs w:val="21"/>
        </w:rPr>
      </w:pPr>
      <w:r>
        <w:rPr>
          <w:rFonts w:hint="eastAsia" w:ascii="宋体" w:hAnsi="宋体" w:cs="宋体"/>
          <w:szCs w:val="21"/>
        </w:rPr>
        <w:t>土地一张图</w:t>
      </w:r>
    </w:p>
    <w:p>
      <w:pPr>
        <w:pStyle w:val="166"/>
        <w:rPr>
          <w:rFonts w:ascii="宋体" w:hAnsi="宋体" w:cs="宋体"/>
          <w:szCs w:val="21"/>
        </w:rPr>
      </w:pPr>
      <w:r>
        <w:rPr>
          <w:rFonts w:hint="eastAsia" w:ascii="宋体" w:hAnsi="宋体" w:cs="宋体"/>
          <w:szCs w:val="21"/>
        </w:rPr>
        <w:t>开发土地一张图模块，实现数据资源目录管理、土地信息空间展示、土地信息查询、土地信息统计功能,实现高速集团全量储备土地分区域、分公司多图层数据展示。</w:t>
      </w:r>
    </w:p>
    <w:p>
      <w:pPr>
        <w:pStyle w:val="166"/>
        <w:numPr>
          <w:ilvl w:val="0"/>
          <w:numId w:val="9"/>
        </w:numPr>
        <w:ind w:firstLineChars="0"/>
        <w:rPr>
          <w:rFonts w:ascii="宋体" w:hAnsi="宋体" w:cs="宋体"/>
          <w:szCs w:val="21"/>
        </w:rPr>
      </w:pPr>
      <w:r>
        <w:rPr>
          <w:rFonts w:hint="eastAsia" w:ascii="宋体" w:hAnsi="宋体" w:cs="宋体"/>
          <w:szCs w:val="21"/>
        </w:rPr>
        <w:t>数据资源目录管理</w:t>
      </w:r>
    </w:p>
    <w:p>
      <w:pPr>
        <w:pStyle w:val="166"/>
        <w:rPr>
          <w:rFonts w:ascii="宋体" w:hAnsi="宋体" w:cs="宋体"/>
          <w:szCs w:val="21"/>
        </w:rPr>
      </w:pPr>
      <w:r>
        <w:rPr>
          <w:rFonts w:hint="eastAsia" w:ascii="宋体" w:hAnsi="宋体" w:cs="宋体"/>
          <w:szCs w:val="21"/>
        </w:rPr>
        <w:t xml:space="preserve">建立数据资源目录，提供土地现状数据、土地遥感监测成果数据、规划建设用地数据等数据资源的目录，通过目录管理，提供便捷的数据资源查找、数据资源选择、数据资源叠加浏览功能。 </w:t>
      </w:r>
    </w:p>
    <w:p>
      <w:pPr>
        <w:pStyle w:val="166"/>
        <w:numPr>
          <w:ilvl w:val="0"/>
          <w:numId w:val="9"/>
        </w:numPr>
        <w:ind w:firstLineChars="0"/>
        <w:rPr>
          <w:rFonts w:ascii="宋体" w:hAnsi="宋体" w:cs="宋体"/>
          <w:szCs w:val="21"/>
        </w:rPr>
      </w:pPr>
      <w:r>
        <w:rPr>
          <w:rFonts w:hint="eastAsia" w:ascii="宋体" w:hAnsi="宋体" w:cs="宋体"/>
          <w:szCs w:val="21"/>
        </w:rPr>
        <w:t>土地信息空间展示</w:t>
      </w:r>
    </w:p>
    <w:p>
      <w:pPr>
        <w:ind w:firstLine="420" w:firstLineChars="200"/>
        <w:rPr>
          <w:rFonts w:ascii="宋体" w:hAnsi="宋体" w:cs="宋体"/>
          <w:szCs w:val="21"/>
        </w:rPr>
      </w:pPr>
      <w:r>
        <w:rPr>
          <w:rFonts w:hint="eastAsia" w:ascii="宋体" w:hAnsi="宋体" w:cs="宋体"/>
          <w:szCs w:val="21"/>
        </w:rPr>
        <w:t>提供土地现状数据、土地遥感监测数据、规划建设用地数据及其属性信息在地图上浏览和展示。</w:t>
      </w:r>
    </w:p>
    <w:p>
      <w:pPr>
        <w:pStyle w:val="166"/>
        <w:numPr>
          <w:ilvl w:val="0"/>
          <w:numId w:val="9"/>
        </w:numPr>
        <w:ind w:firstLineChars="0"/>
        <w:rPr>
          <w:rFonts w:ascii="宋体" w:hAnsi="宋体" w:cs="宋体"/>
          <w:szCs w:val="21"/>
        </w:rPr>
      </w:pPr>
      <w:r>
        <w:rPr>
          <w:rFonts w:hint="eastAsia" w:ascii="宋体" w:hAnsi="宋体" w:cs="宋体"/>
          <w:szCs w:val="21"/>
        </w:rPr>
        <w:t>土地信息查询</w:t>
      </w:r>
    </w:p>
    <w:p>
      <w:pPr>
        <w:ind w:firstLine="420" w:firstLineChars="200"/>
        <w:rPr>
          <w:rFonts w:ascii="宋体" w:hAnsi="宋体" w:cs="宋体"/>
          <w:szCs w:val="21"/>
        </w:rPr>
      </w:pPr>
      <w:r>
        <w:rPr>
          <w:rFonts w:hint="eastAsia" w:ascii="宋体" w:hAnsi="宋体" w:cs="宋体"/>
          <w:szCs w:val="21"/>
        </w:rPr>
        <w:t xml:space="preserve">提供土地信息多条件查询和空间查询功能。 </w:t>
      </w:r>
    </w:p>
    <w:p>
      <w:pPr>
        <w:pStyle w:val="166"/>
        <w:numPr>
          <w:ilvl w:val="0"/>
          <w:numId w:val="9"/>
        </w:numPr>
        <w:ind w:firstLineChars="0"/>
        <w:rPr>
          <w:rFonts w:ascii="宋体" w:hAnsi="宋体" w:cs="宋体"/>
          <w:szCs w:val="21"/>
        </w:rPr>
      </w:pPr>
      <w:r>
        <w:rPr>
          <w:rFonts w:hint="eastAsia" w:ascii="宋体" w:hAnsi="宋体" w:cs="宋体"/>
          <w:szCs w:val="21"/>
        </w:rPr>
        <w:t>土地信息统计</w:t>
      </w:r>
    </w:p>
    <w:p>
      <w:pPr>
        <w:ind w:firstLine="420" w:firstLineChars="200"/>
        <w:rPr>
          <w:rFonts w:ascii="宋体" w:hAnsi="宋体" w:cs="宋体"/>
          <w:szCs w:val="21"/>
        </w:rPr>
      </w:pPr>
      <w:r>
        <w:rPr>
          <w:rFonts w:hint="eastAsia" w:ascii="宋体" w:hAnsi="宋体" w:cs="宋体"/>
          <w:szCs w:val="21"/>
        </w:rPr>
        <w:t>提供土地信息多维度统计与展示，包括土地项目信息统计、权证登记备案情况统计、土地违法侵占情况统计等。</w:t>
      </w:r>
    </w:p>
    <w:p>
      <w:pPr>
        <w:rPr>
          <w:rFonts w:ascii="宋体" w:hAnsi="宋体" w:cs="宋体"/>
          <w:szCs w:val="21"/>
        </w:rPr>
      </w:pPr>
    </w:p>
    <w:p>
      <w:pPr>
        <w:pStyle w:val="166"/>
        <w:numPr>
          <w:ilvl w:val="0"/>
          <w:numId w:val="8"/>
        </w:numPr>
        <w:ind w:left="80" w:firstLine="480" w:firstLineChars="0"/>
        <w:rPr>
          <w:rFonts w:ascii="宋体" w:hAnsi="宋体" w:cs="宋体"/>
          <w:szCs w:val="21"/>
        </w:rPr>
      </w:pPr>
      <w:r>
        <w:rPr>
          <w:rFonts w:hint="eastAsia" w:ascii="宋体" w:hAnsi="宋体" w:cs="宋体"/>
          <w:szCs w:val="21"/>
        </w:rPr>
        <w:t>土地资源现状监测</w:t>
      </w:r>
    </w:p>
    <w:p>
      <w:pPr>
        <w:pStyle w:val="166"/>
        <w:rPr>
          <w:rFonts w:ascii="宋体" w:hAnsi="宋体" w:cs="宋体"/>
          <w:szCs w:val="21"/>
        </w:rPr>
      </w:pPr>
      <w:r>
        <w:rPr>
          <w:rFonts w:hint="eastAsia" w:ascii="宋体" w:hAnsi="宋体" w:cs="宋体"/>
          <w:szCs w:val="21"/>
        </w:rPr>
        <w:t>开发土地资源现状监测模块，实现土地违规侵占问题监管。</w:t>
      </w:r>
    </w:p>
    <w:p>
      <w:pPr>
        <w:pStyle w:val="166"/>
        <w:rPr>
          <w:rFonts w:ascii="宋体" w:hAnsi="宋体" w:cs="宋体"/>
          <w:szCs w:val="21"/>
        </w:rPr>
      </w:pPr>
      <w:r>
        <w:rPr>
          <w:rFonts w:hint="eastAsia" w:ascii="宋体" w:hAnsi="宋体" w:cs="宋体"/>
          <w:szCs w:val="21"/>
        </w:rPr>
        <w:t xml:space="preserve">建立违规侵占土地台账，对违规侵占土地发现到整改的全过程进行管理。提供对疑似侵占地块信息的审核功能。 </w:t>
      </w:r>
    </w:p>
    <w:p>
      <w:pPr>
        <w:pStyle w:val="166"/>
        <w:rPr>
          <w:rFonts w:ascii="宋体" w:hAnsi="宋体" w:cs="宋体"/>
          <w:szCs w:val="21"/>
        </w:rPr>
      </w:pPr>
    </w:p>
    <w:p>
      <w:pPr>
        <w:pStyle w:val="166"/>
        <w:numPr>
          <w:ilvl w:val="0"/>
          <w:numId w:val="8"/>
        </w:numPr>
        <w:ind w:left="80" w:firstLine="480" w:firstLineChars="0"/>
        <w:rPr>
          <w:rFonts w:ascii="宋体" w:hAnsi="宋体" w:cs="宋体"/>
          <w:szCs w:val="21"/>
        </w:rPr>
      </w:pPr>
      <w:r>
        <w:rPr>
          <w:rFonts w:hint="eastAsia" w:ascii="宋体" w:hAnsi="宋体" w:cs="宋体"/>
          <w:szCs w:val="21"/>
        </w:rPr>
        <w:t>土地监测监管移动端巡查APP</w:t>
      </w:r>
    </w:p>
    <w:p>
      <w:pPr>
        <w:pStyle w:val="166"/>
        <w:rPr>
          <w:rFonts w:ascii="宋体" w:hAnsi="宋体" w:cs="宋体"/>
          <w:szCs w:val="21"/>
        </w:rPr>
      </w:pPr>
      <w:r>
        <w:rPr>
          <w:rFonts w:hint="eastAsia" w:ascii="宋体" w:hAnsi="宋体" w:cs="宋体"/>
          <w:szCs w:val="21"/>
        </w:rPr>
        <w:t>开发基于安卓的土地监测监管移动端巡查APP，实现土地信息查询、土地巡查上报、个人中心管理功能。</w:t>
      </w:r>
    </w:p>
    <w:p>
      <w:pPr>
        <w:pStyle w:val="166"/>
        <w:numPr>
          <w:ilvl w:val="0"/>
          <w:numId w:val="10"/>
        </w:numPr>
        <w:ind w:firstLineChars="0"/>
        <w:rPr>
          <w:rFonts w:ascii="宋体" w:hAnsi="宋体" w:cs="宋体"/>
          <w:szCs w:val="21"/>
        </w:rPr>
      </w:pPr>
      <w:r>
        <w:rPr>
          <w:rFonts w:hint="eastAsia" w:ascii="宋体" w:hAnsi="宋体" w:cs="宋体"/>
          <w:szCs w:val="21"/>
        </w:rPr>
        <w:t>土地信息查询</w:t>
      </w:r>
    </w:p>
    <w:p>
      <w:pPr>
        <w:ind w:left="480"/>
        <w:rPr>
          <w:rFonts w:ascii="宋体" w:hAnsi="宋体" w:cs="宋体"/>
          <w:szCs w:val="21"/>
        </w:rPr>
      </w:pPr>
      <w:r>
        <w:rPr>
          <w:rFonts w:hint="eastAsia" w:ascii="宋体" w:hAnsi="宋体" w:cs="宋体"/>
          <w:szCs w:val="21"/>
        </w:rPr>
        <w:t>基于移动端APP，提供土地信息的多条件查询和空间查询。</w:t>
      </w:r>
    </w:p>
    <w:p>
      <w:pPr>
        <w:pStyle w:val="166"/>
        <w:numPr>
          <w:ilvl w:val="0"/>
          <w:numId w:val="10"/>
        </w:numPr>
        <w:ind w:firstLineChars="0"/>
        <w:rPr>
          <w:rFonts w:ascii="宋体" w:hAnsi="宋体" w:cs="宋体"/>
          <w:szCs w:val="21"/>
        </w:rPr>
      </w:pPr>
      <w:r>
        <w:rPr>
          <w:rFonts w:hint="eastAsia" w:ascii="宋体" w:hAnsi="宋体" w:cs="宋体"/>
          <w:szCs w:val="21"/>
        </w:rPr>
        <w:t>土地巡查上报</w:t>
      </w:r>
    </w:p>
    <w:p>
      <w:pPr>
        <w:ind w:left="480"/>
        <w:rPr>
          <w:rFonts w:ascii="宋体" w:hAnsi="宋体" w:cs="宋体"/>
          <w:szCs w:val="21"/>
        </w:rPr>
      </w:pPr>
      <w:r>
        <w:rPr>
          <w:rFonts w:hint="eastAsia" w:ascii="宋体" w:hAnsi="宋体" w:cs="宋体"/>
          <w:szCs w:val="21"/>
        </w:rPr>
        <w:t>提供现场巡查人员对巡查结果的上报功能和现场照片、视频资料采集功能。</w:t>
      </w:r>
    </w:p>
    <w:p>
      <w:pPr>
        <w:pStyle w:val="166"/>
        <w:numPr>
          <w:ilvl w:val="0"/>
          <w:numId w:val="10"/>
        </w:numPr>
        <w:ind w:firstLineChars="0"/>
        <w:rPr>
          <w:rFonts w:ascii="宋体" w:hAnsi="宋体" w:cs="宋体"/>
          <w:szCs w:val="21"/>
        </w:rPr>
      </w:pPr>
      <w:r>
        <w:rPr>
          <w:rFonts w:hint="eastAsia" w:ascii="宋体" w:hAnsi="宋体" w:cs="宋体"/>
          <w:szCs w:val="21"/>
        </w:rPr>
        <w:t>个人中心</w:t>
      </w:r>
    </w:p>
    <w:p>
      <w:pPr>
        <w:ind w:left="480"/>
        <w:rPr>
          <w:rFonts w:ascii="宋体" w:hAnsi="宋体" w:cs="宋体"/>
          <w:szCs w:val="21"/>
        </w:rPr>
      </w:pPr>
      <w:r>
        <w:rPr>
          <w:rFonts w:hint="eastAsia" w:ascii="宋体" w:hAnsi="宋体" w:cs="宋体"/>
          <w:szCs w:val="21"/>
        </w:rPr>
        <w:t>提供用户信息查看、APP版本信息查看、缓存清理功能。</w:t>
      </w:r>
    </w:p>
    <w:p>
      <w:pPr>
        <w:ind w:left="480"/>
        <w:rPr>
          <w:rFonts w:ascii="宋体" w:hAnsi="宋体" w:cs="宋体"/>
          <w:szCs w:val="21"/>
        </w:rPr>
      </w:pPr>
    </w:p>
    <w:p>
      <w:pPr>
        <w:pStyle w:val="166"/>
        <w:numPr>
          <w:ilvl w:val="0"/>
          <w:numId w:val="8"/>
        </w:numPr>
        <w:ind w:left="80" w:firstLine="480" w:firstLineChars="0"/>
        <w:rPr>
          <w:rFonts w:ascii="宋体" w:hAnsi="宋体" w:cs="宋体"/>
          <w:szCs w:val="21"/>
        </w:rPr>
      </w:pPr>
      <w:r>
        <w:rPr>
          <w:rFonts w:hint="eastAsia" w:ascii="宋体" w:hAnsi="宋体" w:cs="宋体"/>
          <w:szCs w:val="21"/>
        </w:rPr>
        <w:t>综合服务支撑模块</w:t>
      </w:r>
    </w:p>
    <w:p>
      <w:pPr>
        <w:pStyle w:val="166"/>
        <w:ind w:left="480" w:firstLine="0" w:firstLineChars="0"/>
        <w:rPr>
          <w:rFonts w:ascii="宋体" w:hAnsi="宋体" w:cs="宋体"/>
          <w:szCs w:val="21"/>
        </w:rPr>
      </w:pPr>
      <w:r>
        <w:rPr>
          <w:rFonts w:hint="eastAsia" w:ascii="宋体" w:hAnsi="宋体" w:cs="宋体"/>
          <w:szCs w:val="21"/>
        </w:rPr>
        <w:t>开发综合服务支撑模块，实现系统用户管理、数据管理、系统运行监控。</w:t>
      </w:r>
    </w:p>
    <w:p>
      <w:pPr>
        <w:pStyle w:val="166"/>
        <w:numPr>
          <w:ilvl w:val="0"/>
          <w:numId w:val="11"/>
        </w:numPr>
        <w:ind w:firstLineChars="0"/>
        <w:rPr>
          <w:rFonts w:ascii="宋体" w:hAnsi="宋体" w:cs="宋体"/>
          <w:szCs w:val="21"/>
        </w:rPr>
      </w:pPr>
      <w:r>
        <w:rPr>
          <w:rFonts w:hint="eastAsia" w:ascii="宋体" w:hAnsi="宋体" w:cs="宋体"/>
          <w:szCs w:val="21"/>
        </w:rPr>
        <w:t>系统用户管理</w:t>
      </w:r>
    </w:p>
    <w:p>
      <w:pPr>
        <w:pStyle w:val="166"/>
        <w:rPr>
          <w:rFonts w:ascii="宋体" w:hAnsi="宋体" w:cs="宋体"/>
          <w:szCs w:val="21"/>
        </w:rPr>
      </w:pPr>
      <w:r>
        <w:rPr>
          <w:rFonts w:hint="eastAsia" w:ascii="宋体" w:hAnsi="宋体" w:cs="宋体"/>
          <w:szCs w:val="21"/>
        </w:rPr>
        <w:t>提供系统用户管理和维护，包括创建、修改、删除用户信息，用户角色、权限分配等功能。</w:t>
      </w:r>
    </w:p>
    <w:p>
      <w:pPr>
        <w:pStyle w:val="166"/>
        <w:numPr>
          <w:ilvl w:val="0"/>
          <w:numId w:val="11"/>
        </w:numPr>
        <w:ind w:firstLineChars="0"/>
        <w:rPr>
          <w:rFonts w:ascii="宋体" w:hAnsi="宋体" w:cs="宋体"/>
          <w:szCs w:val="21"/>
        </w:rPr>
      </w:pPr>
      <w:r>
        <w:rPr>
          <w:rFonts w:hint="eastAsia" w:ascii="宋体" w:hAnsi="宋体" w:cs="宋体"/>
          <w:szCs w:val="21"/>
        </w:rPr>
        <w:t>组织架构管理管理</w:t>
      </w:r>
    </w:p>
    <w:p>
      <w:pPr>
        <w:pStyle w:val="166"/>
        <w:rPr>
          <w:rFonts w:ascii="宋体" w:hAnsi="宋体" w:cs="宋体"/>
          <w:szCs w:val="21"/>
        </w:rPr>
      </w:pPr>
      <w:r>
        <w:rPr>
          <w:rFonts w:hint="eastAsia" w:ascii="宋体" w:hAnsi="宋体" w:cs="宋体"/>
          <w:szCs w:val="21"/>
        </w:rPr>
        <w:t>提供组织架构管理和维护，公司、部门管理等功能。</w:t>
      </w:r>
    </w:p>
    <w:p>
      <w:pPr>
        <w:pStyle w:val="166"/>
        <w:numPr>
          <w:ilvl w:val="0"/>
          <w:numId w:val="11"/>
        </w:numPr>
        <w:ind w:firstLineChars="0"/>
        <w:rPr>
          <w:rFonts w:ascii="宋体" w:hAnsi="宋体" w:cs="宋体"/>
          <w:szCs w:val="21"/>
        </w:rPr>
      </w:pPr>
      <w:r>
        <w:rPr>
          <w:rFonts w:hint="eastAsia" w:ascii="宋体" w:hAnsi="宋体" w:cs="宋体"/>
          <w:szCs w:val="21"/>
        </w:rPr>
        <w:t>数据资源管理</w:t>
      </w:r>
    </w:p>
    <w:p>
      <w:pPr>
        <w:ind w:firstLine="420" w:firstLineChars="200"/>
        <w:rPr>
          <w:rFonts w:ascii="宋体" w:hAnsi="宋体" w:cs="宋体"/>
          <w:szCs w:val="21"/>
        </w:rPr>
      </w:pPr>
      <w:r>
        <w:rPr>
          <w:rFonts w:hint="eastAsia" w:ascii="宋体" w:hAnsi="宋体" w:cs="宋体"/>
          <w:szCs w:val="21"/>
        </w:rPr>
        <w:t>提供接入系统的数据资源服务的统一管理，包括底图管理、历史影像管理和专题图层管理。</w:t>
      </w:r>
    </w:p>
    <w:p>
      <w:pPr>
        <w:pStyle w:val="166"/>
        <w:numPr>
          <w:ilvl w:val="0"/>
          <w:numId w:val="11"/>
        </w:numPr>
        <w:ind w:firstLineChars="0"/>
        <w:rPr>
          <w:rFonts w:ascii="宋体" w:hAnsi="宋体" w:cs="宋体"/>
          <w:szCs w:val="21"/>
        </w:rPr>
      </w:pPr>
      <w:r>
        <w:rPr>
          <w:rFonts w:hint="eastAsia" w:ascii="宋体" w:hAnsi="宋体" w:cs="宋体"/>
          <w:szCs w:val="21"/>
        </w:rPr>
        <w:t>系统运行监控</w:t>
      </w:r>
    </w:p>
    <w:p>
      <w:pPr>
        <w:ind w:firstLine="420" w:firstLineChars="200"/>
        <w:rPr>
          <w:rFonts w:ascii="宋体" w:hAnsi="宋体" w:cs="宋体"/>
          <w:szCs w:val="21"/>
        </w:rPr>
      </w:pPr>
      <w:r>
        <w:rPr>
          <w:rFonts w:hint="eastAsia" w:ascii="宋体" w:hAnsi="宋体" w:cs="宋体"/>
          <w:szCs w:val="21"/>
        </w:rPr>
        <w:t>提供系统运行监控，包括服务器资源监控、数据资源监控、用户访问监控。</w:t>
      </w:r>
    </w:p>
    <w:p>
      <w:pPr>
        <w:ind w:firstLine="420" w:firstLineChars="200"/>
        <w:rPr>
          <w:rFonts w:ascii="宋体" w:hAnsi="宋体" w:cs="宋体"/>
          <w:szCs w:val="21"/>
        </w:rPr>
      </w:pPr>
    </w:p>
    <w:p>
      <w:pPr>
        <w:pStyle w:val="166"/>
        <w:numPr>
          <w:ilvl w:val="0"/>
          <w:numId w:val="8"/>
        </w:numPr>
        <w:ind w:left="80" w:firstLine="480" w:firstLineChars="0"/>
        <w:rPr>
          <w:rFonts w:ascii="宋体" w:hAnsi="宋体" w:cs="宋体"/>
          <w:szCs w:val="21"/>
        </w:rPr>
      </w:pPr>
      <w:r>
        <w:rPr>
          <w:rFonts w:hint="eastAsia" w:ascii="宋体" w:hAnsi="宋体" w:cs="宋体"/>
          <w:szCs w:val="21"/>
        </w:rPr>
        <w:t>非功能性需求</w:t>
      </w:r>
    </w:p>
    <w:p>
      <w:pPr>
        <w:pStyle w:val="166"/>
        <w:numPr>
          <w:ilvl w:val="0"/>
          <w:numId w:val="12"/>
        </w:numPr>
        <w:ind w:firstLineChars="0"/>
        <w:rPr>
          <w:rFonts w:ascii="宋体" w:hAnsi="宋体" w:cs="宋体"/>
          <w:szCs w:val="21"/>
        </w:rPr>
      </w:pPr>
      <w:r>
        <w:rPr>
          <w:rFonts w:hint="eastAsia" w:ascii="宋体" w:hAnsi="宋体" w:cs="宋体"/>
          <w:szCs w:val="21"/>
        </w:rPr>
        <w:t>系统支持主流的web浏览器。</w:t>
      </w:r>
    </w:p>
    <w:p>
      <w:pPr>
        <w:pStyle w:val="166"/>
        <w:numPr>
          <w:ilvl w:val="0"/>
          <w:numId w:val="12"/>
        </w:numPr>
        <w:ind w:firstLineChars="0"/>
        <w:rPr>
          <w:rFonts w:ascii="宋体" w:hAnsi="宋体" w:cs="宋体"/>
          <w:szCs w:val="21"/>
        </w:rPr>
      </w:pPr>
      <w:r>
        <w:rPr>
          <w:rFonts w:hint="eastAsia" w:ascii="宋体" w:hAnsi="宋体" w:cs="宋体"/>
          <w:szCs w:val="21"/>
        </w:rPr>
        <w:t>系统支持的不少于100用户同时使用。</w:t>
      </w:r>
    </w:p>
    <w:p>
      <w:pPr>
        <w:pStyle w:val="166"/>
        <w:numPr>
          <w:ilvl w:val="0"/>
          <w:numId w:val="12"/>
        </w:numPr>
        <w:ind w:firstLineChars="0"/>
        <w:rPr>
          <w:rFonts w:ascii="宋体" w:hAnsi="宋体" w:cs="宋体"/>
          <w:szCs w:val="21"/>
        </w:rPr>
      </w:pPr>
      <w:r>
        <w:rPr>
          <w:rFonts w:hint="eastAsia" w:ascii="宋体" w:hAnsi="宋体" w:cs="宋体"/>
          <w:szCs w:val="21"/>
        </w:rPr>
        <w:t>满足网络安全二级等保要求。</w:t>
      </w:r>
    </w:p>
    <w:p>
      <w:pPr>
        <w:snapToGrid w:val="0"/>
        <w:spacing w:line="400" w:lineRule="exact"/>
        <w:rPr>
          <w:rFonts w:ascii="宋体" w:hAnsi="宋体" w:cs="宋体"/>
          <w:bCs/>
          <w:szCs w:val="21"/>
        </w:rPr>
      </w:pPr>
      <w:r>
        <w:rPr>
          <w:rFonts w:hint="eastAsia" w:ascii="宋体" w:hAnsi="宋体" w:cs="宋体"/>
          <w:bCs/>
          <w:szCs w:val="21"/>
        </w:rPr>
        <w:t>（四）、项目成果</w:t>
      </w:r>
    </w:p>
    <w:p>
      <w:pPr>
        <w:snapToGrid w:val="0"/>
        <w:spacing w:line="400" w:lineRule="exact"/>
        <w:ind w:firstLine="422" w:firstLineChars="200"/>
        <w:rPr>
          <w:rFonts w:ascii="宋体" w:hAnsi="宋体" w:cs="宋体"/>
          <w:b/>
          <w:bCs/>
          <w:szCs w:val="21"/>
        </w:rPr>
      </w:pPr>
      <w:r>
        <w:rPr>
          <w:rFonts w:hint="eastAsia" w:ascii="宋体" w:hAnsi="宋体" w:cs="宋体"/>
          <w:b/>
          <w:bCs/>
          <w:szCs w:val="21"/>
        </w:rPr>
        <w:t>1、软件成果</w:t>
      </w:r>
    </w:p>
    <w:p>
      <w:pPr>
        <w:snapToGrid w:val="0"/>
        <w:spacing w:line="400" w:lineRule="exact"/>
        <w:ind w:firstLine="420" w:firstLineChars="200"/>
        <w:rPr>
          <w:rFonts w:ascii="宋体" w:hAnsi="宋体" w:cs="宋体"/>
          <w:szCs w:val="21"/>
        </w:rPr>
      </w:pPr>
      <w:r>
        <w:rPr>
          <w:rFonts w:hint="eastAsia" w:ascii="宋体" w:hAnsi="宋体" w:cs="宋体"/>
          <w:szCs w:val="21"/>
        </w:rPr>
        <w:t>完成系统功能建设，并提交系统及源代码。</w:t>
      </w:r>
    </w:p>
    <w:p>
      <w:pPr>
        <w:snapToGrid w:val="0"/>
        <w:spacing w:line="400" w:lineRule="exact"/>
        <w:ind w:firstLine="422" w:firstLineChars="200"/>
        <w:rPr>
          <w:rFonts w:ascii="宋体" w:hAnsi="宋体" w:cs="宋体"/>
          <w:b/>
          <w:bCs/>
          <w:szCs w:val="21"/>
        </w:rPr>
      </w:pPr>
      <w:r>
        <w:rPr>
          <w:rFonts w:hint="eastAsia" w:ascii="宋体" w:hAnsi="宋体" w:cs="宋体"/>
          <w:b/>
          <w:bCs/>
          <w:szCs w:val="21"/>
        </w:rPr>
        <w:t>2、文档成果</w:t>
      </w:r>
    </w:p>
    <w:tbl>
      <w:tblPr>
        <w:tblStyle w:val="41"/>
        <w:tblW w:w="8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6222"/>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b/>
                <w:szCs w:val="21"/>
              </w:rPr>
            </w:pPr>
            <w:r>
              <w:rPr>
                <w:rFonts w:hint="eastAsia" w:ascii="宋体" w:hAnsi="宋体" w:cs="宋体"/>
                <w:b/>
                <w:szCs w:val="21"/>
              </w:rPr>
              <w:t>序号</w:t>
            </w:r>
          </w:p>
        </w:tc>
        <w:tc>
          <w:tcPr>
            <w:tcW w:w="6222" w:type="dxa"/>
            <w:tcBorders>
              <w:top w:val="single" w:color="auto" w:sz="4" w:space="0"/>
              <w:left w:val="nil"/>
              <w:bottom w:val="single" w:color="auto" w:sz="4" w:space="0"/>
              <w:right w:val="single" w:color="auto" w:sz="4" w:space="0"/>
            </w:tcBorders>
            <w:vAlign w:val="center"/>
          </w:tcPr>
          <w:p>
            <w:pPr>
              <w:snapToGrid w:val="0"/>
              <w:spacing w:line="400" w:lineRule="exact"/>
              <w:ind w:firstLine="422" w:firstLineChars="200"/>
              <w:jc w:val="center"/>
              <w:rPr>
                <w:rFonts w:ascii="宋体" w:hAnsi="宋体" w:cs="宋体"/>
                <w:b/>
                <w:szCs w:val="21"/>
              </w:rPr>
            </w:pPr>
            <w:r>
              <w:rPr>
                <w:rFonts w:hint="eastAsia" w:ascii="宋体" w:hAnsi="宋体" w:cs="宋体"/>
                <w:b/>
                <w:szCs w:val="21"/>
              </w:rPr>
              <w:t>成果内容</w:t>
            </w:r>
          </w:p>
        </w:tc>
        <w:tc>
          <w:tcPr>
            <w:tcW w:w="1273"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ascii="宋体" w:hAnsi="宋体" w:cs="宋体"/>
                <w:b/>
                <w:szCs w:val="21"/>
              </w:rPr>
            </w:pPr>
            <w:r>
              <w:rPr>
                <w:rFonts w:hint="eastAsia" w:ascii="宋体" w:hAnsi="宋体" w:cs="宋体"/>
                <w:b/>
                <w:szCs w:val="21"/>
              </w:rPr>
              <w:t>数据格式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1</w:t>
            </w:r>
          </w:p>
        </w:tc>
        <w:tc>
          <w:tcPr>
            <w:tcW w:w="6222" w:type="dxa"/>
            <w:tcBorders>
              <w:top w:val="single" w:color="auto" w:sz="4" w:space="0"/>
              <w:left w:val="nil"/>
              <w:bottom w:val="single" w:color="auto" w:sz="4" w:space="0"/>
              <w:right w:val="single" w:color="auto" w:sz="4" w:space="0"/>
            </w:tcBorders>
            <w:vAlign w:val="center"/>
          </w:tcPr>
          <w:p>
            <w:pPr>
              <w:snapToGrid w:val="0"/>
              <w:spacing w:line="400" w:lineRule="exact"/>
              <w:jc w:val="left"/>
              <w:rPr>
                <w:rFonts w:ascii="宋体" w:hAnsi="宋体" w:cs="宋体"/>
                <w:szCs w:val="21"/>
              </w:rPr>
            </w:pPr>
            <w:r>
              <w:rPr>
                <w:rFonts w:hint="eastAsia" w:ascii="宋体" w:hAnsi="宋体" w:cs="宋体"/>
                <w:szCs w:val="21"/>
              </w:rPr>
              <w:t>土地资源监测管理平台开发技术服务项目实施方案</w:t>
            </w:r>
          </w:p>
        </w:tc>
        <w:tc>
          <w:tcPr>
            <w:tcW w:w="1273"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2</w:t>
            </w:r>
          </w:p>
        </w:tc>
        <w:tc>
          <w:tcPr>
            <w:tcW w:w="6222" w:type="dxa"/>
            <w:tcBorders>
              <w:top w:val="single" w:color="auto" w:sz="4" w:space="0"/>
              <w:left w:val="nil"/>
              <w:bottom w:val="single" w:color="auto" w:sz="4" w:space="0"/>
              <w:right w:val="single" w:color="auto" w:sz="4" w:space="0"/>
            </w:tcBorders>
            <w:vAlign w:val="center"/>
          </w:tcPr>
          <w:p>
            <w:pPr>
              <w:snapToGrid w:val="0"/>
              <w:spacing w:line="400" w:lineRule="exact"/>
              <w:jc w:val="left"/>
              <w:rPr>
                <w:rFonts w:ascii="宋体" w:hAnsi="宋体" w:cs="宋体"/>
                <w:szCs w:val="21"/>
              </w:rPr>
            </w:pPr>
            <w:r>
              <w:rPr>
                <w:rFonts w:hint="eastAsia" w:ascii="宋体" w:hAnsi="宋体" w:cs="宋体"/>
                <w:szCs w:val="21"/>
              </w:rPr>
              <w:t>土地资源监测管理平台开发技术服务项目安装部署手册</w:t>
            </w:r>
          </w:p>
        </w:tc>
        <w:tc>
          <w:tcPr>
            <w:tcW w:w="1273"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3</w:t>
            </w:r>
          </w:p>
        </w:tc>
        <w:tc>
          <w:tcPr>
            <w:tcW w:w="6222" w:type="dxa"/>
            <w:tcBorders>
              <w:top w:val="single" w:color="auto" w:sz="4" w:space="0"/>
              <w:left w:val="nil"/>
              <w:bottom w:val="single" w:color="auto" w:sz="4" w:space="0"/>
              <w:right w:val="single" w:color="auto" w:sz="4" w:space="0"/>
            </w:tcBorders>
            <w:vAlign w:val="center"/>
          </w:tcPr>
          <w:p>
            <w:pPr>
              <w:snapToGrid w:val="0"/>
              <w:spacing w:line="400" w:lineRule="exact"/>
              <w:jc w:val="left"/>
              <w:rPr>
                <w:rFonts w:ascii="宋体" w:hAnsi="宋体" w:cs="宋体"/>
                <w:szCs w:val="21"/>
              </w:rPr>
            </w:pPr>
            <w:r>
              <w:rPr>
                <w:rFonts w:hint="eastAsia" w:ascii="宋体" w:hAnsi="宋体" w:cs="宋体"/>
                <w:szCs w:val="21"/>
              </w:rPr>
              <w:t>土地资源监测管理平台开发技术服务项目工作技术总结</w:t>
            </w:r>
          </w:p>
        </w:tc>
        <w:tc>
          <w:tcPr>
            <w:tcW w:w="1273"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4</w:t>
            </w:r>
          </w:p>
        </w:tc>
        <w:tc>
          <w:tcPr>
            <w:tcW w:w="6222" w:type="dxa"/>
            <w:tcBorders>
              <w:top w:val="single" w:color="auto" w:sz="4" w:space="0"/>
              <w:left w:val="nil"/>
              <w:bottom w:val="single" w:color="auto" w:sz="4" w:space="0"/>
              <w:right w:val="single" w:color="auto" w:sz="4" w:space="0"/>
            </w:tcBorders>
            <w:vAlign w:val="center"/>
          </w:tcPr>
          <w:p>
            <w:pPr>
              <w:snapToGrid w:val="0"/>
              <w:spacing w:line="400" w:lineRule="exact"/>
              <w:jc w:val="left"/>
              <w:rPr>
                <w:rFonts w:ascii="宋体" w:hAnsi="宋体" w:cs="宋体"/>
                <w:szCs w:val="21"/>
              </w:rPr>
            </w:pPr>
            <w:r>
              <w:rPr>
                <w:rFonts w:hint="eastAsia" w:ascii="宋体" w:hAnsi="宋体" w:cs="宋体"/>
                <w:szCs w:val="21"/>
              </w:rPr>
              <w:t>土地资源监测管理平台开发技术服务项目用户操作手册</w:t>
            </w:r>
          </w:p>
        </w:tc>
        <w:tc>
          <w:tcPr>
            <w:tcW w:w="1273" w:type="dxa"/>
            <w:tcBorders>
              <w:top w:val="single" w:color="auto" w:sz="4" w:space="0"/>
              <w:left w:val="nil"/>
              <w:bottom w:val="single" w:color="auto" w:sz="4" w:space="0"/>
              <w:right w:val="single" w:color="auto" w:sz="4" w:space="0"/>
            </w:tcBorders>
            <w:vAlign w:val="center"/>
          </w:tcPr>
          <w:p>
            <w:pPr>
              <w:snapToGrid w:val="0"/>
              <w:spacing w:line="400" w:lineRule="exact"/>
              <w:jc w:val="center"/>
              <w:rPr>
                <w:rFonts w:ascii="宋体" w:hAnsi="宋体" w:cs="宋体"/>
                <w:szCs w:val="21"/>
              </w:rPr>
            </w:pPr>
            <w:r>
              <w:rPr>
                <w:rFonts w:hint="eastAsia" w:ascii="宋体" w:hAnsi="宋体" w:cs="宋体"/>
                <w:szCs w:val="21"/>
              </w:rPr>
              <w:t>文本</w:t>
            </w:r>
          </w:p>
        </w:tc>
      </w:tr>
    </w:tbl>
    <w:p>
      <w:pPr>
        <w:pStyle w:val="3"/>
        <w:spacing w:before="0" w:after="0" w:line="360" w:lineRule="auto"/>
        <w:jc w:val="center"/>
        <w:rPr>
          <w:rFonts w:ascii="宋体" w:hAnsi="宋体" w:cs="宋体"/>
        </w:rPr>
      </w:pPr>
      <w:r>
        <w:rPr>
          <w:rFonts w:hint="eastAsia" w:ascii="宋体" w:hAnsi="宋体" w:cs="宋体"/>
          <w:sz w:val="21"/>
          <w:szCs w:val="21"/>
        </w:rPr>
        <w:br w:type="page"/>
      </w:r>
      <w:bookmarkStart w:id="217" w:name="_Toc23208"/>
      <w:r>
        <w:rPr>
          <w:rFonts w:hint="eastAsia" w:ascii="宋体" w:hAnsi="宋体" w:cs="宋体"/>
        </w:rPr>
        <w:t>第八章  工程量清单计量规则</w:t>
      </w:r>
      <w:bookmarkEnd w:id="204"/>
      <w:bookmarkEnd w:id="205"/>
      <w:bookmarkEnd w:id="206"/>
      <w:bookmarkEnd w:id="207"/>
      <w:bookmarkEnd w:id="208"/>
      <w:bookmarkEnd w:id="217"/>
    </w:p>
    <w:p>
      <w:pPr>
        <w:spacing w:line="360" w:lineRule="auto"/>
        <w:ind w:firstLine="420" w:firstLineChars="200"/>
        <w:rPr>
          <w:rFonts w:ascii="宋体" w:hAnsi="宋体" w:cs="宋体"/>
          <w:szCs w:val="21"/>
        </w:rPr>
      </w:pPr>
    </w:p>
    <w:p>
      <w:pPr>
        <w:pStyle w:val="3"/>
        <w:spacing w:before="0" w:after="0" w:line="360" w:lineRule="auto"/>
        <w:jc w:val="center"/>
        <w:rPr>
          <w:rFonts w:ascii="宋体" w:hAnsi="宋体" w:cs="宋体"/>
          <w:sz w:val="24"/>
          <w:szCs w:val="24"/>
        </w:rPr>
      </w:pPr>
      <w:bookmarkStart w:id="218" w:name="_Toc8090"/>
      <w:r>
        <w:rPr>
          <w:rFonts w:hint="eastAsia" w:ascii="宋体" w:hAnsi="宋体" w:cs="宋体"/>
          <w:sz w:val="24"/>
          <w:szCs w:val="24"/>
        </w:rPr>
        <w:t>无。</w:t>
      </w:r>
      <w:bookmarkEnd w:id="218"/>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sectPr>
          <w:pgSz w:w="11906" w:h="16838"/>
          <w:pgMar w:top="1440" w:right="1803" w:bottom="1440" w:left="1803" w:header="851" w:footer="992" w:gutter="0"/>
          <w:cols w:space="720" w:num="1"/>
          <w:titlePg/>
          <w:docGrid w:type="lines" w:linePitch="319" w:charSpace="0"/>
        </w:sectPr>
      </w:pPr>
      <w:bookmarkStart w:id="219" w:name="_Toc513633965"/>
    </w:p>
    <w:p>
      <w:pPr>
        <w:rPr>
          <w:rFonts w:ascii="宋体" w:hAnsi="宋体" w:cs="宋体"/>
        </w:rPr>
      </w:pPr>
    </w:p>
    <w:p>
      <w:pPr>
        <w:pStyle w:val="3"/>
        <w:spacing w:before="0" w:after="0" w:line="360" w:lineRule="auto"/>
        <w:jc w:val="center"/>
        <w:rPr>
          <w:rFonts w:ascii="宋体" w:hAnsi="宋体" w:cs="宋体"/>
        </w:rPr>
      </w:pPr>
      <w:bookmarkStart w:id="220" w:name="_Toc24853"/>
      <w:bookmarkStart w:id="221" w:name="_Toc22294"/>
      <w:bookmarkStart w:id="222" w:name="_Toc514858709"/>
      <w:bookmarkStart w:id="223" w:name="_Toc2000413"/>
      <w:r>
        <w:rPr>
          <w:rFonts w:hint="eastAsia" w:ascii="宋体" w:hAnsi="宋体" w:cs="宋体"/>
        </w:rPr>
        <w:t>第九章  竞争性比选响应文件格式</w:t>
      </w:r>
      <w:bookmarkEnd w:id="219"/>
      <w:bookmarkEnd w:id="220"/>
      <w:bookmarkEnd w:id="221"/>
      <w:bookmarkEnd w:id="222"/>
      <w:bookmarkEnd w:id="223"/>
    </w:p>
    <w:p>
      <w:pPr>
        <w:rPr>
          <w:rFonts w:ascii="宋体" w:hAnsi="宋体" w:cs="宋体"/>
        </w:rPr>
      </w:pPr>
    </w:p>
    <w:p>
      <w:pPr>
        <w:rPr>
          <w:rFonts w:ascii="宋体" w:hAnsi="宋体" w:cs="宋体"/>
        </w:rPr>
        <w:sectPr>
          <w:pgSz w:w="11906" w:h="16838"/>
          <w:pgMar w:top="1440" w:right="1803" w:bottom="1440" w:left="1803" w:header="851" w:footer="992" w:gutter="0"/>
          <w:cols w:space="720" w:num="1"/>
          <w:titlePg/>
          <w:docGrid w:type="lines" w:linePitch="319" w:charSpace="0"/>
        </w:sectPr>
      </w:pPr>
    </w:p>
    <w:p>
      <w:pPr>
        <w:rPr>
          <w:rFonts w:ascii="宋体" w:hAnsi="宋体" w:cs="宋体"/>
        </w:rPr>
      </w:pPr>
    </w:p>
    <w:p>
      <w:pPr>
        <w:jc w:val="center"/>
        <w:rPr>
          <w:rFonts w:ascii="宋体" w:hAnsi="宋体" w:cs="宋体"/>
          <w:b/>
          <w:bCs/>
          <w:sz w:val="48"/>
          <w:szCs w:val="56"/>
          <w:u w:val="single"/>
        </w:rPr>
      </w:pPr>
      <w:r>
        <w:rPr>
          <w:rFonts w:hint="eastAsia" w:ascii="宋体" w:hAnsi="宋体" w:cs="宋体"/>
          <w:b/>
          <w:bCs/>
          <w:sz w:val="48"/>
          <w:szCs w:val="56"/>
          <w:u w:val="single"/>
        </w:rPr>
        <w:t>土地资源监测管理平台开发技术</w:t>
      </w:r>
    </w:p>
    <w:p>
      <w:pPr>
        <w:jc w:val="center"/>
        <w:rPr>
          <w:rFonts w:ascii="宋体" w:hAnsi="宋体" w:cs="宋体"/>
          <w:sz w:val="52"/>
          <w:szCs w:val="52"/>
          <w:u w:val="single"/>
        </w:rPr>
      </w:pPr>
      <w:r>
        <w:rPr>
          <w:rFonts w:hint="eastAsia" w:ascii="宋体" w:hAnsi="宋体" w:cs="宋体"/>
          <w:b/>
          <w:bCs/>
          <w:sz w:val="48"/>
          <w:szCs w:val="56"/>
          <w:u w:val="single"/>
        </w:rPr>
        <w:t>服务项目</w:t>
      </w:r>
    </w:p>
    <w:p>
      <w:pPr>
        <w:rPr>
          <w:rFonts w:ascii="宋体" w:hAnsi="宋体" w:cs="宋体"/>
          <w:sz w:val="20"/>
          <w:szCs w:val="20"/>
        </w:rPr>
      </w:pPr>
    </w:p>
    <w:p>
      <w:pPr>
        <w:jc w:val="center"/>
        <w:rPr>
          <w:rFonts w:ascii="宋体" w:hAnsi="宋体" w:cs="宋体"/>
          <w:sz w:val="44"/>
          <w:szCs w:val="44"/>
        </w:rPr>
      </w:pPr>
      <w:r>
        <w:rPr>
          <w:rFonts w:hint="eastAsia" w:ascii="宋体" w:hAnsi="宋体" w:cs="宋体"/>
          <w:sz w:val="44"/>
          <w:szCs w:val="44"/>
        </w:rPr>
        <w:t xml:space="preserve"> </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b/>
          <w:sz w:val="72"/>
          <w:szCs w:val="44"/>
        </w:rPr>
      </w:pPr>
      <w:r>
        <w:rPr>
          <w:rFonts w:hint="eastAsia" w:ascii="宋体" w:hAnsi="宋体" w:cs="宋体"/>
          <w:b/>
          <w:sz w:val="72"/>
          <w:szCs w:val="44"/>
        </w:rPr>
        <w:t>竞争性比选响应文件</w:t>
      </w:r>
    </w:p>
    <w:p>
      <w:pPr>
        <w:jc w:val="center"/>
        <w:rPr>
          <w:rFonts w:ascii="宋体" w:hAnsi="宋体" w:cs="宋体"/>
          <w:b/>
          <w:sz w:val="32"/>
          <w:szCs w:val="32"/>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2"/>
      </w:pPr>
    </w:p>
    <w:p/>
    <w:p>
      <w:pPr>
        <w:pStyle w:val="2"/>
      </w:pPr>
    </w:p>
    <w:p/>
    <w:p>
      <w:pPr>
        <w:pStyle w:val="2"/>
      </w:pPr>
    </w:p>
    <w:p>
      <w:pPr>
        <w:jc w:val="center"/>
        <w:rPr>
          <w:rFonts w:ascii="宋体" w:hAnsi="宋体" w:cs="宋体"/>
          <w:sz w:val="28"/>
          <w:szCs w:val="28"/>
          <w:u w:val="single"/>
        </w:rPr>
      </w:pPr>
      <w:r>
        <w:rPr>
          <w:rFonts w:hint="eastAsia" w:ascii="宋体" w:hAnsi="宋体" w:cs="宋体"/>
          <w:sz w:val="28"/>
          <w:szCs w:val="28"/>
        </w:rPr>
        <w:t>报价人：</w:t>
      </w:r>
      <w:r>
        <w:rPr>
          <w:rFonts w:hint="eastAsia" w:ascii="宋体" w:hAnsi="宋体" w:cs="宋体"/>
          <w:sz w:val="28"/>
          <w:szCs w:val="28"/>
          <w:u w:val="single"/>
        </w:rPr>
        <w:t xml:space="preserve">                              </w:t>
      </w:r>
      <w:r>
        <w:rPr>
          <w:rFonts w:hint="eastAsia" w:ascii="宋体" w:hAnsi="宋体" w:cs="宋体"/>
          <w:sz w:val="28"/>
          <w:szCs w:val="28"/>
        </w:rPr>
        <w:t>（盖单位鲜公章）</w:t>
      </w:r>
    </w:p>
    <w:p>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pPr>
        <w:jc w:val="center"/>
        <w:rPr>
          <w:rFonts w:ascii="宋体" w:hAnsi="宋体" w:cs="宋体"/>
          <w:sz w:val="20"/>
          <w:szCs w:val="20"/>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4"/>
        <w:jc w:val="center"/>
        <w:rPr>
          <w:rFonts w:ascii="宋体" w:hAnsi="宋体" w:eastAsia="宋体" w:cs="宋体"/>
        </w:rPr>
      </w:pPr>
      <w:bookmarkStart w:id="224" w:name="_Toc1368"/>
      <w:bookmarkStart w:id="225" w:name="_Toc11078"/>
      <w:bookmarkStart w:id="226" w:name="_Toc11329273"/>
      <w:bookmarkStart w:id="227" w:name="_Toc28780"/>
      <w:bookmarkStart w:id="228" w:name="_Toc12693"/>
      <w:bookmarkStart w:id="229" w:name="_Toc5459"/>
      <w:r>
        <w:rPr>
          <w:rFonts w:hint="eastAsia" w:ascii="宋体" w:hAnsi="宋体" w:eastAsia="宋体" w:cs="宋体"/>
        </w:rPr>
        <w:t>目    录</w:t>
      </w:r>
      <w:bookmarkEnd w:id="209"/>
      <w:bookmarkEnd w:id="210"/>
      <w:bookmarkEnd w:id="211"/>
      <w:bookmarkEnd w:id="212"/>
      <w:bookmarkEnd w:id="213"/>
      <w:bookmarkEnd w:id="214"/>
      <w:bookmarkEnd w:id="215"/>
      <w:bookmarkEnd w:id="216"/>
      <w:bookmarkEnd w:id="224"/>
      <w:bookmarkEnd w:id="225"/>
      <w:bookmarkEnd w:id="226"/>
      <w:bookmarkEnd w:id="227"/>
      <w:bookmarkEnd w:id="228"/>
      <w:bookmarkEnd w:id="229"/>
    </w:p>
    <w:p>
      <w:pPr>
        <w:spacing w:line="400" w:lineRule="exact"/>
        <w:rPr>
          <w:rFonts w:ascii="宋体" w:hAnsi="宋体" w:cs="宋体"/>
        </w:rPr>
      </w:pPr>
      <w:r>
        <w:rPr>
          <w:rFonts w:hint="eastAsia" w:ascii="宋体" w:hAnsi="宋体" w:cs="宋体"/>
        </w:rPr>
        <w:t>一、竞争性响应声明书</w:t>
      </w:r>
    </w:p>
    <w:p>
      <w:pPr>
        <w:spacing w:line="400" w:lineRule="exact"/>
        <w:rPr>
          <w:rFonts w:ascii="宋体" w:hAnsi="宋体" w:cs="宋体"/>
        </w:rPr>
      </w:pPr>
      <w:r>
        <w:rPr>
          <w:rFonts w:hint="eastAsia" w:ascii="宋体" w:hAnsi="宋体" w:cs="宋体"/>
        </w:rPr>
        <w:t>二、报价一览表</w:t>
      </w:r>
    </w:p>
    <w:p>
      <w:pPr>
        <w:spacing w:line="400" w:lineRule="exact"/>
        <w:rPr>
          <w:rFonts w:ascii="宋体" w:hAnsi="宋体" w:cs="宋体"/>
        </w:rPr>
      </w:pPr>
      <w:r>
        <w:rPr>
          <w:rFonts w:hint="eastAsia" w:ascii="宋体" w:hAnsi="宋体" w:cs="宋体"/>
        </w:rPr>
        <w:t>三、资格审查资料</w:t>
      </w:r>
    </w:p>
    <w:p>
      <w:pPr>
        <w:spacing w:line="400" w:lineRule="exact"/>
        <w:rPr>
          <w:rFonts w:ascii="宋体" w:hAnsi="宋体" w:cs="宋体"/>
        </w:rPr>
      </w:pPr>
      <w:r>
        <w:rPr>
          <w:rFonts w:hint="eastAsia" w:ascii="宋体" w:hAnsi="宋体" w:cs="宋体"/>
        </w:rPr>
        <w:t>四、</w:t>
      </w:r>
      <w:r>
        <w:rPr>
          <w:rFonts w:hint="eastAsia" w:ascii="宋体" w:hAnsi="宋体" w:cs="宋体"/>
          <w:szCs w:val="21"/>
        </w:rPr>
        <w:t>报价人须知前附表规定的其他材料</w:t>
      </w:r>
      <w:r>
        <w:rPr>
          <w:rFonts w:hint="eastAsia" w:ascii="宋体" w:hAnsi="宋体" w:cs="宋体"/>
        </w:rPr>
        <w:t xml:space="preserve"> </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r>
        <w:rPr>
          <w:rFonts w:ascii="宋体" w:hAnsi="宋体" w:cs="宋体"/>
        </w:rPr>
        <w:br w:type="page"/>
      </w:r>
    </w:p>
    <w:p>
      <w:pPr>
        <w:pStyle w:val="4"/>
        <w:spacing w:before="0" w:after="0" w:line="360" w:lineRule="auto"/>
        <w:jc w:val="center"/>
        <w:rPr>
          <w:rFonts w:ascii="宋体" w:hAnsi="宋体" w:eastAsia="宋体" w:cs="宋体"/>
          <w:sz w:val="28"/>
        </w:rPr>
      </w:pPr>
      <w:bookmarkStart w:id="230" w:name="_Toc11329274"/>
      <w:bookmarkStart w:id="231" w:name="_Toc8870"/>
      <w:bookmarkStart w:id="232" w:name="_Toc29547"/>
      <w:bookmarkStart w:id="233" w:name="_Toc25874"/>
      <w:bookmarkStart w:id="234" w:name="_Toc4828"/>
      <w:bookmarkStart w:id="235" w:name="_Toc9071"/>
      <w:bookmarkStart w:id="236" w:name="_Toc15863"/>
      <w:bookmarkStart w:id="237" w:name="_Toc447827053"/>
      <w:bookmarkStart w:id="238" w:name="_Toc513633969"/>
      <w:bookmarkStart w:id="239" w:name="_Toc503951048"/>
      <w:r>
        <w:rPr>
          <w:rFonts w:hint="eastAsia" w:ascii="宋体" w:hAnsi="宋体" w:eastAsia="宋体" w:cs="宋体"/>
          <w:sz w:val="28"/>
        </w:rPr>
        <w:t>一、</w:t>
      </w:r>
      <w:bookmarkEnd w:id="230"/>
      <w:bookmarkEnd w:id="231"/>
      <w:r>
        <w:rPr>
          <w:rFonts w:hint="eastAsia" w:ascii="宋体" w:hAnsi="宋体" w:eastAsia="宋体" w:cs="宋体"/>
          <w:sz w:val="28"/>
        </w:rPr>
        <w:t>竞争比选响应声明书</w:t>
      </w:r>
      <w:bookmarkEnd w:id="232"/>
      <w:bookmarkEnd w:id="233"/>
      <w:bookmarkEnd w:id="234"/>
      <w:bookmarkEnd w:id="235"/>
      <w:bookmarkEnd w:id="236"/>
    </w:p>
    <w:p>
      <w:pPr>
        <w:tabs>
          <w:tab w:val="left" w:pos="900"/>
        </w:tabs>
        <w:spacing w:line="300" w:lineRule="auto"/>
        <w:rPr>
          <w:rFonts w:ascii="Arial" w:hAnsi="Arial" w:cs="Arial"/>
          <w:color w:val="000000"/>
          <w:sz w:val="24"/>
        </w:rPr>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cs="Arial"/>
          <w:b/>
          <w:bCs/>
          <w:color w:val="000000"/>
          <w:sz w:val="24"/>
          <w:u w:val="single"/>
        </w:rPr>
        <w:t>重庆首讯科技股份有限公司</w:t>
      </w:r>
    </w:p>
    <w:p>
      <w:pPr>
        <w:spacing w:line="700" w:lineRule="atLeast"/>
        <w:ind w:firstLine="480" w:firstLineChars="200"/>
        <w:rPr>
          <w:rFonts w:ascii="Arial" w:hAnsi="Arial" w:cs="Arial"/>
          <w:color w:val="000000"/>
          <w:sz w:val="24"/>
        </w:rPr>
      </w:pPr>
      <w:r>
        <w:rPr>
          <w:rFonts w:hint="eastAsia" w:ascii="Arial" w:hAnsi="Arial" w:cs="Arial"/>
          <w:color w:val="000000"/>
          <w:sz w:val="24"/>
        </w:rPr>
        <w:t>根据贵</w:t>
      </w:r>
      <w:r>
        <w:rPr>
          <w:rFonts w:hint="eastAsia" w:ascii="Arial" w:hAnsi="Arial" w:cs="Arial"/>
          <w:sz w:val="24"/>
        </w:rPr>
        <w:t>方为</w:t>
      </w:r>
      <w:r>
        <w:rPr>
          <w:rFonts w:hint="eastAsia" w:ascii="Arial" w:hAnsi="Arial" w:cs="Arial"/>
          <w:sz w:val="24"/>
          <w:u w:val="single"/>
        </w:rPr>
        <w:t xml:space="preserve"> 土地资源监测管理平台开发技术服务项目</w:t>
      </w:r>
      <w:r>
        <w:rPr>
          <w:rFonts w:hint="eastAsia" w:ascii="Arial" w:hAnsi="Arial" w:cs="Arial"/>
          <w:color w:val="000000"/>
          <w:sz w:val="24"/>
          <w:u w:val="single"/>
        </w:rPr>
        <w:t xml:space="preserve"> </w:t>
      </w:r>
      <w:r>
        <w:rPr>
          <w:rFonts w:hint="eastAsia" w:ascii="Arial" w:hAnsi="Arial" w:cs="Arial"/>
          <w:sz w:val="24"/>
        </w:rPr>
        <w:t>竞争比选项目及服</w:t>
      </w:r>
      <w:r>
        <w:rPr>
          <w:rFonts w:hint="eastAsia" w:ascii="Arial" w:hAnsi="Arial" w:cs="Arial"/>
          <w:color w:val="000000"/>
          <w:sz w:val="24"/>
        </w:rPr>
        <w:t>务的竞争比选邀请，签字代表</w:t>
      </w:r>
      <w:r>
        <w:rPr>
          <w:rFonts w:ascii="Arial" w:hAnsi="Arial" w:cs="Arial"/>
          <w:color w:val="000000"/>
          <w:sz w:val="24"/>
          <w:u w:val="single"/>
        </w:rPr>
        <w:t xml:space="preserve">          </w:t>
      </w:r>
      <w:r>
        <w:rPr>
          <w:rFonts w:hint="eastAsia" w:ascii="Arial" w:hAnsi="Arial" w:cs="Arial"/>
          <w:color w:val="000000"/>
          <w:sz w:val="24"/>
          <w:u w:val="single"/>
        </w:rPr>
        <w:t>（全名、职务）</w:t>
      </w:r>
      <w:r>
        <w:rPr>
          <w:rFonts w:hint="eastAsia" w:ascii="Arial" w:hAnsi="Arial" w:cs="Arial"/>
          <w:color w:val="000000"/>
          <w:sz w:val="24"/>
        </w:rPr>
        <w:t>经正式授权并代表竞争比选响应单位</w:t>
      </w:r>
      <w:r>
        <w:rPr>
          <w:rFonts w:ascii="Arial" w:hAnsi="Arial" w:cs="Arial"/>
          <w:color w:val="000000"/>
          <w:sz w:val="24"/>
          <w:u w:val="single"/>
        </w:rPr>
        <w:t xml:space="preserve"> </w:t>
      </w:r>
      <w:r>
        <w:rPr>
          <w:rFonts w:hint="eastAsia" w:ascii="Arial" w:hAnsi="Arial" w:cs="Arial"/>
          <w:color w:val="000000"/>
          <w:sz w:val="24"/>
          <w:u w:val="single"/>
        </w:rPr>
        <w:t>（竞争比选响应单位名称）</w:t>
      </w:r>
      <w:r>
        <w:rPr>
          <w:rFonts w:ascii="Arial" w:hAnsi="Arial" w:cs="Arial"/>
          <w:color w:val="000000"/>
          <w:sz w:val="24"/>
          <w:u w:val="single"/>
        </w:rPr>
        <w:t xml:space="preserve"> </w:t>
      </w:r>
      <w:r>
        <w:rPr>
          <w:rFonts w:hint="eastAsia" w:ascii="Arial" w:hAnsi="Arial" w:cs="Arial"/>
          <w:color w:val="000000"/>
          <w:sz w:val="24"/>
        </w:rPr>
        <w:t>提交报价文件。</w:t>
      </w:r>
    </w:p>
    <w:p>
      <w:pPr>
        <w:spacing w:line="700" w:lineRule="atLeast"/>
        <w:ind w:firstLine="480" w:firstLineChars="200"/>
        <w:rPr>
          <w:rFonts w:ascii="Arial" w:hAnsi="Arial" w:cs="Arial"/>
          <w:color w:val="000000"/>
          <w:sz w:val="24"/>
          <w:u w:val="single"/>
        </w:rPr>
      </w:pPr>
      <w:r>
        <w:rPr>
          <w:rFonts w:hint="eastAsia" w:ascii="Arial" w:hAnsi="Arial" w:cs="Arial"/>
          <w:color w:val="000000"/>
          <w:sz w:val="24"/>
          <w:u w:val="single"/>
        </w:rPr>
        <w:t>我方愿以人民币：              元（大写              元）的报价总价，按照竞争比选文件的要求，承担本次竞争比选文件要求的供货任务。</w:t>
      </w:r>
    </w:p>
    <w:p>
      <w:pPr>
        <w:tabs>
          <w:tab w:val="left" w:pos="540"/>
          <w:tab w:val="left" w:pos="900"/>
        </w:tabs>
        <w:spacing w:line="300" w:lineRule="auto"/>
        <w:rPr>
          <w:rFonts w:ascii="Arial" w:hAnsi="Arial" w:cs="Arial"/>
          <w:color w:val="000000"/>
          <w:sz w:val="24"/>
        </w:rPr>
      </w:pPr>
      <w:r>
        <w:rPr>
          <w:rFonts w:ascii="Arial" w:hAnsi="Arial" w:cs="Arial"/>
          <w:color w:val="000000"/>
          <w:sz w:val="24"/>
        </w:rPr>
        <w:t xml:space="preserve">    </w:t>
      </w:r>
    </w:p>
    <w:p>
      <w:pPr>
        <w:tabs>
          <w:tab w:val="left" w:pos="540"/>
          <w:tab w:val="left" w:pos="900"/>
        </w:tabs>
        <w:spacing w:line="300" w:lineRule="auto"/>
        <w:rPr>
          <w:rFonts w:ascii="Arial" w:hAnsi="Arial" w:cs="Arial"/>
          <w:color w:val="000000"/>
          <w:sz w:val="24"/>
        </w:rPr>
      </w:pPr>
      <w:r>
        <w:rPr>
          <w:rFonts w:hint="eastAsia" w:ascii="Arial" w:hAnsi="Arial" w:cs="Arial"/>
          <w:color w:val="000000"/>
          <w:sz w:val="24"/>
        </w:rPr>
        <w:t>据此函，签字代表宣布同意如下：</w:t>
      </w:r>
    </w:p>
    <w:p>
      <w:pPr>
        <w:tabs>
          <w:tab w:val="left" w:pos="540"/>
          <w:tab w:val="left" w:pos="900"/>
        </w:tabs>
        <w:spacing w:line="300" w:lineRule="auto"/>
        <w:rPr>
          <w:rFonts w:ascii="Arial" w:hAnsi="Arial" w:cs="Arial"/>
          <w:color w:val="000000"/>
          <w:sz w:val="24"/>
        </w:rPr>
      </w:pPr>
      <w:r>
        <w:rPr>
          <w:rFonts w:ascii="Arial" w:hAnsi="Arial" w:cs="Arial"/>
          <w:color w:val="000000"/>
          <w:sz w:val="24"/>
        </w:rPr>
        <w:t>1</w:t>
      </w:r>
      <w:r>
        <w:rPr>
          <w:rFonts w:hint="eastAsia" w:ascii="Arial" w:hAnsi="Arial" w:cs="Arial"/>
          <w:color w:val="000000"/>
          <w:sz w:val="24"/>
        </w:rPr>
        <w:t>、竞争比选响应单位将按竞争比选文件规定履行合同责任和义务。</w:t>
      </w:r>
    </w:p>
    <w:p>
      <w:pPr>
        <w:tabs>
          <w:tab w:val="left" w:pos="900"/>
        </w:tabs>
        <w:spacing w:line="300" w:lineRule="auto"/>
        <w:rPr>
          <w:rFonts w:ascii="Arial" w:hAnsi="Arial" w:cs="Arial"/>
          <w:b/>
          <w:color w:val="000000"/>
          <w:sz w:val="24"/>
        </w:rPr>
      </w:pPr>
      <w:r>
        <w:rPr>
          <w:rFonts w:ascii="Arial" w:hAnsi="Arial" w:cs="Arial"/>
          <w:color w:val="000000"/>
          <w:sz w:val="24"/>
        </w:rPr>
        <w:t>2</w:t>
      </w:r>
      <w:r>
        <w:rPr>
          <w:rFonts w:hint="eastAsia" w:ascii="Arial" w:hAnsi="Arial" w:cs="Arial"/>
          <w:color w:val="000000"/>
          <w:sz w:val="24"/>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rPr>
      </w:pPr>
      <w:r>
        <w:rPr>
          <w:rFonts w:hint="eastAsia" w:ascii="Arial" w:hAnsi="Arial" w:cs="Arial"/>
          <w:color w:val="000000"/>
          <w:sz w:val="24"/>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sz w:val="24"/>
        </w:rPr>
      </w:pPr>
      <w:r>
        <w:rPr>
          <w:rFonts w:hint="eastAsia" w:ascii="Arial" w:hAnsi="Arial" w:cs="Arial"/>
          <w:color w:val="000000"/>
          <w:sz w:val="24"/>
        </w:rPr>
        <w:t>4、与本竞争比选响应有关的一切正式往来通讯请寄：</w:t>
      </w:r>
    </w:p>
    <w:p>
      <w:pPr>
        <w:tabs>
          <w:tab w:val="left" w:pos="900"/>
        </w:tabs>
        <w:spacing w:line="300" w:lineRule="auto"/>
        <w:rPr>
          <w:rFonts w:ascii="Arial" w:hAnsi="Arial" w:cs="Arial"/>
          <w:b/>
          <w:color w:val="000000"/>
          <w:sz w:val="24"/>
        </w:rPr>
      </w:pPr>
      <w:r>
        <w:rPr>
          <w:rFonts w:hint="eastAsia" w:ascii="Arial" w:hAnsi="Arial" w:cs="Arial"/>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pPr>
        <w:tabs>
          <w:tab w:val="left" w:pos="900"/>
        </w:tabs>
        <w:spacing w:line="300" w:lineRule="auto"/>
        <w:rPr>
          <w:rFonts w:ascii="Arial" w:hAnsi="Arial" w:cs="Arial"/>
          <w:color w:val="000000"/>
          <w:sz w:val="24"/>
          <w:u w:val="single"/>
        </w:rPr>
      </w:pPr>
      <w:r>
        <w:rPr>
          <w:rFonts w:hint="eastAsia" w:ascii="Arial" w:hAnsi="Arial" w:cs="Arial"/>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传真：</w:t>
      </w:r>
      <w:r>
        <w:rPr>
          <w:rFonts w:ascii="Arial" w:hAnsi="Arial" w:cs="Arial"/>
          <w:color w:val="000000"/>
          <w:sz w:val="24"/>
          <w:u w:val="single"/>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竞争比选响应单位法定代表人或授权代表人（签字）：</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竞争比选响应单位法定代表人或授权代表人职务：</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color w:val="000000"/>
          <w:sz w:val="24"/>
        </w:rPr>
      </w:pPr>
      <w:r>
        <w:rPr>
          <w:rFonts w:hint="eastAsia" w:ascii="Arial" w:hAnsi="Arial" w:cs="Arial"/>
          <w:sz w:val="24"/>
        </w:rPr>
        <w:t>竞争比选响应单位名称（加盖公章）：</w:t>
      </w:r>
      <w:r>
        <w:rPr>
          <w:rFonts w:ascii="Arial" w:hAnsi="Arial" w:cs="Arial"/>
          <w:sz w:val="24"/>
          <w:u w:val="single"/>
        </w:rPr>
        <w:t xml:space="preserve">               </w:t>
      </w:r>
      <w:r>
        <w:rPr>
          <w:rFonts w:ascii="Arial" w:hAnsi="Arial" w:cs="Arial"/>
          <w:color w:val="000000"/>
          <w:sz w:val="24"/>
          <w:u w:val="single"/>
        </w:rPr>
        <w:t xml:space="preserve">                  </w:t>
      </w:r>
    </w:p>
    <w:p>
      <w:pPr>
        <w:tabs>
          <w:tab w:val="left" w:pos="900"/>
        </w:tabs>
        <w:spacing w:line="300" w:lineRule="auto"/>
        <w:rPr>
          <w:rFonts w:ascii="Arial" w:hAnsi="Arial" w:cs="Arial"/>
          <w:color w:val="000000"/>
          <w:sz w:val="24"/>
        </w:rPr>
      </w:pPr>
      <w:r>
        <w:rPr>
          <w:rFonts w:hint="eastAsia" w:ascii="Arial" w:hAnsi="Arial" w:cs="Arial"/>
          <w:color w:val="000000"/>
          <w:sz w:val="24"/>
        </w:rPr>
        <w:t>日期：</w:t>
      </w:r>
      <w:r>
        <w:rPr>
          <w:rFonts w:hint="eastAsia" w:ascii="Arial" w:hAnsi="Arial" w:cs="Arial"/>
          <w:color w:val="000000"/>
          <w:sz w:val="24"/>
          <w:u w:val="single"/>
        </w:rPr>
        <w:t xml:space="preserve">     </w:t>
      </w:r>
      <w:r>
        <w:rPr>
          <w:rFonts w:hint="eastAsia" w:ascii="Arial" w:hAnsi="Arial" w:cs="Arial"/>
          <w:color w:val="000000"/>
          <w:sz w:val="24"/>
        </w:rPr>
        <w:t>年</w:t>
      </w:r>
      <w:r>
        <w:rPr>
          <w:rFonts w:ascii="Arial" w:hAnsi="Arial" w:cs="Arial"/>
          <w:color w:val="000000"/>
          <w:sz w:val="24"/>
          <w:u w:val="single"/>
        </w:rPr>
        <w:t xml:space="preserve">      </w:t>
      </w:r>
      <w:r>
        <w:rPr>
          <w:rFonts w:hint="eastAsia" w:ascii="Arial" w:hAnsi="Arial" w:cs="Arial"/>
          <w:color w:val="000000"/>
          <w:sz w:val="24"/>
        </w:rPr>
        <w:t>月</w:t>
      </w:r>
      <w:r>
        <w:rPr>
          <w:rFonts w:ascii="Arial" w:hAnsi="Arial" w:cs="Arial"/>
          <w:color w:val="000000"/>
          <w:sz w:val="24"/>
          <w:u w:val="single"/>
        </w:rPr>
        <w:t xml:space="preserve">    </w:t>
      </w:r>
      <w:r>
        <w:rPr>
          <w:rFonts w:hint="eastAsia" w:ascii="Arial" w:hAnsi="Arial" w:cs="Arial"/>
          <w:color w:val="000000"/>
          <w:sz w:val="24"/>
          <w:u w:val="single"/>
        </w:rPr>
        <w:t xml:space="preserve">  </w:t>
      </w:r>
      <w:r>
        <w:rPr>
          <w:rFonts w:hint="eastAsia" w:ascii="Arial" w:hAnsi="Arial" w:cs="Arial"/>
          <w:color w:val="000000"/>
          <w:sz w:val="24"/>
        </w:rPr>
        <w:t>日</w:t>
      </w:r>
      <w:r>
        <w:rPr>
          <w:rFonts w:ascii="Arial" w:hAnsi="Arial" w:cs="Arial"/>
          <w:color w:val="000000"/>
          <w:sz w:val="24"/>
        </w:rPr>
        <w:t xml:space="preserve"> </w:t>
      </w:r>
    </w:p>
    <w:p>
      <w:pPr>
        <w:outlineLvl w:val="0"/>
        <w:rPr>
          <w:b/>
          <w:sz w:val="24"/>
        </w:rPr>
      </w:pPr>
    </w:p>
    <w:p>
      <w:pPr>
        <w:outlineLvl w:val="0"/>
        <w:rPr>
          <w:b/>
          <w:sz w:val="24"/>
        </w:rPr>
      </w:pPr>
    </w:p>
    <w:p>
      <w:pPr>
        <w:outlineLvl w:val="0"/>
        <w:rPr>
          <w:b/>
          <w:sz w:val="24"/>
        </w:rPr>
      </w:pPr>
    </w:p>
    <w:p>
      <w:pPr>
        <w:outlineLvl w:val="0"/>
        <w:rPr>
          <w:b/>
          <w:sz w:val="24"/>
        </w:rPr>
      </w:pPr>
    </w:p>
    <w:p>
      <w:pPr>
        <w:outlineLvl w:val="0"/>
        <w:rPr>
          <w:b/>
          <w:sz w:val="24"/>
        </w:rPr>
      </w:pPr>
      <w:bookmarkStart w:id="240" w:name="_Toc15924"/>
      <w:bookmarkStart w:id="241" w:name="_Toc318"/>
      <w:bookmarkStart w:id="242" w:name="_Toc32079"/>
      <w:bookmarkStart w:id="243" w:name="_Toc27412"/>
      <w:bookmarkStart w:id="244" w:name="_Toc5852"/>
      <w:r>
        <w:rPr>
          <w:rFonts w:hint="eastAsia"/>
          <w:b/>
          <w:sz w:val="24"/>
        </w:rPr>
        <w:t>附报价单位法定代表人或授权代表人身份证复印件（正、反面）</w:t>
      </w:r>
      <w:bookmarkEnd w:id="240"/>
      <w:bookmarkEnd w:id="241"/>
      <w:bookmarkEnd w:id="242"/>
      <w:bookmarkEnd w:id="243"/>
      <w:bookmarkEnd w:id="244"/>
    </w:p>
    <w:p>
      <w:pPr>
        <w:outlineLvl w:val="0"/>
        <w:rPr>
          <w:b/>
          <w:sz w:val="24"/>
        </w:rPr>
      </w:pPr>
    </w:p>
    <w:p>
      <w:pPr>
        <w:rPr>
          <w:rFonts w:ascii="宋体" w:hAnsi="宋体" w:cs="宋体"/>
          <w:snapToGrid w:val="0"/>
          <w:kern w:val="0"/>
          <w:szCs w:val="21"/>
        </w:rPr>
      </w:pPr>
    </w:p>
    <w:p>
      <w:pPr>
        <w:rPr>
          <w:rFonts w:ascii="宋体" w:hAnsi="宋体" w:cs="宋体"/>
        </w:rPr>
        <w:sectPr>
          <w:pgSz w:w="11906" w:h="16838"/>
          <w:pgMar w:top="1440" w:right="1803" w:bottom="1440" w:left="1803" w:header="851" w:footer="992" w:gutter="0"/>
          <w:cols w:space="720" w:num="1"/>
          <w:titlePg/>
          <w:docGrid w:type="lines" w:linePitch="319" w:charSpace="0"/>
        </w:sectPr>
      </w:pPr>
    </w:p>
    <w:p>
      <w:pPr>
        <w:jc w:val="center"/>
        <w:rPr>
          <w:rFonts w:ascii="宋体" w:hAnsi="宋体" w:cs="宋体"/>
          <w:b/>
        </w:rPr>
      </w:pPr>
      <w:bookmarkStart w:id="245" w:name="_Toc11329275"/>
      <w:r>
        <w:rPr>
          <w:rFonts w:hint="eastAsia" w:ascii="宋体" w:hAnsi="宋体" w:cs="宋体"/>
          <w:b/>
          <w:bCs/>
          <w:kern w:val="0"/>
          <w:sz w:val="28"/>
          <w:szCs w:val="32"/>
        </w:rPr>
        <w:t>二、</w:t>
      </w:r>
      <w:bookmarkEnd w:id="237"/>
      <w:bookmarkEnd w:id="238"/>
      <w:bookmarkEnd w:id="239"/>
      <w:bookmarkEnd w:id="245"/>
      <w:r>
        <w:rPr>
          <w:rFonts w:hint="eastAsia" w:ascii="宋体" w:hAnsi="宋体" w:cs="宋体"/>
          <w:b/>
          <w:bCs/>
          <w:kern w:val="0"/>
          <w:sz w:val="28"/>
          <w:szCs w:val="32"/>
        </w:rPr>
        <w:t>报价一览表</w:t>
      </w:r>
    </w:p>
    <w:p>
      <w:pPr>
        <w:ind w:left="765"/>
        <w:jc w:val="center"/>
        <w:rPr>
          <w:rFonts w:ascii="宋体" w:hAnsi="宋体" w:cs="宋体"/>
          <w:szCs w:val="21"/>
        </w:rPr>
      </w:pPr>
    </w:p>
    <w:p>
      <w:pPr>
        <w:pStyle w:val="37"/>
        <w:jc w:val="both"/>
        <w:rPr>
          <w:rFonts w:hAnsi="宋体"/>
        </w:rPr>
      </w:pPr>
      <w:r>
        <w:rPr>
          <w:rFonts w:hint="eastAsia" w:hAnsi="宋体"/>
        </w:rPr>
        <w:t>重庆首讯科技股份有限公司：</w:t>
      </w:r>
    </w:p>
    <w:p>
      <w:pPr>
        <w:spacing w:line="360" w:lineRule="auto"/>
        <w:ind w:firstLine="480" w:firstLineChars="200"/>
        <w:jc w:val="left"/>
        <w:rPr>
          <w:rFonts w:ascii="宋体" w:hAnsi="宋体" w:cs="宋体"/>
          <w:szCs w:val="21"/>
          <w:u w:val="single"/>
        </w:rPr>
      </w:pPr>
      <w:r>
        <w:rPr>
          <w:rFonts w:hint="eastAsia" w:ascii="宋体" w:hAnsi="宋体"/>
          <w:color w:val="000000"/>
          <w:sz w:val="24"/>
        </w:rPr>
        <w:t>在研究了竞争比选文件中所有文件后，我司对</w:t>
      </w:r>
      <w:r>
        <w:rPr>
          <w:rFonts w:hint="eastAsia" w:ascii="宋体" w:hAnsi="宋体"/>
          <w:color w:val="000000"/>
          <w:sz w:val="24"/>
          <w:u w:val="single"/>
        </w:rPr>
        <w:t xml:space="preserve"> 土地资源监测管理平台开发技术服务项目  </w:t>
      </w:r>
      <w:r>
        <w:rPr>
          <w:rFonts w:hint="eastAsia" w:ascii="宋体" w:hAnsi="宋体"/>
          <w:color w:val="000000"/>
          <w:sz w:val="24"/>
        </w:rPr>
        <w:t>竞</w:t>
      </w:r>
      <w:r>
        <w:rPr>
          <w:rFonts w:hint="eastAsia" w:ascii="Arial" w:hAnsi="Arial" w:cs="Arial"/>
          <w:color w:val="000000"/>
          <w:sz w:val="24"/>
        </w:rPr>
        <w:t>争比选响应</w:t>
      </w:r>
      <w:r>
        <w:rPr>
          <w:rFonts w:hint="eastAsia" w:ascii="宋体" w:hAnsi="宋体"/>
          <w:color w:val="000000"/>
          <w:sz w:val="24"/>
        </w:rPr>
        <w:t>报价如下：</w:t>
      </w:r>
      <w:r>
        <w:rPr>
          <w:rFonts w:hint="eastAsia" w:ascii="宋体" w:hAnsi="宋体"/>
          <w:b/>
          <w:color w:val="000000"/>
          <w:sz w:val="24"/>
        </w:rPr>
        <w:t xml:space="preserve"> </w:t>
      </w:r>
      <w:bookmarkStart w:id="246" w:name="_Hlk47603113"/>
    </w:p>
    <w:bookmarkEnd w:id="246"/>
    <w:tbl>
      <w:tblPr>
        <w:tblStyle w:val="41"/>
        <w:tblW w:w="10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pPr>
              <w:spacing w:line="276" w:lineRule="auto"/>
              <w:jc w:val="center"/>
              <w:rPr>
                <w:rFonts w:ascii="宋体" w:hAnsi="宋体" w:cs="宋体"/>
                <w:b/>
                <w:szCs w:val="21"/>
              </w:rPr>
            </w:pPr>
            <w:r>
              <w:rPr>
                <w:rFonts w:hint="eastAsia" w:ascii="宋体" w:hAnsi="宋体" w:cs="宋体"/>
                <w:b/>
                <w:szCs w:val="21"/>
              </w:rPr>
              <w:t>序号</w:t>
            </w:r>
          </w:p>
        </w:tc>
        <w:tc>
          <w:tcPr>
            <w:tcW w:w="1695" w:type="dxa"/>
            <w:vAlign w:val="center"/>
          </w:tcPr>
          <w:p>
            <w:pPr>
              <w:spacing w:line="276" w:lineRule="auto"/>
              <w:jc w:val="center"/>
              <w:rPr>
                <w:rFonts w:ascii="宋体" w:hAnsi="宋体" w:cs="宋体"/>
                <w:b/>
                <w:szCs w:val="21"/>
              </w:rPr>
            </w:pPr>
            <w:r>
              <w:rPr>
                <w:rFonts w:hint="eastAsia" w:ascii="宋体" w:hAnsi="宋体" w:cs="宋体"/>
                <w:b/>
                <w:szCs w:val="21"/>
              </w:rPr>
              <w:t>名称</w:t>
            </w:r>
          </w:p>
        </w:tc>
        <w:tc>
          <w:tcPr>
            <w:tcW w:w="3404" w:type="dxa"/>
            <w:vAlign w:val="center"/>
          </w:tcPr>
          <w:p>
            <w:pPr>
              <w:spacing w:line="276" w:lineRule="auto"/>
              <w:jc w:val="center"/>
              <w:rPr>
                <w:rFonts w:ascii="宋体" w:hAnsi="宋体" w:cs="宋体"/>
                <w:b/>
                <w:szCs w:val="21"/>
              </w:rPr>
            </w:pPr>
            <w:r>
              <w:rPr>
                <w:rFonts w:hint="eastAsia" w:ascii="宋体" w:hAnsi="宋体" w:cs="宋体"/>
                <w:b/>
                <w:szCs w:val="21"/>
              </w:rPr>
              <w:t>相关信息</w:t>
            </w:r>
          </w:p>
        </w:tc>
        <w:tc>
          <w:tcPr>
            <w:tcW w:w="1344" w:type="dxa"/>
            <w:vAlign w:val="center"/>
          </w:tcPr>
          <w:p>
            <w:pPr>
              <w:spacing w:line="276" w:lineRule="auto"/>
              <w:jc w:val="center"/>
              <w:rPr>
                <w:rFonts w:ascii="宋体" w:hAnsi="宋体" w:cs="宋体"/>
                <w:b/>
                <w:szCs w:val="21"/>
              </w:rPr>
            </w:pPr>
            <w:r>
              <w:rPr>
                <w:rFonts w:hint="eastAsia" w:ascii="宋体" w:hAnsi="宋体" w:cs="宋体"/>
                <w:b/>
                <w:szCs w:val="21"/>
              </w:rPr>
              <w:t>数量</w:t>
            </w:r>
          </w:p>
        </w:tc>
        <w:tc>
          <w:tcPr>
            <w:tcW w:w="1344" w:type="dxa"/>
            <w:vAlign w:val="center"/>
          </w:tcPr>
          <w:p>
            <w:pPr>
              <w:spacing w:line="276" w:lineRule="auto"/>
              <w:jc w:val="center"/>
              <w:rPr>
                <w:rFonts w:ascii="宋体" w:hAnsi="宋体" w:cs="宋体"/>
                <w:b/>
                <w:szCs w:val="21"/>
              </w:rPr>
            </w:pPr>
            <w:r>
              <w:rPr>
                <w:rFonts w:hint="eastAsia" w:ascii="宋体" w:hAnsi="宋体" w:cs="宋体"/>
                <w:b/>
                <w:szCs w:val="21"/>
              </w:rPr>
              <w:t>单价</w:t>
            </w:r>
          </w:p>
        </w:tc>
        <w:tc>
          <w:tcPr>
            <w:tcW w:w="1344" w:type="dxa"/>
            <w:vAlign w:val="center"/>
          </w:tcPr>
          <w:p>
            <w:pPr>
              <w:spacing w:line="276" w:lineRule="auto"/>
              <w:jc w:val="center"/>
              <w:rPr>
                <w:rFonts w:ascii="宋体" w:hAnsi="宋体" w:cs="宋体"/>
                <w:b/>
                <w:szCs w:val="21"/>
              </w:rPr>
            </w:pPr>
            <w:r>
              <w:rPr>
                <w:rFonts w:hint="eastAsia" w:ascii="宋体" w:hAnsi="宋体" w:cs="宋体"/>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17"/>
              <w:spacing w:line="276" w:lineRule="auto"/>
              <w:jc w:val="center"/>
              <w:outlineLvl w:val="0"/>
              <w:rPr>
                <w:rFonts w:ascii="宋体" w:hAnsi="宋体" w:cs="宋体"/>
                <w:sz w:val="21"/>
                <w:szCs w:val="21"/>
              </w:rPr>
            </w:pPr>
            <w:r>
              <w:rPr>
                <w:rFonts w:hint="eastAsia" w:ascii="宋体" w:hAnsi="宋体" w:cs="宋体"/>
                <w:sz w:val="21"/>
                <w:szCs w:val="21"/>
              </w:rPr>
              <w:t>1</w:t>
            </w:r>
          </w:p>
        </w:tc>
        <w:tc>
          <w:tcPr>
            <w:tcW w:w="1695" w:type="dxa"/>
            <w:vAlign w:val="center"/>
          </w:tcPr>
          <w:p>
            <w:pPr>
              <w:spacing w:line="276" w:lineRule="auto"/>
              <w:jc w:val="center"/>
              <w:rPr>
                <w:rFonts w:ascii="宋体" w:hAnsi="宋体" w:cs="宋体"/>
                <w:szCs w:val="21"/>
              </w:rPr>
            </w:pPr>
          </w:p>
        </w:tc>
        <w:tc>
          <w:tcPr>
            <w:tcW w:w="3404" w:type="dxa"/>
          </w:tcPr>
          <w:p>
            <w:pPr>
              <w:spacing w:line="276" w:lineRule="auto"/>
              <w:jc w:val="center"/>
              <w:rPr>
                <w:rFonts w:ascii="宋体" w:hAnsi="宋体" w:cs="宋体"/>
                <w:szCs w:val="21"/>
              </w:rPr>
            </w:pPr>
          </w:p>
        </w:tc>
        <w:tc>
          <w:tcPr>
            <w:tcW w:w="1344" w:type="dxa"/>
            <w:vAlign w:val="center"/>
          </w:tcPr>
          <w:p>
            <w:pPr>
              <w:spacing w:line="276" w:lineRule="auto"/>
              <w:jc w:val="center"/>
              <w:rPr>
                <w:rFonts w:ascii="宋体" w:hAnsi="宋体" w:cs="宋体"/>
                <w:szCs w:val="21"/>
              </w:rPr>
            </w:pPr>
          </w:p>
        </w:tc>
        <w:tc>
          <w:tcPr>
            <w:tcW w:w="1344" w:type="dxa"/>
          </w:tcPr>
          <w:p>
            <w:pPr>
              <w:spacing w:line="276" w:lineRule="auto"/>
              <w:jc w:val="center"/>
              <w:rPr>
                <w:rFonts w:ascii="宋体" w:hAnsi="宋体" w:cs="宋体"/>
                <w:szCs w:val="21"/>
              </w:rPr>
            </w:pPr>
          </w:p>
        </w:tc>
        <w:tc>
          <w:tcPr>
            <w:tcW w:w="1344" w:type="dxa"/>
          </w:tcPr>
          <w:p>
            <w:pPr>
              <w:spacing w:line="276"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17"/>
              <w:spacing w:line="276" w:lineRule="auto"/>
              <w:jc w:val="center"/>
              <w:outlineLvl w:val="0"/>
              <w:rPr>
                <w:rFonts w:ascii="宋体" w:hAnsi="宋体" w:cs="宋体"/>
                <w:sz w:val="21"/>
                <w:szCs w:val="21"/>
              </w:rPr>
            </w:pPr>
            <w:r>
              <w:rPr>
                <w:rFonts w:hint="eastAsia" w:ascii="宋体" w:hAnsi="宋体" w:cs="宋体"/>
                <w:sz w:val="21"/>
                <w:szCs w:val="21"/>
              </w:rPr>
              <w:t>2</w:t>
            </w:r>
          </w:p>
        </w:tc>
        <w:tc>
          <w:tcPr>
            <w:tcW w:w="1695" w:type="dxa"/>
            <w:vAlign w:val="center"/>
          </w:tcPr>
          <w:p>
            <w:pPr>
              <w:spacing w:line="276" w:lineRule="auto"/>
              <w:jc w:val="center"/>
              <w:rPr>
                <w:rFonts w:ascii="宋体" w:hAnsi="宋体" w:cs="宋体"/>
                <w:szCs w:val="21"/>
              </w:rPr>
            </w:pPr>
          </w:p>
        </w:tc>
        <w:tc>
          <w:tcPr>
            <w:tcW w:w="3404" w:type="dxa"/>
          </w:tcPr>
          <w:p>
            <w:pPr>
              <w:spacing w:line="276" w:lineRule="auto"/>
              <w:jc w:val="center"/>
              <w:rPr>
                <w:rFonts w:ascii="宋体" w:hAnsi="宋体" w:cs="宋体"/>
                <w:szCs w:val="21"/>
              </w:rPr>
            </w:pPr>
          </w:p>
        </w:tc>
        <w:tc>
          <w:tcPr>
            <w:tcW w:w="1344" w:type="dxa"/>
            <w:vAlign w:val="center"/>
          </w:tcPr>
          <w:p>
            <w:pPr>
              <w:spacing w:line="276" w:lineRule="auto"/>
              <w:jc w:val="center"/>
              <w:rPr>
                <w:rFonts w:ascii="宋体" w:hAnsi="宋体" w:cs="宋体"/>
                <w:szCs w:val="21"/>
              </w:rPr>
            </w:pPr>
          </w:p>
        </w:tc>
        <w:tc>
          <w:tcPr>
            <w:tcW w:w="1344" w:type="dxa"/>
          </w:tcPr>
          <w:p>
            <w:pPr>
              <w:spacing w:line="276" w:lineRule="auto"/>
              <w:jc w:val="center"/>
              <w:rPr>
                <w:rFonts w:ascii="宋体" w:hAnsi="宋体" w:cs="宋体"/>
                <w:szCs w:val="21"/>
              </w:rPr>
            </w:pPr>
          </w:p>
        </w:tc>
        <w:tc>
          <w:tcPr>
            <w:tcW w:w="1344" w:type="dxa"/>
          </w:tcPr>
          <w:p>
            <w:pPr>
              <w:spacing w:line="276"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17"/>
              <w:spacing w:line="276" w:lineRule="auto"/>
              <w:jc w:val="center"/>
              <w:outlineLvl w:val="0"/>
              <w:rPr>
                <w:rFonts w:ascii="宋体" w:hAnsi="宋体" w:cs="宋体"/>
                <w:sz w:val="21"/>
                <w:szCs w:val="21"/>
              </w:rPr>
            </w:pPr>
            <w:r>
              <w:rPr>
                <w:rFonts w:hint="eastAsia" w:ascii="宋体" w:hAnsi="宋体" w:cs="宋体"/>
                <w:sz w:val="21"/>
                <w:szCs w:val="21"/>
              </w:rPr>
              <w:t>3</w:t>
            </w:r>
          </w:p>
        </w:tc>
        <w:tc>
          <w:tcPr>
            <w:tcW w:w="1695" w:type="dxa"/>
            <w:vAlign w:val="center"/>
          </w:tcPr>
          <w:p>
            <w:pPr>
              <w:spacing w:line="276" w:lineRule="auto"/>
              <w:jc w:val="center"/>
              <w:rPr>
                <w:rFonts w:ascii="宋体" w:hAnsi="宋体" w:cs="宋体"/>
                <w:szCs w:val="21"/>
              </w:rPr>
            </w:pPr>
          </w:p>
        </w:tc>
        <w:tc>
          <w:tcPr>
            <w:tcW w:w="3404" w:type="dxa"/>
          </w:tcPr>
          <w:p>
            <w:pPr>
              <w:spacing w:line="276" w:lineRule="auto"/>
              <w:jc w:val="center"/>
              <w:rPr>
                <w:rFonts w:ascii="宋体" w:hAnsi="宋体" w:cs="宋体"/>
                <w:szCs w:val="21"/>
              </w:rPr>
            </w:pPr>
          </w:p>
        </w:tc>
        <w:tc>
          <w:tcPr>
            <w:tcW w:w="1344" w:type="dxa"/>
            <w:vAlign w:val="center"/>
          </w:tcPr>
          <w:p>
            <w:pPr>
              <w:spacing w:line="276" w:lineRule="auto"/>
              <w:jc w:val="center"/>
              <w:rPr>
                <w:rFonts w:ascii="宋体" w:hAnsi="宋体" w:cs="宋体"/>
                <w:szCs w:val="21"/>
              </w:rPr>
            </w:pPr>
          </w:p>
        </w:tc>
        <w:tc>
          <w:tcPr>
            <w:tcW w:w="1344" w:type="dxa"/>
          </w:tcPr>
          <w:p>
            <w:pPr>
              <w:spacing w:line="276" w:lineRule="auto"/>
              <w:jc w:val="center"/>
              <w:rPr>
                <w:rFonts w:ascii="宋体" w:hAnsi="宋体" w:cs="宋体"/>
                <w:szCs w:val="21"/>
              </w:rPr>
            </w:pPr>
          </w:p>
        </w:tc>
        <w:tc>
          <w:tcPr>
            <w:tcW w:w="1344" w:type="dxa"/>
          </w:tcPr>
          <w:p>
            <w:pPr>
              <w:spacing w:line="276"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17"/>
              <w:spacing w:line="276" w:lineRule="auto"/>
              <w:jc w:val="center"/>
              <w:outlineLvl w:val="0"/>
              <w:rPr>
                <w:rFonts w:ascii="宋体" w:hAnsi="宋体" w:cs="宋体"/>
                <w:sz w:val="21"/>
                <w:szCs w:val="21"/>
              </w:rPr>
            </w:pPr>
            <w:r>
              <w:rPr>
                <w:rFonts w:hint="eastAsia" w:ascii="宋体" w:hAnsi="宋体" w:cs="宋体"/>
                <w:sz w:val="21"/>
                <w:szCs w:val="21"/>
              </w:rPr>
              <w:t>4</w:t>
            </w:r>
          </w:p>
        </w:tc>
        <w:tc>
          <w:tcPr>
            <w:tcW w:w="1695" w:type="dxa"/>
            <w:vAlign w:val="center"/>
          </w:tcPr>
          <w:p>
            <w:pPr>
              <w:spacing w:line="276" w:lineRule="auto"/>
              <w:jc w:val="center"/>
              <w:rPr>
                <w:rFonts w:ascii="宋体" w:hAnsi="宋体" w:cs="宋体"/>
                <w:szCs w:val="21"/>
              </w:rPr>
            </w:pPr>
          </w:p>
        </w:tc>
        <w:tc>
          <w:tcPr>
            <w:tcW w:w="3404" w:type="dxa"/>
          </w:tcPr>
          <w:p>
            <w:pPr>
              <w:spacing w:line="276" w:lineRule="auto"/>
              <w:jc w:val="center"/>
              <w:rPr>
                <w:rFonts w:ascii="宋体" w:hAnsi="宋体" w:cs="宋体"/>
                <w:szCs w:val="21"/>
              </w:rPr>
            </w:pPr>
          </w:p>
        </w:tc>
        <w:tc>
          <w:tcPr>
            <w:tcW w:w="1344" w:type="dxa"/>
            <w:vAlign w:val="center"/>
          </w:tcPr>
          <w:p>
            <w:pPr>
              <w:spacing w:line="276" w:lineRule="auto"/>
              <w:jc w:val="center"/>
              <w:rPr>
                <w:rFonts w:ascii="宋体" w:hAnsi="宋体" w:cs="宋体"/>
                <w:szCs w:val="21"/>
              </w:rPr>
            </w:pPr>
          </w:p>
        </w:tc>
        <w:tc>
          <w:tcPr>
            <w:tcW w:w="1344" w:type="dxa"/>
          </w:tcPr>
          <w:p>
            <w:pPr>
              <w:spacing w:line="276" w:lineRule="auto"/>
              <w:jc w:val="center"/>
              <w:rPr>
                <w:rFonts w:ascii="宋体" w:hAnsi="宋体" w:cs="宋体"/>
                <w:szCs w:val="21"/>
              </w:rPr>
            </w:pPr>
          </w:p>
        </w:tc>
        <w:tc>
          <w:tcPr>
            <w:tcW w:w="1344" w:type="dxa"/>
          </w:tcPr>
          <w:p>
            <w:pPr>
              <w:spacing w:line="276"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17"/>
              <w:spacing w:line="276" w:lineRule="auto"/>
              <w:jc w:val="center"/>
              <w:outlineLvl w:val="0"/>
              <w:rPr>
                <w:rFonts w:ascii="宋体" w:hAnsi="宋体" w:cs="宋体"/>
                <w:sz w:val="21"/>
                <w:szCs w:val="21"/>
              </w:rPr>
            </w:pPr>
            <w:r>
              <w:rPr>
                <w:rFonts w:hint="eastAsia" w:ascii="宋体" w:hAnsi="宋体" w:cs="宋体"/>
                <w:sz w:val="21"/>
                <w:szCs w:val="21"/>
              </w:rPr>
              <w:t>5</w:t>
            </w:r>
          </w:p>
        </w:tc>
        <w:tc>
          <w:tcPr>
            <w:tcW w:w="1695" w:type="dxa"/>
            <w:vAlign w:val="center"/>
          </w:tcPr>
          <w:p>
            <w:pPr>
              <w:spacing w:line="276" w:lineRule="auto"/>
              <w:jc w:val="center"/>
              <w:rPr>
                <w:rFonts w:ascii="宋体" w:hAnsi="宋体" w:cs="宋体"/>
                <w:szCs w:val="21"/>
              </w:rPr>
            </w:pPr>
          </w:p>
        </w:tc>
        <w:tc>
          <w:tcPr>
            <w:tcW w:w="3404" w:type="dxa"/>
          </w:tcPr>
          <w:p>
            <w:pPr>
              <w:spacing w:line="276" w:lineRule="auto"/>
              <w:jc w:val="center"/>
              <w:rPr>
                <w:rFonts w:ascii="宋体" w:hAnsi="宋体" w:cs="宋体"/>
                <w:szCs w:val="21"/>
              </w:rPr>
            </w:pPr>
          </w:p>
        </w:tc>
        <w:tc>
          <w:tcPr>
            <w:tcW w:w="1344" w:type="dxa"/>
            <w:vAlign w:val="center"/>
          </w:tcPr>
          <w:p>
            <w:pPr>
              <w:spacing w:line="276" w:lineRule="auto"/>
              <w:jc w:val="center"/>
              <w:rPr>
                <w:rFonts w:ascii="宋体" w:hAnsi="宋体" w:cs="宋体"/>
                <w:szCs w:val="21"/>
              </w:rPr>
            </w:pPr>
          </w:p>
        </w:tc>
        <w:tc>
          <w:tcPr>
            <w:tcW w:w="1344" w:type="dxa"/>
          </w:tcPr>
          <w:p>
            <w:pPr>
              <w:spacing w:line="276" w:lineRule="auto"/>
              <w:jc w:val="center"/>
              <w:rPr>
                <w:rFonts w:ascii="宋体" w:hAnsi="宋体" w:cs="宋体"/>
                <w:szCs w:val="21"/>
              </w:rPr>
            </w:pPr>
          </w:p>
        </w:tc>
        <w:tc>
          <w:tcPr>
            <w:tcW w:w="1344" w:type="dxa"/>
          </w:tcPr>
          <w:p>
            <w:pPr>
              <w:spacing w:line="276"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17"/>
              <w:spacing w:line="276" w:lineRule="auto"/>
              <w:jc w:val="center"/>
              <w:outlineLvl w:val="0"/>
              <w:rPr>
                <w:rFonts w:ascii="宋体" w:hAnsi="宋体" w:cs="宋体"/>
                <w:sz w:val="21"/>
                <w:szCs w:val="21"/>
              </w:rPr>
            </w:pPr>
            <w:r>
              <w:rPr>
                <w:rFonts w:hint="eastAsia" w:ascii="宋体" w:hAnsi="宋体" w:cs="宋体"/>
                <w:sz w:val="21"/>
                <w:szCs w:val="21"/>
              </w:rPr>
              <w:t>6</w:t>
            </w:r>
          </w:p>
        </w:tc>
        <w:tc>
          <w:tcPr>
            <w:tcW w:w="1695" w:type="dxa"/>
            <w:vAlign w:val="center"/>
          </w:tcPr>
          <w:p>
            <w:pPr>
              <w:spacing w:line="276" w:lineRule="auto"/>
              <w:jc w:val="center"/>
              <w:rPr>
                <w:rFonts w:ascii="宋体" w:hAnsi="宋体" w:cs="宋体"/>
                <w:szCs w:val="21"/>
              </w:rPr>
            </w:pPr>
          </w:p>
        </w:tc>
        <w:tc>
          <w:tcPr>
            <w:tcW w:w="3404" w:type="dxa"/>
          </w:tcPr>
          <w:p>
            <w:pPr>
              <w:spacing w:line="276" w:lineRule="auto"/>
              <w:jc w:val="center"/>
              <w:rPr>
                <w:rFonts w:ascii="宋体" w:hAnsi="宋体" w:cs="宋体"/>
                <w:szCs w:val="21"/>
              </w:rPr>
            </w:pPr>
          </w:p>
        </w:tc>
        <w:tc>
          <w:tcPr>
            <w:tcW w:w="1344" w:type="dxa"/>
            <w:vAlign w:val="center"/>
          </w:tcPr>
          <w:p>
            <w:pPr>
              <w:spacing w:line="276" w:lineRule="auto"/>
              <w:jc w:val="center"/>
              <w:rPr>
                <w:rFonts w:ascii="宋体" w:hAnsi="宋体" w:cs="宋体"/>
                <w:szCs w:val="21"/>
              </w:rPr>
            </w:pPr>
          </w:p>
        </w:tc>
        <w:tc>
          <w:tcPr>
            <w:tcW w:w="1344" w:type="dxa"/>
          </w:tcPr>
          <w:p>
            <w:pPr>
              <w:spacing w:line="276" w:lineRule="auto"/>
              <w:jc w:val="center"/>
              <w:rPr>
                <w:rFonts w:ascii="宋体" w:hAnsi="宋体" w:cs="宋体"/>
                <w:szCs w:val="21"/>
              </w:rPr>
            </w:pPr>
          </w:p>
        </w:tc>
        <w:tc>
          <w:tcPr>
            <w:tcW w:w="1344" w:type="dxa"/>
          </w:tcPr>
          <w:p>
            <w:pPr>
              <w:spacing w:line="276"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17"/>
              <w:spacing w:line="276" w:lineRule="auto"/>
              <w:jc w:val="center"/>
              <w:outlineLvl w:val="0"/>
              <w:rPr>
                <w:rFonts w:ascii="宋体" w:hAnsi="宋体" w:cs="宋体"/>
                <w:sz w:val="21"/>
                <w:szCs w:val="21"/>
              </w:rPr>
            </w:pPr>
            <w:r>
              <w:rPr>
                <w:rFonts w:hint="eastAsia" w:ascii="宋体" w:hAnsi="宋体" w:cs="宋体"/>
                <w:sz w:val="21"/>
                <w:szCs w:val="21"/>
              </w:rPr>
              <w:t>7</w:t>
            </w:r>
          </w:p>
        </w:tc>
        <w:tc>
          <w:tcPr>
            <w:tcW w:w="1695" w:type="dxa"/>
            <w:vAlign w:val="center"/>
          </w:tcPr>
          <w:p>
            <w:pPr>
              <w:spacing w:line="276" w:lineRule="auto"/>
              <w:jc w:val="center"/>
              <w:rPr>
                <w:rFonts w:ascii="宋体" w:hAnsi="宋体" w:cs="宋体"/>
                <w:szCs w:val="21"/>
              </w:rPr>
            </w:pPr>
          </w:p>
        </w:tc>
        <w:tc>
          <w:tcPr>
            <w:tcW w:w="3404" w:type="dxa"/>
          </w:tcPr>
          <w:p>
            <w:pPr>
              <w:spacing w:line="276" w:lineRule="auto"/>
              <w:jc w:val="center"/>
              <w:rPr>
                <w:rFonts w:ascii="宋体" w:hAnsi="宋体" w:cs="宋体"/>
                <w:szCs w:val="21"/>
              </w:rPr>
            </w:pPr>
          </w:p>
        </w:tc>
        <w:tc>
          <w:tcPr>
            <w:tcW w:w="1344" w:type="dxa"/>
            <w:vAlign w:val="center"/>
          </w:tcPr>
          <w:p>
            <w:pPr>
              <w:spacing w:line="276" w:lineRule="auto"/>
              <w:jc w:val="center"/>
              <w:rPr>
                <w:rFonts w:ascii="宋体" w:hAnsi="宋体" w:cs="宋体"/>
                <w:szCs w:val="21"/>
              </w:rPr>
            </w:pPr>
          </w:p>
        </w:tc>
        <w:tc>
          <w:tcPr>
            <w:tcW w:w="1344" w:type="dxa"/>
          </w:tcPr>
          <w:p>
            <w:pPr>
              <w:spacing w:line="276" w:lineRule="auto"/>
              <w:jc w:val="center"/>
              <w:rPr>
                <w:rFonts w:ascii="宋体" w:hAnsi="宋体" w:cs="宋体"/>
                <w:szCs w:val="21"/>
              </w:rPr>
            </w:pPr>
          </w:p>
        </w:tc>
        <w:tc>
          <w:tcPr>
            <w:tcW w:w="1344" w:type="dxa"/>
          </w:tcPr>
          <w:p>
            <w:pPr>
              <w:spacing w:line="276"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17"/>
              <w:spacing w:line="276" w:lineRule="auto"/>
              <w:jc w:val="center"/>
              <w:outlineLvl w:val="0"/>
              <w:rPr>
                <w:rFonts w:ascii="宋体" w:hAnsi="宋体" w:cs="宋体"/>
                <w:sz w:val="21"/>
                <w:szCs w:val="21"/>
              </w:rPr>
            </w:pPr>
            <w:r>
              <w:rPr>
                <w:rFonts w:hint="eastAsia" w:ascii="宋体" w:hAnsi="宋体" w:cs="宋体"/>
                <w:sz w:val="21"/>
                <w:szCs w:val="21"/>
              </w:rPr>
              <w:t>8</w:t>
            </w:r>
          </w:p>
        </w:tc>
        <w:tc>
          <w:tcPr>
            <w:tcW w:w="1695" w:type="dxa"/>
            <w:vAlign w:val="center"/>
          </w:tcPr>
          <w:p>
            <w:pPr>
              <w:spacing w:line="276" w:lineRule="auto"/>
              <w:jc w:val="center"/>
              <w:rPr>
                <w:rFonts w:ascii="宋体" w:hAnsi="宋体" w:cs="宋体"/>
                <w:szCs w:val="21"/>
              </w:rPr>
            </w:pPr>
            <w:r>
              <w:rPr>
                <w:rFonts w:hint="eastAsia" w:ascii="宋体" w:hAnsi="宋体" w:cs="宋体"/>
                <w:szCs w:val="21"/>
              </w:rPr>
              <w:t>人工费</w:t>
            </w:r>
          </w:p>
        </w:tc>
        <w:tc>
          <w:tcPr>
            <w:tcW w:w="3404" w:type="dxa"/>
          </w:tcPr>
          <w:p>
            <w:pPr>
              <w:spacing w:line="276" w:lineRule="auto"/>
              <w:jc w:val="center"/>
              <w:rPr>
                <w:rFonts w:ascii="宋体" w:hAnsi="宋体" w:cs="宋体"/>
                <w:szCs w:val="21"/>
              </w:rPr>
            </w:pPr>
          </w:p>
        </w:tc>
        <w:tc>
          <w:tcPr>
            <w:tcW w:w="1344" w:type="dxa"/>
            <w:vAlign w:val="center"/>
          </w:tcPr>
          <w:p>
            <w:pPr>
              <w:spacing w:line="276" w:lineRule="auto"/>
              <w:jc w:val="center"/>
              <w:rPr>
                <w:rFonts w:ascii="宋体" w:hAnsi="宋体" w:cs="宋体"/>
                <w:szCs w:val="21"/>
              </w:rPr>
            </w:pPr>
            <w:r>
              <w:rPr>
                <w:rFonts w:hint="eastAsia" w:ascii="宋体" w:hAnsi="宋体" w:cs="宋体"/>
                <w:szCs w:val="21"/>
              </w:rPr>
              <w:t>/</w:t>
            </w:r>
          </w:p>
        </w:tc>
        <w:tc>
          <w:tcPr>
            <w:tcW w:w="1344" w:type="dxa"/>
          </w:tcPr>
          <w:p>
            <w:pPr>
              <w:spacing w:line="276" w:lineRule="auto"/>
              <w:jc w:val="center"/>
              <w:rPr>
                <w:rFonts w:ascii="宋体" w:hAnsi="宋体" w:cs="宋体"/>
                <w:szCs w:val="21"/>
              </w:rPr>
            </w:pPr>
          </w:p>
        </w:tc>
        <w:tc>
          <w:tcPr>
            <w:tcW w:w="1344" w:type="dxa"/>
          </w:tcPr>
          <w:p>
            <w:pPr>
              <w:spacing w:line="276"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17"/>
              <w:spacing w:line="276" w:lineRule="auto"/>
              <w:jc w:val="center"/>
              <w:outlineLvl w:val="0"/>
              <w:rPr>
                <w:rFonts w:ascii="宋体" w:hAnsi="宋体" w:cs="宋体"/>
                <w:sz w:val="21"/>
                <w:szCs w:val="21"/>
              </w:rPr>
            </w:pPr>
            <w:r>
              <w:rPr>
                <w:rFonts w:hint="eastAsia" w:ascii="宋体" w:hAnsi="宋体" w:cs="宋体"/>
                <w:sz w:val="21"/>
                <w:szCs w:val="21"/>
              </w:rPr>
              <w:t>9</w:t>
            </w:r>
          </w:p>
        </w:tc>
        <w:tc>
          <w:tcPr>
            <w:tcW w:w="1695" w:type="dxa"/>
            <w:vAlign w:val="center"/>
          </w:tcPr>
          <w:p>
            <w:pPr>
              <w:spacing w:line="276" w:lineRule="auto"/>
              <w:jc w:val="center"/>
              <w:rPr>
                <w:rFonts w:ascii="宋体" w:hAnsi="宋体" w:cs="宋体"/>
                <w:szCs w:val="21"/>
              </w:rPr>
            </w:pPr>
            <w:r>
              <w:rPr>
                <w:rFonts w:hint="eastAsia" w:ascii="宋体" w:hAnsi="宋体" w:cs="宋体"/>
                <w:szCs w:val="21"/>
              </w:rPr>
              <w:t>各种税费</w:t>
            </w:r>
          </w:p>
        </w:tc>
        <w:tc>
          <w:tcPr>
            <w:tcW w:w="3404" w:type="dxa"/>
          </w:tcPr>
          <w:p>
            <w:pPr>
              <w:spacing w:line="276" w:lineRule="auto"/>
              <w:jc w:val="center"/>
              <w:rPr>
                <w:rFonts w:ascii="宋体" w:hAnsi="宋体" w:cs="宋体"/>
                <w:szCs w:val="21"/>
              </w:rPr>
            </w:pPr>
          </w:p>
        </w:tc>
        <w:tc>
          <w:tcPr>
            <w:tcW w:w="1344" w:type="dxa"/>
            <w:vAlign w:val="center"/>
          </w:tcPr>
          <w:p>
            <w:pPr>
              <w:spacing w:line="276" w:lineRule="auto"/>
              <w:jc w:val="center"/>
              <w:rPr>
                <w:rFonts w:ascii="宋体" w:hAnsi="宋体" w:cs="宋体"/>
                <w:szCs w:val="21"/>
              </w:rPr>
            </w:pPr>
            <w:r>
              <w:rPr>
                <w:rFonts w:hint="eastAsia" w:ascii="宋体" w:hAnsi="宋体" w:cs="宋体"/>
                <w:szCs w:val="21"/>
              </w:rPr>
              <w:t>/</w:t>
            </w:r>
          </w:p>
        </w:tc>
        <w:tc>
          <w:tcPr>
            <w:tcW w:w="1344" w:type="dxa"/>
          </w:tcPr>
          <w:p>
            <w:pPr>
              <w:spacing w:line="276" w:lineRule="auto"/>
              <w:jc w:val="center"/>
              <w:rPr>
                <w:rFonts w:ascii="宋体" w:hAnsi="宋体" w:cs="宋体"/>
                <w:szCs w:val="21"/>
              </w:rPr>
            </w:pPr>
          </w:p>
        </w:tc>
        <w:tc>
          <w:tcPr>
            <w:tcW w:w="1344" w:type="dxa"/>
          </w:tcPr>
          <w:p>
            <w:pPr>
              <w:spacing w:line="276"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17"/>
              <w:spacing w:line="276" w:lineRule="auto"/>
              <w:jc w:val="center"/>
              <w:outlineLvl w:val="0"/>
              <w:rPr>
                <w:rFonts w:ascii="宋体" w:hAnsi="宋体" w:cs="宋体"/>
                <w:sz w:val="21"/>
                <w:szCs w:val="21"/>
              </w:rPr>
            </w:pPr>
            <w:r>
              <w:rPr>
                <w:rFonts w:hint="eastAsia" w:ascii="宋体" w:hAnsi="宋体" w:cs="宋体"/>
                <w:sz w:val="21"/>
                <w:szCs w:val="21"/>
              </w:rPr>
              <w:t>10</w:t>
            </w:r>
          </w:p>
        </w:tc>
        <w:tc>
          <w:tcPr>
            <w:tcW w:w="1695" w:type="dxa"/>
            <w:vAlign w:val="center"/>
          </w:tcPr>
          <w:p>
            <w:pPr>
              <w:spacing w:line="276" w:lineRule="auto"/>
              <w:jc w:val="center"/>
              <w:rPr>
                <w:rFonts w:ascii="宋体" w:hAnsi="宋体" w:cs="宋体"/>
                <w:szCs w:val="21"/>
              </w:rPr>
            </w:pPr>
            <w:r>
              <w:rPr>
                <w:rFonts w:hint="eastAsia" w:ascii="宋体" w:hAnsi="宋体" w:cs="宋体"/>
                <w:szCs w:val="21"/>
              </w:rPr>
              <w:t>其他费用</w:t>
            </w:r>
          </w:p>
        </w:tc>
        <w:tc>
          <w:tcPr>
            <w:tcW w:w="3404" w:type="dxa"/>
          </w:tcPr>
          <w:p>
            <w:pPr>
              <w:spacing w:line="276" w:lineRule="auto"/>
              <w:jc w:val="center"/>
              <w:rPr>
                <w:rFonts w:ascii="宋体" w:hAnsi="宋体" w:cs="宋体"/>
                <w:szCs w:val="21"/>
              </w:rPr>
            </w:pPr>
          </w:p>
        </w:tc>
        <w:tc>
          <w:tcPr>
            <w:tcW w:w="1344" w:type="dxa"/>
            <w:vAlign w:val="center"/>
          </w:tcPr>
          <w:p>
            <w:pPr>
              <w:spacing w:line="276" w:lineRule="auto"/>
              <w:jc w:val="center"/>
              <w:rPr>
                <w:rFonts w:ascii="宋体" w:hAnsi="宋体" w:cs="宋体"/>
                <w:szCs w:val="21"/>
              </w:rPr>
            </w:pPr>
            <w:r>
              <w:rPr>
                <w:rFonts w:hint="eastAsia" w:ascii="宋体" w:hAnsi="宋体" w:cs="宋体"/>
                <w:szCs w:val="21"/>
              </w:rPr>
              <w:t>/</w:t>
            </w:r>
          </w:p>
        </w:tc>
        <w:tc>
          <w:tcPr>
            <w:tcW w:w="1344" w:type="dxa"/>
          </w:tcPr>
          <w:p>
            <w:pPr>
              <w:spacing w:line="276" w:lineRule="auto"/>
              <w:jc w:val="center"/>
              <w:rPr>
                <w:rFonts w:ascii="宋体" w:hAnsi="宋体" w:cs="宋体"/>
                <w:szCs w:val="21"/>
              </w:rPr>
            </w:pPr>
          </w:p>
        </w:tc>
        <w:tc>
          <w:tcPr>
            <w:tcW w:w="1344" w:type="dxa"/>
          </w:tcPr>
          <w:p>
            <w:pPr>
              <w:spacing w:line="276"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17"/>
              <w:spacing w:line="276" w:lineRule="auto"/>
              <w:jc w:val="center"/>
              <w:outlineLvl w:val="0"/>
              <w:rPr>
                <w:rFonts w:ascii="宋体" w:hAnsi="宋体" w:cs="宋体"/>
                <w:sz w:val="21"/>
                <w:szCs w:val="21"/>
              </w:rPr>
            </w:pPr>
            <w:r>
              <w:rPr>
                <w:rFonts w:hint="eastAsia" w:ascii="宋体" w:hAnsi="宋体" w:cs="宋体"/>
                <w:sz w:val="21"/>
                <w:szCs w:val="21"/>
              </w:rPr>
              <w:t>11</w:t>
            </w:r>
          </w:p>
        </w:tc>
        <w:tc>
          <w:tcPr>
            <w:tcW w:w="1695" w:type="dxa"/>
            <w:vAlign w:val="center"/>
          </w:tcPr>
          <w:p>
            <w:pPr>
              <w:spacing w:line="276" w:lineRule="auto"/>
              <w:jc w:val="center"/>
              <w:rPr>
                <w:rFonts w:ascii="宋体" w:hAnsi="宋体" w:cs="宋体"/>
                <w:szCs w:val="21"/>
              </w:rPr>
            </w:pPr>
            <w:r>
              <w:rPr>
                <w:rFonts w:hint="eastAsia" w:ascii="宋体" w:hAnsi="宋体" w:cs="宋体"/>
                <w:szCs w:val="21"/>
              </w:rPr>
              <w:t>……</w:t>
            </w:r>
          </w:p>
        </w:tc>
        <w:tc>
          <w:tcPr>
            <w:tcW w:w="3404" w:type="dxa"/>
          </w:tcPr>
          <w:p>
            <w:pPr>
              <w:spacing w:line="276" w:lineRule="auto"/>
              <w:jc w:val="center"/>
              <w:rPr>
                <w:rFonts w:ascii="宋体" w:hAnsi="宋体" w:cs="宋体"/>
                <w:szCs w:val="21"/>
              </w:rPr>
            </w:pPr>
          </w:p>
        </w:tc>
        <w:tc>
          <w:tcPr>
            <w:tcW w:w="1344" w:type="dxa"/>
            <w:vAlign w:val="center"/>
          </w:tcPr>
          <w:p>
            <w:pPr>
              <w:spacing w:line="276" w:lineRule="auto"/>
              <w:jc w:val="center"/>
              <w:rPr>
                <w:rFonts w:ascii="宋体" w:hAnsi="宋体" w:cs="宋体"/>
                <w:szCs w:val="21"/>
              </w:rPr>
            </w:pPr>
            <w:r>
              <w:rPr>
                <w:rFonts w:hint="eastAsia" w:ascii="宋体" w:hAnsi="宋体" w:cs="宋体"/>
                <w:szCs w:val="21"/>
              </w:rPr>
              <w:t>/</w:t>
            </w:r>
          </w:p>
        </w:tc>
        <w:tc>
          <w:tcPr>
            <w:tcW w:w="1344" w:type="dxa"/>
          </w:tcPr>
          <w:p>
            <w:pPr>
              <w:spacing w:line="276" w:lineRule="auto"/>
              <w:jc w:val="center"/>
              <w:rPr>
                <w:rFonts w:ascii="宋体" w:hAnsi="宋体" w:cs="宋体"/>
                <w:szCs w:val="21"/>
              </w:rPr>
            </w:pPr>
          </w:p>
        </w:tc>
        <w:tc>
          <w:tcPr>
            <w:tcW w:w="1344" w:type="dxa"/>
          </w:tcPr>
          <w:p>
            <w:pPr>
              <w:spacing w:line="276"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pPr>
              <w:pStyle w:val="17"/>
              <w:spacing w:line="276" w:lineRule="auto"/>
              <w:jc w:val="center"/>
              <w:outlineLvl w:val="0"/>
              <w:rPr>
                <w:rFonts w:ascii="宋体" w:hAnsi="宋体" w:cs="宋体"/>
                <w:sz w:val="21"/>
                <w:szCs w:val="21"/>
              </w:rPr>
            </w:pPr>
            <w:r>
              <w:rPr>
                <w:rFonts w:hint="eastAsia" w:ascii="宋体" w:hAnsi="宋体" w:cs="宋体"/>
                <w:sz w:val="21"/>
                <w:szCs w:val="21"/>
              </w:rPr>
              <w:t>12</w:t>
            </w:r>
          </w:p>
        </w:tc>
        <w:tc>
          <w:tcPr>
            <w:tcW w:w="1695" w:type="dxa"/>
            <w:vAlign w:val="center"/>
          </w:tcPr>
          <w:p>
            <w:pPr>
              <w:spacing w:line="276" w:lineRule="auto"/>
              <w:jc w:val="center"/>
              <w:rPr>
                <w:rFonts w:ascii="宋体" w:hAnsi="宋体" w:cs="宋体"/>
                <w:szCs w:val="21"/>
              </w:rPr>
            </w:pPr>
            <w:r>
              <w:rPr>
                <w:rFonts w:hint="eastAsia" w:ascii="宋体" w:hAnsi="宋体" w:cs="宋体"/>
                <w:szCs w:val="21"/>
              </w:rPr>
              <w:t>总计</w:t>
            </w:r>
          </w:p>
        </w:tc>
        <w:tc>
          <w:tcPr>
            <w:tcW w:w="7436" w:type="dxa"/>
            <w:gridSpan w:val="4"/>
          </w:tcPr>
          <w:p>
            <w:pPr>
              <w:spacing w:line="276" w:lineRule="auto"/>
              <w:rPr>
                <w:rFonts w:ascii="宋体" w:hAnsi="宋体" w:cs="宋体"/>
                <w:szCs w:val="21"/>
              </w:rPr>
            </w:pPr>
          </w:p>
        </w:tc>
      </w:tr>
    </w:tbl>
    <w:p>
      <w:pPr>
        <w:snapToGrid w:val="0"/>
        <w:spacing w:line="276" w:lineRule="auto"/>
        <w:ind w:firstLine="420" w:firstLineChars="200"/>
        <w:rPr>
          <w:rFonts w:ascii="宋体" w:hAnsi="宋体" w:cs="宋体"/>
          <w:szCs w:val="21"/>
        </w:rPr>
      </w:pPr>
    </w:p>
    <w:p>
      <w:pPr>
        <w:snapToGrid w:val="0"/>
        <w:spacing w:line="276" w:lineRule="auto"/>
        <w:ind w:firstLine="420" w:firstLineChars="200"/>
        <w:rPr>
          <w:rFonts w:ascii="宋体" w:hAnsi="宋体" w:cs="宋体"/>
          <w:szCs w:val="21"/>
        </w:rPr>
      </w:pPr>
    </w:p>
    <w:p>
      <w:pPr>
        <w:snapToGrid w:val="0"/>
        <w:spacing w:line="276" w:lineRule="auto"/>
        <w:ind w:firstLine="420" w:firstLineChars="200"/>
        <w:rPr>
          <w:rFonts w:ascii="宋体" w:hAnsi="宋体" w:cs="宋体"/>
          <w:szCs w:val="21"/>
        </w:rPr>
      </w:pPr>
      <w:r>
        <w:rPr>
          <w:rFonts w:hint="eastAsia" w:ascii="宋体" w:hAnsi="宋体" w:cs="宋体"/>
          <w:szCs w:val="21"/>
        </w:rPr>
        <w:t>注：1、请按第七章</w:t>
      </w:r>
      <w:r>
        <w:rPr>
          <w:rFonts w:hint="eastAsia" w:ascii="宋体" w:hAnsi="宋体" w:cs="宋体"/>
        </w:rPr>
        <w:t>技术标准和工作要求</w:t>
      </w:r>
      <w:r>
        <w:rPr>
          <w:rFonts w:hint="eastAsia" w:ascii="宋体" w:hAnsi="宋体" w:cs="宋体"/>
          <w:szCs w:val="21"/>
        </w:rPr>
        <w:t>完整填写本表。</w:t>
      </w:r>
    </w:p>
    <w:p>
      <w:pPr>
        <w:snapToGrid w:val="0"/>
        <w:spacing w:line="276" w:lineRule="auto"/>
        <w:rPr>
          <w:rFonts w:ascii="宋体" w:hAnsi="宋体" w:cs="宋体"/>
          <w:szCs w:val="21"/>
        </w:rPr>
      </w:pPr>
      <w:r>
        <w:rPr>
          <w:rFonts w:hint="eastAsia" w:ascii="宋体" w:hAnsi="宋体" w:cs="宋体"/>
          <w:szCs w:val="21"/>
        </w:rPr>
        <w:t xml:space="preserve">        2、该表可扩展</w:t>
      </w:r>
      <w:bookmarkStart w:id="247" w:name="OLE_LINK1"/>
      <w:r>
        <w:rPr>
          <w:rFonts w:hint="eastAsia" w:ascii="宋体" w:hAnsi="宋体" w:cs="宋体"/>
          <w:szCs w:val="21"/>
        </w:rPr>
        <w:t>，并逐页签字或盖章。</w:t>
      </w:r>
      <w:bookmarkEnd w:id="247"/>
    </w:p>
    <w:p>
      <w:pPr>
        <w:snapToGrid w:val="0"/>
        <w:spacing w:line="276" w:lineRule="auto"/>
        <w:rPr>
          <w:rFonts w:ascii="宋体" w:hAnsi="宋体" w:cs="宋体"/>
          <w:szCs w:val="21"/>
        </w:rPr>
      </w:pPr>
      <w:r>
        <w:rPr>
          <w:rFonts w:hint="eastAsia" w:ascii="宋体" w:hAnsi="宋体" w:cs="宋体"/>
          <w:szCs w:val="21"/>
        </w:rPr>
        <w:t xml:space="preserve">        3、该表可根据项目实际情况调整。</w:t>
      </w:r>
    </w:p>
    <w:p>
      <w:pPr>
        <w:spacing w:line="360" w:lineRule="auto"/>
        <w:jc w:val="left"/>
        <w:rPr>
          <w:rFonts w:ascii="宋体" w:hAnsi="宋体" w:cs="宋体"/>
          <w:color w:val="000000" w:themeColor="text1"/>
          <w:szCs w:val="21"/>
          <w14:textFill>
            <w14:solidFill>
              <w14:schemeClr w14:val="tx1"/>
            </w14:solidFill>
          </w14:textFill>
        </w:rPr>
      </w:pPr>
    </w:p>
    <w:p>
      <w:pPr>
        <w:tabs>
          <w:tab w:val="left" w:pos="900"/>
        </w:tabs>
        <w:spacing w:line="360" w:lineRule="auto"/>
        <w:ind w:firstLine="482" w:firstLineChars="200"/>
        <w:rPr>
          <w:rFonts w:ascii="Arial" w:hAnsi="Arial" w:cs="Arial"/>
          <w:b/>
          <w:color w:val="000000" w:themeColor="text1"/>
          <w:sz w:val="24"/>
          <w14:textFill>
            <w14:solidFill>
              <w14:schemeClr w14:val="tx1"/>
            </w14:solidFill>
          </w14:textFill>
        </w:rPr>
      </w:pPr>
    </w:p>
    <w:p>
      <w:pPr>
        <w:tabs>
          <w:tab w:val="left" w:pos="900"/>
        </w:tabs>
        <w:spacing w:line="360" w:lineRule="auto"/>
        <w:ind w:firstLine="482" w:firstLineChars="200"/>
        <w:rPr>
          <w:rFonts w:ascii="Arial" w:hAnsi="Arial" w:cs="Arial"/>
          <w:color w:val="000000" w:themeColor="text1"/>
          <w:sz w:val="24"/>
          <w:u w:val="single"/>
          <w14:textFill>
            <w14:solidFill>
              <w14:schemeClr w14:val="tx1"/>
            </w14:solidFill>
          </w14:textFill>
        </w:rPr>
      </w:pPr>
      <w:r>
        <w:rPr>
          <w:rFonts w:hint="eastAsia" w:ascii="Arial" w:hAnsi="Arial" w:cs="Arial"/>
          <w:b/>
          <w:color w:val="000000" w:themeColor="text1"/>
          <w:sz w:val="24"/>
          <w14:textFill>
            <w14:solidFill>
              <w14:schemeClr w14:val="tx1"/>
            </w14:solidFill>
          </w14:textFill>
        </w:rPr>
        <w:t>报价人名称（加盖公章）：</w:t>
      </w:r>
      <w:r>
        <w:rPr>
          <w:rFonts w:ascii="Arial" w:hAnsi="Arial" w:cs="Arial"/>
          <w:b/>
          <w:color w:val="000000" w:themeColor="text1"/>
          <w:sz w:val="24"/>
          <w:u w:val="single"/>
          <w14:textFill>
            <w14:solidFill>
              <w14:schemeClr w14:val="tx1"/>
            </w14:solidFill>
          </w14:textFill>
        </w:rPr>
        <w:t xml:space="preserve"> </w:t>
      </w:r>
      <w:r>
        <w:rPr>
          <w:rFonts w:ascii="Arial" w:hAnsi="Arial" w:cs="Arial"/>
          <w:color w:val="000000" w:themeColor="text1"/>
          <w:sz w:val="24"/>
          <w:u w:val="single"/>
          <w14:textFill>
            <w14:solidFill>
              <w14:schemeClr w14:val="tx1"/>
            </w14:solidFill>
          </w14:textFill>
        </w:rPr>
        <w:t xml:space="preserve">                       </w:t>
      </w:r>
    </w:p>
    <w:p>
      <w:pPr>
        <w:tabs>
          <w:tab w:val="left" w:pos="900"/>
        </w:tabs>
        <w:spacing w:line="360" w:lineRule="auto"/>
        <w:ind w:firstLine="482" w:firstLineChars="200"/>
        <w:rPr>
          <w:rFonts w:ascii="Arial" w:hAnsi="Arial" w:cs="Arial"/>
          <w:b/>
          <w:color w:val="000000" w:themeColor="text1"/>
          <w:sz w:val="24"/>
          <w14:textFill>
            <w14:solidFill>
              <w14:schemeClr w14:val="tx1"/>
            </w14:solidFill>
          </w14:textFill>
        </w:rPr>
      </w:pPr>
      <w:r>
        <w:rPr>
          <w:rFonts w:hint="eastAsia" w:ascii="Arial" w:hAnsi="Arial" w:cs="Arial"/>
          <w:b/>
          <w:color w:val="000000" w:themeColor="text1"/>
          <w:sz w:val="24"/>
          <w14:textFill>
            <w14:solidFill>
              <w14:schemeClr w14:val="tx1"/>
            </w14:solidFill>
          </w14:textFill>
        </w:rPr>
        <w:t>报价人法定代表人或授权代表人（签字）：</w:t>
      </w:r>
      <w:r>
        <w:rPr>
          <w:rFonts w:ascii="Arial" w:hAnsi="Arial" w:cs="Arial"/>
          <w:b/>
          <w:color w:val="000000" w:themeColor="text1"/>
          <w:sz w:val="24"/>
          <w:u w:val="single"/>
          <w14:textFill>
            <w14:solidFill>
              <w14:schemeClr w14:val="tx1"/>
            </w14:solidFill>
          </w14:textFill>
        </w:rPr>
        <w:t xml:space="preserve">               </w:t>
      </w:r>
    </w:p>
    <w:p>
      <w:pPr>
        <w:tabs>
          <w:tab w:val="left" w:pos="900"/>
        </w:tabs>
        <w:spacing w:line="360" w:lineRule="auto"/>
        <w:ind w:firstLine="480" w:firstLineChars="200"/>
        <w:rPr>
          <w:rFonts w:ascii="宋体" w:hAnsi="宋体" w:cs="宋体"/>
          <w:kern w:val="0"/>
          <w:szCs w:val="21"/>
        </w:rPr>
      </w:pPr>
      <w:r>
        <w:rPr>
          <w:rFonts w:hint="eastAsia" w:ascii="Arial" w:hAnsi="Arial" w:cs="Arial"/>
          <w:color w:val="000000" w:themeColor="text1"/>
          <w:sz w:val="24"/>
          <w14:textFill>
            <w14:solidFill>
              <w14:schemeClr w14:val="tx1"/>
            </w14:solidFill>
          </w14:textFill>
        </w:rPr>
        <w:t>日期：</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年</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月</w:t>
      </w:r>
      <w:r>
        <w:rPr>
          <w:rFonts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u w:val="single"/>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日</w:t>
      </w:r>
      <w:r>
        <w:rPr>
          <w:rFonts w:ascii="Arial" w:hAnsi="Arial" w:cs="Arial"/>
          <w:color w:val="000000" w:themeColor="text1"/>
          <w:sz w:val="24"/>
          <w14:textFill>
            <w14:solidFill>
              <w14:schemeClr w14:val="tx1"/>
            </w14:solidFill>
          </w14:textFill>
        </w:rPr>
        <w:t xml:space="preserve"> </w:t>
      </w:r>
    </w:p>
    <w:p>
      <w:pPr>
        <w:pStyle w:val="2"/>
        <w:rPr>
          <w:rFonts w:ascii="宋体" w:hAnsi="宋体" w:cs="宋体"/>
          <w:kern w:val="0"/>
          <w:szCs w:val="21"/>
        </w:rPr>
      </w:pPr>
    </w:p>
    <w:p/>
    <w:p>
      <w:pPr>
        <w:pStyle w:val="2"/>
      </w:pPr>
    </w:p>
    <w:p/>
    <w:p>
      <w:pPr>
        <w:pStyle w:val="4"/>
        <w:spacing w:before="0" w:after="0" w:line="360" w:lineRule="auto"/>
        <w:jc w:val="center"/>
        <w:rPr>
          <w:rFonts w:ascii="宋体" w:hAnsi="宋体" w:eastAsia="宋体" w:cs="宋体"/>
          <w:sz w:val="28"/>
        </w:rPr>
      </w:pPr>
      <w:bookmarkStart w:id="248" w:name="_Toc19207"/>
      <w:bookmarkStart w:id="249" w:name="_Toc11329278"/>
      <w:bookmarkStart w:id="250" w:name="_Toc29310"/>
      <w:bookmarkStart w:id="251" w:name="_Toc513633971"/>
      <w:bookmarkStart w:id="252" w:name="_Toc503951050"/>
      <w:bookmarkStart w:id="253" w:name="_Toc18757"/>
      <w:bookmarkStart w:id="254" w:name="_Toc12910"/>
      <w:bookmarkStart w:id="255" w:name="_Toc11961"/>
      <w:bookmarkStart w:id="256" w:name="_Toc247085887"/>
      <w:bookmarkStart w:id="257" w:name="_Toc447827058"/>
      <w:bookmarkStart w:id="258" w:name="_Toc144974871"/>
      <w:bookmarkStart w:id="259" w:name="_Toc179632823"/>
      <w:bookmarkStart w:id="260" w:name="_Toc152045803"/>
      <w:bookmarkStart w:id="261" w:name="_Toc246996369"/>
      <w:bookmarkStart w:id="262" w:name="_Toc246997112"/>
      <w:bookmarkStart w:id="263" w:name="_Toc152042592"/>
      <w:r>
        <w:rPr>
          <w:rFonts w:hint="eastAsia" w:ascii="宋体" w:hAnsi="宋体" w:eastAsia="宋体" w:cs="宋体"/>
          <w:sz w:val="28"/>
        </w:rPr>
        <w:t>三、资格审查资料</w:t>
      </w:r>
      <w:bookmarkEnd w:id="248"/>
      <w:bookmarkEnd w:id="249"/>
      <w:bookmarkEnd w:id="250"/>
      <w:bookmarkEnd w:id="251"/>
      <w:bookmarkEnd w:id="252"/>
      <w:bookmarkEnd w:id="253"/>
      <w:bookmarkEnd w:id="254"/>
      <w:bookmarkEnd w:id="255"/>
    </w:p>
    <w:p>
      <w:pPr>
        <w:spacing w:line="360" w:lineRule="auto"/>
        <w:jc w:val="center"/>
        <w:outlineLvl w:val="1"/>
        <w:rPr>
          <w:rFonts w:ascii="宋体" w:hAnsi="宋体" w:cs="宋体"/>
          <w:b/>
          <w:bCs/>
          <w:kern w:val="0"/>
          <w:sz w:val="28"/>
          <w:szCs w:val="32"/>
        </w:rPr>
      </w:pPr>
      <w:bookmarkStart w:id="264" w:name="_Toc26946"/>
      <w:r>
        <w:rPr>
          <w:rFonts w:hint="eastAsia" w:ascii="宋体" w:hAnsi="宋体" w:cs="宋体"/>
          <w:b/>
          <w:bCs/>
          <w:kern w:val="0"/>
          <w:sz w:val="28"/>
          <w:szCs w:val="32"/>
        </w:rPr>
        <w:t>（一）资格条件</w:t>
      </w:r>
      <w:bookmarkEnd w:id="264"/>
    </w:p>
    <w:p/>
    <w:bookmarkEnd w:id="256"/>
    <w:bookmarkEnd w:id="257"/>
    <w:bookmarkEnd w:id="258"/>
    <w:bookmarkEnd w:id="259"/>
    <w:bookmarkEnd w:id="260"/>
    <w:bookmarkEnd w:id="261"/>
    <w:bookmarkEnd w:id="262"/>
    <w:bookmarkEnd w:id="263"/>
    <w:p>
      <w:bookmarkStart w:id="265" w:name="_Toc513633973"/>
      <w:bookmarkStart w:id="266" w:name="_Toc447827068"/>
      <w:bookmarkStart w:id="267" w:name="_Toc503951055"/>
    </w:p>
    <w:p>
      <w:pPr>
        <w:spacing w:line="360" w:lineRule="auto"/>
        <w:jc w:val="center"/>
        <w:outlineLvl w:val="1"/>
        <w:rPr>
          <w:rFonts w:ascii="宋体" w:hAnsi="宋体" w:cs="宋体"/>
          <w:b/>
          <w:bCs/>
          <w:color w:val="000000" w:themeColor="text1"/>
          <w:sz w:val="24"/>
          <w:szCs w:val="28"/>
          <w14:textFill>
            <w14:solidFill>
              <w14:schemeClr w14:val="tx1"/>
            </w14:solidFill>
          </w14:textFill>
        </w:rPr>
      </w:pPr>
      <w:bookmarkStart w:id="268" w:name="_Toc11672"/>
      <w:bookmarkStart w:id="269" w:name="_Toc11329281"/>
      <w:r>
        <w:rPr>
          <w:rFonts w:hint="eastAsia" w:ascii="宋体" w:hAnsi="宋体" w:cs="宋体"/>
          <w:sz w:val="28"/>
        </w:rPr>
        <w:br w:type="page"/>
      </w:r>
      <w:bookmarkStart w:id="270" w:name="_Toc8299"/>
      <w:bookmarkStart w:id="271" w:name="_Toc11243"/>
      <w:bookmarkStart w:id="272" w:name="_Toc29559"/>
      <w:bookmarkStart w:id="273" w:name="_Toc4378"/>
      <w:r>
        <w:rPr>
          <w:rFonts w:hint="eastAsia" w:ascii="宋体" w:hAnsi="宋体" w:cs="宋体"/>
          <w:b/>
          <w:bCs/>
          <w:kern w:val="0"/>
          <w:sz w:val="28"/>
          <w:szCs w:val="32"/>
        </w:rPr>
        <w:t>（二）商务及技术评分资料</w:t>
      </w:r>
      <w:bookmarkEnd w:id="270"/>
    </w:p>
    <w:p>
      <w:pPr>
        <w:spacing w:line="360" w:lineRule="auto"/>
        <w:jc w:val="center"/>
        <w:outlineLvl w:val="2"/>
        <w:rPr>
          <w:b/>
          <w:sz w:val="24"/>
        </w:rPr>
      </w:pPr>
      <w:bookmarkStart w:id="274" w:name="OLE_LINK34"/>
      <w:r>
        <w:rPr>
          <w:rFonts w:hint="eastAsia"/>
          <w:bCs/>
          <w:sz w:val="24"/>
        </w:rPr>
        <w:t>商务及技术部分</w:t>
      </w:r>
      <w:bookmarkEnd w:id="274"/>
      <w:r>
        <w:rPr>
          <w:rFonts w:hint="eastAsia"/>
          <w:bCs/>
          <w:sz w:val="24"/>
        </w:rPr>
        <w:t>资料目录</w:t>
      </w:r>
    </w:p>
    <w:tbl>
      <w:tblPr>
        <w:tblStyle w:val="41"/>
        <w:tblW w:w="92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519"/>
        <w:gridCol w:w="3030"/>
        <w:gridCol w:w="2895"/>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23" w:type="dxa"/>
            <w:vAlign w:val="center"/>
          </w:tcPr>
          <w:p>
            <w:pPr>
              <w:pStyle w:val="169"/>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序号</w:t>
            </w:r>
          </w:p>
        </w:tc>
        <w:tc>
          <w:tcPr>
            <w:tcW w:w="1519" w:type="dxa"/>
            <w:vAlign w:val="center"/>
          </w:tcPr>
          <w:p>
            <w:pPr>
              <w:pStyle w:val="169"/>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bCs/>
                <w:sz w:val="18"/>
                <w:szCs w:val="18"/>
              </w:rPr>
              <w:t>对应评分标准</w:t>
            </w:r>
          </w:p>
        </w:tc>
        <w:tc>
          <w:tcPr>
            <w:tcW w:w="3030" w:type="dxa"/>
            <w:vAlign w:val="center"/>
          </w:tcPr>
          <w:p>
            <w:pPr>
              <w:pStyle w:val="169"/>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对应评分细则</w:t>
            </w:r>
          </w:p>
        </w:tc>
        <w:tc>
          <w:tcPr>
            <w:tcW w:w="2895" w:type="dxa"/>
            <w:vAlign w:val="center"/>
          </w:tcPr>
          <w:p>
            <w:pPr>
              <w:pStyle w:val="169"/>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证明材料名称</w:t>
            </w:r>
          </w:p>
        </w:tc>
        <w:tc>
          <w:tcPr>
            <w:tcW w:w="1194" w:type="dxa"/>
            <w:vAlign w:val="center"/>
          </w:tcPr>
          <w:p>
            <w:pPr>
              <w:pStyle w:val="169"/>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证明材料对应编号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23" w:type="dxa"/>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例</w:t>
            </w:r>
          </w:p>
        </w:tc>
        <w:tc>
          <w:tcPr>
            <w:tcW w:w="1519" w:type="dxa"/>
          </w:tcPr>
          <w:p>
            <w:pPr>
              <w:spacing w:line="360" w:lineRule="auto"/>
              <w:jc w:val="center"/>
              <w:rPr>
                <w:rFonts w:asciiTheme="minorEastAsia" w:hAnsiTheme="minorEastAsia" w:eastAsiaTheme="minorEastAsia" w:cstheme="minorEastAsia"/>
                <w:b/>
                <w:sz w:val="18"/>
                <w:szCs w:val="18"/>
              </w:rPr>
            </w:pPr>
          </w:p>
        </w:tc>
        <w:tc>
          <w:tcPr>
            <w:tcW w:w="3030" w:type="dxa"/>
          </w:tcPr>
          <w:p>
            <w:pPr>
              <w:spacing w:line="360" w:lineRule="auto"/>
              <w:jc w:val="center"/>
              <w:rPr>
                <w:rFonts w:asciiTheme="minorEastAsia" w:hAnsiTheme="minorEastAsia" w:eastAsiaTheme="minorEastAsia" w:cstheme="minorEastAsia"/>
                <w:b/>
                <w:sz w:val="18"/>
                <w:szCs w:val="18"/>
              </w:rPr>
            </w:pPr>
          </w:p>
        </w:tc>
        <w:tc>
          <w:tcPr>
            <w:tcW w:w="2895" w:type="dxa"/>
          </w:tcPr>
          <w:p>
            <w:pPr>
              <w:spacing w:line="360" w:lineRule="auto"/>
              <w:jc w:val="center"/>
              <w:rPr>
                <w:rFonts w:asciiTheme="minorEastAsia" w:hAnsiTheme="minorEastAsia" w:eastAsiaTheme="minorEastAsia" w:cstheme="minorEastAsia"/>
                <w:b/>
                <w:sz w:val="18"/>
                <w:szCs w:val="18"/>
              </w:rPr>
            </w:pPr>
          </w:p>
        </w:tc>
        <w:tc>
          <w:tcPr>
            <w:tcW w:w="1194" w:type="dxa"/>
          </w:tcPr>
          <w:p>
            <w:pPr>
              <w:spacing w:line="360" w:lineRule="auto"/>
              <w:jc w:val="center"/>
              <w:rPr>
                <w:rFonts w:asciiTheme="minorEastAsia" w:hAnsiTheme="minorEastAsia" w:eastAsiaTheme="minorEastAsia" w:cs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519" w:type="dxa"/>
            <w:vAlign w:val="center"/>
          </w:tcPr>
          <w:p>
            <w:pPr>
              <w:snapToGrid w:val="0"/>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sz w:val="18"/>
                <w:szCs w:val="18"/>
              </w:rPr>
              <w:t>项目团队</w:t>
            </w:r>
          </w:p>
        </w:tc>
        <w:tc>
          <w:tcPr>
            <w:tcW w:w="3030"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团队成员均为本科及以上学历</w:t>
            </w:r>
          </w:p>
        </w:tc>
        <w:tc>
          <w:tcPr>
            <w:tcW w:w="2895"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证书复印件</w:t>
            </w:r>
          </w:p>
        </w:tc>
        <w:tc>
          <w:tcPr>
            <w:tcW w:w="1194"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证明材料1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c>
          <w:tcPr>
            <w:tcW w:w="1194"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c>
          <w:tcPr>
            <w:tcW w:w="1194"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c>
          <w:tcPr>
            <w:tcW w:w="1194"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c>
          <w:tcPr>
            <w:tcW w:w="1194"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c>
          <w:tcPr>
            <w:tcW w:w="1194"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c>
          <w:tcPr>
            <w:tcW w:w="1194"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c>
          <w:tcPr>
            <w:tcW w:w="1194"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c>
          <w:tcPr>
            <w:tcW w:w="1194"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c>
          <w:tcPr>
            <w:tcW w:w="1194"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c>
          <w:tcPr>
            <w:tcW w:w="1194" w:type="dxa"/>
          </w:tcPr>
          <w:p>
            <w:pPr>
              <w:spacing w:line="360" w:lineRule="auto"/>
              <w:jc w:val="cente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23" w:type="dxa"/>
          </w:tcPr>
          <w:p>
            <w:pPr>
              <w:spacing w:line="360" w:lineRule="auto"/>
              <w:jc w:val="center"/>
              <w:rPr>
                <w:b/>
                <w:sz w:val="28"/>
                <w:szCs w:val="28"/>
              </w:rPr>
            </w:pPr>
          </w:p>
        </w:tc>
        <w:tc>
          <w:tcPr>
            <w:tcW w:w="1519" w:type="dxa"/>
          </w:tcPr>
          <w:p>
            <w:pPr>
              <w:spacing w:line="360" w:lineRule="auto"/>
              <w:jc w:val="center"/>
              <w:rPr>
                <w:b/>
                <w:sz w:val="28"/>
                <w:szCs w:val="28"/>
              </w:rPr>
            </w:pPr>
          </w:p>
        </w:tc>
        <w:tc>
          <w:tcPr>
            <w:tcW w:w="3030" w:type="dxa"/>
          </w:tcPr>
          <w:p>
            <w:pPr>
              <w:spacing w:line="360" w:lineRule="auto"/>
              <w:jc w:val="center"/>
              <w:rPr>
                <w:b/>
                <w:sz w:val="28"/>
                <w:szCs w:val="28"/>
              </w:rPr>
            </w:pPr>
          </w:p>
        </w:tc>
        <w:tc>
          <w:tcPr>
            <w:tcW w:w="2895" w:type="dxa"/>
          </w:tcPr>
          <w:p>
            <w:pPr>
              <w:spacing w:line="360" w:lineRule="auto"/>
              <w:jc w:val="center"/>
              <w:rPr>
                <w:b/>
                <w:sz w:val="28"/>
                <w:szCs w:val="28"/>
              </w:rPr>
            </w:pPr>
          </w:p>
        </w:tc>
        <w:tc>
          <w:tcPr>
            <w:tcW w:w="1194" w:type="dxa"/>
          </w:tcPr>
          <w:p>
            <w:pPr>
              <w:spacing w:line="360" w:lineRule="auto"/>
              <w:jc w:val="center"/>
              <w:rPr>
                <w:b/>
                <w:sz w:val="28"/>
                <w:szCs w:val="28"/>
              </w:rPr>
            </w:pPr>
          </w:p>
        </w:tc>
      </w:tr>
    </w:tbl>
    <w:p/>
    <w:p/>
    <w:p/>
    <w:p/>
    <w:p/>
    <w:p/>
    <w:p/>
    <w:p>
      <w:pPr>
        <w:pStyle w:val="6"/>
        <w:jc w:val="center"/>
        <w:rPr>
          <w:rFonts w:ascii="宋体" w:hAnsi="宋体" w:eastAsia="宋体" w:cs="宋体"/>
          <w:szCs w:val="32"/>
        </w:rPr>
      </w:pPr>
      <w:r>
        <w:rPr>
          <w:rFonts w:hint="eastAsia" w:ascii="宋体" w:hAnsi="宋体" w:eastAsia="宋体" w:cs="宋体"/>
          <w:szCs w:val="32"/>
        </w:rPr>
        <w:t>（三）技术方案</w:t>
      </w:r>
    </w:p>
    <w:p>
      <w:pPr>
        <w:pStyle w:val="4"/>
        <w:spacing w:before="0" w:after="0" w:line="360" w:lineRule="auto"/>
        <w:jc w:val="center"/>
        <w:rPr>
          <w:rFonts w:ascii="宋体" w:hAnsi="宋体" w:eastAsia="宋体" w:cs="宋体"/>
          <w:sz w:val="28"/>
        </w:rPr>
      </w:pPr>
    </w:p>
    <w:p>
      <w:pPr>
        <w:rPr>
          <w:rFonts w:ascii="宋体" w:hAnsi="宋体" w:cs="宋体"/>
          <w:sz w:val="28"/>
        </w:rPr>
      </w:pPr>
    </w:p>
    <w:p>
      <w:pPr>
        <w:pStyle w:val="2"/>
        <w:rPr>
          <w:rFonts w:ascii="宋体" w:hAnsi="宋体" w:cs="宋体"/>
          <w:sz w:val="28"/>
        </w:rPr>
      </w:pPr>
    </w:p>
    <w:p>
      <w:pPr>
        <w:rPr>
          <w:rFonts w:ascii="宋体" w:hAnsi="宋体" w:cs="宋体"/>
          <w:sz w:val="28"/>
        </w:rPr>
      </w:pPr>
    </w:p>
    <w:p>
      <w:pPr>
        <w:pStyle w:val="2"/>
        <w:rPr>
          <w:rFonts w:ascii="宋体" w:hAnsi="宋体" w:cs="宋体"/>
          <w:sz w:val="28"/>
        </w:rPr>
      </w:pPr>
    </w:p>
    <w:p>
      <w:pPr>
        <w:rPr>
          <w:rFonts w:ascii="宋体" w:hAnsi="宋体" w:cs="宋体"/>
          <w:sz w:val="28"/>
        </w:rPr>
      </w:pPr>
    </w:p>
    <w:p>
      <w:pPr>
        <w:pStyle w:val="2"/>
        <w:rPr>
          <w:rFonts w:ascii="宋体" w:hAnsi="宋体" w:cs="宋体"/>
          <w:sz w:val="28"/>
        </w:rPr>
      </w:pPr>
    </w:p>
    <w:p>
      <w:pPr>
        <w:rPr>
          <w:rFonts w:ascii="宋体" w:hAnsi="宋体" w:cs="宋体"/>
          <w:sz w:val="28"/>
        </w:rPr>
      </w:pPr>
    </w:p>
    <w:p>
      <w:pPr>
        <w:pStyle w:val="2"/>
        <w:rPr>
          <w:rFonts w:ascii="宋体" w:hAnsi="宋体" w:cs="宋体"/>
          <w:sz w:val="28"/>
        </w:rPr>
      </w:pPr>
    </w:p>
    <w:p>
      <w:pPr>
        <w:rPr>
          <w:rFonts w:ascii="宋体" w:hAnsi="宋体" w:cs="宋体"/>
          <w:sz w:val="28"/>
        </w:rPr>
      </w:pPr>
    </w:p>
    <w:p>
      <w:pPr>
        <w:pStyle w:val="2"/>
        <w:rPr>
          <w:rFonts w:ascii="宋体" w:hAnsi="宋体" w:cs="宋体"/>
          <w:sz w:val="28"/>
        </w:rPr>
      </w:pPr>
    </w:p>
    <w:p>
      <w:pPr>
        <w:rPr>
          <w:rFonts w:ascii="宋体" w:hAnsi="宋体" w:cs="宋体"/>
          <w:sz w:val="28"/>
        </w:rPr>
      </w:pPr>
    </w:p>
    <w:p>
      <w:pPr>
        <w:pStyle w:val="2"/>
        <w:rPr>
          <w:rFonts w:ascii="宋体" w:hAnsi="宋体" w:cs="宋体"/>
          <w:sz w:val="28"/>
        </w:rPr>
      </w:pPr>
    </w:p>
    <w:p>
      <w:pPr>
        <w:rPr>
          <w:rFonts w:ascii="宋体" w:hAnsi="宋体" w:cs="宋体"/>
          <w:sz w:val="28"/>
        </w:rPr>
      </w:pPr>
    </w:p>
    <w:p>
      <w:pPr>
        <w:pStyle w:val="2"/>
        <w:rPr>
          <w:rFonts w:ascii="宋体" w:hAnsi="宋体" w:cs="宋体"/>
          <w:sz w:val="28"/>
        </w:rPr>
      </w:pPr>
    </w:p>
    <w:p>
      <w:pPr>
        <w:rPr>
          <w:rFonts w:ascii="宋体" w:hAnsi="宋体" w:cs="宋体"/>
          <w:sz w:val="28"/>
        </w:rPr>
      </w:pPr>
    </w:p>
    <w:p>
      <w:pPr>
        <w:pStyle w:val="2"/>
      </w:pPr>
    </w:p>
    <w:p>
      <w:pPr>
        <w:pStyle w:val="4"/>
        <w:spacing w:before="0" w:after="0" w:line="360" w:lineRule="auto"/>
        <w:jc w:val="center"/>
        <w:rPr>
          <w:rFonts w:ascii="宋体" w:hAnsi="宋体" w:eastAsia="宋体" w:cs="宋体"/>
          <w:sz w:val="28"/>
        </w:rPr>
      </w:pPr>
      <w:bookmarkStart w:id="275" w:name="_Toc5446"/>
      <w:r>
        <w:rPr>
          <w:rFonts w:hint="eastAsia" w:ascii="宋体" w:hAnsi="宋体" w:eastAsia="宋体" w:cs="宋体"/>
          <w:sz w:val="28"/>
        </w:rPr>
        <w:t>四、</w:t>
      </w:r>
      <w:bookmarkEnd w:id="265"/>
      <w:bookmarkEnd w:id="266"/>
      <w:bookmarkEnd w:id="267"/>
      <w:r>
        <w:rPr>
          <w:rFonts w:hint="eastAsia" w:ascii="宋体" w:hAnsi="宋体" w:eastAsia="宋体" w:cs="宋体"/>
          <w:sz w:val="28"/>
        </w:rPr>
        <w:t>报价人须知前附表规定的其他材料</w:t>
      </w:r>
      <w:bookmarkEnd w:id="268"/>
      <w:bookmarkEnd w:id="269"/>
      <w:bookmarkEnd w:id="271"/>
      <w:bookmarkEnd w:id="272"/>
      <w:bookmarkEnd w:id="273"/>
      <w:bookmarkEnd w:id="275"/>
    </w:p>
    <w:p>
      <w:pPr>
        <w:pStyle w:val="5"/>
        <w:jc w:val="center"/>
        <w:rPr>
          <w:rFonts w:ascii="宋体" w:hAnsi="宋体" w:cs="宋体"/>
          <w:sz w:val="28"/>
        </w:rPr>
      </w:pPr>
      <w:bookmarkStart w:id="276" w:name="bookmark81"/>
      <w:bookmarkStart w:id="277" w:name="_Toc513633974"/>
      <w:bookmarkStart w:id="278" w:name="_Toc503951058"/>
      <w:r>
        <w:rPr>
          <w:rFonts w:hint="eastAsia" w:ascii="宋体" w:hAnsi="宋体" w:cs="宋体"/>
          <w:sz w:val="28"/>
        </w:rPr>
        <w:t>（一）</w:t>
      </w:r>
      <w:bookmarkEnd w:id="276"/>
      <w:bookmarkStart w:id="279" w:name="_Toc507681488"/>
      <w:bookmarkStart w:id="280" w:name="_Toc507681700"/>
      <w:bookmarkStart w:id="281" w:name="_Toc504639215"/>
      <w:r>
        <w:rPr>
          <w:rFonts w:hint="eastAsia" w:ascii="宋体" w:hAnsi="宋体" w:cs="宋体"/>
          <w:sz w:val="28"/>
        </w:rPr>
        <w:t>报价人自行承诺部分</w:t>
      </w:r>
      <w:bookmarkEnd w:id="279"/>
      <w:bookmarkEnd w:id="280"/>
      <w:bookmarkEnd w:id="281"/>
    </w:p>
    <w:p>
      <w:pPr>
        <w:spacing w:line="360" w:lineRule="auto"/>
        <w:ind w:firstLine="420" w:firstLineChars="200"/>
        <w:jc w:val="left"/>
        <w:rPr>
          <w:rFonts w:ascii="宋体" w:hAnsi="宋体" w:cs="宋体"/>
          <w:kern w:val="0"/>
          <w:szCs w:val="21"/>
        </w:rPr>
      </w:pPr>
      <w:r>
        <w:rPr>
          <w:rFonts w:hint="eastAsia" w:ascii="宋体" w:hAnsi="宋体" w:cs="宋体"/>
          <w:kern w:val="0"/>
          <w:szCs w:val="21"/>
        </w:rPr>
        <w:t>比选文件中要求报价人自行承诺的，由报价人按比选文件要求内容承诺，格式自拟。</w:t>
      </w:r>
    </w:p>
    <w:p>
      <w:pPr>
        <w:pStyle w:val="5"/>
        <w:jc w:val="center"/>
        <w:rPr>
          <w:rFonts w:ascii="宋体" w:hAnsi="宋体" w:cs="宋体"/>
          <w:sz w:val="28"/>
        </w:rPr>
      </w:pPr>
    </w:p>
    <w:p>
      <w:pPr>
        <w:pStyle w:val="5"/>
        <w:jc w:val="center"/>
        <w:rPr>
          <w:rFonts w:ascii="宋体" w:hAnsi="宋体" w:cs="宋体"/>
          <w:sz w:val="28"/>
        </w:rPr>
      </w:pPr>
    </w:p>
    <w:p>
      <w:pPr>
        <w:pStyle w:val="5"/>
        <w:jc w:val="center"/>
        <w:rPr>
          <w:rFonts w:ascii="宋体" w:hAnsi="宋体" w:cs="宋体"/>
          <w:sz w:val="28"/>
        </w:rPr>
      </w:pPr>
      <w:r>
        <w:rPr>
          <w:rFonts w:hint="eastAsia" w:ascii="宋体" w:hAnsi="宋体" w:cs="宋体"/>
          <w:sz w:val="28"/>
        </w:rPr>
        <w:t>（二）其他材料（如有）</w:t>
      </w:r>
    </w:p>
    <w:p>
      <w:pPr>
        <w:outlineLvl w:val="0"/>
        <w:rPr>
          <w:b/>
          <w:sz w:val="24"/>
        </w:rPr>
      </w:pPr>
    </w:p>
    <w:p>
      <w:pPr>
        <w:pStyle w:val="5"/>
        <w:jc w:val="center"/>
      </w:pPr>
    </w:p>
    <w:p>
      <w:pPr>
        <w:rPr>
          <w:rFonts w:ascii="宋体" w:hAnsi="宋体" w:cs="宋体"/>
        </w:rPr>
      </w:pPr>
    </w:p>
    <w:p>
      <w:pPr>
        <w:pStyle w:val="2"/>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bookmarkEnd w:id="277"/>
    <w:bookmarkEnd w:id="278"/>
    <w:p>
      <w:pPr>
        <w:pStyle w:val="2"/>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79D204E-9771-4B3A-939C-4736DA62A77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37D9C5B-BFF4-4296-88E7-2873AB735D2A}"/>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5"/>
      </w:rPr>
    </w:pPr>
    <w:r>
      <w:fldChar w:fldCharType="begin"/>
    </w:r>
    <w:r>
      <w:rPr>
        <w:rStyle w:val="45"/>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17</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6</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rPr>
      <w:t>73</w:t>
    </w:r>
    <w:r>
      <w:fldChar w:fldCharType="end"/>
    </w:r>
  </w:p>
  <w:p>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rPr>
      <w:t>19</w:t>
    </w:r>
    <w:r>
      <w:fldChar w:fldCharType="end"/>
    </w:r>
  </w:p>
  <w:p>
    <w:pPr>
      <w:pStyle w:val="26"/>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5"/>
                            </w:rPr>
                          </w:pPr>
                          <w:r>
                            <w:fldChar w:fldCharType="begin"/>
                          </w:r>
                          <w:r>
                            <w:rPr>
                              <w:rStyle w:val="45"/>
                            </w:rPr>
                            <w:instrText xml:space="preserve">PAGE  </w:instrText>
                          </w:r>
                          <w:r>
                            <w:fldChar w:fldCharType="separate"/>
                          </w:r>
                          <w:r>
                            <w:rPr>
                              <w:rStyle w:val="45"/>
                            </w:rPr>
                            <w:t>23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26"/>
                      <w:rPr>
                        <w:rStyle w:val="45"/>
                      </w:rPr>
                    </w:pPr>
                    <w:r>
                      <w:fldChar w:fldCharType="begin"/>
                    </w:r>
                    <w:r>
                      <w:rPr>
                        <w:rStyle w:val="45"/>
                      </w:rPr>
                      <w:instrText xml:space="preserve">PAGE  </w:instrText>
                    </w:r>
                    <w:r>
                      <w:fldChar w:fldCharType="separate"/>
                    </w:r>
                    <w:r>
                      <w:rPr>
                        <w:rStyle w:val="45"/>
                      </w:rP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6CFC2D"/>
    <w:multiLevelType w:val="singleLevel"/>
    <w:tmpl w:val="A66CFC2D"/>
    <w:lvl w:ilvl="0" w:tentative="0">
      <w:start w:val="2"/>
      <w:numFmt w:val="chineseCounting"/>
      <w:suff w:val="nothing"/>
      <w:lvlText w:val="%1、"/>
      <w:lvlJc w:val="left"/>
      <w:rPr>
        <w:rFonts w:hint="eastAsia"/>
      </w:rPr>
    </w:lvl>
  </w:abstractNum>
  <w:abstractNum w:abstractNumId="1">
    <w:nsid w:val="BA7B9E90"/>
    <w:multiLevelType w:val="multilevel"/>
    <w:tmpl w:val="BA7B9E90"/>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BCC1655C"/>
    <w:multiLevelType w:val="singleLevel"/>
    <w:tmpl w:val="BCC1655C"/>
    <w:lvl w:ilvl="0" w:tentative="0">
      <w:start w:val="7"/>
      <w:numFmt w:val="chineseCounting"/>
      <w:suff w:val="space"/>
      <w:lvlText w:val="第%1章"/>
      <w:lvlJc w:val="left"/>
      <w:rPr>
        <w:rFonts w:hint="eastAsia"/>
      </w:rPr>
    </w:lvl>
  </w:abstractNum>
  <w:abstractNum w:abstractNumId="3">
    <w:nsid w:val="DE1CB082"/>
    <w:multiLevelType w:val="singleLevel"/>
    <w:tmpl w:val="DE1CB082"/>
    <w:lvl w:ilvl="0" w:tentative="0">
      <w:start w:val="1"/>
      <w:numFmt w:val="chineseCounting"/>
      <w:suff w:val="space"/>
      <w:lvlText w:val="第%1章"/>
      <w:lvlJc w:val="left"/>
      <w:rPr>
        <w:rFonts w:hint="eastAsia"/>
      </w:rPr>
    </w:lvl>
  </w:abstractNum>
  <w:abstractNum w:abstractNumId="4">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055870EA"/>
    <w:multiLevelType w:val="singleLevel"/>
    <w:tmpl w:val="055870EA"/>
    <w:lvl w:ilvl="0" w:tentative="0">
      <w:start w:val="3"/>
      <w:numFmt w:val="chineseCounting"/>
      <w:suff w:val="nothing"/>
      <w:lvlText w:val="%1、"/>
      <w:lvlJc w:val="left"/>
      <w:rPr>
        <w:rFonts w:hint="eastAsia"/>
      </w:rPr>
    </w:lvl>
  </w:abstractNum>
  <w:abstractNum w:abstractNumId="6">
    <w:nsid w:val="0B794E88"/>
    <w:multiLevelType w:val="multilevel"/>
    <w:tmpl w:val="0B794E88"/>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3A050BE6"/>
    <w:multiLevelType w:val="multilevel"/>
    <w:tmpl w:val="3A050BE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0F17876"/>
    <w:multiLevelType w:val="multilevel"/>
    <w:tmpl w:val="50F1787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72B64926"/>
    <w:multiLevelType w:val="singleLevel"/>
    <w:tmpl w:val="72B64926"/>
    <w:lvl w:ilvl="0" w:tentative="0">
      <w:start w:val="3"/>
      <w:numFmt w:val="chineseCounting"/>
      <w:suff w:val="space"/>
      <w:lvlText w:val="第%1章"/>
      <w:lvlJc w:val="left"/>
      <w:rPr>
        <w:rFonts w:hint="eastAsia"/>
      </w:rPr>
    </w:lvl>
  </w:abstractNum>
  <w:abstractNum w:abstractNumId="10">
    <w:nsid w:val="751327A8"/>
    <w:multiLevelType w:val="multilevel"/>
    <w:tmpl w:val="751327A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78BA0F68"/>
    <w:multiLevelType w:val="singleLevel"/>
    <w:tmpl w:val="78BA0F68"/>
    <w:lvl w:ilvl="0" w:tentative="0">
      <w:start w:val="1"/>
      <w:numFmt w:val="decimal"/>
      <w:lvlText w:val="%1."/>
      <w:lvlJc w:val="left"/>
      <w:pPr>
        <w:tabs>
          <w:tab w:val="left" w:pos="312"/>
        </w:tabs>
      </w:pPr>
    </w:lvl>
  </w:abstractNum>
  <w:num w:numId="1">
    <w:abstractNumId w:val="4"/>
  </w:num>
  <w:num w:numId="2">
    <w:abstractNumId w:val="3"/>
  </w:num>
  <w:num w:numId="3">
    <w:abstractNumId w:val="11"/>
  </w:num>
  <w:num w:numId="4">
    <w:abstractNumId w:val="9"/>
  </w:num>
  <w:num w:numId="5">
    <w:abstractNumId w:val="0"/>
  </w:num>
  <w:num w:numId="6">
    <w:abstractNumId w:val="5"/>
  </w:num>
  <w:num w:numId="7">
    <w:abstractNumId w:val="2"/>
  </w:num>
  <w:num w:numId="8">
    <w:abstractNumId w:val="7"/>
  </w:num>
  <w:num w:numId="9">
    <w:abstractNumId w:val="10"/>
  </w:num>
  <w:num w:numId="10">
    <w:abstractNumId w:val="8"/>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NotTrackMoves/>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493"/>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0F623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77E9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20E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5746"/>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6B5B"/>
    <w:rsid w:val="003F7927"/>
    <w:rsid w:val="003F7A0C"/>
    <w:rsid w:val="00402F66"/>
    <w:rsid w:val="00403314"/>
    <w:rsid w:val="00404848"/>
    <w:rsid w:val="00406BDF"/>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640"/>
    <w:rsid w:val="00705864"/>
    <w:rsid w:val="0071015C"/>
    <w:rsid w:val="0071261D"/>
    <w:rsid w:val="0071777A"/>
    <w:rsid w:val="007210B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93"/>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0F07"/>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1237"/>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8631D"/>
    <w:rsid w:val="00A92E22"/>
    <w:rsid w:val="00A95AFB"/>
    <w:rsid w:val="00AA1ED7"/>
    <w:rsid w:val="00AA2125"/>
    <w:rsid w:val="00AA7B39"/>
    <w:rsid w:val="00AB291E"/>
    <w:rsid w:val="00AB3079"/>
    <w:rsid w:val="00AB454C"/>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554E2"/>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C35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3393"/>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C15"/>
    <w:rsid w:val="00CE2D7F"/>
    <w:rsid w:val="00CE32CD"/>
    <w:rsid w:val="00CE44DD"/>
    <w:rsid w:val="00CF2931"/>
    <w:rsid w:val="00CF3754"/>
    <w:rsid w:val="00CF3D31"/>
    <w:rsid w:val="00CF3FE8"/>
    <w:rsid w:val="00D01065"/>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D2A3C"/>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595"/>
    <w:rsid w:val="00F848FF"/>
    <w:rsid w:val="00F8662C"/>
    <w:rsid w:val="00F90AD7"/>
    <w:rsid w:val="00F92857"/>
    <w:rsid w:val="00F941F8"/>
    <w:rsid w:val="00F95FA0"/>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29E0ABC"/>
    <w:rsid w:val="02A800C5"/>
    <w:rsid w:val="02C540E4"/>
    <w:rsid w:val="037D0CD2"/>
    <w:rsid w:val="038B3366"/>
    <w:rsid w:val="03981B5E"/>
    <w:rsid w:val="03996EAD"/>
    <w:rsid w:val="03F60BFA"/>
    <w:rsid w:val="04023CC8"/>
    <w:rsid w:val="042674F4"/>
    <w:rsid w:val="04C12ED8"/>
    <w:rsid w:val="04DC5749"/>
    <w:rsid w:val="04E26FED"/>
    <w:rsid w:val="04FD6633"/>
    <w:rsid w:val="05327E0D"/>
    <w:rsid w:val="057D5C2F"/>
    <w:rsid w:val="05871A0A"/>
    <w:rsid w:val="05A70EA9"/>
    <w:rsid w:val="05D55D36"/>
    <w:rsid w:val="060C2525"/>
    <w:rsid w:val="062756FD"/>
    <w:rsid w:val="067C53E7"/>
    <w:rsid w:val="06820F5E"/>
    <w:rsid w:val="06AE2ABA"/>
    <w:rsid w:val="06DD02BB"/>
    <w:rsid w:val="06E71F51"/>
    <w:rsid w:val="07050666"/>
    <w:rsid w:val="07362674"/>
    <w:rsid w:val="073B54B2"/>
    <w:rsid w:val="077B3234"/>
    <w:rsid w:val="081748AE"/>
    <w:rsid w:val="08635851"/>
    <w:rsid w:val="08C2359B"/>
    <w:rsid w:val="09041814"/>
    <w:rsid w:val="092D7BDC"/>
    <w:rsid w:val="09332D2B"/>
    <w:rsid w:val="093E2D64"/>
    <w:rsid w:val="098B1DA7"/>
    <w:rsid w:val="09A31A61"/>
    <w:rsid w:val="09DE1094"/>
    <w:rsid w:val="09E2475B"/>
    <w:rsid w:val="0A062E2F"/>
    <w:rsid w:val="0A3F34B7"/>
    <w:rsid w:val="0A4B11BE"/>
    <w:rsid w:val="0A8E5B8D"/>
    <w:rsid w:val="0AA240FA"/>
    <w:rsid w:val="0AAC0CBB"/>
    <w:rsid w:val="0AD84BD3"/>
    <w:rsid w:val="0B0443BA"/>
    <w:rsid w:val="0B1061C6"/>
    <w:rsid w:val="0B2B08D5"/>
    <w:rsid w:val="0B616E15"/>
    <w:rsid w:val="0BB825ED"/>
    <w:rsid w:val="0BC0647C"/>
    <w:rsid w:val="0BF26817"/>
    <w:rsid w:val="0C22464A"/>
    <w:rsid w:val="0C623EAC"/>
    <w:rsid w:val="0CAD24AF"/>
    <w:rsid w:val="0D662EE5"/>
    <w:rsid w:val="0D9339BE"/>
    <w:rsid w:val="0D9F0DC4"/>
    <w:rsid w:val="0DDE695A"/>
    <w:rsid w:val="0E2D072E"/>
    <w:rsid w:val="0E3B295D"/>
    <w:rsid w:val="0E47249B"/>
    <w:rsid w:val="0E551882"/>
    <w:rsid w:val="0E9E2292"/>
    <w:rsid w:val="0ECE05C2"/>
    <w:rsid w:val="0F4C19DA"/>
    <w:rsid w:val="0F4C7D05"/>
    <w:rsid w:val="0F5F17BD"/>
    <w:rsid w:val="0F90531D"/>
    <w:rsid w:val="0FAD64B5"/>
    <w:rsid w:val="0FEB1B4B"/>
    <w:rsid w:val="0FFF5930"/>
    <w:rsid w:val="10421816"/>
    <w:rsid w:val="10A265EF"/>
    <w:rsid w:val="11485B0D"/>
    <w:rsid w:val="117076B2"/>
    <w:rsid w:val="11D56D08"/>
    <w:rsid w:val="125E1A9C"/>
    <w:rsid w:val="126C604E"/>
    <w:rsid w:val="1276289F"/>
    <w:rsid w:val="127D3F3D"/>
    <w:rsid w:val="1288522D"/>
    <w:rsid w:val="129D6A95"/>
    <w:rsid w:val="12AF4046"/>
    <w:rsid w:val="12CE506D"/>
    <w:rsid w:val="12F65490"/>
    <w:rsid w:val="12F73D2A"/>
    <w:rsid w:val="13112273"/>
    <w:rsid w:val="13511DF6"/>
    <w:rsid w:val="138B4634"/>
    <w:rsid w:val="138F1214"/>
    <w:rsid w:val="13D101C7"/>
    <w:rsid w:val="13D65F2A"/>
    <w:rsid w:val="1400440E"/>
    <w:rsid w:val="144729D8"/>
    <w:rsid w:val="14894722"/>
    <w:rsid w:val="14AB614D"/>
    <w:rsid w:val="15507C7E"/>
    <w:rsid w:val="15664AEF"/>
    <w:rsid w:val="158E23E1"/>
    <w:rsid w:val="159D7EA6"/>
    <w:rsid w:val="159F1BF9"/>
    <w:rsid w:val="160B0227"/>
    <w:rsid w:val="16CF02A2"/>
    <w:rsid w:val="16F512D4"/>
    <w:rsid w:val="1705300C"/>
    <w:rsid w:val="17081A7A"/>
    <w:rsid w:val="17292C0C"/>
    <w:rsid w:val="176F50FE"/>
    <w:rsid w:val="17DD0B49"/>
    <w:rsid w:val="181C1400"/>
    <w:rsid w:val="18223BBF"/>
    <w:rsid w:val="18D435BC"/>
    <w:rsid w:val="19BA69A5"/>
    <w:rsid w:val="19DF6D3F"/>
    <w:rsid w:val="19E24459"/>
    <w:rsid w:val="19FB72C6"/>
    <w:rsid w:val="1A3D7EBE"/>
    <w:rsid w:val="1A4353A0"/>
    <w:rsid w:val="1A9C5527"/>
    <w:rsid w:val="1B075A0C"/>
    <w:rsid w:val="1B67066F"/>
    <w:rsid w:val="1B7229E4"/>
    <w:rsid w:val="1B7A5EC7"/>
    <w:rsid w:val="1BA35EDC"/>
    <w:rsid w:val="1BE70A37"/>
    <w:rsid w:val="1CB30939"/>
    <w:rsid w:val="1CF6260F"/>
    <w:rsid w:val="1CF83AEA"/>
    <w:rsid w:val="1D6914D5"/>
    <w:rsid w:val="1D7E09CF"/>
    <w:rsid w:val="1E7F32B0"/>
    <w:rsid w:val="1EBB622E"/>
    <w:rsid w:val="1EEA13A6"/>
    <w:rsid w:val="1EFE64E9"/>
    <w:rsid w:val="1F6207D0"/>
    <w:rsid w:val="1FAF4CBE"/>
    <w:rsid w:val="1FE1627D"/>
    <w:rsid w:val="1FEA603B"/>
    <w:rsid w:val="20293E2F"/>
    <w:rsid w:val="206E3E8E"/>
    <w:rsid w:val="208247DE"/>
    <w:rsid w:val="2093114F"/>
    <w:rsid w:val="209B57AA"/>
    <w:rsid w:val="20A87B06"/>
    <w:rsid w:val="20D83D6E"/>
    <w:rsid w:val="20EA6084"/>
    <w:rsid w:val="20F01139"/>
    <w:rsid w:val="20F1461D"/>
    <w:rsid w:val="212B522B"/>
    <w:rsid w:val="21736537"/>
    <w:rsid w:val="21977807"/>
    <w:rsid w:val="219D77BC"/>
    <w:rsid w:val="226827C0"/>
    <w:rsid w:val="227C6EFF"/>
    <w:rsid w:val="22942795"/>
    <w:rsid w:val="22A10D06"/>
    <w:rsid w:val="22E46F4A"/>
    <w:rsid w:val="22F20159"/>
    <w:rsid w:val="23486890"/>
    <w:rsid w:val="23AB4CDF"/>
    <w:rsid w:val="23C37A75"/>
    <w:rsid w:val="23D964C1"/>
    <w:rsid w:val="23EB6BB8"/>
    <w:rsid w:val="240F3CB0"/>
    <w:rsid w:val="24436391"/>
    <w:rsid w:val="24AD6D9A"/>
    <w:rsid w:val="254A5C25"/>
    <w:rsid w:val="259E376E"/>
    <w:rsid w:val="25E82995"/>
    <w:rsid w:val="26154215"/>
    <w:rsid w:val="26666FDC"/>
    <w:rsid w:val="26B267E7"/>
    <w:rsid w:val="26C80CCF"/>
    <w:rsid w:val="26F65310"/>
    <w:rsid w:val="27020634"/>
    <w:rsid w:val="27352534"/>
    <w:rsid w:val="27357F9F"/>
    <w:rsid w:val="27EF1935"/>
    <w:rsid w:val="280A1B75"/>
    <w:rsid w:val="283962F8"/>
    <w:rsid w:val="290212C1"/>
    <w:rsid w:val="29403128"/>
    <w:rsid w:val="29656DCE"/>
    <w:rsid w:val="298B4B23"/>
    <w:rsid w:val="29C037B7"/>
    <w:rsid w:val="29D875FE"/>
    <w:rsid w:val="2A194E5D"/>
    <w:rsid w:val="2A594BC2"/>
    <w:rsid w:val="2AA90FA0"/>
    <w:rsid w:val="2AB53836"/>
    <w:rsid w:val="2B0C402E"/>
    <w:rsid w:val="2B552F60"/>
    <w:rsid w:val="2BB367B9"/>
    <w:rsid w:val="2C184D47"/>
    <w:rsid w:val="2C796A89"/>
    <w:rsid w:val="2CBD3A96"/>
    <w:rsid w:val="2CC74339"/>
    <w:rsid w:val="2CCE1414"/>
    <w:rsid w:val="2CF93ABF"/>
    <w:rsid w:val="2D1E27A3"/>
    <w:rsid w:val="2D48F31F"/>
    <w:rsid w:val="2D766528"/>
    <w:rsid w:val="2DD5633D"/>
    <w:rsid w:val="2E6A704D"/>
    <w:rsid w:val="2E8A6255"/>
    <w:rsid w:val="2F0B1048"/>
    <w:rsid w:val="2F141AAA"/>
    <w:rsid w:val="2FF23F99"/>
    <w:rsid w:val="30236367"/>
    <w:rsid w:val="30331BC6"/>
    <w:rsid w:val="303E7E03"/>
    <w:rsid w:val="304A182B"/>
    <w:rsid w:val="30757C00"/>
    <w:rsid w:val="307D5D65"/>
    <w:rsid w:val="30B34CE3"/>
    <w:rsid w:val="30CB1C83"/>
    <w:rsid w:val="31832D29"/>
    <w:rsid w:val="31AE3364"/>
    <w:rsid w:val="31D20CDE"/>
    <w:rsid w:val="31F37E23"/>
    <w:rsid w:val="32223DC6"/>
    <w:rsid w:val="32584127"/>
    <w:rsid w:val="329032EF"/>
    <w:rsid w:val="329970EF"/>
    <w:rsid w:val="32B35AAA"/>
    <w:rsid w:val="334459AC"/>
    <w:rsid w:val="33705A64"/>
    <w:rsid w:val="33F44ABC"/>
    <w:rsid w:val="342645AD"/>
    <w:rsid w:val="34335C8F"/>
    <w:rsid w:val="34617CD8"/>
    <w:rsid w:val="34731A2E"/>
    <w:rsid w:val="34A61339"/>
    <w:rsid w:val="34F3793E"/>
    <w:rsid w:val="35185DCE"/>
    <w:rsid w:val="35574E9C"/>
    <w:rsid w:val="35712E34"/>
    <w:rsid w:val="35ED793B"/>
    <w:rsid w:val="35F25212"/>
    <w:rsid w:val="366C082D"/>
    <w:rsid w:val="36C90DD1"/>
    <w:rsid w:val="3703397C"/>
    <w:rsid w:val="37704489"/>
    <w:rsid w:val="37925427"/>
    <w:rsid w:val="37A55DCC"/>
    <w:rsid w:val="37CA04FF"/>
    <w:rsid w:val="37EE7ED1"/>
    <w:rsid w:val="38AD49B0"/>
    <w:rsid w:val="394C68A5"/>
    <w:rsid w:val="395E479A"/>
    <w:rsid w:val="39A36C2D"/>
    <w:rsid w:val="39AA29B9"/>
    <w:rsid w:val="39C9079C"/>
    <w:rsid w:val="39E71AEC"/>
    <w:rsid w:val="39F60058"/>
    <w:rsid w:val="3A104089"/>
    <w:rsid w:val="3AA14ABB"/>
    <w:rsid w:val="3AB8426E"/>
    <w:rsid w:val="3ACF765C"/>
    <w:rsid w:val="3AD278CD"/>
    <w:rsid w:val="3AEC4EB5"/>
    <w:rsid w:val="3AFA4BE5"/>
    <w:rsid w:val="3B144639"/>
    <w:rsid w:val="3B2A44B8"/>
    <w:rsid w:val="3B2B6476"/>
    <w:rsid w:val="3BBC038E"/>
    <w:rsid w:val="3C852047"/>
    <w:rsid w:val="3CA13116"/>
    <w:rsid w:val="3CA925AE"/>
    <w:rsid w:val="3CF877AB"/>
    <w:rsid w:val="3D306CB2"/>
    <w:rsid w:val="3D667959"/>
    <w:rsid w:val="3D8230F2"/>
    <w:rsid w:val="3D886E2C"/>
    <w:rsid w:val="3DA15114"/>
    <w:rsid w:val="3DD83D60"/>
    <w:rsid w:val="3E044CAE"/>
    <w:rsid w:val="3E7E078C"/>
    <w:rsid w:val="3EAD4174"/>
    <w:rsid w:val="3EAD7F9C"/>
    <w:rsid w:val="3EB32892"/>
    <w:rsid w:val="3EBC3336"/>
    <w:rsid w:val="3F064AE9"/>
    <w:rsid w:val="3F3B0C43"/>
    <w:rsid w:val="3F4C62B0"/>
    <w:rsid w:val="3F5160C2"/>
    <w:rsid w:val="3FB1022D"/>
    <w:rsid w:val="3FE828DE"/>
    <w:rsid w:val="402A34B8"/>
    <w:rsid w:val="40360CD1"/>
    <w:rsid w:val="40613E30"/>
    <w:rsid w:val="40736573"/>
    <w:rsid w:val="409B4A07"/>
    <w:rsid w:val="40F66678"/>
    <w:rsid w:val="4120577A"/>
    <w:rsid w:val="4167053C"/>
    <w:rsid w:val="416C3831"/>
    <w:rsid w:val="41FD121E"/>
    <w:rsid w:val="421A7627"/>
    <w:rsid w:val="4233112B"/>
    <w:rsid w:val="432F7565"/>
    <w:rsid w:val="43352B14"/>
    <w:rsid w:val="43702851"/>
    <w:rsid w:val="4424604A"/>
    <w:rsid w:val="445014AB"/>
    <w:rsid w:val="44FE409C"/>
    <w:rsid w:val="454F0B76"/>
    <w:rsid w:val="457E2BBE"/>
    <w:rsid w:val="45D43F84"/>
    <w:rsid w:val="45E076C0"/>
    <w:rsid w:val="4662498C"/>
    <w:rsid w:val="46A022D9"/>
    <w:rsid w:val="46A9554B"/>
    <w:rsid w:val="46BE1A6C"/>
    <w:rsid w:val="46D7175B"/>
    <w:rsid w:val="471B3499"/>
    <w:rsid w:val="48037A8A"/>
    <w:rsid w:val="48377D23"/>
    <w:rsid w:val="486634EE"/>
    <w:rsid w:val="48807890"/>
    <w:rsid w:val="48A64B98"/>
    <w:rsid w:val="48BC156D"/>
    <w:rsid w:val="48F765BE"/>
    <w:rsid w:val="49320F23"/>
    <w:rsid w:val="49DD73AE"/>
    <w:rsid w:val="49F95BD6"/>
    <w:rsid w:val="4A2D058F"/>
    <w:rsid w:val="4AD703A4"/>
    <w:rsid w:val="4B6D5DC5"/>
    <w:rsid w:val="4B6F7F5B"/>
    <w:rsid w:val="4B86504E"/>
    <w:rsid w:val="4BD07B58"/>
    <w:rsid w:val="4BF97BFE"/>
    <w:rsid w:val="4C3176AB"/>
    <w:rsid w:val="4C6E278E"/>
    <w:rsid w:val="4CF73C3A"/>
    <w:rsid w:val="4D7251FF"/>
    <w:rsid w:val="4E472C92"/>
    <w:rsid w:val="4E9D5C2D"/>
    <w:rsid w:val="4EBA57C1"/>
    <w:rsid w:val="4F0E39D4"/>
    <w:rsid w:val="4FA91AAC"/>
    <w:rsid w:val="4FBD0FF5"/>
    <w:rsid w:val="4FC854D7"/>
    <w:rsid w:val="50142DE1"/>
    <w:rsid w:val="5015687B"/>
    <w:rsid w:val="501926CA"/>
    <w:rsid w:val="505E3D68"/>
    <w:rsid w:val="50864577"/>
    <w:rsid w:val="5094143C"/>
    <w:rsid w:val="509C7E88"/>
    <w:rsid w:val="515C507C"/>
    <w:rsid w:val="516A440A"/>
    <w:rsid w:val="51791341"/>
    <w:rsid w:val="51C42E16"/>
    <w:rsid w:val="525351F4"/>
    <w:rsid w:val="525A6FBC"/>
    <w:rsid w:val="526C0997"/>
    <w:rsid w:val="533D33D1"/>
    <w:rsid w:val="53670B33"/>
    <w:rsid w:val="53775B6A"/>
    <w:rsid w:val="53D43855"/>
    <w:rsid w:val="53EE1101"/>
    <w:rsid w:val="53FC4E8E"/>
    <w:rsid w:val="541717DC"/>
    <w:rsid w:val="54446DEC"/>
    <w:rsid w:val="553C46BA"/>
    <w:rsid w:val="55494082"/>
    <w:rsid w:val="557D5B60"/>
    <w:rsid w:val="55834A19"/>
    <w:rsid w:val="55F526C6"/>
    <w:rsid w:val="56066DC9"/>
    <w:rsid w:val="564031D9"/>
    <w:rsid w:val="564E1228"/>
    <w:rsid w:val="56A6131D"/>
    <w:rsid w:val="56A82B00"/>
    <w:rsid w:val="56BC5AD0"/>
    <w:rsid w:val="56D00C68"/>
    <w:rsid w:val="57895A45"/>
    <w:rsid w:val="57C5313B"/>
    <w:rsid w:val="57D807D4"/>
    <w:rsid w:val="57EA7969"/>
    <w:rsid w:val="58750691"/>
    <w:rsid w:val="58AB575D"/>
    <w:rsid w:val="59445F91"/>
    <w:rsid w:val="59815208"/>
    <w:rsid w:val="59F001A4"/>
    <w:rsid w:val="5A1E2DE7"/>
    <w:rsid w:val="5B123FA7"/>
    <w:rsid w:val="5B264EAA"/>
    <w:rsid w:val="5B613C0E"/>
    <w:rsid w:val="5B913B2C"/>
    <w:rsid w:val="5BCA6564"/>
    <w:rsid w:val="5C1E3775"/>
    <w:rsid w:val="5C381264"/>
    <w:rsid w:val="5C672644"/>
    <w:rsid w:val="5C8132C7"/>
    <w:rsid w:val="5CA23A25"/>
    <w:rsid w:val="5CC26330"/>
    <w:rsid w:val="5CD67F41"/>
    <w:rsid w:val="5D017C51"/>
    <w:rsid w:val="5D463591"/>
    <w:rsid w:val="5D4F2A78"/>
    <w:rsid w:val="5D792AE4"/>
    <w:rsid w:val="5DAC3635"/>
    <w:rsid w:val="5DF91E52"/>
    <w:rsid w:val="5E2F58D3"/>
    <w:rsid w:val="5E4222CF"/>
    <w:rsid w:val="5E5A06FD"/>
    <w:rsid w:val="5E6D3270"/>
    <w:rsid w:val="5E9342EC"/>
    <w:rsid w:val="5F1E4EC5"/>
    <w:rsid w:val="5F3815EE"/>
    <w:rsid w:val="5F5C32D6"/>
    <w:rsid w:val="600E788A"/>
    <w:rsid w:val="602C0F1F"/>
    <w:rsid w:val="60375D41"/>
    <w:rsid w:val="604130CF"/>
    <w:rsid w:val="60794FD4"/>
    <w:rsid w:val="60814FEF"/>
    <w:rsid w:val="60D32F5A"/>
    <w:rsid w:val="610E2B4C"/>
    <w:rsid w:val="61DE43D4"/>
    <w:rsid w:val="61E06967"/>
    <w:rsid w:val="624216A0"/>
    <w:rsid w:val="626736F9"/>
    <w:rsid w:val="628E1BE9"/>
    <w:rsid w:val="62D06FF9"/>
    <w:rsid w:val="62D765EB"/>
    <w:rsid w:val="636B22CC"/>
    <w:rsid w:val="637F4381"/>
    <w:rsid w:val="63B65AC7"/>
    <w:rsid w:val="63D7428B"/>
    <w:rsid w:val="640C4C0D"/>
    <w:rsid w:val="645830D7"/>
    <w:rsid w:val="647258C3"/>
    <w:rsid w:val="64AA2E73"/>
    <w:rsid w:val="64E8446E"/>
    <w:rsid w:val="65376B47"/>
    <w:rsid w:val="654042F5"/>
    <w:rsid w:val="660447CA"/>
    <w:rsid w:val="665622BC"/>
    <w:rsid w:val="665E5759"/>
    <w:rsid w:val="666C4EE6"/>
    <w:rsid w:val="66FB0FDC"/>
    <w:rsid w:val="66FC5AFF"/>
    <w:rsid w:val="67BA7741"/>
    <w:rsid w:val="680D0CA5"/>
    <w:rsid w:val="684539A1"/>
    <w:rsid w:val="68A45648"/>
    <w:rsid w:val="68A5668C"/>
    <w:rsid w:val="6911241F"/>
    <w:rsid w:val="69145B6D"/>
    <w:rsid w:val="691722BE"/>
    <w:rsid w:val="6918360E"/>
    <w:rsid w:val="69B67115"/>
    <w:rsid w:val="69EF53B4"/>
    <w:rsid w:val="6A126DD2"/>
    <w:rsid w:val="6A254DE4"/>
    <w:rsid w:val="6A420E56"/>
    <w:rsid w:val="6A924E32"/>
    <w:rsid w:val="6A94008C"/>
    <w:rsid w:val="6AC954A6"/>
    <w:rsid w:val="6AE60947"/>
    <w:rsid w:val="6B0B374F"/>
    <w:rsid w:val="6B1F0CCB"/>
    <w:rsid w:val="6B6234E5"/>
    <w:rsid w:val="6BBD11F5"/>
    <w:rsid w:val="6BD12800"/>
    <w:rsid w:val="6C5E02FC"/>
    <w:rsid w:val="6C721812"/>
    <w:rsid w:val="6C8B0F52"/>
    <w:rsid w:val="6C967106"/>
    <w:rsid w:val="6CDD0DD0"/>
    <w:rsid w:val="6D0127E4"/>
    <w:rsid w:val="6D19028F"/>
    <w:rsid w:val="6D1C168A"/>
    <w:rsid w:val="6D3668DD"/>
    <w:rsid w:val="6DB941BD"/>
    <w:rsid w:val="6E0365A1"/>
    <w:rsid w:val="6E5F1098"/>
    <w:rsid w:val="6EA41FA2"/>
    <w:rsid w:val="6F381CAC"/>
    <w:rsid w:val="6F9C6902"/>
    <w:rsid w:val="6FA0729C"/>
    <w:rsid w:val="70100CA2"/>
    <w:rsid w:val="70393572"/>
    <w:rsid w:val="70A24D48"/>
    <w:rsid w:val="70BA64EF"/>
    <w:rsid w:val="70C900DF"/>
    <w:rsid w:val="71326D32"/>
    <w:rsid w:val="713623DF"/>
    <w:rsid w:val="715A596A"/>
    <w:rsid w:val="717C247D"/>
    <w:rsid w:val="71816B8E"/>
    <w:rsid w:val="71832D29"/>
    <w:rsid w:val="71907818"/>
    <w:rsid w:val="71E95916"/>
    <w:rsid w:val="7250588C"/>
    <w:rsid w:val="726F5278"/>
    <w:rsid w:val="727E786A"/>
    <w:rsid w:val="72BD0544"/>
    <w:rsid w:val="72C0472D"/>
    <w:rsid w:val="72D11D5C"/>
    <w:rsid w:val="72E85DAD"/>
    <w:rsid w:val="730B14BE"/>
    <w:rsid w:val="732303D9"/>
    <w:rsid w:val="733A6A18"/>
    <w:rsid w:val="73532CC9"/>
    <w:rsid w:val="744975DD"/>
    <w:rsid w:val="746920A5"/>
    <w:rsid w:val="74C52CCA"/>
    <w:rsid w:val="74DE73F5"/>
    <w:rsid w:val="752A7E05"/>
    <w:rsid w:val="755169C7"/>
    <w:rsid w:val="75D07F8B"/>
    <w:rsid w:val="75EE5669"/>
    <w:rsid w:val="76957051"/>
    <w:rsid w:val="76BF34B5"/>
    <w:rsid w:val="773E064E"/>
    <w:rsid w:val="774E1211"/>
    <w:rsid w:val="777B71D8"/>
    <w:rsid w:val="77A54D53"/>
    <w:rsid w:val="77FC6767"/>
    <w:rsid w:val="781A0BEC"/>
    <w:rsid w:val="78202415"/>
    <w:rsid w:val="78213FC9"/>
    <w:rsid w:val="783B1525"/>
    <w:rsid w:val="78701D9C"/>
    <w:rsid w:val="7A0C1011"/>
    <w:rsid w:val="7A0E7A81"/>
    <w:rsid w:val="7A321CDB"/>
    <w:rsid w:val="7A6E32C8"/>
    <w:rsid w:val="7AC900CF"/>
    <w:rsid w:val="7B052FBD"/>
    <w:rsid w:val="7B5A5A6C"/>
    <w:rsid w:val="7B5C250E"/>
    <w:rsid w:val="7B5D162F"/>
    <w:rsid w:val="7B6D0F87"/>
    <w:rsid w:val="7B783FD8"/>
    <w:rsid w:val="7B9A3DB8"/>
    <w:rsid w:val="7BF20E1E"/>
    <w:rsid w:val="7C9408F4"/>
    <w:rsid w:val="7CB90CC2"/>
    <w:rsid w:val="7CD20C3B"/>
    <w:rsid w:val="7CFB2CE9"/>
    <w:rsid w:val="7D212CA5"/>
    <w:rsid w:val="7D255EE2"/>
    <w:rsid w:val="7D293184"/>
    <w:rsid w:val="7D69777E"/>
    <w:rsid w:val="7DB34706"/>
    <w:rsid w:val="7E1A0A9F"/>
    <w:rsid w:val="7E3C401A"/>
    <w:rsid w:val="7E641213"/>
    <w:rsid w:val="7E64269E"/>
    <w:rsid w:val="7EF34773"/>
    <w:rsid w:val="7F0D08DC"/>
    <w:rsid w:val="7F4029E3"/>
    <w:rsid w:val="7F714EE5"/>
    <w:rsid w:val="7F7F2734"/>
    <w:rsid w:val="7FA63F96"/>
    <w:rsid w:val="7FB9287C"/>
    <w:rsid w:val="7FCC47FD"/>
    <w:rsid w:val="7FFB1B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6"/>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5"/>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0"/>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7"/>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7"/>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7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Normal Indent"/>
    <w:basedOn w:val="1"/>
    <w:link w:val="67"/>
    <w:qFormat/>
    <w:uiPriority w:val="0"/>
    <w:pPr>
      <w:ind w:firstLine="420" w:firstLineChars="200"/>
    </w:pPr>
  </w:style>
  <w:style w:type="paragraph" w:styleId="13">
    <w:name w:val="Document Map"/>
    <w:basedOn w:val="1"/>
    <w:link w:val="74"/>
    <w:qFormat/>
    <w:uiPriority w:val="0"/>
    <w:pPr>
      <w:shd w:val="clear" w:color="auto" w:fill="000080"/>
    </w:pPr>
    <w:rPr>
      <w:kern w:val="0"/>
      <w:sz w:val="20"/>
    </w:rPr>
  </w:style>
  <w:style w:type="paragraph" w:styleId="14">
    <w:name w:val="annotation text"/>
    <w:basedOn w:val="1"/>
    <w:link w:val="56"/>
    <w:unhideWhenUsed/>
    <w:qFormat/>
    <w:uiPriority w:val="99"/>
    <w:pPr>
      <w:jc w:val="left"/>
    </w:pPr>
    <w:rPr>
      <w:kern w:val="0"/>
      <w:sz w:val="20"/>
    </w:rPr>
  </w:style>
  <w:style w:type="paragraph" w:styleId="15">
    <w:name w:val="Body Text 3"/>
    <w:basedOn w:val="1"/>
    <w:link w:val="60"/>
    <w:qFormat/>
    <w:uiPriority w:val="0"/>
    <w:rPr>
      <w:rFonts w:ascii="宋体"/>
      <w:kern w:val="0"/>
      <w:sz w:val="24"/>
      <w:szCs w:val="20"/>
    </w:rPr>
  </w:style>
  <w:style w:type="paragraph" w:styleId="16">
    <w:name w:val="Body Text"/>
    <w:basedOn w:val="1"/>
    <w:next w:val="1"/>
    <w:link w:val="63"/>
    <w:qFormat/>
    <w:uiPriority w:val="0"/>
    <w:pPr>
      <w:spacing w:after="120"/>
    </w:pPr>
    <w:rPr>
      <w:kern w:val="0"/>
      <w:sz w:val="20"/>
    </w:rPr>
  </w:style>
  <w:style w:type="paragraph" w:styleId="17">
    <w:name w:val="Body Text Indent"/>
    <w:basedOn w:val="1"/>
    <w:link w:val="73"/>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6"/>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0"/>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8"/>
    <w:qFormat/>
    <w:uiPriority w:val="0"/>
    <w:rPr>
      <w:kern w:val="0"/>
      <w:sz w:val="18"/>
      <w:szCs w:val="18"/>
    </w:rPr>
  </w:style>
  <w:style w:type="paragraph" w:styleId="26">
    <w:name w:val="footer"/>
    <w:basedOn w:val="1"/>
    <w:link w:val="92"/>
    <w:qFormat/>
    <w:uiPriority w:val="99"/>
    <w:pPr>
      <w:tabs>
        <w:tab w:val="center" w:pos="4153"/>
        <w:tab w:val="right" w:pos="8306"/>
      </w:tabs>
      <w:snapToGrid w:val="0"/>
      <w:jc w:val="left"/>
    </w:pPr>
    <w:rPr>
      <w:kern w:val="0"/>
      <w:sz w:val="18"/>
      <w:szCs w:val="18"/>
    </w:rPr>
  </w:style>
  <w:style w:type="paragraph" w:styleId="27">
    <w:name w:val="header"/>
    <w:basedOn w:val="1"/>
    <w:link w:val="70"/>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4"/>
    <w:basedOn w:val="1"/>
    <w:next w:val="1"/>
    <w:qFormat/>
    <w:uiPriority w:val="39"/>
    <w:pPr>
      <w:ind w:left="630"/>
      <w:jc w:val="left"/>
    </w:pPr>
    <w:rPr>
      <w:rFonts w:ascii="Calibri" w:hAnsi="Calibri"/>
      <w:sz w:val="18"/>
      <w:szCs w:val="18"/>
    </w:rPr>
  </w:style>
  <w:style w:type="paragraph" w:styleId="29">
    <w:name w:val="footnote text"/>
    <w:basedOn w:val="1"/>
    <w:link w:val="64"/>
    <w:qFormat/>
    <w:uiPriority w:val="0"/>
    <w:rPr>
      <w:kern w:val="0"/>
      <w:sz w:val="20"/>
      <w:szCs w:val="20"/>
    </w:rPr>
  </w:style>
  <w:style w:type="paragraph" w:styleId="30">
    <w:name w:val="toc 6"/>
    <w:basedOn w:val="1"/>
    <w:next w:val="1"/>
    <w:qFormat/>
    <w:uiPriority w:val="39"/>
    <w:pPr>
      <w:ind w:left="1050"/>
      <w:jc w:val="left"/>
    </w:pPr>
    <w:rPr>
      <w:rFonts w:ascii="Calibri" w:hAnsi="Calibri"/>
      <w:sz w:val="18"/>
      <w:szCs w:val="18"/>
    </w:rPr>
  </w:style>
  <w:style w:type="paragraph" w:styleId="31">
    <w:name w:val="Body Text Indent 3"/>
    <w:basedOn w:val="1"/>
    <w:link w:val="84"/>
    <w:qFormat/>
    <w:uiPriority w:val="0"/>
    <w:pPr>
      <w:spacing w:after="120"/>
      <w:ind w:left="420" w:leftChars="200"/>
    </w:pPr>
    <w:rPr>
      <w:kern w:val="0"/>
      <w:sz w:val="16"/>
      <w:szCs w:val="16"/>
    </w:rPr>
  </w:style>
  <w:style w:type="paragraph" w:styleId="32">
    <w:name w:val="table of figures"/>
    <w:basedOn w:val="1"/>
    <w:next w:val="1"/>
    <w:qFormat/>
    <w:uiPriority w:val="0"/>
    <w:pPr>
      <w:ind w:left="200" w:leftChars="200" w:hanging="200" w:hangingChars="200"/>
    </w:pPr>
  </w:style>
  <w:style w:type="paragraph" w:styleId="33">
    <w:name w:val="toc 2"/>
    <w:basedOn w:val="1"/>
    <w:next w:val="1"/>
    <w:qFormat/>
    <w:uiPriority w:val="39"/>
    <w:pPr>
      <w:ind w:left="210"/>
      <w:jc w:val="left"/>
    </w:pPr>
    <w:rPr>
      <w:rFonts w:ascii="Calibri" w:hAnsi="Calibri"/>
      <w:smallCaps/>
      <w:sz w:val="20"/>
      <w:szCs w:val="20"/>
    </w:rPr>
  </w:style>
  <w:style w:type="paragraph" w:styleId="34">
    <w:name w:val="toc 9"/>
    <w:basedOn w:val="1"/>
    <w:next w:val="1"/>
    <w:qFormat/>
    <w:uiPriority w:val="39"/>
    <w:pPr>
      <w:ind w:left="1680"/>
      <w:jc w:val="left"/>
    </w:pPr>
    <w:rPr>
      <w:rFonts w:ascii="Calibri" w:hAnsi="Calibri"/>
      <w:sz w:val="18"/>
      <w:szCs w:val="18"/>
    </w:rPr>
  </w:style>
  <w:style w:type="paragraph" w:styleId="35">
    <w:name w:val="HTML Preformatted"/>
    <w:basedOn w:val="1"/>
    <w:link w:val="9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7">
    <w:name w:val="index 1"/>
    <w:basedOn w:val="1"/>
    <w:next w:val="1"/>
    <w:semiHidden/>
    <w:qFormat/>
    <w:uiPriority w:val="0"/>
    <w:pPr>
      <w:spacing w:line="360" w:lineRule="auto"/>
      <w:jc w:val="center"/>
    </w:pPr>
    <w:rPr>
      <w:rFonts w:ascii="宋体" w:hAnsi="Arial" w:cs="Arial"/>
      <w:b/>
      <w:color w:val="000000"/>
      <w:sz w:val="24"/>
    </w:rPr>
  </w:style>
  <w:style w:type="paragraph" w:styleId="38">
    <w:name w:val="Title"/>
    <w:basedOn w:val="1"/>
    <w:link w:val="7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4"/>
    <w:next w:val="14"/>
    <w:link w:val="66"/>
    <w:qFormat/>
    <w:uiPriority w:val="0"/>
    <w:rPr>
      <w:b/>
      <w:bCs/>
    </w:rPr>
  </w:style>
  <w:style w:type="paragraph" w:styleId="40">
    <w:name w:val="Body Text First Indent"/>
    <w:basedOn w:val="16"/>
    <w:qFormat/>
    <w:uiPriority w:val="0"/>
    <w:pPr>
      <w:adjustRightInd w:val="0"/>
      <w:spacing w:line="275" w:lineRule="atLeast"/>
      <w:ind w:firstLine="420"/>
      <w:textAlignment w:val="baseline"/>
    </w:pPr>
    <w:rPr>
      <w:rFonts w:ascii="宋体" w:eastAsia="楷体_GB2312"/>
      <w:sz w:val="24"/>
      <w:szCs w:val="20"/>
    </w:rPr>
  </w:style>
  <w:style w:type="table" w:styleId="42">
    <w:name w:val="Table Grid"/>
    <w:basedOn w:val="41"/>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qFormat/>
    <w:uiPriority w:val="0"/>
  </w:style>
  <w:style w:type="character" w:styleId="46">
    <w:name w:val="FollowedHyperlink"/>
    <w:qFormat/>
    <w:uiPriority w:val="0"/>
    <w:rPr>
      <w:rFonts w:hint="default" w:ascii="Arial" w:hAnsi="Arial" w:eastAsia="Arial" w:cs="Arial"/>
      <w:color w:val="333333"/>
      <w:sz w:val="21"/>
      <w:szCs w:val="21"/>
      <w:u w:val="none"/>
    </w:rPr>
  </w:style>
  <w:style w:type="character" w:styleId="47">
    <w:name w:val="Hyperlink"/>
    <w:qFormat/>
    <w:uiPriority w:val="99"/>
    <w:rPr>
      <w:rFonts w:ascii="Arial" w:hAnsi="Arial" w:eastAsia="Arial" w:cs="Arial"/>
      <w:color w:val="333333"/>
      <w:sz w:val="21"/>
      <w:szCs w:val="21"/>
      <w:u w:val="none"/>
    </w:rPr>
  </w:style>
  <w:style w:type="character" w:styleId="48">
    <w:name w:val="annotation reference"/>
    <w:qFormat/>
    <w:uiPriority w:val="0"/>
    <w:rPr>
      <w:sz w:val="21"/>
      <w:szCs w:val="21"/>
    </w:rPr>
  </w:style>
  <w:style w:type="character" w:styleId="49">
    <w:name w:val="footnote reference"/>
    <w:qFormat/>
    <w:uiPriority w:val="0"/>
    <w:rPr>
      <w:vertAlign w:val="superscript"/>
    </w:rPr>
  </w:style>
  <w:style w:type="paragraph" w:customStyle="1" w:styleId="5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1">
    <w:name w:val="apple-style-span"/>
    <w:qFormat/>
    <w:uiPriority w:val="0"/>
    <w:rPr>
      <w:rFonts w:ascii="Verdana" w:hAnsi="Verdana" w:eastAsia="宋体"/>
      <w:sz w:val="21"/>
      <w:lang w:val="en-US" w:eastAsia="en-US" w:bidi="ar-SA"/>
    </w:rPr>
  </w:style>
  <w:style w:type="character" w:customStyle="1" w:styleId="52">
    <w:name w:val="正文文本 3 Char1"/>
    <w:semiHidden/>
    <w:qFormat/>
    <w:uiPriority w:val="99"/>
    <w:rPr>
      <w:rFonts w:ascii="Times New Roman" w:hAnsi="Times New Roman" w:eastAsia="宋体" w:cs="Times New Roman"/>
      <w:sz w:val="16"/>
      <w:szCs w:val="16"/>
    </w:rPr>
  </w:style>
  <w:style w:type="character" w:customStyle="1" w:styleId="53">
    <w:name w:val="样式 宋体"/>
    <w:qFormat/>
    <w:uiPriority w:val="0"/>
    <w:rPr>
      <w:rFonts w:ascii="Times New Roman" w:hAnsi="Times New Roman" w:eastAsia="宋体"/>
      <w:sz w:val="21"/>
    </w:rPr>
  </w:style>
  <w:style w:type="character" w:customStyle="1" w:styleId="54">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5">
    <w:name w:val="标题 3 字符"/>
    <w:link w:val="5"/>
    <w:qFormat/>
    <w:uiPriority w:val="0"/>
    <w:rPr>
      <w:rFonts w:ascii="Times New Roman" w:hAnsi="Times New Roman" w:eastAsia="宋体" w:cs="Times New Roman"/>
      <w:b/>
      <w:bCs/>
      <w:sz w:val="32"/>
      <w:szCs w:val="32"/>
    </w:rPr>
  </w:style>
  <w:style w:type="character" w:customStyle="1" w:styleId="56">
    <w:name w:val="批注文字 字符"/>
    <w:link w:val="14"/>
    <w:semiHidden/>
    <w:qFormat/>
    <w:uiPriority w:val="99"/>
    <w:rPr>
      <w:rFonts w:ascii="Times New Roman" w:hAnsi="Times New Roman" w:eastAsia="宋体" w:cs="Times New Roman"/>
      <w:szCs w:val="24"/>
    </w:rPr>
  </w:style>
  <w:style w:type="character" w:customStyle="1" w:styleId="57">
    <w:name w:val="标题 6 字符"/>
    <w:link w:val="7"/>
    <w:qFormat/>
    <w:uiPriority w:val="0"/>
    <w:rPr>
      <w:rFonts w:ascii="Arial" w:hAnsi="Arial" w:eastAsia="黑体" w:cs="Times New Roman"/>
      <w:b/>
      <w:bCs/>
      <w:kern w:val="0"/>
      <w:sz w:val="24"/>
      <w:szCs w:val="24"/>
    </w:rPr>
  </w:style>
  <w:style w:type="character" w:customStyle="1" w:styleId="58">
    <w:name w:val="Char Char8"/>
    <w:qFormat/>
    <w:uiPriority w:val="0"/>
    <w:rPr>
      <w:rFonts w:ascii="Arial" w:hAnsi="Arial" w:eastAsia="黑体"/>
      <w:b/>
      <w:bCs/>
      <w:kern w:val="2"/>
      <w:sz w:val="32"/>
      <w:szCs w:val="32"/>
      <w:lang w:val="en-US" w:eastAsia="zh-CN" w:bidi="ar-SA"/>
    </w:rPr>
  </w:style>
  <w:style w:type="character" w:customStyle="1" w:styleId="59">
    <w:name w:val="脚注文本 Char1"/>
    <w:semiHidden/>
    <w:qFormat/>
    <w:uiPriority w:val="99"/>
    <w:rPr>
      <w:rFonts w:ascii="Times New Roman" w:hAnsi="Times New Roman" w:eastAsia="宋体" w:cs="Times New Roman"/>
      <w:sz w:val="18"/>
      <w:szCs w:val="18"/>
    </w:rPr>
  </w:style>
  <w:style w:type="character" w:customStyle="1" w:styleId="60">
    <w:name w:val="正文文本 3 字符"/>
    <w:link w:val="15"/>
    <w:qFormat/>
    <w:uiPriority w:val="0"/>
    <w:rPr>
      <w:rFonts w:ascii="宋体"/>
      <w:sz w:val="24"/>
    </w:rPr>
  </w:style>
  <w:style w:type="character" w:customStyle="1" w:styleId="61">
    <w:name w:val="页脚 Char1"/>
    <w:semiHidden/>
    <w:qFormat/>
    <w:uiPriority w:val="99"/>
    <w:rPr>
      <w:rFonts w:ascii="Times New Roman" w:hAnsi="Times New Roman" w:eastAsia="宋体" w:cs="Times New Roman"/>
      <w:sz w:val="18"/>
      <w:szCs w:val="18"/>
    </w:rPr>
  </w:style>
  <w:style w:type="character" w:customStyle="1" w:styleId="62">
    <w:name w:val="标题 Char1"/>
    <w:qFormat/>
    <w:uiPriority w:val="10"/>
    <w:rPr>
      <w:rFonts w:ascii="Calibri Light" w:hAnsi="Calibri Light" w:eastAsia="宋体" w:cs="Times New Roman"/>
      <w:b/>
      <w:bCs/>
      <w:sz w:val="32"/>
      <w:szCs w:val="32"/>
    </w:rPr>
  </w:style>
  <w:style w:type="character" w:customStyle="1" w:styleId="63">
    <w:name w:val="正文文本 字符"/>
    <w:link w:val="16"/>
    <w:qFormat/>
    <w:uiPriority w:val="0"/>
    <w:rPr>
      <w:rFonts w:eastAsia="宋体"/>
      <w:szCs w:val="24"/>
    </w:rPr>
  </w:style>
  <w:style w:type="character" w:customStyle="1" w:styleId="64">
    <w:name w:val="脚注文本 字符"/>
    <w:link w:val="29"/>
    <w:qFormat/>
    <w:uiPriority w:val="0"/>
    <w:rPr>
      <w:rFonts w:eastAsia="宋体"/>
    </w:rPr>
  </w:style>
  <w:style w:type="character" w:customStyle="1" w:styleId="65">
    <w:name w:val="纯文本 Char1"/>
    <w:semiHidden/>
    <w:qFormat/>
    <w:uiPriority w:val="99"/>
    <w:rPr>
      <w:rFonts w:ascii="宋体" w:hAnsi="Courier New" w:eastAsia="宋体" w:cs="Courier New"/>
      <w:szCs w:val="21"/>
    </w:rPr>
  </w:style>
  <w:style w:type="character" w:customStyle="1" w:styleId="66">
    <w:name w:val="批注主题 字符"/>
    <w:link w:val="39"/>
    <w:qFormat/>
    <w:uiPriority w:val="0"/>
    <w:rPr>
      <w:rFonts w:ascii="Times New Roman" w:hAnsi="Times New Roman" w:eastAsia="宋体" w:cs="Times New Roman"/>
      <w:b/>
      <w:bCs/>
      <w:szCs w:val="24"/>
    </w:rPr>
  </w:style>
  <w:style w:type="character" w:customStyle="1" w:styleId="67">
    <w:name w:val="正文缩进 字符"/>
    <w:link w:val="12"/>
    <w:qFormat/>
    <w:locked/>
    <w:uiPriority w:val="0"/>
    <w:rPr>
      <w:kern w:val="2"/>
      <w:sz w:val="21"/>
      <w:szCs w:val="24"/>
    </w:rPr>
  </w:style>
  <w:style w:type="character" w:customStyle="1" w:styleId="68">
    <w:name w:val="font11"/>
    <w:qFormat/>
    <w:uiPriority w:val="0"/>
    <w:rPr>
      <w:rFonts w:hint="default" w:ascii="Times New Roman" w:hAnsi="Times New Roman" w:cs="Times New Roman"/>
      <w:color w:val="000000"/>
      <w:sz w:val="22"/>
      <w:szCs w:val="22"/>
      <w:u w:val="none"/>
    </w:rPr>
  </w:style>
  <w:style w:type="character" w:customStyle="1" w:styleId="69">
    <w:name w:val="font01"/>
    <w:qFormat/>
    <w:uiPriority w:val="0"/>
    <w:rPr>
      <w:rFonts w:hint="eastAsia" w:ascii="宋体" w:hAnsi="宋体" w:eastAsia="宋体" w:cs="宋体"/>
      <w:color w:val="000000"/>
      <w:sz w:val="22"/>
      <w:szCs w:val="22"/>
      <w:u w:val="none"/>
    </w:rPr>
  </w:style>
  <w:style w:type="character" w:customStyle="1" w:styleId="70">
    <w:name w:val="页眉 字符"/>
    <w:link w:val="27"/>
    <w:qFormat/>
    <w:uiPriority w:val="0"/>
    <w:rPr>
      <w:rFonts w:ascii="Times New Roman" w:hAnsi="Times New Roman" w:eastAsia="宋体" w:cs="Times New Roman"/>
      <w:sz w:val="18"/>
      <w:szCs w:val="18"/>
    </w:rPr>
  </w:style>
  <w:style w:type="character" w:customStyle="1" w:styleId="71">
    <w:name w:val="标题 9 字符"/>
    <w:link w:val="10"/>
    <w:qFormat/>
    <w:uiPriority w:val="0"/>
    <w:rPr>
      <w:rFonts w:ascii="Arial" w:hAnsi="Arial" w:eastAsia="黑体" w:cs="Times New Roman"/>
      <w:kern w:val="0"/>
      <w:szCs w:val="21"/>
    </w:rPr>
  </w:style>
  <w:style w:type="character" w:customStyle="1" w:styleId="72">
    <w:name w:val="标题 2 Char1"/>
    <w:qFormat/>
    <w:uiPriority w:val="0"/>
    <w:rPr>
      <w:rFonts w:ascii="Arial" w:hAnsi="Arial" w:eastAsia="黑体" w:cs="Times New Roman"/>
      <w:b/>
      <w:bCs/>
      <w:sz w:val="32"/>
      <w:szCs w:val="32"/>
      <w:lang w:val="en-US" w:eastAsia="en-US" w:bidi="ar-SA"/>
    </w:rPr>
  </w:style>
  <w:style w:type="character" w:customStyle="1" w:styleId="73">
    <w:name w:val="正文文本缩进 字符"/>
    <w:link w:val="17"/>
    <w:qFormat/>
    <w:uiPriority w:val="0"/>
    <w:rPr>
      <w:szCs w:val="24"/>
    </w:rPr>
  </w:style>
  <w:style w:type="character" w:customStyle="1" w:styleId="74">
    <w:name w:val="文档结构图 字符"/>
    <w:link w:val="13"/>
    <w:qFormat/>
    <w:uiPriority w:val="0"/>
    <w:rPr>
      <w:rFonts w:ascii="Times New Roman" w:hAnsi="Times New Roman" w:eastAsia="宋体" w:cs="Times New Roman"/>
      <w:szCs w:val="24"/>
      <w:shd w:val="clear" w:color="auto" w:fill="000080"/>
    </w:rPr>
  </w:style>
  <w:style w:type="character" w:customStyle="1" w:styleId="75">
    <w:name w:val="font161"/>
    <w:qFormat/>
    <w:uiPriority w:val="0"/>
    <w:rPr>
      <w:b/>
      <w:bCs/>
      <w:sz w:val="32"/>
      <w:szCs w:val="32"/>
    </w:rPr>
  </w:style>
  <w:style w:type="character" w:customStyle="1" w:styleId="76">
    <w:name w:val="标题 2 字符"/>
    <w:link w:val="4"/>
    <w:qFormat/>
    <w:uiPriority w:val="0"/>
    <w:rPr>
      <w:rFonts w:ascii="Arial" w:hAnsi="Arial" w:eastAsia="黑体" w:cs="Times New Roman"/>
      <w:b/>
      <w:bCs/>
      <w:sz w:val="32"/>
      <w:szCs w:val="32"/>
    </w:rPr>
  </w:style>
  <w:style w:type="character" w:customStyle="1" w:styleId="77">
    <w:name w:val="标题 字符"/>
    <w:link w:val="38"/>
    <w:qFormat/>
    <w:uiPriority w:val="0"/>
    <w:rPr>
      <w:rFonts w:ascii="Arial" w:hAnsi="Arial"/>
      <w:b/>
      <w:sz w:val="32"/>
    </w:rPr>
  </w:style>
  <w:style w:type="character" w:customStyle="1" w:styleId="78">
    <w:name w:val="批注框文本 字符"/>
    <w:link w:val="25"/>
    <w:qFormat/>
    <w:uiPriority w:val="0"/>
    <w:rPr>
      <w:rFonts w:ascii="Times New Roman" w:hAnsi="Times New Roman" w:eastAsia="宋体" w:cs="Times New Roman"/>
      <w:sz w:val="18"/>
      <w:szCs w:val="18"/>
    </w:rPr>
  </w:style>
  <w:style w:type="character" w:customStyle="1" w:styleId="79">
    <w:name w:val="标题 8 字符"/>
    <w:link w:val="9"/>
    <w:qFormat/>
    <w:uiPriority w:val="0"/>
    <w:rPr>
      <w:rFonts w:ascii="Arial" w:hAnsi="Arial" w:eastAsia="黑体" w:cs="Times New Roman"/>
      <w:kern w:val="0"/>
      <w:sz w:val="24"/>
      <w:szCs w:val="24"/>
    </w:rPr>
  </w:style>
  <w:style w:type="character" w:customStyle="1" w:styleId="80">
    <w:name w:val="日期 字符"/>
    <w:link w:val="23"/>
    <w:qFormat/>
    <w:uiPriority w:val="0"/>
    <w:rPr>
      <w:rFonts w:ascii="Times New Roman" w:hAnsi="Times New Roman" w:eastAsia="宋体" w:cs="Times New Roman"/>
      <w:sz w:val="24"/>
      <w:szCs w:val="20"/>
    </w:rPr>
  </w:style>
  <w:style w:type="character" w:customStyle="1" w:styleId="81">
    <w:name w:val="标题 1 字符"/>
    <w:link w:val="3"/>
    <w:qFormat/>
    <w:uiPriority w:val="0"/>
    <w:rPr>
      <w:rFonts w:ascii="Times New Roman" w:hAnsi="Times New Roman" w:eastAsia="宋体" w:cs="Times New Roman"/>
      <w:b/>
      <w:bCs/>
      <w:kern w:val="44"/>
      <w:sz w:val="44"/>
      <w:szCs w:val="44"/>
    </w:rPr>
  </w:style>
  <w:style w:type="character" w:customStyle="1" w:styleId="82">
    <w:name w:val="招标节 Char"/>
    <w:link w:val="83"/>
    <w:qFormat/>
    <w:locked/>
    <w:uiPriority w:val="0"/>
    <w:rPr>
      <w:b/>
      <w:sz w:val="24"/>
      <w:szCs w:val="24"/>
    </w:rPr>
  </w:style>
  <w:style w:type="paragraph" w:customStyle="1" w:styleId="83">
    <w:name w:val="招标节"/>
    <w:basedOn w:val="1"/>
    <w:next w:val="1"/>
    <w:link w:val="82"/>
    <w:qFormat/>
    <w:uiPriority w:val="0"/>
    <w:pPr>
      <w:spacing w:beforeLines="50" w:afterLines="50"/>
      <w:outlineLvl w:val="1"/>
    </w:pPr>
    <w:rPr>
      <w:b/>
      <w:kern w:val="0"/>
      <w:sz w:val="24"/>
    </w:rPr>
  </w:style>
  <w:style w:type="character" w:customStyle="1" w:styleId="84">
    <w:name w:val="正文文本缩进 3 字符"/>
    <w:link w:val="31"/>
    <w:qFormat/>
    <w:uiPriority w:val="0"/>
    <w:rPr>
      <w:rFonts w:ascii="Times New Roman" w:hAnsi="Times New Roman" w:eastAsia="宋体" w:cs="Times New Roman"/>
      <w:sz w:val="16"/>
      <w:szCs w:val="16"/>
    </w:rPr>
  </w:style>
  <w:style w:type="character" w:customStyle="1" w:styleId="85">
    <w:name w:val="tpc_content1"/>
    <w:qFormat/>
    <w:uiPriority w:val="0"/>
    <w:rPr>
      <w:sz w:val="20"/>
      <w:szCs w:val="20"/>
    </w:rPr>
  </w:style>
  <w:style w:type="character" w:customStyle="1" w:styleId="86">
    <w:name w:val="Char Char"/>
    <w:qFormat/>
    <w:uiPriority w:val="0"/>
    <w:rPr>
      <w:rFonts w:ascii="Arial" w:hAnsi="Arial" w:eastAsia="黑体"/>
      <w:b/>
      <w:bCs/>
      <w:kern w:val="2"/>
      <w:sz w:val="32"/>
      <w:szCs w:val="32"/>
      <w:lang w:val="en-US" w:eastAsia="zh-CN" w:bidi="ar-SA"/>
    </w:rPr>
  </w:style>
  <w:style w:type="character" w:customStyle="1" w:styleId="87">
    <w:name w:val="正文文本 Char1"/>
    <w:semiHidden/>
    <w:qFormat/>
    <w:uiPriority w:val="99"/>
    <w:rPr>
      <w:rFonts w:ascii="Times New Roman" w:hAnsi="Times New Roman" w:eastAsia="宋体" w:cs="Times New Roman"/>
      <w:szCs w:val="24"/>
    </w:rPr>
  </w:style>
  <w:style w:type="character" w:customStyle="1" w:styleId="88">
    <w:name w:val="Char Char2"/>
    <w:qFormat/>
    <w:uiPriority w:val="0"/>
    <w:rPr>
      <w:rFonts w:eastAsia="宋体"/>
      <w:kern w:val="2"/>
      <w:sz w:val="21"/>
      <w:szCs w:val="24"/>
      <w:lang w:val="en-US" w:eastAsia="zh-CN" w:bidi="ar-SA"/>
    </w:rPr>
  </w:style>
  <w:style w:type="character" w:customStyle="1" w:styleId="89">
    <w:name w:val="apple-converted-space"/>
    <w:qFormat/>
    <w:uiPriority w:val="0"/>
  </w:style>
  <w:style w:type="character" w:customStyle="1" w:styleId="90">
    <w:name w:val="标题 4 字符"/>
    <w:link w:val="6"/>
    <w:qFormat/>
    <w:uiPriority w:val="0"/>
    <w:rPr>
      <w:rFonts w:ascii="Arial" w:hAnsi="Arial" w:eastAsia="黑体" w:cs="Times New Roman"/>
      <w:b/>
      <w:bCs/>
      <w:sz w:val="28"/>
      <w:szCs w:val="28"/>
    </w:rPr>
  </w:style>
  <w:style w:type="character" w:customStyle="1" w:styleId="91">
    <w:name w:val="正文文本缩进 Char1"/>
    <w:semiHidden/>
    <w:qFormat/>
    <w:uiPriority w:val="99"/>
    <w:rPr>
      <w:rFonts w:ascii="Times New Roman" w:hAnsi="Times New Roman" w:eastAsia="宋体" w:cs="Times New Roman"/>
      <w:szCs w:val="24"/>
    </w:rPr>
  </w:style>
  <w:style w:type="character" w:customStyle="1" w:styleId="92">
    <w:name w:val="页脚 字符"/>
    <w:link w:val="26"/>
    <w:qFormat/>
    <w:uiPriority w:val="99"/>
    <w:rPr>
      <w:sz w:val="18"/>
      <w:szCs w:val="18"/>
    </w:rPr>
  </w:style>
  <w:style w:type="character" w:customStyle="1" w:styleId="93">
    <w:name w:val="Char Char7"/>
    <w:qFormat/>
    <w:uiPriority w:val="0"/>
    <w:rPr>
      <w:rFonts w:ascii="Arial" w:hAnsi="Arial" w:eastAsia="黑体"/>
      <w:b/>
      <w:bCs/>
      <w:kern w:val="2"/>
      <w:sz w:val="32"/>
      <w:szCs w:val="32"/>
      <w:lang w:val="en-US" w:eastAsia="zh-CN" w:bidi="ar-SA"/>
    </w:rPr>
  </w:style>
  <w:style w:type="character" w:customStyle="1" w:styleId="94">
    <w:name w:val="HTML 预设格式 字符"/>
    <w:link w:val="35"/>
    <w:qFormat/>
    <w:uiPriority w:val="0"/>
    <w:rPr>
      <w:rFonts w:ascii="微软雅黑" w:hAnsi="微软雅黑" w:eastAsia="微软雅黑" w:cs="Times New Roman"/>
      <w:kern w:val="0"/>
      <w:sz w:val="24"/>
      <w:szCs w:val="24"/>
    </w:rPr>
  </w:style>
  <w:style w:type="character" w:customStyle="1" w:styleId="95">
    <w:name w:val="批注文字 Char"/>
    <w:qFormat/>
    <w:uiPriority w:val="0"/>
    <w:rPr>
      <w:rFonts w:eastAsia="宋体"/>
      <w:kern w:val="2"/>
      <w:sz w:val="21"/>
      <w:szCs w:val="24"/>
      <w:lang w:val="en-US" w:eastAsia="zh-CN" w:bidi="ar-SA"/>
    </w:rPr>
  </w:style>
  <w:style w:type="character" w:customStyle="1" w:styleId="96">
    <w:name w:val="纯文本 字符"/>
    <w:link w:val="21"/>
    <w:qFormat/>
    <w:uiPriority w:val="99"/>
    <w:rPr>
      <w:rFonts w:ascii="Courier New" w:hAnsi="Courier New"/>
    </w:rPr>
  </w:style>
  <w:style w:type="character" w:customStyle="1" w:styleId="97">
    <w:name w:val="标题 7 字符"/>
    <w:link w:val="8"/>
    <w:qFormat/>
    <w:uiPriority w:val="0"/>
    <w:rPr>
      <w:rFonts w:ascii="Times New Roman" w:hAnsi="Times New Roman" w:eastAsia="宋体" w:cs="Times New Roman"/>
      <w:b/>
      <w:bCs/>
      <w:kern w:val="0"/>
      <w:sz w:val="24"/>
      <w:szCs w:val="24"/>
    </w:rPr>
  </w:style>
  <w:style w:type="paragraph" w:customStyle="1" w:styleId="98">
    <w:name w:val="样式4"/>
    <w:basedOn w:val="5"/>
    <w:qFormat/>
    <w:uiPriority w:val="0"/>
    <w:rPr>
      <w:rFonts w:eastAsia="Arial"/>
    </w:rPr>
  </w:style>
  <w:style w:type="paragraph" w:customStyle="1" w:styleId="99">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font10"/>
    <w:basedOn w:val="1"/>
    <w:qFormat/>
    <w:uiPriority w:val="0"/>
    <w:pPr>
      <w:widowControl/>
      <w:spacing w:before="100" w:beforeAutospacing="1" w:after="100" w:afterAutospacing="1"/>
      <w:jc w:val="left"/>
    </w:pPr>
    <w:rPr>
      <w:kern w:val="0"/>
      <w:sz w:val="28"/>
      <w:szCs w:val="28"/>
    </w:rPr>
  </w:style>
  <w:style w:type="paragraph" w:customStyle="1" w:styleId="102">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样式1"/>
    <w:basedOn w:val="5"/>
    <w:qFormat/>
    <w:uiPriority w:val="0"/>
    <w:rPr>
      <w:rFonts w:eastAsia="Arial"/>
    </w:rPr>
  </w:style>
  <w:style w:type="paragraph" w:customStyle="1" w:styleId="105">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Char"/>
    <w:basedOn w:val="1"/>
    <w:qFormat/>
    <w:uiPriority w:val="0"/>
    <w:pPr>
      <w:tabs>
        <w:tab w:val="left" w:pos="360"/>
      </w:tabs>
    </w:pPr>
    <w:rPr>
      <w:sz w:val="24"/>
    </w:rPr>
  </w:style>
  <w:style w:type="paragraph" w:customStyle="1" w:styleId="108">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表格"/>
    <w:basedOn w:val="1"/>
    <w:qFormat/>
    <w:uiPriority w:val="0"/>
    <w:pPr>
      <w:jc w:val="center"/>
      <w:textAlignment w:val="center"/>
    </w:pPr>
    <w:rPr>
      <w:rFonts w:ascii="华文细黑" w:hAnsi="华文细黑"/>
      <w:kern w:val="0"/>
      <w:szCs w:val="20"/>
    </w:rPr>
  </w:style>
  <w:style w:type="paragraph" w:customStyle="1" w:styleId="110">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4">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列出段落1"/>
    <w:basedOn w:val="1"/>
    <w:qFormat/>
    <w:uiPriority w:val="34"/>
    <w:pPr>
      <w:ind w:firstLine="420" w:firstLineChars="200"/>
    </w:pPr>
    <w:rPr>
      <w:rFonts w:ascii="Calibri" w:hAnsi="Calibri"/>
      <w:szCs w:val="22"/>
    </w:rPr>
  </w:style>
  <w:style w:type="paragraph" w:customStyle="1" w:styleId="12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1">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5">
    <w:name w:val="1"/>
    <w:basedOn w:val="1"/>
    <w:next w:val="1"/>
    <w:qFormat/>
    <w:uiPriority w:val="0"/>
  </w:style>
  <w:style w:type="paragraph" w:customStyle="1" w:styleId="126">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29">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0">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1">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2">
    <w:name w:val="样式3"/>
    <w:basedOn w:val="5"/>
    <w:qFormat/>
    <w:uiPriority w:val="0"/>
    <w:rPr>
      <w:rFonts w:eastAsia="Arial"/>
    </w:rPr>
  </w:style>
  <w:style w:type="paragraph" w:customStyle="1" w:styleId="133">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6">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8">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1">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2">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4">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6">
    <w:name w:val="第二"/>
    <w:basedOn w:val="1"/>
    <w:qFormat/>
    <w:uiPriority w:val="0"/>
    <w:pPr>
      <w:adjustRightInd w:val="0"/>
      <w:snapToGrid w:val="0"/>
      <w:spacing w:line="360" w:lineRule="auto"/>
      <w:ind w:right="-108" w:rightChars="-45" w:firstLine="482"/>
    </w:pPr>
    <w:rPr>
      <w:b/>
    </w:rPr>
  </w:style>
  <w:style w:type="paragraph" w:customStyle="1" w:styleId="14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8">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49">
    <w:name w:val="内容"/>
    <w:basedOn w:val="1"/>
    <w:qFormat/>
    <w:uiPriority w:val="0"/>
    <w:pPr>
      <w:spacing w:line="480" w:lineRule="exact"/>
      <w:ind w:firstLine="200" w:firstLineChars="200"/>
    </w:pPr>
  </w:style>
  <w:style w:type="paragraph" w:customStyle="1" w:styleId="150">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1">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2">
    <w:name w:val="列出段落11"/>
    <w:basedOn w:val="1"/>
    <w:qFormat/>
    <w:uiPriority w:val="99"/>
    <w:pPr>
      <w:ind w:firstLine="420" w:firstLineChars="200"/>
    </w:pPr>
  </w:style>
  <w:style w:type="paragraph" w:customStyle="1" w:styleId="153">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表格文字"/>
    <w:basedOn w:val="1"/>
    <w:qFormat/>
    <w:uiPriority w:val="0"/>
    <w:pPr>
      <w:adjustRightInd w:val="0"/>
      <w:spacing w:line="420" w:lineRule="atLeast"/>
      <w:jc w:val="left"/>
      <w:textAlignment w:val="baseline"/>
    </w:pPr>
    <w:rPr>
      <w:kern w:val="0"/>
      <w:szCs w:val="20"/>
    </w:rPr>
  </w:style>
  <w:style w:type="paragraph" w:customStyle="1" w:styleId="155">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6">
    <w:name w:val="样式2"/>
    <w:basedOn w:val="5"/>
    <w:qFormat/>
    <w:uiPriority w:val="0"/>
  </w:style>
  <w:style w:type="character" w:customStyle="1" w:styleId="157">
    <w:name w:val="after"/>
    <w:qFormat/>
    <w:uiPriority w:val="0"/>
    <w:rPr>
      <w:bdr w:val="dashed" w:color="auto" w:sz="48" w:space="0"/>
    </w:rPr>
  </w:style>
  <w:style w:type="character" w:customStyle="1" w:styleId="158">
    <w:name w:val="before"/>
    <w:qFormat/>
    <w:uiPriority w:val="0"/>
    <w:rPr>
      <w:bdr w:val="single" w:color="auto" w:sz="48" w:space="0"/>
    </w:rPr>
  </w:style>
  <w:style w:type="character" w:customStyle="1" w:styleId="159">
    <w:name w:val="hover48"/>
    <w:qFormat/>
    <w:uiPriority w:val="0"/>
    <w:rPr>
      <w:shd w:val="clear" w:color="auto" w:fill="346AC3"/>
    </w:rPr>
  </w:style>
  <w:style w:type="character" w:customStyle="1" w:styleId="160">
    <w:name w:val="hover49"/>
    <w:basedOn w:val="43"/>
    <w:qFormat/>
    <w:uiPriority w:val="0"/>
  </w:style>
  <w:style w:type="character" w:customStyle="1" w:styleId="161">
    <w:name w:val="hover50"/>
    <w:qFormat/>
    <w:uiPriority w:val="0"/>
    <w:rPr>
      <w:color w:val="4285F4"/>
      <w:u w:val="none"/>
    </w:rPr>
  </w:style>
  <w:style w:type="character" w:customStyle="1" w:styleId="162">
    <w:name w:val="hover51"/>
    <w:qFormat/>
    <w:uiPriority w:val="0"/>
    <w:rPr>
      <w:color w:val="4285F4"/>
    </w:rPr>
  </w:style>
  <w:style w:type="character" w:customStyle="1" w:styleId="163">
    <w:name w:val="hover52"/>
    <w:qFormat/>
    <w:uiPriority w:val="0"/>
    <w:rPr>
      <w:color w:val="1A85D7"/>
    </w:rPr>
  </w:style>
  <w:style w:type="character" w:customStyle="1" w:styleId="164">
    <w:name w:val="credit"/>
    <w:qFormat/>
    <w:uiPriority w:val="0"/>
    <w:rPr>
      <w:sz w:val="18"/>
      <w:szCs w:val="18"/>
    </w:rPr>
  </w:style>
  <w:style w:type="character" w:customStyle="1" w:styleId="165">
    <w:name w:val="first-child"/>
    <w:basedOn w:val="43"/>
    <w:qFormat/>
    <w:uiPriority w:val="0"/>
  </w:style>
  <w:style w:type="paragraph" w:styleId="166">
    <w:name w:val="List Paragraph"/>
    <w:basedOn w:val="1"/>
    <w:qFormat/>
    <w:uiPriority w:val="34"/>
    <w:pPr>
      <w:ind w:firstLine="420" w:firstLineChars="200"/>
    </w:pPr>
  </w:style>
  <w:style w:type="paragraph" w:customStyle="1" w:styleId="167">
    <w:name w:val="表格内正文，无编号"/>
    <w:basedOn w:val="1"/>
    <w:qFormat/>
    <w:uiPriority w:val="0"/>
    <w:pPr>
      <w:spacing w:line="400" w:lineRule="exact"/>
      <w:ind w:firstLine="643" w:firstLineChars="200"/>
    </w:pPr>
  </w:style>
  <w:style w:type="paragraph" w:customStyle="1" w:styleId="168">
    <w:name w:val="符号列表"/>
    <w:basedOn w:val="1"/>
    <w:next w:val="119"/>
    <w:qFormat/>
    <w:uiPriority w:val="34"/>
    <w:pPr>
      <w:spacing w:beforeLines="50"/>
      <w:ind w:firstLine="420" w:firstLineChars="200"/>
    </w:pPr>
    <w:rPr>
      <w:rFonts w:ascii="Calibri" w:hAnsi="Calibri"/>
      <w:sz w:val="24"/>
      <w:szCs w:val="22"/>
      <w:lang w:val="zh-CN"/>
    </w:rPr>
  </w:style>
  <w:style w:type="paragraph" w:customStyle="1" w:styleId="169">
    <w:name w:val="表体"/>
    <w:basedOn w:val="1"/>
    <w:next w:val="1"/>
    <w:qFormat/>
    <w:uiPriority w:val="0"/>
    <w:pPr>
      <w:snapToGrid w:val="0"/>
      <w:spacing w:line="0" w:lineRule="atLeast"/>
    </w:pPr>
    <w:rPr>
      <w:b/>
      <w:szCs w:val="20"/>
    </w:rPr>
  </w:style>
  <w:style w:type="paragraph" w:customStyle="1" w:styleId="170">
    <w:name w:val="*正文"/>
    <w:basedOn w:val="1"/>
    <w:qFormat/>
    <w:uiPriority w:val="0"/>
    <w:pPr>
      <w:widowControl/>
      <w:ind w:firstLine="200" w:firstLineChars="200"/>
    </w:pPr>
    <w:rPr>
      <w:rFonts w:ascii="仿宋_GB2312" w:eastAsia="仿宋_GB2312" w:cstheme="minorBidi"/>
      <w:sz w:val="24"/>
      <w:szCs w:val="28"/>
    </w:rPr>
  </w:style>
  <w:style w:type="paragraph" w:customStyle="1" w:styleId="171">
    <w:name w:val="图例"/>
    <w:basedOn w:val="1"/>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29</Pages>
  <Words>1928</Words>
  <Characters>10990</Characters>
  <Lines>91</Lines>
  <Paragraphs>25</Paragraphs>
  <TotalTime>2</TotalTime>
  <ScaleCrop>false</ScaleCrop>
  <LinksUpToDate>false</LinksUpToDate>
  <CharactersWithSpaces>12893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2020-04-30T00:16:00Z</dcterms:created>
  <dc:creator>陈桂兰</dc:creator>
  <cp:lastModifiedBy>Kevin</cp:lastModifiedBy>
  <cp:lastPrinted>2020-05-11T23:11:00Z</cp:lastPrinted>
  <dcterms:modified xsi:type="dcterms:W3CDTF">2022-08-30T10:16:52Z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2A9A7D8B47224DF38B5BD0A2E46B16A0</vt:lpwstr>
  </property>
</Properties>
</file>