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jc w:val="center"/>
        <w:rPr>
          <w:rFonts w:ascii="黑体" w:hAnsi="黑体" w:eastAsia="黑体" w:cs="Times New Roman"/>
          <w:bCs/>
          <w:kern w:val="0"/>
          <w:sz w:val="36"/>
          <w:szCs w:val="36"/>
        </w:rPr>
      </w:pPr>
      <w:r>
        <w:rPr>
          <w:rFonts w:hint="eastAsia" w:ascii="黑体" w:hAnsi="黑体" w:eastAsia="黑体" w:cs="Times New Roman"/>
          <w:bCs/>
          <w:kern w:val="0"/>
          <w:sz w:val="36"/>
          <w:szCs w:val="36"/>
        </w:rPr>
        <w:t>重庆航运建设发展(集团)有限公司</w:t>
      </w:r>
    </w:p>
    <w:p>
      <w:pPr>
        <w:autoSpaceDE w:val="0"/>
        <w:autoSpaceDN w:val="0"/>
        <w:adjustRightInd w:val="0"/>
        <w:spacing w:line="520" w:lineRule="exact"/>
        <w:jc w:val="center"/>
        <w:rPr>
          <w:rFonts w:ascii="黑体" w:hAnsi="黑体" w:eastAsia="黑体" w:cs="Times New Roman"/>
          <w:bCs/>
          <w:kern w:val="0"/>
          <w:sz w:val="36"/>
          <w:szCs w:val="36"/>
        </w:rPr>
      </w:pPr>
      <w:r>
        <w:rPr>
          <w:rFonts w:hint="eastAsia" w:ascii="黑体" w:hAnsi="黑体" w:eastAsia="黑体" w:cs="Times New Roman"/>
          <w:bCs/>
          <w:kern w:val="0"/>
          <w:sz w:val="36"/>
          <w:szCs w:val="36"/>
        </w:rPr>
        <w:t>涪江（重庆段）美丽航道建设方案研究的</w:t>
      </w:r>
    </w:p>
    <w:p>
      <w:pPr>
        <w:autoSpaceDE w:val="0"/>
        <w:autoSpaceDN w:val="0"/>
        <w:adjustRightInd w:val="0"/>
        <w:spacing w:line="520" w:lineRule="exact"/>
        <w:jc w:val="center"/>
        <w:rPr>
          <w:rFonts w:ascii="黑体" w:hAnsi="黑体" w:eastAsia="黑体" w:cs="Times New Roman"/>
          <w:bCs/>
          <w:kern w:val="0"/>
          <w:sz w:val="36"/>
          <w:szCs w:val="36"/>
        </w:rPr>
      </w:pPr>
      <w:r>
        <w:rPr>
          <w:rFonts w:hint="eastAsia" w:ascii="黑体" w:hAnsi="黑体" w:eastAsia="黑体" w:cs="Times New Roman"/>
          <w:bCs/>
          <w:kern w:val="0"/>
          <w:sz w:val="36"/>
          <w:szCs w:val="36"/>
        </w:rPr>
        <w:t>询价邀请函</w:t>
      </w:r>
    </w:p>
    <w:p>
      <w:pPr>
        <w:autoSpaceDE w:val="0"/>
        <w:autoSpaceDN w:val="0"/>
        <w:adjustRightInd w:val="0"/>
        <w:spacing w:line="520" w:lineRule="exact"/>
        <w:jc w:val="left"/>
        <w:rPr>
          <w:rFonts w:ascii="黑体" w:hAnsi="黑体" w:eastAsia="黑体" w:cs="Times New Roman"/>
          <w:bCs/>
          <w:kern w:val="0"/>
          <w:sz w:val="28"/>
          <w:szCs w:val="28"/>
        </w:rPr>
      </w:pPr>
    </w:p>
    <w:p>
      <w:pPr>
        <w:autoSpaceDE w:val="0"/>
        <w:autoSpaceDN w:val="0"/>
        <w:adjustRightInd w:val="0"/>
        <w:spacing w:line="520" w:lineRule="exact"/>
        <w:rPr>
          <w:rFonts w:ascii="黑体" w:hAnsi="黑体" w:eastAsia="黑体" w:cs="Times New Roman"/>
          <w:kern w:val="0"/>
          <w:sz w:val="32"/>
          <w:szCs w:val="32"/>
          <w:u w:val="single"/>
        </w:rPr>
      </w:pPr>
      <w:r>
        <w:rPr>
          <w:rFonts w:hint="eastAsia" w:ascii="黑体" w:hAnsi="黑体" w:eastAsia="黑体" w:cs="Times New Roman"/>
          <w:kern w:val="0"/>
          <w:sz w:val="32"/>
          <w:szCs w:val="32"/>
          <w:u w:val="single"/>
        </w:rPr>
        <w:t>各有关单位 ：</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根据</w:t>
      </w:r>
      <w:r>
        <w:rPr>
          <w:rFonts w:hint="eastAsia" w:ascii="Times New Roman" w:hAnsi="Times New Roman" w:eastAsia="仿宋_GB2312" w:cs="Times New Roman"/>
          <w:kern w:val="0"/>
          <w:sz w:val="32"/>
          <w:szCs w:val="32"/>
          <w:lang w:val="en-US" w:eastAsia="zh-CN"/>
        </w:rPr>
        <w:t>交通运输部</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关于重庆市开展内陆国际物流枢纽高质量发展等交通强国建设试点工作的意见</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重庆市政府</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关于印发重庆市推动交通强国建设试点实施方案（2021-2025）的通知</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重庆市交通局</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关于嘉陵江井口枢纽和涪江航道建设前期工作安排有关情况的报告</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以及</w:t>
      </w:r>
      <w:r>
        <w:rPr>
          <w:rFonts w:hint="eastAsia" w:ascii="Times New Roman" w:hAnsi="Times New Roman" w:eastAsia="仿宋_GB2312" w:cs="Times New Roman"/>
          <w:kern w:val="0"/>
          <w:sz w:val="32"/>
          <w:szCs w:val="32"/>
        </w:rPr>
        <w:t>我公司计划安排，拟开展涪江（重庆段）美丽航道建设方案</w:t>
      </w:r>
      <w:r>
        <w:rPr>
          <w:rFonts w:hint="eastAsia" w:ascii="Times New Roman" w:hAnsi="Times New Roman" w:eastAsia="仿宋_GB2312" w:cs="Times New Roman"/>
          <w:kern w:val="0"/>
          <w:sz w:val="32"/>
          <w:szCs w:val="32"/>
          <w:lang w:val="en-US" w:eastAsia="zh-CN"/>
        </w:rPr>
        <w:t>研究委托工作</w:t>
      </w:r>
      <w:r>
        <w:rPr>
          <w:rFonts w:hint="eastAsia" w:ascii="Times New Roman" w:hAnsi="Times New Roman" w:eastAsia="仿宋_GB2312" w:cs="Times New Roman"/>
          <w:kern w:val="0"/>
          <w:sz w:val="32"/>
          <w:szCs w:val="32"/>
        </w:rPr>
        <w:t>。特向贵单位发出意向性询价邀请</w:t>
      </w:r>
      <w:bookmarkStart w:id="0" w:name="_GoBack"/>
      <w:bookmarkEnd w:id="0"/>
      <w:r>
        <w:rPr>
          <w:rFonts w:hint="eastAsia" w:ascii="Times New Roman" w:hAnsi="Times New Roman" w:eastAsia="仿宋_GB2312" w:cs="Times New Roman"/>
          <w:kern w:val="0"/>
          <w:sz w:val="32"/>
          <w:szCs w:val="32"/>
        </w:rPr>
        <w:t>，若有意愿，请予报价。</w:t>
      </w:r>
    </w:p>
    <w:p>
      <w:pPr>
        <w:autoSpaceDE w:val="0"/>
        <w:autoSpaceDN w:val="0"/>
        <w:adjustRightInd w:val="0"/>
        <w:spacing w:before="156" w:beforeLines="50" w:line="520" w:lineRule="exact"/>
        <w:ind w:firstLine="640" w:firstLineChars="200"/>
        <w:outlineLvl w:val="0"/>
        <w:rPr>
          <w:rFonts w:ascii="黑体" w:hAnsi="黑体" w:eastAsia="黑体" w:cs="Times New Roman"/>
          <w:bCs/>
          <w:kern w:val="0"/>
          <w:sz w:val="32"/>
          <w:szCs w:val="32"/>
        </w:rPr>
      </w:pPr>
      <w:r>
        <w:rPr>
          <w:rFonts w:hint="eastAsia" w:ascii="黑体" w:hAnsi="黑体" w:eastAsia="黑体" w:cs="Times New Roman"/>
          <w:bCs/>
          <w:kern w:val="0"/>
          <w:sz w:val="32"/>
          <w:szCs w:val="32"/>
        </w:rPr>
        <w:t>一、项目简介</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涪江是嘉陵江右岸最大支流，干流全长670公里，贯穿四川、重庆多地，其中重庆境内长约136公里。目前涪江重庆境内段自下游至上游已建成渭沱、安居、富金坝、潼南4座枢纽，双江航电枢纽也已开工建设，已基本形成连续渠化的航道。</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2019年10月，交通运输部公布重庆市为第一批交通强国建设试点单位。2020年9月交通运输部批复了《关于重庆市开展内陆国际物流枢纽高质量发展等交通强国建设试点工作的意见》，意见提出了推动内陆国际物流枢纽高质量发展等5项试点任务、15条实施路径。其中，内河水运集约绿色发展路径提出要打造涪江美丽航道，计划通过1-2年时间，在打造生态美丽航道等方面形成一系列政策成果；通过3-5年时间，基本形成涪江美丽航道。为落实交通强国建设纲要和重庆市试点工作要求，重庆市交通局授权重庆航运建设发展（集团）有限公司，拟</w:t>
      </w:r>
      <w:r>
        <w:rPr>
          <w:rFonts w:hint="eastAsia" w:ascii="Times New Roman" w:hAnsi="Times New Roman" w:eastAsia="仿宋_GB2312" w:cs="Times New Roman"/>
          <w:kern w:val="0"/>
          <w:sz w:val="32"/>
          <w:szCs w:val="32"/>
          <w:lang w:val="en-US" w:eastAsia="zh-CN"/>
        </w:rPr>
        <w:t>启动</w:t>
      </w:r>
      <w:r>
        <w:rPr>
          <w:rFonts w:hint="eastAsia" w:ascii="Times New Roman" w:hAnsi="Times New Roman" w:eastAsia="仿宋_GB2312" w:cs="Times New Roman"/>
          <w:kern w:val="0"/>
          <w:sz w:val="32"/>
          <w:szCs w:val="32"/>
        </w:rPr>
        <w:t>涪江（重庆段）</w:t>
      </w:r>
      <w:r>
        <w:rPr>
          <w:rFonts w:hint="eastAsia" w:ascii="Times New Roman" w:hAnsi="Times New Roman" w:eastAsia="仿宋_GB2312" w:cs="Times New Roman"/>
          <w:kern w:val="0"/>
          <w:sz w:val="32"/>
          <w:szCs w:val="32"/>
          <w:lang w:val="en-US" w:eastAsia="zh-CN"/>
        </w:rPr>
        <w:t>美丽</w:t>
      </w:r>
      <w:r>
        <w:rPr>
          <w:rFonts w:hint="eastAsia" w:ascii="Times New Roman" w:hAnsi="Times New Roman" w:eastAsia="仿宋_GB2312" w:cs="Times New Roman"/>
          <w:kern w:val="0"/>
          <w:sz w:val="32"/>
          <w:szCs w:val="32"/>
        </w:rPr>
        <w:t>航道建设方案研究工作。</w:t>
      </w:r>
    </w:p>
    <w:p>
      <w:pPr>
        <w:autoSpaceDE w:val="0"/>
        <w:autoSpaceDN w:val="0"/>
        <w:adjustRightInd w:val="0"/>
        <w:spacing w:before="156" w:beforeLines="50" w:line="520" w:lineRule="exact"/>
        <w:ind w:firstLine="640" w:firstLineChars="200"/>
        <w:outlineLvl w:val="0"/>
        <w:rPr>
          <w:rFonts w:ascii="黑体" w:hAnsi="黑体" w:eastAsia="黑体" w:cs="Times New Roman"/>
          <w:bCs/>
          <w:kern w:val="0"/>
          <w:sz w:val="32"/>
          <w:szCs w:val="32"/>
        </w:rPr>
      </w:pPr>
      <w:r>
        <w:rPr>
          <w:rFonts w:hint="eastAsia" w:ascii="黑体" w:hAnsi="黑体" w:eastAsia="黑体" w:cs="Times New Roman"/>
          <w:bCs/>
          <w:kern w:val="0"/>
          <w:sz w:val="32"/>
          <w:szCs w:val="32"/>
        </w:rPr>
        <w:t>二、研究内容及范围</w:t>
      </w:r>
    </w:p>
    <w:p>
      <w:pPr>
        <w:autoSpaceDE w:val="0"/>
        <w:autoSpaceDN w:val="0"/>
        <w:adjustRightInd w:val="0"/>
        <w:spacing w:before="156" w:beforeLines="50" w:line="520" w:lineRule="exact"/>
        <w:ind w:firstLine="640" w:firstLineChars="200"/>
        <w:outlineLvl w:val="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围绕</w:t>
      </w:r>
      <w:r>
        <w:rPr>
          <w:rFonts w:hint="eastAsia" w:ascii="Times New Roman" w:hAnsi="Times New Roman" w:eastAsia="仿宋_GB2312" w:cs="Times New Roman"/>
          <w:kern w:val="0"/>
          <w:sz w:val="32"/>
          <w:szCs w:val="32"/>
        </w:rPr>
        <w:t>生态绿色、交旅融合等新技术新业态新模式在涪江航道建设中研究与应用，借鉴国内外先进经验，研究提出涪江（重庆段）美丽航道建设的目标任务、</w:t>
      </w:r>
      <w:r>
        <w:rPr>
          <w:rFonts w:hint="eastAsia" w:ascii="Times New Roman" w:hAnsi="Times New Roman" w:eastAsia="仿宋_GB2312" w:cs="Times New Roman"/>
          <w:kern w:val="0"/>
          <w:sz w:val="32"/>
          <w:szCs w:val="32"/>
          <w:lang w:val="en-US" w:eastAsia="zh-CN"/>
        </w:rPr>
        <w:t>建设标准、投资规模、</w:t>
      </w:r>
      <w:r>
        <w:rPr>
          <w:rFonts w:hint="eastAsia" w:ascii="Times New Roman" w:hAnsi="Times New Roman" w:eastAsia="仿宋_GB2312" w:cs="Times New Roman"/>
          <w:kern w:val="0"/>
          <w:sz w:val="32"/>
          <w:szCs w:val="32"/>
        </w:rPr>
        <w:t>建设方案、实施</w:t>
      </w:r>
      <w:r>
        <w:rPr>
          <w:rFonts w:hint="eastAsia" w:ascii="Times New Roman" w:hAnsi="Times New Roman" w:eastAsia="仿宋_GB2312" w:cs="Times New Roman"/>
          <w:kern w:val="0"/>
          <w:sz w:val="32"/>
          <w:szCs w:val="32"/>
          <w:lang w:val="en-US" w:eastAsia="zh-CN"/>
        </w:rPr>
        <w:t>路径、</w:t>
      </w:r>
      <w:r>
        <w:rPr>
          <w:rFonts w:hint="eastAsia" w:ascii="Times New Roman" w:hAnsi="Times New Roman" w:eastAsia="仿宋_GB2312" w:cs="Times New Roman"/>
          <w:kern w:val="0"/>
          <w:sz w:val="32"/>
          <w:szCs w:val="32"/>
        </w:rPr>
        <w:t>保障措施</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方式方法、分期规划等内容</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工作形式包括但不限于调研走访、政策研究、体制机制探索、集中编写、总结归纳提炼等。以期实现下述目标：</w:t>
      </w:r>
      <w:r>
        <w:rPr>
          <w:rFonts w:hint="eastAsia" w:ascii="Times New Roman" w:hAnsi="Times New Roman" w:eastAsia="仿宋_GB2312" w:cs="Times New Roman"/>
          <w:kern w:val="0"/>
          <w:sz w:val="32"/>
          <w:szCs w:val="32"/>
        </w:rPr>
        <w:t>围绕内河水运集约绿色发展要求，</w:t>
      </w:r>
      <w:r>
        <w:rPr>
          <w:rFonts w:hint="eastAsia" w:ascii="Times New Roman" w:hAnsi="Times New Roman" w:eastAsia="仿宋_GB2312" w:cs="Times New Roman"/>
          <w:kern w:val="0"/>
          <w:sz w:val="32"/>
          <w:szCs w:val="32"/>
          <w:lang w:val="en-US" w:eastAsia="zh-CN"/>
        </w:rPr>
        <w:t>在生态环境保护修复、建设绿色交通廊道等方面形成系列政策成果。推广生态友好型新材料、新结构、新工艺并广泛应用于航道生态修复、设计施工养护。在全面推广LNG动力船舶、建设加注码头等领域形成相关政策和标准指引。推动航道建设与两岸景观协调融合等。</w:t>
      </w:r>
    </w:p>
    <w:p>
      <w:pPr>
        <w:autoSpaceDE w:val="0"/>
        <w:autoSpaceDN w:val="0"/>
        <w:adjustRightInd w:val="0"/>
        <w:spacing w:line="520" w:lineRule="exact"/>
        <w:ind w:firstLine="640" w:firstLineChars="200"/>
        <w:outlineLvl w:val="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研究范围为涪江重庆</w:t>
      </w:r>
      <w:r>
        <w:rPr>
          <w:rFonts w:hint="eastAsia" w:ascii="Times New Roman" w:hAnsi="Times New Roman" w:eastAsia="仿宋_GB2312" w:cs="Times New Roman"/>
          <w:kern w:val="0"/>
          <w:sz w:val="32"/>
          <w:szCs w:val="32"/>
          <w:lang w:val="en-US" w:eastAsia="zh-CN"/>
        </w:rPr>
        <w:t>段</w:t>
      </w:r>
      <w:r>
        <w:rPr>
          <w:rFonts w:hint="eastAsia" w:ascii="Times New Roman" w:hAnsi="Times New Roman" w:eastAsia="仿宋_GB2312" w:cs="Times New Roman"/>
          <w:kern w:val="0"/>
          <w:sz w:val="32"/>
          <w:szCs w:val="32"/>
        </w:rPr>
        <w:t>航道，长约136公里。</w:t>
      </w:r>
    </w:p>
    <w:p>
      <w:pPr>
        <w:autoSpaceDE w:val="0"/>
        <w:autoSpaceDN w:val="0"/>
        <w:adjustRightInd w:val="0"/>
        <w:spacing w:before="156" w:beforeLines="50" w:line="520" w:lineRule="exact"/>
        <w:ind w:firstLine="640" w:firstLineChars="200"/>
        <w:outlineLvl w:val="0"/>
        <w:rPr>
          <w:rFonts w:ascii="黑体" w:hAnsi="黑体" w:eastAsia="黑体" w:cs="Times New Roman"/>
          <w:bCs/>
          <w:kern w:val="0"/>
          <w:sz w:val="32"/>
          <w:szCs w:val="32"/>
        </w:rPr>
      </w:pPr>
      <w:r>
        <w:rPr>
          <w:rFonts w:hint="eastAsia" w:ascii="黑体" w:hAnsi="黑体" w:eastAsia="黑体" w:cs="Times New Roman"/>
          <w:bCs/>
          <w:kern w:val="0"/>
          <w:sz w:val="32"/>
          <w:szCs w:val="32"/>
        </w:rPr>
        <w:t>三、报价单位有关要求</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1、具有独立承担民事责任的能力；</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2、具有良好的商业信誉和健全的财务会计制度；</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3、具有履行合同所必需的设备和专业技术能力；</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4、有依法缴纳税收和社会保障资金的良好记录；</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5、参加政府采购活动前三年内，在经营活动中没有重大违法记录；</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6、具有工程咨询单位甲级资信证书，并且业务范围包含水运（含港口河海工程）。</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7、法律、行政法规规定的其他条件。</w:t>
      </w:r>
    </w:p>
    <w:p>
      <w:pPr>
        <w:autoSpaceDE w:val="0"/>
        <w:autoSpaceDN w:val="0"/>
        <w:adjustRightInd w:val="0"/>
        <w:spacing w:line="520" w:lineRule="exact"/>
        <w:ind w:firstLine="640" w:firstLineChars="200"/>
        <w:outlineLvl w:val="0"/>
        <w:rPr>
          <w:rFonts w:ascii="黑体" w:hAnsi="黑体" w:eastAsia="黑体" w:cs="Times New Roman"/>
          <w:bCs/>
          <w:kern w:val="0"/>
          <w:sz w:val="32"/>
          <w:szCs w:val="32"/>
        </w:rPr>
      </w:pPr>
      <w:r>
        <w:rPr>
          <w:rFonts w:hint="eastAsia" w:ascii="黑体" w:hAnsi="黑体" w:eastAsia="黑体" w:cs="Times New Roman"/>
          <w:bCs/>
          <w:kern w:val="0"/>
          <w:sz w:val="32"/>
          <w:szCs w:val="32"/>
        </w:rPr>
        <w:t>四、资料</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研究单位</w:t>
      </w:r>
      <w:r>
        <w:rPr>
          <w:rFonts w:ascii="Times New Roman" w:hAnsi="Times New Roman" w:eastAsia="仿宋_GB2312" w:cs="Times New Roman"/>
          <w:kern w:val="0"/>
          <w:sz w:val="32"/>
          <w:szCs w:val="32"/>
        </w:rPr>
        <w:t>应提供的资料：</w:t>
      </w:r>
      <w:r>
        <w:rPr>
          <w:rFonts w:hint="eastAsia" w:ascii="Times New Roman" w:hAnsi="Times New Roman" w:eastAsia="仿宋_GB2312" w:cs="Times New Roman"/>
          <w:kern w:val="0"/>
          <w:sz w:val="32"/>
          <w:szCs w:val="32"/>
        </w:rPr>
        <w:t>涪江（重庆段）</w:t>
      </w:r>
      <w:r>
        <w:rPr>
          <w:rFonts w:hint="eastAsia" w:ascii="Times New Roman" w:hAnsi="Times New Roman" w:eastAsia="仿宋_GB2312" w:cs="Times New Roman"/>
          <w:kern w:val="0"/>
          <w:sz w:val="32"/>
          <w:szCs w:val="32"/>
          <w:lang w:val="en-US" w:eastAsia="zh-CN"/>
        </w:rPr>
        <w:t>美丽</w:t>
      </w:r>
      <w:r>
        <w:rPr>
          <w:rFonts w:hint="eastAsia" w:ascii="Times New Roman" w:hAnsi="Times New Roman" w:eastAsia="仿宋_GB2312" w:cs="Times New Roman"/>
          <w:kern w:val="0"/>
          <w:sz w:val="32"/>
          <w:szCs w:val="32"/>
        </w:rPr>
        <w:t>航道建设方案研究成果文本（最终版6套）。</w:t>
      </w:r>
    </w:p>
    <w:p>
      <w:pPr>
        <w:autoSpaceDE w:val="0"/>
        <w:autoSpaceDN w:val="0"/>
        <w:adjustRightInd w:val="0"/>
        <w:spacing w:line="520" w:lineRule="exact"/>
        <w:ind w:firstLine="640" w:firstLineChars="200"/>
        <w:outlineLvl w:val="0"/>
        <w:rPr>
          <w:rFonts w:ascii="黑体" w:hAnsi="黑体" w:eastAsia="黑体" w:cs="Times New Roman"/>
          <w:bCs/>
          <w:kern w:val="0"/>
          <w:sz w:val="32"/>
          <w:szCs w:val="32"/>
        </w:rPr>
      </w:pPr>
      <w:r>
        <w:rPr>
          <w:rFonts w:hint="eastAsia" w:ascii="黑体" w:hAnsi="黑体" w:eastAsia="黑体" w:cs="Times New Roman"/>
          <w:bCs/>
          <w:kern w:val="0"/>
          <w:sz w:val="32"/>
          <w:szCs w:val="32"/>
        </w:rPr>
        <w:t>五、费用组成</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费用实行包干价。包括完成本项目研究的全部费用，本次报价最高限价为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99</w:t>
      </w:r>
      <w:r>
        <w:rPr>
          <w:rFonts w:hint="eastAsia" w:ascii="Times New Roman" w:hAnsi="Times New Roman" w:eastAsia="仿宋_GB2312" w:cs="Times New Roman"/>
          <w:kern w:val="0"/>
          <w:sz w:val="32"/>
          <w:szCs w:val="32"/>
        </w:rPr>
        <w:t>万元。</w:t>
      </w:r>
    </w:p>
    <w:p>
      <w:pPr>
        <w:autoSpaceDE w:val="0"/>
        <w:autoSpaceDN w:val="0"/>
        <w:adjustRightInd w:val="0"/>
        <w:spacing w:line="520" w:lineRule="exact"/>
        <w:ind w:firstLine="640" w:firstLineChars="200"/>
        <w:outlineLvl w:val="0"/>
        <w:rPr>
          <w:rFonts w:ascii="黑体" w:hAnsi="黑体" w:eastAsia="黑体" w:cs="Times New Roman"/>
          <w:bCs/>
          <w:kern w:val="0"/>
          <w:sz w:val="32"/>
          <w:szCs w:val="32"/>
        </w:rPr>
      </w:pPr>
      <w:r>
        <w:rPr>
          <w:rFonts w:hint="eastAsia" w:ascii="黑体" w:hAnsi="黑体" w:eastAsia="黑体" w:cs="Times New Roman"/>
          <w:bCs/>
          <w:kern w:val="0"/>
          <w:sz w:val="32"/>
          <w:szCs w:val="32"/>
        </w:rPr>
        <w:t>六、评审办法</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本次</w:t>
      </w:r>
      <w:r>
        <w:rPr>
          <w:rFonts w:hint="eastAsia" w:ascii="Times New Roman" w:hAnsi="Times New Roman" w:eastAsia="仿宋_GB2312" w:cs="Times New Roman"/>
          <w:kern w:val="0"/>
          <w:sz w:val="32"/>
          <w:szCs w:val="32"/>
        </w:rPr>
        <w:t>询价评审</w:t>
      </w:r>
      <w:r>
        <w:rPr>
          <w:rFonts w:ascii="Times New Roman" w:hAnsi="Times New Roman" w:eastAsia="仿宋_GB2312" w:cs="Times New Roman"/>
          <w:kern w:val="0"/>
          <w:sz w:val="32"/>
          <w:szCs w:val="32"/>
        </w:rPr>
        <w:t>采用综合评分法，将依据</w:t>
      </w:r>
      <w:r>
        <w:rPr>
          <w:rFonts w:hint="eastAsia" w:ascii="Times New Roman" w:hAnsi="Times New Roman" w:eastAsia="仿宋_GB2312" w:cs="Times New Roman"/>
          <w:kern w:val="0"/>
          <w:sz w:val="32"/>
          <w:szCs w:val="32"/>
        </w:rPr>
        <w:t>报价单位</w:t>
      </w:r>
      <w:r>
        <w:rPr>
          <w:rFonts w:ascii="Times New Roman" w:hAnsi="Times New Roman" w:eastAsia="仿宋_GB2312" w:cs="Times New Roman"/>
          <w:kern w:val="0"/>
          <w:sz w:val="32"/>
          <w:szCs w:val="32"/>
        </w:rPr>
        <w:t>响应文件对其综合实力、业绩、服务、价格等各项因素进行综合评价。</w:t>
      </w:r>
      <w:r>
        <w:rPr>
          <w:rFonts w:hint="eastAsia" w:ascii="Times New Roman" w:hAnsi="Times New Roman" w:eastAsia="仿宋_GB2312" w:cs="Times New Roman"/>
          <w:kern w:val="0"/>
          <w:sz w:val="32"/>
          <w:szCs w:val="32"/>
        </w:rPr>
        <w:t>报价单位</w:t>
      </w:r>
      <w:r>
        <w:rPr>
          <w:rFonts w:ascii="Times New Roman" w:hAnsi="Times New Roman" w:eastAsia="仿宋_GB2312" w:cs="Times New Roman"/>
          <w:kern w:val="0"/>
          <w:sz w:val="32"/>
          <w:szCs w:val="32"/>
        </w:rPr>
        <w:t>的最终得分是所有评委给其的评分后的总和，</w:t>
      </w:r>
      <w:r>
        <w:rPr>
          <w:rFonts w:hint="eastAsia" w:ascii="Times New Roman" w:hAnsi="Times New Roman" w:eastAsia="仿宋_GB2312" w:cs="Times New Roman"/>
          <w:kern w:val="0"/>
          <w:sz w:val="32"/>
          <w:szCs w:val="32"/>
        </w:rPr>
        <w:t>综合评选出得分最高的最佳响应方案。</w:t>
      </w:r>
    </w:p>
    <w:tbl>
      <w:tblPr>
        <w:tblStyle w:val="7"/>
        <w:tblW w:w="8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3"/>
        <w:gridCol w:w="4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4043" w:type="dxa"/>
            <w:vAlign w:val="center"/>
          </w:tcPr>
          <w:p>
            <w:pPr>
              <w:pStyle w:val="12"/>
              <w:adjustRightInd/>
              <w:spacing w:line="360"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评 分 因 素</w:t>
            </w:r>
          </w:p>
        </w:tc>
        <w:tc>
          <w:tcPr>
            <w:tcW w:w="4044" w:type="dxa"/>
            <w:vAlign w:val="center"/>
          </w:tcPr>
          <w:p>
            <w:pPr>
              <w:pStyle w:val="12"/>
              <w:adjustRightInd/>
              <w:spacing w:line="360"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分 值 分 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4043" w:type="dxa"/>
            <w:vAlign w:val="center"/>
          </w:tcPr>
          <w:p>
            <w:pPr>
              <w:pStyle w:val="12"/>
              <w:adjustRightInd/>
              <w:spacing w:line="360" w:lineRule="auto"/>
              <w:ind w:left="0" w:firstLine="0"/>
              <w:jc w:val="center"/>
              <w:rPr>
                <w:rFonts w:ascii="Times New Roman" w:hAnsi="Times New Roman" w:cs="Times New Roman"/>
                <w:sz w:val="28"/>
                <w:szCs w:val="28"/>
              </w:rPr>
            </w:pPr>
            <w:r>
              <w:rPr>
                <w:rFonts w:ascii="Times New Roman" w:hAnsi="Times New Roman" w:cs="Times New Roman"/>
                <w:sz w:val="28"/>
                <w:szCs w:val="28"/>
              </w:rPr>
              <w:t>价 格 部 分</w:t>
            </w:r>
          </w:p>
        </w:tc>
        <w:tc>
          <w:tcPr>
            <w:tcW w:w="4044" w:type="dxa"/>
            <w:vAlign w:val="center"/>
          </w:tcPr>
          <w:p>
            <w:pPr>
              <w:pStyle w:val="12"/>
              <w:adjustRightInd/>
              <w:spacing w:line="360" w:lineRule="auto"/>
              <w:ind w:left="0" w:firstLine="0"/>
              <w:jc w:val="center"/>
              <w:rPr>
                <w:rFonts w:ascii="Times New Roman" w:hAnsi="Times New Roman" w:cs="Times New Roman"/>
                <w:sz w:val="28"/>
                <w:szCs w:val="28"/>
              </w:rPr>
            </w:pPr>
            <w:r>
              <w:rPr>
                <w:rFonts w:hint="eastAsia" w:ascii="Times New Roman" w:hAnsi="Times New Roman" w:cs="Times New Roman"/>
                <w:sz w:val="28"/>
                <w:szCs w:val="28"/>
                <w:lang w:val="en-US" w:eastAsia="zh-CN"/>
              </w:rPr>
              <w:t>60</w:t>
            </w:r>
            <w:r>
              <w:rPr>
                <w:rFonts w:ascii="Times New Roman" w:hAnsi="Times New Roman"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4043" w:type="dxa"/>
            <w:vAlign w:val="center"/>
          </w:tcPr>
          <w:p>
            <w:pPr>
              <w:pStyle w:val="12"/>
              <w:adjustRightInd/>
              <w:spacing w:line="360" w:lineRule="auto"/>
              <w:ind w:left="0" w:firstLine="0"/>
              <w:jc w:val="center"/>
              <w:rPr>
                <w:rFonts w:ascii="Times New Roman" w:hAnsi="Times New Roman" w:cs="Times New Roman"/>
                <w:sz w:val="28"/>
                <w:szCs w:val="28"/>
              </w:rPr>
            </w:pPr>
            <w:r>
              <w:rPr>
                <w:rFonts w:ascii="Times New Roman" w:hAnsi="Times New Roman" w:cs="Times New Roman"/>
                <w:sz w:val="28"/>
                <w:szCs w:val="28"/>
              </w:rPr>
              <w:t>商 务 部 分</w:t>
            </w:r>
          </w:p>
        </w:tc>
        <w:tc>
          <w:tcPr>
            <w:tcW w:w="4044" w:type="dxa"/>
            <w:vAlign w:val="center"/>
          </w:tcPr>
          <w:p>
            <w:pPr>
              <w:pStyle w:val="12"/>
              <w:adjustRightInd/>
              <w:spacing w:line="360" w:lineRule="auto"/>
              <w:ind w:left="0" w:firstLine="0"/>
              <w:jc w:val="center"/>
              <w:rPr>
                <w:rFonts w:ascii="Times New Roman" w:hAnsi="Times New Roman" w:cs="Times New Roman"/>
                <w:sz w:val="28"/>
                <w:szCs w:val="28"/>
              </w:rPr>
            </w:pPr>
            <w:r>
              <w:rPr>
                <w:rFonts w:hint="eastAsia" w:ascii="Times New Roman" w:hAnsi="Times New Roman" w:cs="Times New Roman"/>
                <w:sz w:val="28"/>
                <w:szCs w:val="28"/>
                <w:lang w:val="en-US" w:eastAsia="zh-CN"/>
              </w:rPr>
              <w:t>30</w:t>
            </w:r>
            <w:r>
              <w:rPr>
                <w:rFonts w:ascii="Times New Roman" w:hAnsi="Times New Roman"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4043" w:type="dxa"/>
            <w:vAlign w:val="center"/>
          </w:tcPr>
          <w:p>
            <w:pPr>
              <w:pStyle w:val="12"/>
              <w:adjustRightInd/>
              <w:spacing w:line="360" w:lineRule="auto"/>
              <w:ind w:left="0" w:firstLine="0"/>
              <w:jc w:val="center"/>
              <w:rPr>
                <w:rFonts w:hint="eastAsia" w:ascii="Times New Roman" w:hAnsi="Times New Roman" w:eastAsia="宋体" w:cs="Times New Roman"/>
                <w:sz w:val="28"/>
                <w:szCs w:val="28"/>
                <w:lang w:eastAsia="zh-CN"/>
              </w:rPr>
            </w:pPr>
            <w:r>
              <w:rPr>
                <w:rFonts w:hint="eastAsia" w:ascii="Times New Roman" w:hAnsi="Times New Roman" w:cs="Times New Roman"/>
                <w:sz w:val="28"/>
                <w:szCs w:val="28"/>
                <w:lang w:val="en-US" w:eastAsia="zh-CN"/>
              </w:rPr>
              <w:t>技 术 部 分</w:t>
            </w:r>
          </w:p>
        </w:tc>
        <w:tc>
          <w:tcPr>
            <w:tcW w:w="4044" w:type="dxa"/>
            <w:vAlign w:val="center"/>
          </w:tcPr>
          <w:p>
            <w:pPr>
              <w:pStyle w:val="12"/>
              <w:adjustRightInd/>
              <w:spacing w:line="360" w:lineRule="auto"/>
              <w:ind w:left="0" w:firstLine="0"/>
              <w:jc w:val="center"/>
              <w:rPr>
                <w:rFonts w:ascii="Times New Roman" w:hAnsi="Times New Roman" w:cs="Times New Roman"/>
                <w:sz w:val="28"/>
                <w:szCs w:val="28"/>
              </w:rPr>
            </w:pPr>
            <w:r>
              <w:rPr>
                <w:rFonts w:hint="eastAsia" w:ascii="Times New Roman" w:hAnsi="Times New Roman" w:cs="Times New Roman"/>
                <w:sz w:val="28"/>
                <w:szCs w:val="28"/>
                <w:lang w:val="en-US" w:eastAsia="zh-CN"/>
              </w:rPr>
              <w:t>1</w:t>
            </w:r>
            <w:r>
              <w:rPr>
                <w:rFonts w:ascii="Times New Roman" w:hAnsi="Times New Roman" w:cs="Times New Roman"/>
                <w:sz w:val="28"/>
                <w:szCs w:val="2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4043" w:type="dxa"/>
            <w:vAlign w:val="center"/>
          </w:tcPr>
          <w:p>
            <w:pPr>
              <w:pStyle w:val="12"/>
              <w:adjustRightInd/>
              <w:spacing w:line="360" w:lineRule="auto"/>
              <w:ind w:left="0" w:leftChars="0" w:firstLine="0" w:firstLineChars="0"/>
              <w:jc w:val="center"/>
              <w:rPr>
                <w:rFonts w:ascii="Times New Roman" w:hAnsi="Times New Roman" w:cs="Times New Roman"/>
                <w:sz w:val="28"/>
                <w:szCs w:val="28"/>
              </w:rPr>
            </w:pPr>
            <w:r>
              <w:rPr>
                <w:rFonts w:ascii="Times New Roman" w:hAnsi="Times New Roman" w:cs="Times New Roman"/>
                <w:sz w:val="28"/>
                <w:szCs w:val="28"/>
              </w:rPr>
              <w:t>合  计</w:t>
            </w:r>
          </w:p>
        </w:tc>
        <w:tc>
          <w:tcPr>
            <w:tcW w:w="4044" w:type="dxa"/>
            <w:vAlign w:val="center"/>
          </w:tcPr>
          <w:p>
            <w:pPr>
              <w:pStyle w:val="12"/>
              <w:adjustRightInd/>
              <w:spacing w:line="360" w:lineRule="auto"/>
              <w:ind w:left="0" w:leftChars="0" w:firstLine="0" w:firstLineChars="0"/>
              <w:jc w:val="center"/>
              <w:rPr>
                <w:rFonts w:ascii="Times New Roman" w:hAnsi="Times New Roman" w:cs="Times New Roman"/>
                <w:sz w:val="28"/>
                <w:szCs w:val="28"/>
              </w:rPr>
            </w:pPr>
            <w:r>
              <w:rPr>
                <w:rFonts w:ascii="Times New Roman" w:hAnsi="Times New Roman" w:cs="Times New Roman"/>
                <w:sz w:val="28"/>
                <w:szCs w:val="28"/>
              </w:rPr>
              <w:t>100分</w:t>
            </w:r>
          </w:p>
        </w:tc>
      </w:tr>
    </w:tbl>
    <w:p>
      <w:pPr>
        <w:snapToGrid w:val="0"/>
        <w:ind w:firstLine="420" w:firstLineChars="200"/>
        <w:rPr>
          <w:szCs w:val="21"/>
        </w:rPr>
      </w:pPr>
    </w:p>
    <w:p>
      <w:pPr>
        <w:autoSpaceDE w:val="0"/>
        <w:autoSpaceDN w:val="0"/>
        <w:adjustRightInd w:val="0"/>
        <w:spacing w:line="520" w:lineRule="exact"/>
        <w:ind w:firstLine="640" w:firstLineChars="200"/>
        <w:outlineLvl w:val="0"/>
        <w:rPr>
          <w:rFonts w:ascii="黑体" w:hAnsi="黑体" w:eastAsia="黑体" w:cs="Times New Roman"/>
          <w:bCs/>
          <w:kern w:val="0"/>
          <w:sz w:val="32"/>
          <w:szCs w:val="32"/>
        </w:rPr>
      </w:pPr>
      <w:r>
        <w:rPr>
          <w:rFonts w:hint="eastAsia" w:ascii="黑体" w:hAnsi="黑体" w:eastAsia="黑体" w:cs="Times New Roman"/>
          <w:bCs/>
          <w:kern w:val="0"/>
          <w:sz w:val="32"/>
          <w:szCs w:val="32"/>
        </w:rPr>
        <w:t>七、时间要求</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6</w:t>
      </w:r>
      <w:r>
        <w:rPr>
          <w:rFonts w:ascii="Times New Roman" w:hAnsi="Times New Roman" w:eastAsia="仿宋_GB2312" w:cs="Times New Roman"/>
          <w:kern w:val="0"/>
          <w:sz w:val="32"/>
          <w:szCs w:val="32"/>
        </w:rPr>
        <w:t>月3</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日前完成本项目研究工作。</w:t>
      </w:r>
    </w:p>
    <w:p>
      <w:pPr>
        <w:autoSpaceDE w:val="0"/>
        <w:autoSpaceDN w:val="0"/>
        <w:adjustRightInd w:val="0"/>
        <w:spacing w:line="520" w:lineRule="exact"/>
        <w:ind w:firstLine="640" w:firstLineChars="200"/>
        <w:outlineLvl w:val="0"/>
        <w:rPr>
          <w:rFonts w:eastAsia="仿宋_GB2312"/>
          <w:kern w:val="0"/>
          <w:sz w:val="32"/>
          <w:szCs w:val="32"/>
        </w:rPr>
      </w:pPr>
      <w:r>
        <w:rPr>
          <w:rFonts w:hint="eastAsia" w:ascii="黑体" w:hAnsi="黑体" w:eastAsia="黑体" w:cs="Times New Roman"/>
          <w:bCs/>
          <w:kern w:val="0"/>
          <w:sz w:val="32"/>
          <w:szCs w:val="32"/>
        </w:rPr>
        <w:t>八、报价时提供以下资料</w:t>
      </w:r>
    </w:p>
    <w:p>
      <w:pPr>
        <w:autoSpaceDE w:val="0"/>
        <w:autoSpaceDN w:val="0"/>
        <w:adjustRightInd w:val="0"/>
        <w:spacing w:line="520" w:lineRule="exact"/>
        <w:ind w:firstLine="640" w:firstLineChars="200"/>
        <w:outlineLvl w:val="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1、公司介绍；2、营业执照正、副本复印件或事业单位法人证书正、副本复印件（盖章）；3、相关资质证书复印件（盖章）；4、承诺拟投入设计人员及简介介绍。5、完成本项目总报价。</w:t>
      </w:r>
    </w:p>
    <w:p>
      <w:pPr>
        <w:autoSpaceDE w:val="0"/>
        <w:autoSpaceDN w:val="0"/>
        <w:adjustRightInd w:val="0"/>
        <w:spacing w:line="520" w:lineRule="exact"/>
        <w:ind w:firstLine="640" w:firstLineChars="200"/>
        <w:outlineLvl w:val="0"/>
        <w:rPr>
          <w:rFonts w:ascii="黑体" w:hAnsi="黑体" w:eastAsia="黑体" w:cs="Times New Roman"/>
          <w:bCs/>
          <w:kern w:val="0"/>
          <w:sz w:val="32"/>
          <w:szCs w:val="32"/>
        </w:rPr>
      </w:pPr>
      <w:r>
        <w:rPr>
          <w:rFonts w:hint="eastAsia" w:ascii="黑体" w:hAnsi="黑体" w:eastAsia="黑体" w:cs="Times New Roman"/>
          <w:bCs/>
          <w:kern w:val="0"/>
          <w:sz w:val="32"/>
          <w:szCs w:val="32"/>
        </w:rPr>
        <w:t>九、注意事项：</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1、请于</w:t>
      </w:r>
      <w:r>
        <w:rPr>
          <w:rFonts w:hint="eastAsia" w:ascii="Times New Roman" w:hAnsi="Times New Roman" w:eastAsia="仿宋_GB2312" w:cs="Times New Roman"/>
          <w:kern w:val="0"/>
          <w:sz w:val="32"/>
          <w:szCs w:val="32"/>
          <w:lang w:val="en-US" w:eastAsia="zh-CN"/>
        </w:rPr>
        <w:t>公示之</w:t>
      </w:r>
      <w:r>
        <w:rPr>
          <w:rFonts w:ascii="Times New Roman" w:hAnsi="Times New Roman" w:eastAsia="仿宋_GB2312" w:cs="Times New Roman"/>
          <w:kern w:val="0"/>
          <w:sz w:val="32"/>
          <w:szCs w:val="32"/>
        </w:rPr>
        <w:t>日</w:t>
      </w:r>
      <w:r>
        <w:rPr>
          <w:rFonts w:hint="eastAsia" w:ascii="Times New Roman" w:hAnsi="Times New Roman" w:eastAsia="仿宋_GB2312" w:cs="Times New Roman"/>
          <w:kern w:val="0"/>
          <w:sz w:val="32"/>
          <w:szCs w:val="32"/>
          <w:lang w:val="en-US" w:eastAsia="zh-CN"/>
        </w:rPr>
        <w:t>起三天</w:t>
      </w:r>
      <w:r>
        <w:rPr>
          <w:rFonts w:hint="eastAsia" w:ascii="Times New Roman" w:hAnsi="Times New Roman" w:eastAsia="仿宋_GB2312" w:cs="Times New Roman"/>
          <w:kern w:val="0"/>
          <w:sz w:val="32"/>
          <w:szCs w:val="32"/>
        </w:rPr>
        <w:t>内</w:t>
      </w:r>
      <w:r>
        <w:rPr>
          <w:rFonts w:ascii="Times New Roman" w:hAnsi="Times New Roman" w:eastAsia="仿宋_GB2312" w:cs="Times New Roman"/>
          <w:kern w:val="0"/>
          <w:sz w:val="32"/>
          <w:szCs w:val="32"/>
        </w:rPr>
        <w:t>将有关资料和报价函传真或送达重庆航运建设发展有限公司总工办。</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2、联系地址：重庆市北部新区高新园星光大道76号天王星B座23楼。</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3、联系人及联系方式：联系人：</w:t>
      </w:r>
      <w:r>
        <w:rPr>
          <w:rFonts w:hint="eastAsia" w:ascii="Times New Roman" w:hAnsi="Times New Roman" w:eastAsia="仿宋_GB2312" w:cs="Times New Roman"/>
          <w:kern w:val="0"/>
          <w:sz w:val="32"/>
          <w:szCs w:val="32"/>
        </w:rPr>
        <w:t>孙先生</w:t>
      </w:r>
      <w:r>
        <w:rPr>
          <w:rFonts w:ascii="Times New Roman" w:hAnsi="Times New Roman" w:eastAsia="仿宋_GB2312" w:cs="Times New Roman"/>
          <w:kern w:val="0"/>
          <w:sz w:val="32"/>
          <w:szCs w:val="32"/>
        </w:rPr>
        <w:t xml:space="preserve"> 电话：023-8</w:t>
      </w:r>
      <w:r>
        <w:rPr>
          <w:rFonts w:hint="eastAsia" w:ascii="Times New Roman" w:hAnsi="Times New Roman" w:eastAsia="仿宋_GB2312" w:cs="Times New Roman"/>
          <w:kern w:val="0"/>
          <w:sz w:val="32"/>
          <w:szCs w:val="32"/>
        </w:rPr>
        <w:t>8</w:t>
      </w:r>
      <w:r>
        <w:rPr>
          <w:rFonts w:ascii="Times New Roman" w:hAnsi="Times New Roman" w:eastAsia="仿宋_GB2312" w:cs="Times New Roman"/>
          <w:kern w:val="0"/>
          <w:sz w:val="32"/>
          <w:szCs w:val="32"/>
        </w:rPr>
        <w:t>7</w:t>
      </w:r>
      <w:r>
        <w:rPr>
          <w:rFonts w:hint="eastAsia" w:ascii="Times New Roman" w:hAnsi="Times New Roman" w:eastAsia="仿宋_GB2312" w:cs="Times New Roman"/>
          <w:kern w:val="0"/>
          <w:sz w:val="32"/>
          <w:szCs w:val="32"/>
        </w:rPr>
        <w:t>34299</w:t>
      </w:r>
      <w:r>
        <w:rPr>
          <w:rFonts w:ascii="Times New Roman" w:hAnsi="Times New Roman" w:eastAsia="仿宋_GB2312" w:cs="Times New Roman"/>
          <w:kern w:val="0"/>
          <w:sz w:val="32"/>
          <w:szCs w:val="32"/>
        </w:rPr>
        <w:t xml:space="preserve"> 传真：023-89076638 </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p>
    <w:p>
      <w:pPr>
        <w:autoSpaceDE w:val="0"/>
        <w:autoSpaceDN w:val="0"/>
        <w:adjustRightInd w:val="0"/>
        <w:spacing w:line="52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 xml:space="preserve">               重庆航运建设发展（集团）有限公司</w:t>
      </w:r>
    </w:p>
    <w:p>
      <w:pPr>
        <w:autoSpaceDE w:val="0"/>
        <w:autoSpaceDN w:val="0"/>
        <w:adjustRightInd w:val="0"/>
        <w:spacing w:line="520" w:lineRule="exact"/>
        <w:ind w:firstLine="640" w:firstLineChars="200"/>
        <w:rPr>
          <w:rFonts w:hint="eastAsia" w:ascii="Times New Roman" w:hAnsi="Times New Roman" w:eastAsia="仿宋_GB2312" w:cs="Times New Roman"/>
          <w:kern w:val="0"/>
          <w:sz w:val="32"/>
          <w:szCs w:val="32"/>
          <w:lang w:val="en-US" w:eastAsia="zh-CN"/>
        </w:rPr>
      </w:pPr>
    </w:p>
    <w:p>
      <w:pPr>
        <w:autoSpaceDE w:val="0"/>
        <w:autoSpaceDN w:val="0"/>
        <w:adjustRightInd w:val="0"/>
        <w:spacing w:line="520" w:lineRule="exact"/>
        <w:ind w:firstLine="640" w:firstLineChars="200"/>
        <w:rPr>
          <w:rFonts w:hint="eastAsia" w:ascii="Times New Roman" w:hAnsi="Times New Roman" w:eastAsia="仿宋_GB2312" w:cs="Times New Roman"/>
          <w:kern w:val="0"/>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 xml:space="preserve">                         2021年9月9日</w:t>
      </w:r>
    </w:p>
    <w:p>
      <w:pPr>
        <w:spacing w:line="720" w:lineRule="auto"/>
        <w:ind w:right="640"/>
        <w:jc w:val="center"/>
        <w:rPr>
          <w:b/>
          <w:bCs/>
          <w:sz w:val="32"/>
          <w:szCs w:val="32"/>
        </w:rPr>
      </w:pPr>
      <w:r>
        <w:rPr>
          <w:b/>
          <w:bCs/>
          <w:sz w:val="32"/>
          <w:szCs w:val="32"/>
        </w:rPr>
        <w:t>评分细则</w:t>
      </w:r>
    </w:p>
    <w:p>
      <w:pPr>
        <w:spacing w:line="240" w:lineRule="atLeast"/>
        <w:ind w:firstLine="480" w:firstLineChars="200"/>
        <w:rPr>
          <w:sz w:val="24"/>
          <w:szCs w:val="21"/>
        </w:rPr>
      </w:pPr>
      <w:r>
        <w:rPr>
          <w:sz w:val="24"/>
          <w:szCs w:val="21"/>
        </w:rPr>
        <w:t>本项目的评标，由专家根据响应文件中的</w:t>
      </w:r>
      <w:r>
        <w:rPr>
          <w:b/>
          <w:bCs/>
          <w:sz w:val="24"/>
          <w:szCs w:val="21"/>
        </w:rPr>
        <w:t>综合实力、业绩、服务、价格</w:t>
      </w:r>
      <w:r>
        <w:rPr>
          <w:sz w:val="24"/>
          <w:szCs w:val="21"/>
        </w:rPr>
        <w:t>等因素进行评分，总分为100分。</w:t>
      </w:r>
      <w:r>
        <w:rPr>
          <w:rFonts w:hint="eastAsia"/>
          <w:sz w:val="24"/>
          <w:szCs w:val="21"/>
        </w:rPr>
        <w:t>报价单位</w:t>
      </w:r>
      <w:r>
        <w:rPr>
          <w:sz w:val="24"/>
          <w:szCs w:val="21"/>
        </w:rPr>
        <w:t>的最终得分是所有评委给其的评分后的总和</w:t>
      </w:r>
      <w:r>
        <w:rPr>
          <w:rFonts w:hint="eastAsia"/>
          <w:sz w:val="24"/>
          <w:szCs w:val="21"/>
        </w:rPr>
        <w:t>，</w:t>
      </w:r>
      <w:r>
        <w:rPr>
          <w:sz w:val="24"/>
          <w:szCs w:val="21"/>
        </w:rPr>
        <w:t>各分项如下：</w:t>
      </w:r>
    </w:p>
    <w:tbl>
      <w:tblPr>
        <w:tblStyle w:val="7"/>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63"/>
        <w:gridCol w:w="1355"/>
        <w:gridCol w:w="6692"/>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9854" w:type="dxa"/>
            <w:gridSpan w:val="5"/>
            <w:tcBorders>
              <w:top w:val="single" w:color="auto" w:sz="4" w:space="0"/>
              <w:left w:val="single" w:color="auto" w:sz="12" w:space="0"/>
              <w:bottom w:val="single" w:color="auto" w:sz="4" w:space="0"/>
              <w:right w:val="single" w:color="auto" w:sz="12" w:space="0"/>
            </w:tcBorders>
            <w:shd w:val="clear" w:color="auto" w:fill="D9D9D9"/>
            <w:vAlign w:val="center"/>
          </w:tcPr>
          <w:p>
            <w:pPr>
              <w:snapToGrid w:val="0"/>
              <w:ind w:left="482" w:hanging="482"/>
              <w:jc w:val="center"/>
              <w:rPr>
                <w:rFonts w:cs="Times New Roman" w:asciiTheme="minorEastAsia" w:hAnsiTheme="minorEastAsia"/>
                <w:b/>
                <w:sz w:val="28"/>
                <w:szCs w:val="28"/>
              </w:rPr>
            </w:pPr>
            <w:r>
              <w:rPr>
                <w:rFonts w:cs="Times New Roman" w:asciiTheme="minorEastAsia" w:hAnsiTheme="minorEastAsia"/>
                <w:b/>
                <w:sz w:val="28"/>
                <w:szCs w:val="28"/>
              </w:rPr>
              <w:t>价格部分（</w:t>
            </w:r>
            <w:r>
              <w:rPr>
                <w:rFonts w:hint="eastAsia" w:cs="Times New Roman" w:asciiTheme="minorEastAsia" w:hAnsiTheme="minorEastAsia"/>
                <w:b/>
                <w:sz w:val="28"/>
                <w:szCs w:val="28"/>
                <w:lang w:val="en-US" w:eastAsia="zh-CN"/>
              </w:rPr>
              <w:t>60</w:t>
            </w:r>
            <w:r>
              <w:rPr>
                <w:rFonts w:cs="Times New Roman" w:asciiTheme="minorEastAsia" w:hAnsiTheme="minorEastAsia"/>
                <w:b/>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916" w:type="dxa"/>
            <w:tcBorders>
              <w:top w:val="single" w:color="auto" w:sz="4" w:space="0"/>
              <w:left w:val="single" w:color="auto" w:sz="12" w:space="0"/>
              <w:bottom w:val="single" w:color="auto" w:sz="4" w:space="0"/>
              <w:right w:val="single" w:color="auto" w:sz="4" w:space="0"/>
            </w:tcBorders>
            <w:vAlign w:val="center"/>
          </w:tcPr>
          <w:p>
            <w:pPr>
              <w:jc w:val="center"/>
              <w:rPr>
                <w:rFonts w:cs="Times New Roman" w:asciiTheme="minorEastAsia" w:hAnsiTheme="minorEastAsia"/>
                <w:b/>
                <w:sz w:val="28"/>
                <w:szCs w:val="28"/>
              </w:rPr>
            </w:pPr>
            <w:r>
              <w:rPr>
                <w:rFonts w:cs="Times New Roman" w:asciiTheme="minorEastAsia" w:hAnsiTheme="minorEastAsia"/>
                <w:b/>
                <w:sz w:val="28"/>
                <w:szCs w:val="28"/>
              </w:rPr>
              <w:t>序号</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sz w:val="28"/>
                <w:szCs w:val="28"/>
              </w:rPr>
            </w:pPr>
            <w:r>
              <w:rPr>
                <w:rFonts w:cs="Times New Roman" w:asciiTheme="minorEastAsia" w:hAnsiTheme="minorEastAsia"/>
                <w:b/>
                <w:sz w:val="28"/>
                <w:szCs w:val="28"/>
              </w:rPr>
              <w:t>项目</w:t>
            </w:r>
          </w:p>
        </w:tc>
        <w:tc>
          <w:tcPr>
            <w:tcW w:w="6692"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sz w:val="28"/>
                <w:szCs w:val="28"/>
              </w:rPr>
            </w:pPr>
            <w:r>
              <w:rPr>
                <w:rFonts w:cs="Times New Roman" w:asciiTheme="minorEastAsia" w:hAnsiTheme="minorEastAsia"/>
                <w:b/>
                <w:sz w:val="28"/>
                <w:szCs w:val="28"/>
              </w:rPr>
              <w:t>评分内容</w:t>
            </w:r>
          </w:p>
        </w:tc>
        <w:tc>
          <w:tcPr>
            <w:tcW w:w="828" w:type="dxa"/>
            <w:tcBorders>
              <w:top w:val="single" w:color="auto" w:sz="4" w:space="0"/>
              <w:left w:val="single" w:color="auto" w:sz="4" w:space="0"/>
              <w:bottom w:val="single" w:color="auto" w:sz="4" w:space="0"/>
              <w:right w:val="single" w:color="auto" w:sz="12" w:space="0"/>
            </w:tcBorders>
            <w:vAlign w:val="center"/>
          </w:tcPr>
          <w:p>
            <w:pPr>
              <w:jc w:val="center"/>
              <w:rPr>
                <w:rFonts w:cs="Times New Roman" w:asciiTheme="minorEastAsia" w:hAnsiTheme="minorEastAsia"/>
                <w:b/>
                <w:sz w:val="28"/>
                <w:szCs w:val="28"/>
              </w:rPr>
            </w:pPr>
            <w:r>
              <w:rPr>
                <w:rFonts w:cs="Times New Roman" w:asciiTheme="minorEastAsia" w:hAnsiTheme="minorEastAsia"/>
                <w:b/>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7" w:hRule="atLeast"/>
          <w:jc w:val="center"/>
        </w:trPr>
        <w:tc>
          <w:tcPr>
            <w:tcW w:w="916" w:type="dxa"/>
            <w:tcBorders>
              <w:top w:val="single" w:color="auto" w:sz="4" w:space="0"/>
              <w:left w:val="single" w:color="auto" w:sz="12" w:space="0"/>
              <w:bottom w:val="single" w:color="auto" w:sz="4" w:space="0"/>
              <w:right w:val="single" w:color="auto" w:sz="4" w:space="0"/>
            </w:tcBorders>
            <w:vAlign w:val="center"/>
          </w:tcPr>
          <w:p>
            <w:pPr>
              <w:snapToGrid w:val="0"/>
              <w:jc w:val="center"/>
              <w:rPr>
                <w:rFonts w:cs="Times New Roman" w:asciiTheme="minorEastAsia" w:hAnsiTheme="minorEastAsia"/>
                <w:sz w:val="28"/>
                <w:szCs w:val="28"/>
              </w:rPr>
            </w:pPr>
            <w:r>
              <w:rPr>
                <w:rFonts w:cs="Times New Roman" w:asciiTheme="minorEastAsia" w:hAnsiTheme="minorEastAsia"/>
                <w:sz w:val="28"/>
                <w:szCs w:val="28"/>
              </w:rPr>
              <w:t>1</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asciiTheme="minorEastAsia" w:hAnsiTheme="minorEastAsia"/>
                <w:sz w:val="28"/>
                <w:szCs w:val="28"/>
              </w:rPr>
            </w:pPr>
            <w:r>
              <w:rPr>
                <w:rFonts w:cs="Times New Roman" w:asciiTheme="minorEastAsia" w:hAnsiTheme="minorEastAsia"/>
                <w:sz w:val="28"/>
                <w:szCs w:val="28"/>
              </w:rPr>
              <w:t>价格得分</w:t>
            </w:r>
          </w:p>
          <w:p>
            <w:pPr>
              <w:snapToGrid w:val="0"/>
              <w:jc w:val="center"/>
              <w:rPr>
                <w:rFonts w:cs="Times New Roman" w:asciiTheme="minorEastAsia" w:hAnsiTheme="minorEastAsia"/>
                <w:sz w:val="28"/>
                <w:szCs w:val="28"/>
              </w:rPr>
            </w:pPr>
            <w:r>
              <w:rPr>
                <w:rFonts w:cs="Times New Roman" w:asciiTheme="minorEastAsia" w:hAnsiTheme="minorEastAsia"/>
                <w:sz w:val="28"/>
                <w:szCs w:val="28"/>
              </w:rPr>
              <w:t>（</w:t>
            </w:r>
            <w:r>
              <w:rPr>
                <w:rFonts w:hint="eastAsia" w:cs="Times New Roman" w:asciiTheme="minorEastAsia" w:hAnsiTheme="minorEastAsia"/>
                <w:sz w:val="28"/>
                <w:szCs w:val="28"/>
                <w:lang w:val="en-US" w:eastAsia="zh-CN"/>
              </w:rPr>
              <w:t>60</w:t>
            </w:r>
            <w:r>
              <w:rPr>
                <w:rFonts w:cs="Times New Roman" w:asciiTheme="minorEastAsia" w:hAnsiTheme="minorEastAsia"/>
                <w:sz w:val="28"/>
                <w:szCs w:val="28"/>
              </w:rPr>
              <w:t>分）</w:t>
            </w:r>
          </w:p>
        </w:tc>
        <w:tc>
          <w:tcPr>
            <w:tcW w:w="6692"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inorEastAsia" w:hAnsiTheme="minorEastAsia"/>
                <w:sz w:val="28"/>
                <w:szCs w:val="28"/>
              </w:rPr>
            </w:pPr>
            <w:r>
              <w:rPr>
                <w:rFonts w:cs="Times New Roman" w:asciiTheme="minorEastAsia" w:hAnsiTheme="minorEastAsia"/>
                <w:sz w:val="28"/>
                <w:szCs w:val="28"/>
              </w:rPr>
              <w:t>价格分评分标准：设最高限价为</w:t>
            </w:r>
            <w:r>
              <w:rPr>
                <w:rFonts w:hint="eastAsia" w:cs="Times New Roman" w:asciiTheme="minorEastAsia" w:hAnsiTheme="minorEastAsia"/>
                <w:sz w:val="28"/>
                <w:szCs w:val="28"/>
                <w:lang w:val="en-US" w:eastAsia="zh-CN"/>
              </w:rPr>
              <w:t>99</w:t>
            </w:r>
            <w:r>
              <w:rPr>
                <w:rFonts w:cs="Times New Roman" w:asciiTheme="minorEastAsia" w:hAnsiTheme="minorEastAsia"/>
                <w:sz w:val="28"/>
                <w:szCs w:val="28"/>
              </w:rPr>
              <w:t>万元（超过最高限价的报价文件将作废）。</w:t>
            </w:r>
          </w:p>
          <w:p>
            <w:pPr>
              <w:snapToGrid w:val="0"/>
              <w:rPr>
                <w:rFonts w:cs="Times New Roman" w:asciiTheme="minorEastAsia" w:hAnsiTheme="minorEastAsia"/>
                <w:sz w:val="28"/>
                <w:szCs w:val="28"/>
              </w:rPr>
            </w:pPr>
            <w:r>
              <w:rPr>
                <w:rFonts w:cs="Times New Roman" w:asciiTheme="minorEastAsia" w:hAnsiTheme="minorEastAsia"/>
                <w:sz w:val="28"/>
                <w:szCs w:val="28"/>
              </w:rPr>
              <w:t>价格分的计算（保留小数点后两位）</w:t>
            </w:r>
          </w:p>
          <w:p>
            <w:pPr>
              <w:snapToGrid w:val="0"/>
              <w:rPr>
                <w:rFonts w:cs="Times New Roman" w:asciiTheme="minorEastAsia" w:hAnsiTheme="minorEastAsia"/>
                <w:sz w:val="28"/>
                <w:szCs w:val="28"/>
              </w:rPr>
            </w:pPr>
            <w:r>
              <w:rPr>
                <w:rFonts w:cs="Times New Roman" w:asciiTheme="minorEastAsia" w:hAnsiTheme="minorEastAsia"/>
                <w:sz w:val="28"/>
                <w:szCs w:val="28"/>
              </w:rPr>
              <w:t>基准价：在有效报价中，报价单位</w:t>
            </w:r>
            <w:r>
              <w:rPr>
                <w:rFonts w:hint="eastAsia" w:cs="Times New Roman" w:asciiTheme="minorEastAsia" w:hAnsiTheme="minorEastAsia"/>
                <w:sz w:val="28"/>
                <w:szCs w:val="28"/>
              </w:rPr>
              <w:t>≧</w:t>
            </w:r>
            <w:r>
              <w:rPr>
                <w:rFonts w:cs="Times New Roman" w:asciiTheme="minorEastAsia" w:hAnsiTheme="minorEastAsia"/>
                <w:sz w:val="28"/>
                <w:szCs w:val="28"/>
              </w:rPr>
              <w:t>5家时，去掉一个最高价和一个最低价，以其余报价的算术平均值为基准价；报价单位小于5家时，所有报价的算术平均值为基准价。</w:t>
            </w:r>
          </w:p>
          <w:p>
            <w:pPr>
              <w:snapToGrid w:val="0"/>
              <w:rPr>
                <w:rFonts w:cs="Times New Roman" w:asciiTheme="minorEastAsia" w:hAnsiTheme="minorEastAsia"/>
                <w:sz w:val="28"/>
                <w:szCs w:val="28"/>
              </w:rPr>
            </w:pPr>
            <w:r>
              <w:rPr>
                <w:rFonts w:cs="Times New Roman" w:asciiTheme="minorEastAsia" w:hAnsiTheme="minorEastAsia"/>
                <w:sz w:val="28"/>
                <w:szCs w:val="28"/>
              </w:rPr>
              <w:t>2）报价单位的报价等于评审基准价的得满分</w:t>
            </w:r>
            <w:r>
              <w:rPr>
                <w:rFonts w:hint="eastAsia" w:cs="Times New Roman" w:asciiTheme="minorEastAsia" w:hAnsiTheme="minorEastAsia"/>
                <w:sz w:val="28"/>
                <w:szCs w:val="28"/>
                <w:lang w:val="en-US" w:eastAsia="zh-CN"/>
              </w:rPr>
              <w:t>60</w:t>
            </w:r>
            <w:r>
              <w:rPr>
                <w:rFonts w:cs="Times New Roman" w:asciiTheme="minorEastAsia" w:hAnsiTheme="minorEastAsia"/>
                <w:sz w:val="28"/>
                <w:szCs w:val="28"/>
              </w:rPr>
              <w:t>分，每高出评审基准价1%扣0.</w:t>
            </w:r>
            <w:r>
              <w:rPr>
                <w:rFonts w:hint="eastAsia" w:cs="Times New Roman" w:asciiTheme="minorEastAsia" w:hAnsiTheme="minorEastAsia"/>
                <w:sz w:val="28"/>
                <w:szCs w:val="28"/>
                <w:lang w:val="en-US" w:eastAsia="zh-CN"/>
              </w:rPr>
              <w:t>5</w:t>
            </w:r>
            <w:r>
              <w:rPr>
                <w:rFonts w:cs="Times New Roman" w:asciiTheme="minorEastAsia" w:hAnsiTheme="minorEastAsia"/>
                <w:sz w:val="28"/>
                <w:szCs w:val="28"/>
              </w:rPr>
              <w:t>分，每低于评审基准价1%扣0.1分。</w:t>
            </w:r>
            <w:r>
              <w:rPr>
                <w:rFonts w:hint="eastAsia" w:cs="Times New Roman" w:asciiTheme="minorEastAsia" w:hAnsiTheme="minorEastAsia"/>
                <w:sz w:val="28"/>
                <w:szCs w:val="28"/>
                <w:lang w:eastAsia="zh-CN"/>
              </w:rPr>
              <w:t>保留到小数点后</w:t>
            </w:r>
            <w:r>
              <w:rPr>
                <w:rFonts w:cs="Times New Roman" w:asciiTheme="minorEastAsia" w:hAnsiTheme="minorEastAsia"/>
                <w:sz w:val="28"/>
                <w:szCs w:val="28"/>
                <w:lang w:eastAsia="zh-CN"/>
              </w:rPr>
              <w:t>2位</w:t>
            </w:r>
            <w:r>
              <w:rPr>
                <w:rFonts w:cs="Times New Roman" w:asciiTheme="minorEastAsia" w:hAnsiTheme="minorEastAsia"/>
                <w:sz w:val="28"/>
                <w:szCs w:val="28"/>
              </w:rPr>
              <w:t>，扣完为止。</w:t>
            </w:r>
          </w:p>
        </w:tc>
        <w:tc>
          <w:tcPr>
            <w:tcW w:w="82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eastAsia" w:cs="Times New Roman" w:asciiTheme="minorEastAsia" w:hAnsiTheme="minorEastAsia" w:eastAsiaTheme="minorEastAsia"/>
                <w:sz w:val="28"/>
                <w:szCs w:val="28"/>
                <w:lang w:eastAsia="zh-CN"/>
              </w:rPr>
            </w:pPr>
            <w:r>
              <w:rPr>
                <w:rFonts w:hint="eastAsia" w:cs="Times New Roman" w:asciiTheme="minorEastAsia" w:hAnsiTheme="minorEastAsia"/>
                <w:sz w:val="28"/>
                <w:szCs w:val="28"/>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9854" w:type="dxa"/>
            <w:gridSpan w:val="5"/>
            <w:tcBorders>
              <w:top w:val="single" w:color="auto" w:sz="4" w:space="0"/>
              <w:left w:val="single" w:color="auto" w:sz="12" w:space="0"/>
              <w:bottom w:val="single" w:color="auto" w:sz="4" w:space="0"/>
              <w:right w:val="single" w:color="auto" w:sz="12" w:space="0"/>
            </w:tcBorders>
            <w:shd w:val="clear" w:color="auto" w:fill="D9D9D9"/>
            <w:vAlign w:val="center"/>
          </w:tcPr>
          <w:p>
            <w:pPr>
              <w:snapToGrid w:val="0"/>
              <w:ind w:left="482" w:hanging="482"/>
              <w:jc w:val="center"/>
              <w:rPr>
                <w:rFonts w:cs="Times New Roman" w:asciiTheme="minorEastAsia" w:hAnsiTheme="minorEastAsia"/>
                <w:b/>
                <w:sz w:val="28"/>
                <w:szCs w:val="28"/>
              </w:rPr>
            </w:pPr>
            <w:r>
              <w:rPr>
                <w:rFonts w:cs="Times New Roman" w:asciiTheme="minorEastAsia" w:hAnsiTheme="minorEastAsia"/>
                <w:b/>
                <w:sz w:val="28"/>
                <w:szCs w:val="28"/>
              </w:rPr>
              <w:t>商务部分（</w:t>
            </w:r>
            <w:r>
              <w:rPr>
                <w:rFonts w:hint="eastAsia" w:cs="Times New Roman" w:asciiTheme="minorEastAsia" w:hAnsiTheme="minorEastAsia"/>
                <w:b/>
                <w:sz w:val="28"/>
                <w:szCs w:val="28"/>
                <w:lang w:val="en-US" w:eastAsia="zh-CN"/>
              </w:rPr>
              <w:t>30</w:t>
            </w:r>
            <w:r>
              <w:rPr>
                <w:rFonts w:cs="Times New Roman" w:asciiTheme="minorEastAsia" w:hAnsiTheme="minorEastAsia"/>
                <w:b/>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jc w:val="center"/>
        </w:trPr>
        <w:tc>
          <w:tcPr>
            <w:tcW w:w="916" w:type="dxa"/>
            <w:vMerge w:val="restart"/>
            <w:tcBorders>
              <w:left w:val="single" w:color="auto" w:sz="12" w:space="0"/>
              <w:right w:val="single" w:color="auto" w:sz="4" w:space="0"/>
            </w:tcBorders>
            <w:vAlign w:val="center"/>
          </w:tcPr>
          <w:p>
            <w:pPr>
              <w:snapToGrid w:val="0"/>
              <w:ind w:left="482" w:hanging="482"/>
              <w:jc w:val="center"/>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sz w:val="28"/>
                <w:szCs w:val="28"/>
                <w:lang w:val="en-US" w:eastAsia="zh-CN"/>
              </w:rPr>
              <w:t>2</w:t>
            </w:r>
          </w:p>
        </w:tc>
        <w:tc>
          <w:tcPr>
            <w:tcW w:w="1418" w:type="dxa"/>
            <w:gridSpan w:val="2"/>
            <w:vMerge w:val="restart"/>
            <w:tcBorders>
              <w:left w:val="single" w:color="auto" w:sz="4" w:space="0"/>
              <w:right w:val="single" w:color="auto" w:sz="4" w:space="0"/>
            </w:tcBorders>
            <w:vAlign w:val="center"/>
          </w:tcPr>
          <w:p>
            <w:pPr>
              <w:snapToGrid w:val="0"/>
              <w:jc w:val="center"/>
              <w:rPr>
                <w:rFonts w:cs="Times New Roman" w:asciiTheme="minorEastAsia" w:hAnsiTheme="minorEastAsia"/>
                <w:sz w:val="28"/>
                <w:szCs w:val="28"/>
              </w:rPr>
            </w:pPr>
            <w:r>
              <w:rPr>
                <w:rFonts w:hint="eastAsia" w:cs="Times New Roman" w:asciiTheme="minorEastAsia" w:hAnsiTheme="minorEastAsia"/>
                <w:sz w:val="28"/>
                <w:szCs w:val="28"/>
                <w:lang w:val="en-US" w:eastAsia="zh-CN"/>
              </w:rPr>
              <w:t>商务</w:t>
            </w:r>
            <w:r>
              <w:rPr>
                <w:rFonts w:cs="Times New Roman" w:asciiTheme="minorEastAsia" w:hAnsiTheme="minorEastAsia"/>
                <w:sz w:val="28"/>
                <w:szCs w:val="28"/>
              </w:rPr>
              <w:t>得分</w:t>
            </w:r>
          </w:p>
          <w:p>
            <w:pPr>
              <w:snapToGrid w:val="0"/>
              <w:ind w:left="482" w:hanging="482"/>
              <w:jc w:val="center"/>
              <w:rPr>
                <w:rFonts w:hint="eastAsia" w:cs="Times New Roman" w:asciiTheme="minorEastAsia" w:hAnsiTheme="minorEastAsia" w:eastAsiaTheme="minorEastAsia"/>
                <w:sz w:val="28"/>
                <w:szCs w:val="28"/>
                <w:lang w:val="en-US" w:eastAsia="zh-CN"/>
              </w:rPr>
            </w:pPr>
            <w:r>
              <w:rPr>
                <w:rFonts w:cs="Times New Roman" w:asciiTheme="minorEastAsia" w:hAnsiTheme="minorEastAsia"/>
                <w:sz w:val="28"/>
                <w:szCs w:val="28"/>
              </w:rPr>
              <w:t>（</w:t>
            </w:r>
            <w:r>
              <w:rPr>
                <w:rFonts w:hint="eastAsia" w:cs="Times New Roman" w:asciiTheme="minorEastAsia" w:hAnsiTheme="minorEastAsia"/>
                <w:sz w:val="28"/>
                <w:szCs w:val="28"/>
                <w:lang w:val="en-US" w:eastAsia="zh-CN"/>
              </w:rPr>
              <w:t>30</w:t>
            </w:r>
            <w:r>
              <w:rPr>
                <w:rFonts w:cs="Times New Roman" w:asciiTheme="minorEastAsia" w:hAnsiTheme="minorEastAsia"/>
                <w:sz w:val="28"/>
                <w:szCs w:val="28"/>
              </w:rPr>
              <w:t>分）</w:t>
            </w:r>
          </w:p>
        </w:tc>
        <w:tc>
          <w:tcPr>
            <w:tcW w:w="6692"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inorEastAsia" w:hAnsiTheme="minorEastAsia"/>
                <w:sz w:val="28"/>
                <w:szCs w:val="28"/>
                <w:highlight w:val="yellow"/>
              </w:rPr>
            </w:pPr>
            <w:r>
              <w:rPr>
                <w:rFonts w:cs="Times New Roman" w:asciiTheme="minorEastAsia" w:hAnsiTheme="minorEastAsia"/>
                <w:sz w:val="28"/>
                <w:szCs w:val="28"/>
              </w:rPr>
              <w:t>近五年，承担过省部级及以上水运信息化</w:t>
            </w:r>
            <w:r>
              <w:rPr>
                <w:rFonts w:hint="eastAsia" w:cs="Times New Roman" w:asciiTheme="minorEastAsia" w:hAnsiTheme="minorEastAsia"/>
                <w:sz w:val="28"/>
                <w:szCs w:val="28"/>
                <w:lang w:val="en-US" w:eastAsia="zh-CN"/>
              </w:rPr>
              <w:t>或水运建设规划</w:t>
            </w:r>
            <w:r>
              <w:rPr>
                <w:rFonts w:cs="Times New Roman" w:asciiTheme="minorEastAsia" w:hAnsiTheme="minorEastAsia"/>
                <w:sz w:val="28"/>
                <w:szCs w:val="28"/>
              </w:rPr>
              <w:t>工作的，每项业绩加5分（须提供合同扫描件。如作为技术支撑单位或直接指定的单位承担的项目，可只提供交通运输主管部门发布的通知文件和应用证明扫描件。以合同签订或发文时间为准），最多加10分</w:t>
            </w:r>
          </w:p>
        </w:tc>
        <w:tc>
          <w:tcPr>
            <w:tcW w:w="828" w:type="dxa"/>
            <w:tcBorders>
              <w:top w:val="single" w:color="auto" w:sz="4" w:space="0"/>
              <w:left w:val="single" w:color="auto" w:sz="4" w:space="0"/>
              <w:bottom w:val="single" w:color="auto" w:sz="4" w:space="0"/>
              <w:right w:val="single" w:color="auto" w:sz="12" w:space="0"/>
            </w:tcBorders>
            <w:vAlign w:val="center"/>
          </w:tcPr>
          <w:p>
            <w:pPr>
              <w:snapToGrid w:val="0"/>
              <w:ind w:left="482" w:hanging="482"/>
              <w:jc w:val="center"/>
              <w:rPr>
                <w:rFonts w:cs="Times New Roman" w:asciiTheme="minorEastAsia" w:hAnsiTheme="minorEastAsia"/>
                <w:sz w:val="28"/>
                <w:szCs w:val="28"/>
                <w:highlight w:val="yellow"/>
              </w:rPr>
            </w:pPr>
            <w:r>
              <w:rPr>
                <w:rFonts w:cs="Times New Roman" w:asciiTheme="minorEastAsia" w:hAnsiTheme="minorEastAsia"/>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6" w:type="dxa"/>
            <w:vMerge w:val="continue"/>
            <w:tcBorders>
              <w:left w:val="single" w:color="auto" w:sz="12" w:space="0"/>
              <w:right w:val="single" w:color="auto" w:sz="4" w:space="0"/>
            </w:tcBorders>
            <w:vAlign w:val="center"/>
          </w:tcPr>
          <w:p>
            <w:pPr>
              <w:snapToGrid w:val="0"/>
              <w:ind w:left="482" w:hanging="482"/>
              <w:jc w:val="center"/>
              <w:rPr>
                <w:rFonts w:cs="Times New Roman" w:asciiTheme="minorEastAsia" w:hAnsiTheme="minorEastAsia"/>
                <w:sz w:val="28"/>
                <w:szCs w:val="28"/>
              </w:rPr>
            </w:pPr>
          </w:p>
        </w:tc>
        <w:tc>
          <w:tcPr>
            <w:tcW w:w="1418" w:type="dxa"/>
            <w:gridSpan w:val="2"/>
            <w:vMerge w:val="continue"/>
            <w:tcBorders>
              <w:left w:val="single" w:color="auto" w:sz="4" w:space="0"/>
              <w:right w:val="single" w:color="auto" w:sz="4" w:space="0"/>
            </w:tcBorders>
            <w:vAlign w:val="center"/>
          </w:tcPr>
          <w:p>
            <w:pPr>
              <w:snapToGrid w:val="0"/>
              <w:ind w:left="482" w:hanging="482"/>
              <w:jc w:val="center"/>
              <w:rPr>
                <w:rFonts w:cs="Times New Roman" w:asciiTheme="minorEastAsia" w:hAnsiTheme="minorEastAsia"/>
                <w:sz w:val="28"/>
                <w:szCs w:val="28"/>
              </w:rPr>
            </w:pPr>
          </w:p>
        </w:tc>
        <w:tc>
          <w:tcPr>
            <w:tcW w:w="6692"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inorEastAsia" w:hAnsiTheme="minorEastAsia"/>
                <w:sz w:val="28"/>
                <w:szCs w:val="28"/>
              </w:rPr>
            </w:pPr>
            <w:r>
              <w:rPr>
                <w:rFonts w:cs="Times New Roman" w:asciiTheme="minorEastAsia" w:hAnsiTheme="minorEastAsia"/>
                <w:sz w:val="28"/>
                <w:szCs w:val="28"/>
              </w:rPr>
              <w:t>项目组成员中具有高级工程师及以上职称的，每个加</w:t>
            </w:r>
            <w:r>
              <w:rPr>
                <w:rFonts w:hint="eastAsia" w:cs="Times New Roman" w:asciiTheme="minorEastAsia" w:hAnsiTheme="minorEastAsia"/>
                <w:sz w:val="28"/>
                <w:szCs w:val="28"/>
              </w:rPr>
              <w:t>2</w:t>
            </w:r>
            <w:r>
              <w:rPr>
                <w:rFonts w:cs="Times New Roman" w:asciiTheme="minorEastAsia" w:hAnsiTheme="minorEastAsia"/>
                <w:sz w:val="28"/>
                <w:szCs w:val="28"/>
              </w:rPr>
              <w:t>分，最高可加</w:t>
            </w:r>
            <w:r>
              <w:rPr>
                <w:rFonts w:hint="eastAsia" w:cs="Times New Roman" w:asciiTheme="minorEastAsia" w:hAnsiTheme="minorEastAsia"/>
                <w:sz w:val="28"/>
                <w:szCs w:val="28"/>
              </w:rPr>
              <w:t>10</w:t>
            </w:r>
            <w:r>
              <w:rPr>
                <w:rFonts w:cs="Times New Roman" w:asciiTheme="minorEastAsia" w:hAnsiTheme="minorEastAsia"/>
                <w:sz w:val="28"/>
                <w:szCs w:val="28"/>
              </w:rPr>
              <w:t>分</w:t>
            </w:r>
          </w:p>
        </w:tc>
        <w:tc>
          <w:tcPr>
            <w:tcW w:w="828" w:type="dxa"/>
            <w:tcBorders>
              <w:top w:val="single" w:color="auto" w:sz="4" w:space="0"/>
              <w:left w:val="single" w:color="auto" w:sz="4" w:space="0"/>
              <w:bottom w:val="single" w:color="auto" w:sz="4" w:space="0"/>
              <w:right w:val="single" w:color="auto" w:sz="12" w:space="0"/>
            </w:tcBorders>
            <w:vAlign w:val="center"/>
          </w:tcPr>
          <w:p>
            <w:pPr>
              <w:snapToGrid w:val="0"/>
              <w:ind w:left="482" w:hanging="482"/>
              <w:jc w:val="center"/>
              <w:rPr>
                <w:rFonts w:cs="Times New Roman" w:asciiTheme="minorEastAsia" w:hAnsiTheme="minorEastAsia"/>
                <w:sz w:val="28"/>
                <w:szCs w:val="28"/>
              </w:rPr>
            </w:pPr>
            <w:r>
              <w:rPr>
                <w:rFonts w:cs="Times New Roman" w:asciiTheme="minorEastAsia" w:hAnsiTheme="minorEastAsia"/>
                <w:sz w:val="28"/>
                <w:szCs w:val="28"/>
              </w:rPr>
              <w:t>1</w:t>
            </w:r>
            <w:r>
              <w:rPr>
                <w:rFonts w:hint="eastAsia" w:cs="Times New Roman" w:asciiTheme="minorEastAsia" w:hAnsiTheme="minorEastAsia"/>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jc w:val="center"/>
        </w:trPr>
        <w:tc>
          <w:tcPr>
            <w:tcW w:w="916" w:type="dxa"/>
            <w:vMerge w:val="continue"/>
            <w:tcBorders>
              <w:left w:val="single" w:color="auto" w:sz="12" w:space="0"/>
              <w:right w:val="single" w:color="auto" w:sz="4" w:space="0"/>
            </w:tcBorders>
            <w:vAlign w:val="center"/>
          </w:tcPr>
          <w:p>
            <w:pPr>
              <w:snapToGrid w:val="0"/>
              <w:jc w:val="center"/>
              <w:rPr>
                <w:rFonts w:cs="Times New Roman" w:asciiTheme="minorEastAsia" w:hAnsiTheme="minorEastAsia"/>
                <w:sz w:val="28"/>
                <w:szCs w:val="28"/>
              </w:rPr>
            </w:pPr>
          </w:p>
        </w:tc>
        <w:tc>
          <w:tcPr>
            <w:tcW w:w="1418" w:type="dxa"/>
            <w:gridSpan w:val="2"/>
            <w:vMerge w:val="continue"/>
            <w:tcBorders>
              <w:left w:val="single" w:color="auto" w:sz="4" w:space="0"/>
              <w:right w:val="single" w:color="auto" w:sz="4" w:space="0"/>
            </w:tcBorders>
            <w:vAlign w:val="center"/>
          </w:tcPr>
          <w:p>
            <w:pPr>
              <w:snapToGrid w:val="0"/>
              <w:jc w:val="center"/>
              <w:rPr>
                <w:rFonts w:cs="Times New Roman" w:asciiTheme="minorEastAsia" w:hAnsiTheme="minorEastAsia"/>
                <w:sz w:val="28"/>
                <w:szCs w:val="28"/>
                <w:highlight w:val="yellow"/>
              </w:rPr>
            </w:pPr>
          </w:p>
        </w:tc>
        <w:tc>
          <w:tcPr>
            <w:tcW w:w="6692"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inorEastAsia" w:hAnsiTheme="minorEastAsia"/>
                <w:sz w:val="28"/>
                <w:szCs w:val="28"/>
              </w:rPr>
            </w:pPr>
            <w:r>
              <w:rPr>
                <w:rFonts w:cs="Times New Roman" w:asciiTheme="minorEastAsia" w:hAnsiTheme="minorEastAsia"/>
                <w:sz w:val="28"/>
                <w:szCs w:val="28"/>
              </w:rPr>
              <w:t>近五年，水运信息化工作采用的同类关键信息技术，获得过省级及以上行政主管部门或在国内依法登记注册的行业协会颁发的科技奖励，一等奖加6分，二等奖加4分，三等奖加2分，最多得10分。</w:t>
            </w:r>
          </w:p>
        </w:tc>
        <w:tc>
          <w:tcPr>
            <w:tcW w:w="828" w:type="dxa"/>
            <w:tcBorders>
              <w:top w:val="single" w:color="auto" w:sz="4" w:space="0"/>
              <w:left w:val="single" w:color="auto" w:sz="4" w:space="0"/>
              <w:bottom w:val="single" w:color="auto" w:sz="4" w:space="0"/>
              <w:right w:val="single" w:color="auto" w:sz="12" w:space="0"/>
            </w:tcBorders>
            <w:vAlign w:val="center"/>
          </w:tcPr>
          <w:p>
            <w:pPr>
              <w:snapToGrid w:val="0"/>
              <w:ind w:left="482" w:hanging="482"/>
              <w:jc w:val="center"/>
              <w:rPr>
                <w:rFonts w:cs="Times New Roman" w:asciiTheme="minorEastAsia" w:hAnsiTheme="minorEastAsia"/>
                <w:sz w:val="28"/>
                <w:szCs w:val="28"/>
              </w:rPr>
            </w:pPr>
            <w:r>
              <w:rPr>
                <w:rFonts w:cs="Times New Roman" w:asciiTheme="minorEastAsia" w:hAnsiTheme="minorEastAsia"/>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9854" w:type="dxa"/>
            <w:gridSpan w:val="5"/>
            <w:tcBorders>
              <w:left w:val="single" w:color="auto" w:sz="12" w:space="0"/>
              <w:right w:val="single" w:color="auto" w:sz="12" w:space="0"/>
            </w:tcBorders>
            <w:shd w:val="clear" w:color="auto" w:fill="BEBEBE" w:themeFill="background1" w:themeFillShade="BF"/>
            <w:vAlign w:val="center"/>
          </w:tcPr>
          <w:p>
            <w:pPr>
              <w:snapToGrid w:val="0"/>
              <w:ind w:left="482" w:hanging="482"/>
              <w:jc w:val="center"/>
              <w:rPr>
                <w:rFonts w:cs="Times New Roman" w:asciiTheme="minorEastAsia" w:hAnsiTheme="minorEastAsia"/>
                <w:b/>
                <w:sz w:val="28"/>
                <w:szCs w:val="28"/>
              </w:rPr>
            </w:pPr>
            <w:r>
              <w:rPr>
                <w:rFonts w:hint="eastAsia" w:cs="Times New Roman" w:asciiTheme="minorEastAsia" w:hAnsiTheme="minorEastAsia"/>
                <w:b/>
                <w:sz w:val="28"/>
                <w:szCs w:val="28"/>
                <w:lang w:val="en-US" w:eastAsia="zh-CN"/>
              </w:rPr>
              <w:t>技术</w:t>
            </w:r>
            <w:r>
              <w:rPr>
                <w:rFonts w:cs="Times New Roman" w:asciiTheme="minorEastAsia" w:hAnsiTheme="minorEastAsia"/>
                <w:b/>
                <w:sz w:val="28"/>
                <w:szCs w:val="28"/>
              </w:rPr>
              <w:t>部分（</w:t>
            </w:r>
            <w:r>
              <w:rPr>
                <w:rFonts w:hint="eastAsia" w:cs="Times New Roman" w:asciiTheme="minorEastAsia" w:hAnsiTheme="minorEastAsia"/>
                <w:b/>
                <w:sz w:val="28"/>
                <w:szCs w:val="28"/>
                <w:lang w:val="en-US" w:eastAsia="zh-CN"/>
              </w:rPr>
              <w:t>10</w:t>
            </w:r>
            <w:r>
              <w:rPr>
                <w:rFonts w:cs="Times New Roman" w:asciiTheme="minorEastAsia" w:hAnsiTheme="minorEastAsia"/>
                <w:b/>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jc w:val="center"/>
        </w:trPr>
        <w:tc>
          <w:tcPr>
            <w:tcW w:w="979" w:type="dxa"/>
            <w:gridSpan w:val="2"/>
            <w:tcBorders>
              <w:left w:val="single" w:color="auto" w:sz="12" w:space="0"/>
              <w:right w:val="single" w:color="auto" w:sz="12" w:space="0"/>
            </w:tcBorders>
            <w:vAlign w:val="center"/>
          </w:tcPr>
          <w:p>
            <w:pPr>
              <w:snapToGrid w:val="0"/>
              <w:rPr>
                <w:rFonts w:hint="eastAsia" w:cs="Times New Roman" w:asciiTheme="minorEastAsia" w:hAnsiTheme="minorEastAsia"/>
                <w:sz w:val="28"/>
                <w:szCs w:val="28"/>
                <w:lang w:val="en-US" w:eastAsia="zh-CN"/>
              </w:rPr>
            </w:pPr>
            <w:r>
              <w:rPr>
                <w:rFonts w:hint="eastAsia" w:cs="Times New Roman" w:asciiTheme="minorEastAsia" w:hAnsiTheme="minorEastAsia"/>
                <w:sz w:val="28"/>
                <w:szCs w:val="28"/>
                <w:lang w:val="en-US" w:eastAsia="zh-CN"/>
              </w:rPr>
              <w:t>3</w:t>
            </w:r>
          </w:p>
        </w:tc>
        <w:tc>
          <w:tcPr>
            <w:tcW w:w="1355" w:type="dxa"/>
            <w:tcBorders>
              <w:left w:val="single" w:color="auto" w:sz="12" w:space="0"/>
              <w:right w:val="single" w:color="auto" w:sz="12" w:space="0"/>
            </w:tcBorders>
            <w:vAlign w:val="center"/>
          </w:tcPr>
          <w:p>
            <w:pPr>
              <w:snapToGrid w:val="0"/>
              <w:rPr>
                <w:rFonts w:hint="eastAsia" w:cs="Times New Roman" w:asciiTheme="minorEastAsia" w:hAnsiTheme="minorEastAsia"/>
                <w:sz w:val="28"/>
                <w:szCs w:val="28"/>
                <w:lang w:val="en-US" w:eastAsia="zh-CN"/>
              </w:rPr>
            </w:pPr>
            <w:r>
              <w:rPr>
                <w:rFonts w:hint="eastAsia" w:cs="Times New Roman" w:asciiTheme="minorEastAsia" w:hAnsiTheme="minorEastAsia"/>
                <w:sz w:val="28"/>
                <w:szCs w:val="28"/>
                <w:lang w:val="en-US" w:eastAsia="zh-CN"/>
              </w:rPr>
              <w:t>技术部分</w:t>
            </w:r>
          </w:p>
          <w:p>
            <w:pPr>
              <w:snapToGrid w:val="0"/>
              <w:rPr>
                <w:rFonts w:hint="eastAsia" w:cs="Times New Roman" w:asciiTheme="minorEastAsia" w:hAnsiTheme="minorEastAsia"/>
                <w:sz w:val="28"/>
                <w:szCs w:val="28"/>
                <w:lang w:val="en-US" w:eastAsia="zh-CN"/>
              </w:rPr>
            </w:pPr>
            <w:r>
              <w:rPr>
                <w:rFonts w:hint="eastAsia" w:cs="Times New Roman" w:asciiTheme="minorEastAsia" w:hAnsiTheme="minorEastAsia"/>
                <w:sz w:val="28"/>
                <w:szCs w:val="28"/>
                <w:lang w:val="en-US" w:eastAsia="zh-CN"/>
              </w:rPr>
              <w:t>（10分）</w:t>
            </w:r>
          </w:p>
        </w:tc>
        <w:tc>
          <w:tcPr>
            <w:tcW w:w="6692" w:type="dxa"/>
            <w:tcBorders>
              <w:left w:val="single" w:color="auto" w:sz="12" w:space="0"/>
              <w:right w:val="single" w:color="auto" w:sz="12" w:space="0"/>
            </w:tcBorders>
            <w:vAlign w:val="center"/>
          </w:tcPr>
          <w:p>
            <w:pPr>
              <w:snapToGrid w:val="0"/>
              <w:rPr>
                <w:rFonts w:hint="eastAsia" w:cs="Times New Roman" w:asciiTheme="minorEastAsia" w:hAnsiTheme="minorEastAsia"/>
                <w:sz w:val="28"/>
                <w:szCs w:val="28"/>
                <w:lang w:val="en-US" w:eastAsia="zh-CN"/>
              </w:rPr>
            </w:pPr>
            <w:r>
              <w:rPr>
                <w:rFonts w:hint="eastAsia" w:cs="Times New Roman" w:asciiTheme="minorEastAsia" w:hAnsiTheme="minorEastAsia"/>
                <w:sz w:val="28"/>
                <w:szCs w:val="28"/>
                <w:lang w:val="en-US" w:eastAsia="zh-CN"/>
              </w:rPr>
              <w:t>根据报价人对本项目工作时间及进度安排是否优于招标人要求及其安排的合理性，根据报价人对项目实施及质量的保障措施的可行性与完整性，横向对比之：</w:t>
            </w:r>
          </w:p>
          <w:p>
            <w:pPr>
              <w:snapToGrid w:val="0"/>
              <w:rPr>
                <w:rFonts w:hint="eastAsia" w:cs="Times New Roman" w:asciiTheme="minorEastAsia" w:hAnsiTheme="minorEastAsia"/>
                <w:sz w:val="28"/>
                <w:szCs w:val="28"/>
                <w:lang w:val="en-US" w:eastAsia="zh-CN"/>
              </w:rPr>
            </w:pPr>
            <w:r>
              <w:rPr>
                <w:rFonts w:hint="eastAsia" w:cs="Times New Roman" w:asciiTheme="minorEastAsia" w:hAnsiTheme="minorEastAsia"/>
                <w:sz w:val="28"/>
                <w:szCs w:val="28"/>
                <w:lang w:val="en-US" w:eastAsia="zh-CN"/>
              </w:rPr>
              <w:t>优：10分；良：8分；一般：6分；差：2分。</w:t>
            </w:r>
          </w:p>
        </w:tc>
        <w:tc>
          <w:tcPr>
            <w:tcW w:w="828" w:type="dxa"/>
            <w:tcBorders>
              <w:left w:val="single" w:color="auto" w:sz="12" w:space="0"/>
              <w:right w:val="single" w:color="auto" w:sz="12" w:space="0"/>
            </w:tcBorders>
            <w:vAlign w:val="center"/>
          </w:tcPr>
          <w:p>
            <w:pPr>
              <w:snapToGrid w:val="0"/>
              <w:rPr>
                <w:rFonts w:hint="eastAsia" w:cs="Times New Roman" w:asciiTheme="minorEastAsia" w:hAnsiTheme="minorEastAsia"/>
                <w:sz w:val="28"/>
                <w:szCs w:val="28"/>
                <w:lang w:val="en-US" w:eastAsia="zh-CN"/>
              </w:rPr>
            </w:pPr>
            <w:r>
              <w:rPr>
                <w:rFonts w:hint="eastAsia" w:cs="Times New Roman" w:asciiTheme="minorEastAsia" w:hAnsiTheme="minorEastAsia"/>
                <w:sz w:val="28"/>
                <w:szCs w:val="28"/>
                <w:lang w:val="en-US" w:eastAsia="zh-CN"/>
              </w:rPr>
              <w:t>10</w:t>
            </w:r>
          </w:p>
        </w:tc>
      </w:tr>
    </w:tbl>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3454606"/>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EF5"/>
    <w:rsid w:val="00005D63"/>
    <w:rsid w:val="00037A16"/>
    <w:rsid w:val="00054B51"/>
    <w:rsid w:val="00081A93"/>
    <w:rsid w:val="00163E6C"/>
    <w:rsid w:val="0017054B"/>
    <w:rsid w:val="001B053E"/>
    <w:rsid w:val="001B2466"/>
    <w:rsid w:val="001C7D9C"/>
    <w:rsid w:val="001E6258"/>
    <w:rsid w:val="00222F71"/>
    <w:rsid w:val="00260363"/>
    <w:rsid w:val="002608E6"/>
    <w:rsid w:val="002724CA"/>
    <w:rsid w:val="0029681C"/>
    <w:rsid w:val="00326EFA"/>
    <w:rsid w:val="00377537"/>
    <w:rsid w:val="003B13EA"/>
    <w:rsid w:val="00401B41"/>
    <w:rsid w:val="0043000F"/>
    <w:rsid w:val="00494FFB"/>
    <w:rsid w:val="004B76BB"/>
    <w:rsid w:val="005244F4"/>
    <w:rsid w:val="00557E13"/>
    <w:rsid w:val="005B07AA"/>
    <w:rsid w:val="005B4801"/>
    <w:rsid w:val="005B7741"/>
    <w:rsid w:val="005D00F7"/>
    <w:rsid w:val="00610B4B"/>
    <w:rsid w:val="00632CB6"/>
    <w:rsid w:val="006355A9"/>
    <w:rsid w:val="00666EFA"/>
    <w:rsid w:val="00695FC4"/>
    <w:rsid w:val="006A2E13"/>
    <w:rsid w:val="006E18C2"/>
    <w:rsid w:val="006E6B62"/>
    <w:rsid w:val="00716AC7"/>
    <w:rsid w:val="00723FB9"/>
    <w:rsid w:val="0073453D"/>
    <w:rsid w:val="00784FC3"/>
    <w:rsid w:val="0079712F"/>
    <w:rsid w:val="00857BC8"/>
    <w:rsid w:val="008939F8"/>
    <w:rsid w:val="0089651F"/>
    <w:rsid w:val="008A4E48"/>
    <w:rsid w:val="009272B4"/>
    <w:rsid w:val="00981122"/>
    <w:rsid w:val="009A1F65"/>
    <w:rsid w:val="00A90C4E"/>
    <w:rsid w:val="00B00D72"/>
    <w:rsid w:val="00B40716"/>
    <w:rsid w:val="00B435C2"/>
    <w:rsid w:val="00B55734"/>
    <w:rsid w:val="00B83EF4"/>
    <w:rsid w:val="00BB4028"/>
    <w:rsid w:val="00BB76F5"/>
    <w:rsid w:val="00BF7E11"/>
    <w:rsid w:val="00C82BD0"/>
    <w:rsid w:val="00CB4645"/>
    <w:rsid w:val="00CC39BC"/>
    <w:rsid w:val="00CE4D34"/>
    <w:rsid w:val="00D207EE"/>
    <w:rsid w:val="00D97402"/>
    <w:rsid w:val="00DA6324"/>
    <w:rsid w:val="00DC0771"/>
    <w:rsid w:val="00E02FC1"/>
    <w:rsid w:val="00E05101"/>
    <w:rsid w:val="00E30FE9"/>
    <w:rsid w:val="00E60BD1"/>
    <w:rsid w:val="00E70EF9"/>
    <w:rsid w:val="00F12FDD"/>
    <w:rsid w:val="00F51846"/>
    <w:rsid w:val="00F608FC"/>
    <w:rsid w:val="00F64C72"/>
    <w:rsid w:val="00F75EF5"/>
    <w:rsid w:val="00F765D3"/>
    <w:rsid w:val="00F91172"/>
    <w:rsid w:val="00F93D04"/>
    <w:rsid w:val="00FA1132"/>
    <w:rsid w:val="00FB7247"/>
    <w:rsid w:val="00FD00C1"/>
    <w:rsid w:val="00FE72C3"/>
    <w:rsid w:val="031E09AF"/>
    <w:rsid w:val="29385500"/>
    <w:rsid w:val="2FB77928"/>
    <w:rsid w:val="3B4A32D7"/>
    <w:rsid w:val="56A37573"/>
    <w:rsid w:val="5E523605"/>
    <w:rsid w:val="6641211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3"/>
    <w:unhideWhenUsed/>
    <w:qFormat/>
    <w:uiPriority w:val="9"/>
    <w:pPr>
      <w:tabs>
        <w:tab w:val="left" w:leader="dot" w:pos="0"/>
      </w:tabs>
      <w:autoSpaceDE w:val="0"/>
      <w:autoSpaceDN w:val="0"/>
      <w:adjustRightInd w:val="0"/>
      <w:snapToGrid w:val="0"/>
      <w:spacing w:line="360" w:lineRule="auto"/>
      <w:outlineLvl w:val="2"/>
    </w:pPr>
    <w:rPr>
      <w:rFonts w:cs="宋体"/>
      <w:color w:val="000000"/>
      <w:sz w:val="24"/>
    </w:rPr>
  </w:style>
  <w:style w:type="character" w:default="1" w:styleId="6">
    <w:name w:val="Default Paragraph Font"/>
    <w:unhideWhenUsed/>
    <w:qFormat/>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99"/>
    <w:rPr>
      <w:sz w:val="18"/>
      <w:szCs w:val="18"/>
    </w:rPr>
  </w:style>
  <w:style w:type="character" w:customStyle="1" w:styleId="9">
    <w:name w:val="页脚 Char"/>
    <w:basedOn w:val="6"/>
    <w:link w:val="4"/>
    <w:qFormat/>
    <w:uiPriority w:val="99"/>
    <w:rPr>
      <w:sz w:val="18"/>
      <w:szCs w:val="18"/>
    </w:rPr>
  </w:style>
  <w:style w:type="paragraph" w:customStyle="1" w:styleId="10">
    <w:name w:val="List Paragraph"/>
    <w:basedOn w:val="1"/>
    <w:qFormat/>
    <w:uiPriority w:val="34"/>
    <w:pPr>
      <w:ind w:firstLine="420" w:firstLineChars="200"/>
    </w:pPr>
  </w:style>
  <w:style w:type="paragraph" w:customStyle="1" w:styleId="11">
    <w:name w:val="列出段落2"/>
    <w:basedOn w:val="1"/>
    <w:qFormat/>
    <w:uiPriority w:val="0"/>
    <w:pPr>
      <w:adjustRightInd w:val="0"/>
      <w:spacing w:line="360" w:lineRule="atLeast"/>
      <w:ind w:firstLine="200" w:firstLineChars="200"/>
      <w:jc w:val="left"/>
      <w:textAlignment w:val="baseline"/>
    </w:pPr>
    <w:rPr>
      <w:rFonts w:ascii="Times New Roman" w:hAnsi="Times New Roman" w:eastAsia="宋体" w:cs="Times New Roman"/>
      <w:szCs w:val="21"/>
    </w:rPr>
  </w:style>
  <w:style w:type="paragraph" w:customStyle="1" w:styleId="12">
    <w:name w:val="样式1"/>
    <w:basedOn w:val="1"/>
    <w:qFormat/>
    <w:uiPriority w:val="0"/>
    <w:pPr>
      <w:tabs>
        <w:tab w:val="left" w:pos="709"/>
      </w:tabs>
      <w:adjustRightInd w:val="0"/>
      <w:ind w:left="709" w:hanging="709"/>
      <w:textAlignment w:val="baseline"/>
    </w:pPr>
    <w:rPr>
      <w:rFonts w:ascii="宋体" w:hAnsi="宋体" w:eastAsia="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307</Words>
  <Characters>1751</Characters>
  <Lines>14</Lines>
  <Paragraphs>4</Paragraphs>
  <ScaleCrop>false</ScaleCrop>
  <LinksUpToDate>false</LinksUpToDate>
  <CharactersWithSpaces>2054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2021-05-16T08:41:00Z</dcterms:created>
  <dc:creator>贾鹏鹏</dc:creator>
  <cp:lastModifiedBy>86177</cp:lastModifiedBy>
  <dcterms:modified xsi:type="dcterms:W3CDTF">2021-09-10T00:39:16Z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BAC6ED6B2F874EAD9BD0B426FD0ABC9E</vt:lpwstr>
  </property>
</Properties>
</file>