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ascii="宋体" w:hAnsi="宋体"/>
          <w:b/>
          <w:snapToGrid w:val="0"/>
          <w:kern w:val="0"/>
          <w:sz w:val="24"/>
          <w:szCs w:val="28"/>
          <w:highlight w:val="none"/>
        </w:rPr>
      </w:pPr>
      <w:bookmarkStart w:id="0" w:name="_Hlk73973297"/>
      <w:bookmarkStart w:id="1" w:name="OLE_LINK2"/>
      <w:r>
        <w:rPr>
          <w:rFonts w:ascii="宋体" w:hAnsi="宋体"/>
          <w:b/>
          <w:snapToGrid w:val="0"/>
          <w:kern w:val="0"/>
          <w:sz w:val="24"/>
          <w:szCs w:val="28"/>
          <w:highlight w:val="none"/>
        </w:rPr>
        <w:t>重庆乌江白马航电枢纽</w:t>
      </w:r>
      <w:r>
        <w:rPr>
          <w:rFonts w:hint="eastAsia" w:ascii="宋体" w:hAnsi="宋体"/>
          <w:b/>
          <w:snapToGrid w:val="0"/>
          <w:kern w:val="0"/>
          <w:sz w:val="24"/>
          <w:szCs w:val="28"/>
          <w:highlight w:val="none"/>
        </w:rPr>
        <w:t>工程</w:t>
      </w:r>
      <w:bookmarkEnd w:id="0"/>
      <w:r>
        <w:rPr>
          <w:rFonts w:hint="eastAsia" w:ascii="宋体" w:hAnsi="宋体"/>
          <w:b/>
          <w:snapToGrid w:val="0"/>
          <w:kern w:val="0"/>
          <w:sz w:val="24"/>
          <w:szCs w:val="28"/>
          <w:highlight w:val="none"/>
        </w:rPr>
        <w:t>第三方试验检测</w:t>
      </w:r>
      <w:r>
        <w:rPr>
          <w:rFonts w:ascii="宋体" w:hAnsi="宋体"/>
          <w:b/>
          <w:snapToGrid w:val="0"/>
          <w:kern w:val="0"/>
          <w:sz w:val="24"/>
          <w:szCs w:val="28"/>
          <w:highlight w:val="none"/>
        </w:rPr>
        <w:t>招标公告</w:t>
      </w:r>
    </w:p>
    <w:p>
      <w:pPr>
        <w:autoSpaceDE w:val="0"/>
        <w:autoSpaceDN w:val="0"/>
        <w:adjustRightInd w:val="0"/>
        <w:snapToGrid w:val="0"/>
        <w:spacing w:line="360" w:lineRule="auto"/>
        <w:jc w:val="center"/>
        <w:rPr>
          <w:rFonts w:ascii="宋体" w:hAnsi="宋体"/>
          <w:b/>
          <w:snapToGrid w:val="0"/>
          <w:kern w:val="0"/>
          <w:sz w:val="24"/>
          <w:szCs w:val="28"/>
          <w:highlight w:val="none"/>
        </w:rPr>
      </w:pPr>
      <w:r>
        <w:rPr>
          <w:rFonts w:hint="eastAsia" w:ascii="宋体" w:hAnsi="宋体"/>
          <w:b/>
          <w:snapToGrid w:val="0"/>
          <w:kern w:val="0"/>
          <w:sz w:val="24"/>
          <w:szCs w:val="28"/>
          <w:highlight w:val="none"/>
        </w:rPr>
        <w:t>（招标</w:t>
      </w:r>
      <w:r>
        <w:rPr>
          <w:rFonts w:ascii="宋体" w:hAnsi="宋体"/>
          <w:b/>
          <w:snapToGrid w:val="0"/>
          <w:kern w:val="0"/>
          <w:sz w:val="24"/>
          <w:szCs w:val="28"/>
          <w:highlight w:val="none"/>
        </w:rPr>
        <w:t>编号：FG2100340102B</w:t>
      </w:r>
      <w:r>
        <w:rPr>
          <w:rFonts w:hint="eastAsia" w:ascii="宋体" w:hAnsi="宋体"/>
          <w:b/>
          <w:snapToGrid w:val="0"/>
          <w:kern w:val="0"/>
          <w:sz w:val="24"/>
          <w:szCs w:val="28"/>
          <w:highlight w:val="none"/>
        </w:rPr>
        <w:t>）</w:t>
      </w:r>
    </w:p>
    <w:p>
      <w:pPr>
        <w:pStyle w:val="4"/>
        <w:spacing w:before="100" w:after="100" w:line="460" w:lineRule="exact"/>
        <w:rPr>
          <w:rFonts w:ascii="宋体" w:hAnsi="宋体"/>
          <w:snapToGrid w:val="0"/>
          <w:sz w:val="28"/>
          <w:szCs w:val="28"/>
          <w:highlight w:val="none"/>
        </w:rPr>
      </w:pPr>
      <w:bookmarkStart w:id="2" w:name="_Toc224103299"/>
      <w:bookmarkStart w:id="3" w:name="_Toc83224402"/>
      <w:bookmarkStart w:id="4" w:name="_Toc287607728"/>
      <w:bookmarkStart w:id="5" w:name="_Toc287620667"/>
      <w:bookmarkStart w:id="6" w:name="_Toc509218692"/>
      <w:bookmarkStart w:id="7" w:name="_Toc45614424"/>
      <w:bookmarkStart w:id="8" w:name="_Toc430530416"/>
      <w:bookmarkStart w:id="9" w:name="_Toc277082536"/>
      <w:bookmarkStart w:id="10" w:name="_Toc200359427"/>
      <w:bookmarkStart w:id="11" w:name="_Toc200359238"/>
      <w:r>
        <w:rPr>
          <w:rFonts w:ascii="宋体" w:hAnsi="宋体"/>
          <w:snapToGrid w:val="0"/>
          <w:sz w:val="28"/>
          <w:szCs w:val="28"/>
          <w:highlight w:val="none"/>
        </w:rPr>
        <w:t>1. 招标条件</w:t>
      </w:r>
      <w:bookmarkEnd w:id="2"/>
      <w:bookmarkEnd w:id="3"/>
      <w:bookmarkEnd w:id="4"/>
      <w:bookmarkEnd w:id="5"/>
      <w:bookmarkEnd w:id="6"/>
      <w:bookmarkEnd w:id="7"/>
      <w:bookmarkEnd w:id="8"/>
      <w:bookmarkEnd w:id="9"/>
      <w:bookmarkEnd w:id="10"/>
      <w:bookmarkEnd w:id="11"/>
    </w:p>
    <w:p>
      <w:pPr>
        <w:spacing w:line="360" w:lineRule="auto"/>
        <w:ind w:firstLine="420" w:firstLineChars="200"/>
        <w:rPr>
          <w:rFonts w:ascii="宋体" w:hAnsi="宋体" w:cs="MingLiU"/>
          <w:snapToGrid w:val="0"/>
          <w:kern w:val="0"/>
          <w:szCs w:val="21"/>
          <w:highlight w:val="none"/>
        </w:rPr>
      </w:pPr>
      <w:r>
        <w:rPr>
          <w:rFonts w:hint="eastAsia" w:ascii="宋体" w:hAnsi="宋体"/>
          <w:szCs w:val="21"/>
          <w:highlight w:val="none"/>
        </w:rPr>
        <w:t>本招标项目重庆乌江白马航电枢纽工程已由重庆市发展和改革委员会以渝发改交</w:t>
      </w:r>
      <w:r>
        <w:rPr>
          <w:rFonts w:hint="eastAsia" w:cs="仿宋_GB2312"/>
          <w:highlight w:val="none"/>
        </w:rPr>
        <w:t>〔2019〕1112</w:t>
      </w:r>
      <w:r>
        <w:rPr>
          <w:rFonts w:hint="eastAsia" w:ascii="宋体" w:hAnsi="宋体"/>
          <w:szCs w:val="21"/>
          <w:highlight w:val="none"/>
        </w:rPr>
        <w:t>号文、重庆市交通局以渝交港</w:t>
      </w:r>
      <w:r>
        <w:rPr>
          <w:rFonts w:hint="eastAsia" w:cs="仿宋_GB2312"/>
          <w:highlight w:val="none"/>
        </w:rPr>
        <w:t>〔2020〕1号</w:t>
      </w:r>
      <w:r>
        <w:rPr>
          <w:rFonts w:hint="eastAsia" w:ascii="宋体" w:hAnsi="宋体"/>
          <w:szCs w:val="21"/>
          <w:highlight w:val="none"/>
        </w:rPr>
        <w:t>文批准建设，招标人为</w:t>
      </w:r>
      <w:r>
        <w:rPr>
          <w:rFonts w:hint="eastAsia" w:cs="仿宋_GB2312"/>
          <w:highlight w:val="none"/>
        </w:rPr>
        <w:t>重庆白马航运发展有限公司</w:t>
      </w:r>
      <w:r>
        <w:rPr>
          <w:rFonts w:hint="eastAsia" w:ascii="宋体" w:hAnsi="宋体" w:cs="MingLiU"/>
          <w:snapToGrid w:val="0"/>
          <w:kern w:val="0"/>
          <w:szCs w:val="21"/>
          <w:highlight w:val="none"/>
        </w:rPr>
        <w:t>。</w:t>
      </w:r>
      <w:r>
        <w:rPr>
          <w:rFonts w:ascii="宋体" w:hAnsi="宋体" w:cs="MingLiU"/>
          <w:snapToGrid w:val="0"/>
          <w:kern w:val="0"/>
          <w:szCs w:val="21"/>
          <w:highlight w:val="none"/>
        </w:rPr>
        <w:t>建设资金来自</w:t>
      </w:r>
      <w:r>
        <w:rPr>
          <w:rFonts w:hint="eastAsia" w:ascii="宋体" w:hAnsi="宋体" w:cs="MingLiU"/>
          <w:snapToGrid w:val="0"/>
          <w:kern w:val="0"/>
          <w:szCs w:val="21"/>
          <w:highlight w:val="none"/>
        </w:rPr>
        <w:t>政府补助和企业自筹，</w:t>
      </w:r>
      <w:r>
        <w:rPr>
          <w:rFonts w:ascii="宋体" w:hAnsi="宋体" w:cs="MingLiU"/>
          <w:snapToGrid w:val="0"/>
          <w:kern w:val="0"/>
          <w:szCs w:val="21"/>
          <w:highlight w:val="none"/>
        </w:rPr>
        <w:t>项目已具备招标条件，现对该项目的第三方试验检测中心进行公开招标。</w:t>
      </w:r>
    </w:p>
    <w:p>
      <w:pPr>
        <w:pStyle w:val="4"/>
        <w:spacing w:before="100" w:after="100" w:line="460" w:lineRule="exact"/>
        <w:rPr>
          <w:rFonts w:ascii="宋体" w:hAnsi="宋体"/>
          <w:snapToGrid w:val="0"/>
          <w:sz w:val="28"/>
          <w:szCs w:val="28"/>
          <w:highlight w:val="none"/>
        </w:rPr>
      </w:pPr>
      <w:bookmarkStart w:id="12" w:name="_Toc509218693"/>
      <w:bookmarkStart w:id="13" w:name="_Toc430530417"/>
      <w:bookmarkStart w:id="14" w:name="_Toc200359428"/>
      <w:bookmarkStart w:id="15" w:name="_Toc45614425"/>
      <w:bookmarkStart w:id="16" w:name="_Toc224103300"/>
      <w:bookmarkStart w:id="17" w:name="_Toc287607729"/>
      <w:bookmarkStart w:id="18" w:name="_Toc287620668"/>
      <w:bookmarkStart w:id="19" w:name="_Toc277082537"/>
      <w:bookmarkStart w:id="20" w:name="_Toc83224403"/>
      <w:bookmarkStart w:id="21" w:name="_Toc200359239"/>
      <w:r>
        <w:rPr>
          <w:rFonts w:ascii="宋体" w:hAnsi="宋体"/>
          <w:snapToGrid w:val="0"/>
          <w:sz w:val="28"/>
          <w:szCs w:val="28"/>
          <w:highlight w:val="none"/>
        </w:rPr>
        <w:t>2. 项目概况与招标范围</w:t>
      </w:r>
      <w:bookmarkEnd w:id="12"/>
      <w:bookmarkEnd w:id="13"/>
      <w:bookmarkEnd w:id="14"/>
      <w:bookmarkEnd w:id="15"/>
      <w:bookmarkEnd w:id="16"/>
      <w:bookmarkEnd w:id="17"/>
      <w:bookmarkEnd w:id="18"/>
      <w:bookmarkEnd w:id="19"/>
      <w:bookmarkEnd w:id="20"/>
      <w:bookmarkEnd w:id="21"/>
    </w:p>
    <w:p>
      <w:pPr>
        <w:spacing w:line="360" w:lineRule="auto"/>
        <w:ind w:firstLine="420" w:firstLineChars="200"/>
        <w:rPr>
          <w:rFonts w:ascii="宋体" w:hAnsi="宋体" w:cs="MingLiU"/>
          <w:snapToGrid w:val="0"/>
          <w:kern w:val="0"/>
          <w:szCs w:val="21"/>
          <w:highlight w:val="none"/>
        </w:rPr>
      </w:pPr>
      <w:r>
        <w:rPr>
          <w:rFonts w:hint="eastAsia" w:ascii="宋体" w:hAnsi="宋体" w:cs="MingLiU"/>
          <w:snapToGrid w:val="0"/>
          <w:kern w:val="0"/>
          <w:szCs w:val="21"/>
          <w:highlight w:val="none"/>
        </w:rPr>
        <w:t>2.1 建设地点：重庆市武隆区白马镇。</w:t>
      </w:r>
    </w:p>
    <w:p>
      <w:pPr>
        <w:pStyle w:val="2"/>
        <w:tabs>
          <w:tab w:val="left" w:pos="3566"/>
        </w:tabs>
        <w:spacing w:line="360" w:lineRule="auto"/>
        <w:ind w:left="100" w:right="108" w:firstLine="419"/>
        <w:rPr>
          <w:rFonts w:ascii="宋体" w:hAnsi="宋体" w:cs="MingLiU"/>
          <w:snapToGrid w:val="0"/>
          <w:kern w:val="0"/>
          <w:szCs w:val="21"/>
          <w:highlight w:val="none"/>
        </w:rPr>
      </w:pPr>
      <w:r>
        <w:rPr>
          <w:rFonts w:hint="eastAsia" w:ascii="宋体" w:hAnsi="宋体" w:cs="MingLiU"/>
          <w:snapToGrid w:val="0"/>
          <w:kern w:val="0"/>
          <w:szCs w:val="21"/>
          <w:highlight w:val="none"/>
        </w:rPr>
        <w:t>2.2 建设规模：重庆乌江白马航电枢纽工程位于乌江下游河段，地处重庆市武隆区白马镇，是乌江干流开发规划的最下一个梯级。开发任务以航运为主，兼顾发电。枢纽工程等别为二等，规模为大(2)型。规划航道等级为Ⅳ级，通航建筑物为500t级单级船闸，闸室有效尺寸为190m×23m×4.7m（长×宽×门槛水深），设计代表船型为500t级货船，设计年单向通过能力1060.5万t，建成后可渠化航道里程约45.3km。正常蓄水位184m，死水位180m，校核洪水位201.93m，总库容3.74亿m3，电站装机480MW。工程主要建设船闸、挡水建筑物、电站、泄洪闸、鱼道、白马乌江大桥等主体工程，库区防护、办公生活用房、319国道改线、场外（内）公路、转运及翻坝码头、锚地、增殖放流站、坝区景观绿化等永久附属设施工程，以及水土保持工程、环境保护工程等。工程总投资为</w:t>
      </w:r>
      <w:r>
        <w:rPr>
          <w:rFonts w:ascii="宋体" w:hAnsi="宋体" w:cs="MingLiU"/>
          <w:snapToGrid w:val="0"/>
          <w:kern w:val="0"/>
          <w:szCs w:val="21"/>
          <w:highlight w:val="none"/>
        </w:rPr>
        <w:t>1</w:t>
      </w:r>
      <w:r>
        <w:rPr>
          <w:rFonts w:hint="eastAsia" w:ascii="宋体" w:hAnsi="宋体" w:cs="MingLiU"/>
          <w:snapToGrid w:val="0"/>
          <w:kern w:val="0"/>
          <w:szCs w:val="21"/>
          <w:highlight w:val="none"/>
        </w:rPr>
        <w:t>13.07</w:t>
      </w:r>
      <w:r>
        <w:rPr>
          <w:rFonts w:ascii="宋体" w:hAnsi="宋体" w:cs="MingLiU"/>
          <w:snapToGrid w:val="0"/>
          <w:kern w:val="0"/>
          <w:szCs w:val="21"/>
          <w:highlight w:val="none"/>
        </w:rPr>
        <w:t>亿元</w:t>
      </w:r>
      <w:r>
        <w:rPr>
          <w:rFonts w:hint="eastAsia" w:ascii="宋体" w:hAnsi="宋体" w:cs="MingLiU"/>
          <w:snapToGrid w:val="0"/>
          <w:kern w:val="0"/>
          <w:szCs w:val="21"/>
          <w:highlight w:val="none"/>
        </w:rPr>
        <w:t>。</w:t>
      </w:r>
    </w:p>
    <w:p>
      <w:pPr>
        <w:pStyle w:val="2"/>
        <w:tabs>
          <w:tab w:val="left" w:pos="3566"/>
        </w:tabs>
        <w:spacing w:line="360" w:lineRule="auto"/>
        <w:ind w:left="100" w:right="108" w:firstLine="419"/>
        <w:rPr>
          <w:highlight w:val="none"/>
        </w:rPr>
      </w:pPr>
      <w:r>
        <w:rPr>
          <w:rFonts w:hint="eastAsia"/>
          <w:highlight w:val="none"/>
        </w:rPr>
        <w:t>一期工程于2021年3月开工，计划2024年12月完工，主要施工白马大桥、右岸道路、导流明渠、办公生活用房（业主营地）等工程项目。二期工程计划2021年11月开工，2029年12月完工，主要施工电站、泄水闸、鱼道、左岸道路、码头工程等工程项目。三期工程计划2027年11月开工，2031年6月完工，主要施工船闸等工程项目。具体以实际实施情况为准。</w:t>
      </w:r>
    </w:p>
    <w:p>
      <w:pPr>
        <w:spacing w:line="360" w:lineRule="auto"/>
        <w:ind w:firstLine="420" w:firstLineChars="200"/>
        <w:rPr>
          <w:rFonts w:ascii="宋体" w:hAnsi="宋体" w:cs="MingLiU"/>
          <w:snapToGrid w:val="0"/>
          <w:kern w:val="0"/>
          <w:szCs w:val="21"/>
          <w:highlight w:val="none"/>
        </w:rPr>
      </w:pPr>
      <w:r>
        <w:rPr>
          <w:rFonts w:hint="eastAsia" w:ascii="宋体" w:hAnsi="宋体" w:cs="MingLiU"/>
          <w:snapToGrid w:val="0"/>
          <w:kern w:val="0"/>
          <w:szCs w:val="21"/>
          <w:highlight w:val="none"/>
        </w:rPr>
        <w:t xml:space="preserve">2.3 招标范围：本次招标项目为重庆乌江白马航电枢纽工程第三方试验检测。主要招标内容包括： </w:t>
      </w:r>
    </w:p>
    <w:p>
      <w:pPr>
        <w:spacing w:line="360" w:lineRule="auto"/>
        <w:ind w:firstLine="420" w:firstLineChars="200"/>
        <w:rPr>
          <w:rFonts w:ascii="宋体" w:hAnsi="宋体" w:cs="MingLiU"/>
          <w:snapToGrid w:val="0"/>
          <w:kern w:val="0"/>
          <w:szCs w:val="21"/>
          <w:highlight w:val="none"/>
        </w:rPr>
      </w:pPr>
      <w:r>
        <w:rPr>
          <w:rFonts w:hint="eastAsia" w:ascii="宋体" w:hAnsi="宋体" w:cs="MingLiU"/>
          <w:snapToGrid w:val="0"/>
          <w:kern w:val="0"/>
          <w:szCs w:val="21"/>
          <w:highlight w:val="none"/>
        </w:rPr>
        <w:t>（1）试验检测工作</w:t>
      </w:r>
    </w:p>
    <w:p>
      <w:pPr>
        <w:spacing w:line="360" w:lineRule="auto"/>
        <w:ind w:firstLine="420" w:firstLineChars="200"/>
        <w:rPr>
          <w:rFonts w:ascii="宋体" w:hAnsi="宋体" w:cs="MingLiU"/>
          <w:snapToGrid w:val="0"/>
          <w:kern w:val="0"/>
          <w:szCs w:val="21"/>
          <w:highlight w:val="none"/>
        </w:rPr>
      </w:pPr>
      <w:r>
        <w:rPr>
          <w:rFonts w:hint="eastAsia" w:ascii="宋体" w:hAnsi="宋体" w:cs="MingLiU"/>
          <w:snapToGrid w:val="0"/>
          <w:kern w:val="0"/>
          <w:szCs w:val="21"/>
          <w:highlight w:val="none"/>
        </w:rPr>
        <w:t>1）在工地现场设置试验检测中心，代表发包人开展的试验检测抽检工作；2）监理人按规范要求进行的试验检测工作（白马航电枢纽工程监理人不设置试验室）；3）发包人安排的其他零星试验检测工作。</w:t>
      </w:r>
    </w:p>
    <w:p>
      <w:pPr>
        <w:spacing w:line="360" w:lineRule="auto"/>
        <w:ind w:firstLine="420" w:firstLineChars="200"/>
        <w:rPr>
          <w:rFonts w:ascii="宋体" w:hAnsi="宋体" w:cs="MingLiU"/>
          <w:snapToGrid w:val="0"/>
          <w:kern w:val="0"/>
          <w:szCs w:val="21"/>
          <w:highlight w:val="none"/>
        </w:rPr>
      </w:pPr>
      <w:r>
        <w:rPr>
          <w:rFonts w:hint="eastAsia" w:ascii="宋体" w:hAnsi="宋体" w:cs="MingLiU"/>
          <w:snapToGrid w:val="0"/>
          <w:kern w:val="0"/>
          <w:szCs w:val="21"/>
          <w:highlight w:val="none"/>
        </w:rPr>
        <w:t>（2）技术服务工作</w:t>
      </w:r>
    </w:p>
    <w:p>
      <w:pPr>
        <w:spacing w:line="360" w:lineRule="auto"/>
        <w:ind w:firstLine="420" w:firstLineChars="200"/>
        <w:rPr>
          <w:rFonts w:ascii="宋体" w:hAnsi="宋体" w:cs="MingLiU"/>
          <w:snapToGrid w:val="0"/>
          <w:kern w:val="0"/>
          <w:szCs w:val="21"/>
          <w:highlight w:val="none"/>
        </w:rPr>
      </w:pPr>
      <w:r>
        <w:rPr>
          <w:rFonts w:hint="eastAsia" w:ascii="宋体" w:hAnsi="宋体" w:cs="MingLiU"/>
          <w:snapToGrid w:val="0"/>
          <w:kern w:val="0"/>
          <w:szCs w:val="21"/>
          <w:highlight w:val="none"/>
        </w:rPr>
        <w:t>1）对工程试验检测专业技术进行管理；2）完成试验检测服务工作月报和年报等各类总结评价报告；3）代表发包人参与项目各合同工程交（完）工验收及单项工程验收、阶段验收和竣工验收，提交相应的试验检测专项报告；4）按发包人数字化与信息化建设要求，对试验检测成果进行数据录取、归档。</w:t>
      </w:r>
    </w:p>
    <w:p>
      <w:pPr>
        <w:spacing w:line="360" w:lineRule="auto"/>
        <w:ind w:firstLine="420" w:firstLineChars="200"/>
        <w:rPr>
          <w:rFonts w:ascii="宋体" w:hAnsi="宋体" w:cs="MingLiU"/>
          <w:snapToGrid w:val="0"/>
          <w:kern w:val="0"/>
          <w:szCs w:val="21"/>
          <w:highlight w:val="none"/>
        </w:rPr>
      </w:pPr>
      <w:r>
        <w:rPr>
          <w:rFonts w:hint="eastAsia" w:ascii="宋体" w:hAnsi="宋体" w:cs="MingLiU"/>
          <w:snapToGrid w:val="0"/>
          <w:kern w:val="0"/>
          <w:szCs w:val="21"/>
          <w:highlight w:val="none"/>
        </w:rPr>
        <w:t>（3）相关配合工作</w:t>
      </w:r>
    </w:p>
    <w:p>
      <w:pPr>
        <w:spacing w:line="360" w:lineRule="auto"/>
        <w:ind w:firstLine="420" w:firstLineChars="200"/>
        <w:rPr>
          <w:rFonts w:ascii="宋体" w:hAnsi="宋体" w:cs="MingLiU"/>
          <w:snapToGrid w:val="0"/>
          <w:kern w:val="0"/>
          <w:szCs w:val="21"/>
          <w:highlight w:val="none"/>
        </w:rPr>
      </w:pPr>
      <w:r>
        <w:rPr>
          <w:rFonts w:hint="eastAsia" w:ascii="宋体" w:hAnsi="宋体" w:cs="MingLiU"/>
          <w:snapToGrid w:val="0"/>
          <w:kern w:val="0"/>
          <w:szCs w:val="21"/>
          <w:highlight w:val="none"/>
        </w:rPr>
        <w:t>1）建立工程试验检测数据库，方便发包人全过程实时监控工程质量；2）承担与地方政府试验检测管理部门（质检机构）、设计单位的联络和协调工作，配合发包人接受质量监督部门检查工作。</w:t>
      </w:r>
    </w:p>
    <w:p>
      <w:pPr>
        <w:spacing w:line="360" w:lineRule="auto"/>
        <w:ind w:firstLine="420" w:firstLineChars="200"/>
        <w:rPr>
          <w:rFonts w:ascii="宋体" w:hAnsi="宋体" w:cs="MingLiU"/>
          <w:snapToGrid w:val="0"/>
          <w:kern w:val="0"/>
          <w:szCs w:val="21"/>
          <w:highlight w:val="none"/>
        </w:rPr>
      </w:pPr>
      <w:r>
        <w:rPr>
          <w:rFonts w:hint="eastAsia" w:ascii="宋体" w:hAnsi="宋体" w:cs="MingLiU"/>
          <w:snapToGrid w:val="0"/>
          <w:kern w:val="0"/>
          <w:szCs w:val="21"/>
          <w:highlight w:val="none"/>
        </w:rPr>
        <w:t xml:space="preserve">2.4 </w:t>
      </w:r>
      <w:r>
        <w:rPr>
          <w:rFonts w:ascii="宋体" w:hAnsi="宋体" w:cs="MingLiU"/>
          <w:snapToGrid w:val="0"/>
          <w:kern w:val="0"/>
          <w:szCs w:val="21"/>
          <w:highlight w:val="none"/>
        </w:rPr>
        <w:t>服务期限</w:t>
      </w:r>
      <w:r>
        <w:rPr>
          <w:rFonts w:hint="eastAsia" w:ascii="宋体" w:hAnsi="宋体" w:cs="MingLiU"/>
          <w:snapToGrid w:val="0"/>
          <w:kern w:val="0"/>
          <w:szCs w:val="21"/>
          <w:highlight w:val="none"/>
        </w:rPr>
        <w:t>：本合同服务期限计划自合同签订之日起，至工程竣工验收通过止。</w:t>
      </w:r>
    </w:p>
    <w:p>
      <w:pPr>
        <w:pStyle w:val="4"/>
        <w:spacing w:before="100" w:after="100" w:line="460" w:lineRule="exact"/>
        <w:rPr>
          <w:rFonts w:ascii="宋体" w:hAnsi="宋体"/>
          <w:snapToGrid w:val="0"/>
          <w:sz w:val="28"/>
          <w:szCs w:val="28"/>
          <w:highlight w:val="none"/>
        </w:rPr>
      </w:pPr>
      <w:bookmarkStart w:id="22" w:name="_Toc83224404"/>
      <w:bookmarkStart w:id="23" w:name="_Toc45614426"/>
      <w:bookmarkStart w:id="24" w:name="_Toc200359429"/>
      <w:bookmarkStart w:id="25" w:name="_Toc287607730"/>
      <w:bookmarkStart w:id="26" w:name="_Toc224103301"/>
      <w:bookmarkStart w:id="27" w:name="_Toc200359240"/>
      <w:bookmarkStart w:id="28" w:name="_Toc430530418"/>
      <w:bookmarkStart w:id="29" w:name="_Toc287620669"/>
      <w:bookmarkStart w:id="30" w:name="_Toc509218694"/>
      <w:bookmarkStart w:id="31" w:name="_Toc277082538"/>
      <w:r>
        <w:rPr>
          <w:rFonts w:ascii="宋体" w:hAnsi="宋体"/>
          <w:snapToGrid w:val="0"/>
          <w:sz w:val="28"/>
          <w:szCs w:val="28"/>
          <w:highlight w:val="none"/>
        </w:rPr>
        <w:t>3. 投标人资格要求</w:t>
      </w:r>
      <w:bookmarkEnd w:id="22"/>
      <w:bookmarkEnd w:id="23"/>
      <w:bookmarkEnd w:id="24"/>
      <w:bookmarkEnd w:id="25"/>
      <w:bookmarkEnd w:id="26"/>
      <w:bookmarkEnd w:id="27"/>
      <w:bookmarkEnd w:id="28"/>
      <w:bookmarkEnd w:id="29"/>
      <w:bookmarkEnd w:id="30"/>
      <w:bookmarkEnd w:id="31"/>
    </w:p>
    <w:p>
      <w:pPr>
        <w:spacing w:line="360" w:lineRule="auto"/>
        <w:ind w:firstLine="420" w:firstLineChars="200"/>
        <w:rPr>
          <w:rFonts w:ascii="宋体" w:hAnsi="宋体" w:cs="MingLiU"/>
          <w:snapToGrid w:val="0"/>
          <w:kern w:val="0"/>
          <w:szCs w:val="21"/>
          <w:highlight w:val="none"/>
        </w:rPr>
      </w:pPr>
      <w:r>
        <w:rPr>
          <w:rFonts w:ascii="宋体" w:hAnsi="宋体" w:cs="MingLiU"/>
          <w:snapToGrid w:val="0"/>
          <w:kern w:val="0"/>
          <w:szCs w:val="21"/>
          <w:highlight w:val="none"/>
        </w:rPr>
        <w:t>3.1  本次招标要求投标人须具备</w:t>
      </w:r>
      <w:r>
        <w:rPr>
          <w:rFonts w:hint="eastAsia" w:ascii="宋体" w:hAnsi="宋体" w:cs="MingLiU"/>
          <w:snapToGrid w:val="0"/>
          <w:kern w:val="0"/>
          <w:szCs w:val="21"/>
          <w:highlight w:val="none"/>
        </w:rPr>
        <w:t>以下条件：</w:t>
      </w:r>
    </w:p>
    <w:p>
      <w:pPr>
        <w:spacing w:line="360" w:lineRule="auto"/>
        <w:ind w:firstLine="420" w:firstLineChars="200"/>
        <w:rPr>
          <w:rFonts w:ascii="宋体" w:hAnsi="宋体" w:cs="MingLiU"/>
          <w:snapToGrid w:val="0"/>
          <w:kern w:val="0"/>
          <w:szCs w:val="21"/>
          <w:highlight w:val="none"/>
        </w:rPr>
      </w:pPr>
      <w:r>
        <w:rPr>
          <w:rFonts w:hint="eastAsia" w:ascii="宋体" w:hAnsi="宋体" w:cs="MingLiU"/>
          <w:snapToGrid w:val="0"/>
          <w:kern w:val="0"/>
          <w:szCs w:val="21"/>
          <w:highlight w:val="none"/>
        </w:rPr>
        <w:t>3.1.1 本次招标要求投标人具备的资质条件：</w:t>
      </w:r>
    </w:p>
    <w:p>
      <w:pPr>
        <w:spacing w:line="360" w:lineRule="auto"/>
        <w:ind w:firstLine="420" w:firstLineChars="200"/>
        <w:rPr>
          <w:rFonts w:ascii="宋体" w:hAnsi="宋体" w:cs="MingLiU"/>
          <w:snapToGrid w:val="0"/>
          <w:kern w:val="0"/>
          <w:szCs w:val="21"/>
          <w:highlight w:val="none"/>
        </w:rPr>
      </w:pPr>
      <w:r>
        <w:rPr>
          <w:rFonts w:hint="eastAsia" w:ascii="宋体" w:hAnsi="宋体" w:cs="MingLiU"/>
          <w:snapToGrid w:val="0"/>
          <w:kern w:val="0"/>
          <w:szCs w:val="21"/>
          <w:highlight w:val="none"/>
        </w:rPr>
        <w:t>（1）具有独立法人资格</w:t>
      </w:r>
      <w:r>
        <w:rPr>
          <w:rFonts w:ascii="宋体" w:hAnsi="宋体" w:cs="MingLiU"/>
          <w:snapToGrid w:val="0"/>
          <w:kern w:val="0"/>
          <w:szCs w:val="21"/>
          <w:highlight w:val="none"/>
        </w:rPr>
        <w:t>；</w:t>
      </w:r>
    </w:p>
    <w:p>
      <w:pPr>
        <w:spacing w:line="360" w:lineRule="auto"/>
        <w:ind w:firstLine="420" w:firstLineChars="200"/>
        <w:rPr>
          <w:rFonts w:ascii="宋体" w:hAnsi="宋体" w:cs="MingLiU"/>
          <w:snapToGrid w:val="0"/>
          <w:kern w:val="0"/>
          <w:szCs w:val="21"/>
          <w:highlight w:val="none"/>
        </w:rPr>
      </w:pPr>
      <w:r>
        <w:rPr>
          <w:rFonts w:hint="eastAsia" w:ascii="宋体" w:hAnsi="宋体" w:cs="MingLiU"/>
          <w:snapToGrid w:val="0"/>
          <w:kern w:val="0"/>
          <w:szCs w:val="21"/>
          <w:highlight w:val="none"/>
        </w:rPr>
        <w:t>（2）具有省级（直辖市或自治区）及以上质量技术监督部门颁发的CMA资质认定证书;</w:t>
      </w:r>
    </w:p>
    <w:p>
      <w:pPr>
        <w:spacing w:line="360" w:lineRule="auto"/>
        <w:ind w:firstLine="420" w:firstLineChars="200"/>
        <w:rPr>
          <w:rFonts w:ascii="宋体" w:hAnsi="宋体" w:cs="MingLiU"/>
          <w:snapToGrid w:val="0"/>
          <w:kern w:val="0"/>
          <w:szCs w:val="21"/>
          <w:highlight w:val="none"/>
        </w:rPr>
      </w:pPr>
      <w:r>
        <w:rPr>
          <w:rFonts w:hint="eastAsia" w:ascii="宋体" w:hAnsi="宋体" w:cs="MingLiU"/>
          <w:snapToGrid w:val="0"/>
          <w:kern w:val="0"/>
          <w:szCs w:val="21"/>
          <w:highlight w:val="none"/>
        </w:rPr>
        <w:t>（3）同时具有</w:t>
      </w:r>
      <w:r>
        <w:rPr>
          <w:rFonts w:hint="eastAsia" w:ascii="宋体" w:hAnsi="宋体" w:cs="MingLiU"/>
          <w:snapToGrid w:val="0"/>
          <w:kern w:val="0"/>
          <w:szCs w:val="21"/>
          <w:highlight w:val="none"/>
          <w:lang w:val="en-US" w:eastAsia="zh-CN"/>
        </w:rPr>
        <w:t>水</w:t>
      </w:r>
      <w:r>
        <w:rPr>
          <w:rFonts w:hint="eastAsia" w:ascii="宋体" w:hAnsi="宋体" w:cs="MingLiU"/>
          <w:snapToGrid w:val="0"/>
          <w:kern w:val="0"/>
          <w:szCs w:val="21"/>
          <w:highlight w:val="none"/>
        </w:rPr>
        <w:t>行政主管部门颁发的水利工程质量检测单位岩土工程类甲级、混凝土工程类甲级、量测类甲级资质。</w:t>
      </w:r>
    </w:p>
    <w:p>
      <w:pPr>
        <w:spacing w:line="360" w:lineRule="auto"/>
        <w:ind w:firstLine="420" w:firstLineChars="200"/>
        <w:rPr>
          <w:rFonts w:ascii="宋体" w:hAnsi="宋体" w:cs="MingLiU"/>
          <w:snapToGrid w:val="0"/>
          <w:kern w:val="0"/>
          <w:szCs w:val="21"/>
          <w:highlight w:val="none"/>
        </w:rPr>
      </w:pPr>
      <w:r>
        <w:rPr>
          <w:rFonts w:hint="eastAsia" w:ascii="宋体" w:hAnsi="宋体" w:cs="MingLiU"/>
          <w:snapToGrid w:val="0"/>
          <w:kern w:val="0"/>
          <w:szCs w:val="21"/>
          <w:highlight w:val="none"/>
        </w:rPr>
        <w:t>3.1.2 本次招标要求投标人具备的业绩条件：</w:t>
      </w:r>
    </w:p>
    <w:p>
      <w:pPr>
        <w:spacing w:line="360" w:lineRule="auto"/>
        <w:ind w:firstLine="420" w:firstLineChars="200"/>
        <w:rPr>
          <w:rFonts w:ascii="宋体" w:hAnsi="宋体" w:cs="MingLiU"/>
          <w:snapToGrid w:val="0"/>
          <w:kern w:val="0"/>
          <w:szCs w:val="21"/>
          <w:highlight w:val="none"/>
        </w:rPr>
      </w:pPr>
      <w:r>
        <w:rPr>
          <w:rFonts w:hint="eastAsia" w:ascii="宋体" w:hAnsi="宋体" w:cs="MingLiU"/>
          <w:snapToGrid w:val="0"/>
          <w:kern w:val="0"/>
          <w:szCs w:val="21"/>
          <w:highlight w:val="none"/>
        </w:rPr>
        <w:t>投标人须提供2011年1月1日至投标截止日止（以工程交（完）工或技术预验收或枢纽工程专项验收时间为准）完成过1个合同金额600万元以上的，工程规模中型及以上的航电（或电航或航运或水利）枢纽或水电工程的试验检测业绩。</w:t>
      </w:r>
    </w:p>
    <w:p>
      <w:pPr>
        <w:spacing w:line="360" w:lineRule="auto"/>
        <w:ind w:firstLine="420" w:firstLineChars="200"/>
        <w:rPr>
          <w:rFonts w:ascii="宋体" w:hAnsi="宋体" w:cs="MingLiU"/>
          <w:snapToGrid w:val="0"/>
          <w:kern w:val="0"/>
          <w:szCs w:val="21"/>
          <w:highlight w:val="none"/>
        </w:rPr>
      </w:pPr>
      <w:r>
        <w:rPr>
          <w:rFonts w:hint="eastAsia" w:ascii="宋体" w:hAnsi="宋体" w:cs="MingLiU"/>
          <w:snapToGrid w:val="0"/>
          <w:kern w:val="0"/>
          <w:szCs w:val="21"/>
          <w:highlight w:val="none"/>
        </w:rPr>
        <w:t>3.1.3其他内容详见招标文件第二章投标人须知前附表第1.4.1条内容。</w:t>
      </w:r>
    </w:p>
    <w:p>
      <w:pPr>
        <w:spacing w:line="360" w:lineRule="auto"/>
        <w:ind w:firstLine="420" w:firstLineChars="200"/>
        <w:rPr>
          <w:rFonts w:ascii="宋体" w:hAnsi="宋体" w:cs="MingLiU"/>
          <w:snapToGrid w:val="0"/>
          <w:kern w:val="0"/>
          <w:szCs w:val="21"/>
          <w:highlight w:val="none"/>
        </w:rPr>
      </w:pPr>
      <w:r>
        <w:rPr>
          <w:rFonts w:ascii="宋体" w:hAnsi="宋体" w:cs="MingLiU"/>
          <w:snapToGrid w:val="0"/>
          <w:kern w:val="0"/>
          <w:szCs w:val="21"/>
          <w:highlight w:val="none"/>
        </w:rPr>
        <w:t>3.2 本次招标</w:t>
      </w:r>
      <w:r>
        <w:rPr>
          <w:rFonts w:hint="eastAsia" w:ascii="宋体" w:hAnsi="宋体" w:cs="MingLiU"/>
          <w:snapToGrid w:val="0"/>
          <w:kern w:val="0"/>
          <w:szCs w:val="21"/>
          <w:highlight w:val="none"/>
        </w:rPr>
        <w:t>不接受</w:t>
      </w:r>
      <w:r>
        <w:rPr>
          <w:rFonts w:ascii="宋体" w:hAnsi="宋体" w:cs="MingLiU"/>
          <w:snapToGrid w:val="0"/>
          <w:kern w:val="0"/>
          <w:szCs w:val="21"/>
          <w:highlight w:val="none"/>
        </w:rPr>
        <w:t>联合体投标。</w:t>
      </w:r>
    </w:p>
    <w:p>
      <w:pPr>
        <w:pStyle w:val="4"/>
        <w:spacing w:before="100" w:after="100" w:line="460" w:lineRule="exact"/>
        <w:rPr>
          <w:rFonts w:ascii="宋体" w:hAnsi="宋体"/>
          <w:snapToGrid w:val="0"/>
          <w:sz w:val="28"/>
          <w:szCs w:val="28"/>
          <w:highlight w:val="none"/>
        </w:rPr>
      </w:pPr>
      <w:bookmarkStart w:id="32" w:name="_Toc83224405"/>
      <w:r>
        <w:rPr>
          <w:rFonts w:ascii="宋体" w:hAnsi="宋体"/>
          <w:snapToGrid w:val="0"/>
          <w:sz w:val="28"/>
          <w:szCs w:val="28"/>
          <w:highlight w:val="none"/>
        </w:rPr>
        <w:t>4. 招标文件的获取</w:t>
      </w:r>
      <w:bookmarkEnd w:id="32"/>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4.1本招标项目采用全流程电子招投标，投标人在投标前可在重庆市公共资源交易网（www.cqggzy.com）下载招标文件、工程量清单、电子图纸等资料。参与投标的投标人需在重庆市公共资源交易网（www.cqggzy.com）完成市场主体信息登记以及 CA 数字证书办理，办理方式请参见重庆市公共资源交易网（www.cqggzy.com）导航栏“主体信息”页面中“市场主体信息登记”“CA 数字证书办理”。若投标人未及时完成市场主体信息登记和 CA 数字证书办理导致无法完成全流程电子招投标的，责任自负。</w:t>
      </w: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 xml:space="preserve">4.2投标人在重庆市公共资源交易网（www.cqggzy.com）工程招投标招标公告提问区提出疑问，提问时间应从本公告发布至 </w:t>
      </w:r>
      <w:r>
        <w:rPr>
          <w:rFonts w:ascii="宋体" w:hAnsi="宋体"/>
          <w:snapToGrid w:val="0"/>
          <w:kern w:val="0"/>
          <w:szCs w:val="21"/>
          <w:highlight w:val="none"/>
        </w:rPr>
        <w:t>2021</w:t>
      </w:r>
      <w:r>
        <w:rPr>
          <w:rFonts w:hint="eastAsia" w:ascii="宋体" w:hAnsi="宋体"/>
          <w:snapToGrid w:val="0"/>
          <w:kern w:val="0"/>
          <w:szCs w:val="21"/>
          <w:highlight w:val="none"/>
        </w:rPr>
        <w:t>年</w:t>
      </w:r>
      <w:r>
        <w:rPr>
          <w:rFonts w:hint="eastAsia" w:ascii="宋体" w:hAnsi="宋体"/>
          <w:snapToGrid w:val="0"/>
          <w:kern w:val="0"/>
          <w:szCs w:val="21"/>
          <w:highlight w:val="none"/>
          <w:lang w:val="en-US" w:eastAsia="zh-CN"/>
        </w:rPr>
        <w:t>10</w:t>
      </w:r>
      <w:r>
        <w:rPr>
          <w:rFonts w:hint="eastAsia" w:ascii="宋体" w:hAnsi="宋体"/>
          <w:snapToGrid w:val="0"/>
          <w:kern w:val="0"/>
          <w:szCs w:val="21"/>
          <w:highlight w:val="none"/>
        </w:rPr>
        <w:t xml:space="preserve"> 月</w:t>
      </w:r>
      <w:r>
        <w:rPr>
          <w:rFonts w:hint="eastAsia" w:ascii="宋体" w:hAnsi="宋体"/>
          <w:snapToGrid w:val="0"/>
          <w:kern w:val="0"/>
          <w:szCs w:val="21"/>
          <w:highlight w:val="none"/>
          <w:lang w:val="en-US" w:eastAsia="zh-CN"/>
        </w:rPr>
        <w:t>8</w:t>
      </w:r>
      <w:r>
        <w:rPr>
          <w:rFonts w:hint="eastAsia" w:ascii="宋体" w:hAnsi="宋体"/>
          <w:snapToGrid w:val="0"/>
          <w:kern w:val="0"/>
          <w:szCs w:val="21"/>
          <w:highlight w:val="none"/>
        </w:rPr>
        <w:t xml:space="preserve"> 日0</w:t>
      </w:r>
      <w:r>
        <w:rPr>
          <w:rFonts w:ascii="宋体" w:hAnsi="宋体"/>
          <w:snapToGrid w:val="0"/>
          <w:kern w:val="0"/>
          <w:szCs w:val="21"/>
          <w:highlight w:val="none"/>
        </w:rPr>
        <w:t>9</w:t>
      </w:r>
      <w:r>
        <w:rPr>
          <w:rFonts w:hint="eastAsia" w:ascii="宋体" w:hAnsi="宋体"/>
          <w:snapToGrid w:val="0"/>
          <w:kern w:val="0"/>
          <w:szCs w:val="21"/>
          <w:highlight w:val="none"/>
        </w:rPr>
        <w:t>：0</w:t>
      </w:r>
      <w:r>
        <w:rPr>
          <w:rFonts w:ascii="宋体" w:hAnsi="宋体"/>
          <w:snapToGrid w:val="0"/>
          <w:kern w:val="0"/>
          <w:szCs w:val="21"/>
          <w:highlight w:val="none"/>
        </w:rPr>
        <w:t>0</w:t>
      </w:r>
      <w:r>
        <w:rPr>
          <w:rFonts w:hint="eastAsia" w:ascii="宋体" w:hAnsi="宋体"/>
          <w:snapToGrid w:val="0"/>
          <w:kern w:val="0"/>
          <w:szCs w:val="21"/>
          <w:highlight w:val="none"/>
        </w:rPr>
        <w:t>（北京时间）前，过期不再受理疑问。</w:t>
      </w: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4.3招标人于2</w:t>
      </w:r>
      <w:r>
        <w:rPr>
          <w:rFonts w:ascii="宋体" w:hAnsi="宋体"/>
          <w:snapToGrid w:val="0"/>
          <w:kern w:val="0"/>
          <w:szCs w:val="21"/>
          <w:highlight w:val="none"/>
        </w:rPr>
        <w:t>021</w:t>
      </w:r>
      <w:r>
        <w:rPr>
          <w:rFonts w:hint="eastAsia" w:ascii="宋体" w:hAnsi="宋体"/>
          <w:snapToGrid w:val="0"/>
          <w:kern w:val="0"/>
          <w:szCs w:val="21"/>
          <w:highlight w:val="none"/>
        </w:rPr>
        <w:t>年</w:t>
      </w:r>
      <w:r>
        <w:rPr>
          <w:rFonts w:hint="eastAsia" w:ascii="宋体" w:hAnsi="宋体"/>
          <w:snapToGrid w:val="0"/>
          <w:kern w:val="0"/>
          <w:szCs w:val="21"/>
          <w:highlight w:val="none"/>
          <w:lang w:val="en-US" w:eastAsia="zh-CN"/>
        </w:rPr>
        <w:t>10</w:t>
      </w:r>
      <w:r>
        <w:rPr>
          <w:rFonts w:hint="eastAsia" w:ascii="宋体" w:hAnsi="宋体"/>
          <w:snapToGrid w:val="0"/>
          <w:kern w:val="0"/>
          <w:szCs w:val="21"/>
          <w:highlight w:val="none"/>
        </w:rPr>
        <w:t xml:space="preserve"> 月</w:t>
      </w:r>
      <w:r>
        <w:rPr>
          <w:rFonts w:hint="eastAsia" w:ascii="宋体" w:hAnsi="宋体"/>
          <w:snapToGrid w:val="0"/>
          <w:kern w:val="0"/>
          <w:szCs w:val="21"/>
          <w:highlight w:val="none"/>
          <w:lang w:val="en-US" w:eastAsia="zh-CN"/>
        </w:rPr>
        <w:t>9</w:t>
      </w:r>
      <w:r>
        <w:rPr>
          <w:rFonts w:hint="eastAsia" w:ascii="宋体" w:hAnsi="宋体"/>
          <w:snapToGrid w:val="0"/>
          <w:kern w:val="0"/>
          <w:szCs w:val="21"/>
          <w:highlight w:val="none"/>
        </w:rPr>
        <w:t xml:space="preserve"> 日17:30（北京时间）前在重庆市公共资源交易网（www.cqggzy.com）发布答疑。</w:t>
      </w:r>
    </w:p>
    <w:p>
      <w:pPr>
        <w:pStyle w:val="4"/>
        <w:spacing w:before="100" w:after="100" w:line="460" w:lineRule="exact"/>
        <w:rPr>
          <w:rFonts w:ascii="宋体" w:hAnsi="宋体"/>
          <w:snapToGrid w:val="0"/>
          <w:sz w:val="28"/>
          <w:szCs w:val="28"/>
          <w:highlight w:val="none"/>
        </w:rPr>
      </w:pPr>
      <w:bookmarkStart w:id="33" w:name="_Toc83224406"/>
      <w:r>
        <w:rPr>
          <w:rFonts w:ascii="宋体" w:hAnsi="宋体"/>
          <w:snapToGrid w:val="0"/>
          <w:sz w:val="28"/>
          <w:szCs w:val="28"/>
          <w:highlight w:val="none"/>
        </w:rPr>
        <w:t>5. 投标文件的递交</w:t>
      </w:r>
      <w:bookmarkEnd w:id="33"/>
    </w:p>
    <w:p>
      <w:pPr>
        <w:spacing w:line="360" w:lineRule="auto"/>
        <w:ind w:firstLine="420" w:firstLineChars="200"/>
        <w:rPr>
          <w:rFonts w:ascii="宋体" w:hAnsi="宋体" w:cs="MingLiU"/>
          <w:snapToGrid w:val="0"/>
          <w:kern w:val="0"/>
          <w:szCs w:val="21"/>
          <w:highlight w:val="none"/>
        </w:rPr>
      </w:pPr>
      <w:r>
        <w:rPr>
          <w:rFonts w:ascii="宋体" w:hAnsi="宋体" w:cs="MingLiU"/>
          <w:snapToGrid w:val="0"/>
          <w:kern w:val="0"/>
          <w:szCs w:val="21"/>
          <w:highlight w:val="none"/>
        </w:rPr>
        <w:t>5.1  投标文件递交的截止时间（投标截止时间，下同）为</w:t>
      </w:r>
      <w:r>
        <w:rPr>
          <w:rFonts w:hint="eastAsia" w:ascii="宋体" w:hAnsi="宋体" w:cs="MingLiU"/>
          <w:snapToGrid w:val="0"/>
          <w:kern w:val="0"/>
          <w:szCs w:val="21"/>
          <w:highlight w:val="none"/>
        </w:rPr>
        <w:t>2021</w:t>
      </w:r>
      <w:r>
        <w:rPr>
          <w:rFonts w:ascii="宋体" w:hAnsi="宋体" w:cs="MingLiU"/>
          <w:snapToGrid w:val="0"/>
          <w:kern w:val="0"/>
          <w:szCs w:val="21"/>
          <w:highlight w:val="none"/>
        </w:rPr>
        <w:t>年</w:t>
      </w:r>
      <w:r>
        <w:rPr>
          <w:rFonts w:hint="eastAsia" w:ascii="宋体" w:hAnsi="宋体" w:cs="MingLiU"/>
          <w:snapToGrid w:val="0"/>
          <w:kern w:val="0"/>
          <w:szCs w:val="21"/>
          <w:highlight w:val="none"/>
          <w:lang w:val="en-US" w:eastAsia="zh-CN"/>
        </w:rPr>
        <w:t>10</w:t>
      </w:r>
      <w:r>
        <w:rPr>
          <w:rFonts w:ascii="宋体" w:hAnsi="宋体" w:cs="MingLiU"/>
          <w:snapToGrid w:val="0"/>
          <w:kern w:val="0"/>
          <w:szCs w:val="21"/>
          <w:highlight w:val="none"/>
        </w:rPr>
        <w:t xml:space="preserve">  月 </w:t>
      </w:r>
      <w:r>
        <w:rPr>
          <w:rFonts w:hint="eastAsia" w:ascii="宋体" w:hAnsi="宋体" w:cs="MingLiU"/>
          <w:snapToGrid w:val="0"/>
          <w:kern w:val="0"/>
          <w:szCs w:val="21"/>
          <w:highlight w:val="none"/>
          <w:lang w:val="en-US" w:eastAsia="zh-CN"/>
        </w:rPr>
        <w:t>25</w:t>
      </w:r>
      <w:r>
        <w:rPr>
          <w:rFonts w:ascii="宋体" w:hAnsi="宋体" w:cs="MingLiU"/>
          <w:snapToGrid w:val="0"/>
          <w:kern w:val="0"/>
          <w:szCs w:val="21"/>
          <w:highlight w:val="none"/>
        </w:rPr>
        <w:t xml:space="preserve"> 日</w:t>
      </w:r>
      <w:r>
        <w:rPr>
          <w:rFonts w:hint="eastAsia" w:ascii="宋体" w:hAnsi="宋体" w:cs="MingLiU"/>
          <w:snapToGrid w:val="0"/>
          <w:kern w:val="0"/>
          <w:szCs w:val="21"/>
          <w:highlight w:val="none"/>
        </w:rPr>
        <w:t>1</w:t>
      </w:r>
      <w:r>
        <w:rPr>
          <w:rFonts w:hint="eastAsia" w:ascii="宋体" w:hAnsi="宋体" w:cs="MingLiU"/>
          <w:snapToGrid w:val="0"/>
          <w:kern w:val="0"/>
          <w:szCs w:val="21"/>
          <w:highlight w:val="none"/>
          <w:lang w:val="en-US" w:eastAsia="zh-CN"/>
        </w:rPr>
        <w:t>1</w:t>
      </w:r>
      <w:r>
        <w:rPr>
          <w:rFonts w:ascii="宋体" w:hAnsi="宋体" w:cs="MingLiU"/>
          <w:snapToGrid w:val="0"/>
          <w:kern w:val="0"/>
          <w:szCs w:val="21"/>
          <w:highlight w:val="none"/>
        </w:rPr>
        <w:t>时</w:t>
      </w:r>
      <w:r>
        <w:rPr>
          <w:rFonts w:hint="eastAsia" w:ascii="宋体" w:hAnsi="宋体" w:cs="MingLiU"/>
          <w:snapToGrid w:val="0"/>
          <w:kern w:val="0"/>
          <w:szCs w:val="21"/>
          <w:highlight w:val="none"/>
        </w:rPr>
        <w:t>00</w:t>
      </w:r>
      <w:r>
        <w:rPr>
          <w:rFonts w:ascii="宋体" w:hAnsi="宋体" w:cs="MingLiU"/>
          <w:snapToGrid w:val="0"/>
          <w:kern w:val="0"/>
          <w:szCs w:val="21"/>
          <w:highlight w:val="none"/>
        </w:rPr>
        <w:t>分，</w:t>
      </w:r>
      <w:r>
        <w:rPr>
          <w:rFonts w:hint="eastAsia" w:ascii="宋体" w:hAnsi="宋体" w:cs="MingLiU"/>
          <w:snapToGrid w:val="0"/>
          <w:kern w:val="0"/>
          <w:szCs w:val="21"/>
          <w:highlight w:val="none"/>
        </w:rPr>
        <w:t>投标人应当在投标截止时间前，通过互联网使用CA数字证书登录重庆市电子招投标系统，将加密的电子投标文件上传。</w:t>
      </w:r>
    </w:p>
    <w:p>
      <w:pPr>
        <w:spacing w:line="360" w:lineRule="auto"/>
        <w:ind w:firstLine="420" w:firstLineChars="200"/>
        <w:rPr>
          <w:rFonts w:ascii="宋体" w:hAnsi="宋体" w:cs="MingLiU"/>
          <w:snapToGrid w:val="0"/>
          <w:kern w:val="0"/>
          <w:szCs w:val="21"/>
          <w:highlight w:val="none"/>
        </w:rPr>
      </w:pPr>
      <w:r>
        <w:rPr>
          <w:rFonts w:ascii="宋体" w:hAnsi="宋体" w:cs="MingLiU"/>
          <w:snapToGrid w:val="0"/>
          <w:kern w:val="0"/>
          <w:szCs w:val="21"/>
          <w:highlight w:val="none"/>
        </w:rPr>
        <w:t xml:space="preserve">5.2  </w:t>
      </w:r>
      <w:r>
        <w:rPr>
          <w:rFonts w:hint="eastAsia" w:ascii="宋体" w:hAnsi="宋体" w:cs="MingLiU"/>
          <w:snapToGrid w:val="0"/>
          <w:kern w:val="0"/>
          <w:szCs w:val="21"/>
          <w:highlight w:val="none"/>
        </w:rPr>
        <w:t>未按要求加密的电子投标文件，将无法上传至重庆市电子招投标系统，逾期未</w:t>
      </w:r>
      <w:bookmarkStart w:id="36" w:name="_GoBack"/>
      <w:bookmarkEnd w:id="36"/>
      <w:r>
        <w:rPr>
          <w:rFonts w:hint="eastAsia" w:ascii="宋体" w:hAnsi="宋体" w:cs="MingLiU"/>
          <w:snapToGrid w:val="0"/>
          <w:kern w:val="0"/>
          <w:szCs w:val="21"/>
          <w:highlight w:val="none"/>
        </w:rPr>
        <w:t>完成上传的投标文件，按无效投标处理。</w:t>
      </w:r>
    </w:p>
    <w:p>
      <w:pPr>
        <w:pStyle w:val="4"/>
        <w:spacing w:before="100" w:after="100" w:line="460" w:lineRule="exact"/>
        <w:rPr>
          <w:rFonts w:ascii="宋体" w:hAnsi="宋体"/>
          <w:snapToGrid w:val="0"/>
          <w:sz w:val="28"/>
          <w:szCs w:val="28"/>
          <w:highlight w:val="none"/>
        </w:rPr>
      </w:pPr>
      <w:bookmarkStart w:id="34" w:name="_Toc83224407"/>
      <w:r>
        <w:rPr>
          <w:rFonts w:ascii="宋体" w:hAnsi="宋体"/>
          <w:snapToGrid w:val="0"/>
          <w:sz w:val="28"/>
          <w:szCs w:val="28"/>
          <w:highlight w:val="none"/>
        </w:rPr>
        <w:t>6. 发布公告的媒介</w:t>
      </w:r>
      <w:bookmarkEnd w:id="34"/>
    </w:p>
    <w:p>
      <w:pPr>
        <w:spacing w:line="360" w:lineRule="auto"/>
        <w:ind w:firstLine="420" w:firstLineChars="200"/>
        <w:rPr>
          <w:rFonts w:ascii="宋体" w:hAnsi="宋体"/>
          <w:szCs w:val="21"/>
          <w:highlight w:val="none"/>
        </w:rPr>
      </w:pPr>
      <w:r>
        <w:rPr>
          <w:rFonts w:hint="eastAsia" w:ascii="宋体" w:hAnsi="宋体"/>
          <w:szCs w:val="21"/>
          <w:highlight w:val="none"/>
        </w:rPr>
        <w:t>本次招标公告同时在</w:t>
      </w:r>
      <w:r>
        <w:rPr>
          <w:rFonts w:hint="eastAsia" w:ascii="宋体" w:hAnsi="宋体"/>
          <w:highlight w:val="none"/>
        </w:rPr>
        <w:t>重庆市公共资源交易监督网（http://ggzyjyjgj.cq.gov.cn）、</w:t>
      </w:r>
      <w:r>
        <w:rPr>
          <w:rFonts w:ascii="宋体" w:hAnsi="宋体"/>
          <w:snapToGrid w:val="0"/>
          <w:kern w:val="0"/>
          <w:highlight w:val="none"/>
        </w:rPr>
        <w:t>重庆市公共资源交易网（http://www.cqggzy.com/）</w:t>
      </w:r>
      <w:r>
        <w:rPr>
          <w:rFonts w:hint="eastAsia" w:ascii="宋体" w:hAnsi="宋体"/>
          <w:snapToGrid w:val="0"/>
          <w:kern w:val="0"/>
          <w:highlight w:val="none"/>
        </w:rPr>
        <w:t>、重庆高速公路集团有限公司官网（http://www.cegc.com.cn/gw）、</w:t>
      </w:r>
      <w:r>
        <w:rPr>
          <w:rFonts w:hint="eastAsia"/>
          <w:szCs w:val="21"/>
          <w:highlight w:val="none"/>
        </w:rPr>
        <w:t>重庆高速公路集团有限公司招投标管理平台（http://43.240.249.108:8088/PMS/）</w:t>
      </w:r>
      <w:r>
        <w:rPr>
          <w:rFonts w:hint="eastAsia" w:ascii="宋体" w:hAnsi="宋体"/>
          <w:szCs w:val="21"/>
          <w:highlight w:val="none"/>
        </w:rPr>
        <w:t>上发布。</w:t>
      </w:r>
    </w:p>
    <w:p>
      <w:pPr>
        <w:pStyle w:val="4"/>
        <w:numPr>
          <w:ilvl w:val="0"/>
          <w:numId w:val="1"/>
        </w:numPr>
        <w:spacing w:before="100" w:after="100" w:line="460" w:lineRule="exact"/>
        <w:rPr>
          <w:highlight w:val="none"/>
        </w:rPr>
      </w:pPr>
      <w:bookmarkStart w:id="35" w:name="_Toc83224408"/>
      <w:r>
        <w:rPr>
          <w:rFonts w:ascii="宋体" w:hAnsi="宋体"/>
          <w:snapToGrid w:val="0"/>
          <w:sz w:val="28"/>
          <w:szCs w:val="28"/>
          <w:highlight w:val="none"/>
        </w:rPr>
        <w:t>联系方式</w:t>
      </w:r>
      <w:bookmarkEnd w:id="35"/>
    </w:p>
    <w:p>
      <w:pPr>
        <w:spacing w:line="360" w:lineRule="auto"/>
        <w:rPr>
          <w:rFonts w:ascii="宋体" w:hAnsi="宋体" w:cs="MingLiU"/>
          <w:snapToGrid w:val="0"/>
          <w:szCs w:val="21"/>
          <w:highlight w:val="none"/>
        </w:rPr>
      </w:pPr>
      <w:r>
        <w:rPr>
          <w:rFonts w:hint="eastAsia" w:ascii="宋体" w:hAnsi="宋体" w:cs="MingLiU"/>
          <w:snapToGrid w:val="0"/>
          <w:kern w:val="0"/>
          <w:szCs w:val="21"/>
          <w:highlight w:val="none"/>
        </w:rPr>
        <w:t>招标人：重庆白马航运发展有限公司</w:t>
      </w:r>
      <w:r>
        <w:rPr>
          <w:rFonts w:hint="eastAsia" w:ascii="宋体" w:hAnsi="宋体" w:cs="MingLiU"/>
          <w:snapToGrid w:val="0"/>
          <w:szCs w:val="21"/>
          <w:highlight w:val="none"/>
        </w:rPr>
        <w:tab/>
      </w:r>
    </w:p>
    <w:p>
      <w:pPr>
        <w:spacing w:line="360" w:lineRule="auto"/>
        <w:rPr>
          <w:rFonts w:ascii="宋体" w:hAnsi="宋体" w:cs="MingLiU"/>
          <w:snapToGrid w:val="0"/>
          <w:szCs w:val="21"/>
          <w:highlight w:val="none"/>
        </w:rPr>
      </w:pPr>
      <w:r>
        <w:rPr>
          <w:rFonts w:hint="eastAsia" w:ascii="宋体" w:hAnsi="宋体" w:cs="MingLiU"/>
          <w:snapToGrid w:val="0"/>
          <w:szCs w:val="21"/>
          <w:highlight w:val="none"/>
        </w:rPr>
        <w:t>地  址：北部新区高新园星光大道76号天王星商务大厦B座23楼</w:t>
      </w:r>
    </w:p>
    <w:p>
      <w:pPr>
        <w:spacing w:line="360" w:lineRule="auto"/>
        <w:rPr>
          <w:rFonts w:ascii="宋体" w:hAnsi="宋体" w:cs="MingLiU"/>
          <w:snapToGrid w:val="0"/>
          <w:szCs w:val="21"/>
          <w:highlight w:val="none"/>
        </w:rPr>
      </w:pPr>
      <w:r>
        <w:rPr>
          <w:rFonts w:ascii="宋体" w:hAnsi="宋体" w:cs="MingLiU"/>
          <w:snapToGrid w:val="0"/>
          <w:szCs w:val="21"/>
          <w:highlight w:val="none"/>
        </w:rPr>
        <w:t xml:space="preserve">联   </w:t>
      </w:r>
      <w:r>
        <w:rPr>
          <w:rFonts w:hint="eastAsia" w:ascii="宋体" w:hAnsi="宋体" w:cs="MingLiU"/>
          <w:snapToGrid w:val="0"/>
          <w:szCs w:val="21"/>
          <w:highlight w:val="none"/>
        </w:rPr>
        <w:t>系人：</w:t>
      </w:r>
      <w:r>
        <w:rPr>
          <w:rFonts w:hint="eastAsia" w:ascii="宋体" w:hAnsi="宋体" w:cs="宋体"/>
          <w:szCs w:val="21"/>
          <w:highlight w:val="none"/>
        </w:rPr>
        <w:t>吴先生</w:t>
      </w:r>
      <w:r>
        <w:rPr>
          <w:rFonts w:ascii="宋体" w:hAnsi="宋体" w:cs="宋体"/>
          <w:szCs w:val="21"/>
          <w:highlight w:val="none"/>
        </w:rPr>
        <w:tab/>
      </w:r>
    </w:p>
    <w:p>
      <w:pPr>
        <w:spacing w:line="360" w:lineRule="auto"/>
        <w:rPr>
          <w:rFonts w:ascii="宋体" w:hAnsi="宋体" w:cs="宋体"/>
          <w:szCs w:val="21"/>
          <w:highlight w:val="none"/>
        </w:rPr>
      </w:pPr>
      <w:r>
        <w:rPr>
          <w:rFonts w:hint="eastAsia" w:ascii="宋体" w:hAnsi="宋体" w:cs="宋体"/>
          <w:szCs w:val="21"/>
          <w:highlight w:val="none"/>
        </w:rPr>
        <w:t>电话：023-88734299</w:t>
      </w:r>
    </w:p>
    <w:p>
      <w:pPr>
        <w:spacing w:line="360" w:lineRule="auto"/>
        <w:rPr>
          <w:rFonts w:ascii="宋体" w:hAnsi="宋体" w:cs="宋体"/>
          <w:szCs w:val="21"/>
          <w:highlight w:val="none"/>
        </w:rPr>
      </w:pPr>
      <w:r>
        <w:rPr>
          <w:rFonts w:hint="eastAsia" w:ascii="宋体" w:hAnsi="宋体" w:cs="宋体"/>
          <w:szCs w:val="21"/>
          <w:highlight w:val="none"/>
        </w:rPr>
        <w:t>传真：023-89076638</w:t>
      </w:r>
    </w:p>
    <w:p>
      <w:pPr>
        <w:spacing w:line="360" w:lineRule="auto"/>
        <w:rPr>
          <w:rFonts w:ascii="宋体" w:hAnsi="宋体" w:cs="宋体"/>
          <w:szCs w:val="21"/>
          <w:highlight w:val="none"/>
        </w:rPr>
      </w:pPr>
    </w:p>
    <w:p>
      <w:pPr>
        <w:spacing w:line="360" w:lineRule="auto"/>
        <w:rPr>
          <w:rFonts w:ascii="宋体" w:hAnsi="宋体" w:cs="MingLiU"/>
          <w:snapToGrid w:val="0"/>
          <w:szCs w:val="21"/>
          <w:highlight w:val="none"/>
        </w:rPr>
      </w:pPr>
      <w:r>
        <w:rPr>
          <w:rFonts w:hint="eastAsia" w:ascii="宋体" w:hAnsi="宋体" w:cs="MingLiU"/>
          <w:snapToGrid w:val="0"/>
          <w:szCs w:val="21"/>
          <w:highlight w:val="none"/>
        </w:rPr>
        <w:t>招标代理机构：重庆招标采购（集团）有限责任公司</w:t>
      </w:r>
    </w:p>
    <w:p>
      <w:pPr>
        <w:spacing w:line="360" w:lineRule="auto"/>
        <w:rPr>
          <w:rFonts w:ascii="宋体" w:hAnsi="宋体" w:cs="MingLiU"/>
          <w:snapToGrid w:val="0"/>
          <w:szCs w:val="21"/>
          <w:highlight w:val="none"/>
        </w:rPr>
      </w:pPr>
      <w:r>
        <w:rPr>
          <w:rFonts w:hint="eastAsia" w:ascii="宋体" w:hAnsi="宋体" w:cs="MingLiU"/>
          <w:snapToGrid w:val="0"/>
          <w:szCs w:val="21"/>
          <w:highlight w:val="none"/>
        </w:rPr>
        <w:t>地       址：重庆市江北区五简路2号重庆咨询大厦A座2007室</w:t>
      </w:r>
    </w:p>
    <w:p>
      <w:pPr>
        <w:spacing w:line="360" w:lineRule="auto"/>
        <w:rPr>
          <w:rFonts w:ascii="宋体" w:hAnsi="宋体" w:cs="MingLiU"/>
          <w:snapToGrid w:val="0"/>
          <w:szCs w:val="21"/>
          <w:highlight w:val="none"/>
        </w:rPr>
      </w:pPr>
      <w:r>
        <w:rPr>
          <w:rFonts w:hint="eastAsia" w:ascii="宋体" w:hAnsi="宋体" w:cs="MingLiU"/>
          <w:snapToGrid w:val="0"/>
          <w:szCs w:val="21"/>
          <w:highlight w:val="none"/>
        </w:rPr>
        <w:t>联  系  人：霍先生  徐</w:t>
      </w:r>
      <w:r>
        <w:rPr>
          <w:rFonts w:ascii="宋体" w:hAnsi="宋体" w:cs="MingLiU"/>
          <w:snapToGrid w:val="0"/>
          <w:szCs w:val="21"/>
          <w:highlight w:val="none"/>
        </w:rPr>
        <w:t>女士文</w:t>
      </w:r>
      <w:r>
        <w:rPr>
          <w:rFonts w:hint="eastAsia" w:ascii="宋体" w:hAnsi="宋体" w:cs="MingLiU"/>
          <w:snapToGrid w:val="0"/>
          <w:szCs w:val="21"/>
          <w:highlight w:val="none"/>
        </w:rPr>
        <w:t>先生</w:t>
      </w:r>
    </w:p>
    <w:p>
      <w:pPr>
        <w:spacing w:line="360" w:lineRule="auto"/>
        <w:rPr>
          <w:rFonts w:ascii="宋体" w:hAnsi="宋体" w:cs="MingLiU"/>
          <w:snapToGrid w:val="0"/>
          <w:szCs w:val="21"/>
          <w:highlight w:val="none"/>
        </w:rPr>
      </w:pPr>
      <w:r>
        <w:rPr>
          <w:rFonts w:hint="eastAsia" w:ascii="宋体" w:hAnsi="宋体" w:cs="MingLiU"/>
          <w:snapToGrid w:val="0"/>
          <w:szCs w:val="21"/>
          <w:highlight w:val="none"/>
        </w:rPr>
        <w:t>电      话：</w:t>
      </w:r>
      <w:r>
        <w:rPr>
          <w:rFonts w:ascii="宋体" w:hAnsi="宋体" w:cs="MingLiU"/>
          <w:snapToGrid w:val="0"/>
          <w:szCs w:val="21"/>
          <w:highlight w:val="none"/>
        </w:rPr>
        <w:t xml:space="preserve">023-67706832  67120657  </w:t>
      </w:r>
      <w:r>
        <w:rPr>
          <w:rFonts w:hint="eastAsia" w:ascii="宋体" w:hAnsi="宋体" w:cs="MingLiU"/>
          <w:snapToGrid w:val="0"/>
          <w:szCs w:val="21"/>
          <w:highlight w:val="none"/>
        </w:rPr>
        <w:t>67606963</w:t>
      </w:r>
    </w:p>
    <w:p>
      <w:pPr>
        <w:spacing w:line="360" w:lineRule="auto"/>
        <w:rPr>
          <w:rFonts w:ascii="宋体" w:hAnsi="宋体" w:cs="MingLiU"/>
          <w:snapToGrid w:val="0"/>
          <w:szCs w:val="21"/>
          <w:highlight w:val="none"/>
        </w:rPr>
      </w:pPr>
      <w:r>
        <w:rPr>
          <w:rFonts w:hint="eastAsia" w:ascii="宋体" w:hAnsi="宋体" w:cs="MingLiU"/>
          <w:snapToGrid w:val="0"/>
          <w:szCs w:val="21"/>
          <w:highlight w:val="none"/>
        </w:rPr>
        <w:t>传       真：</w:t>
      </w:r>
      <w:r>
        <w:rPr>
          <w:rFonts w:ascii="宋体" w:hAnsi="宋体" w:cs="MingLiU"/>
          <w:snapToGrid w:val="0"/>
          <w:szCs w:val="21"/>
          <w:highlight w:val="none"/>
        </w:rPr>
        <w:t>023-67601991</w:t>
      </w:r>
    </w:p>
    <w:bookmarkEnd w:id="1"/>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0" w:usb3="00000000" w:csb0="00100000"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0C915A"/>
    <w:multiLevelType w:val="singleLevel"/>
    <w:tmpl w:val="5F0C915A"/>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E06"/>
    <w:rsid w:val="00556279"/>
    <w:rsid w:val="00700080"/>
    <w:rsid w:val="00746B2C"/>
    <w:rsid w:val="008B3FDA"/>
    <w:rsid w:val="009C48A6"/>
    <w:rsid w:val="00E62E06"/>
    <w:rsid w:val="14BC77A1"/>
    <w:rsid w:val="3F9928C3"/>
    <w:rsid w:val="4B967047"/>
    <w:rsid w:val="75B30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2"/>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
    <w:semiHidden/>
    <w:unhideWhenUsed/>
    <w:qFormat/>
    <w:uiPriority w:val="99"/>
    <w:pPr>
      <w:spacing w:after="120"/>
    </w:p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First Indent"/>
    <w:basedOn w:val="2"/>
    <w:unhideWhenUsed/>
    <w:qFormat/>
    <w:uiPriority w:val="99"/>
    <w:pPr>
      <w:spacing w:after="120" w:line="240" w:lineRule="auto"/>
      <w:ind w:firstLine="420" w:firstLineChars="100"/>
    </w:pPr>
    <w:rPr>
      <w:rFonts w:ascii="Calibri" w:hAnsi="Calibri" w:cs="Times New Roman"/>
      <w:sz w:val="21"/>
      <w:szCs w:val="22"/>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标题 1 Char"/>
    <w:basedOn w:val="9"/>
    <w:link w:val="3"/>
    <w:qFormat/>
    <w:uiPriority w:val="0"/>
    <w:rPr>
      <w:rFonts w:ascii="Calibri" w:hAnsi="Calibri" w:eastAsia="宋体" w:cs="Times New Roman"/>
      <w:b/>
      <w:bCs/>
      <w:kern w:val="44"/>
      <w:sz w:val="44"/>
      <w:szCs w:val="44"/>
    </w:rPr>
  </w:style>
  <w:style w:type="character" w:customStyle="1" w:styleId="13">
    <w:name w:val="正文文本 Char"/>
    <w:basedOn w:val="9"/>
    <w:link w:val="2"/>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167</Words>
  <Characters>957</Characters>
  <Lines>7</Lines>
  <Paragraphs>2</Paragraphs>
  <TotalTime>2</TotalTime>
  <ScaleCrop>false</ScaleCrop>
  <LinksUpToDate>false</LinksUpToDate>
  <CharactersWithSpaces>1122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2020-09-17T05:21:00Z</dcterms:created>
  <dc:creator>罗双</dc:creator>
  <cp:lastModifiedBy>徐梦洁</cp:lastModifiedBy>
  <dcterms:modified xsi:type="dcterms:W3CDTF">2021-09-26T08:59:58Z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