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40"/>
          <w:szCs w:val="40"/>
          <w:lang w:val="en-US" w:eastAsia="zh-CN"/>
        </w:rPr>
      </w:pPr>
      <w:r>
        <w:rPr>
          <w:rFonts w:hint="eastAsia" w:ascii="方正小标宋_GBK" w:eastAsia="方正小标宋_GBK"/>
          <w:sz w:val="32"/>
          <w:szCs w:val="32"/>
        </w:rPr>
        <w:t>重庆高速公路2023-2025年服务区保安保洁业务外包项目三标段（东南区域）中标候选人公示</w:t>
      </w:r>
      <w:r>
        <w:rPr>
          <w:rFonts w:hint="eastAsia" w:ascii="方正小标宋_GBK" w:eastAsia="方正小标宋_GBK"/>
          <w:sz w:val="32"/>
          <w:szCs w:val="32"/>
          <w:lang w:val="en-US" w:eastAsia="zh-CN"/>
        </w:rPr>
        <w:t>表</w:t>
      </w:r>
    </w:p>
    <w:p>
      <w:pPr>
        <w:jc w:val="center"/>
        <w:rPr>
          <w:rFonts w:hint="eastAsia" w:ascii="方正小标宋_GBK" w:eastAsia="方正小标宋_GBK"/>
          <w:sz w:val="30"/>
          <w:szCs w:val="30"/>
          <w:lang w:val="en-US" w:eastAsia="zh-CN"/>
        </w:rPr>
      </w:pPr>
      <w:r>
        <w:rPr>
          <w:rFonts w:hint="eastAsia" w:ascii="方正小标宋_GBK" w:eastAsia="方正小标宋_GBK"/>
          <w:sz w:val="30"/>
          <w:szCs w:val="30"/>
        </w:rPr>
        <w:t>（公示期：</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12</w:t>
      </w:r>
      <w:r>
        <w:rPr>
          <w:rFonts w:hint="eastAsia" w:ascii="方正小标宋_GBK" w:eastAsia="方正小标宋_GBK"/>
          <w:sz w:val="30"/>
          <w:szCs w:val="30"/>
        </w:rPr>
        <w:t>月</w:t>
      </w:r>
      <w:r>
        <w:rPr>
          <w:rFonts w:hint="eastAsia" w:ascii="方正小标宋_GBK" w:eastAsia="方正小标宋_GBK"/>
          <w:sz w:val="30"/>
          <w:szCs w:val="30"/>
          <w:lang w:val="en-US" w:eastAsia="zh-CN"/>
        </w:rPr>
        <w:t>26</w:t>
      </w:r>
      <w:r>
        <w:rPr>
          <w:rFonts w:hint="eastAsia" w:ascii="方正小标宋_GBK" w:eastAsia="方正小标宋_GBK"/>
          <w:sz w:val="30"/>
          <w:szCs w:val="30"/>
        </w:rPr>
        <w:t>日至</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12</w:t>
      </w:r>
      <w:r>
        <w:rPr>
          <w:rFonts w:hint="eastAsia" w:ascii="方正小标宋_GBK" w:eastAsia="方正小标宋_GBK"/>
          <w:sz w:val="30"/>
          <w:szCs w:val="30"/>
        </w:rPr>
        <w:t>月</w:t>
      </w:r>
      <w:r>
        <w:rPr>
          <w:rFonts w:hint="eastAsia" w:ascii="方正小标宋_GBK" w:eastAsia="方正小标宋_GBK"/>
          <w:sz w:val="30"/>
          <w:szCs w:val="30"/>
          <w:lang w:val="en-US" w:eastAsia="zh-CN"/>
        </w:rPr>
        <w:t>29</w:t>
      </w:r>
      <w:r>
        <w:rPr>
          <w:rFonts w:hint="eastAsia" w:ascii="方正小标宋_GBK" w:eastAsia="方正小标宋_GBK"/>
          <w:sz w:val="30"/>
          <w:szCs w:val="30"/>
        </w:rPr>
        <w:t>日）</w:t>
      </w:r>
    </w:p>
    <w:tbl>
      <w:tblPr>
        <w:tblStyle w:val="7"/>
        <w:tblpPr w:leftFromText="180" w:rightFromText="180" w:vertAnchor="text" w:horzAnchor="margin" w:tblpXSpec="center" w:tblpY="227"/>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2"/>
        <w:gridCol w:w="1508"/>
        <w:gridCol w:w="1462"/>
        <w:gridCol w:w="470"/>
        <w:gridCol w:w="517"/>
        <w:gridCol w:w="1171"/>
        <w:gridCol w:w="849"/>
        <w:gridCol w:w="536"/>
        <w:gridCol w:w="569"/>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542" w:type="dxa"/>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项目标段名称</w:t>
            </w:r>
          </w:p>
        </w:tc>
        <w:tc>
          <w:tcPr>
            <w:tcW w:w="5128" w:type="dxa"/>
            <w:gridSpan w:val="5"/>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重庆高速公路2023-2025年服务区保安保洁业务外包项目三标段（东南区域）</w:t>
            </w:r>
          </w:p>
        </w:tc>
        <w:tc>
          <w:tcPr>
            <w:tcW w:w="1385" w:type="dxa"/>
            <w:gridSpan w:val="2"/>
            <w:vMerge w:val="restart"/>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最高限价</w:t>
            </w:r>
          </w:p>
        </w:tc>
        <w:tc>
          <w:tcPr>
            <w:tcW w:w="2105" w:type="dxa"/>
            <w:gridSpan w:val="2"/>
            <w:vMerge w:val="restart"/>
            <w:shd w:val="clear" w:color="auto" w:fill="auto"/>
            <w:vAlign w:val="center"/>
          </w:tcPr>
          <w:p>
            <w:pPr>
              <w:widowControl/>
              <w:jc w:val="center"/>
              <w:rPr>
                <w:rFonts w:hint="default" w:ascii="宋体" w:hAnsi="宋体" w:eastAsia="宋体" w:cs="宋体"/>
                <w:color w:val="auto"/>
                <w:kern w:val="0"/>
                <w:sz w:val="22"/>
                <w:lang w:val="en-US"/>
              </w:rPr>
            </w:pPr>
            <w:r>
              <w:rPr>
                <w:rFonts w:hint="default" w:ascii="宋体" w:hAnsi="宋体" w:eastAsia="宋体" w:cs="宋体"/>
                <w:color w:val="auto"/>
                <w:kern w:val="0"/>
                <w:sz w:val="22"/>
                <w:lang w:val="en-US"/>
              </w:rPr>
              <w:t xml:space="preserve"> 29968224元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42" w:type="dxa"/>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项目编码</w:t>
            </w:r>
          </w:p>
        </w:tc>
        <w:tc>
          <w:tcPr>
            <w:tcW w:w="5128" w:type="dxa"/>
            <w:gridSpan w:val="5"/>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50000120221124025030103</w:t>
            </w:r>
          </w:p>
        </w:tc>
        <w:tc>
          <w:tcPr>
            <w:tcW w:w="1385" w:type="dxa"/>
            <w:gridSpan w:val="2"/>
            <w:vMerge w:val="continue"/>
            <w:shd w:val="clear" w:color="auto" w:fill="auto"/>
            <w:vAlign w:val="center"/>
          </w:tcPr>
          <w:p>
            <w:pPr>
              <w:widowControl/>
              <w:jc w:val="center"/>
              <w:rPr>
                <w:rFonts w:hint="eastAsia" w:ascii="宋体" w:hAnsi="宋体" w:eastAsia="宋体" w:cs="宋体"/>
                <w:color w:val="auto"/>
                <w:kern w:val="0"/>
                <w:sz w:val="22"/>
              </w:rPr>
            </w:pPr>
          </w:p>
        </w:tc>
        <w:tc>
          <w:tcPr>
            <w:tcW w:w="2105" w:type="dxa"/>
            <w:gridSpan w:val="2"/>
            <w:vMerge w:val="continue"/>
            <w:shd w:val="clear" w:color="auto" w:fill="auto"/>
            <w:vAlign w:val="center"/>
          </w:tcPr>
          <w:p>
            <w:pPr>
              <w:widowControl/>
              <w:jc w:val="center"/>
              <w:rPr>
                <w:rFonts w:hint="eastAsia" w:ascii="宋体" w:hAns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42" w:type="dxa"/>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招标公告编号</w:t>
            </w:r>
          </w:p>
        </w:tc>
        <w:tc>
          <w:tcPr>
            <w:tcW w:w="5128" w:type="dxa"/>
            <w:gridSpan w:val="5"/>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w:t>
            </w:r>
          </w:p>
        </w:tc>
        <w:tc>
          <w:tcPr>
            <w:tcW w:w="1385" w:type="dxa"/>
            <w:gridSpan w:val="2"/>
            <w:vMerge w:val="continue"/>
            <w:shd w:val="clear" w:color="auto" w:fill="auto"/>
            <w:vAlign w:val="center"/>
          </w:tcPr>
          <w:p>
            <w:pPr>
              <w:widowControl/>
              <w:jc w:val="center"/>
              <w:rPr>
                <w:rFonts w:hint="eastAsia" w:ascii="宋体" w:hAnsi="宋体" w:eastAsia="宋体" w:cs="宋体"/>
                <w:color w:val="auto"/>
                <w:kern w:val="0"/>
                <w:sz w:val="22"/>
              </w:rPr>
            </w:pPr>
          </w:p>
        </w:tc>
        <w:tc>
          <w:tcPr>
            <w:tcW w:w="2105" w:type="dxa"/>
            <w:gridSpan w:val="2"/>
            <w:vMerge w:val="continue"/>
            <w:shd w:val="clear" w:color="auto" w:fill="auto"/>
            <w:vAlign w:val="center"/>
          </w:tcPr>
          <w:p>
            <w:pPr>
              <w:widowControl/>
              <w:jc w:val="center"/>
              <w:rPr>
                <w:rFonts w:hint="eastAsia" w:ascii="宋体" w:hAns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542" w:type="dxa"/>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招标人</w:t>
            </w:r>
          </w:p>
        </w:tc>
        <w:tc>
          <w:tcPr>
            <w:tcW w:w="5128" w:type="dxa"/>
            <w:gridSpan w:val="5"/>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重庆高速公路路网管理有限公司</w:t>
            </w:r>
          </w:p>
        </w:tc>
        <w:tc>
          <w:tcPr>
            <w:tcW w:w="1385" w:type="dxa"/>
            <w:gridSpan w:val="2"/>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招标人联系电话</w:t>
            </w:r>
          </w:p>
        </w:tc>
        <w:tc>
          <w:tcPr>
            <w:tcW w:w="2105" w:type="dxa"/>
            <w:gridSpan w:val="2"/>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xml:space="preserve">023-86917617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42" w:type="dxa"/>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招标代理机构</w:t>
            </w:r>
          </w:p>
        </w:tc>
        <w:tc>
          <w:tcPr>
            <w:tcW w:w="5128" w:type="dxa"/>
            <w:gridSpan w:val="5"/>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重庆国际投资咨询集团有限公司　</w:t>
            </w:r>
          </w:p>
        </w:tc>
        <w:tc>
          <w:tcPr>
            <w:tcW w:w="1385" w:type="dxa"/>
            <w:gridSpan w:val="2"/>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招标代理机构联系电话</w:t>
            </w:r>
          </w:p>
        </w:tc>
        <w:tc>
          <w:tcPr>
            <w:tcW w:w="2105" w:type="dxa"/>
            <w:gridSpan w:val="2"/>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2" w:type="dxa"/>
            <w:vMerge w:val="restart"/>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中标候选人排序</w:t>
            </w:r>
          </w:p>
        </w:tc>
        <w:tc>
          <w:tcPr>
            <w:tcW w:w="1508" w:type="dxa"/>
            <w:vMerge w:val="restart"/>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名称</w:t>
            </w:r>
          </w:p>
        </w:tc>
        <w:tc>
          <w:tcPr>
            <w:tcW w:w="1462" w:type="dxa"/>
            <w:vMerge w:val="restart"/>
            <w:shd w:val="clear" w:color="auto" w:fill="auto"/>
            <w:vAlign w:val="center"/>
          </w:tcPr>
          <w:p>
            <w:pPr>
              <w:widowControl/>
              <w:jc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rPr>
              <w:t>投标报价</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lang w:val="en-US" w:eastAsia="zh-CN"/>
              </w:rPr>
              <w:t>元</w:t>
            </w:r>
            <w:r>
              <w:rPr>
                <w:rFonts w:hint="eastAsia" w:ascii="宋体" w:hAnsi="宋体" w:eastAsia="宋体" w:cs="宋体"/>
                <w:color w:val="auto"/>
                <w:kern w:val="0"/>
                <w:sz w:val="22"/>
                <w:lang w:eastAsia="zh-CN"/>
              </w:rPr>
              <w:t>）</w:t>
            </w:r>
          </w:p>
        </w:tc>
        <w:tc>
          <w:tcPr>
            <w:tcW w:w="987" w:type="dxa"/>
            <w:gridSpan w:val="2"/>
            <w:vMerge w:val="restart"/>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工期</w:t>
            </w:r>
          </w:p>
        </w:tc>
        <w:tc>
          <w:tcPr>
            <w:tcW w:w="1171" w:type="dxa"/>
            <w:vMerge w:val="restart"/>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工程质量</w:t>
            </w:r>
          </w:p>
        </w:tc>
        <w:tc>
          <w:tcPr>
            <w:tcW w:w="3490" w:type="dxa"/>
            <w:gridSpan w:val="4"/>
            <w:shd w:val="clear" w:color="auto" w:fill="auto"/>
            <w:vAlign w:val="center"/>
          </w:tcPr>
          <w:p>
            <w:pPr>
              <w:widowControl/>
              <w:jc w:val="center"/>
              <w:rPr>
                <w:rFonts w:hint="eastAsia" w:ascii="Calibri" w:hAnsi="Calibri" w:eastAsia="宋体" w:cs="Calibri"/>
                <w:color w:val="auto"/>
                <w:kern w:val="0"/>
                <w:sz w:val="22"/>
              </w:rPr>
            </w:pPr>
            <w:r>
              <w:rPr>
                <w:rFonts w:hint="eastAsia" w:ascii="Calibri" w:hAnsi="Calibri" w:eastAsia="宋体" w:cs="Calibri"/>
                <w:color w:val="auto"/>
                <w:kern w:val="0"/>
                <w:sz w:val="22"/>
                <w:lang w:val="en-US" w:eastAsia="zh-CN"/>
              </w:rPr>
              <w:t>工程</w:t>
            </w:r>
            <w:r>
              <w:rPr>
                <w:rFonts w:ascii="Calibri" w:hAnsi="Calibri" w:eastAsia="宋体" w:cs="Calibri"/>
                <w:color w:val="auto"/>
                <w:kern w:val="0"/>
                <w:sz w:val="2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2" w:type="dxa"/>
            <w:vMerge w:val="continue"/>
            <w:vAlign w:val="center"/>
          </w:tcPr>
          <w:p>
            <w:pPr>
              <w:widowControl/>
              <w:jc w:val="left"/>
              <w:rPr>
                <w:rFonts w:ascii="宋体" w:hAnsi="宋体" w:eastAsia="宋体" w:cs="宋体"/>
                <w:color w:val="auto"/>
                <w:kern w:val="0"/>
                <w:sz w:val="22"/>
              </w:rPr>
            </w:pPr>
          </w:p>
        </w:tc>
        <w:tc>
          <w:tcPr>
            <w:tcW w:w="1508" w:type="dxa"/>
            <w:vMerge w:val="continue"/>
            <w:vAlign w:val="center"/>
          </w:tcPr>
          <w:p>
            <w:pPr>
              <w:widowControl/>
              <w:jc w:val="left"/>
              <w:rPr>
                <w:rFonts w:ascii="宋体" w:hAnsi="宋体" w:eastAsia="宋体" w:cs="宋体"/>
                <w:color w:val="auto"/>
                <w:kern w:val="0"/>
                <w:sz w:val="22"/>
              </w:rPr>
            </w:pPr>
          </w:p>
        </w:tc>
        <w:tc>
          <w:tcPr>
            <w:tcW w:w="1462" w:type="dxa"/>
            <w:vMerge w:val="continue"/>
            <w:vAlign w:val="center"/>
          </w:tcPr>
          <w:p>
            <w:pPr>
              <w:widowControl/>
              <w:jc w:val="left"/>
              <w:rPr>
                <w:rFonts w:ascii="宋体" w:hAnsi="宋体" w:eastAsia="宋体" w:cs="宋体"/>
                <w:color w:val="auto"/>
                <w:kern w:val="0"/>
                <w:sz w:val="22"/>
              </w:rPr>
            </w:pPr>
          </w:p>
        </w:tc>
        <w:tc>
          <w:tcPr>
            <w:tcW w:w="987" w:type="dxa"/>
            <w:gridSpan w:val="2"/>
            <w:vMerge w:val="continue"/>
            <w:vAlign w:val="center"/>
          </w:tcPr>
          <w:p>
            <w:pPr>
              <w:widowControl/>
              <w:jc w:val="left"/>
              <w:rPr>
                <w:rFonts w:ascii="宋体" w:hAnsi="宋体" w:eastAsia="宋体" w:cs="宋体"/>
                <w:color w:val="auto"/>
                <w:kern w:val="0"/>
                <w:sz w:val="22"/>
              </w:rPr>
            </w:pPr>
          </w:p>
        </w:tc>
        <w:tc>
          <w:tcPr>
            <w:tcW w:w="1171" w:type="dxa"/>
            <w:vMerge w:val="continue"/>
            <w:vAlign w:val="center"/>
          </w:tcPr>
          <w:p>
            <w:pPr>
              <w:widowControl/>
              <w:jc w:val="left"/>
              <w:rPr>
                <w:rFonts w:ascii="宋体" w:hAnsi="宋体" w:eastAsia="宋体" w:cs="宋体"/>
                <w:color w:val="auto"/>
                <w:kern w:val="0"/>
                <w:sz w:val="22"/>
              </w:rPr>
            </w:pPr>
          </w:p>
        </w:tc>
        <w:tc>
          <w:tcPr>
            <w:tcW w:w="849" w:type="dxa"/>
            <w:shd w:val="clear" w:color="auto" w:fill="auto"/>
            <w:vAlign w:val="center"/>
          </w:tcPr>
          <w:p>
            <w:pPr>
              <w:widowControl/>
              <w:jc w:val="center"/>
              <w:rPr>
                <w:rFonts w:ascii="Calibri" w:hAnsi="Calibri" w:eastAsia="宋体" w:cs="Calibri"/>
                <w:color w:val="auto"/>
                <w:kern w:val="0"/>
                <w:sz w:val="22"/>
              </w:rPr>
            </w:pPr>
            <w:r>
              <w:rPr>
                <w:rFonts w:ascii="Calibri" w:hAnsi="Calibri" w:eastAsia="宋体" w:cs="Calibri"/>
                <w:color w:val="auto"/>
                <w:kern w:val="0"/>
                <w:sz w:val="22"/>
              </w:rPr>
              <w:t>姓名</w:t>
            </w:r>
          </w:p>
        </w:tc>
        <w:tc>
          <w:tcPr>
            <w:tcW w:w="1105" w:type="dxa"/>
            <w:gridSpan w:val="2"/>
            <w:shd w:val="clear" w:color="auto" w:fill="auto"/>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证书名称</w:t>
            </w:r>
          </w:p>
        </w:tc>
        <w:tc>
          <w:tcPr>
            <w:tcW w:w="1536" w:type="dxa"/>
            <w:shd w:val="clear" w:color="auto" w:fill="auto"/>
            <w:vAlign w:val="center"/>
          </w:tcPr>
          <w:p>
            <w:pPr>
              <w:widowControl/>
              <w:jc w:val="center"/>
              <w:rPr>
                <w:rFonts w:hint="eastAsia" w:ascii="Calibri" w:hAnsi="Calibri" w:eastAsia="宋体" w:cs="Calibri"/>
                <w:color w:val="auto"/>
                <w:kern w:val="0"/>
                <w:sz w:val="22"/>
              </w:rPr>
            </w:pPr>
            <w:r>
              <w:rPr>
                <w:rFonts w:ascii="Calibri" w:hAnsi="Calibri" w:eastAsia="宋体" w:cs="Calibri"/>
                <w:color w:val="auto"/>
                <w:kern w:val="0"/>
                <w:sz w:val="2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542"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第一名</w:t>
            </w:r>
          </w:p>
        </w:tc>
        <w:tc>
          <w:tcPr>
            <w:tcW w:w="1508"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新大正物业集团股份有限公司</w:t>
            </w:r>
          </w:p>
        </w:tc>
        <w:tc>
          <w:tcPr>
            <w:tcW w:w="1462"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28398660</w:t>
            </w:r>
          </w:p>
        </w:tc>
        <w:tc>
          <w:tcPr>
            <w:tcW w:w="987" w:type="dxa"/>
            <w:gridSpan w:val="2"/>
            <w:shd w:val="clear" w:color="auto" w:fill="auto"/>
            <w:vAlign w:val="center"/>
          </w:tcPr>
          <w:p>
            <w:pPr>
              <w:widowControl/>
              <w:jc w:val="center"/>
              <w:rPr>
                <w:rFonts w:hint="default" w:ascii="宋体" w:hAnsi="宋体" w:eastAsia="宋体" w:cs="宋体"/>
                <w:color w:val="auto"/>
                <w:kern w:val="0"/>
                <w:sz w:val="22"/>
                <w:lang w:val="en-US" w:eastAsia="zh-CN"/>
              </w:rPr>
            </w:pPr>
            <w:r>
              <w:rPr>
                <w:rFonts w:hint="default" w:ascii="宋体" w:hAnsi="宋体" w:eastAsia="宋体" w:cs="宋体"/>
                <w:color w:val="auto"/>
                <w:kern w:val="0"/>
                <w:sz w:val="22"/>
                <w:lang w:val="en-US" w:eastAsia="zh-CN"/>
              </w:rPr>
              <w:t>符合招标文件要求</w:t>
            </w:r>
          </w:p>
        </w:tc>
        <w:tc>
          <w:tcPr>
            <w:tcW w:w="1171" w:type="dxa"/>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满足招标文件要求</w:t>
            </w:r>
          </w:p>
        </w:tc>
        <w:tc>
          <w:tcPr>
            <w:tcW w:w="849" w:type="dxa"/>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w:t>
            </w:r>
          </w:p>
        </w:tc>
        <w:tc>
          <w:tcPr>
            <w:tcW w:w="1105" w:type="dxa"/>
            <w:gridSpan w:val="2"/>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w:t>
            </w:r>
          </w:p>
        </w:tc>
        <w:tc>
          <w:tcPr>
            <w:tcW w:w="1536" w:type="dxa"/>
            <w:shd w:val="clear" w:color="auto" w:fill="auto"/>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1542"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中标候选人响应招标文件要求的资格能力条件</w:t>
            </w:r>
          </w:p>
        </w:tc>
        <w:tc>
          <w:tcPr>
            <w:tcW w:w="8618" w:type="dxa"/>
            <w:gridSpan w:val="9"/>
            <w:shd w:val="clear" w:color="auto" w:fill="auto"/>
            <w:vAlign w:val="center"/>
          </w:tcPr>
          <w:p>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满足招标文件要求。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542"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招标文件规定应公示的其他内容</w:t>
            </w:r>
          </w:p>
        </w:tc>
        <w:tc>
          <w:tcPr>
            <w:tcW w:w="8618" w:type="dxa"/>
            <w:gridSpan w:val="9"/>
            <w:shd w:val="clear" w:color="auto" w:fill="auto"/>
            <w:vAlign w:val="center"/>
          </w:tcPr>
          <w:p>
            <w:pPr>
              <w:widowControl/>
              <w:jc w:val="left"/>
              <w:rPr>
                <w:rFonts w:hint="eastAsia" w:ascii="宋体" w:hAnsi="宋体" w:eastAsia="宋体" w:cs="宋体"/>
                <w:b/>
                <w:bCs/>
                <w:color w:val="auto"/>
                <w:kern w:val="0"/>
                <w:sz w:val="22"/>
                <w:lang w:eastAsia="zh-CN"/>
              </w:rPr>
            </w:pPr>
            <w:r>
              <w:rPr>
                <w:rFonts w:hint="eastAsia" w:ascii="宋体" w:hAnsi="宋体" w:eastAsia="宋体" w:cs="宋体"/>
                <w:b/>
                <w:bCs/>
                <w:color w:val="auto"/>
                <w:kern w:val="0"/>
                <w:sz w:val="22"/>
                <w:lang w:eastAsia="zh-CN"/>
              </w:rPr>
              <w:t>业绩</w:t>
            </w:r>
            <w:r>
              <w:rPr>
                <w:rFonts w:hint="eastAsia" w:ascii="宋体" w:hAnsi="宋体" w:eastAsia="宋体" w:cs="宋体"/>
                <w:b/>
                <w:bCs/>
                <w:color w:val="auto"/>
                <w:kern w:val="0"/>
                <w:sz w:val="22"/>
                <w:lang w:val="en-US" w:eastAsia="zh-CN"/>
              </w:rPr>
              <w:t>相关</w:t>
            </w:r>
            <w:r>
              <w:rPr>
                <w:rFonts w:hint="eastAsia" w:ascii="宋体" w:hAnsi="宋体" w:eastAsia="宋体" w:cs="宋体"/>
                <w:b/>
                <w:bCs/>
                <w:color w:val="auto"/>
                <w:kern w:val="0"/>
                <w:sz w:val="22"/>
                <w:lang w:eastAsia="zh-CN"/>
              </w:rPr>
              <w:t>：</w:t>
            </w:r>
          </w:p>
          <w:p>
            <w:pPr>
              <w:keepNext w:val="0"/>
              <w:keepLines w:val="0"/>
              <w:widowControl/>
              <w:suppressLineNumbers w:val="0"/>
              <w:jc w:val="left"/>
              <w:rPr>
                <w:rFonts w:hint="eastAsia" w:ascii="宋体" w:hAnsi="宋体" w:eastAsia="宋体" w:cs="宋体"/>
                <w:b/>
                <w:bCs/>
                <w:color w:val="auto"/>
                <w:kern w:val="0"/>
                <w:sz w:val="22"/>
                <w:lang w:val="en-US" w:eastAsia="zh-CN"/>
              </w:rPr>
            </w:pPr>
            <w:r>
              <w:rPr>
                <w:rFonts w:hint="eastAsia" w:ascii="宋体" w:hAnsi="宋体" w:eastAsia="宋体" w:cs="宋体"/>
                <w:b/>
                <w:bCs/>
                <w:color w:val="auto"/>
                <w:kern w:val="0"/>
                <w:sz w:val="22"/>
                <w:lang w:val="en-US" w:eastAsia="zh-CN"/>
              </w:rPr>
              <w:t>第一中标候选人：新大正物业集团股份有限公司</w:t>
            </w:r>
          </w:p>
          <w:p>
            <w:pPr>
              <w:keepNext w:val="0"/>
              <w:keepLines w:val="0"/>
              <w:widowControl/>
              <w:suppressLineNumbers w:val="0"/>
              <w:jc w:val="left"/>
              <w:rPr>
                <w:rFonts w:hint="default" w:ascii="宋体" w:hAnsi="宋体" w:eastAsia="宋体" w:cs="宋体"/>
                <w:b w:val="0"/>
                <w:bCs w:val="0"/>
                <w:color w:val="auto"/>
                <w:kern w:val="0"/>
                <w:sz w:val="22"/>
                <w:lang w:val="en-US" w:eastAsia="zh-CN"/>
              </w:rPr>
            </w:pPr>
            <w:bookmarkStart w:id="0" w:name="_GoBack"/>
            <w:bookmarkEnd w:id="0"/>
            <w:r>
              <w:rPr>
                <w:rFonts w:hint="eastAsia" w:ascii="宋体" w:hAnsi="宋体" w:eastAsia="宋体" w:cs="宋体"/>
                <w:b w:val="0"/>
                <w:bCs w:val="0"/>
                <w:color w:val="auto"/>
                <w:kern w:val="0"/>
                <w:sz w:val="22"/>
                <w:lang w:val="en-US" w:eastAsia="zh-CN"/>
              </w:rPr>
              <w:t>贵阳市轨道交通 2 号线一期及二期 2022 年保洁服务合同,合同金额：408.51万元；重庆来福士保安服务合同，合同金额：1342.176万元；南昌昌北国际机场保洁服务，合同金额：3612.656299 万元；广州白云国际机场二号航站楼东区保洁服务，合同金额：4303.4463万元；珠港机场保洁服务，合同金额：2298.22605万元；重庆轨道交通 5 号线一期北段、6 号线及国博支线车站内部保洁服务，合同金额：2481.101476 万元；重庆市大足区人民医院保洁服务，合同金额：2067.5088万元；北京大兴国际机场航站楼保洁服务，合同金额：7398.012833 万元；重庆江北国际机场 T3 航站楼保洁服务，合同金额：6144.490008万元 ；南京禄口机场 T1 航站楼保洁服务，合同金额：5804.376227万元。</w:t>
            </w:r>
          </w:p>
          <w:p>
            <w:pPr>
              <w:keepNext w:val="0"/>
              <w:keepLines w:val="0"/>
              <w:widowControl/>
              <w:suppressLineNumbers w:val="0"/>
              <w:jc w:val="left"/>
              <w:rPr>
                <w:rFonts w:hint="eastAsia" w:ascii="宋体" w:hAnsi="宋体" w:eastAsia="宋体" w:cs="宋体"/>
                <w:color w:val="auto"/>
                <w:kern w:val="0"/>
                <w:sz w:val="22"/>
                <w:lang w:eastAsia="zh-CN"/>
              </w:rPr>
            </w:pPr>
            <w:r>
              <w:rPr>
                <w:rFonts w:hint="eastAsia" w:ascii="宋体" w:hAnsi="宋体" w:eastAsia="宋体" w:cs="宋体"/>
                <w:b/>
                <w:bCs/>
                <w:color w:val="auto"/>
                <w:kern w:val="0"/>
                <w:sz w:val="22"/>
                <w:lang w:eastAsia="zh-CN"/>
              </w:rPr>
              <w:t>否决投标情况：重庆市永川保安服务有限责任公司</w:t>
            </w:r>
            <w:r>
              <w:rPr>
                <w:rFonts w:hint="eastAsia" w:ascii="宋体" w:hAnsi="宋体" w:eastAsia="宋体" w:cs="宋体"/>
                <w:b w:val="0"/>
                <w:bCs w:val="0"/>
                <w:color w:val="auto"/>
                <w:kern w:val="0"/>
                <w:sz w:val="22"/>
                <w:lang w:eastAsia="zh-CN"/>
              </w:rPr>
              <w:t>投标文件中未提供 2021 年年度审计报告及财务报表中的利润表，不满足招标文件投标人须知部分 1.4.1 第 4 款要求，根据招标文件《否决投标情形一览表》A-3 项“投标人财务要求”之要求，其投标文件被否决；</w:t>
            </w:r>
            <w:r>
              <w:rPr>
                <w:rFonts w:hint="eastAsia" w:ascii="宋体" w:hAnsi="宋体" w:eastAsia="宋体" w:cs="宋体"/>
                <w:b/>
                <w:bCs/>
                <w:color w:val="auto"/>
                <w:kern w:val="0"/>
                <w:sz w:val="22"/>
                <w:lang w:eastAsia="zh-CN"/>
              </w:rPr>
              <w:t>金科智慧服务集团有限公司</w:t>
            </w:r>
            <w:r>
              <w:rPr>
                <w:rFonts w:hint="eastAsia" w:ascii="宋体" w:hAnsi="宋体" w:eastAsia="宋体" w:cs="宋体"/>
                <w:b w:val="0"/>
                <w:bCs w:val="0"/>
                <w:color w:val="auto"/>
                <w:kern w:val="0"/>
                <w:sz w:val="22"/>
                <w:lang w:eastAsia="zh-CN"/>
              </w:rPr>
              <w:t>联合体成员单位投标文件中未提供 2021年财务审计报告及财务报表中的资产负债表，不满足招标文件投标人须知部分 1.4.1 第 4 款要求，根据招标文件《否决投标情形一览表》A-3 项“投标人财务要求”之要求，其投标文件被否决；</w:t>
            </w:r>
            <w:r>
              <w:rPr>
                <w:rFonts w:hint="eastAsia" w:ascii="宋体" w:hAnsi="宋体" w:eastAsia="宋体" w:cs="宋体"/>
                <w:b/>
                <w:bCs/>
                <w:color w:val="auto"/>
                <w:kern w:val="0"/>
                <w:sz w:val="22"/>
                <w:lang w:eastAsia="zh-CN"/>
              </w:rPr>
              <w:t>中安国保（重庆）保安服务有限公司</w:t>
            </w:r>
            <w:r>
              <w:rPr>
                <w:rFonts w:hint="eastAsia" w:ascii="宋体" w:hAnsi="宋体" w:eastAsia="宋体" w:cs="宋体"/>
                <w:b w:val="0"/>
                <w:bCs w:val="0"/>
                <w:color w:val="auto"/>
                <w:kern w:val="0"/>
                <w:sz w:val="22"/>
                <w:lang w:eastAsia="zh-CN"/>
              </w:rPr>
              <w:t>投标文件中未提供 2019 年年度审计报告及财务报表，不满足招标文件投标人须知部分 1.4.1 第 4 款要求，根据招标文件《否决投标情形一览表》A-3 项“投标人财务要求”之要求，其投标文件被否决。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542"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中标候选人评标情况</w:t>
            </w:r>
          </w:p>
        </w:tc>
        <w:tc>
          <w:tcPr>
            <w:tcW w:w="8618" w:type="dxa"/>
            <w:gridSpan w:val="9"/>
            <w:shd w:val="clear" w:color="auto" w:fill="auto"/>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rPr>
              <w:t>中标候选人符合性审查（包括形式评审、资格评审、响应性评审）均合格。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542" w:type="dxa"/>
            <w:shd w:val="clear" w:color="auto" w:fill="auto"/>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提出异议的渠道和方式</w:t>
            </w:r>
          </w:p>
        </w:tc>
        <w:tc>
          <w:tcPr>
            <w:tcW w:w="8618" w:type="dxa"/>
            <w:gridSpan w:val="9"/>
            <w:shd w:val="clear" w:color="auto" w:fill="auto"/>
            <w:vAlign w:val="center"/>
          </w:tcPr>
          <w:p>
            <w:pPr>
              <w:widowControl/>
              <w:jc w:val="left"/>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 xml:space="preserve">  </w:t>
            </w:r>
            <w:r>
              <w:rPr>
                <w:rFonts w:hint="eastAsia" w:ascii="宋体" w:hAnsi="宋体" w:eastAsia="宋体" w:cs="宋体"/>
                <w:color w:val="auto"/>
                <w:kern w:val="0"/>
                <w:sz w:val="22"/>
              </w:rPr>
              <w:t>投标人或者其他利害关系人对评标结果有异议的，应在中标候选人公示期内以书面形式向招标人：</w:t>
            </w:r>
            <w:r>
              <w:rPr>
                <w:rFonts w:hint="eastAsia" w:ascii="宋体" w:hAnsi="宋体" w:eastAsia="宋体" w:cs="宋体"/>
                <w:color w:val="auto"/>
                <w:kern w:val="0"/>
                <w:sz w:val="22"/>
                <w:lang w:val="en-US" w:eastAsia="zh-CN"/>
              </w:rPr>
              <w:t xml:space="preserve">重庆高速公路路网管理有限公司公众服务部，联系电话：023-89138556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4982" w:type="dxa"/>
            <w:gridSpan w:val="4"/>
            <w:shd w:val="clear" w:color="auto" w:fill="auto"/>
            <w:vAlign w:val="center"/>
          </w:tcPr>
          <w:p>
            <w:pPr>
              <w:widowControl/>
              <w:jc w:val="both"/>
              <w:rPr>
                <w:rFonts w:hint="eastAsia" w:ascii="宋体" w:hAnsi="宋体" w:eastAsia="宋体" w:cs="宋体"/>
                <w:color w:val="auto"/>
                <w:kern w:val="0"/>
                <w:sz w:val="22"/>
              </w:rPr>
            </w:pPr>
            <w:r>
              <w:rPr>
                <w:rFonts w:hint="eastAsia" w:ascii="宋体" w:hAnsi="宋体" w:eastAsia="宋体" w:cs="宋体"/>
                <w:color w:val="auto"/>
                <w:kern w:val="0"/>
                <w:sz w:val="22"/>
              </w:rPr>
              <w:t xml:space="preserve">招标人（盖章）:  </w:t>
            </w:r>
          </w:p>
          <w:p>
            <w:pPr>
              <w:widowControl/>
              <w:jc w:val="both"/>
              <w:rPr>
                <w:rFonts w:hint="eastAsia" w:ascii="宋体" w:hAnsi="宋体" w:eastAsia="宋体" w:cs="宋体"/>
                <w:color w:val="auto"/>
                <w:kern w:val="0"/>
                <w:sz w:val="22"/>
              </w:rPr>
            </w:pPr>
            <w:r>
              <w:rPr>
                <w:rFonts w:hint="eastAsia" w:ascii="宋体" w:hAnsi="宋体" w:eastAsia="宋体" w:cs="宋体"/>
                <w:color w:val="auto"/>
                <w:kern w:val="0"/>
                <w:sz w:val="22"/>
              </w:rPr>
              <w:t xml:space="preserve">重庆高速公路路网管理有限公司 </w:t>
            </w:r>
          </w:p>
          <w:p>
            <w:pPr>
              <w:pStyle w:val="2"/>
              <w:rPr>
                <w:rFonts w:hint="eastAsia" w:ascii="宋体" w:hAnsi="宋体" w:eastAsia="宋体" w:cs="宋体"/>
                <w:color w:val="auto"/>
                <w:kern w:val="0"/>
                <w:sz w:val="22"/>
              </w:rPr>
            </w:pPr>
          </w:p>
          <w:p>
            <w:pPr>
              <w:pStyle w:val="2"/>
              <w:rPr>
                <w:rFonts w:hint="eastAsia"/>
                <w:color w:val="auto"/>
                <w:lang w:eastAsia="zh-CN"/>
              </w:rPr>
            </w:pPr>
          </w:p>
          <w:p>
            <w:pPr>
              <w:widowControl/>
              <w:jc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rPr>
              <w:t xml:space="preserve">                                          </w:t>
            </w:r>
          </w:p>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2022</w:t>
            </w:r>
            <w:r>
              <w:rPr>
                <w:rFonts w:hint="eastAsia" w:ascii="宋体" w:hAnsi="宋体" w:eastAsia="宋体" w:cs="宋体"/>
                <w:color w:val="auto"/>
                <w:kern w:val="0"/>
                <w:sz w:val="22"/>
              </w:rPr>
              <w:t xml:space="preserve">年 </w:t>
            </w:r>
            <w:r>
              <w:rPr>
                <w:rFonts w:hint="eastAsia" w:ascii="宋体" w:hAnsi="宋体" w:eastAsia="宋体" w:cs="宋体"/>
                <w:color w:val="auto"/>
                <w:kern w:val="0"/>
                <w:sz w:val="22"/>
                <w:lang w:val="en-US" w:eastAsia="zh-CN"/>
              </w:rPr>
              <w:t>12</w:t>
            </w:r>
            <w:r>
              <w:rPr>
                <w:rFonts w:hint="eastAsia" w:ascii="宋体" w:hAnsi="宋体" w:eastAsia="宋体" w:cs="宋体"/>
                <w:color w:val="auto"/>
                <w:kern w:val="0"/>
                <w:sz w:val="22"/>
              </w:rPr>
              <w:t xml:space="preserve"> 月</w:t>
            </w:r>
            <w:r>
              <w:rPr>
                <w:rFonts w:hint="eastAsia" w:ascii="宋体" w:hAnsi="宋体" w:eastAsia="宋体" w:cs="宋体"/>
                <w:color w:val="auto"/>
                <w:kern w:val="0"/>
                <w:sz w:val="22"/>
                <w:lang w:val="en-US" w:eastAsia="zh-CN"/>
              </w:rPr>
              <w:t xml:space="preserve"> 26</w:t>
            </w:r>
            <w:r>
              <w:rPr>
                <w:rFonts w:hint="eastAsia" w:ascii="宋体" w:hAnsi="宋体" w:eastAsia="宋体" w:cs="宋体"/>
                <w:color w:val="auto"/>
                <w:kern w:val="0"/>
                <w:sz w:val="22"/>
              </w:rPr>
              <w:t xml:space="preserve">日    </w:t>
            </w:r>
          </w:p>
        </w:tc>
        <w:tc>
          <w:tcPr>
            <w:tcW w:w="5178" w:type="dxa"/>
            <w:gridSpan w:val="6"/>
            <w:shd w:val="clear" w:color="auto" w:fill="auto"/>
            <w:vAlign w:val="center"/>
          </w:tcPr>
          <w:p>
            <w:pPr>
              <w:widowControl/>
              <w:jc w:val="both"/>
              <w:rPr>
                <w:rFonts w:hint="eastAsia" w:ascii="宋体" w:hAnsi="宋体" w:eastAsia="宋体" w:cs="宋体"/>
                <w:color w:val="auto"/>
                <w:kern w:val="0"/>
                <w:sz w:val="22"/>
              </w:rPr>
            </w:pPr>
            <w:r>
              <w:rPr>
                <w:rFonts w:hint="eastAsia" w:ascii="宋体" w:hAnsi="宋体" w:eastAsia="宋体" w:cs="宋体"/>
                <w:color w:val="auto"/>
                <w:kern w:val="0"/>
                <w:sz w:val="22"/>
              </w:rPr>
              <w:t>招标代理机构（盖章）：</w:t>
            </w:r>
          </w:p>
          <w:p>
            <w:pPr>
              <w:widowControl/>
              <w:jc w:val="both"/>
              <w:rPr>
                <w:rFonts w:hint="eastAsia" w:ascii="宋体" w:hAnsi="宋体" w:eastAsia="宋体" w:cs="宋体"/>
                <w:color w:val="auto"/>
                <w:kern w:val="0"/>
                <w:sz w:val="22"/>
              </w:rPr>
            </w:pPr>
            <w:r>
              <w:rPr>
                <w:rFonts w:hint="eastAsia" w:ascii="宋体" w:hAnsi="宋体" w:eastAsia="宋体" w:cs="宋体"/>
                <w:color w:val="auto"/>
                <w:kern w:val="0"/>
                <w:sz w:val="22"/>
              </w:rPr>
              <w:t>重庆国际投资咨询集团有限公司 </w:t>
            </w:r>
          </w:p>
          <w:p>
            <w:pPr>
              <w:pStyle w:val="2"/>
              <w:rPr>
                <w:rFonts w:hint="eastAsia"/>
                <w:color w:val="auto"/>
                <w:lang w:eastAsia="zh-CN"/>
              </w:rPr>
            </w:pPr>
          </w:p>
          <w:p>
            <w:pPr>
              <w:widowControl/>
              <w:jc w:val="center"/>
              <w:rPr>
                <w:rFonts w:hint="eastAsia" w:ascii="宋体" w:hAnsi="宋体" w:eastAsia="宋体" w:cs="宋体"/>
                <w:color w:val="auto"/>
                <w:kern w:val="0"/>
                <w:sz w:val="22"/>
                <w:lang w:eastAsia="zh-CN"/>
              </w:rPr>
            </w:pPr>
          </w:p>
          <w:p>
            <w:pPr>
              <w:pStyle w:val="2"/>
              <w:rPr>
                <w:rFonts w:hint="eastAsia"/>
                <w:color w:val="auto"/>
                <w:lang w:eastAsia="zh-CN"/>
              </w:rPr>
            </w:pPr>
          </w:p>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2022</w:t>
            </w:r>
            <w:r>
              <w:rPr>
                <w:rFonts w:hint="eastAsia" w:ascii="宋体" w:hAnsi="宋体" w:eastAsia="宋体" w:cs="宋体"/>
                <w:color w:val="auto"/>
                <w:kern w:val="0"/>
                <w:sz w:val="22"/>
              </w:rPr>
              <w:t xml:space="preserve">年 </w:t>
            </w:r>
            <w:r>
              <w:rPr>
                <w:rFonts w:hint="eastAsia" w:ascii="宋体" w:hAnsi="宋体" w:eastAsia="宋体" w:cs="宋体"/>
                <w:color w:val="auto"/>
                <w:kern w:val="0"/>
                <w:sz w:val="22"/>
                <w:lang w:val="en-US" w:eastAsia="zh-CN"/>
              </w:rPr>
              <w:t>12</w:t>
            </w:r>
            <w:r>
              <w:rPr>
                <w:rFonts w:hint="eastAsia" w:ascii="宋体" w:hAnsi="宋体" w:eastAsia="宋体" w:cs="宋体"/>
                <w:color w:val="auto"/>
                <w:kern w:val="0"/>
                <w:sz w:val="22"/>
              </w:rPr>
              <w:t xml:space="preserve"> 月</w:t>
            </w:r>
            <w:r>
              <w:rPr>
                <w:rFonts w:hint="eastAsia" w:ascii="宋体" w:hAnsi="宋体" w:eastAsia="宋体" w:cs="宋体"/>
                <w:color w:val="auto"/>
                <w:kern w:val="0"/>
                <w:sz w:val="22"/>
                <w:lang w:val="en-US" w:eastAsia="zh-CN"/>
              </w:rPr>
              <w:t>26</w:t>
            </w:r>
            <w:r>
              <w:rPr>
                <w:rFonts w:hint="eastAsia" w:ascii="宋体" w:hAnsi="宋体" w:eastAsia="宋体" w:cs="宋体"/>
                <w:color w:val="auto"/>
                <w:kern w:val="0"/>
                <w:sz w:val="22"/>
              </w:rPr>
              <w:t>日</w:t>
            </w:r>
          </w:p>
        </w:tc>
      </w:tr>
    </w:tbl>
    <w:p>
      <w:pPr>
        <w:widowControl/>
        <w:jc w:val="center"/>
        <w:rPr>
          <w:rFonts w:hint="eastAsia" w:ascii="方正小标宋_GBK" w:eastAsia="宋体"/>
          <w:sz w:val="30"/>
          <w:szCs w:val="30"/>
          <w:lang w:val="en-US" w:eastAsia="zh-CN"/>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宋体" w:hAnsi="宋体" w:eastAsia="宋体" w:cs="宋体"/>
          <w:color w:val="000000"/>
          <w:kern w:val="0"/>
          <w:sz w:val="22"/>
          <w:lang w:eastAsia="zh-CN"/>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xNGZkMzVhOTQ5ZjlkZjYwNzBlMDJkYTVjODZkNjIifQ=="/>
  </w:docVars>
  <w:rsids>
    <w:rsidRoot w:val="005F7769"/>
    <w:rsid w:val="0055752E"/>
    <w:rsid w:val="005F7769"/>
    <w:rsid w:val="0063236D"/>
    <w:rsid w:val="006A71D4"/>
    <w:rsid w:val="007C4F8D"/>
    <w:rsid w:val="00943760"/>
    <w:rsid w:val="01887A37"/>
    <w:rsid w:val="01F66ABD"/>
    <w:rsid w:val="020D770A"/>
    <w:rsid w:val="02154E6B"/>
    <w:rsid w:val="025507E1"/>
    <w:rsid w:val="02C0122C"/>
    <w:rsid w:val="034D0DC7"/>
    <w:rsid w:val="038076F6"/>
    <w:rsid w:val="0429305B"/>
    <w:rsid w:val="043B3CCE"/>
    <w:rsid w:val="047F1DAB"/>
    <w:rsid w:val="072E314F"/>
    <w:rsid w:val="0733430F"/>
    <w:rsid w:val="084819CC"/>
    <w:rsid w:val="08884840"/>
    <w:rsid w:val="08F21A03"/>
    <w:rsid w:val="09834A1F"/>
    <w:rsid w:val="0A0C3409"/>
    <w:rsid w:val="0AB80DB3"/>
    <w:rsid w:val="0AD80180"/>
    <w:rsid w:val="0AFE4225"/>
    <w:rsid w:val="0B725406"/>
    <w:rsid w:val="0E090577"/>
    <w:rsid w:val="0E95291F"/>
    <w:rsid w:val="0EA53929"/>
    <w:rsid w:val="0F474788"/>
    <w:rsid w:val="0F7110E9"/>
    <w:rsid w:val="11AC68AA"/>
    <w:rsid w:val="14947D5C"/>
    <w:rsid w:val="15791A87"/>
    <w:rsid w:val="158226E9"/>
    <w:rsid w:val="160805D7"/>
    <w:rsid w:val="16322361"/>
    <w:rsid w:val="16484750"/>
    <w:rsid w:val="164A728E"/>
    <w:rsid w:val="166B41F1"/>
    <w:rsid w:val="18C67B43"/>
    <w:rsid w:val="198C002F"/>
    <w:rsid w:val="19C14582"/>
    <w:rsid w:val="1A182FA5"/>
    <w:rsid w:val="1E110AAE"/>
    <w:rsid w:val="1E2433C8"/>
    <w:rsid w:val="1EBE0C60"/>
    <w:rsid w:val="21015917"/>
    <w:rsid w:val="21442F49"/>
    <w:rsid w:val="242C0AC7"/>
    <w:rsid w:val="26DC42BF"/>
    <w:rsid w:val="273121C1"/>
    <w:rsid w:val="27762747"/>
    <w:rsid w:val="28461C9C"/>
    <w:rsid w:val="2887022B"/>
    <w:rsid w:val="2A067935"/>
    <w:rsid w:val="2AED63FF"/>
    <w:rsid w:val="2B6851C9"/>
    <w:rsid w:val="2C3F2C8B"/>
    <w:rsid w:val="2CEA4F93"/>
    <w:rsid w:val="2EBD258D"/>
    <w:rsid w:val="2F25085E"/>
    <w:rsid w:val="2F334741"/>
    <w:rsid w:val="3290545A"/>
    <w:rsid w:val="337E22EA"/>
    <w:rsid w:val="339B0D78"/>
    <w:rsid w:val="33C00B55"/>
    <w:rsid w:val="33FE5081"/>
    <w:rsid w:val="34014CC9"/>
    <w:rsid w:val="34310729"/>
    <w:rsid w:val="346B1830"/>
    <w:rsid w:val="34880F47"/>
    <w:rsid w:val="351B09A1"/>
    <w:rsid w:val="381256F7"/>
    <w:rsid w:val="394A036E"/>
    <w:rsid w:val="39D71B1E"/>
    <w:rsid w:val="3A1B6D32"/>
    <w:rsid w:val="3D3B0A08"/>
    <w:rsid w:val="3DF92F26"/>
    <w:rsid w:val="3EF94F1B"/>
    <w:rsid w:val="3FF746D7"/>
    <w:rsid w:val="40471EFB"/>
    <w:rsid w:val="40477F08"/>
    <w:rsid w:val="43767507"/>
    <w:rsid w:val="43DE0C50"/>
    <w:rsid w:val="44F56185"/>
    <w:rsid w:val="456E1846"/>
    <w:rsid w:val="46024FFD"/>
    <w:rsid w:val="466C06C8"/>
    <w:rsid w:val="473016F6"/>
    <w:rsid w:val="47596E9F"/>
    <w:rsid w:val="47E524E0"/>
    <w:rsid w:val="47F92D32"/>
    <w:rsid w:val="47FA230E"/>
    <w:rsid w:val="4812474D"/>
    <w:rsid w:val="48B42A45"/>
    <w:rsid w:val="48CC36A0"/>
    <w:rsid w:val="48FC21D7"/>
    <w:rsid w:val="49AD702E"/>
    <w:rsid w:val="4AC9760C"/>
    <w:rsid w:val="4B1D633D"/>
    <w:rsid w:val="4B6859AC"/>
    <w:rsid w:val="4C7B50C0"/>
    <w:rsid w:val="4D300D98"/>
    <w:rsid w:val="4E9A405C"/>
    <w:rsid w:val="4ED32720"/>
    <w:rsid w:val="4EFE2381"/>
    <w:rsid w:val="4FFB3C11"/>
    <w:rsid w:val="50661029"/>
    <w:rsid w:val="509727E6"/>
    <w:rsid w:val="515F3303"/>
    <w:rsid w:val="53956916"/>
    <w:rsid w:val="55794BB0"/>
    <w:rsid w:val="56A22532"/>
    <w:rsid w:val="574B7F6D"/>
    <w:rsid w:val="59803E57"/>
    <w:rsid w:val="59BE6F2B"/>
    <w:rsid w:val="5BA72C22"/>
    <w:rsid w:val="5CB32EB5"/>
    <w:rsid w:val="5CFD0323"/>
    <w:rsid w:val="5D694D67"/>
    <w:rsid w:val="60642993"/>
    <w:rsid w:val="61670F69"/>
    <w:rsid w:val="6223037D"/>
    <w:rsid w:val="63924BE7"/>
    <w:rsid w:val="63F20A4B"/>
    <w:rsid w:val="63F86CD6"/>
    <w:rsid w:val="657C50E7"/>
    <w:rsid w:val="65AF2D06"/>
    <w:rsid w:val="65DC2D1D"/>
    <w:rsid w:val="66707909"/>
    <w:rsid w:val="67147067"/>
    <w:rsid w:val="683706DE"/>
    <w:rsid w:val="69793BB8"/>
    <w:rsid w:val="6992522B"/>
    <w:rsid w:val="69F34AD9"/>
    <w:rsid w:val="6B141C3C"/>
    <w:rsid w:val="6C6677E4"/>
    <w:rsid w:val="6C922387"/>
    <w:rsid w:val="6CD3474E"/>
    <w:rsid w:val="6D836174"/>
    <w:rsid w:val="6DD644F6"/>
    <w:rsid w:val="6E1B48C2"/>
    <w:rsid w:val="6FAA35E5"/>
    <w:rsid w:val="6FC90C65"/>
    <w:rsid w:val="7031057E"/>
    <w:rsid w:val="70E976A8"/>
    <w:rsid w:val="71066FB1"/>
    <w:rsid w:val="719165C1"/>
    <w:rsid w:val="74655CAA"/>
    <w:rsid w:val="74B66E2F"/>
    <w:rsid w:val="76AC34B6"/>
    <w:rsid w:val="76B24303"/>
    <w:rsid w:val="7775502F"/>
    <w:rsid w:val="77C43611"/>
    <w:rsid w:val="78F9553C"/>
    <w:rsid w:val="792C5912"/>
    <w:rsid w:val="79A9134B"/>
    <w:rsid w:val="7CA57EB5"/>
    <w:rsid w:val="7DB008BF"/>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Body Text"/>
    <w:basedOn w:val="1"/>
    <w:next w:val="1"/>
    <w:qFormat/>
    <w:uiPriority w:val="0"/>
    <w:rPr>
      <w:rFonts w:ascii="Times New Roman" w:hAnsi="Times New Roman" w:cs="Times New Roman"/>
      <w:sz w:val="26"/>
      <w:szCs w:val="24"/>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22"/>
    <w:rPr>
      <w:b/>
      <w:bCs/>
    </w:rPr>
  </w:style>
  <w:style w:type="character" w:styleId="10">
    <w:name w:val="FollowedHyperlink"/>
    <w:basedOn w:val="8"/>
    <w:semiHidden/>
    <w:unhideWhenUsed/>
    <w:qFormat/>
    <w:uiPriority w:val="99"/>
    <w:rPr>
      <w:color w:val="800080"/>
      <w:u w:val="none"/>
    </w:rPr>
  </w:style>
  <w:style w:type="character" w:styleId="11">
    <w:name w:val="Emphasis"/>
    <w:basedOn w:val="8"/>
    <w:qFormat/>
    <w:uiPriority w:val="20"/>
    <w:rPr>
      <w:b/>
      <w:bCs/>
    </w:rPr>
  </w:style>
  <w:style w:type="character" w:styleId="12">
    <w:name w:val="HTML Definition"/>
    <w:basedOn w:val="8"/>
    <w:semiHidden/>
    <w:unhideWhenUsed/>
    <w:qFormat/>
    <w:uiPriority w:val="99"/>
  </w:style>
  <w:style w:type="character" w:styleId="13">
    <w:name w:val="HTML Typewriter"/>
    <w:basedOn w:val="8"/>
    <w:semiHidden/>
    <w:unhideWhenUsed/>
    <w:qFormat/>
    <w:uiPriority w:val="99"/>
    <w:rPr>
      <w:rFonts w:ascii="monospace" w:hAnsi="monospace" w:eastAsia="monospace" w:cs="monospace"/>
      <w:sz w:val="20"/>
    </w:rPr>
  </w:style>
  <w:style w:type="character" w:styleId="14">
    <w:name w:val="HTML Acronym"/>
    <w:basedOn w:val="8"/>
    <w:semiHidden/>
    <w:unhideWhenUsed/>
    <w:qFormat/>
    <w:uiPriority w:val="99"/>
    <w:rPr>
      <w:rFonts w:ascii="微软雅黑" w:hAnsi="微软雅黑" w:eastAsia="微软雅黑" w:cs="微软雅黑"/>
      <w:color w:val="FFFFFF"/>
      <w:sz w:val="19"/>
      <w:szCs w:val="19"/>
      <w:u w:val="none"/>
      <w:shd w:val="clear" w:fill="59C2E6"/>
    </w:rPr>
  </w:style>
  <w:style w:type="character" w:styleId="15">
    <w:name w:val="HTML Variable"/>
    <w:basedOn w:val="8"/>
    <w:semiHidden/>
    <w:unhideWhenUsed/>
    <w:qFormat/>
    <w:uiPriority w:val="99"/>
    <w:rPr>
      <w:vertAlign w:val="baseline"/>
    </w:rPr>
  </w:style>
  <w:style w:type="character" w:styleId="16">
    <w:name w:val="Hyperlink"/>
    <w:basedOn w:val="8"/>
    <w:semiHidden/>
    <w:unhideWhenUsed/>
    <w:qFormat/>
    <w:uiPriority w:val="99"/>
    <w:rPr>
      <w:color w:val="0000FF"/>
      <w:u w:val="none"/>
    </w:rPr>
  </w:style>
  <w:style w:type="character" w:styleId="17">
    <w:name w:val="HTML Code"/>
    <w:basedOn w:val="8"/>
    <w:semiHidden/>
    <w:unhideWhenUsed/>
    <w:qFormat/>
    <w:uiPriority w:val="99"/>
    <w:rPr>
      <w:rFonts w:hint="default" w:ascii="monospace" w:hAnsi="monospace" w:eastAsia="monospace" w:cs="monospace"/>
      <w:sz w:val="20"/>
    </w:rPr>
  </w:style>
  <w:style w:type="character" w:styleId="18">
    <w:name w:val="HTML Cite"/>
    <w:basedOn w:val="8"/>
    <w:semiHidden/>
    <w:unhideWhenUsed/>
    <w:qFormat/>
    <w:uiPriority w:val="99"/>
    <w:rPr>
      <w:rFonts w:ascii="微软雅黑" w:hAnsi="微软雅黑" w:eastAsia="微软雅黑" w:cs="微软雅黑"/>
      <w:color w:val="FFFFFF"/>
      <w:sz w:val="19"/>
      <w:szCs w:val="19"/>
      <w:u w:val="none"/>
      <w:shd w:val="clear" w:fill="59C2E6"/>
    </w:rPr>
  </w:style>
  <w:style w:type="character" w:styleId="19">
    <w:name w:val="HTML Keyboard"/>
    <w:basedOn w:val="8"/>
    <w:semiHidden/>
    <w:unhideWhenUsed/>
    <w:qFormat/>
    <w:uiPriority w:val="99"/>
    <w:rPr>
      <w:rFonts w:hint="default" w:ascii="monospace" w:hAnsi="monospace" w:eastAsia="monospace" w:cs="monospace"/>
      <w:sz w:val="20"/>
    </w:rPr>
  </w:style>
  <w:style w:type="character" w:styleId="20">
    <w:name w:val="HTML Sample"/>
    <w:basedOn w:val="8"/>
    <w:semiHidden/>
    <w:unhideWhenUsed/>
    <w:qFormat/>
    <w:uiPriority w:val="99"/>
    <w:rPr>
      <w:rFonts w:hint="default" w:ascii="monospace" w:hAnsi="monospace" w:eastAsia="monospace" w:cs="monospace"/>
    </w:rPr>
  </w:style>
  <w:style w:type="character" w:customStyle="1" w:styleId="21">
    <w:name w:val="mini-outputtext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cqmzj</Company>
  <Pages>2</Pages>
  <Words>1185</Words>
  <Characters>1412</Characters>
  <Lines>5</Lines>
  <Paragraphs>1</Paragraphs>
  <TotalTime>2</TotalTime>
  <ScaleCrop>false</ScaleCrop>
  <LinksUpToDate>false</LinksUpToDate>
  <CharactersWithSpaces>1554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NTKO</cp:lastModifiedBy>
  <dcterms:modified xsi:type="dcterms:W3CDTF">2022-12-25T10:58:43Z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13E531705D504F8F8A19355103B29F77</vt:lpwstr>
  </property>
</Properties>
</file>