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cs="宋体"/>
          <w:b/>
          <w:sz w:val="32"/>
          <w:szCs w:val="32"/>
        </w:rPr>
      </w:pPr>
    </w:p>
    <w:p>
      <w:pPr>
        <w:spacing w:line="400" w:lineRule="exact"/>
        <w:jc w:val="center"/>
        <w:rPr>
          <w:rFonts w:ascii="宋体" w:hAnsi="宋体" w:cs="宋体"/>
          <w:b/>
          <w:sz w:val="32"/>
          <w:szCs w:val="32"/>
        </w:rPr>
      </w:pPr>
      <w:r>
        <w:rPr>
          <w:rFonts w:hint="eastAsia" w:ascii="宋体" w:hAnsi="宋体" w:cs="宋体"/>
          <w:b/>
          <w:sz w:val="32"/>
          <w:szCs w:val="32"/>
        </w:rPr>
        <w:t>项目名称：中西部、东南部车行及人行横通门采购及安装项目</w:t>
      </w:r>
    </w:p>
    <w:p>
      <w:pPr>
        <w:rPr>
          <w:rFonts w:ascii="宋体" w:hAnsi="宋体" w:cs="宋体"/>
          <w:sz w:val="28"/>
          <w:szCs w:val="28"/>
        </w:rPr>
      </w:pPr>
    </w:p>
    <w:p>
      <w:pPr>
        <w:jc w:val="center"/>
        <w:rPr>
          <w:rFonts w:ascii="宋体" w:hAnsi="宋体" w:cs="宋体"/>
          <w:b/>
          <w:sz w:val="48"/>
          <w:szCs w:val="48"/>
        </w:rPr>
      </w:pPr>
      <w:r>
        <w:rPr>
          <w:rFonts w:hint="eastAsia" w:ascii="宋体" w:hAnsi="宋体" w:cs="宋体"/>
          <w:b/>
          <w:sz w:val="48"/>
          <w:szCs w:val="48"/>
        </w:rPr>
        <w:t>竞</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性</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比</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选</w:t>
      </w:r>
    </w:p>
    <w:p>
      <w:pPr>
        <w:jc w:val="center"/>
        <w:rPr>
          <w:rFonts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文</w:t>
      </w:r>
    </w:p>
    <w:p>
      <w:pPr>
        <w:jc w:val="center"/>
        <w:rPr>
          <w:rFonts w:ascii="宋体" w:hAnsi="宋体" w:cs="宋体"/>
          <w:b/>
          <w:sz w:val="48"/>
          <w:szCs w:val="48"/>
        </w:rPr>
      </w:pPr>
    </w:p>
    <w:p>
      <w:pPr>
        <w:jc w:val="center"/>
        <w:rPr>
          <w:rFonts w:ascii="宋体" w:hAnsi="宋体" w:cs="宋体"/>
          <w:b/>
          <w:sz w:val="96"/>
          <w:szCs w:val="72"/>
        </w:rPr>
      </w:pPr>
      <w:r>
        <w:rPr>
          <w:rFonts w:hint="eastAsia" w:ascii="宋体" w:hAnsi="宋体" w:cs="宋体"/>
          <w:b/>
          <w:sz w:val="48"/>
          <w:szCs w:val="48"/>
        </w:rPr>
        <w:t>件</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
    <w:p>
      <w:pPr>
        <w:jc w:val="center"/>
        <w:rPr>
          <w:rFonts w:ascii="宋体" w:hAnsi="宋体" w:cs="宋体"/>
          <w:b/>
          <w:sz w:val="28"/>
          <w:szCs w:val="28"/>
        </w:rPr>
      </w:pPr>
      <w:r>
        <w:rPr>
          <w:rFonts w:hint="eastAsia" w:ascii="宋体" w:hAnsi="宋体" w:cs="宋体"/>
          <w:b/>
          <w:sz w:val="28"/>
          <w:szCs w:val="28"/>
        </w:rPr>
        <w:t>采购人：重庆首讯科技股份有限公司</w:t>
      </w:r>
    </w:p>
    <w:p>
      <w:pPr>
        <w:jc w:val="center"/>
        <w:rPr>
          <w:rFonts w:ascii="宋体" w:hAnsi="宋体" w:cs="宋体"/>
          <w:b/>
          <w:sz w:val="28"/>
          <w:szCs w:val="28"/>
        </w:rPr>
      </w:pPr>
      <w:r>
        <w:rPr>
          <w:rFonts w:hint="eastAsia" w:ascii="宋体" w:hAnsi="宋体" w:cs="宋体"/>
          <w:b/>
          <w:sz w:val="28"/>
          <w:szCs w:val="28"/>
          <w:u w:val="single"/>
        </w:rPr>
        <w:t>2021</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u w:val="single"/>
          <w:lang w:val="en-US" w:eastAsia="zh-CN"/>
        </w:rPr>
        <w:t>10</w:t>
      </w:r>
      <w:r>
        <w:rPr>
          <w:rFonts w:hint="eastAsia" w:ascii="宋体" w:hAnsi="宋体" w:cs="宋体"/>
          <w:b/>
          <w:sz w:val="28"/>
          <w:szCs w:val="28"/>
        </w:rPr>
        <w:t>月</w:t>
      </w:r>
    </w:p>
    <w:p>
      <w:pPr>
        <w:pStyle w:val="27"/>
        <w:jc w:val="center"/>
        <w:rPr>
          <w:rFonts w:ascii="宋体" w:hAnsi="宋体" w:cs="宋体"/>
          <w:szCs w:val="21"/>
        </w:rPr>
      </w:pPr>
      <w:r>
        <w:br w:type="page"/>
      </w:r>
      <w:bookmarkStart w:id="0" w:name="_Toc507428442"/>
      <w:bookmarkStart w:id="1" w:name="_Toc246996898"/>
      <w:bookmarkStart w:id="2" w:name="_Toc296602400"/>
      <w:bookmarkStart w:id="3" w:name="_Toc247085669"/>
      <w:bookmarkStart w:id="4" w:name="_Toc507319889"/>
      <w:r>
        <w:rPr>
          <w:rFonts w:hint="eastAsia" w:ascii="宋体" w:hAnsi="宋体" w:cs="宋体"/>
          <w:b w:val="0"/>
          <w:sz w:val="32"/>
        </w:rPr>
        <w:t>目   录</w:t>
      </w:r>
      <w:bookmarkEnd w:id="0"/>
      <w:bookmarkEnd w:id="1"/>
      <w:bookmarkEnd w:id="2"/>
      <w:bookmarkEnd w:id="3"/>
      <w:bookmarkEnd w:id="4"/>
    </w:p>
    <w:p>
      <w:pPr>
        <w:pStyle w:val="27"/>
        <w:tabs>
          <w:tab w:val="right" w:leader="dot" w:pos="9638"/>
        </w:tabs>
        <w:rPr>
          <w:smallCaps/>
        </w:rPr>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fldChar w:fldCharType="begin"/>
      </w:r>
      <w:r>
        <w:instrText xml:space="preserve"> HYPERLINK \l "_Toc29163" </w:instrText>
      </w:r>
      <w:r>
        <w:fldChar w:fldCharType="separate"/>
      </w:r>
      <w:r>
        <w:rPr>
          <w:rFonts w:hint="eastAsia" w:ascii="宋体" w:hAnsi="宋体" w:cs="宋体"/>
          <w:smallCaps/>
        </w:rPr>
        <w:t>第一章 比选公告</w:t>
      </w:r>
      <w:r>
        <w:rPr>
          <w:smallCaps/>
        </w:rPr>
        <w:tab/>
      </w:r>
      <w:r>
        <w:rPr>
          <w:smallCaps/>
        </w:rPr>
        <w:fldChar w:fldCharType="begin"/>
      </w:r>
      <w:r>
        <w:rPr>
          <w:smallCaps/>
        </w:rPr>
        <w:instrText xml:space="preserve"> PAGEREF _Toc29163 </w:instrText>
      </w:r>
      <w:r>
        <w:rPr>
          <w:smallCaps/>
        </w:rPr>
        <w:fldChar w:fldCharType="separate"/>
      </w:r>
      <w:r>
        <w:rPr>
          <w:smallCaps/>
        </w:rPr>
        <w:t>1</w:t>
      </w:r>
      <w:r>
        <w:rPr>
          <w:smallCaps/>
        </w:rPr>
        <w:fldChar w:fldCharType="end"/>
      </w:r>
      <w:r>
        <w:rPr>
          <w:smallCaps/>
        </w:rPr>
        <w:fldChar w:fldCharType="end"/>
      </w:r>
    </w:p>
    <w:p>
      <w:pPr>
        <w:pStyle w:val="27"/>
        <w:tabs>
          <w:tab w:val="right" w:leader="dot" w:pos="9638"/>
        </w:tabs>
        <w:rPr>
          <w:smallCaps/>
        </w:rPr>
      </w:pPr>
      <w:r>
        <w:fldChar w:fldCharType="begin"/>
      </w:r>
      <w:r>
        <w:instrText xml:space="preserve"> HYPERLINK \l "_Toc17485" </w:instrText>
      </w:r>
      <w:r>
        <w:fldChar w:fldCharType="separate"/>
      </w:r>
      <w:r>
        <w:rPr>
          <w:rFonts w:hint="eastAsia" w:ascii="宋体" w:hAnsi="宋体" w:cs="宋体"/>
          <w:smallCaps/>
        </w:rPr>
        <w:t>第二章 报价人须知</w:t>
      </w:r>
      <w:r>
        <w:rPr>
          <w:smallCaps/>
        </w:rPr>
        <w:tab/>
      </w:r>
      <w:r>
        <w:rPr>
          <w:smallCaps/>
        </w:rPr>
        <w:fldChar w:fldCharType="begin"/>
      </w:r>
      <w:r>
        <w:rPr>
          <w:smallCaps/>
        </w:rPr>
        <w:instrText xml:space="preserve"> PAGEREF _Toc17485 </w:instrText>
      </w:r>
      <w:r>
        <w:rPr>
          <w:smallCaps/>
        </w:rPr>
        <w:fldChar w:fldCharType="separate"/>
      </w:r>
      <w:r>
        <w:rPr>
          <w:smallCaps/>
        </w:rPr>
        <w:t>3</w:t>
      </w:r>
      <w:r>
        <w:rPr>
          <w:smallCaps/>
        </w:rPr>
        <w:fldChar w:fldCharType="end"/>
      </w:r>
      <w:r>
        <w:rPr>
          <w:smallCaps/>
        </w:rPr>
        <w:fldChar w:fldCharType="end"/>
      </w:r>
    </w:p>
    <w:p>
      <w:pPr>
        <w:pStyle w:val="27"/>
        <w:tabs>
          <w:tab w:val="right" w:leader="dot" w:pos="9638"/>
        </w:tabs>
        <w:rPr>
          <w:smallCaps/>
        </w:rPr>
      </w:pPr>
      <w:r>
        <w:fldChar w:fldCharType="begin"/>
      </w:r>
      <w:r>
        <w:instrText xml:space="preserve"> HYPERLINK \l "_Toc10750" </w:instrText>
      </w:r>
      <w:r>
        <w:fldChar w:fldCharType="separate"/>
      </w:r>
      <w:r>
        <w:rPr>
          <w:rFonts w:hint="eastAsia" w:ascii="宋体" w:hAnsi="宋体" w:cs="宋体"/>
          <w:smallCaps/>
        </w:rPr>
        <w:t>第三章 评标办法（经评审的最低投标价法）</w:t>
      </w:r>
      <w:r>
        <w:rPr>
          <w:smallCaps/>
        </w:rPr>
        <w:tab/>
      </w:r>
      <w:r>
        <w:rPr>
          <w:smallCaps/>
        </w:rPr>
        <w:fldChar w:fldCharType="begin"/>
      </w:r>
      <w:r>
        <w:rPr>
          <w:smallCaps/>
        </w:rPr>
        <w:instrText xml:space="preserve"> PAGEREF _Toc10750 </w:instrText>
      </w:r>
      <w:r>
        <w:rPr>
          <w:smallCaps/>
        </w:rPr>
        <w:fldChar w:fldCharType="separate"/>
      </w:r>
      <w:r>
        <w:rPr>
          <w:smallCaps/>
        </w:rPr>
        <w:t>8</w:t>
      </w:r>
      <w:r>
        <w:rPr>
          <w:smallCaps/>
        </w:rPr>
        <w:fldChar w:fldCharType="end"/>
      </w:r>
      <w:r>
        <w:rPr>
          <w:smallCaps/>
        </w:rPr>
        <w:fldChar w:fldCharType="end"/>
      </w:r>
    </w:p>
    <w:p>
      <w:pPr>
        <w:pStyle w:val="27"/>
        <w:tabs>
          <w:tab w:val="right" w:leader="dot" w:pos="9638"/>
        </w:tabs>
        <w:rPr>
          <w:smallCaps/>
        </w:rPr>
      </w:pPr>
      <w:r>
        <w:fldChar w:fldCharType="begin"/>
      </w:r>
      <w:r>
        <w:instrText xml:space="preserve"> HYPERLINK \l "_Toc9316" </w:instrText>
      </w:r>
      <w:r>
        <w:fldChar w:fldCharType="separate"/>
      </w:r>
      <w:r>
        <w:rPr>
          <w:rFonts w:hint="eastAsia"/>
          <w:smallCaps/>
        </w:rPr>
        <w:t>第四章 报价说明</w:t>
      </w:r>
      <w:r>
        <w:rPr>
          <w:smallCaps/>
        </w:rPr>
        <w:tab/>
      </w:r>
      <w:r>
        <w:rPr>
          <w:smallCaps/>
        </w:rPr>
        <w:fldChar w:fldCharType="begin"/>
      </w:r>
      <w:r>
        <w:rPr>
          <w:smallCaps/>
        </w:rPr>
        <w:instrText xml:space="preserve"> PAGEREF _Toc9316 </w:instrText>
      </w:r>
      <w:r>
        <w:rPr>
          <w:smallCaps/>
        </w:rPr>
        <w:fldChar w:fldCharType="separate"/>
      </w:r>
      <w:r>
        <w:rPr>
          <w:smallCaps/>
        </w:rPr>
        <w:t>10</w:t>
      </w:r>
      <w:r>
        <w:rPr>
          <w:smallCaps/>
        </w:rPr>
        <w:fldChar w:fldCharType="end"/>
      </w:r>
      <w:r>
        <w:rPr>
          <w:smallCaps/>
        </w:rPr>
        <w:fldChar w:fldCharType="end"/>
      </w:r>
    </w:p>
    <w:p>
      <w:pPr>
        <w:pStyle w:val="27"/>
        <w:tabs>
          <w:tab w:val="right" w:leader="dot" w:pos="9638"/>
        </w:tabs>
        <w:rPr>
          <w:smallCaps/>
        </w:rPr>
      </w:pPr>
      <w:r>
        <w:fldChar w:fldCharType="begin"/>
      </w:r>
      <w:r>
        <w:instrText xml:space="preserve"> HYPERLINK \l "_Toc19652" </w:instrText>
      </w:r>
      <w:r>
        <w:fldChar w:fldCharType="separate"/>
      </w:r>
      <w:r>
        <w:rPr>
          <w:rFonts w:hint="eastAsia" w:ascii="宋体" w:hAnsi="宋体" w:cs="宋体"/>
          <w:smallCaps/>
        </w:rPr>
        <w:t>第五章  工程量清单</w:t>
      </w:r>
      <w:r>
        <w:rPr>
          <w:smallCaps/>
        </w:rPr>
        <w:tab/>
      </w:r>
      <w:r>
        <w:rPr>
          <w:smallCaps/>
        </w:rPr>
        <w:fldChar w:fldCharType="begin"/>
      </w:r>
      <w:r>
        <w:rPr>
          <w:smallCaps/>
        </w:rPr>
        <w:instrText xml:space="preserve"> PAGEREF _Toc19652 </w:instrText>
      </w:r>
      <w:r>
        <w:rPr>
          <w:smallCaps/>
        </w:rPr>
        <w:fldChar w:fldCharType="separate"/>
      </w:r>
      <w:r>
        <w:rPr>
          <w:smallCaps/>
        </w:rPr>
        <w:t>12</w:t>
      </w:r>
      <w:r>
        <w:rPr>
          <w:smallCaps/>
        </w:rPr>
        <w:fldChar w:fldCharType="end"/>
      </w:r>
      <w:r>
        <w:rPr>
          <w:smallCaps/>
        </w:rPr>
        <w:fldChar w:fldCharType="end"/>
      </w:r>
    </w:p>
    <w:p>
      <w:pPr>
        <w:pStyle w:val="27"/>
        <w:tabs>
          <w:tab w:val="right" w:leader="dot" w:pos="9638"/>
        </w:tabs>
        <w:rPr>
          <w:smallCaps/>
        </w:rPr>
      </w:pPr>
      <w:r>
        <w:fldChar w:fldCharType="begin"/>
      </w:r>
      <w:r>
        <w:instrText xml:space="preserve"> HYPERLINK \l "_Toc28444" </w:instrText>
      </w:r>
      <w:r>
        <w:fldChar w:fldCharType="separate"/>
      </w:r>
      <w:r>
        <w:rPr>
          <w:rFonts w:hint="eastAsia" w:ascii="宋体" w:hAnsi="宋体" w:cs="宋体"/>
          <w:smallCaps/>
        </w:rPr>
        <w:t>第六章  图  纸</w:t>
      </w:r>
      <w:r>
        <w:rPr>
          <w:smallCaps/>
        </w:rPr>
        <w:tab/>
      </w:r>
      <w:r>
        <w:rPr>
          <w:smallCaps/>
        </w:rPr>
        <w:fldChar w:fldCharType="begin"/>
      </w:r>
      <w:r>
        <w:rPr>
          <w:smallCaps/>
        </w:rPr>
        <w:instrText xml:space="preserve"> PAGEREF _Toc28444 </w:instrText>
      </w:r>
      <w:r>
        <w:rPr>
          <w:smallCaps/>
        </w:rPr>
        <w:fldChar w:fldCharType="separate"/>
      </w:r>
      <w:r>
        <w:rPr>
          <w:smallCaps/>
        </w:rPr>
        <w:t>13</w:t>
      </w:r>
      <w:r>
        <w:rPr>
          <w:smallCaps/>
        </w:rPr>
        <w:fldChar w:fldCharType="end"/>
      </w:r>
      <w:r>
        <w:rPr>
          <w:smallCaps/>
        </w:rPr>
        <w:fldChar w:fldCharType="end"/>
      </w:r>
    </w:p>
    <w:p>
      <w:pPr>
        <w:pStyle w:val="27"/>
        <w:tabs>
          <w:tab w:val="right" w:leader="dot" w:pos="9638"/>
        </w:tabs>
        <w:rPr>
          <w:smallCaps/>
        </w:rPr>
      </w:pPr>
      <w:r>
        <w:fldChar w:fldCharType="begin"/>
      </w:r>
      <w:r>
        <w:instrText xml:space="preserve"> HYPERLINK \l "_Toc20253" </w:instrText>
      </w:r>
      <w:r>
        <w:fldChar w:fldCharType="separate"/>
      </w:r>
      <w:r>
        <w:rPr>
          <w:smallCaps/>
        </w:rPr>
        <w:t>第</w:t>
      </w:r>
      <w:r>
        <w:rPr>
          <w:rFonts w:hint="eastAsia" w:ascii="宋体" w:hAnsi="宋体" w:cs="宋体"/>
          <w:smallCaps/>
          <w:kern w:val="44"/>
          <w:szCs w:val="44"/>
        </w:rPr>
        <w:t xml:space="preserve">七章 </w:t>
      </w:r>
      <w:r>
        <w:rPr>
          <w:rFonts w:hint="eastAsia" w:ascii="宋体" w:hAnsi="宋体" w:cs="宋体"/>
          <w:smallCaps/>
        </w:rPr>
        <w:t>技术标准和工作要求</w:t>
      </w:r>
      <w:r>
        <w:rPr>
          <w:smallCaps/>
        </w:rPr>
        <w:tab/>
      </w:r>
      <w:r>
        <w:rPr>
          <w:smallCaps/>
        </w:rPr>
        <w:fldChar w:fldCharType="begin"/>
      </w:r>
      <w:r>
        <w:rPr>
          <w:smallCaps/>
        </w:rPr>
        <w:instrText xml:space="preserve"> PAGEREF _Toc20253 </w:instrText>
      </w:r>
      <w:r>
        <w:rPr>
          <w:smallCaps/>
        </w:rPr>
        <w:fldChar w:fldCharType="separate"/>
      </w:r>
      <w:r>
        <w:rPr>
          <w:smallCaps/>
        </w:rPr>
        <w:t>14</w:t>
      </w:r>
      <w:r>
        <w:rPr>
          <w:smallCaps/>
        </w:rPr>
        <w:fldChar w:fldCharType="end"/>
      </w:r>
      <w:r>
        <w:rPr>
          <w:smallCaps/>
        </w:rPr>
        <w:fldChar w:fldCharType="end"/>
      </w:r>
    </w:p>
    <w:p>
      <w:pPr>
        <w:pStyle w:val="27"/>
        <w:tabs>
          <w:tab w:val="right" w:leader="dot" w:pos="9638"/>
        </w:tabs>
        <w:rPr>
          <w:smallCaps/>
        </w:rPr>
      </w:pPr>
      <w:r>
        <w:fldChar w:fldCharType="begin"/>
      </w:r>
      <w:r>
        <w:instrText xml:space="preserve"> HYPERLINK \l "_Toc19886" </w:instrText>
      </w:r>
      <w:r>
        <w:fldChar w:fldCharType="separate"/>
      </w:r>
      <w:r>
        <w:rPr>
          <w:rFonts w:hint="eastAsia" w:ascii="宋体" w:hAnsi="宋体" w:cs="宋体"/>
          <w:smallCaps/>
        </w:rPr>
        <w:t>第八章  竞争性比选响应文件格式</w:t>
      </w:r>
      <w:r>
        <w:rPr>
          <w:smallCaps/>
        </w:rPr>
        <w:tab/>
      </w:r>
      <w:r>
        <w:rPr>
          <w:smallCaps/>
        </w:rPr>
        <w:fldChar w:fldCharType="begin"/>
      </w:r>
      <w:r>
        <w:rPr>
          <w:smallCaps/>
        </w:rPr>
        <w:instrText xml:space="preserve"> PAGEREF _Toc19886 </w:instrText>
      </w:r>
      <w:r>
        <w:rPr>
          <w:smallCaps/>
        </w:rPr>
        <w:fldChar w:fldCharType="separate"/>
      </w:r>
      <w:r>
        <w:rPr>
          <w:smallCaps/>
        </w:rPr>
        <w:t>16</w:t>
      </w:r>
      <w:r>
        <w:rPr>
          <w:smallCaps/>
        </w:rPr>
        <w:fldChar w:fldCharType="end"/>
      </w:r>
      <w:r>
        <w:rPr>
          <w:smallCaps/>
        </w:rPr>
        <w:fldChar w:fldCharType="end"/>
      </w:r>
    </w:p>
    <w:p>
      <w:pPr>
        <w:pStyle w:val="33"/>
        <w:tabs>
          <w:tab w:val="right" w:leader="dot" w:pos="9628"/>
        </w:tabs>
        <w:rPr>
          <w:rFonts w:ascii="宋体" w:hAnsi="宋体" w:cs="宋体"/>
          <w:b/>
          <w:bCs/>
          <w:caps/>
        </w:rPr>
        <w:sectPr>
          <w:footerReference r:id="rId6" w:type="first"/>
          <w:headerReference r:id="rId3" w:type="default"/>
          <w:footerReference r:id="rId4" w:type="default"/>
          <w:footerReference r:id="rId5" w:type="even"/>
          <w:pgSz w:w="11906" w:h="16838"/>
          <w:pgMar w:top="1418" w:right="1134" w:bottom="1418" w:left="1134" w:header="851" w:footer="992" w:gutter="0"/>
          <w:pgNumType w:start="1"/>
          <w:cols w:space="720" w:num="1"/>
          <w:docGrid w:type="lines" w:linePitch="312" w:charSpace="0"/>
        </w:sectPr>
      </w:pPr>
      <w:r>
        <w:rPr>
          <w:rFonts w:hint="eastAsia" w:ascii="宋体" w:hAnsi="宋体" w:cs="宋体"/>
          <w:bCs/>
          <w:caps/>
        </w:rPr>
        <w:fldChar w:fldCharType="end"/>
      </w:r>
    </w:p>
    <w:p>
      <w:pPr>
        <w:pStyle w:val="3"/>
        <w:spacing w:before="0" w:after="0" w:line="360" w:lineRule="auto"/>
        <w:jc w:val="center"/>
        <w:rPr>
          <w:rFonts w:ascii="宋体" w:hAnsi="宋体" w:cs="宋体"/>
        </w:rPr>
      </w:pPr>
      <w:bookmarkStart w:id="5" w:name="_Toc246996900"/>
      <w:bookmarkStart w:id="6" w:name="_Toc247085671"/>
      <w:bookmarkStart w:id="7" w:name="_Toc152042287"/>
      <w:bookmarkStart w:id="8" w:name="_Toc507319890"/>
      <w:bookmarkStart w:id="9" w:name="_Toc247096243"/>
      <w:bookmarkStart w:id="10" w:name="_Toc246996157"/>
      <w:bookmarkStart w:id="11" w:name="_Toc2000404"/>
      <w:bookmarkStart w:id="12" w:name="_Toc179632527"/>
      <w:bookmarkStart w:id="13" w:name="_Toc144974479"/>
      <w:bookmarkStart w:id="14" w:name="_Toc152045511"/>
      <w:bookmarkStart w:id="15" w:name="_Toc29163"/>
      <w:r>
        <w:rPr>
          <w:rFonts w:hint="eastAsia" w:ascii="宋体" w:hAnsi="宋体" w:cs="宋体"/>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rPr>
        <w:t>比选公告</w:t>
      </w:r>
      <w:bookmarkEnd w:id="15"/>
    </w:p>
    <w:p>
      <w:pPr>
        <w:spacing w:line="440" w:lineRule="exact"/>
        <w:jc w:val="center"/>
        <w:rPr>
          <w:rFonts w:ascii="宋体" w:hAnsi="宋体" w:cs="宋体"/>
          <w:b/>
          <w:sz w:val="28"/>
          <w:szCs w:val="28"/>
        </w:rPr>
      </w:pPr>
      <w:bookmarkStart w:id="16" w:name="OLE_LINK3"/>
      <w:bookmarkStart w:id="17" w:name="OLE_LINK2"/>
      <w:r>
        <w:rPr>
          <w:rFonts w:hint="eastAsia" w:ascii="宋体" w:hAnsi="宋体" w:cs="宋体"/>
          <w:b/>
          <w:sz w:val="28"/>
        </w:rPr>
        <w:t>中西部、东南部车行及人行横通门采购及安装项目</w:t>
      </w:r>
      <w:r>
        <w:rPr>
          <w:rFonts w:hint="eastAsia" w:ascii="宋体" w:hAnsi="宋体" w:cs="宋体"/>
          <w:b/>
          <w:sz w:val="28"/>
          <w:szCs w:val="28"/>
        </w:rPr>
        <w:t>竞争性比选公告</w:t>
      </w:r>
    </w:p>
    <w:p>
      <w:pPr>
        <w:spacing w:line="440" w:lineRule="exact"/>
        <w:jc w:val="center"/>
        <w:rPr>
          <w:rFonts w:ascii="宋体" w:hAnsi="宋体" w:cs="宋体"/>
          <w:b/>
          <w:sz w:val="28"/>
          <w:szCs w:val="28"/>
        </w:rPr>
      </w:pPr>
    </w:p>
    <w:p>
      <w:pPr>
        <w:pStyle w:val="4"/>
        <w:spacing w:before="0" w:after="0" w:line="360" w:lineRule="auto"/>
        <w:rPr>
          <w:rFonts w:ascii="宋体" w:hAnsi="宋体" w:eastAsia="宋体" w:cs="宋体"/>
        </w:rPr>
      </w:pPr>
      <w:bookmarkStart w:id="18" w:name="_Toc11329213"/>
      <w:bookmarkStart w:id="19" w:name="_Toc10076"/>
      <w:bookmarkStart w:id="20" w:name="_Toc6549"/>
      <w:bookmarkStart w:id="21" w:name="_Toc507319891"/>
      <w:bookmarkStart w:id="22" w:name="_Toc247085672"/>
      <w:bookmarkStart w:id="23" w:name="_Toc24874"/>
      <w:bookmarkStart w:id="24" w:name="_Toc144974480"/>
      <w:bookmarkStart w:id="25" w:name="_Toc246996901"/>
      <w:bookmarkStart w:id="26" w:name="_Toc246996158"/>
      <w:bookmarkStart w:id="27" w:name="_Toc179632528"/>
      <w:bookmarkStart w:id="28" w:name="_Toc152042288"/>
      <w:bookmarkStart w:id="29" w:name="_Toc12048"/>
      <w:bookmarkStart w:id="30" w:name="_Toc152045512"/>
      <w:r>
        <w:rPr>
          <w:rFonts w:hint="eastAsia" w:ascii="宋体" w:hAnsi="宋体" w:eastAsia="宋体" w:cs="宋体"/>
        </w:rPr>
        <w:t>1. 比选条件</w:t>
      </w:r>
      <w:bookmarkEnd w:id="18"/>
      <w:bookmarkEnd w:id="19"/>
      <w:bookmarkEnd w:id="20"/>
      <w:bookmarkEnd w:id="21"/>
      <w:bookmarkEnd w:id="22"/>
      <w:bookmarkEnd w:id="23"/>
      <w:bookmarkEnd w:id="24"/>
      <w:bookmarkEnd w:id="25"/>
      <w:bookmarkEnd w:id="26"/>
      <w:bookmarkEnd w:id="27"/>
      <w:bookmarkEnd w:id="28"/>
      <w:bookmarkEnd w:id="29"/>
      <w:bookmarkEnd w:id="30"/>
    </w:p>
    <w:p>
      <w:pPr>
        <w:spacing w:line="400" w:lineRule="exact"/>
        <w:rPr>
          <w:rFonts w:ascii="宋体" w:hAnsi="宋体" w:cs="宋体"/>
          <w:szCs w:val="21"/>
        </w:rPr>
      </w:pPr>
      <w:r>
        <w:rPr>
          <w:rFonts w:hint="eastAsia" w:ascii="宋体" w:hAnsi="宋体" w:cs="宋体"/>
          <w:szCs w:val="21"/>
        </w:rPr>
        <w:t>　　本竞争性比选项目</w:t>
      </w:r>
      <w:r>
        <w:rPr>
          <w:rFonts w:hint="eastAsia" w:ascii="宋体" w:hAnsi="宋体" w:cs="宋体"/>
          <w:szCs w:val="21"/>
          <w:u w:val="single"/>
        </w:rPr>
        <w:t>中西部、东南部车行及人行横通门采购及安装</w:t>
      </w:r>
      <w:r>
        <w:rPr>
          <w:rFonts w:hint="eastAsia" w:ascii="宋体" w:hAnsi="宋体" w:cs="宋体"/>
          <w:szCs w:val="21"/>
        </w:rPr>
        <w:t>，采购人为</w:t>
      </w:r>
      <w:r>
        <w:rPr>
          <w:rFonts w:hint="eastAsia" w:ascii="宋体" w:hAnsi="宋体" w:cs="宋体"/>
          <w:szCs w:val="21"/>
          <w:u w:val="single"/>
        </w:rPr>
        <w:t xml:space="preserve"> 重庆首讯科技股份有限公司 </w:t>
      </w:r>
      <w:r>
        <w:rPr>
          <w:rFonts w:hint="eastAsia" w:ascii="宋体" w:hAnsi="宋体" w:cs="宋体"/>
          <w:szCs w:val="21"/>
        </w:rPr>
        <w:t>，该项目已具备比选条件，现对该项目进行竞争性比选。</w:t>
      </w:r>
    </w:p>
    <w:p>
      <w:pPr>
        <w:pStyle w:val="4"/>
        <w:spacing w:before="120" w:after="0" w:line="360" w:lineRule="auto"/>
        <w:rPr>
          <w:rFonts w:ascii="宋体" w:hAnsi="宋体" w:eastAsia="宋体" w:cs="宋体"/>
        </w:rPr>
      </w:pPr>
      <w:bookmarkStart w:id="31" w:name="_Toc246996159"/>
      <w:bookmarkStart w:id="32" w:name="_Toc11329214"/>
      <w:bookmarkStart w:id="33" w:name="_Toc144974481"/>
      <w:bookmarkStart w:id="34" w:name="_Toc246996902"/>
      <w:bookmarkStart w:id="35" w:name="_Toc10952"/>
      <w:bookmarkStart w:id="36" w:name="_Toc21343"/>
      <w:bookmarkStart w:id="37" w:name="_Toc152042289"/>
      <w:bookmarkStart w:id="38" w:name="_Toc26545"/>
      <w:bookmarkStart w:id="39" w:name="_Toc507319892"/>
      <w:bookmarkStart w:id="40" w:name="_Toc247085673"/>
      <w:bookmarkStart w:id="41" w:name="_Toc18109"/>
      <w:bookmarkStart w:id="42" w:name="_Toc179632529"/>
      <w:bookmarkStart w:id="43" w:name="_Toc152045513"/>
      <w:r>
        <w:rPr>
          <w:rFonts w:hint="eastAsia" w:ascii="宋体" w:hAnsi="宋体" w:eastAsia="宋体" w:cs="宋体"/>
        </w:rPr>
        <w:t>2. 项目概况与比选范围</w:t>
      </w:r>
      <w:bookmarkEnd w:id="31"/>
      <w:bookmarkEnd w:id="32"/>
      <w:bookmarkEnd w:id="33"/>
      <w:bookmarkEnd w:id="34"/>
      <w:bookmarkEnd w:id="35"/>
      <w:bookmarkEnd w:id="36"/>
      <w:bookmarkEnd w:id="37"/>
      <w:bookmarkEnd w:id="38"/>
      <w:bookmarkEnd w:id="39"/>
      <w:bookmarkEnd w:id="40"/>
      <w:bookmarkEnd w:id="41"/>
      <w:bookmarkEnd w:id="42"/>
      <w:bookmarkEnd w:id="43"/>
    </w:p>
    <w:p>
      <w:pPr>
        <w:spacing w:line="360" w:lineRule="auto"/>
        <w:ind w:firstLine="420" w:firstLineChars="200"/>
        <w:rPr>
          <w:rFonts w:ascii="宋体" w:hAnsi="宋体" w:cs="宋体"/>
        </w:rPr>
      </w:pPr>
      <w:bookmarkStart w:id="44" w:name="_Toc446247226"/>
      <w:r>
        <w:rPr>
          <w:rFonts w:hint="eastAsia" w:ascii="宋体" w:hAnsi="宋体" w:cs="宋体"/>
        </w:rPr>
        <w:t>2.1 项目及交货地点：</w:t>
      </w:r>
      <w:bookmarkEnd w:id="44"/>
      <w:r>
        <w:rPr>
          <w:rFonts w:hint="eastAsia" w:ascii="宋体" w:hAnsi="宋体" w:cs="宋体"/>
          <w:szCs w:val="21"/>
          <w:u w:val="single"/>
        </w:rPr>
        <w:t>黄彭路高谷隧道，共和隧道，佛仙寺隧道；彭黔路沙坝隧道，蔡家堡隧道，大龙洞隧道，武陵山隧道；绕城路施家梁隧道，玉峰山隧道；渝广路清平隧道</w:t>
      </w:r>
      <w:r>
        <w:rPr>
          <w:rFonts w:hint="eastAsia" w:ascii="宋体" w:hAnsi="宋体" w:cs="宋体"/>
        </w:rPr>
        <w:t>。</w:t>
      </w:r>
    </w:p>
    <w:p>
      <w:pPr>
        <w:pStyle w:val="12"/>
        <w:adjustRightInd w:val="0"/>
        <w:spacing w:line="400" w:lineRule="exact"/>
        <w:rPr>
          <w:rFonts w:hint="default" w:ascii="宋体" w:hAnsi="宋体" w:eastAsia="宋体" w:cs="宋体"/>
          <w:szCs w:val="21"/>
          <w:lang w:val="en-US" w:eastAsia="zh-CN"/>
        </w:rPr>
      </w:pPr>
      <w:r>
        <w:rPr>
          <w:rFonts w:hint="eastAsia" w:ascii="宋体" w:hAnsi="宋体" w:cs="宋体"/>
          <w:szCs w:val="21"/>
        </w:rPr>
        <w:t>2.2 项目概况：</w:t>
      </w:r>
      <w:r>
        <w:rPr>
          <w:rFonts w:hint="eastAsia" w:ascii="宋体" w:hAnsi="宋体" w:cs="宋体"/>
          <w:szCs w:val="21"/>
          <w:lang w:val="en-US" w:eastAsia="zh-CN"/>
        </w:rPr>
        <w:t>对隧道车行横通门及人行横通门进行改造更换</w:t>
      </w:r>
    </w:p>
    <w:p>
      <w:pPr>
        <w:pStyle w:val="12"/>
        <w:adjustRightInd w:val="0"/>
        <w:spacing w:line="400" w:lineRule="exact"/>
        <w:rPr>
          <w:rFonts w:ascii="宋体" w:hAnsi="宋体" w:cs="宋体"/>
        </w:rPr>
      </w:pPr>
      <w:r>
        <w:rPr>
          <w:rFonts w:hint="eastAsia" w:ascii="宋体" w:hAnsi="宋体" w:cs="宋体"/>
        </w:rPr>
        <w:t>2.3 比选范围：</w:t>
      </w:r>
      <w:r>
        <w:rPr>
          <w:rFonts w:hint="eastAsia" w:ascii="宋体" w:hAnsi="宋体" w:cs="宋体"/>
          <w:szCs w:val="21"/>
        </w:rPr>
        <w:t>工程量清单所包含范围</w:t>
      </w:r>
    </w:p>
    <w:p>
      <w:pPr>
        <w:pStyle w:val="12"/>
        <w:adjustRightInd w:val="0"/>
        <w:spacing w:line="400" w:lineRule="exact"/>
        <w:rPr>
          <w:rFonts w:ascii="宋体" w:hAnsi="宋体" w:cs="宋体"/>
          <w:szCs w:val="21"/>
          <w:highlight w:val="yellow"/>
        </w:rPr>
      </w:pPr>
      <w:r>
        <w:rPr>
          <w:rFonts w:hint="eastAsia" w:ascii="宋体" w:hAnsi="宋体" w:cs="宋体"/>
          <w:szCs w:val="21"/>
        </w:rPr>
        <w:t>上述实施内容包含原人行</w:t>
      </w:r>
      <w:r>
        <w:rPr>
          <w:rFonts w:hint="eastAsia" w:ascii="宋体" w:hAnsi="宋体" w:cs="宋体"/>
          <w:szCs w:val="21"/>
          <w:lang w:val="en-US" w:eastAsia="zh-CN"/>
        </w:rPr>
        <w:t>及车行</w:t>
      </w:r>
      <w:r>
        <w:rPr>
          <w:rFonts w:hint="eastAsia" w:ascii="宋体" w:hAnsi="宋体" w:cs="宋体"/>
          <w:szCs w:val="21"/>
        </w:rPr>
        <w:t>横通道门拆除、</w:t>
      </w:r>
      <w:r>
        <w:rPr>
          <w:rFonts w:hint="eastAsia" w:ascii="宋体" w:hAnsi="宋体"/>
        </w:rPr>
        <w:t>废料外运</w:t>
      </w:r>
      <w:r>
        <w:rPr>
          <w:rFonts w:hint="eastAsia" w:ascii="宋体" w:hAnsi="宋体" w:cs="宋体"/>
          <w:szCs w:val="21"/>
        </w:rPr>
        <w:t>，新横通道门设备的生产、运输，安装辅材</w:t>
      </w:r>
      <w:r>
        <w:rPr>
          <w:rFonts w:hint="eastAsia" w:ascii="宋体" w:hAnsi="宋体" w:cs="宋体"/>
        </w:rPr>
        <w:t>运输，安装，调试，配合测试，设备与现有系统联动软件改造，工程资料，并配合第三方检测机构依据现行《防火门》（GB 12955-2008)、《防火卷帘》（GB14102-2005）、《建筑设防火规范》（GB 50016-2014(2018版））和其他相关标准规范开展的工程质量检验及设备24个月（7*24小时响应服务）质量保证、设备运行维护期60个月与工程缺陷责任期</w:t>
      </w:r>
      <w:r>
        <w:rPr>
          <w:rFonts w:ascii="宋体" w:hAnsi="宋体" w:cs="宋体"/>
        </w:rPr>
        <w:t>5</w:t>
      </w:r>
      <w:r>
        <w:rPr>
          <w:rFonts w:hint="eastAsia" w:ascii="宋体" w:hAnsi="宋体" w:cs="宋体"/>
        </w:rPr>
        <w:t>年等服务内容。</w:t>
      </w:r>
    </w:p>
    <w:p>
      <w:pPr>
        <w:spacing w:line="400" w:lineRule="exact"/>
        <w:ind w:firstLine="420" w:firstLineChars="200"/>
        <w:rPr>
          <w:rFonts w:ascii="宋体" w:hAnsi="宋体" w:cs="宋体"/>
        </w:rPr>
      </w:pPr>
      <w:r>
        <w:rPr>
          <w:rFonts w:hint="eastAsia" w:ascii="宋体" w:hAnsi="宋体" w:cs="宋体"/>
        </w:rPr>
        <w:t>2.4 交货期：中标单位必须在中标通知书发出3日内组织人员、材料、设备、机具进场；</w:t>
      </w:r>
    </w:p>
    <w:p>
      <w:pPr>
        <w:spacing w:line="400" w:lineRule="exact"/>
        <w:ind w:firstLine="420" w:firstLineChars="200"/>
        <w:rPr>
          <w:rFonts w:ascii="宋体" w:hAnsi="宋体" w:cs="宋体"/>
        </w:rPr>
      </w:pPr>
      <w:r>
        <w:rPr>
          <w:rFonts w:hint="eastAsia" w:ascii="宋体" w:hAnsi="宋体" w:cs="宋体"/>
        </w:rPr>
        <w:t xml:space="preserve">    安装期：</w:t>
      </w:r>
      <w:r>
        <w:rPr>
          <w:rFonts w:hint="eastAsia" w:ascii="宋体" w:hAnsi="宋体" w:cs="宋体"/>
          <w:u w:val="single"/>
          <w:lang w:val="en-US" w:eastAsia="zh-CN"/>
        </w:rPr>
        <w:t>30</w:t>
      </w:r>
      <w:r>
        <w:rPr>
          <w:rFonts w:hint="eastAsia" w:ascii="宋体" w:hAnsi="宋体" w:cs="宋体"/>
          <w:u w:val="single"/>
        </w:rPr>
        <w:t>日内完工</w:t>
      </w:r>
    </w:p>
    <w:p>
      <w:pPr>
        <w:pStyle w:val="4"/>
        <w:spacing w:before="120" w:after="0" w:line="360" w:lineRule="auto"/>
        <w:rPr>
          <w:rFonts w:ascii="宋体" w:hAnsi="宋体" w:eastAsia="宋体" w:cs="宋体"/>
        </w:rPr>
      </w:pPr>
      <w:bookmarkStart w:id="45" w:name="_Toc246996160"/>
      <w:bookmarkStart w:id="46" w:name="_Toc179632530"/>
      <w:bookmarkStart w:id="47" w:name="_Toc30356"/>
      <w:bookmarkStart w:id="48" w:name="_Toc152045514"/>
      <w:bookmarkStart w:id="49" w:name="_Toc507319893"/>
      <w:bookmarkStart w:id="50" w:name="_Toc10171"/>
      <w:bookmarkStart w:id="51" w:name="_Toc247085674"/>
      <w:bookmarkStart w:id="52" w:name="_Toc246996903"/>
      <w:bookmarkStart w:id="53" w:name="_Toc11329215"/>
      <w:bookmarkStart w:id="54" w:name="_Toc1674"/>
      <w:bookmarkStart w:id="55" w:name="_Toc144974482"/>
      <w:bookmarkStart w:id="56" w:name="_Toc152042290"/>
      <w:bookmarkStart w:id="57" w:name="_Toc7065"/>
      <w:r>
        <w:rPr>
          <w:rFonts w:hint="eastAsia" w:ascii="宋体" w:hAnsi="宋体" w:eastAsia="宋体" w:cs="宋体"/>
        </w:rPr>
        <w:t>3. 报价人资格要求</w:t>
      </w:r>
      <w:bookmarkEnd w:id="45"/>
      <w:bookmarkEnd w:id="46"/>
      <w:bookmarkEnd w:id="47"/>
      <w:bookmarkEnd w:id="48"/>
      <w:bookmarkEnd w:id="49"/>
      <w:bookmarkEnd w:id="50"/>
      <w:bookmarkEnd w:id="51"/>
      <w:bookmarkEnd w:id="52"/>
      <w:bookmarkEnd w:id="53"/>
      <w:bookmarkEnd w:id="54"/>
      <w:bookmarkEnd w:id="55"/>
      <w:bookmarkEnd w:id="56"/>
      <w:bookmarkEnd w:id="57"/>
    </w:p>
    <w:p>
      <w:pPr>
        <w:spacing w:line="400" w:lineRule="exact"/>
        <w:ind w:firstLine="420" w:firstLineChars="200"/>
        <w:rPr>
          <w:rFonts w:ascii="宋体" w:hAnsi="宋体" w:cs="宋体"/>
          <w:szCs w:val="21"/>
          <w:shd w:val="clear" w:color="auto" w:fill="FFFFFF"/>
        </w:rPr>
      </w:pPr>
      <w:bookmarkStart w:id="58" w:name="_Toc144974483"/>
      <w:bookmarkStart w:id="59" w:name="_Toc152045515"/>
      <w:bookmarkStart w:id="60" w:name="_Toc247085675"/>
      <w:bookmarkStart w:id="61" w:name="_Toc179632531"/>
      <w:bookmarkStart w:id="62" w:name="_Toc246996904"/>
      <w:bookmarkStart w:id="63" w:name="_Toc152042291"/>
      <w:bookmarkStart w:id="64" w:name="_Toc246996161"/>
      <w:r>
        <w:rPr>
          <w:rFonts w:hint="eastAsia" w:ascii="宋体" w:hAnsi="宋体" w:cs="宋体"/>
          <w:szCs w:val="21"/>
          <w:shd w:val="clear" w:color="auto" w:fill="FFFFFF"/>
        </w:rPr>
        <w:t>3.1 资质要求：</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（1）具有独立法人资格；</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（2）具有有效的营业执照</w:t>
      </w:r>
      <w:r>
        <w:rPr>
          <w:rFonts w:hint="eastAsia" w:ascii="宋体" w:hAnsi="宋体" w:cs="宋体"/>
          <w:sz w:val="22"/>
          <w:szCs w:val="22"/>
          <w:shd w:val="clear" w:color="auto" w:fill="FFFFFF"/>
          <w:lang w:eastAsia="zh-CN"/>
        </w:rPr>
        <w:t>（</w:t>
      </w:r>
      <w:r>
        <w:rPr>
          <w:rFonts w:hint="eastAsia" w:ascii="宋体" w:hAnsi="宋体"/>
          <w:sz w:val="20"/>
          <w:szCs w:val="21"/>
        </w:rPr>
        <w:t>营业执照经营范围</w:t>
      </w:r>
      <w:r>
        <w:rPr>
          <w:rFonts w:hint="eastAsia" w:ascii="宋体" w:hAnsi="宋体"/>
          <w:sz w:val="20"/>
          <w:szCs w:val="21"/>
          <w:lang w:val="en-US" w:eastAsia="zh-CN"/>
        </w:rPr>
        <w:t>需</w:t>
      </w:r>
      <w:r>
        <w:rPr>
          <w:rFonts w:hint="eastAsia" w:ascii="宋体" w:hAnsi="宋体"/>
          <w:sz w:val="20"/>
          <w:szCs w:val="21"/>
        </w:rPr>
        <w:t>包括</w:t>
      </w:r>
      <w:r>
        <w:rPr>
          <w:rFonts w:hint="eastAsia" w:ascii="宋体" w:hAnsi="宋体"/>
          <w:sz w:val="20"/>
          <w:szCs w:val="21"/>
          <w:lang w:val="en-US" w:eastAsia="zh-CN"/>
        </w:rPr>
        <w:t>钢质</w:t>
      </w:r>
      <w:r>
        <w:rPr>
          <w:rFonts w:hint="eastAsia" w:ascii="宋体" w:hAnsi="宋体"/>
          <w:sz w:val="20"/>
          <w:szCs w:val="21"/>
        </w:rPr>
        <w:t>防火门或隧道横洞门的生产或制造等内容）</w:t>
      </w:r>
      <w:r>
        <w:rPr>
          <w:rFonts w:hint="eastAsia" w:ascii="宋体" w:hAnsi="宋体" w:cs="宋体"/>
          <w:szCs w:val="21"/>
          <w:shd w:val="clear" w:color="auto" w:fill="FFFFFF"/>
        </w:rPr>
        <w:t>；</w:t>
      </w:r>
    </w:p>
    <w:p>
      <w:pPr>
        <w:pStyle w:val="27"/>
        <w:ind w:firstLine="420"/>
        <w:rPr>
          <w:rFonts w:hint="eastAsia" w:ascii="宋体" w:hAnsi="宋体" w:eastAsia="宋体" w:cs="宋体"/>
          <w:b w:val="0"/>
          <w:bCs w:val="0"/>
          <w:caps w:val="0"/>
          <w:sz w:val="21"/>
          <w:szCs w:val="21"/>
          <w:shd w:val="clear" w:color="auto" w:fill="FFFFFF"/>
          <w:lang w:eastAsia="zh-CN"/>
        </w:rPr>
      </w:pPr>
      <w:r>
        <w:rPr>
          <w:rFonts w:hint="eastAsia" w:ascii="宋体" w:hAnsi="宋体" w:cs="宋体"/>
          <w:b w:val="0"/>
          <w:bCs w:val="0"/>
          <w:caps w:val="0"/>
          <w:sz w:val="21"/>
          <w:szCs w:val="21"/>
          <w:shd w:val="clear" w:color="auto" w:fill="FFFFFF"/>
        </w:rPr>
        <w:t>（3）2018年1月1日至投标截止日（以合同签订时间为准），承担过</w:t>
      </w:r>
      <w:r>
        <w:rPr>
          <w:rFonts w:hint="eastAsia" w:ascii="宋体" w:hAnsi="宋体" w:cs="宋体"/>
          <w:b w:val="0"/>
          <w:bCs w:val="0"/>
          <w:caps w:val="0"/>
          <w:sz w:val="21"/>
          <w:szCs w:val="21"/>
          <w:shd w:val="clear" w:color="auto" w:fill="FFFFFF"/>
          <w:lang w:val="en-US" w:eastAsia="zh-CN"/>
        </w:rPr>
        <w:t>全国已通车</w:t>
      </w:r>
      <w:r>
        <w:rPr>
          <w:rFonts w:hint="eastAsia" w:ascii="宋体" w:hAnsi="宋体" w:cs="宋体"/>
          <w:b w:val="0"/>
          <w:bCs w:val="0"/>
          <w:caps w:val="0"/>
          <w:sz w:val="21"/>
          <w:szCs w:val="21"/>
          <w:shd w:val="clear" w:color="auto" w:fill="FFFFFF"/>
        </w:rPr>
        <w:t>高速公路项目隧道横洞门的</w:t>
      </w:r>
      <w:r>
        <w:rPr>
          <w:rFonts w:hint="eastAsia" w:ascii="宋体" w:hAnsi="宋体" w:cs="宋体"/>
          <w:b w:val="0"/>
          <w:bCs w:val="0"/>
          <w:caps w:val="0"/>
          <w:sz w:val="21"/>
          <w:szCs w:val="21"/>
          <w:shd w:val="clear" w:color="auto" w:fill="FFFFFF"/>
          <w:lang w:val="en-US" w:eastAsia="zh-CN"/>
        </w:rPr>
        <w:t>更换项目，有独立</w:t>
      </w:r>
      <w:r>
        <w:rPr>
          <w:rFonts w:hint="eastAsia" w:ascii="宋体" w:hAnsi="宋体" w:cs="宋体"/>
          <w:b w:val="0"/>
          <w:bCs w:val="0"/>
          <w:caps w:val="0"/>
          <w:sz w:val="21"/>
          <w:szCs w:val="21"/>
          <w:shd w:val="clear" w:color="auto" w:fill="FFFFFF"/>
        </w:rPr>
        <w:t>供货</w:t>
      </w:r>
      <w:r>
        <w:rPr>
          <w:rFonts w:hint="eastAsia" w:ascii="宋体" w:hAnsi="宋体" w:cs="宋体"/>
          <w:b w:val="0"/>
          <w:bCs w:val="0"/>
          <w:caps w:val="0"/>
          <w:sz w:val="21"/>
          <w:szCs w:val="21"/>
          <w:shd w:val="clear" w:color="auto" w:fill="FFFFFF"/>
          <w:lang w:val="en-US" w:eastAsia="zh-CN"/>
        </w:rPr>
        <w:t>安装</w:t>
      </w:r>
      <w:r>
        <w:rPr>
          <w:rFonts w:hint="eastAsia" w:ascii="宋体" w:hAnsi="宋体" w:cs="宋体"/>
          <w:b w:val="0"/>
          <w:bCs w:val="0"/>
          <w:caps w:val="0"/>
          <w:sz w:val="21"/>
          <w:szCs w:val="21"/>
          <w:shd w:val="clear" w:color="auto" w:fill="FFFFFF"/>
        </w:rPr>
        <w:t>业绩</w:t>
      </w:r>
      <w:r>
        <w:rPr>
          <w:rFonts w:hint="eastAsia" w:ascii="宋体" w:hAnsi="宋体" w:cs="宋体"/>
          <w:b w:val="0"/>
          <w:bCs w:val="0"/>
          <w:caps w:val="0"/>
          <w:sz w:val="21"/>
          <w:szCs w:val="21"/>
          <w:shd w:val="clear" w:color="auto" w:fill="FFFFFF"/>
          <w:lang w:eastAsia="zh-CN"/>
        </w:rPr>
        <w:t>，</w:t>
      </w:r>
      <w:r>
        <w:rPr>
          <w:rFonts w:hint="eastAsia" w:ascii="宋体" w:hAnsi="宋体" w:cs="宋体"/>
          <w:b w:val="0"/>
          <w:bCs w:val="0"/>
          <w:caps w:val="0"/>
          <w:color w:val="auto"/>
          <w:kern w:val="2"/>
          <w:sz w:val="21"/>
          <w:szCs w:val="21"/>
          <w:shd w:val="clear" w:color="auto" w:fill="FFFFFF"/>
          <w:lang w:val="en-US" w:eastAsia="zh-CN" w:bidi="ar-SA"/>
        </w:rPr>
        <w:t>且单个合同金额不低于70万。</w:t>
      </w:r>
    </w:p>
    <w:p>
      <w:pPr>
        <w:spacing w:line="400" w:lineRule="exact"/>
        <w:ind w:firstLine="420"/>
        <w:jc w:val="left"/>
        <w:rPr>
          <w:rFonts w:ascii="宋体" w:hAnsi="宋体" w:cs="宋体"/>
        </w:rPr>
      </w:pPr>
      <w:r>
        <w:rPr>
          <w:rFonts w:hint="eastAsia" w:ascii="宋体" w:hAnsi="宋体" w:cs="宋体"/>
          <w:szCs w:val="21"/>
          <w:shd w:val="clear" w:color="auto" w:fill="FFFFFF"/>
        </w:rPr>
        <w:t>（4）</w:t>
      </w:r>
      <w:r>
        <w:rPr>
          <w:rFonts w:hint="eastAsia"/>
        </w:rPr>
        <w:t>信誉良好：</w:t>
      </w:r>
      <w:r>
        <w:rPr>
          <w:rFonts w:hint="eastAsia" w:ascii="宋体" w:hAnsi="宋体" w:cs="宋体"/>
        </w:rPr>
        <w:t>在国家企业信用信息公示系统（http://www.gsxt.gov.cn/）中未被列入严重违法失信企业名单（</w:t>
      </w:r>
      <w:r>
        <w:rPr>
          <w:rFonts w:ascii="宋体" w:hAnsi="宋体" w:cs="宋体"/>
        </w:rPr>
        <w:t>黑名单）信息</w:t>
      </w:r>
      <w:r>
        <w:rPr>
          <w:rFonts w:hint="eastAsia" w:ascii="宋体" w:hAnsi="宋体" w:cs="宋体"/>
        </w:rPr>
        <w:t>；在“信用中国”网站（http://www.creditchina.gov.cn/）中未被列入失信惩戒执行人名单。</w:t>
      </w:r>
    </w:p>
    <w:p>
      <w:pPr>
        <w:pStyle w:val="27"/>
        <w:ind w:firstLine="420"/>
        <w:rPr>
          <w:rFonts w:hint="eastAsia" w:ascii="宋体" w:hAnsi="宋体" w:eastAsia="宋体" w:cs="宋体"/>
          <w:b w:val="0"/>
          <w:bCs w:val="0"/>
          <w:caps w:val="0"/>
          <w:sz w:val="21"/>
          <w:szCs w:val="24"/>
          <w:lang w:eastAsia="zh-CN"/>
        </w:rPr>
      </w:pPr>
      <w:r>
        <w:rPr>
          <w:rFonts w:hint="eastAsia" w:ascii="宋体" w:hAnsi="宋体" w:cs="宋体"/>
          <w:b w:val="0"/>
          <w:bCs w:val="0"/>
          <w:caps w:val="0"/>
          <w:sz w:val="21"/>
          <w:szCs w:val="21"/>
          <w:shd w:val="clear" w:color="auto" w:fill="FFFFFF"/>
        </w:rPr>
        <w:t>（5）设备安装要求：</w:t>
      </w:r>
      <w:r>
        <w:rPr>
          <w:rFonts w:hint="eastAsia" w:ascii="宋体" w:hAnsi="宋体" w:cs="宋体"/>
          <w:b w:val="0"/>
          <w:bCs w:val="0"/>
          <w:caps w:val="0"/>
          <w:sz w:val="21"/>
          <w:szCs w:val="24"/>
        </w:rPr>
        <w:t>设备的安装须由具备消防设施工程专业承包壹级资质的单位开展，如卖方仅为设备生产商，不具备该资质，买方允许卖方对设备的安装进行专业分包，专业分包单位须具备消防设施工程专业承包壹级资质，并在设备进场安装前，由卖方向买方处进行单位核备，买方同意后，可以进场进行安装</w:t>
      </w:r>
      <w:r>
        <w:rPr>
          <w:rFonts w:hint="eastAsia" w:ascii="宋体" w:hAnsi="宋体" w:cs="宋体"/>
          <w:b w:val="0"/>
          <w:bCs w:val="0"/>
          <w:caps w:val="0"/>
          <w:sz w:val="21"/>
          <w:szCs w:val="24"/>
          <w:lang w:eastAsia="zh-CN"/>
        </w:rPr>
        <w:t>，</w:t>
      </w:r>
      <w:r>
        <w:rPr>
          <w:rFonts w:hint="eastAsia" w:ascii="宋体" w:hAnsi="宋体" w:cs="宋体"/>
          <w:b w:val="0"/>
          <w:bCs w:val="0"/>
          <w:caps w:val="0"/>
          <w:sz w:val="21"/>
          <w:szCs w:val="24"/>
        </w:rPr>
        <w:t>中标单位需负责派驻安全员现场监督</w:t>
      </w:r>
      <w:r>
        <w:rPr>
          <w:rFonts w:hint="eastAsia" w:ascii="宋体" w:hAnsi="宋体" w:cs="宋体"/>
          <w:b w:val="0"/>
          <w:bCs w:val="0"/>
          <w:caps w:val="0"/>
          <w:sz w:val="21"/>
          <w:szCs w:val="24"/>
          <w:lang w:eastAsia="zh-CN"/>
        </w:rPr>
        <w:t>。</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 xml:space="preserve">3.2 </w:t>
      </w:r>
      <w:bookmarkStart w:id="289" w:name="_GoBack"/>
      <w:bookmarkEnd w:id="289"/>
      <w:r>
        <w:rPr>
          <w:rFonts w:hint="eastAsia" w:ascii="宋体" w:hAnsi="宋体" w:cs="宋体"/>
          <w:szCs w:val="21"/>
          <w:shd w:val="clear" w:color="auto" w:fill="FFFFFF"/>
        </w:rPr>
        <w:t>本次比选不接受联合体报价。</w:t>
      </w:r>
    </w:p>
    <w:p>
      <w:pPr>
        <w:spacing w:line="400" w:lineRule="exact"/>
        <w:ind w:firstLine="420" w:firstLineChars="200"/>
        <w:rPr>
          <w:rFonts w:ascii="宋体" w:hAnsi="宋体" w:cs="宋体"/>
          <w:szCs w:val="21"/>
          <w:shd w:val="clear" w:color="auto" w:fill="FFFFFF"/>
        </w:rPr>
      </w:pPr>
      <w:r>
        <w:rPr>
          <w:rFonts w:hint="eastAsia" w:ascii="宋体" w:hAnsi="宋体" w:cs="宋体"/>
          <w:szCs w:val="21"/>
          <w:shd w:val="clear" w:color="auto" w:fill="FFFFFF"/>
        </w:rPr>
        <w:t>3.3</w:t>
      </w:r>
      <w:r>
        <w:rPr>
          <w:rFonts w:hint="eastAsia" w:ascii="宋体" w:hAnsi="宋体" w:cs="宋体"/>
          <w:szCs w:val="21"/>
          <w:shd w:val="clear" w:color="auto" w:fill="FFFFFF"/>
          <w:lang w:val="en-US" w:eastAsia="zh-CN"/>
        </w:rPr>
        <w:t xml:space="preserve"> </w:t>
      </w:r>
      <w:r>
        <w:rPr>
          <w:rFonts w:hint="eastAsia" w:ascii="宋体" w:hAnsi="宋体" w:cs="宋体"/>
          <w:szCs w:val="21"/>
          <w:shd w:val="clear" w:color="auto" w:fill="FFFFFF"/>
        </w:rPr>
        <w:t>与采购人存在利害关系可能影响比选公正性的法人、其他组织或者个人，不得参加本项目报价；单位负责人为同一人或者存在控股、管理关系的不同单位，不得同时参加本项目报价，否则均按无效报价处理。</w:t>
      </w:r>
    </w:p>
    <w:p>
      <w:pPr>
        <w:pStyle w:val="4"/>
        <w:spacing w:before="120" w:after="0" w:line="400" w:lineRule="exact"/>
        <w:rPr>
          <w:rFonts w:ascii="宋体" w:hAnsi="宋体" w:eastAsia="宋体" w:cs="宋体"/>
        </w:rPr>
      </w:pPr>
      <w:bookmarkStart w:id="65" w:name="_Toc14361"/>
      <w:bookmarkStart w:id="66" w:name="_Toc17662"/>
      <w:bookmarkStart w:id="67" w:name="_Toc11329216"/>
      <w:bookmarkStart w:id="68" w:name="_Toc12460"/>
      <w:bookmarkStart w:id="69" w:name="_Toc25619"/>
      <w:bookmarkStart w:id="70" w:name="_Toc507319894"/>
      <w:r>
        <w:rPr>
          <w:rFonts w:hint="eastAsia" w:ascii="宋体" w:hAnsi="宋体" w:eastAsia="宋体" w:cs="宋体"/>
        </w:rPr>
        <w:t>4. 比选文件的获取</w:t>
      </w:r>
      <w:bookmarkEnd w:id="58"/>
      <w:bookmarkEnd w:id="59"/>
      <w:bookmarkEnd w:id="60"/>
      <w:bookmarkEnd w:id="61"/>
      <w:bookmarkEnd w:id="62"/>
      <w:bookmarkEnd w:id="63"/>
      <w:bookmarkEnd w:id="64"/>
      <w:bookmarkEnd w:id="65"/>
      <w:bookmarkEnd w:id="66"/>
      <w:bookmarkEnd w:id="67"/>
      <w:bookmarkEnd w:id="68"/>
      <w:bookmarkEnd w:id="69"/>
      <w:bookmarkEnd w:id="70"/>
    </w:p>
    <w:p>
      <w:pPr>
        <w:spacing w:line="360" w:lineRule="auto"/>
        <w:ind w:firstLine="420" w:firstLineChars="200"/>
        <w:rPr>
          <w:rFonts w:ascii="宋体" w:hAnsi="宋体"/>
          <w:szCs w:val="21"/>
        </w:rPr>
      </w:pPr>
      <w:bookmarkStart w:id="71" w:name="_Toc247085676"/>
      <w:bookmarkStart w:id="72" w:name="_Toc246996905"/>
      <w:bookmarkStart w:id="73" w:name="_Toc246996162"/>
      <w:bookmarkStart w:id="74" w:name="_Toc152045516"/>
      <w:bookmarkStart w:id="75" w:name="_Toc152042292"/>
      <w:bookmarkStart w:id="76" w:name="_Toc179632532"/>
      <w:bookmarkStart w:id="77" w:name="_Toc507319895"/>
      <w:bookmarkStart w:id="78" w:name="_Toc11329217"/>
      <w:bookmarkStart w:id="79" w:name="_Toc144974484"/>
      <w:r>
        <w:rPr>
          <w:rFonts w:ascii="宋体" w:hAnsi="宋体"/>
          <w:szCs w:val="21"/>
        </w:rPr>
        <w:t>凡愿意参加的潜在</w:t>
      </w:r>
      <w:r>
        <w:rPr>
          <w:rFonts w:hint="eastAsia" w:ascii="宋体" w:hAnsi="宋体"/>
          <w:szCs w:val="21"/>
        </w:rPr>
        <w:t>报价</w:t>
      </w:r>
      <w:r>
        <w:rPr>
          <w:rFonts w:ascii="宋体" w:hAnsi="宋体"/>
          <w:szCs w:val="21"/>
        </w:rPr>
        <w:t>人，</w:t>
      </w:r>
      <w:r>
        <w:rPr>
          <w:rFonts w:hint="eastAsia" w:ascii="宋体" w:hAnsi="宋体"/>
          <w:szCs w:val="21"/>
        </w:rPr>
        <w:t>在</w:t>
      </w:r>
      <w:r>
        <w:rPr>
          <w:rFonts w:hint="eastAsia" w:ascii="宋体" w:hAnsi="宋体"/>
          <w:szCs w:val="21"/>
          <w:u w:val="single"/>
        </w:rPr>
        <w:t>2021</w:t>
      </w:r>
      <w:r>
        <w:rPr>
          <w:rFonts w:hint="eastAsia" w:ascii="宋体" w:hAnsi="宋体"/>
          <w:szCs w:val="21"/>
        </w:rPr>
        <w:t>年</w:t>
      </w:r>
      <w:r>
        <w:rPr>
          <w:rFonts w:hint="eastAsia" w:ascii="宋体" w:hAnsi="宋体"/>
          <w:szCs w:val="21"/>
          <w:u w:val="single"/>
          <w:lang w:val="en-US" w:eastAsia="zh-CN"/>
        </w:rPr>
        <w:t>10</w:t>
      </w:r>
      <w:r>
        <w:rPr>
          <w:rFonts w:hint="eastAsia" w:ascii="宋体" w:hAnsi="宋体"/>
          <w:szCs w:val="21"/>
        </w:rPr>
        <w:t>月</w:t>
      </w:r>
      <w:r>
        <w:rPr>
          <w:rFonts w:hint="eastAsia" w:ascii="宋体" w:hAnsi="宋体"/>
          <w:szCs w:val="21"/>
          <w:u w:val="single"/>
          <w:lang w:val="en-US" w:eastAsia="zh-CN"/>
        </w:rPr>
        <w:t>20</w:t>
      </w:r>
      <w:r>
        <w:rPr>
          <w:rFonts w:hint="eastAsia" w:ascii="宋体" w:hAnsi="宋体"/>
          <w:szCs w:val="21"/>
        </w:rPr>
        <w:t>日下午</w:t>
      </w:r>
      <w:r>
        <w:rPr>
          <w:rFonts w:hint="eastAsia" w:ascii="宋体" w:hAnsi="宋体"/>
          <w:szCs w:val="21"/>
          <w:u w:val="single"/>
        </w:rPr>
        <w:t>1</w:t>
      </w:r>
      <w:r>
        <w:rPr>
          <w:rFonts w:hint="eastAsia" w:ascii="宋体" w:hAnsi="宋体"/>
          <w:szCs w:val="21"/>
          <w:u w:val="single"/>
          <w:lang w:val="en-US" w:eastAsia="zh-CN"/>
        </w:rPr>
        <w:t>5</w:t>
      </w:r>
      <w:r>
        <w:rPr>
          <w:rFonts w:hint="eastAsia" w:ascii="宋体" w:hAnsi="宋体"/>
          <w:szCs w:val="21"/>
          <w:u w:val="single"/>
        </w:rPr>
        <w:t>:00</w:t>
      </w:r>
      <w:r>
        <w:rPr>
          <w:rFonts w:hint="eastAsia" w:ascii="宋体" w:hAnsi="宋体"/>
          <w:szCs w:val="21"/>
        </w:rPr>
        <w:t>前在重庆高速集团官网上获取比选文件，各报价人应随时关注网上发布的竞争性比选文件答疑、补遗、澄清等文件内容，不管报价人是否下载，均视为已知晓竞争性比选文件的全部内容和有关事宜。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rPr>
      </w:pPr>
      <w:bookmarkStart w:id="80" w:name="_Toc31493"/>
      <w:bookmarkStart w:id="81" w:name="_Toc9131"/>
      <w:bookmarkStart w:id="82" w:name="_Toc6426"/>
      <w:bookmarkStart w:id="83" w:name="_Toc16686"/>
      <w:r>
        <w:rPr>
          <w:rFonts w:hint="eastAsia" w:ascii="宋体" w:hAnsi="宋体" w:eastAsia="宋体" w:cs="宋体"/>
        </w:rPr>
        <w:t>5. 竞争性比选响应文件的递交</w:t>
      </w:r>
      <w:bookmarkEnd w:id="71"/>
      <w:bookmarkEnd w:id="72"/>
      <w:bookmarkEnd w:id="73"/>
      <w:bookmarkEnd w:id="74"/>
      <w:bookmarkEnd w:id="75"/>
      <w:bookmarkEnd w:id="76"/>
      <w:bookmarkEnd w:id="77"/>
      <w:bookmarkEnd w:id="78"/>
      <w:bookmarkEnd w:id="79"/>
      <w:r>
        <w:rPr>
          <w:rFonts w:hint="eastAsia" w:ascii="宋体" w:hAnsi="宋体" w:eastAsia="宋体" w:cs="宋体"/>
        </w:rPr>
        <w:t>及相关事宜</w:t>
      </w:r>
      <w:bookmarkEnd w:id="80"/>
      <w:bookmarkEnd w:id="81"/>
      <w:bookmarkEnd w:id="82"/>
      <w:bookmarkEnd w:id="83"/>
    </w:p>
    <w:p>
      <w:pPr>
        <w:tabs>
          <w:tab w:val="left" w:pos="360"/>
        </w:tabs>
        <w:spacing w:line="400" w:lineRule="exact"/>
        <w:ind w:firstLine="420" w:firstLineChars="200"/>
        <w:rPr>
          <w:rFonts w:ascii="宋体" w:hAnsi="宋体" w:cs="宋体"/>
          <w:szCs w:val="21"/>
          <w:highlight w:val="yellow"/>
        </w:rPr>
      </w:pPr>
      <w:r>
        <w:rPr>
          <w:rFonts w:hint="eastAsia" w:ascii="宋体" w:hAnsi="宋体" w:cs="宋体"/>
          <w:szCs w:val="21"/>
        </w:rPr>
        <w:t>5.1报价截止时间和开标时间：</w:t>
      </w:r>
      <w:r>
        <w:rPr>
          <w:rFonts w:hint="eastAsia" w:ascii="宋体" w:hAnsi="宋体" w:cs="宋体"/>
          <w:szCs w:val="21"/>
          <w:u w:val="single"/>
        </w:rPr>
        <w:t>2021</w:t>
      </w:r>
      <w:r>
        <w:rPr>
          <w:rFonts w:hint="eastAsia" w:ascii="宋体" w:hAnsi="宋体" w:cs="宋体"/>
          <w:szCs w:val="21"/>
        </w:rPr>
        <w:t>年</w:t>
      </w:r>
      <w:r>
        <w:rPr>
          <w:rFonts w:hint="eastAsia" w:ascii="宋体" w:hAnsi="宋体" w:cs="宋体"/>
          <w:szCs w:val="21"/>
          <w:u w:val="single"/>
          <w:lang w:val="en-US" w:eastAsia="zh-CN"/>
        </w:rPr>
        <w:t>10</w:t>
      </w:r>
      <w:r>
        <w:rPr>
          <w:rFonts w:hint="eastAsia" w:ascii="宋体" w:hAnsi="宋体" w:cs="宋体"/>
          <w:szCs w:val="21"/>
        </w:rPr>
        <w:t>月</w:t>
      </w:r>
      <w:r>
        <w:rPr>
          <w:rFonts w:hint="eastAsia" w:ascii="宋体" w:hAnsi="宋体" w:cs="宋体"/>
          <w:szCs w:val="21"/>
          <w:u w:val="single"/>
          <w:lang w:val="en-US" w:eastAsia="zh-CN"/>
        </w:rPr>
        <w:t>20</w:t>
      </w:r>
      <w:r>
        <w:rPr>
          <w:rFonts w:hint="eastAsia" w:ascii="宋体" w:hAnsi="宋体" w:cs="宋体"/>
          <w:szCs w:val="21"/>
        </w:rPr>
        <w:t>日下午</w:t>
      </w:r>
      <w:r>
        <w:rPr>
          <w:rFonts w:hint="eastAsia" w:ascii="宋体" w:hAnsi="宋体" w:cs="宋体"/>
          <w:szCs w:val="21"/>
          <w:u w:val="single"/>
        </w:rPr>
        <w:t xml:space="preserve"> 1</w:t>
      </w:r>
      <w:r>
        <w:rPr>
          <w:rFonts w:hint="eastAsia" w:ascii="宋体" w:hAnsi="宋体" w:cs="宋体"/>
          <w:szCs w:val="21"/>
          <w:u w:val="single"/>
          <w:lang w:val="en-US" w:eastAsia="zh-CN"/>
        </w:rPr>
        <w:t>5</w:t>
      </w:r>
      <w:r>
        <w:rPr>
          <w:rFonts w:hint="eastAsia" w:ascii="宋体" w:hAnsi="宋体" w:cs="宋体"/>
          <w:szCs w:val="21"/>
          <w:u w:val="single"/>
        </w:rPr>
        <w:t xml:space="preserve"> </w:t>
      </w:r>
      <w:r>
        <w:rPr>
          <w:rFonts w:hint="eastAsia" w:ascii="宋体" w:hAnsi="宋体" w:cs="宋体"/>
          <w:szCs w:val="21"/>
        </w:rPr>
        <w:t>时</w:t>
      </w:r>
      <w:r>
        <w:rPr>
          <w:rFonts w:hint="eastAsia" w:ascii="宋体" w:hAnsi="宋体" w:cs="宋体"/>
          <w:szCs w:val="21"/>
          <w:u w:val="single"/>
        </w:rPr>
        <w:t xml:space="preserve"> 00 </w:t>
      </w:r>
      <w:r>
        <w:rPr>
          <w:rFonts w:hint="eastAsia" w:ascii="宋体" w:hAnsi="宋体" w:cs="宋体"/>
          <w:szCs w:val="21"/>
        </w:rPr>
        <w:t>分（北京时间）。</w:t>
      </w:r>
    </w:p>
    <w:p>
      <w:pPr>
        <w:tabs>
          <w:tab w:val="left" w:pos="360"/>
        </w:tabs>
        <w:spacing w:line="400" w:lineRule="exact"/>
        <w:ind w:firstLine="420" w:firstLineChars="200"/>
        <w:rPr>
          <w:rFonts w:ascii="宋体" w:hAnsi="宋体" w:cs="宋体"/>
          <w:szCs w:val="21"/>
        </w:rPr>
      </w:pPr>
      <w:r>
        <w:rPr>
          <w:rFonts w:hint="eastAsia" w:ascii="宋体" w:hAnsi="宋体" w:cs="宋体"/>
          <w:szCs w:val="21"/>
        </w:rPr>
        <w:t>5.2报价的递交：重庆市南岸区四公里内环入口200米处重庆首讯科技大楼。</w:t>
      </w:r>
    </w:p>
    <w:p>
      <w:pPr>
        <w:tabs>
          <w:tab w:val="left" w:pos="360"/>
        </w:tabs>
        <w:spacing w:line="400" w:lineRule="exact"/>
        <w:ind w:firstLine="420" w:firstLineChars="200"/>
        <w:rPr>
          <w:rFonts w:ascii="宋体" w:hAnsi="宋体" w:cs="宋体"/>
          <w:szCs w:val="21"/>
        </w:rPr>
      </w:pPr>
      <w:r>
        <w:rPr>
          <w:rFonts w:hint="eastAsia" w:ascii="宋体" w:hAnsi="宋体" w:cs="宋体"/>
          <w:szCs w:val="21"/>
        </w:rPr>
        <w:t>5.3</w:t>
      </w:r>
      <w:r>
        <w:rPr>
          <w:rFonts w:ascii="宋体" w:hAnsi="宋体" w:cs="宋体"/>
          <w:szCs w:val="21"/>
        </w:rPr>
        <w:t>采购人不组织工程现场踏勘，不召开报价预备会。</w:t>
      </w:r>
    </w:p>
    <w:p>
      <w:pPr>
        <w:pStyle w:val="4"/>
        <w:spacing w:before="120" w:after="0" w:line="400" w:lineRule="exact"/>
        <w:rPr>
          <w:rFonts w:ascii="宋体" w:hAnsi="宋体" w:eastAsia="宋体" w:cs="宋体"/>
        </w:rPr>
      </w:pPr>
      <w:bookmarkStart w:id="84" w:name="_Toc246996907"/>
      <w:bookmarkStart w:id="85" w:name="_Toc179632534"/>
      <w:bookmarkStart w:id="86" w:name="_Toc152042293"/>
      <w:bookmarkStart w:id="87" w:name="_Toc246996164"/>
      <w:bookmarkStart w:id="88" w:name="_Toc152045517"/>
      <w:bookmarkStart w:id="89" w:name="_Toc144974485"/>
      <w:bookmarkStart w:id="90" w:name="_Toc507319897"/>
      <w:bookmarkStart w:id="91" w:name="_Toc21615"/>
      <w:bookmarkStart w:id="92" w:name="_Toc18402"/>
      <w:bookmarkStart w:id="93" w:name="_Toc3341"/>
      <w:bookmarkStart w:id="94" w:name="_Toc11329219"/>
      <w:bookmarkStart w:id="95" w:name="_Toc393"/>
      <w:bookmarkStart w:id="96" w:name="_Toc247085678"/>
      <w:r>
        <w:rPr>
          <w:rFonts w:hint="eastAsia" w:ascii="宋体" w:hAnsi="宋体" w:eastAsia="宋体" w:cs="宋体"/>
        </w:rPr>
        <w:t>6. 联系方式</w:t>
      </w:r>
      <w:bookmarkEnd w:id="84"/>
      <w:bookmarkEnd w:id="85"/>
      <w:bookmarkEnd w:id="86"/>
      <w:bookmarkEnd w:id="87"/>
      <w:bookmarkEnd w:id="88"/>
      <w:bookmarkEnd w:id="89"/>
      <w:bookmarkEnd w:id="90"/>
      <w:bookmarkEnd w:id="91"/>
      <w:bookmarkEnd w:id="92"/>
      <w:bookmarkEnd w:id="93"/>
      <w:bookmarkEnd w:id="94"/>
      <w:bookmarkEnd w:id="95"/>
      <w:bookmarkEnd w:id="96"/>
    </w:p>
    <w:tbl>
      <w:tblPr>
        <w:tblStyle w:val="40"/>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99"/>
              <w:spacing w:before="0" w:beforeAutospacing="0" w:after="0" w:afterAutospacing="0" w:line="400" w:lineRule="exact"/>
              <w:ind w:firstLine="420" w:firstLineChars="200"/>
              <w:jc w:val="both"/>
              <w:rPr>
                <w:rFonts w:ascii="宋体" w:hAnsi="宋体" w:cs="宋体"/>
                <w:kern w:val="2"/>
                <w:sz w:val="21"/>
                <w:szCs w:val="21"/>
              </w:rPr>
            </w:pPr>
            <w:r>
              <w:rPr>
                <w:rFonts w:hint="eastAsia" w:ascii="宋体" w:hAnsi="宋体" w:cs="宋体"/>
                <w:kern w:val="2"/>
                <w:sz w:val="21"/>
                <w:szCs w:val="21"/>
              </w:rPr>
              <w:t>采购人：重庆首讯科技股份有限公司</w:t>
            </w:r>
          </w:p>
        </w:tc>
        <w:tc>
          <w:tcPr>
            <w:tcW w:w="1415" w:type="dxa"/>
            <w:vAlign w:val="center"/>
          </w:tcPr>
          <w:p>
            <w:pPr>
              <w:pStyle w:val="99"/>
              <w:spacing w:before="0" w:beforeAutospacing="0" w:after="0" w:afterAutospacing="0" w:line="400" w:lineRule="exact"/>
              <w:ind w:firstLine="420" w:firstLineChars="200"/>
              <w:jc w:val="both"/>
              <w:rPr>
                <w:rFonts w:ascii="宋体" w:hAnsi="宋体" w:cs="宋体"/>
                <w:kern w:val="2"/>
                <w:sz w:val="21"/>
                <w:szCs w:val="21"/>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ascii="宋体" w:hAnsi="宋体" w:cs="宋体"/>
                <w:szCs w:val="21"/>
              </w:rPr>
            </w:pPr>
            <w:r>
              <w:rPr>
                <w:rFonts w:hint="eastAsia" w:ascii="宋体" w:hAnsi="宋体" w:cs="宋体"/>
                <w:szCs w:val="21"/>
              </w:rPr>
              <w:t>地址：重庆市南岸区四公里内环入口高速集团首讯科技大楼</w:t>
            </w:r>
          </w:p>
        </w:tc>
        <w:tc>
          <w:tcPr>
            <w:tcW w:w="1415" w:type="dxa"/>
            <w:vAlign w:val="center"/>
          </w:tcPr>
          <w:p>
            <w:pPr>
              <w:spacing w:line="40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470" w:hRule="atLeast"/>
        </w:trPr>
        <w:tc>
          <w:tcPr>
            <w:tcW w:w="8213" w:type="dxa"/>
            <w:vAlign w:val="center"/>
          </w:tcPr>
          <w:p>
            <w:pPr>
              <w:topLinePunct/>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联系人：</w:t>
            </w:r>
            <w:r>
              <w:rPr>
                <w:rFonts w:hint="eastAsia" w:ascii="宋体" w:hAnsi="宋体" w:cs="宋体"/>
                <w:szCs w:val="21"/>
                <w:lang w:val="en-US" w:eastAsia="zh-CN"/>
              </w:rPr>
              <w:t>邵林杰</w:t>
            </w:r>
          </w:p>
        </w:tc>
        <w:tc>
          <w:tcPr>
            <w:tcW w:w="1415" w:type="dxa"/>
            <w:vAlign w:val="center"/>
          </w:tcPr>
          <w:p>
            <w:pPr>
              <w:spacing w:line="400" w:lineRule="exact"/>
              <w:ind w:firstLine="420" w:firstLineChars="200"/>
              <w:rPr>
                <w:rFonts w:ascii="宋体" w:hAnsi="宋体" w:cs="宋体"/>
                <w:szCs w:val="21"/>
              </w:rPr>
            </w:pPr>
          </w:p>
        </w:tc>
      </w:tr>
      <w:tr>
        <w:tblPrEx>
          <w:tblCellMar>
            <w:top w:w="0" w:type="dxa"/>
            <w:left w:w="108" w:type="dxa"/>
            <w:bottom w:w="0" w:type="dxa"/>
            <w:right w:w="108" w:type="dxa"/>
          </w:tblCellMar>
        </w:tblPrEx>
        <w:trPr>
          <w:trHeight w:val="80" w:hRule="atLeast"/>
        </w:trPr>
        <w:tc>
          <w:tcPr>
            <w:tcW w:w="8213" w:type="dxa"/>
            <w:vAlign w:val="center"/>
          </w:tcPr>
          <w:p>
            <w:pPr>
              <w:topLinePunct/>
              <w:spacing w:line="420" w:lineRule="exact"/>
              <w:ind w:firstLine="420" w:firstLineChars="200"/>
              <w:rPr>
                <w:rFonts w:hint="default" w:eastAsia="宋体"/>
                <w:lang w:val="en-US" w:eastAsia="zh-CN"/>
              </w:rPr>
            </w:pPr>
            <w:r>
              <w:rPr>
                <w:rFonts w:hint="eastAsia" w:ascii="宋体" w:hAnsi="宋体" w:cs="宋体"/>
                <w:szCs w:val="21"/>
              </w:rPr>
              <w:t>电 话：</w:t>
            </w:r>
            <w:r>
              <w:rPr>
                <w:rFonts w:hint="eastAsia" w:ascii="宋体" w:hAnsi="宋体" w:cs="宋体"/>
                <w:szCs w:val="21"/>
                <w:lang w:val="en-US" w:eastAsia="zh-CN"/>
              </w:rPr>
              <w:t>13527396256</w:t>
            </w:r>
          </w:p>
        </w:tc>
        <w:tc>
          <w:tcPr>
            <w:tcW w:w="1415" w:type="dxa"/>
            <w:vAlign w:val="center"/>
          </w:tcPr>
          <w:p>
            <w:pPr>
              <w:spacing w:line="400" w:lineRule="exact"/>
              <w:ind w:firstLine="420" w:firstLineChars="200"/>
              <w:rPr>
                <w:rFonts w:ascii="宋体" w:hAnsi="宋体" w:cs="宋体"/>
                <w:szCs w:val="21"/>
              </w:rPr>
            </w:pPr>
          </w:p>
        </w:tc>
      </w:tr>
    </w:tbl>
    <w:p/>
    <w:p>
      <w:pPr>
        <w:pStyle w:val="27"/>
      </w:pPr>
    </w:p>
    <w:p/>
    <w:p>
      <w:pPr>
        <w:pStyle w:val="27"/>
      </w:pPr>
    </w:p>
    <w:p/>
    <w:p>
      <w:pPr>
        <w:pStyle w:val="27"/>
      </w:pPr>
    </w:p>
    <w:p/>
    <w:p>
      <w:pPr>
        <w:pStyle w:val="27"/>
      </w:pPr>
    </w:p>
    <w:p/>
    <w:bookmarkEnd w:id="16"/>
    <w:bookmarkEnd w:id="17"/>
    <w:p>
      <w:pPr>
        <w:pStyle w:val="3"/>
        <w:spacing w:before="0" w:after="0" w:line="360" w:lineRule="auto"/>
        <w:jc w:val="center"/>
        <w:rPr>
          <w:rFonts w:ascii="宋体" w:hAnsi="宋体" w:cs="宋体"/>
        </w:rPr>
      </w:pPr>
      <w:bookmarkStart w:id="97" w:name="_Toc144974495"/>
      <w:bookmarkStart w:id="98" w:name="_Toc246996173"/>
      <w:bookmarkStart w:id="99" w:name="_Toc2000405"/>
      <w:bookmarkStart w:id="100" w:name="_Toc179632544"/>
      <w:bookmarkStart w:id="101" w:name="_Toc152045527"/>
      <w:bookmarkStart w:id="102" w:name="_Toc152042303"/>
      <w:bookmarkStart w:id="103" w:name="_Toc247085687"/>
      <w:bookmarkStart w:id="104" w:name="_Toc246996916"/>
      <w:bookmarkStart w:id="105" w:name="_Toc507319898"/>
      <w:r>
        <w:rPr>
          <w:rFonts w:hint="eastAsia" w:ascii="宋体" w:hAnsi="宋体" w:cs="宋体"/>
        </w:rPr>
        <w:br w:type="page"/>
      </w:r>
      <w:bookmarkStart w:id="106" w:name="_Toc17485"/>
      <w:r>
        <w:rPr>
          <w:rFonts w:hint="eastAsia" w:ascii="宋体" w:hAnsi="宋体" w:cs="宋体"/>
        </w:rPr>
        <w:t>第二章 报价人须知</w:t>
      </w:r>
      <w:bookmarkEnd w:id="97"/>
      <w:bookmarkEnd w:id="98"/>
      <w:bookmarkEnd w:id="99"/>
      <w:bookmarkEnd w:id="100"/>
      <w:bookmarkEnd w:id="101"/>
      <w:bookmarkEnd w:id="102"/>
      <w:bookmarkEnd w:id="103"/>
      <w:bookmarkEnd w:id="104"/>
      <w:bookmarkEnd w:id="105"/>
      <w:bookmarkEnd w:id="106"/>
    </w:p>
    <w:p/>
    <w:tbl>
      <w:tblPr>
        <w:tblStyle w:val="40"/>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697" w:type="dxa"/>
            <w:vAlign w:val="center"/>
          </w:tcPr>
          <w:p>
            <w:pPr>
              <w:spacing w:line="400" w:lineRule="exact"/>
              <w:jc w:val="center"/>
              <w:rPr>
                <w:rFonts w:ascii="宋体" w:hAnsi="宋体" w:cs="宋体"/>
                <w:b/>
                <w:kern w:val="0"/>
                <w:szCs w:val="21"/>
              </w:rPr>
            </w:pPr>
            <w:bookmarkStart w:id="107" w:name="_Toc326760840"/>
            <w:r>
              <w:rPr>
                <w:rFonts w:hint="eastAsia" w:ascii="宋体" w:hAnsi="宋体" w:cs="宋体"/>
                <w:b/>
                <w:kern w:val="0"/>
                <w:szCs w:val="21"/>
              </w:rPr>
              <w:t>序号</w:t>
            </w:r>
          </w:p>
        </w:tc>
        <w:tc>
          <w:tcPr>
            <w:tcW w:w="2106" w:type="dxa"/>
            <w:vAlign w:val="center"/>
          </w:tcPr>
          <w:p>
            <w:pPr>
              <w:spacing w:line="400" w:lineRule="exact"/>
              <w:jc w:val="center"/>
              <w:rPr>
                <w:rFonts w:ascii="宋体" w:hAnsi="宋体" w:cs="宋体"/>
                <w:b/>
                <w:kern w:val="0"/>
                <w:szCs w:val="21"/>
              </w:rPr>
            </w:pPr>
            <w:r>
              <w:rPr>
                <w:rFonts w:hint="eastAsia" w:ascii="宋体" w:hAnsi="宋体" w:cs="宋体"/>
                <w:b/>
                <w:kern w:val="0"/>
                <w:szCs w:val="21"/>
              </w:rPr>
              <w:t>条款名称</w:t>
            </w:r>
          </w:p>
        </w:tc>
        <w:tc>
          <w:tcPr>
            <w:tcW w:w="7104" w:type="dxa"/>
            <w:vAlign w:val="center"/>
          </w:tcPr>
          <w:p>
            <w:pPr>
              <w:spacing w:line="400" w:lineRule="exact"/>
              <w:ind w:firstLine="422" w:firstLineChars="200"/>
              <w:jc w:val="center"/>
              <w:rPr>
                <w:rFonts w:ascii="宋体" w:hAnsi="宋体" w:cs="宋体"/>
                <w:b/>
                <w:kern w:val="0"/>
                <w:szCs w:val="21"/>
              </w:rPr>
            </w:pPr>
            <w:r>
              <w:rPr>
                <w:rFonts w:hint="eastAsia" w:ascii="宋体" w:hAnsi="宋体" w:cs="宋体"/>
                <w:b/>
                <w:kern w:val="0"/>
                <w:szCs w:val="21"/>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采购人</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采购人：重庆首讯科技股份有限公司</w:t>
            </w:r>
          </w:p>
          <w:p>
            <w:pPr>
              <w:spacing w:line="400" w:lineRule="exact"/>
              <w:ind w:firstLine="420" w:firstLineChars="200"/>
              <w:rPr>
                <w:rFonts w:ascii="宋体" w:hAnsi="宋体" w:cs="宋体"/>
                <w:szCs w:val="21"/>
              </w:rPr>
            </w:pPr>
            <w:r>
              <w:rPr>
                <w:rFonts w:hint="eastAsia" w:ascii="宋体" w:hAnsi="宋体" w:cs="宋体"/>
                <w:szCs w:val="21"/>
              </w:rPr>
              <w:t>地  址：重庆市南岸区四公里内环入口高速集团首讯科技大楼</w:t>
            </w:r>
          </w:p>
          <w:p>
            <w:pPr>
              <w:spacing w:line="400" w:lineRule="exact"/>
              <w:ind w:firstLine="420" w:firstLineChars="200"/>
              <w:rPr>
                <w:rFonts w:hint="eastAsia" w:ascii="宋体" w:hAnsi="宋体" w:eastAsia="宋体" w:cs="宋体"/>
                <w:szCs w:val="21"/>
                <w:lang w:eastAsia="zh-CN"/>
              </w:rPr>
            </w:pPr>
            <w:r>
              <w:rPr>
                <w:rFonts w:hint="eastAsia" w:ascii="宋体" w:hAnsi="宋体" w:cs="宋体"/>
                <w:szCs w:val="21"/>
              </w:rPr>
              <w:t>联系人：</w:t>
            </w:r>
            <w:r>
              <w:rPr>
                <w:rFonts w:hint="eastAsia" w:ascii="宋体" w:hAnsi="宋体" w:cs="宋体"/>
                <w:szCs w:val="21"/>
                <w:lang w:val="en-US" w:eastAsia="zh-CN"/>
              </w:rPr>
              <w:t>邵林杰</w:t>
            </w:r>
          </w:p>
          <w:p>
            <w:pPr>
              <w:spacing w:line="400" w:lineRule="exact"/>
              <w:ind w:firstLine="420" w:firstLineChars="200"/>
              <w:rPr>
                <w:rFonts w:hint="default" w:eastAsia="宋体"/>
                <w:lang w:val="en-US" w:eastAsia="zh-CN"/>
              </w:rPr>
            </w:pPr>
            <w:r>
              <w:rPr>
                <w:rFonts w:hint="eastAsia" w:ascii="宋体" w:hAnsi="宋体" w:cs="宋体"/>
                <w:szCs w:val="21"/>
              </w:rPr>
              <w:t>电  话：</w:t>
            </w:r>
            <w:r>
              <w:rPr>
                <w:rFonts w:hint="eastAsia" w:ascii="宋体" w:hAnsi="宋体" w:cs="宋体"/>
                <w:szCs w:val="21"/>
                <w:lang w:val="en-US" w:eastAsia="zh-CN"/>
              </w:rPr>
              <w:t>13527396256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2</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项目名称</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中西部、东南部车行及人行横通门采购及安装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3</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项目地点</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4</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资金来源</w:t>
            </w:r>
          </w:p>
        </w:tc>
        <w:tc>
          <w:tcPr>
            <w:tcW w:w="7104" w:type="dxa"/>
            <w:vAlign w:val="center"/>
          </w:tcPr>
          <w:p>
            <w:pPr>
              <w:spacing w:line="400" w:lineRule="exact"/>
              <w:ind w:firstLine="420" w:firstLineChars="200"/>
              <w:rPr>
                <w:rFonts w:ascii="宋体" w:hAnsi="宋体" w:cs="宋体"/>
                <w:szCs w:val="21"/>
              </w:rPr>
            </w:pPr>
            <w:r>
              <w:rPr>
                <w:rFonts w:hint="eastAsia" w:ascii="宋体" w:hAnsi="宋体"/>
                <w:kern w:val="0"/>
                <w:szCs w:val="21"/>
              </w:rPr>
              <w:t>重庆高速集团专项</w:t>
            </w:r>
            <w:r>
              <w:rPr>
                <w:rFonts w:ascii="宋体" w:hAnsi="宋体"/>
                <w:kern w:val="0"/>
                <w:szCs w:val="21"/>
              </w:rPr>
              <w:t>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5</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出资比例</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业主100%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6</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资金落实情况</w:t>
            </w:r>
          </w:p>
        </w:tc>
        <w:tc>
          <w:tcPr>
            <w:tcW w:w="7104" w:type="dxa"/>
            <w:vAlign w:val="center"/>
          </w:tcPr>
          <w:p>
            <w:pPr>
              <w:autoSpaceDE w:val="0"/>
              <w:autoSpaceDN w:val="0"/>
              <w:adjustRightInd w:val="0"/>
              <w:spacing w:line="400" w:lineRule="exact"/>
              <w:ind w:firstLine="420" w:firstLineChars="200"/>
              <w:rPr>
                <w:rFonts w:ascii="宋体" w:hAnsi="宋体" w:cs="宋体"/>
                <w:szCs w:val="21"/>
              </w:rPr>
            </w:pPr>
            <w:r>
              <w:rPr>
                <w:rFonts w:hint="eastAsia" w:ascii="宋体" w:hAnsi="宋体" w:cs="宋体"/>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7</w:t>
            </w:r>
          </w:p>
        </w:tc>
        <w:tc>
          <w:tcPr>
            <w:tcW w:w="2106" w:type="dxa"/>
            <w:vAlign w:val="center"/>
          </w:tcPr>
          <w:p>
            <w:pPr>
              <w:spacing w:line="400" w:lineRule="exact"/>
              <w:jc w:val="center"/>
              <w:rPr>
                <w:rFonts w:ascii="宋体" w:hAnsi="宋体" w:cs="宋体"/>
                <w:szCs w:val="21"/>
              </w:rPr>
            </w:pPr>
            <w:r>
              <w:rPr>
                <w:rFonts w:hint="eastAsia" w:ascii="宋体" w:hAnsi="宋体" w:cs="宋体"/>
                <w:szCs w:val="21"/>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8</w:t>
            </w:r>
          </w:p>
        </w:tc>
        <w:tc>
          <w:tcPr>
            <w:tcW w:w="2106" w:type="dxa"/>
            <w:vAlign w:val="center"/>
          </w:tcPr>
          <w:p>
            <w:pPr>
              <w:spacing w:line="400" w:lineRule="exact"/>
              <w:jc w:val="center"/>
              <w:rPr>
                <w:rFonts w:ascii="宋体" w:hAnsi="宋体" w:cs="宋体"/>
                <w:szCs w:val="21"/>
              </w:rPr>
            </w:pPr>
            <w:r>
              <w:rPr>
                <w:rFonts w:hint="eastAsia" w:ascii="宋体" w:hAnsi="宋体" w:cs="宋体"/>
                <w:kern w:val="0"/>
                <w:szCs w:val="21"/>
              </w:rPr>
              <w:t>交货期</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ascii="宋体" w:hAnsi="宋体" w:cs="宋体"/>
                <w:kern w:val="10"/>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9</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交货地点</w:t>
            </w:r>
          </w:p>
        </w:tc>
        <w:tc>
          <w:tcPr>
            <w:tcW w:w="7104" w:type="dxa"/>
          </w:tcPr>
          <w:p>
            <w:pPr>
              <w:spacing w:line="400" w:lineRule="exact"/>
              <w:ind w:firstLine="420" w:firstLineChars="200"/>
              <w:rPr>
                <w:rFonts w:ascii="宋体" w:hAnsi="宋体" w:cs="宋体"/>
                <w:kern w:val="0"/>
                <w:szCs w:val="21"/>
              </w:rPr>
            </w:pPr>
            <w:r>
              <w:rPr>
                <w:rFonts w:hint="eastAsia" w:ascii="宋体" w:hAnsi="宋体" w:cs="宋体"/>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10</w:t>
            </w:r>
          </w:p>
        </w:tc>
        <w:tc>
          <w:tcPr>
            <w:tcW w:w="2106" w:type="dxa"/>
            <w:vAlign w:val="center"/>
          </w:tcPr>
          <w:p>
            <w:pPr>
              <w:spacing w:line="400" w:lineRule="exact"/>
              <w:jc w:val="center"/>
              <w:rPr>
                <w:rFonts w:ascii="宋体" w:hAnsi="宋体" w:cs="宋体"/>
                <w:kern w:val="0"/>
                <w:szCs w:val="21"/>
              </w:rPr>
            </w:pPr>
            <w:r>
              <w:rPr>
                <w:rFonts w:hint="eastAsia" w:ascii="宋体" w:hAnsi="宋体"/>
                <w:szCs w:val="21"/>
              </w:rPr>
              <w:t>技术</w:t>
            </w:r>
            <w:r>
              <w:rPr>
                <w:rFonts w:ascii="宋体" w:hAnsi="宋体"/>
                <w:szCs w:val="21"/>
              </w:rPr>
              <w:t>性能指标</w:t>
            </w:r>
          </w:p>
        </w:tc>
        <w:tc>
          <w:tcPr>
            <w:tcW w:w="7104" w:type="dxa"/>
          </w:tcPr>
          <w:p>
            <w:pPr>
              <w:spacing w:line="400" w:lineRule="exact"/>
              <w:ind w:firstLine="420" w:firstLineChars="200"/>
              <w:rPr>
                <w:rFonts w:ascii="宋体" w:hAnsi="宋体" w:cs="宋体"/>
                <w:szCs w:val="21"/>
              </w:rPr>
            </w:pPr>
            <w:r>
              <w:rPr>
                <w:rFonts w:hint="eastAsia" w:ascii="宋体" w:hAnsi="宋体" w:cs="宋体"/>
                <w:szCs w:val="21"/>
              </w:rPr>
              <w:t>达到国家和地方现行有关质量标准和比选文件第七章技术标准和工作要求，并且一次性验收合格，缺陷责任期为</w:t>
            </w:r>
            <w:r>
              <w:rPr>
                <w:rFonts w:ascii="宋体" w:hAnsi="宋体" w:cs="宋体"/>
                <w:szCs w:val="21"/>
              </w:rPr>
              <w:t>60</w:t>
            </w:r>
            <w:r>
              <w:rPr>
                <w:rFonts w:hint="eastAsia" w:ascii="宋体" w:hAnsi="宋体" w:cs="宋体"/>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11</w:t>
            </w:r>
          </w:p>
        </w:tc>
        <w:tc>
          <w:tcPr>
            <w:tcW w:w="2106" w:type="dxa"/>
            <w:vAlign w:val="center"/>
          </w:tcPr>
          <w:p>
            <w:pPr>
              <w:spacing w:line="400" w:lineRule="exact"/>
              <w:jc w:val="center"/>
              <w:rPr>
                <w:rFonts w:ascii="宋体" w:hAnsi="宋体" w:cs="宋体"/>
                <w:kern w:val="0"/>
                <w:szCs w:val="21"/>
              </w:rPr>
            </w:pPr>
            <w:r>
              <w:rPr>
                <w:rFonts w:hint="eastAsia" w:ascii="宋体" w:hAnsi="宋体" w:cs="宋体"/>
                <w:szCs w:val="21"/>
              </w:rPr>
              <w:t>报价人资质条件、能力与信誉</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szCs w:val="21"/>
              </w:rPr>
              <w:t>（1）资质条件：见附录1</w:t>
            </w:r>
          </w:p>
          <w:p>
            <w:pPr>
              <w:spacing w:line="400" w:lineRule="exact"/>
              <w:ind w:firstLine="420" w:firstLineChars="200"/>
              <w:rPr>
                <w:rFonts w:ascii="宋体" w:hAnsi="宋体" w:cs="宋体"/>
                <w:szCs w:val="21"/>
              </w:rPr>
            </w:pPr>
            <w:r>
              <w:rPr>
                <w:rFonts w:hint="eastAsia" w:ascii="宋体" w:hAnsi="宋体" w:cs="宋体"/>
                <w:szCs w:val="21"/>
              </w:rPr>
              <w:t>（2）财务要求：见附录2</w:t>
            </w:r>
          </w:p>
          <w:p>
            <w:pPr>
              <w:spacing w:line="400" w:lineRule="exact"/>
              <w:ind w:firstLine="420" w:firstLineChars="200"/>
              <w:rPr>
                <w:rFonts w:ascii="宋体" w:hAnsi="宋体" w:cs="宋体"/>
                <w:szCs w:val="21"/>
              </w:rPr>
            </w:pPr>
            <w:r>
              <w:rPr>
                <w:rFonts w:hint="eastAsia" w:ascii="宋体" w:hAnsi="宋体" w:cs="宋体"/>
                <w:szCs w:val="21"/>
              </w:rPr>
              <w:t>（3）业绩要求：见附录3</w:t>
            </w:r>
          </w:p>
          <w:p>
            <w:pPr>
              <w:spacing w:line="400" w:lineRule="exact"/>
              <w:ind w:firstLine="420" w:firstLineChars="200"/>
              <w:rPr>
                <w:rFonts w:ascii="宋体" w:hAnsi="宋体" w:cs="宋体"/>
                <w:szCs w:val="21"/>
              </w:rPr>
            </w:pPr>
            <w:r>
              <w:rPr>
                <w:rFonts w:hint="eastAsia" w:ascii="宋体" w:hAnsi="宋体" w:cs="宋体"/>
                <w:szCs w:val="21"/>
              </w:rPr>
              <w:t>（4）信誉要求：见附录4</w:t>
            </w:r>
          </w:p>
          <w:p>
            <w:pPr>
              <w:spacing w:line="400" w:lineRule="exact"/>
              <w:ind w:firstLine="420" w:firstLineChars="200"/>
              <w:rPr>
                <w:rFonts w:ascii="宋体" w:hAnsi="宋体" w:cs="宋体"/>
                <w:szCs w:val="21"/>
              </w:rPr>
            </w:pPr>
            <w:r>
              <w:rPr>
                <w:rFonts w:hint="eastAsia" w:ascii="宋体" w:hAnsi="宋体" w:cs="宋体"/>
                <w:szCs w:val="21"/>
              </w:rPr>
              <w:t>（5）设备安装要求：见附录5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12</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是否接受</w:t>
            </w:r>
          </w:p>
          <w:p>
            <w:pPr>
              <w:spacing w:line="400" w:lineRule="exact"/>
              <w:jc w:val="center"/>
              <w:rPr>
                <w:rFonts w:ascii="宋体" w:hAnsi="宋体" w:cs="宋体"/>
                <w:kern w:val="0"/>
                <w:szCs w:val="21"/>
              </w:rPr>
            </w:pPr>
            <w:r>
              <w:rPr>
                <w:rFonts w:hint="eastAsia" w:ascii="宋体" w:hAnsi="宋体" w:cs="宋体"/>
                <w:kern w:val="0"/>
                <w:szCs w:val="21"/>
              </w:rPr>
              <w:t>联合体报价</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13</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踏勘现场</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kern w:val="0"/>
                <w:szCs w:val="21"/>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14</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分包</w:t>
            </w:r>
          </w:p>
        </w:tc>
        <w:tc>
          <w:tcPr>
            <w:tcW w:w="7104" w:type="dxa"/>
            <w:vAlign w:val="center"/>
          </w:tcPr>
          <w:p>
            <w:pPr>
              <w:spacing w:line="400" w:lineRule="exact"/>
              <w:ind w:firstLine="420" w:firstLineChars="200"/>
              <w:rPr>
                <w:rFonts w:ascii="宋体" w:hAnsi="宋体" w:cs="宋体"/>
                <w:kern w:val="0"/>
                <w:szCs w:val="21"/>
              </w:rPr>
            </w:pPr>
            <w:r>
              <w:rPr>
                <w:rFonts w:hint="eastAsia" w:ascii="宋体" w:hAnsi="宋体" w:cs="宋体"/>
                <w:b w:val="0"/>
                <w:bCs w:val="0"/>
                <w:caps w:val="0"/>
                <w:sz w:val="21"/>
                <w:szCs w:val="24"/>
              </w:rPr>
              <w:t>设备的安装</w:t>
            </w:r>
            <w:r>
              <w:rPr>
                <w:rFonts w:hint="eastAsia" w:ascii="宋体" w:hAnsi="宋体" w:cs="宋体"/>
                <w:b w:val="0"/>
                <w:bCs w:val="0"/>
                <w:caps w:val="0"/>
                <w:sz w:val="21"/>
                <w:szCs w:val="24"/>
                <w:lang w:val="en-US" w:eastAsia="zh-CN"/>
              </w:rPr>
              <w:t>允许</w:t>
            </w:r>
            <w:r>
              <w:rPr>
                <w:rFonts w:hint="eastAsia" w:ascii="宋体" w:hAnsi="宋体" w:cs="宋体"/>
                <w:b w:val="0"/>
                <w:bCs w:val="0"/>
                <w:caps w:val="0"/>
                <w:sz w:val="21"/>
                <w:szCs w:val="24"/>
              </w:rPr>
              <w:t>进行专业分包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15</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偏差</w:t>
            </w:r>
          </w:p>
        </w:tc>
        <w:tc>
          <w:tcPr>
            <w:tcW w:w="7104" w:type="dxa"/>
            <w:vAlign w:val="center"/>
          </w:tcPr>
          <w:p>
            <w:pPr>
              <w:spacing w:line="400" w:lineRule="exact"/>
              <w:ind w:firstLine="422" w:firstLineChars="200"/>
              <w:rPr>
                <w:rFonts w:ascii="宋体" w:hAnsi="宋体" w:cs="宋体"/>
                <w:kern w:val="0"/>
                <w:szCs w:val="21"/>
              </w:rPr>
            </w:pPr>
            <w:r>
              <w:rPr>
                <w:rFonts w:hint="eastAsia" w:ascii="宋体" w:hAnsi="宋体" w:cs="宋体"/>
                <w:b/>
                <w:kern w:val="0"/>
                <w:szCs w:val="21"/>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16</w:t>
            </w:r>
          </w:p>
        </w:tc>
        <w:tc>
          <w:tcPr>
            <w:tcW w:w="2106" w:type="dxa"/>
            <w:vAlign w:val="center"/>
          </w:tcPr>
          <w:p>
            <w:pPr>
              <w:spacing w:line="440" w:lineRule="exact"/>
              <w:jc w:val="center"/>
              <w:rPr>
                <w:rFonts w:ascii="宋体" w:hAnsi="宋体" w:cs="宋体"/>
                <w:kern w:val="0"/>
                <w:szCs w:val="21"/>
              </w:rPr>
            </w:pPr>
            <w:r>
              <w:rPr>
                <w:rFonts w:hint="eastAsia" w:ascii="宋体" w:hAnsi="宋体" w:cs="宋体"/>
                <w:bCs/>
                <w:szCs w:val="21"/>
              </w:rPr>
              <w:t>构成比选文件的其他材料</w:t>
            </w:r>
          </w:p>
        </w:tc>
        <w:tc>
          <w:tcPr>
            <w:tcW w:w="7104" w:type="dxa"/>
            <w:vAlign w:val="center"/>
          </w:tcPr>
          <w:p>
            <w:pPr>
              <w:spacing w:line="440" w:lineRule="exact"/>
              <w:ind w:firstLine="420" w:firstLineChars="200"/>
              <w:rPr>
                <w:rFonts w:ascii="宋体" w:hAnsi="宋体" w:cs="宋体"/>
                <w:szCs w:val="21"/>
              </w:rPr>
            </w:pPr>
            <w:r>
              <w:rPr>
                <w:rFonts w:hint="eastAsia" w:ascii="宋体" w:hAnsi="宋体" w:cs="宋体"/>
                <w:szCs w:val="21"/>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697" w:type="dxa"/>
            <w:vAlign w:val="center"/>
          </w:tcPr>
          <w:p>
            <w:pPr>
              <w:spacing w:line="400" w:lineRule="exact"/>
              <w:jc w:val="center"/>
              <w:rPr>
                <w:rFonts w:ascii="宋体" w:hAnsi="宋体" w:cs="宋体"/>
                <w:kern w:val="0"/>
                <w:szCs w:val="21"/>
              </w:rPr>
            </w:pPr>
            <w:bookmarkStart w:id="108" w:name="_Hlt227984024"/>
            <w:bookmarkEnd w:id="108"/>
            <w:r>
              <w:rPr>
                <w:rFonts w:hint="eastAsia" w:ascii="宋体" w:hAnsi="宋体" w:cs="宋体"/>
                <w:kern w:val="0"/>
                <w:szCs w:val="21"/>
              </w:rPr>
              <w:t>17</w:t>
            </w:r>
          </w:p>
        </w:tc>
        <w:tc>
          <w:tcPr>
            <w:tcW w:w="2106" w:type="dxa"/>
            <w:vAlign w:val="center"/>
          </w:tcPr>
          <w:p>
            <w:pPr>
              <w:spacing w:line="400" w:lineRule="exact"/>
              <w:jc w:val="center"/>
              <w:rPr>
                <w:rFonts w:ascii="宋体" w:hAnsi="宋体" w:cs="宋体"/>
                <w:szCs w:val="21"/>
              </w:rPr>
            </w:pPr>
            <w:r>
              <w:rPr>
                <w:rFonts w:hint="eastAsia" w:ascii="宋体" w:hAnsi="宋体" w:cs="宋体"/>
                <w:szCs w:val="21"/>
              </w:rPr>
              <w:t>构成竞争性比选响应文件的其他材料</w:t>
            </w:r>
          </w:p>
        </w:tc>
        <w:tc>
          <w:tcPr>
            <w:tcW w:w="7104" w:type="dxa"/>
            <w:vAlign w:val="center"/>
          </w:tcPr>
          <w:p>
            <w:pPr>
              <w:pStyle w:val="146"/>
              <w:spacing w:before="72" w:line="400" w:lineRule="exact"/>
              <w:ind w:firstLine="420" w:firstLineChars="200"/>
              <w:jc w:val="both"/>
              <w:rPr>
                <w:rFonts w:hAnsi="宋体"/>
                <w:color w:val="auto"/>
                <w:sz w:val="21"/>
                <w:szCs w:val="21"/>
              </w:rPr>
            </w:pPr>
            <w:r>
              <w:rPr>
                <w:rFonts w:hint="eastAsia" w:hAnsi="宋体"/>
                <w:color w:val="auto"/>
                <w:sz w:val="21"/>
                <w:szCs w:val="21"/>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18</w:t>
            </w:r>
          </w:p>
        </w:tc>
        <w:tc>
          <w:tcPr>
            <w:tcW w:w="2106" w:type="dxa"/>
            <w:tcBorders>
              <w:bottom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工程量清单的填写方式</w:t>
            </w:r>
          </w:p>
        </w:tc>
        <w:tc>
          <w:tcPr>
            <w:tcW w:w="7104" w:type="dxa"/>
            <w:tcBorders>
              <w:bottom w:val="single" w:color="auto" w:sz="4" w:space="0"/>
            </w:tcBorders>
          </w:tcPr>
          <w:p>
            <w:pPr>
              <w:spacing w:line="400" w:lineRule="exact"/>
              <w:ind w:firstLine="420" w:firstLineChars="200"/>
              <w:jc w:val="left"/>
              <w:rPr>
                <w:rFonts w:ascii="宋体" w:hAnsi="宋体" w:cs="宋体"/>
                <w:szCs w:val="21"/>
              </w:rPr>
            </w:pPr>
            <w:r>
              <w:rPr>
                <w:rFonts w:hint="eastAsia" w:ascii="宋体" w:hAnsi="宋体" w:cs="宋体"/>
              </w:rPr>
              <w:t>报价人按照采购人提供的工程量清单填写工程量清单</w:t>
            </w:r>
          </w:p>
          <w:p>
            <w:pPr>
              <w:spacing w:line="400" w:lineRule="exact"/>
              <w:ind w:firstLine="422" w:firstLineChars="200"/>
              <w:rPr>
                <w:rFonts w:ascii="宋体" w:hAnsi="宋体" w:cs="宋体"/>
                <w:b/>
                <w:szCs w:val="21"/>
              </w:rPr>
            </w:pPr>
            <w:r>
              <w:rPr>
                <w:rFonts w:hint="eastAsia" w:ascii="宋体" w:hAnsi="宋体" w:cs="宋体"/>
                <w:b/>
                <w:szCs w:val="21"/>
              </w:rPr>
              <w:t>综合单价取小数点后两位，小数点后第三位四舍五入。</w:t>
            </w:r>
          </w:p>
          <w:p>
            <w:pPr>
              <w:spacing w:line="400" w:lineRule="exact"/>
              <w:ind w:firstLine="422" w:firstLineChars="200"/>
              <w:rPr>
                <w:rFonts w:ascii="宋体" w:hAnsi="宋体" w:cs="宋体"/>
                <w:szCs w:val="21"/>
              </w:rPr>
            </w:pPr>
            <w:r>
              <w:rPr>
                <w:rFonts w:hint="eastAsia" w:ascii="宋体" w:hAnsi="宋体" w:cs="宋体"/>
                <w:b/>
                <w:bCs/>
                <w:szCs w:val="21"/>
              </w:rPr>
              <w:t>本项目工程量清单及说明随比选文件一并发布，详见附件。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19</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最高投标限价</w:t>
            </w:r>
          </w:p>
        </w:tc>
        <w:tc>
          <w:tcPr>
            <w:tcW w:w="7104" w:type="dxa"/>
            <w:tcBorders>
              <w:bottom w:val="single" w:color="auto" w:sz="4" w:space="0"/>
            </w:tcBorders>
          </w:tcPr>
          <w:p>
            <w:pPr>
              <w:spacing w:line="400" w:lineRule="exact"/>
              <w:ind w:firstLine="422" w:firstLineChars="200"/>
              <w:rPr>
                <w:rFonts w:hint="eastAsia" w:ascii="宋体" w:hAnsi="宋体" w:eastAsia="宋体"/>
                <w:szCs w:val="21"/>
                <w:lang w:eastAsia="zh-CN"/>
              </w:rPr>
            </w:pPr>
            <w:r>
              <w:rPr>
                <w:rFonts w:hint="eastAsia" w:ascii="宋体" w:hAnsi="宋体"/>
                <w:b/>
                <w:bCs/>
                <w:szCs w:val="21"/>
              </w:rPr>
              <w:t>本项目</w:t>
            </w:r>
            <w:r>
              <w:rPr>
                <w:rFonts w:hint="eastAsia" w:ascii="宋体" w:hAnsi="宋体"/>
                <w:b/>
                <w:bCs/>
                <w:szCs w:val="21"/>
                <w:lang w:val="en-US" w:eastAsia="zh-CN"/>
              </w:rPr>
              <w:t>总价</w:t>
            </w:r>
            <w:r>
              <w:rPr>
                <w:rFonts w:hint="eastAsia" w:ascii="宋体" w:hAnsi="宋体"/>
                <w:b/>
                <w:bCs/>
                <w:szCs w:val="21"/>
              </w:rPr>
              <w:t>最高限价</w:t>
            </w:r>
            <w:r>
              <w:rPr>
                <w:rFonts w:hint="eastAsia" w:ascii="宋体" w:hAnsi="宋体"/>
                <w:b/>
                <w:bCs/>
                <w:szCs w:val="21"/>
                <w:u w:val="single"/>
              </w:rPr>
              <w:t>967675</w:t>
            </w:r>
            <w:r>
              <w:rPr>
                <w:rFonts w:ascii="宋体" w:hAnsi="宋体"/>
                <w:b/>
                <w:bCs/>
                <w:szCs w:val="21"/>
                <w:u w:val="single"/>
              </w:rPr>
              <w:t>.00</w:t>
            </w:r>
            <w:r>
              <w:rPr>
                <w:rFonts w:hint="eastAsia" w:ascii="宋体" w:hAnsi="宋体"/>
                <w:b/>
                <w:bCs/>
                <w:szCs w:val="21"/>
              </w:rPr>
              <w:t>元</w:t>
            </w:r>
            <w:r>
              <w:rPr>
                <w:rFonts w:hint="eastAsia" w:ascii="宋体" w:hAnsi="宋体"/>
                <w:b/>
                <w:bCs/>
                <w:szCs w:val="21"/>
                <w:lang w:eastAsia="zh-CN"/>
              </w:rPr>
              <w:t>，其中中西部项目</w:t>
            </w:r>
            <w:r>
              <w:rPr>
                <w:rFonts w:hint="eastAsia" w:ascii="宋体" w:hAnsi="宋体"/>
                <w:b/>
                <w:bCs/>
                <w:szCs w:val="21"/>
                <w:lang w:val="en-US" w:eastAsia="zh-CN"/>
              </w:rPr>
              <w:t>合计</w:t>
            </w:r>
            <w:r>
              <w:rPr>
                <w:rFonts w:hint="eastAsia" w:ascii="宋体" w:hAnsi="宋体"/>
                <w:b/>
                <w:bCs/>
                <w:szCs w:val="21"/>
                <w:lang w:eastAsia="zh-CN"/>
              </w:rPr>
              <w:t>最高限价为</w:t>
            </w:r>
            <w:r>
              <w:rPr>
                <w:rFonts w:hint="eastAsia" w:ascii="宋体" w:hAnsi="宋体"/>
                <w:b/>
                <w:bCs/>
                <w:szCs w:val="21"/>
                <w:u w:val="single"/>
                <w:lang w:eastAsia="zh-CN"/>
              </w:rPr>
              <w:t>438175</w:t>
            </w:r>
            <w:r>
              <w:rPr>
                <w:rFonts w:hint="eastAsia" w:ascii="宋体" w:hAnsi="宋体"/>
                <w:b/>
                <w:bCs/>
                <w:szCs w:val="21"/>
                <w:lang w:eastAsia="zh-CN"/>
              </w:rPr>
              <w:t>元，东南部项目</w:t>
            </w:r>
            <w:r>
              <w:rPr>
                <w:rFonts w:hint="eastAsia" w:ascii="宋体" w:hAnsi="宋体"/>
                <w:b/>
                <w:bCs/>
                <w:szCs w:val="21"/>
                <w:lang w:val="en-US" w:eastAsia="zh-CN"/>
              </w:rPr>
              <w:t>合计</w:t>
            </w:r>
            <w:r>
              <w:rPr>
                <w:rFonts w:hint="eastAsia" w:ascii="宋体" w:hAnsi="宋体"/>
                <w:b/>
                <w:bCs/>
                <w:szCs w:val="21"/>
                <w:lang w:eastAsia="zh-CN"/>
              </w:rPr>
              <w:t>最高限价为</w:t>
            </w:r>
            <w:r>
              <w:rPr>
                <w:rFonts w:hint="eastAsia" w:ascii="宋体" w:hAnsi="宋体"/>
                <w:b/>
                <w:bCs/>
                <w:szCs w:val="21"/>
                <w:u w:val="single"/>
                <w:lang w:eastAsia="zh-CN"/>
              </w:rPr>
              <w:t>529300</w:t>
            </w:r>
            <w:r>
              <w:rPr>
                <w:rFonts w:hint="eastAsia" w:ascii="宋体" w:hAnsi="宋体"/>
                <w:b/>
                <w:bCs/>
                <w:szCs w:val="21"/>
                <w:lang w:eastAsia="zh-CN"/>
              </w:rPr>
              <w:t>元。</w:t>
            </w:r>
          </w:p>
          <w:p>
            <w:pPr>
              <w:spacing w:line="400" w:lineRule="exact"/>
              <w:ind w:firstLine="422" w:firstLineChars="200"/>
              <w:rPr>
                <w:rFonts w:ascii="宋体" w:hAnsi="宋体" w:cs="宋体"/>
                <w:b/>
                <w:bCs/>
                <w:kern w:val="0"/>
                <w:szCs w:val="21"/>
              </w:rPr>
            </w:pPr>
            <w:r>
              <w:rPr>
                <w:rFonts w:hint="eastAsia" w:ascii="宋体" w:hAnsi="宋体" w:cs="宋体"/>
                <w:b/>
                <w:szCs w:val="21"/>
              </w:rPr>
              <w:t>报价人总价报价不得高于采购人发布的最高限价，否则其竞争性比选响应文件视为重大偏差，竞争性比选响应文件将按否决报价处理</w:t>
            </w:r>
            <w:r>
              <w:rPr>
                <w:rFonts w:hint="eastAsia" w:ascii="宋体" w:hAnsi="宋体" w:cs="宋体"/>
                <w:b/>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0</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履约担保</w:t>
            </w:r>
          </w:p>
        </w:tc>
        <w:tc>
          <w:tcPr>
            <w:tcW w:w="7104" w:type="dxa"/>
            <w:tcBorders>
              <w:bottom w:val="single" w:color="auto" w:sz="4" w:space="0"/>
            </w:tcBorders>
          </w:tcPr>
          <w:p>
            <w:pPr>
              <w:spacing w:line="400" w:lineRule="exact"/>
              <w:ind w:firstLine="422" w:firstLineChars="200"/>
              <w:rPr>
                <w:rFonts w:ascii="宋体" w:hAnsi="宋体"/>
                <w:b/>
                <w:bCs/>
                <w:szCs w:val="21"/>
              </w:rPr>
            </w:pPr>
            <w:r>
              <w:rPr>
                <w:rFonts w:hint="eastAsia" w:ascii="宋体" w:hAnsi="宋体"/>
                <w:b/>
                <w:bCs/>
                <w:szCs w:val="21"/>
              </w:rPr>
              <w:t>1担保形式：银行保函担保或现金转账。</w:t>
            </w:r>
          </w:p>
          <w:p>
            <w:pPr>
              <w:spacing w:line="400" w:lineRule="exact"/>
              <w:ind w:firstLine="422" w:firstLineChars="200"/>
              <w:rPr>
                <w:rFonts w:ascii="宋体" w:hAnsi="宋体"/>
                <w:b/>
                <w:bCs/>
                <w:szCs w:val="21"/>
              </w:rPr>
            </w:pPr>
            <w:r>
              <w:rPr>
                <w:rFonts w:hint="eastAsia" w:ascii="宋体" w:hAnsi="宋体"/>
                <w:b/>
                <w:bCs/>
                <w:szCs w:val="21"/>
              </w:rPr>
              <w:t>2担保金额：合同金额的10%，履约担保作为本合同附件。</w:t>
            </w:r>
          </w:p>
          <w:p>
            <w:pPr>
              <w:spacing w:line="400" w:lineRule="exact"/>
              <w:ind w:firstLine="422" w:firstLineChars="200"/>
              <w:rPr>
                <w:rFonts w:ascii="宋体" w:hAnsi="宋体"/>
                <w:b/>
                <w:bCs/>
                <w:szCs w:val="21"/>
              </w:rPr>
            </w:pPr>
            <w:r>
              <w:rPr>
                <w:rFonts w:hint="eastAsia" w:ascii="宋体" w:hAnsi="宋体"/>
                <w:b/>
                <w:bCs/>
                <w:szCs w:val="21"/>
              </w:rPr>
              <w:t>3履约担保的提交及退还：在甲方发出中标通知书后，合同签订前，乙方向甲方提供履约担保。履约保函或履约保证金在完成合同约定的全部工作内容后28天后自动失效或无息退还剩余部分。</w:t>
            </w:r>
          </w:p>
          <w:p>
            <w:pPr>
              <w:spacing w:line="400" w:lineRule="exact"/>
              <w:ind w:firstLine="422" w:firstLineChars="200"/>
              <w:rPr>
                <w:rFonts w:ascii="宋体" w:hAnsi="宋体"/>
                <w:b/>
                <w:bCs/>
                <w:szCs w:val="21"/>
              </w:rPr>
            </w:pPr>
            <w:r>
              <w:rPr>
                <w:rFonts w:hint="eastAsia" w:ascii="宋体" w:hAnsi="宋体"/>
                <w:b/>
                <w:bCs/>
                <w:szCs w:val="21"/>
              </w:rPr>
              <w:t>4履约担保有效期：自双方签订的合同文件生效之日起，至合同验收完成止。如果乙方出具的履约保函有效期早于合同约定的履约担保有效期，乙方应在保函到期1个月之前延长保函的有效期，否则甲方有权停止支付合同价格。</w:t>
            </w:r>
          </w:p>
          <w:p>
            <w:pPr>
              <w:spacing w:line="400" w:lineRule="exact"/>
              <w:ind w:firstLine="422" w:firstLineChars="200"/>
              <w:rPr>
                <w:rFonts w:ascii="宋体" w:hAnsi="宋体"/>
                <w:b/>
                <w:bCs/>
                <w:szCs w:val="21"/>
              </w:rPr>
            </w:pPr>
            <w:r>
              <w:rPr>
                <w:rFonts w:ascii="宋体" w:hAnsi="宋体"/>
                <w:b/>
                <w:bCs/>
                <w:szCs w:val="21"/>
              </w:rPr>
              <w:t>5</w:t>
            </w:r>
            <w:r>
              <w:rPr>
                <w:rFonts w:hint="eastAsia" w:ascii="宋体" w:hAnsi="宋体"/>
                <w:b/>
                <w:bCs/>
                <w:szCs w:val="21"/>
              </w:rPr>
              <w:t>甲方应在合同约定的履约担保有效期结束后28天内将履约担保退还乙方。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1</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合同支付办法</w:t>
            </w:r>
          </w:p>
        </w:tc>
        <w:tc>
          <w:tcPr>
            <w:tcW w:w="7104" w:type="dxa"/>
            <w:tcBorders>
              <w:bottom w:val="single" w:color="auto" w:sz="4" w:space="0"/>
            </w:tcBorders>
          </w:tcPr>
          <w:p>
            <w:pPr>
              <w:pStyle w:val="27"/>
              <w:ind w:firstLine="420" w:firstLineChars="200"/>
            </w:pPr>
            <w:r>
              <w:rPr>
                <w:rFonts w:hint="eastAsia" w:ascii="Times New Roman" w:hAnsi="Times New Roman"/>
                <w:b w:val="0"/>
                <w:bCs w:val="0"/>
                <w:caps w:val="0"/>
                <w:sz w:val="21"/>
                <w:szCs w:val="24"/>
              </w:rPr>
              <w:t>该项目采购安装完成经甲方验收合格后支付合同总价金额的97%；剩余的结算价款的3%作为质量保证金，缺陷责任期五年（从本工程竣（交）工验收合格之日起计算）届满后，由乙方主动提出书面申请，经甲方业务部门确认后，30个工作日内全额支付（质量保证金不计任何利息），若乙方未提出书面申请，则相应的延迟责任由乙方自行承担。</w:t>
            </w:r>
            <w:r>
              <w:rPr>
                <w:rFonts w:hint="eastAsia"/>
                <w:szCs w:val="21"/>
              </w:rPr>
              <w:t>注：卖方每次办理支付前须开具等额的税率13%的增值税专用发票给买方，否则买方不予支付。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2</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卖方人员的管理</w:t>
            </w:r>
          </w:p>
        </w:tc>
        <w:tc>
          <w:tcPr>
            <w:tcW w:w="7104" w:type="dxa"/>
            <w:tcBorders>
              <w:bottom w:val="single" w:color="auto" w:sz="4" w:space="0"/>
            </w:tcBorders>
          </w:tcPr>
          <w:p>
            <w:pPr>
              <w:spacing w:line="400" w:lineRule="exact"/>
              <w:ind w:firstLine="420" w:firstLineChars="200"/>
            </w:pPr>
            <w:r>
              <w:rPr>
                <w:rFonts w:hint="eastAsia"/>
              </w:rPr>
              <w:t>对卖方的管理要求如下：</w:t>
            </w:r>
          </w:p>
          <w:p>
            <w:pPr>
              <w:spacing w:line="400" w:lineRule="exact"/>
              <w:ind w:firstLine="420" w:firstLineChars="200"/>
            </w:pPr>
            <w:r>
              <w:rPr>
                <w:rFonts w:hint="eastAsia"/>
              </w:rPr>
              <w:t>安装人员进场工作前，需向买方递交本项目以上拟投入人员的个人身份信息、学历、职称、资质、保险等资料，由买方进行登记核备。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697"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3</w:t>
            </w:r>
          </w:p>
        </w:tc>
        <w:tc>
          <w:tcPr>
            <w:tcW w:w="2106" w:type="dxa"/>
            <w:tcBorders>
              <w:bottom w:val="single" w:color="auto" w:sz="4" w:space="0"/>
            </w:tcBorders>
            <w:vAlign w:val="center"/>
          </w:tcPr>
          <w:p>
            <w:pPr>
              <w:spacing w:line="400" w:lineRule="exact"/>
              <w:jc w:val="center"/>
              <w:rPr>
                <w:rFonts w:ascii="宋体" w:hAnsi="宋体" w:cs="宋体"/>
                <w:kern w:val="0"/>
                <w:szCs w:val="21"/>
              </w:rPr>
            </w:pPr>
            <w:r>
              <w:rPr>
                <w:rFonts w:hint="eastAsia" w:ascii="宋体" w:hAnsi="宋体" w:cs="宋体"/>
                <w:kern w:val="0"/>
                <w:szCs w:val="21"/>
              </w:rPr>
              <w:t>乙方人员违约的处理</w:t>
            </w:r>
          </w:p>
        </w:tc>
        <w:tc>
          <w:tcPr>
            <w:tcW w:w="7104" w:type="dxa"/>
            <w:tcBorders>
              <w:bottom w:val="single" w:color="auto" w:sz="4" w:space="0"/>
            </w:tcBorders>
          </w:tcPr>
          <w:p>
            <w:pPr>
              <w:numPr>
                <w:ilvl w:val="0"/>
                <w:numId w:val="2"/>
              </w:numPr>
              <w:spacing w:line="400" w:lineRule="exact"/>
              <w:ind w:firstLine="420" w:firstLineChars="200"/>
            </w:pPr>
            <w:r>
              <w:rPr>
                <w:rFonts w:hint="eastAsia"/>
              </w:rPr>
              <w:t>交货期延误的违约处理：每延迟一天，违约金为合同价的1‰。</w:t>
            </w:r>
          </w:p>
          <w:p>
            <w:pPr>
              <w:spacing w:line="400" w:lineRule="exact"/>
              <w:ind w:firstLine="420" w:firstLineChars="200"/>
            </w:pPr>
            <w:r>
              <w:rPr>
                <w:rFonts w:hint="eastAsia"/>
              </w:rPr>
              <w:t xml:space="preserve">2. 乙方报价所选设备不能按期提供，甲方有权终止乙方对该设备的供货，并在合同金额中扣除该部分金额，由甲方另行选择设备供应商，且因此产生的额外增加费用由乙方承担。 </w:t>
            </w:r>
          </w:p>
          <w:p>
            <w:pPr>
              <w:spacing w:line="400" w:lineRule="exact"/>
              <w:ind w:firstLine="420" w:firstLineChars="200"/>
            </w:pPr>
            <w:r>
              <w:rPr>
                <w:rFonts w:hint="eastAsia"/>
              </w:rPr>
              <w:t>3. 乙方未能按合同进度计划及时完成合同约定的工作，已造成或预期造成工期延误，甲方有权终止乙方不能按合同约定或预期不能按时完成的剩余工程，并由甲方另行选择单位实施，且因此产生的费用由乙方承担。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697" w:type="dxa"/>
            <w:vAlign w:val="center"/>
          </w:tcPr>
          <w:p>
            <w:pPr>
              <w:spacing w:line="400" w:lineRule="exact"/>
              <w:jc w:val="center"/>
              <w:rPr>
                <w:rFonts w:ascii="宋体" w:hAnsi="宋体" w:cs="宋体"/>
                <w:kern w:val="0"/>
                <w:szCs w:val="21"/>
              </w:rPr>
            </w:pPr>
            <w:r>
              <w:rPr>
                <w:rFonts w:hint="eastAsia" w:ascii="宋体" w:hAnsi="宋体" w:cs="宋体"/>
                <w:kern w:val="0"/>
                <w:szCs w:val="21"/>
              </w:rPr>
              <w:t>2</w:t>
            </w:r>
            <w:r>
              <w:rPr>
                <w:rFonts w:ascii="宋体" w:hAnsi="宋体" w:cs="宋体"/>
                <w:kern w:val="0"/>
                <w:szCs w:val="21"/>
              </w:rPr>
              <w:t>4</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卖方的施工安全责任</w:t>
            </w:r>
          </w:p>
        </w:tc>
        <w:tc>
          <w:tcPr>
            <w:tcW w:w="7104" w:type="dxa"/>
          </w:tcPr>
          <w:p>
            <w:pPr>
              <w:ind w:firstLine="420" w:firstLineChars="200"/>
              <w:jc w:val="left"/>
              <w:rPr>
                <w:rFonts w:ascii="宋体" w:hAnsi="宋体" w:cs="宋体"/>
              </w:rPr>
            </w:pPr>
            <w:r>
              <w:rPr>
                <w:rFonts w:hint="eastAsia"/>
                <w:szCs w:val="21"/>
              </w:rPr>
              <w:t xml:space="preserve">    设备安装期间的现场工作，按《重庆市营运高速公路施工标准化管理办法》(重庆市交通委员会分布)要求进行。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697" w:type="dxa"/>
            <w:vAlign w:val="center"/>
          </w:tcPr>
          <w:p>
            <w:pPr>
              <w:pStyle w:val="146"/>
              <w:spacing w:line="400" w:lineRule="exact"/>
              <w:jc w:val="center"/>
              <w:rPr>
                <w:rFonts w:hAnsi="宋体"/>
                <w:sz w:val="21"/>
                <w:szCs w:val="21"/>
              </w:rPr>
            </w:pPr>
            <w:r>
              <w:rPr>
                <w:rFonts w:hint="eastAsia" w:hAnsi="宋体"/>
                <w:sz w:val="21"/>
                <w:szCs w:val="21"/>
              </w:rPr>
              <w:t>2</w:t>
            </w:r>
            <w:r>
              <w:rPr>
                <w:rFonts w:hAnsi="宋体"/>
                <w:sz w:val="21"/>
                <w:szCs w:val="21"/>
              </w:rPr>
              <w:t>5</w:t>
            </w:r>
          </w:p>
        </w:tc>
        <w:tc>
          <w:tcPr>
            <w:tcW w:w="2106" w:type="dxa"/>
            <w:vAlign w:val="center"/>
          </w:tcPr>
          <w:p>
            <w:pPr>
              <w:spacing w:line="400" w:lineRule="exact"/>
              <w:jc w:val="center"/>
              <w:rPr>
                <w:rFonts w:ascii="宋体" w:hAnsi="宋体" w:cs="宋体"/>
                <w:kern w:val="0"/>
                <w:szCs w:val="21"/>
              </w:rPr>
            </w:pPr>
            <w:r>
              <w:rPr>
                <w:rFonts w:hint="eastAsia" w:ascii="宋体" w:hAnsi="宋体" w:cs="宋体"/>
                <w:kern w:val="0"/>
                <w:szCs w:val="21"/>
              </w:rPr>
              <w:t>进度计划</w:t>
            </w:r>
          </w:p>
        </w:tc>
        <w:tc>
          <w:tcPr>
            <w:tcW w:w="7104" w:type="dxa"/>
          </w:tcPr>
          <w:p>
            <w:pPr>
              <w:ind w:firstLine="420" w:firstLineChars="200"/>
              <w:jc w:val="left"/>
              <w:rPr>
                <w:rFonts w:hAnsi="宋体"/>
                <w:szCs w:val="21"/>
              </w:rPr>
            </w:pPr>
            <w:r>
              <w:rPr>
                <w:rFonts w:hint="eastAsia"/>
                <w:szCs w:val="21"/>
              </w:rPr>
              <w:t>1、按照卖方投标文件的计划进度，及时完成相关计划。对进度计划的调整应及时报告买方并取得批准。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697" w:type="dxa"/>
            <w:vAlign w:val="center"/>
          </w:tcPr>
          <w:p>
            <w:pPr>
              <w:pStyle w:val="146"/>
              <w:spacing w:line="400" w:lineRule="exact"/>
              <w:jc w:val="center"/>
              <w:rPr>
                <w:rFonts w:hAnsi="宋体"/>
                <w:sz w:val="21"/>
                <w:szCs w:val="21"/>
              </w:rPr>
            </w:pPr>
            <w:r>
              <w:rPr>
                <w:rFonts w:hint="eastAsia" w:hAnsi="宋体"/>
                <w:sz w:val="21"/>
                <w:szCs w:val="21"/>
              </w:rPr>
              <w:t>2</w:t>
            </w:r>
            <w:r>
              <w:rPr>
                <w:rFonts w:hAnsi="宋体"/>
                <w:sz w:val="21"/>
                <w:szCs w:val="21"/>
              </w:rPr>
              <w:t>6</w:t>
            </w:r>
          </w:p>
        </w:tc>
        <w:tc>
          <w:tcPr>
            <w:tcW w:w="2106" w:type="dxa"/>
            <w:vAlign w:val="center"/>
          </w:tcPr>
          <w:p>
            <w:pPr>
              <w:spacing w:line="400" w:lineRule="exact"/>
              <w:ind w:firstLine="420" w:firstLineChars="200"/>
              <w:rPr>
                <w:rFonts w:ascii="宋体" w:hAnsi="宋体" w:cs="宋体"/>
                <w:kern w:val="0"/>
                <w:szCs w:val="21"/>
              </w:rPr>
            </w:pPr>
            <w:r>
              <w:rPr>
                <w:rFonts w:hint="eastAsia" w:ascii="宋体" w:hAnsi="宋体" w:cs="宋体"/>
                <w:kern w:val="0"/>
              </w:rPr>
              <w:t>签字盖章要求</w:t>
            </w:r>
          </w:p>
        </w:tc>
        <w:tc>
          <w:tcPr>
            <w:tcW w:w="7104" w:type="dxa"/>
          </w:tcPr>
          <w:p>
            <w:pPr>
              <w:spacing w:line="400" w:lineRule="exact"/>
              <w:ind w:firstLine="420" w:firstLineChars="200"/>
              <w:jc w:val="left"/>
            </w:pPr>
            <w:r>
              <w:rPr>
                <w:rFonts w:hint="eastAsia"/>
                <w:szCs w:val="21"/>
              </w:rPr>
              <w:t>投标文件应由报价人的法定代表人或其授权的代理人按竞争性比选文件第八章的格式要求签字或盖章，并按其要求加盖报价人的公章，除此之外不要求逐页签字、盖章。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7" w:type="dxa"/>
            <w:vAlign w:val="center"/>
          </w:tcPr>
          <w:p>
            <w:pPr>
              <w:pStyle w:val="146"/>
              <w:spacing w:line="400" w:lineRule="exact"/>
              <w:jc w:val="center"/>
              <w:rPr>
                <w:rFonts w:hAnsi="宋体"/>
                <w:color w:val="auto"/>
                <w:kern w:val="2"/>
                <w:sz w:val="21"/>
                <w:szCs w:val="21"/>
              </w:rPr>
            </w:pPr>
            <w:r>
              <w:rPr>
                <w:rFonts w:hint="eastAsia" w:hAnsi="宋体"/>
                <w:sz w:val="21"/>
                <w:szCs w:val="21"/>
              </w:rPr>
              <w:t>2</w:t>
            </w:r>
            <w:r>
              <w:rPr>
                <w:rFonts w:hAnsi="宋体"/>
                <w:sz w:val="21"/>
                <w:szCs w:val="21"/>
              </w:rPr>
              <w:t>7</w:t>
            </w:r>
          </w:p>
        </w:tc>
        <w:tc>
          <w:tcPr>
            <w:tcW w:w="2106" w:type="dxa"/>
            <w:vAlign w:val="center"/>
          </w:tcPr>
          <w:p>
            <w:pPr>
              <w:spacing w:line="400" w:lineRule="exact"/>
              <w:ind w:firstLine="420" w:firstLineChars="200"/>
              <w:jc w:val="center"/>
            </w:pPr>
            <w:r>
              <w:rPr>
                <w:rFonts w:hint="eastAsia" w:ascii="宋体" w:hAnsi="宋体" w:cs="宋体"/>
                <w:kern w:val="0"/>
                <w:szCs w:val="21"/>
              </w:rPr>
              <w:t>响应性文件份数及装订要求</w:t>
            </w:r>
          </w:p>
        </w:tc>
        <w:tc>
          <w:tcPr>
            <w:tcW w:w="7104" w:type="dxa"/>
          </w:tcPr>
          <w:p>
            <w:pPr>
              <w:pStyle w:val="15"/>
              <w:spacing w:line="400" w:lineRule="exact"/>
              <w:ind w:firstLine="422" w:firstLineChars="200"/>
              <w:rPr>
                <w:rFonts w:hAnsi="宋体" w:cs="宋体"/>
                <w:b/>
                <w:sz w:val="21"/>
                <w:szCs w:val="21"/>
              </w:rPr>
            </w:pPr>
            <w:r>
              <w:rPr>
                <w:rFonts w:hint="eastAsia" w:hAnsi="宋体" w:cs="宋体"/>
                <w:b/>
                <w:sz w:val="21"/>
                <w:szCs w:val="21"/>
              </w:rPr>
              <w:t>响应性文件（</w:t>
            </w:r>
            <w:r>
              <w:rPr>
                <w:rFonts w:hAnsi="宋体" w:cs="宋体"/>
                <w:b/>
                <w:sz w:val="21"/>
                <w:szCs w:val="21"/>
              </w:rPr>
              <w:t>文件</w:t>
            </w:r>
            <w:r>
              <w:rPr>
                <w:rFonts w:hint="eastAsia" w:hAnsi="宋体" w:cs="宋体"/>
                <w:b/>
                <w:sz w:val="21"/>
                <w:szCs w:val="21"/>
              </w:rPr>
              <w:t>正本1份，副本2份，正本和副本的封面右上角上应清楚地标记“正本”或“副本”字样）副本可为正本的复印件，电子文件1份（U盘，包括投标文件、</w:t>
            </w:r>
            <w:r>
              <w:rPr>
                <w:rFonts w:hAnsi="宋体" w:cs="宋体"/>
                <w:b/>
                <w:sz w:val="21"/>
                <w:szCs w:val="21"/>
              </w:rPr>
              <w:t>业绩</w:t>
            </w:r>
            <w:r>
              <w:rPr>
                <w:rFonts w:hint="eastAsia" w:hAnsi="宋体" w:cs="宋体"/>
                <w:b/>
                <w:sz w:val="21"/>
                <w:szCs w:val="21"/>
              </w:rPr>
              <w:t>的全部文件）</w:t>
            </w:r>
            <w:r>
              <w:rPr>
                <w:rFonts w:hAnsi="宋体" w:cs="宋体"/>
                <w:b/>
                <w:sz w:val="21"/>
                <w:szCs w:val="21"/>
              </w:rPr>
              <w:t>，</w:t>
            </w:r>
            <w:r>
              <w:rPr>
                <w:rFonts w:hint="eastAsia" w:hAnsi="宋体" w:cs="宋体"/>
                <w:b/>
                <w:sz w:val="21"/>
                <w:szCs w:val="21"/>
              </w:rPr>
              <w:t>电子文件上应粘</w:t>
            </w:r>
            <w:r>
              <w:rPr>
                <w:rFonts w:hAnsi="宋体" w:cs="宋体"/>
                <w:b/>
                <w:sz w:val="21"/>
                <w:szCs w:val="21"/>
              </w:rPr>
              <w:t>上标签并在标签上</w:t>
            </w:r>
            <w:r>
              <w:rPr>
                <w:rFonts w:hint="eastAsia" w:hAnsi="宋体" w:cs="宋体"/>
                <w:b/>
                <w:sz w:val="21"/>
                <w:szCs w:val="21"/>
              </w:rPr>
              <w:t>加盖报价人公章。当电子文件与纸质版投标文件不一致时，以纸质版投标文件为准，当正本与副本不一致时，以正本为准。</w:t>
            </w:r>
          </w:p>
          <w:p>
            <w:pPr>
              <w:pStyle w:val="15"/>
              <w:spacing w:line="400" w:lineRule="exact"/>
              <w:ind w:firstLine="422" w:firstLineChars="200"/>
              <w:rPr>
                <w:rFonts w:hAnsi="宋体"/>
                <w:kern w:val="2"/>
                <w:sz w:val="21"/>
                <w:szCs w:val="21"/>
              </w:rPr>
            </w:pPr>
            <w:r>
              <w:rPr>
                <w:rFonts w:hint="eastAsia" w:hAnsi="宋体" w:cs="宋体"/>
                <w:b/>
                <w:sz w:val="21"/>
                <w:szCs w:val="21"/>
              </w:rPr>
              <w:t>纸质版响应性文件与电子文件均密封在同一信封中，若文件较厚，电子文件可单独装订。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697" w:type="dxa"/>
            <w:vAlign w:val="center"/>
          </w:tcPr>
          <w:p>
            <w:pPr>
              <w:pStyle w:val="146"/>
              <w:spacing w:line="400" w:lineRule="exact"/>
              <w:jc w:val="center"/>
              <w:rPr>
                <w:rFonts w:hAnsi="宋体"/>
                <w:color w:val="auto"/>
                <w:kern w:val="2"/>
                <w:sz w:val="21"/>
                <w:szCs w:val="21"/>
              </w:rPr>
            </w:pPr>
            <w:r>
              <w:rPr>
                <w:rFonts w:hint="eastAsia" w:hAnsi="宋体"/>
                <w:sz w:val="21"/>
                <w:szCs w:val="21"/>
              </w:rPr>
              <w:t>2</w:t>
            </w:r>
            <w:r>
              <w:rPr>
                <w:rFonts w:hAnsi="宋体"/>
                <w:sz w:val="21"/>
                <w:szCs w:val="21"/>
              </w:rPr>
              <w:t>8</w:t>
            </w:r>
          </w:p>
        </w:tc>
        <w:tc>
          <w:tcPr>
            <w:tcW w:w="2106" w:type="dxa"/>
            <w:vAlign w:val="center"/>
          </w:tcPr>
          <w:p>
            <w:pPr>
              <w:spacing w:line="400" w:lineRule="exact"/>
              <w:ind w:firstLine="420" w:firstLineChars="200"/>
              <w:rPr>
                <w:rFonts w:hAnsi="宋体"/>
                <w:szCs w:val="21"/>
              </w:rPr>
            </w:pPr>
            <w:r>
              <w:rPr>
                <w:rFonts w:hint="eastAsia" w:ascii="宋体" w:hAnsi="宋体" w:cs="宋体"/>
                <w:kern w:val="0"/>
                <w:szCs w:val="21"/>
              </w:rPr>
              <w:t>封套上写明</w:t>
            </w:r>
          </w:p>
        </w:tc>
        <w:tc>
          <w:tcPr>
            <w:tcW w:w="7104" w:type="dxa"/>
          </w:tcPr>
          <w:p>
            <w:pPr>
              <w:spacing w:line="400" w:lineRule="exact"/>
              <w:ind w:firstLine="420" w:firstLineChars="200"/>
              <w:rPr>
                <w:szCs w:val="21"/>
              </w:rPr>
            </w:pPr>
            <w:r>
              <w:rPr>
                <w:rFonts w:hint="eastAsia"/>
                <w:szCs w:val="21"/>
              </w:rPr>
              <w:t>报价人：</w:t>
            </w:r>
          </w:p>
          <w:p>
            <w:pPr>
              <w:spacing w:line="400" w:lineRule="exact"/>
              <w:ind w:firstLine="420" w:firstLineChars="200"/>
              <w:rPr>
                <w:szCs w:val="21"/>
              </w:rPr>
            </w:pPr>
            <w:r>
              <w:rPr>
                <w:rFonts w:hint="eastAsia"/>
                <w:szCs w:val="21"/>
              </w:rPr>
              <w:t xml:space="preserve">报价人地址：       </w:t>
            </w:r>
          </w:p>
          <w:p>
            <w:pPr>
              <w:spacing w:line="400" w:lineRule="exact"/>
              <w:ind w:firstLine="420" w:firstLineChars="200"/>
              <w:rPr>
                <w:szCs w:val="21"/>
              </w:rPr>
            </w:pPr>
            <w:r>
              <w:rPr>
                <w:rFonts w:hint="eastAsia"/>
                <w:szCs w:val="21"/>
              </w:rPr>
              <w:t xml:space="preserve">   竞争性比选响应文件；</w:t>
            </w:r>
          </w:p>
          <w:p>
            <w:pPr>
              <w:spacing w:line="400" w:lineRule="exact"/>
              <w:ind w:firstLine="420" w:firstLineChars="200"/>
              <w:rPr>
                <w:rFonts w:hAnsi="宋体"/>
                <w:szCs w:val="21"/>
              </w:rPr>
            </w:pPr>
            <w:r>
              <w:rPr>
                <w:rFonts w:hint="eastAsia"/>
                <w:szCs w:val="21"/>
              </w:rPr>
              <w:t>在   年  月  日   时   分（即开标时间）前不得开封.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color w:val="auto"/>
                <w:kern w:val="2"/>
                <w:sz w:val="21"/>
                <w:szCs w:val="21"/>
              </w:rPr>
            </w:pPr>
            <w:r>
              <w:rPr>
                <w:rFonts w:hint="eastAsia" w:hAnsi="宋体"/>
                <w:sz w:val="21"/>
                <w:szCs w:val="21"/>
              </w:rPr>
              <w:t>2</w:t>
            </w:r>
            <w:r>
              <w:rPr>
                <w:rFonts w:hAnsi="宋体"/>
                <w:sz w:val="21"/>
                <w:szCs w:val="21"/>
              </w:rPr>
              <w:t>9</w:t>
            </w:r>
          </w:p>
        </w:tc>
        <w:tc>
          <w:tcPr>
            <w:tcW w:w="2106" w:type="dxa"/>
            <w:vAlign w:val="center"/>
          </w:tcPr>
          <w:p>
            <w:pPr>
              <w:spacing w:line="400" w:lineRule="exact"/>
              <w:ind w:firstLine="420" w:firstLineChars="200"/>
              <w:rPr>
                <w:rFonts w:hAnsi="宋体"/>
                <w:szCs w:val="21"/>
              </w:rPr>
            </w:pPr>
            <w:r>
              <w:rPr>
                <w:rFonts w:hint="eastAsia"/>
                <w:szCs w:val="21"/>
              </w:rPr>
              <w:t>报价截止时间和开标时间</w:t>
            </w:r>
          </w:p>
        </w:tc>
        <w:tc>
          <w:tcPr>
            <w:tcW w:w="7104" w:type="dxa"/>
            <w:vAlign w:val="center"/>
          </w:tcPr>
          <w:p>
            <w:pPr>
              <w:spacing w:line="400" w:lineRule="exact"/>
              <w:ind w:firstLine="420" w:firstLineChars="200"/>
              <w:jc w:val="left"/>
            </w:pPr>
            <w:r>
              <w:rPr>
                <w:rFonts w:hint="eastAsia" w:asciiTheme="minorEastAsia" w:hAnsiTheme="minorEastAsia" w:eastAsiaTheme="minorEastAsia" w:cstheme="minorEastAsia"/>
                <w:szCs w:val="21"/>
              </w:rPr>
              <w:t>2021年</w:t>
            </w:r>
            <w:r>
              <w:rPr>
                <w:rFonts w:hint="eastAsia" w:asciiTheme="minorEastAsia" w:hAnsiTheme="minorEastAsia" w:eastAsiaTheme="minorEastAsia" w:cstheme="minorEastAsia"/>
                <w:szCs w:val="21"/>
                <w:lang w:val="en-US" w:eastAsia="zh-CN"/>
              </w:rPr>
              <w:t>10</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lang w:val="en-US" w:eastAsia="zh-CN"/>
              </w:rPr>
              <w:t>20</w:t>
            </w:r>
            <w:r>
              <w:rPr>
                <w:rFonts w:hint="eastAsia" w:asciiTheme="minorEastAsia" w:hAnsiTheme="minorEastAsia" w:eastAsiaTheme="minorEastAsia" w:cstheme="minorEastAsia"/>
                <w:szCs w:val="21"/>
              </w:rPr>
              <w:t>日下午1</w:t>
            </w:r>
            <w:r>
              <w:rPr>
                <w:rFonts w:hint="eastAsia" w:asciiTheme="minorEastAsia" w:hAnsiTheme="minorEastAsia" w:eastAsiaTheme="minorEastAsia" w:cstheme="minorEastAsia"/>
                <w:szCs w:val="21"/>
                <w:lang w:val="en-US" w:eastAsia="zh-CN"/>
              </w:rPr>
              <w:t>5</w:t>
            </w:r>
            <w:r>
              <w:rPr>
                <w:rFonts w:hint="eastAsia" w:asciiTheme="minorEastAsia" w:hAnsiTheme="minorEastAsia" w:eastAsiaTheme="minorEastAsia" w:cstheme="minorEastAsia"/>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color w:val="auto"/>
                <w:kern w:val="2"/>
                <w:sz w:val="21"/>
                <w:szCs w:val="21"/>
              </w:rPr>
            </w:pPr>
            <w:r>
              <w:rPr>
                <w:rFonts w:hAnsi="宋体"/>
                <w:sz w:val="21"/>
                <w:szCs w:val="21"/>
              </w:rPr>
              <w:t>30</w:t>
            </w:r>
          </w:p>
        </w:tc>
        <w:tc>
          <w:tcPr>
            <w:tcW w:w="2106" w:type="dxa"/>
            <w:vAlign w:val="center"/>
          </w:tcPr>
          <w:p>
            <w:pPr>
              <w:spacing w:line="400" w:lineRule="exact"/>
              <w:ind w:firstLine="420" w:firstLineChars="200"/>
              <w:rPr>
                <w:rFonts w:hAnsi="宋体"/>
                <w:b/>
                <w:bCs/>
                <w:szCs w:val="21"/>
              </w:rPr>
            </w:pPr>
            <w:r>
              <w:rPr>
                <w:rFonts w:hint="eastAsia" w:ascii="宋体" w:hAnsi="宋体" w:cs="宋体"/>
                <w:szCs w:val="21"/>
              </w:rPr>
              <w:t>报价的递交</w:t>
            </w:r>
          </w:p>
        </w:tc>
        <w:tc>
          <w:tcPr>
            <w:tcW w:w="7104" w:type="dxa"/>
            <w:vAlign w:val="center"/>
          </w:tcPr>
          <w:p>
            <w:pPr>
              <w:spacing w:line="400" w:lineRule="exact"/>
              <w:ind w:firstLine="420" w:firstLineChars="200"/>
              <w:jc w:val="center"/>
            </w:pPr>
            <w:r>
              <w:rPr>
                <w:rFonts w:hint="eastAsia" w:ascii="宋体" w:hAnsi="宋体" w:cs="宋体"/>
                <w:szCs w:val="21"/>
              </w:rPr>
              <w:t>重庆市南岸区四公里内环入口200米处重庆首讯科技大楼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sz w:val="21"/>
                <w:szCs w:val="21"/>
              </w:rPr>
            </w:pPr>
            <w:r>
              <w:rPr>
                <w:rFonts w:hint="eastAsia" w:hAnsi="宋体"/>
                <w:sz w:val="21"/>
                <w:szCs w:val="21"/>
              </w:rPr>
              <w:t>3</w:t>
            </w:r>
            <w:r>
              <w:rPr>
                <w:rFonts w:hAnsi="宋体"/>
                <w:sz w:val="21"/>
                <w:szCs w:val="21"/>
              </w:rPr>
              <w:t>1</w:t>
            </w:r>
          </w:p>
        </w:tc>
        <w:tc>
          <w:tcPr>
            <w:tcW w:w="2106" w:type="dxa"/>
            <w:vAlign w:val="center"/>
          </w:tcPr>
          <w:p>
            <w:pPr>
              <w:spacing w:line="400" w:lineRule="exact"/>
              <w:ind w:firstLine="420" w:firstLineChars="200"/>
              <w:rPr>
                <w:rFonts w:ascii="宋体" w:hAnsi="宋体" w:cs="宋体"/>
                <w:szCs w:val="21"/>
              </w:rPr>
            </w:pPr>
            <w:r>
              <w:rPr>
                <w:rFonts w:hint="eastAsia" w:ascii="宋体" w:hAnsi="宋体" w:cs="宋体"/>
                <w:kern w:val="0"/>
                <w:szCs w:val="21"/>
              </w:rPr>
              <w:t>开标程序</w:t>
            </w:r>
          </w:p>
        </w:tc>
        <w:tc>
          <w:tcPr>
            <w:tcW w:w="7104" w:type="dxa"/>
          </w:tcPr>
          <w:p>
            <w:pPr>
              <w:spacing w:line="400" w:lineRule="exact"/>
              <w:ind w:firstLine="420" w:firstLineChars="200"/>
            </w:pPr>
            <w:r>
              <w:rPr>
                <w:rFonts w:hint="eastAsia"/>
              </w:rPr>
              <w:t>（</w:t>
            </w:r>
            <w:r>
              <w:t>1</w:t>
            </w:r>
            <w:r>
              <w:rPr>
                <w:rFonts w:hint="eastAsia"/>
              </w:rPr>
              <w:t xml:space="preserve">）公布在投标截止时间前递交投标文件的报价人名称； </w:t>
            </w:r>
          </w:p>
          <w:p>
            <w:pPr>
              <w:spacing w:line="400" w:lineRule="exact"/>
              <w:ind w:firstLine="420" w:firstLineChars="200"/>
            </w:pPr>
            <w:r>
              <w:rPr>
                <w:rFonts w:hint="eastAsia"/>
              </w:rPr>
              <w:t>（</w:t>
            </w:r>
            <w:r>
              <w:t>2</w:t>
            </w:r>
            <w:r>
              <w:rPr>
                <w:rFonts w:hint="eastAsia"/>
              </w:rPr>
              <w:t>）宣布开标人、唱标人、记录人、监标人等有关信息；</w:t>
            </w:r>
          </w:p>
          <w:p>
            <w:pPr>
              <w:spacing w:line="400" w:lineRule="exact"/>
              <w:ind w:firstLine="420" w:firstLineChars="200"/>
            </w:pPr>
            <w:r>
              <w:rPr>
                <w:rFonts w:hint="eastAsia"/>
              </w:rPr>
              <w:t>（3）由监标人或报价人代表检查投标文件的密封情况；</w:t>
            </w:r>
          </w:p>
          <w:p>
            <w:pPr>
              <w:spacing w:line="400" w:lineRule="exact"/>
              <w:ind w:firstLine="420" w:firstLineChars="200"/>
            </w:pPr>
            <w:r>
              <w:rPr>
                <w:rFonts w:hint="eastAsia"/>
              </w:rPr>
              <w:t>（4）按照宣布的开标顺序当众开标，公布报价人名称、投标文件份数等内容；</w:t>
            </w:r>
          </w:p>
          <w:p>
            <w:pPr>
              <w:spacing w:line="400" w:lineRule="exact"/>
              <w:ind w:firstLine="420" w:firstLineChars="200"/>
            </w:pPr>
            <w:r>
              <w:rPr>
                <w:rFonts w:hint="eastAsia"/>
              </w:rPr>
              <w:t>（5）报价人代表、采购人代表、监标人、记录人等有关人员在开标记录上签字确；</w:t>
            </w:r>
          </w:p>
          <w:p>
            <w:pPr>
              <w:spacing w:line="400" w:lineRule="exact"/>
              <w:ind w:firstLine="420" w:firstLineChars="200"/>
            </w:pPr>
            <w:r>
              <w:rPr>
                <w:rFonts w:hint="eastAsia"/>
              </w:rPr>
              <w:t>（6）开标结束。</w:t>
            </w:r>
          </w:p>
          <w:p>
            <w:pPr>
              <w:spacing w:line="400" w:lineRule="exact"/>
              <w:ind w:firstLine="420" w:firstLineChars="20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sz w:val="21"/>
                <w:szCs w:val="21"/>
              </w:rPr>
            </w:pPr>
            <w:r>
              <w:rPr>
                <w:rFonts w:hint="eastAsia" w:hAnsi="宋体"/>
                <w:sz w:val="21"/>
                <w:szCs w:val="21"/>
              </w:rPr>
              <w:t>3</w:t>
            </w:r>
            <w:r>
              <w:rPr>
                <w:rFonts w:hAnsi="宋体"/>
                <w:sz w:val="21"/>
                <w:szCs w:val="21"/>
              </w:rPr>
              <w:t>2</w:t>
            </w:r>
          </w:p>
        </w:tc>
        <w:tc>
          <w:tcPr>
            <w:tcW w:w="2106" w:type="dxa"/>
            <w:vAlign w:val="center"/>
          </w:tcPr>
          <w:p>
            <w:pPr>
              <w:spacing w:line="400" w:lineRule="exact"/>
              <w:ind w:firstLine="420" w:firstLineChars="200"/>
              <w:rPr>
                <w:rFonts w:ascii="宋体" w:hAnsi="宋体" w:cs="宋体"/>
                <w:szCs w:val="21"/>
              </w:rPr>
            </w:pPr>
            <w:r>
              <w:rPr>
                <w:rFonts w:hint="eastAsia" w:ascii="宋体" w:hAnsi="宋体"/>
              </w:rPr>
              <w:t>评标办法</w:t>
            </w:r>
          </w:p>
        </w:tc>
        <w:tc>
          <w:tcPr>
            <w:tcW w:w="7104" w:type="dxa"/>
            <w:vAlign w:val="center"/>
          </w:tcPr>
          <w:p>
            <w:pPr>
              <w:spacing w:line="400" w:lineRule="exact"/>
              <w:ind w:firstLine="420" w:firstLineChars="200"/>
              <w:jc w:val="left"/>
              <w:rPr>
                <w:rFonts w:ascii="宋体" w:hAnsi="宋体" w:cs="宋体"/>
                <w:szCs w:val="21"/>
              </w:rPr>
            </w:pPr>
            <w:r>
              <w:rPr>
                <w:rFonts w:hint="eastAsia"/>
                <w:szCs w:val="21"/>
              </w:rPr>
              <w:t>经评审的最低价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sz w:val="21"/>
                <w:szCs w:val="21"/>
              </w:rPr>
            </w:pPr>
            <w:r>
              <w:rPr>
                <w:rFonts w:hint="eastAsia" w:hAnsi="宋体"/>
                <w:sz w:val="21"/>
                <w:szCs w:val="21"/>
              </w:rPr>
              <w:t>3</w:t>
            </w:r>
            <w:r>
              <w:rPr>
                <w:rFonts w:hAnsi="宋体"/>
                <w:sz w:val="21"/>
                <w:szCs w:val="21"/>
              </w:rPr>
              <w:t>3</w:t>
            </w:r>
          </w:p>
        </w:tc>
        <w:tc>
          <w:tcPr>
            <w:tcW w:w="2106" w:type="dxa"/>
            <w:vAlign w:val="center"/>
          </w:tcPr>
          <w:p>
            <w:pPr>
              <w:spacing w:line="400" w:lineRule="exact"/>
              <w:ind w:firstLine="420" w:firstLineChars="200"/>
              <w:rPr>
                <w:rFonts w:ascii="宋体" w:hAnsi="宋体" w:cs="宋体"/>
                <w:szCs w:val="21"/>
              </w:rPr>
            </w:pPr>
            <w:r>
              <w:rPr>
                <w:rFonts w:hint="eastAsia" w:ascii="宋体" w:hAnsi="宋体" w:cs="宋体"/>
                <w:kern w:val="0"/>
                <w:szCs w:val="21"/>
              </w:rPr>
              <w:t>进度计划</w:t>
            </w:r>
          </w:p>
        </w:tc>
        <w:tc>
          <w:tcPr>
            <w:tcW w:w="7104" w:type="dxa"/>
          </w:tcPr>
          <w:p>
            <w:pPr>
              <w:spacing w:line="400" w:lineRule="exact"/>
              <w:ind w:firstLine="420" w:firstLineChars="200"/>
              <w:jc w:val="left"/>
              <w:rPr>
                <w:rFonts w:ascii="宋体" w:hAnsi="宋体" w:cs="宋体"/>
                <w:szCs w:val="21"/>
              </w:rPr>
            </w:pPr>
            <w:r>
              <w:rPr>
                <w:rFonts w:hint="eastAsia"/>
                <w:szCs w:val="21"/>
              </w:rPr>
              <w:t>按照业主要求的的进度，编制相应计划及时完成。对进度计划的调整应及时报告业主并取得批准。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sz w:val="21"/>
                <w:szCs w:val="21"/>
              </w:rPr>
            </w:pPr>
            <w:r>
              <w:rPr>
                <w:rFonts w:hint="eastAsia" w:hAnsi="宋体"/>
                <w:sz w:val="21"/>
                <w:szCs w:val="21"/>
              </w:rPr>
              <w:t>3</w:t>
            </w:r>
            <w:r>
              <w:rPr>
                <w:rFonts w:hAnsi="宋体"/>
                <w:sz w:val="21"/>
                <w:szCs w:val="21"/>
              </w:rPr>
              <w:t>4</w:t>
            </w:r>
          </w:p>
        </w:tc>
        <w:tc>
          <w:tcPr>
            <w:tcW w:w="2106" w:type="dxa"/>
            <w:vAlign w:val="center"/>
          </w:tcPr>
          <w:p>
            <w:pPr>
              <w:spacing w:line="400" w:lineRule="exact"/>
              <w:ind w:firstLine="420" w:firstLineChars="200"/>
              <w:rPr>
                <w:rFonts w:ascii="宋体" w:hAnsi="宋体" w:cs="宋体"/>
                <w:szCs w:val="21"/>
              </w:rPr>
            </w:pPr>
            <w:r>
              <w:rPr>
                <w:rFonts w:hint="eastAsia" w:ascii="宋体" w:hAnsi="宋体" w:cs="宋体"/>
                <w:kern w:val="0"/>
                <w:szCs w:val="21"/>
              </w:rPr>
              <w:t>保险</w:t>
            </w:r>
          </w:p>
        </w:tc>
        <w:tc>
          <w:tcPr>
            <w:tcW w:w="7104" w:type="dxa"/>
          </w:tcPr>
          <w:p>
            <w:pPr>
              <w:spacing w:line="400" w:lineRule="exact"/>
              <w:ind w:firstLine="420" w:firstLineChars="200"/>
              <w:jc w:val="left"/>
              <w:rPr>
                <w:rFonts w:ascii="宋体" w:hAnsi="宋体" w:cs="宋体"/>
                <w:szCs w:val="21"/>
              </w:rPr>
            </w:pPr>
            <w:r>
              <w:rPr>
                <w:rFonts w:hint="eastAsia"/>
              </w:rPr>
              <w:t>在合同执行期间，报价人人应自行有效地。进行下列项目的保险：货物运输险、工程一切险、第三方责任险、车辆险、工人赔险、人员工伤险、人身意外保险、雇主责任险等，死亡/伤残赔偿上限不低于100万元/人，第三方责任险赔偿上限不低于500万元。承包人投保后须将保险单明细交与发包人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spacing w:line="400" w:lineRule="exact"/>
              <w:jc w:val="center"/>
              <w:rPr>
                <w:rFonts w:hAnsi="宋体" w:cs="宋体"/>
                <w:kern w:val="0"/>
                <w:szCs w:val="21"/>
              </w:rPr>
            </w:pPr>
            <w:r>
              <w:rPr>
                <w:rFonts w:hint="eastAsia" w:ascii="宋体" w:hAnsi="宋体" w:cs="宋体"/>
                <w:szCs w:val="21"/>
              </w:rPr>
              <w:t>3</w:t>
            </w:r>
            <w:r>
              <w:rPr>
                <w:rFonts w:ascii="宋体" w:hAnsi="宋体" w:cs="宋体"/>
                <w:szCs w:val="21"/>
              </w:rPr>
              <w:t>5</w:t>
            </w:r>
          </w:p>
        </w:tc>
        <w:tc>
          <w:tcPr>
            <w:tcW w:w="2106" w:type="dxa"/>
            <w:vAlign w:val="center"/>
          </w:tcPr>
          <w:p>
            <w:pPr>
              <w:spacing w:line="400" w:lineRule="exact"/>
              <w:ind w:firstLine="420" w:firstLineChars="200"/>
              <w:rPr>
                <w:rFonts w:ascii="宋体" w:hAnsi="宋体" w:cs="宋体"/>
                <w:szCs w:val="21"/>
              </w:rPr>
            </w:pPr>
            <w:r>
              <w:rPr>
                <w:rFonts w:hint="eastAsia"/>
              </w:rPr>
              <w:t>中标候选人的</w:t>
            </w:r>
          </w:p>
        </w:tc>
        <w:tc>
          <w:tcPr>
            <w:tcW w:w="7104" w:type="dxa"/>
            <w:vAlign w:val="center"/>
          </w:tcPr>
          <w:p>
            <w:pPr>
              <w:spacing w:line="400" w:lineRule="exact"/>
              <w:ind w:firstLine="420" w:firstLineChars="200"/>
              <w:rPr>
                <w:rFonts w:ascii="宋体" w:hAnsi="宋体" w:cs="宋体"/>
                <w:szCs w:val="21"/>
              </w:rPr>
            </w:pPr>
            <w:r>
              <w:rPr>
                <w:rFonts w:hint="eastAsia" w:ascii="宋体" w:hAnsi="宋体" w:cs="宋体"/>
              </w:rPr>
              <w:t>推荐的中标候选人数：1名。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szCs w:val="21"/>
              </w:rPr>
            </w:pPr>
            <w:r>
              <w:rPr>
                <w:rFonts w:hint="eastAsia" w:hAnsi="宋体"/>
                <w:color w:val="auto"/>
                <w:kern w:val="2"/>
                <w:sz w:val="21"/>
                <w:szCs w:val="21"/>
              </w:rPr>
              <w:t>3</w:t>
            </w:r>
            <w:r>
              <w:rPr>
                <w:rFonts w:hAnsi="宋体"/>
                <w:color w:val="auto"/>
                <w:kern w:val="2"/>
                <w:sz w:val="21"/>
                <w:szCs w:val="21"/>
              </w:rPr>
              <w:t>6</w:t>
            </w:r>
          </w:p>
        </w:tc>
        <w:tc>
          <w:tcPr>
            <w:tcW w:w="2106" w:type="dxa"/>
            <w:vAlign w:val="center"/>
          </w:tcPr>
          <w:p>
            <w:pPr>
              <w:spacing w:line="400" w:lineRule="exact"/>
              <w:ind w:firstLine="420" w:firstLineChars="200"/>
            </w:pPr>
            <w:r>
              <w:rPr>
                <w:rFonts w:hint="eastAsia" w:ascii="宋体" w:hAnsi="宋体" w:cs="宋体"/>
              </w:rPr>
              <w:t>中标候选人公示媒介及期限</w:t>
            </w:r>
          </w:p>
        </w:tc>
        <w:tc>
          <w:tcPr>
            <w:tcW w:w="7104" w:type="dxa"/>
            <w:vAlign w:val="center"/>
          </w:tcPr>
          <w:p>
            <w:pPr>
              <w:spacing w:line="400" w:lineRule="exact"/>
              <w:rPr>
                <w:rFonts w:ascii="宋体" w:hAnsi="宋体" w:cs="宋体"/>
              </w:rPr>
            </w:pPr>
            <w:r>
              <w:rPr>
                <w:rFonts w:hint="eastAsia" w:ascii="宋体" w:hAnsi="宋体" w:cs="宋体"/>
              </w:rPr>
              <w:t>重庆高速集团官网（http://www.cegc.com.cn/gw/newsInfoMenu.html?id=42&amp;key=2）上公示中标候选人排序、名称和投标总报价。</w:t>
            </w:r>
          </w:p>
          <w:p>
            <w:pPr>
              <w:spacing w:line="400" w:lineRule="exact"/>
              <w:ind w:firstLine="420" w:firstLineChars="200"/>
              <w:rPr>
                <w:rFonts w:ascii="宋体" w:hAnsi="宋体" w:cs="宋体"/>
              </w:rPr>
            </w:pPr>
            <w:r>
              <w:rPr>
                <w:rFonts w:hint="eastAsia" w:ascii="宋体" w:hAnsi="宋体" w:cs="宋体"/>
              </w:rPr>
              <w:t>公示期限：3个工作日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szCs w:val="21"/>
              </w:rPr>
            </w:pPr>
            <w:r>
              <w:rPr>
                <w:rFonts w:hint="eastAsia" w:hAnsi="宋体"/>
                <w:color w:val="auto"/>
                <w:kern w:val="2"/>
                <w:sz w:val="21"/>
                <w:szCs w:val="21"/>
              </w:rPr>
              <w:t>3</w:t>
            </w:r>
            <w:r>
              <w:rPr>
                <w:rFonts w:hAnsi="宋体"/>
                <w:color w:val="auto"/>
                <w:kern w:val="2"/>
                <w:sz w:val="21"/>
                <w:szCs w:val="21"/>
              </w:rPr>
              <w:t>7</w:t>
            </w:r>
          </w:p>
        </w:tc>
        <w:tc>
          <w:tcPr>
            <w:tcW w:w="2106" w:type="dxa"/>
            <w:vAlign w:val="center"/>
          </w:tcPr>
          <w:p>
            <w:pPr>
              <w:pStyle w:val="146"/>
              <w:spacing w:line="400" w:lineRule="exact"/>
              <w:ind w:firstLine="420" w:firstLineChars="200"/>
              <w:jc w:val="center"/>
            </w:pPr>
            <w:r>
              <w:rPr>
                <w:rFonts w:hint="eastAsia" w:hAnsi="宋体"/>
                <w:color w:val="auto"/>
                <w:kern w:val="2"/>
                <w:sz w:val="21"/>
                <w:szCs w:val="21"/>
              </w:rPr>
              <w:t>监督部门</w:t>
            </w:r>
          </w:p>
        </w:tc>
        <w:tc>
          <w:tcPr>
            <w:tcW w:w="7104" w:type="dxa"/>
            <w:vAlign w:val="center"/>
          </w:tcPr>
          <w:p>
            <w:pPr>
              <w:pStyle w:val="146"/>
              <w:spacing w:line="400" w:lineRule="exact"/>
              <w:ind w:firstLine="420" w:firstLineChars="200"/>
              <w:rPr>
                <w:rFonts w:hAnsi="宋体"/>
                <w:color w:val="auto"/>
                <w:kern w:val="2"/>
                <w:sz w:val="21"/>
                <w:szCs w:val="21"/>
              </w:rPr>
            </w:pPr>
            <w:r>
              <w:rPr>
                <w:rFonts w:hint="eastAsia" w:hAnsi="宋体"/>
                <w:color w:val="auto"/>
                <w:kern w:val="2"/>
                <w:sz w:val="21"/>
                <w:szCs w:val="21"/>
              </w:rPr>
              <w:t>监督部门：重庆首讯科技股份有限公司党群人力部</w:t>
            </w:r>
          </w:p>
          <w:p>
            <w:pPr>
              <w:pStyle w:val="146"/>
              <w:spacing w:line="400" w:lineRule="exact"/>
              <w:ind w:firstLine="420" w:firstLineChars="200"/>
              <w:rPr>
                <w:rFonts w:hAnsi="宋体"/>
                <w:color w:val="auto"/>
                <w:kern w:val="2"/>
                <w:sz w:val="21"/>
                <w:szCs w:val="21"/>
              </w:rPr>
            </w:pPr>
            <w:r>
              <w:rPr>
                <w:rFonts w:hint="eastAsia" w:hAnsi="宋体"/>
                <w:color w:val="auto"/>
                <w:kern w:val="2"/>
                <w:sz w:val="21"/>
                <w:szCs w:val="21"/>
              </w:rPr>
              <w:t>地    址：重庆市南岸区四公里内环入口高速集团首讯科技大楼</w:t>
            </w:r>
          </w:p>
          <w:p>
            <w:pPr>
              <w:pStyle w:val="146"/>
              <w:spacing w:line="400" w:lineRule="exact"/>
              <w:ind w:firstLine="420" w:firstLineChars="200"/>
              <w:rPr>
                <w:rFonts w:hAnsi="宋体"/>
              </w:rPr>
            </w:pPr>
            <w:r>
              <w:rPr>
                <w:rFonts w:hint="eastAsia" w:hAnsi="宋体"/>
                <w:color w:val="auto"/>
                <w:kern w:val="2"/>
                <w:sz w:val="21"/>
                <w:szCs w:val="21"/>
              </w:rPr>
              <w:t>电    话：</w:t>
            </w:r>
            <w:r>
              <w:rPr>
                <w:rFonts w:hAnsi="宋体"/>
                <w:color w:val="auto"/>
                <w:kern w:val="2"/>
                <w:sz w:val="21"/>
                <w:szCs w:val="21"/>
              </w:rPr>
              <w:t>023-86376833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color w:val="auto"/>
                <w:kern w:val="2"/>
                <w:sz w:val="21"/>
                <w:szCs w:val="21"/>
              </w:rPr>
            </w:pPr>
            <w:r>
              <w:rPr>
                <w:rFonts w:hint="eastAsia" w:hAnsi="宋体"/>
                <w:color w:val="auto"/>
                <w:kern w:val="2"/>
                <w:sz w:val="21"/>
                <w:szCs w:val="21"/>
              </w:rPr>
              <w:t>3</w:t>
            </w:r>
            <w:r>
              <w:rPr>
                <w:rFonts w:hAnsi="宋体"/>
                <w:color w:val="auto"/>
                <w:kern w:val="2"/>
                <w:sz w:val="21"/>
                <w:szCs w:val="21"/>
              </w:rPr>
              <w:t>8</w:t>
            </w:r>
          </w:p>
        </w:tc>
        <w:tc>
          <w:tcPr>
            <w:tcW w:w="9210" w:type="dxa"/>
            <w:gridSpan w:val="2"/>
            <w:vAlign w:val="center"/>
          </w:tcPr>
          <w:p>
            <w:pPr>
              <w:pStyle w:val="146"/>
            </w:pPr>
            <w:r>
              <w:rPr>
                <w:rFonts w:hAnsi="宋体"/>
                <w:b/>
                <w:bCs/>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color w:val="auto"/>
                <w:kern w:val="2"/>
                <w:sz w:val="21"/>
                <w:szCs w:val="21"/>
              </w:rPr>
            </w:pPr>
            <w:r>
              <w:rPr>
                <w:rFonts w:hint="eastAsia" w:hAnsi="宋体"/>
                <w:color w:val="auto"/>
                <w:kern w:val="2"/>
                <w:sz w:val="21"/>
                <w:szCs w:val="21"/>
              </w:rPr>
              <w:t>3</w:t>
            </w:r>
            <w:r>
              <w:rPr>
                <w:rFonts w:hAnsi="宋体"/>
                <w:color w:val="auto"/>
                <w:kern w:val="2"/>
                <w:sz w:val="21"/>
                <w:szCs w:val="21"/>
              </w:rPr>
              <w:t>8</w:t>
            </w:r>
            <w:r>
              <w:rPr>
                <w:rFonts w:hint="eastAsia" w:hAnsi="宋体"/>
                <w:color w:val="auto"/>
                <w:kern w:val="2"/>
                <w:sz w:val="21"/>
                <w:szCs w:val="21"/>
              </w:rPr>
              <w:t>.1</w:t>
            </w:r>
          </w:p>
        </w:tc>
        <w:tc>
          <w:tcPr>
            <w:tcW w:w="9210" w:type="dxa"/>
            <w:gridSpan w:val="2"/>
            <w:vAlign w:val="center"/>
          </w:tcPr>
          <w:p>
            <w:pPr>
              <w:pStyle w:val="146"/>
              <w:spacing w:line="400" w:lineRule="exact"/>
              <w:ind w:firstLine="420" w:firstLineChars="200"/>
              <w:rPr>
                <w:rFonts w:hAnsi="宋体"/>
                <w:color w:val="auto"/>
                <w:kern w:val="2"/>
                <w:sz w:val="21"/>
                <w:szCs w:val="21"/>
              </w:rPr>
            </w:pPr>
            <w:r>
              <w:rPr>
                <w:rFonts w:hint="eastAsia" w:hAnsi="宋体"/>
                <w:sz w:val="21"/>
                <w:szCs w:val="21"/>
              </w:rPr>
              <w:t>截止竞争性比选响应文件递交时间，递交竞争性比选响应文件不足3家的不得开启竞争性比选文件。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97" w:type="dxa"/>
            <w:vAlign w:val="center"/>
          </w:tcPr>
          <w:p>
            <w:pPr>
              <w:pStyle w:val="146"/>
              <w:spacing w:line="400" w:lineRule="exact"/>
              <w:jc w:val="center"/>
              <w:rPr>
                <w:rFonts w:hAnsi="宋体"/>
                <w:color w:val="auto"/>
                <w:kern w:val="2"/>
                <w:sz w:val="21"/>
                <w:szCs w:val="21"/>
              </w:rPr>
            </w:pPr>
            <w:r>
              <w:rPr>
                <w:rFonts w:hint="eastAsia" w:hAnsi="宋体"/>
                <w:color w:val="auto"/>
                <w:kern w:val="2"/>
                <w:sz w:val="21"/>
                <w:szCs w:val="21"/>
              </w:rPr>
              <w:t>3</w:t>
            </w:r>
            <w:r>
              <w:rPr>
                <w:rFonts w:hAnsi="宋体"/>
                <w:color w:val="auto"/>
                <w:kern w:val="2"/>
                <w:sz w:val="21"/>
                <w:szCs w:val="21"/>
              </w:rPr>
              <w:t>8</w:t>
            </w:r>
            <w:r>
              <w:rPr>
                <w:rFonts w:hint="eastAsia" w:hAnsi="宋体"/>
                <w:color w:val="auto"/>
                <w:kern w:val="2"/>
                <w:sz w:val="21"/>
                <w:szCs w:val="21"/>
              </w:rPr>
              <w:t>.2</w:t>
            </w:r>
          </w:p>
        </w:tc>
        <w:tc>
          <w:tcPr>
            <w:tcW w:w="9210" w:type="dxa"/>
            <w:gridSpan w:val="2"/>
            <w:vAlign w:val="center"/>
          </w:tcPr>
          <w:p>
            <w:pPr>
              <w:pStyle w:val="146"/>
              <w:spacing w:line="400" w:lineRule="exact"/>
              <w:ind w:firstLine="420" w:firstLineChars="200"/>
              <w:rPr>
                <w:rFonts w:hAnsi="宋体"/>
                <w:color w:val="auto"/>
                <w:kern w:val="2"/>
                <w:sz w:val="21"/>
                <w:szCs w:val="21"/>
              </w:rPr>
            </w:pPr>
            <w:r>
              <w:rPr>
                <w:rFonts w:hint="eastAsia" w:hAnsi="宋体"/>
                <w:sz w:val="21"/>
                <w:szCs w:val="21"/>
              </w:rPr>
              <w:t>重新招标后报价人仍少于3个，按法定程序开标和评标，确定中标人。经评审无合格报价人，属于必须审批或核准的工程建设项目，经原审批或核准部门批准后不再进行招标。</w:t>
            </w:r>
          </w:p>
        </w:tc>
      </w:tr>
      <w:bookmarkEnd w:id="107"/>
    </w:tbl>
    <w:p>
      <w:pPr>
        <w:spacing w:line="360" w:lineRule="auto"/>
        <w:jc w:val="center"/>
        <w:rPr>
          <w:rFonts w:ascii="宋体" w:hAnsi="宋体" w:cs="宋体"/>
          <w:b/>
          <w:sz w:val="28"/>
          <w:szCs w:val="28"/>
        </w:rPr>
        <w:sectPr>
          <w:footerReference r:id="rId7" w:type="default"/>
          <w:pgSz w:w="11906" w:h="16838"/>
          <w:pgMar w:top="1418" w:right="1134" w:bottom="1418" w:left="1134" w:header="851" w:footer="992" w:gutter="0"/>
          <w:cols w:space="720" w:num="1"/>
          <w:docGrid w:type="lines" w:linePitch="312" w:charSpace="0"/>
        </w:sectPr>
      </w:pPr>
    </w:p>
    <w:p>
      <w:pPr>
        <w:pStyle w:val="4"/>
        <w:jc w:val="center"/>
        <w:rPr>
          <w:rFonts w:ascii="宋体" w:hAnsi="宋体" w:eastAsia="宋体" w:cs="宋体"/>
          <w:sz w:val="30"/>
          <w:szCs w:val="30"/>
        </w:rPr>
      </w:pPr>
      <w:bookmarkStart w:id="109" w:name="_Toc11284"/>
      <w:bookmarkStart w:id="110" w:name="_Toc30198"/>
      <w:bookmarkStart w:id="111" w:name="_Toc11329222"/>
      <w:bookmarkStart w:id="112" w:name="_Toc31095"/>
      <w:bookmarkStart w:id="113" w:name="_Toc17532"/>
      <w:r>
        <w:rPr>
          <w:rFonts w:hint="eastAsia" w:ascii="宋体" w:hAnsi="宋体" w:eastAsia="宋体" w:cs="宋体"/>
          <w:sz w:val="28"/>
          <w:szCs w:val="28"/>
        </w:rPr>
        <w:t>附录1  资格审查条件（资质最低要求）</w:t>
      </w:r>
      <w:bookmarkEnd w:id="109"/>
      <w:bookmarkEnd w:id="110"/>
      <w:bookmarkEnd w:id="111"/>
      <w:bookmarkEnd w:id="112"/>
      <w:bookmarkEnd w:id="113"/>
    </w:p>
    <w:tbl>
      <w:tblPr>
        <w:tblStyle w:val="40"/>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9108" w:type="dxa"/>
            <w:vAlign w:val="center"/>
          </w:tcPr>
          <w:p>
            <w:pPr>
              <w:spacing w:line="400" w:lineRule="exact"/>
              <w:jc w:val="center"/>
              <w:rPr>
                <w:rFonts w:ascii="宋体" w:hAnsi="宋体" w:cs="宋体"/>
                <w:szCs w:val="21"/>
              </w:rPr>
            </w:pPr>
            <w:r>
              <w:rPr>
                <w:rFonts w:hint="eastAsia" w:ascii="宋体" w:hAnsi="宋体" w:cs="宋体"/>
                <w:szCs w:val="21"/>
              </w:rPr>
              <w:t>施工企业资质要求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9108" w:type="dxa"/>
          </w:tcPr>
          <w:p>
            <w:pPr>
              <w:spacing w:line="360" w:lineRule="auto"/>
            </w:pPr>
            <w:r>
              <w:rPr>
                <w:rFonts w:hint="eastAsia"/>
              </w:rPr>
              <w:t>1.具有独立法人资格；</w:t>
            </w:r>
          </w:p>
          <w:p>
            <w:pPr>
              <w:spacing w:line="360" w:lineRule="auto"/>
            </w:pPr>
            <w:r>
              <w:rPr>
                <w:rFonts w:hint="eastAsia"/>
              </w:rPr>
              <w:t>2.具有有效的营业执照（营业执照经营范围</w:t>
            </w:r>
            <w:r>
              <w:rPr>
                <w:rFonts w:hint="eastAsia"/>
                <w:lang w:val="en-US" w:eastAsia="zh-CN"/>
              </w:rPr>
              <w:t>需</w:t>
            </w:r>
            <w:r>
              <w:rPr>
                <w:rFonts w:hint="eastAsia"/>
              </w:rPr>
              <w:t>包括钢质防火门或隧道横洞门的生产或制造等内容）。</w:t>
            </w:r>
          </w:p>
        </w:tc>
      </w:tr>
    </w:tbl>
    <w:p>
      <w:pPr>
        <w:spacing w:line="440" w:lineRule="exact"/>
        <w:ind w:firstLine="402" w:firstLineChars="200"/>
        <w:rPr>
          <w:rFonts w:ascii="Calibri" w:hAnsi="Calibri"/>
          <w:b/>
          <w:bCs/>
          <w:caps/>
          <w:sz w:val="20"/>
          <w:szCs w:val="20"/>
        </w:rPr>
      </w:pPr>
      <w:r>
        <w:rPr>
          <w:rFonts w:hint="eastAsia" w:ascii="Calibri" w:hAnsi="Calibri"/>
          <w:b/>
          <w:bCs/>
          <w:caps/>
          <w:sz w:val="20"/>
          <w:szCs w:val="20"/>
        </w:rPr>
        <w:t>注：须提供营业执照扫描件，并加盖单位公章。</w:t>
      </w:r>
    </w:p>
    <w:p>
      <w:pPr>
        <w:spacing w:line="440" w:lineRule="exact"/>
        <w:ind w:firstLine="413" w:firstLineChars="147"/>
        <w:jc w:val="center"/>
        <w:rPr>
          <w:rFonts w:ascii="宋体" w:hAnsi="宋体" w:cs="宋体"/>
          <w:b/>
          <w:sz w:val="28"/>
          <w:szCs w:val="28"/>
        </w:rPr>
      </w:pPr>
    </w:p>
    <w:p>
      <w:pPr>
        <w:pStyle w:val="4"/>
        <w:jc w:val="center"/>
        <w:rPr>
          <w:rFonts w:ascii="宋体" w:hAnsi="宋体" w:eastAsia="宋体" w:cs="宋体"/>
          <w:bCs w:val="0"/>
        </w:rPr>
      </w:pPr>
      <w:bookmarkStart w:id="114" w:name="_Toc17235"/>
      <w:bookmarkStart w:id="115" w:name="_Toc11329223"/>
      <w:bookmarkStart w:id="116" w:name="_Toc1778"/>
      <w:bookmarkStart w:id="117" w:name="_Toc30995"/>
      <w:bookmarkStart w:id="118" w:name="_Toc19627"/>
      <w:r>
        <w:rPr>
          <w:rFonts w:hint="eastAsia" w:ascii="宋体" w:hAnsi="宋体" w:eastAsia="宋体" w:cs="宋体"/>
          <w:bCs w:val="0"/>
          <w:sz w:val="28"/>
          <w:szCs w:val="28"/>
        </w:rPr>
        <w:t>附录2  资格审查条件（财务最低要求）</w:t>
      </w:r>
      <w:bookmarkEnd w:id="114"/>
      <w:bookmarkEnd w:id="115"/>
      <w:bookmarkEnd w:id="116"/>
      <w:bookmarkEnd w:id="117"/>
      <w:bookmarkEnd w:id="118"/>
    </w:p>
    <w:tbl>
      <w:tblPr>
        <w:tblStyle w:val="40"/>
        <w:tblW w:w="94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9484" w:type="dxa"/>
            <w:vAlign w:val="center"/>
          </w:tcPr>
          <w:p>
            <w:pPr>
              <w:spacing w:line="400" w:lineRule="exact"/>
              <w:jc w:val="center"/>
              <w:rPr>
                <w:rFonts w:ascii="宋体" w:hAnsi="宋体" w:cs="宋体"/>
                <w:szCs w:val="21"/>
              </w:rPr>
            </w:pPr>
            <w:r>
              <w:rPr>
                <w:rFonts w:hint="eastAsia" w:ascii="宋体" w:hAnsi="宋体" w:cs="宋体"/>
                <w:szCs w:val="21"/>
              </w:rPr>
              <w:t>财务要求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484" w:type="dxa"/>
          </w:tcPr>
          <w:p>
            <w:pPr>
              <w:spacing w:line="400" w:lineRule="exact"/>
              <w:rPr>
                <w:rFonts w:hint="eastAsia" w:eastAsia="宋体"/>
                <w:lang w:eastAsia="zh-CN"/>
              </w:rPr>
            </w:pPr>
            <w:r>
              <w:rPr>
                <w:rFonts w:hint="eastAsia"/>
                <w:lang w:val="en-US" w:eastAsia="zh-CN"/>
              </w:rPr>
              <w:t>1、可开具税率为13%的增值税专用发票</w:t>
            </w:r>
          </w:p>
        </w:tc>
      </w:tr>
    </w:tbl>
    <w:p>
      <w:pPr>
        <w:pStyle w:val="4"/>
        <w:jc w:val="center"/>
        <w:rPr>
          <w:rFonts w:ascii="宋体" w:hAnsi="宋体" w:eastAsia="宋体" w:cs="宋体"/>
          <w:bCs w:val="0"/>
          <w:sz w:val="28"/>
          <w:szCs w:val="28"/>
        </w:rPr>
      </w:pPr>
      <w:bookmarkStart w:id="119" w:name="_Toc11329224"/>
    </w:p>
    <w:p>
      <w:pPr>
        <w:pStyle w:val="4"/>
        <w:jc w:val="center"/>
        <w:rPr>
          <w:rFonts w:ascii="宋体" w:hAnsi="宋体" w:eastAsia="宋体" w:cs="宋体"/>
          <w:bCs w:val="0"/>
          <w:sz w:val="28"/>
          <w:szCs w:val="28"/>
        </w:rPr>
      </w:pPr>
      <w:bookmarkStart w:id="120" w:name="_Toc28315"/>
      <w:bookmarkStart w:id="121" w:name="_Toc6263"/>
      <w:bookmarkStart w:id="122" w:name="_Toc12457"/>
      <w:bookmarkStart w:id="123" w:name="_Toc16638"/>
      <w:r>
        <w:rPr>
          <w:rFonts w:hint="eastAsia" w:ascii="宋体" w:hAnsi="宋体" w:eastAsia="宋体" w:cs="宋体"/>
          <w:bCs w:val="0"/>
          <w:sz w:val="28"/>
          <w:szCs w:val="28"/>
        </w:rPr>
        <w:t>附录3  资格审查条件（业绩最低要求）</w:t>
      </w:r>
      <w:bookmarkEnd w:id="119"/>
      <w:bookmarkEnd w:id="120"/>
      <w:bookmarkEnd w:id="121"/>
      <w:bookmarkEnd w:id="122"/>
      <w:bookmarkEnd w:id="123"/>
    </w:p>
    <w:tbl>
      <w:tblPr>
        <w:tblStyle w:val="4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322" w:type="dxa"/>
            <w:vAlign w:val="center"/>
          </w:tcPr>
          <w:p>
            <w:pPr>
              <w:spacing w:line="400" w:lineRule="exact"/>
              <w:jc w:val="center"/>
              <w:rPr>
                <w:rFonts w:ascii="宋体" w:hAnsi="宋体" w:cs="宋体"/>
                <w:szCs w:val="21"/>
              </w:rPr>
            </w:pPr>
            <w:r>
              <w:rPr>
                <w:rFonts w:hint="eastAsia" w:ascii="宋体" w:hAnsi="宋体" w:cs="宋体"/>
                <w:szCs w:val="21"/>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9322" w:type="dxa"/>
          </w:tcPr>
          <w:p>
            <w:pPr>
              <w:spacing w:line="400" w:lineRule="exact"/>
            </w:pPr>
            <w:r>
              <w:rPr>
                <w:rFonts w:hint="eastAsia" w:ascii="宋体" w:hAnsi="宋体" w:cs="宋体"/>
                <w:b w:val="0"/>
                <w:bCs w:val="0"/>
                <w:caps w:val="0"/>
                <w:sz w:val="21"/>
                <w:szCs w:val="21"/>
                <w:shd w:val="clear" w:color="auto" w:fill="FFFFFF"/>
              </w:rPr>
              <w:t>2018年1月1日至投标截止日（以合同签订时间为准），承担过</w:t>
            </w:r>
            <w:r>
              <w:rPr>
                <w:rFonts w:hint="eastAsia" w:ascii="宋体" w:hAnsi="宋体" w:cs="宋体"/>
                <w:b w:val="0"/>
                <w:bCs w:val="0"/>
                <w:caps w:val="0"/>
                <w:sz w:val="21"/>
                <w:szCs w:val="21"/>
                <w:shd w:val="clear" w:color="auto" w:fill="FFFFFF"/>
                <w:lang w:val="en-US" w:eastAsia="zh-CN"/>
              </w:rPr>
              <w:t>全国已通车</w:t>
            </w:r>
            <w:r>
              <w:rPr>
                <w:rFonts w:hint="eastAsia" w:ascii="宋体" w:hAnsi="宋体" w:cs="宋体"/>
                <w:b w:val="0"/>
                <w:bCs w:val="0"/>
                <w:caps w:val="0"/>
                <w:sz w:val="21"/>
                <w:szCs w:val="21"/>
                <w:shd w:val="clear" w:color="auto" w:fill="FFFFFF"/>
              </w:rPr>
              <w:t>高速公路项目隧道横洞门的</w:t>
            </w:r>
            <w:r>
              <w:rPr>
                <w:rFonts w:hint="eastAsia" w:ascii="宋体" w:hAnsi="宋体" w:cs="宋体"/>
                <w:b w:val="0"/>
                <w:bCs w:val="0"/>
                <w:caps w:val="0"/>
                <w:sz w:val="21"/>
                <w:szCs w:val="21"/>
                <w:shd w:val="clear" w:color="auto" w:fill="FFFFFF"/>
                <w:lang w:val="en-US" w:eastAsia="zh-CN"/>
              </w:rPr>
              <w:t>更换项目，有独立</w:t>
            </w:r>
            <w:r>
              <w:rPr>
                <w:rFonts w:hint="eastAsia" w:ascii="宋体" w:hAnsi="宋体" w:cs="宋体"/>
                <w:b w:val="0"/>
                <w:bCs w:val="0"/>
                <w:caps w:val="0"/>
                <w:sz w:val="21"/>
                <w:szCs w:val="21"/>
                <w:shd w:val="clear" w:color="auto" w:fill="FFFFFF"/>
              </w:rPr>
              <w:t>供货</w:t>
            </w:r>
            <w:r>
              <w:rPr>
                <w:rFonts w:hint="eastAsia" w:ascii="宋体" w:hAnsi="宋体" w:cs="宋体"/>
                <w:b w:val="0"/>
                <w:bCs w:val="0"/>
                <w:caps w:val="0"/>
                <w:sz w:val="21"/>
                <w:szCs w:val="21"/>
                <w:shd w:val="clear" w:color="auto" w:fill="FFFFFF"/>
                <w:lang w:val="en-US" w:eastAsia="zh-CN"/>
              </w:rPr>
              <w:t>安装</w:t>
            </w:r>
            <w:r>
              <w:rPr>
                <w:rFonts w:hint="eastAsia" w:ascii="宋体" w:hAnsi="宋体" w:cs="宋体"/>
                <w:b w:val="0"/>
                <w:bCs w:val="0"/>
                <w:caps w:val="0"/>
                <w:sz w:val="21"/>
                <w:szCs w:val="21"/>
                <w:shd w:val="clear" w:color="auto" w:fill="FFFFFF"/>
              </w:rPr>
              <w:t>业绩</w:t>
            </w:r>
            <w:r>
              <w:rPr>
                <w:rFonts w:hint="eastAsia" w:ascii="宋体" w:hAnsi="宋体" w:cs="宋体"/>
                <w:b w:val="0"/>
                <w:bCs w:val="0"/>
                <w:caps w:val="0"/>
                <w:sz w:val="21"/>
                <w:szCs w:val="21"/>
                <w:shd w:val="clear" w:color="auto" w:fill="FFFFFF"/>
                <w:lang w:eastAsia="zh-CN"/>
              </w:rPr>
              <w:t>，</w:t>
            </w:r>
            <w:r>
              <w:rPr>
                <w:rFonts w:hint="eastAsia" w:ascii="宋体" w:hAnsi="宋体" w:cs="宋体"/>
                <w:b w:val="0"/>
                <w:bCs w:val="0"/>
                <w:caps w:val="0"/>
                <w:color w:val="auto"/>
                <w:kern w:val="2"/>
                <w:sz w:val="21"/>
                <w:szCs w:val="21"/>
                <w:shd w:val="clear" w:color="auto" w:fill="FFFFFF"/>
                <w:lang w:val="en-US" w:eastAsia="zh-CN" w:bidi="ar-SA"/>
              </w:rPr>
              <w:t>且单个合同金额不低于70万。</w:t>
            </w:r>
          </w:p>
        </w:tc>
      </w:tr>
    </w:tbl>
    <w:p>
      <w:pPr>
        <w:spacing w:line="440" w:lineRule="exact"/>
        <w:ind w:firstLine="402" w:firstLineChars="200"/>
        <w:rPr>
          <w:rFonts w:ascii="Calibri" w:hAnsi="Calibri"/>
          <w:b/>
          <w:bCs/>
          <w:caps/>
          <w:sz w:val="20"/>
          <w:szCs w:val="20"/>
        </w:rPr>
      </w:pPr>
      <w:bookmarkStart w:id="124" w:name="_Toc11329225"/>
      <w:r>
        <w:rPr>
          <w:rFonts w:hint="eastAsia" w:ascii="Calibri" w:hAnsi="Calibri"/>
          <w:b/>
          <w:bCs/>
          <w:caps/>
          <w:sz w:val="20"/>
          <w:szCs w:val="20"/>
        </w:rPr>
        <w:t>注：业绩需提供合同复印件，加盖报价人公章。</w:t>
      </w:r>
    </w:p>
    <w:p>
      <w:pPr>
        <w:pStyle w:val="4"/>
        <w:rPr>
          <w:rFonts w:ascii="宋体" w:hAnsi="宋体" w:eastAsia="宋体" w:cs="宋体"/>
          <w:bCs w:val="0"/>
          <w:sz w:val="28"/>
          <w:szCs w:val="28"/>
        </w:rPr>
      </w:pPr>
    </w:p>
    <w:p>
      <w:pPr>
        <w:pStyle w:val="4"/>
        <w:jc w:val="center"/>
        <w:rPr>
          <w:rFonts w:ascii="宋体" w:hAnsi="宋体" w:cs="宋体"/>
          <w:b w:val="0"/>
          <w:sz w:val="28"/>
          <w:szCs w:val="28"/>
        </w:rPr>
      </w:pPr>
      <w:bookmarkStart w:id="125" w:name="_Toc26749"/>
      <w:bookmarkStart w:id="126" w:name="_Toc12296"/>
      <w:bookmarkStart w:id="127" w:name="_Toc2766"/>
      <w:bookmarkStart w:id="128" w:name="_Toc10083"/>
      <w:r>
        <w:rPr>
          <w:rFonts w:hint="eastAsia" w:ascii="宋体" w:hAnsi="宋体" w:eastAsia="宋体" w:cs="宋体"/>
          <w:bCs w:val="0"/>
          <w:sz w:val="28"/>
          <w:szCs w:val="28"/>
        </w:rPr>
        <w:t>附录4 资格审查条件（信誉最低要求）</w:t>
      </w:r>
      <w:bookmarkEnd w:id="124"/>
      <w:bookmarkEnd w:id="125"/>
      <w:bookmarkEnd w:id="126"/>
      <w:bookmarkEnd w:id="127"/>
      <w:bookmarkEnd w:id="128"/>
    </w:p>
    <w:tbl>
      <w:tblPr>
        <w:tblStyle w:val="40"/>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9213" w:type="dxa"/>
          </w:tcPr>
          <w:p>
            <w:pPr>
              <w:spacing w:line="400" w:lineRule="exact"/>
              <w:jc w:val="center"/>
              <w:rPr>
                <w:rFonts w:ascii="宋体" w:hAnsi="宋体" w:cs="宋体"/>
                <w:szCs w:val="21"/>
              </w:rPr>
            </w:pPr>
            <w:r>
              <w:rPr>
                <w:rFonts w:hint="eastAsia" w:ascii="宋体" w:hAnsi="宋体" w:cs="宋体"/>
                <w:szCs w:val="21"/>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7" w:hRule="atLeast"/>
          <w:jc w:val="center"/>
        </w:trPr>
        <w:tc>
          <w:tcPr>
            <w:tcW w:w="9213" w:type="dxa"/>
          </w:tcPr>
          <w:p>
            <w:pPr>
              <w:spacing w:line="400" w:lineRule="exact"/>
              <w:jc w:val="left"/>
              <w:rPr>
                <w:rFonts w:ascii="宋体" w:hAnsi="宋体" w:cs="宋体"/>
              </w:rPr>
            </w:pPr>
            <w:r>
              <w:rPr>
                <w:rFonts w:hint="eastAsia" w:ascii="宋体" w:hAnsi="宋体" w:cs="宋体"/>
              </w:rPr>
              <w:t>1、在国家企业信用信息公示系统（http://www.gsxt.gov.cn/）中未被列入严重违法失信企业名单（</w:t>
            </w:r>
            <w:r>
              <w:rPr>
                <w:rFonts w:ascii="宋体" w:hAnsi="宋体" w:cs="宋体"/>
              </w:rPr>
              <w:t>黑名单）信息</w:t>
            </w:r>
            <w:r>
              <w:rPr>
                <w:rFonts w:hint="eastAsia" w:ascii="宋体" w:hAnsi="宋体" w:cs="宋体"/>
              </w:rPr>
              <w:t>；</w:t>
            </w:r>
          </w:p>
          <w:p>
            <w:pPr>
              <w:spacing w:line="400" w:lineRule="exact"/>
              <w:rPr>
                <w:rFonts w:ascii="宋体" w:hAnsi="宋体" w:cs="宋体"/>
                <w:szCs w:val="21"/>
                <w:shd w:val="clear" w:color="auto" w:fill="FFFFFF"/>
              </w:rPr>
            </w:pPr>
            <w:r>
              <w:rPr>
                <w:rFonts w:hint="eastAsia" w:ascii="宋体" w:hAnsi="宋体" w:cs="宋体"/>
              </w:rPr>
              <w:t>2、在“信用中国”网站（http://www.creditchina.gov.cn/）中未被列入失信惩戒执行人名单；</w:t>
            </w:r>
          </w:p>
        </w:tc>
      </w:tr>
    </w:tbl>
    <w:p>
      <w:pPr>
        <w:pStyle w:val="27"/>
        <w:ind w:firstLine="402" w:firstLineChars="200"/>
        <w:rPr>
          <w:rFonts w:hAnsi="宋体"/>
          <w:sz w:val="21"/>
          <w:szCs w:val="21"/>
        </w:rPr>
      </w:pPr>
      <w:r>
        <w:rPr>
          <w:rFonts w:hint="eastAsia"/>
        </w:rPr>
        <w:t>注：须提供以上材料的截图的扫描件或复印件，加盖单位公章</w:t>
      </w:r>
      <w:r>
        <w:rPr>
          <w:rFonts w:hint="eastAsia" w:hAnsi="宋体"/>
          <w:sz w:val="21"/>
          <w:szCs w:val="21"/>
        </w:rPr>
        <w:t>，并加盖单位鲜公章。</w:t>
      </w:r>
    </w:p>
    <w:p>
      <w:pPr>
        <w:pStyle w:val="4"/>
        <w:jc w:val="center"/>
        <w:rPr>
          <w:rFonts w:ascii="宋体" w:hAnsi="宋体" w:cs="宋体"/>
          <w:b w:val="0"/>
          <w:sz w:val="28"/>
          <w:szCs w:val="28"/>
        </w:rPr>
      </w:pPr>
      <w:bookmarkStart w:id="129" w:name="_Toc19762"/>
      <w:r>
        <w:rPr>
          <w:rFonts w:hint="eastAsia" w:ascii="宋体" w:hAnsi="宋体" w:eastAsia="宋体" w:cs="宋体"/>
          <w:bCs w:val="0"/>
          <w:sz w:val="28"/>
          <w:szCs w:val="28"/>
        </w:rPr>
        <w:t>附录5 资格审查条件（设备安装要求）</w:t>
      </w:r>
      <w:bookmarkEnd w:id="129"/>
    </w:p>
    <w:tbl>
      <w:tblPr>
        <w:tblStyle w:val="40"/>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9213" w:type="dxa"/>
          </w:tcPr>
          <w:p>
            <w:pPr>
              <w:spacing w:line="400" w:lineRule="exact"/>
              <w:jc w:val="center"/>
              <w:rPr>
                <w:rFonts w:ascii="宋体" w:hAnsi="宋体" w:cs="宋体"/>
                <w:szCs w:val="21"/>
              </w:rPr>
            </w:pPr>
            <w:r>
              <w:rPr>
                <w:rFonts w:hint="eastAsia" w:ascii="宋体" w:hAnsi="宋体" w:cs="宋体"/>
                <w:szCs w:val="21"/>
              </w:rPr>
              <w:t>设备安装要求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9213" w:type="dxa"/>
          </w:tcPr>
          <w:p>
            <w:pPr>
              <w:spacing w:line="400" w:lineRule="exact"/>
              <w:jc w:val="left"/>
              <w:rPr>
                <w:rFonts w:ascii="宋体" w:hAnsi="宋体" w:cs="宋体"/>
                <w:szCs w:val="21"/>
                <w:shd w:val="clear" w:color="auto" w:fill="FFFFFF"/>
              </w:rPr>
            </w:pPr>
            <w:r>
              <w:rPr>
                <w:rFonts w:hint="eastAsia" w:ascii="宋体" w:hAnsi="宋体" w:cs="宋体"/>
              </w:rPr>
              <w:t>1、设备的安装须由具备消防设施工程专业承包壹级资质的单位开展，如卖方仅为设备生产商，不具备该资质，买方允许卖方对设备的安装进行专业分包，专业分包单位须具备消防设施工程专业承包壹级资质，并在设备进场安装前，由卖方向买方处进行单位核备，买方同意后，可以进场进行安装</w:t>
            </w:r>
            <w:r>
              <w:rPr>
                <w:rFonts w:hint="eastAsia" w:ascii="宋体" w:hAnsi="宋体" w:cs="宋体"/>
                <w:lang w:eastAsia="zh-CN"/>
              </w:rPr>
              <w:t>，中标单位需负责派驻安全员现场监督</w:t>
            </w:r>
            <w:r>
              <w:rPr>
                <w:rFonts w:hint="eastAsia" w:ascii="宋体" w:hAnsi="宋体" w:cs="宋体"/>
              </w:rPr>
              <w:t>。</w:t>
            </w:r>
          </w:p>
        </w:tc>
      </w:tr>
    </w:tbl>
    <w:p>
      <w:pPr>
        <w:pStyle w:val="27"/>
      </w:pPr>
      <w:r>
        <w:rPr>
          <w:rFonts w:hint="eastAsia"/>
        </w:rPr>
        <w:t>注：须提供承诺函，承诺设备的安装符合以上要求，加盖单位公章</w:t>
      </w:r>
      <w:r>
        <w:rPr>
          <w:rFonts w:hint="eastAsia" w:hAnsi="宋体"/>
          <w:sz w:val="21"/>
          <w:szCs w:val="21"/>
        </w:rPr>
        <w:t>，并加盖单位鲜公章。</w:t>
      </w:r>
    </w:p>
    <w:p/>
    <w:p>
      <w:pPr>
        <w:pStyle w:val="146"/>
        <w:adjustRightInd/>
        <w:spacing w:line="360" w:lineRule="auto"/>
        <w:jc w:val="both"/>
        <w:rPr>
          <w:rFonts w:hAnsi="宋体"/>
          <w:bCs/>
          <w:color w:val="auto"/>
          <w:sz w:val="21"/>
          <w:szCs w:val="21"/>
        </w:rPr>
      </w:pPr>
      <w:bookmarkStart w:id="130" w:name="_Toc388534043"/>
      <w:bookmarkStart w:id="131" w:name="_Toc387234996"/>
    </w:p>
    <w:bookmarkEnd w:id="130"/>
    <w:bookmarkEnd w:id="131"/>
    <w:p>
      <w:pPr>
        <w:spacing w:line="440" w:lineRule="exact"/>
        <w:rPr>
          <w:rFonts w:ascii="宋体" w:hAnsi="宋体" w:cs="宋体"/>
          <w:szCs w:val="21"/>
        </w:rPr>
        <w:sectPr>
          <w:footerReference r:id="rId8" w:type="default"/>
          <w:pgSz w:w="11906" w:h="16838"/>
          <w:pgMar w:top="1440" w:right="1800" w:bottom="1440" w:left="1800" w:header="851" w:footer="992" w:gutter="0"/>
          <w:cols w:space="720" w:num="1"/>
          <w:titlePg/>
          <w:docGrid w:type="lines" w:linePitch="312" w:charSpace="0"/>
        </w:sectPr>
      </w:pPr>
    </w:p>
    <w:p>
      <w:pPr>
        <w:spacing w:line="440" w:lineRule="exact"/>
        <w:ind w:firstLine="210" w:firstLineChars="100"/>
        <w:rPr>
          <w:rFonts w:ascii="宋体" w:hAnsi="宋体" w:cs="宋体"/>
        </w:rPr>
      </w:pPr>
    </w:p>
    <w:p>
      <w:pPr>
        <w:pStyle w:val="3"/>
        <w:spacing w:before="0" w:after="0" w:line="360" w:lineRule="auto"/>
        <w:jc w:val="center"/>
        <w:rPr>
          <w:rFonts w:ascii="宋体" w:hAnsi="宋体" w:cs="宋体"/>
        </w:rPr>
      </w:pPr>
      <w:bookmarkStart w:id="132" w:name="_Toc179632605"/>
      <w:bookmarkStart w:id="133" w:name="_Toc10750"/>
      <w:bookmarkStart w:id="134" w:name="_Toc152042364"/>
      <w:bookmarkStart w:id="135" w:name="_Toc144974554"/>
      <w:bookmarkStart w:id="136" w:name="_Toc507319957"/>
      <w:bookmarkStart w:id="137" w:name="_Toc152045587"/>
      <w:bookmarkStart w:id="138" w:name="_Toc247085745"/>
      <w:bookmarkStart w:id="139" w:name="_Toc246996230"/>
      <w:bookmarkStart w:id="140" w:name="_Toc246996973"/>
      <w:bookmarkStart w:id="141" w:name="_Toc2000406"/>
      <w:r>
        <w:rPr>
          <w:rFonts w:hint="eastAsia" w:ascii="宋体" w:hAnsi="宋体" w:cs="宋体"/>
        </w:rPr>
        <w:t>第三章 评标办法（经评审的最低投标价法）</w:t>
      </w:r>
      <w:bookmarkEnd w:id="132"/>
      <w:bookmarkEnd w:id="133"/>
      <w:bookmarkEnd w:id="134"/>
      <w:bookmarkEnd w:id="135"/>
      <w:bookmarkEnd w:id="136"/>
      <w:bookmarkEnd w:id="137"/>
      <w:bookmarkEnd w:id="138"/>
      <w:bookmarkEnd w:id="139"/>
      <w:bookmarkEnd w:id="140"/>
      <w:bookmarkEnd w:id="141"/>
    </w:p>
    <w:p/>
    <w:tbl>
      <w:tblPr>
        <w:tblStyle w:val="40"/>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rPr>
            </w:pPr>
            <w:r>
              <w:rPr>
                <w:b/>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rPr>
            </w:pPr>
            <w:r>
              <w:rPr>
                <w:b/>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rPr>
            </w:pPr>
            <w:r>
              <w:rPr>
                <w:b/>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pPr>
            <w:r>
              <w:t>1</w:t>
            </w:r>
          </w:p>
        </w:tc>
        <w:tc>
          <w:tcPr>
            <w:tcW w:w="1124" w:type="dxa"/>
            <w:tcBorders>
              <w:top w:val="single" w:color="auto" w:sz="4" w:space="0"/>
              <w:left w:val="single" w:color="auto" w:sz="4" w:space="0"/>
              <w:right w:val="single" w:color="auto" w:sz="4" w:space="0"/>
            </w:tcBorders>
            <w:vAlign w:val="center"/>
          </w:tcPr>
          <w:p>
            <w:pPr>
              <w:spacing w:line="400" w:lineRule="exact"/>
              <w:jc w:val="center"/>
            </w:pPr>
            <w: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中标候选人排序方法</w:t>
            </w:r>
          </w:p>
        </w:tc>
        <w:tc>
          <w:tcPr>
            <w:tcW w:w="5004" w:type="dxa"/>
            <w:tcBorders>
              <w:top w:val="single" w:color="auto" w:sz="4" w:space="0"/>
              <w:left w:val="single" w:color="auto" w:sz="4" w:space="0"/>
              <w:bottom w:val="single" w:color="auto" w:sz="4" w:space="0"/>
            </w:tcBorders>
          </w:tcPr>
          <w:p>
            <w:pPr>
              <w:spacing w:line="360" w:lineRule="auto"/>
            </w:pPr>
            <w:r>
              <w:t>如出现报价相等时，评审小组按以下原则确定第一中标候选人：</w:t>
            </w:r>
          </w:p>
          <w:p>
            <w:pPr>
              <w:spacing w:line="360" w:lineRule="auto"/>
              <w:ind w:firstLine="210" w:firstLineChars="100"/>
            </w:pPr>
            <w:r>
              <w:t>由评审小组</w:t>
            </w:r>
            <w:r>
              <w:rPr>
                <w:rFonts w:hint="eastAsia"/>
              </w:rPr>
              <w:t>随机抽取</w:t>
            </w:r>
            <w:r>
              <w:t>确定。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pPr>
            <w:r>
              <w:rPr>
                <w:rFonts w:hint="eastAsia"/>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pPr>
            <w: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报价</w:t>
            </w:r>
            <w:r>
              <w:t>人名称</w:t>
            </w:r>
          </w:p>
        </w:tc>
        <w:tc>
          <w:tcPr>
            <w:tcW w:w="5004" w:type="dxa"/>
            <w:tcBorders>
              <w:top w:val="single" w:color="auto" w:sz="4" w:space="0"/>
              <w:left w:val="single" w:color="auto" w:sz="4" w:space="0"/>
              <w:bottom w:val="single" w:color="auto" w:sz="4" w:space="0"/>
            </w:tcBorders>
            <w:vAlign w:val="center"/>
          </w:tcPr>
          <w:p>
            <w:pPr>
              <w:spacing w:line="400" w:lineRule="exact"/>
            </w:pPr>
            <w:r>
              <w:t>与营业执照一致。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报价</w:t>
            </w:r>
            <w:r>
              <w:t>函签字盖章</w:t>
            </w:r>
          </w:p>
        </w:tc>
        <w:tc>
          <w:tcPr>
            <w:tcW w:w="5004" w:type="dxa"/>
            <w:tcBorders>
              <w:top w:val="single" w:color="auto" w:sz="4" w:space="0"/>
              <w:left w:val="single" w:color="auto" w:sz="4" w:space="0"/>
              <w:bottom w:val="single" w:color="auto" w:sz="4" w:space="0"/>
            </w:tcBorders>
            <w:vAlign w:val="center"/>
          </w:tcPr>
          <w:p>
            <w:pPr>
              <w:spacing w:line="400" w:lineRule="exact"/>
            </w:pPr>
            <w: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竞争性</w:t>
            </w:r>
            <w: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pPr>
            <w:r>
              <w:t>符合第九章“</w:t>
            </w:r>
            <w:r>
              <w:rPr>
                <w:rFonts w:hint="eastAsia"/>
              </w:rPr>
              <w:t>竞争性</w:t>
            </w:r>
            <w:r>
              <w:t>比选响应文件格式”的要求，字迹清晰可辨。</w:t>
            </w:r>
          </w:p>
          <w:p>
            <w:pPr>
              <w:spacing w:line="400" w:lineRule="exact"/>
            </w:pPr>
            <w:r>
              <w:t>1.</w:t>
            </w:r>
            <w:r>
              <w:rPr>
                <w:rFonts w:hint="eastAsia"/>
              </w:rPr>
              <w:t>报价</w:t>
            </w:r>
            <w:r>
              <w:t>函的所有数据均符合</w:t>
            </w:r>
            <w:r>
              <w:rPr>
                <w:rFonts w:hint="eastAsia"/>
              </w:rPr>
              <w:t>比选</w:t>
            </w:r>
            <w:r>
              <w:t>文件的规定；</w:t>
            </w:r>
          </w:p>
          <w:p>
            <w:pPr>
              <w:spacing w:line="400" w:lineRule="exact"/>
            </w:pPr>
            <w:r>
              <w:t>2.</w:t>
            </w:r>
            <w:r>
              <w:rPr>
                <w:rFonts w:hint="eastAsia"/>
              </w:rPr>
              <w:t>竞争性</w:t>
            </w:r>
            <w: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pPr>
            <w:r>
              <w:t>符合第五章“工程量清单”给出的范围及数量</w:t>
            </w:r>
            <w:r>
              <w:rPr>
                <w:rFonts w:hint="eastAsia"/>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pPr>
            <w:r>
              <w:t>报价其它要求</w:t>
            </w:r>
          </w:p>
        </w:tc>
        <w:tc>
          <w:tcPr>
            <w:tcW w:w="5004" w:type="dxa"/>
            <w:tcBorders>
              <w:top w:val="single" w:color="auto" w:sz="4" w:space="0"/>
              <w:left w:val="single" w:color="auto" w:sz="4" w:space="0"/>
              <w:bottom w:val="single" w:color="auto" w:sz="4" w:space="0"/>
            </w:tcBorders>
            <w:vAlign w:val="center"/>
          </w:tcPr>
          <w:p>
            <w:pPr>
              <w:spacing w:line="440" w:lineRule="exact"/>
            </w:pPr>
            <w:r>
              <w:rPr>
                <w:rFonts w:hint="eastAsia"/>
              </w:rPr>
              <w:t>竞争性</w:t>
            </w:r>
            <w:r>
              <w:t>比选响应文件报价表中的报价与</w:t>
            </w:r>
            <w:r>
              <w:rPr>
                <w:rFonts w:hint="eastAsia"/>
              </w:rPr>
              <w:t>报价</w:t>
            </w:r>
            <w: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right w:val="single" w:color="auto" w:sz="4" w:space="0"/>
            </w:tcBorders>
            <w:vAlign w:val="center"/>
          </w:tcPr>
          <w:p>
            <w:pPr>
              <w:spacing w:line="400" w:lineRule="exact"/>
              <w:jc w:val="center"/>
            </w:pPr>
            <w:r>
              <w:rPr>
                <w:rFonts w:hint="eastAsia"/>
              </w:rPr>
              <w:t>竞争性</w:t>
            </w:r>
            <w: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pPr>
            <w:r>
              <w:rPr>
                <w:rFonts w:hint="eastAsia"/>
              </w:rPr>
              <w:t>竞争性</w:t>
            </w:r>
            <w:r>
              <w:t>比选响应文件正本中法定代表人或授权代理人签署姓名齐全，符合</w:t>
            </w:r>
            <w:r>
              <w:rPr>
                <w:rFonts w:hint="eastAsia"/>
              </w:rPr>
              <w:t>比选</w:t>
            </w:r>
            <w: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right w:val="single" w:color="auto" w:sz="4" w:space="0"/>
            </w:tcBorders>
            <w:vAlign w:val="center"/>
          </w:tcPr>
          <w:p>
            <w:pPr>
              <w:spacing w:line="400" w:lineRule="exact"/>
              <w:jc w:val="center"/>
            </w:pPr>
            <w:r>
              <w:t>其它材料</w:t>
            </w:r>
          </w:p>
        </w:tc>
        <w:tc>
          <w:tcPr>
            <w:tcW w:w="5004" w:type="dxa"/>
            <w:tcBorders>
              <w:top w:val="single" w:color="auto" w:sz="4" w:space="0"/>
              <w:left w:val="single" w:color="auto" w:sz="4" w:space="0"/>
            </w:tcBorders>
            <w:vAlign w:val="center"/>
          </w:tcPr>
          <w:p>
            <w:pPr>
              <w:spacing w:line="400" w:lineRule="exact"/>
            </w:pPr>
            <w:r>
              <w:t>与</w:t>
            </w:r>
            <w:r>
              <w:rPr>
                <w:rFonts w:hint="eastAsia"/>
              </w:rPr>
              <w:t>采购人</w:t>
            </w:r>
            <w:r>
              <w:t>存在利害关系可能影响</w:t>
            </w:r>
            <w:r>
              <w:rPr>
                <w:rFonts w:hint="eastAsia"/>
              </w:rPr>
              <w:t>比选</w:t>
            </w:r>
            <w:r>
              <w:t>公正性的法人、其他组织或者个人，不得参加</w:t>
            </w:r>
            <w:r>
              <w:rPr>
                <w:rFonts w:hint="eastAsia"/>
              </w:rPr>
              <w:t>报价</w:t>
            </w:r>
            <w:r>
              <w:t>；单位负责人为同一人或者存在控股、管理关系的不同单位，不得同时参加</w:t>
            </w:r>
            <w:r>
              <w:rPr>
                <w:rFonts w:hint="eastAsia"/>
              </w:rPr>
              <w:t>报价</w:t>
            </w:r>
            <w:r>
              <w:t>，否则相关</w:t>
            </w:r>
            <w:r>
              <w:rPr>
                <w:rFonts w:hint="eastAsia"/>
              </w:rPr>
              <w:t>报价</w:t>
            </w:r>
            <w: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pPr>
            <w:r>
              <w:rPr>
                <w:rFonts w:hint="eastAsia"/>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营业执照</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11</w:t>
            </w:r>
            <w:r>
              <w:t>项规定，具备有效的营业执照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资质要求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人须知”前附表附录1的规定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财务要求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人须知”前附表附录2的规定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业绩要求</w:t>
            </w:r>
          </w:p>
        </w:tc>
        <w:tc>
          <w:tcPr>
            <w:tcW w:w="5004" w:type="dxa"/>
            <w:tcBorders>
              <w:top w:val="single" w:color="auto" w:sz="4" w:space="0"/>
              <w:left w:val="single" w:color="auto" w:sz="4" w:space="0"/>
              <w:bottom w:val="single" w:color="auto" w:sz="4" w:space="0"/>
            </w:tcBorders>
          </w:tcPr>
          <w:p>
            <w:pPr>
              <w:spacing w:line="400" w:lineRule="exact"/>
            </w:pPr>
            <w:r>
              <w:t>符合第二章“</w:t>
            </w:r>
            <w:r>
              <w:rPr>
                <w:rFonts w:hint="eastAsia"/>
              </w:rPr>
              <w:t>报价</w:t>
            </w:r>
            <w:r>
              <w:t>人须知”前附表附录3的规定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信誉要求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人须知”前附表附录4的规定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kern w:val="1"/>
              </w:rPr>
            </w:pPr>
            <w:r>
              <w:rPr>
                <w:rFonts w:hint="eastAsia"/>
                <w:kern w:val="1"/>
              </w:rPr>
              <w:t>设备安装要求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w:t>
            </w:r>
            <w:r>
              <w:rPr>
                <w:rFonts w:hint="eastAsia"/>
              </w:rPr>
              <w:t>5</w:t>
            </w:r>
            <w: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7" w:hRule="atLeas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pPr>
            <w:r>
              <w:rPr>
                <w:rFonts w:hint="eastAsia"/>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投标内容</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7</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报价</w:t>
            </w:r>
          </w:p>
        </w:tc>
        <w:tc>
          <w:tcPr>
            <w:tcW w:w="5004" w:type="dxa"/>
            <w:tcBorders>
              <w:top w:val="single" w:color="auto" w:sz="4" w:space="0"/>
              <w:left w:val="single" w:color="auto" w:sz="4" w:space="0"/>
              <w:bottom w:val="single" w:color="auto" w:sz="4" w:space="0"/>
            </w:tcBorders>
            <w:vAlign w:val="center"/>
          </w:tcPr>
          <w:p>
            <w:pPr>
              <w:spacing w:line="400" w:lineRule="exact"/>
            </w:pPr>
            <w:r>
              <w:t>符合比选文件给出的范围及数量，且报价不得超过</w:t>
            </w:r>
            <w:r>
              <w:rPr>
                <w:rFonts w:hint="eastAsia"/>
              </w:rPr>
              <w:t>采购人</w:t>
            </w:r>
            <w:r>
              <w:t>公布的最高限价，但也不得低于</w:t>
            </w:r>
            <w:r>
              <w:rPr>
                <w:rFonts w:hint="eastAsia"/>
              </w:rPr>
              <w:t>报价</w:t>
            </w:r>
            <w: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供货</w:t>
            </w:r>
            <w:r>
              <w:t>期</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rPr>
                <w:rFonts w:hint="eastAsia"/>
              </w:rPr>
              <w:t>项目</w:t>
            </w:r>
            <w:r>
              <w:t>地点</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9</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质量标准</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10</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安全目标</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rPr>
              <w:t>23</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pPr>
            <w:r>
              <w:rPr>
                <w:rFonts w:hint="eastAsia"/>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pPr>
            <w:r>
              <w:t>补充细化：</w:t>
            </w:r>
          </w:p>
          <w:p>
            <w:pPr>
              <w:spacing w:line="400" w:lineRule="exact"/>
              <w:ind w:firstLine="420" w:firstLineChars="200"/>
            </w:pPr>
            <w:r>
              <w:t>本项目评标采用经评审的最低投标价法，对通过初步评审、详细评审的</w:t>
            </w:r>
            <w:r>
              <w:rPr>
                <w:rFonts w:hint="eastAsia"/>
              </w:rPr>
              <w:t>报价</w:t>
            </w:r>
            <w:r>
              <w:t>人按照</w:t>
            </w:r>
            <w:r>
              <w:rPr>
                <w:rFonts w:hint="eastAsia"/>
              </w:rPr>
              <w:t>报</w:t>
            </w:r>
            <w:r>
              <w:t>价从低到高的先后顺序，推荐</w:t>
            </w:r>
            <w:r>
              <w:rPr>
                <w:rFonts w:hint="eastAsia"/>
              </w:rPr>
              <w:t>1</w:t>
            </w:r>
            <w:r>
              <w:t>名中标候选人。</w:t>
            </w:r>
          </w:p>
        </w:tc>
      </w:tr>
    </w:tbl>
    <w:p>
      <w:pPr>
        <w:rPr>
          <w:rFonts w:ascii="宋体" w:hAnsi="宋体" w:cs="宋体"/>
        </w:rPr>
      </w:pPr>
    </w:p>
    <w:p>
      <w:pPr>
        <w:pStyle w:val="4"/>
        <w:spacing w:before="156" w:beforeLines="50" w:after="156" w:afterLines="50" w:line="400" w:lineRule="exact"/>
        <w:rPr>
          <w:rFonts w:ascii="宋体" w:hAnsi="宋体"/>
          <w:sz w:val="21"/>
          <w:szCs w:val="21"/>
        </w:rPr>
      </w:pPr>
      <w:r>
        <w:rPr>
          <w:rFonts w:hint="eastAsia" w:ascii="宋体" w:hAnsi="宋体"/>
          <w:sz w:val="21"/>
          <w:szCs w:val="21"/>
        </w:rPr>
        <w:t>1. 评标方法</w:t>
      </w:r>
    </w:p>
    <w:p>
      <w:pPr>
        <w:spacing w:line="400" w:lineRule="exact"/>
        <w:ind w:firstLine="420" w:firstLineChars="200"/>
        <w:rPr>
          <w:rFonts w:ascii="宋体" w:hAnsi="宋体"/>
          <w:szCs w:val="21"/>
        </w:rPr>
      </w:pPr>
      <w:r>
        <w:rPr>
          <w:rFonts w:ascii="宋体" w:hAnsi="宋体"/>
          <w:szCs w:val="21"/>
        </w:rPr>
        <w:t>本次评标采用经</w:t>
      </w:r>
      <w:r>
        <w:rPr>
          <w:rFonts w:hint="eastAsia" w:ascii="宋体" w:hAnsi="宋体"/>
          <w:szCs w:val="21"/>
        </w:rPr>
        <w:t>评审的最低投标价法</w:t>
      </w:r>
      <w:r>
        <w:rPr>
          <w:rFonts w:ascii="宋体" w:hAnsi="宋体"/>
          <w:szCs w:val="21"/>
        </w:rPr>
        <w:t>。评标委员会对满足招标文件实质性要求的投标文件，并按照投标价由低到高的顺序推荐中</w:t>
      </w:r>
      <w:bookmarkStart w:id="142" w:name="_Toc361508655"/>
      <w:bookmarkStart w:id="143" w:name="_Toc384308281"/>
      <w:bookmarkStart w:id="144" w:name="_Toc247514031"/>
      <w:bookmarkStart w:id="145" w:name="_Toc247527632"/>
      <w:bookmarkStart w:id="146" w:name="_Toc369531586"/>
      <w:bookmarkStart w:id="147" w:name="_Toc352691542"/>
      <w:bookmarkStart w:id="148" w:name="_Toc152042385"/>
      <w:bookmarkStart w:id="149" w:name="_Toc300835017"/>
      <w:bookmarkStart w:id="150" w:name="_Toc144974575"/>
      <w:bookmarkStart w:id="151" w:name="_Toc30581"/>
      <w:bookmarkStart w:id="152" w:name="_Toc152045607"/>
      <w:r>
        <w:rPr>
          <w:rFonts w:ascii="宋体" w:hAnsi="宋体"/>
          <w:szCs w:val="21"/>
        </w:rPr>
        <w:t>标候选人，</w:t>
      </w:r>
      <w:bookmarkEnd w:id="142"/>
      <w:bookmarkEnd w:id="143"/>
      <w:bookmarkEnd w:id="144"/>
      <w:bookmarkEnd w:id="145"/>
      <w:bookmarkEnd w:id="146"/>
      <w:bookmarkEnd w:id="147"/>
      <w:bookmarkEnd w:id="148"/>
      <w:bookmarkEnd w:id="149"/>
      <w:bookmarkEnd w:id="150"/>
      <w:bookmarkEnd w:id="151"/>
      <w:bookmarkEnd w:id="152"/>
      <w:r>
        <w:rPr>
          <w:rFonts w:ascii="宋体" w:hAnsi="宋体"/>
          <w:szCs w:val="21"/>
        </w:rPr>
        <w:t>但投标报价低于其成本的除外。经评审的投标价相等时，</w:t>
      </w:r>
      <w:r>
        <w:rPr>
          <w:rFonts w:hint="eastAsia" w:ascii="宋体" w:hAnsi="宋体"/>
          <w:szCs w:val="21"/>
        </w:rPr>
        <w:t>以</w:t>
      </w:r>
      <w:r>
        <w:rPr>
          <w:rFonts w:ascii="宋体" w:hAnsi="宋体"/>
          <w:szCs w:val="21"/>
        </w:rPr>
        <w:t>投标报价低的优先；投标报价也相等的，按照评标办法前附表中的规定确定中标候选人顺序。</w:t>
      </w:r>
    </w:p>
    <w:p>
      <w:pPr>
        <w:pStyle w:val="4"/>
        <w:spacing w:before="156" w:beforeLines="50" w:after="156" w:afterLines="50" w:line="400" w:lineRule="exact"/>
        <w:rPr>
          <w:rFonts w:ascii="宋体" w:hAnsi="宋体"/>
          <w:sz w:val="21"/>
          <w:szCs w:val="21"/>
        </w:rPr>
      </w:pPr>
      <w:bookmarkStart w:id="153" w:name="_Toc30500"/>
      <w:bookmarkStart w:id="154" w:name="_Toc38881389"/>
      <w:r>
        <w:rPr>
          <w:rFonts w:hint="eastAsia" w:ascii="宋体" w:hAnsi="宋体"/>
          <w:sz w:val="21"/>
          <w:szCs w:val="21"/>
        </w:rPr>
        <w:t>2. 评审标准</w:t>
      </w:r>
      <w:bookmarkEnd w:id="153"/>
      <w:bookmarkEnd w:id="154"/>
    </w:p>
    <w:p>
      <w:pPr>
        <w:spacing w:line="400" w:lineRule="exact"/>
        <w:ind w:firstLine="420" w:firstLineChars="200"/>
        <w:rPr>
          <w:rFonts w:ascii="宋体" w:hAnsi="宋体" w:cs="宋体"/>
        </w:rPr>
      </w:pPr>
      <w:r>
        <w:rPr>
          <w:rFonts w:hint="eastAsia" w:ascii="宋体" w:hAnsi="宋体" w:cs="宋体"/>
        </w:rPr>
        <w:t>2.1 初步评审标准</w:t>
      </w:r>
    </w:p>
    <w:p>
      <w:pPr>
        <w:spacing w:line="400" w:lineRule="exact"/>
        <w:ind w:firstLine="420" w:firstLineChars="200"/>
        <w:rPr>
          <w:rFonts w:ascii="宋体" w:hAnsi="宋体" w:cs="宋体"/>
        </w:rPr>
      </w:pPr>
      <w:r>
        <w:rPr>
          <w:rFonts w:hint="eastAsia" w:ascii="宋体" w:hAnsi="宋体" w:cs="宋体"/>
        </w:rPr>
        <w:t>2.1.1 形式评审标准：见评标办法前附表。</w:t>
      </w:r>
    </w:p>
    <w:p>
      <w:pPr>
        <w:spacing w:line="400" w:lineRule="exact"/>
        <w:ind w:firstLine="420" w:firstLineChars="200"/>
        <w:rPr>
          <w:rFonts w:ascii="宋体" w:hAnsi="宋体" w:cs="宋体"/>
        </w:rPr>
      </w:pPr>
      <w:r>
        <w:rPr>
          <w:rFonts w:hint="eastAsia" w:ascii="宋体" w:hAnsi="宋体" w:cs="宋体"/>
        </w:rPr>
        <w:t>2.1.2 资格评审标准：见评标办法前附表。</w:t>
      </w:r>
    </w:p>
    <w:p>
      <w:pPr>
        <w:spacing w:line="400" w:lineRule="exact"/>
        <w:ind w:firstLine="420" w:firstLineChars="200"/>
        <w:rPr>
          <w:rFonts w:ascii="宋体" w:hAnsi="宋体" w:cs="宋体"/>
        </w:rPr>
      </w:pPr>
      <w:r>
        <w:rPr>
          <w:rFonts w:hint="eastAsia" w:ascii="宋体" w:hAnsi="宋体" w:cs="宋体"/>
        </w:rPr>
        <w:t>2.1.3 响应性评审标准：见评标办法前附表。</w:t>
      </w:r>
    </w:p>
    <w:p>
      <w:pPr>
        <w:pStyle w:val="4"/>
        <w:spacing w:before="156" w:beforeLines="50" w:after="156" w:afterLines="50" w:line="400" w:lineRule="exact"/>
        <w:rPr>
          <w:rFonts w:ascii="宋体" w:hAnsi="宋体"/>
          <w:sz w:val="21"/>
          <w:szCs w:val="21"/>
        </w:rPr>
      </w:pPr>
      <w:bookmarkStart w:id="155" w:name="_Toc29287"/>
      <w:bookmarkStart w:id="156" w:name="_Toc38881390"/>
      <w:r>
        <w:rPr>
          <w:rFonts w:hint="eastAsia" w:ascii="宋体" w:hAnsi="宋体"/>
          <w:sz w:val="21"/>
          <w:szCs w:val="21"/>
        </w:rPr>
        <w:t>3. 评标程序</w:t>
      </w:r>
      <w:bookmarkEnd w:id="155"/>
      <w:bookmarkEnd w:id="156"/>
    </w:p>
    <w:p>
      <w:pPr>
        <w:spacing w:line="400" w:lineRule="exact"/>
        <w:ind w:firstLine="420" w:firstLineChars="200"/>
        <w:rPr>
          <w:rFonts w:ascii="宋体" w:hAnsi="宋体" w:cs="宋体"/>
        </w:rPr>
      </w:pPr>
      <w:r>
        <w:rPr>
          <w:rFonts w:hint="eastAsia" w:ascii="宋体" w:hAnsi="宋体" w:cs="宋体"/>
        </w:rPr>
        <w:t>3.1初步评审</w:t>
      </w:r>
    </w:p>
    <w:p>
      <w:pPr>
        <w:spacing w:line="400" w:lineRule="exact"/>
        <w:ind w:firstLine="420" w:firstLineChars="200"/>
        <w:rPr>
          <w:rFonts w:ascii="宋体" w:hAnsi="宋体" w:cs="宋体"/>
        </w:rPr>
      </w:pPr>
      <w:r>
        <w:rPr>
          <w:rFonts w:hint="eastAsia" w:ascii="宋体" w:hAnsi="宋体" w:cs="宋体"/>
        </w:rPr>
        <w:t>3.1.1 评标委员会可以要求报价人提交第二章“报价人须知”第 7项至第 23项规定的有关证明和证件的原件，以便核验。评标委员会依据本章第 2款规定的标准对投标文件进行初步评审。有一项不符合评审标准的，评标委员会应否决其投标。（适用于未进行资格预审的）</w:t>
      </w:r>
    </w:p>
    <w:p>
      <w:pPr>
        <w:spacing w:line="400" w:lineRule="exact"/>
        <w:ind w:firstLine="420" w:firstLineChars="200"/>
        <w:rPr>
          <w:rFonts w:ascii="宋体" w:hAnsi="宋体" w:cs="宋体"/>
        </w:rPr>
      </w:pPr>
      <w:r>
        <w:rPr>
          <w:rFonts w:hint="eastAsia" w:ascii="宋体" w:hAnsi="宋体" w:cs="宋体"/>
        </w:rPr>
        <w:t>3.</w:t>
      </w:r>
      <w:r>
        <w:rPr>
          <w:rFonts w:ascii="宋体" w:hAnsi="宋体" w:cs="宋体"/>
        </w:rPr>
        <w:t>1</w:t>
      </w:r>
      <w:r>
        <w:rPr>
          <w:rFonts w:hint="eastAsia" w:ascii="宋体" w:hAnsi="宋体" w:cs="宋体"/>
        </w:rPr>
        <w:t>.2  投标报价有算术错误的，评标委员会按以下原则对投标报价进行修正，修正的价格经报价人书面确认后具有约束力。报价人不接受修正价格的，评标委员会应否决其投标。</w:t>
      </w:r>
    </w:p>
    <w:p>
      <w:pPr>
        <w:spacing w:line="400" w:lineRule="exact"/>
        <w:ind w:firstLine="420" w:firstLineChars="200"/>
        <w:rPr>
          <w:rFonts w:ascii="宋体" w:hAnsi="宋体" w:cs="宋体"/>
        </w:rPr>
      </w:pPr>
      <w:r>
        <w:rPr>
          <w:rFonts w:hint="eastAsia" w:ascii="宋体" w:hAnsi="宋体" w:cs="宋体"/>
        </w:rPr>
        <w:t>（1）投标文件中的大写金额与小写金额不一致的，以大写金额为准；</w:t>
      </w:r>
    </w:p>
    <w:p>
      <w:pPr>
        <w:spacing w:line="400" w:lineRule="exact"/>
        <w:ind w:firstLine="420" w:firstLineChars="200"/>
        <w:rPr>
          <w:rFonts w:ascii="宋体" w:hAnsi="宋体" w:cs="宋体"/>
        </w:rPr>
      </w:pPr>
      <w:r>
        <w:rPr>
          <w:rFonts w:hint="eastAsia" w:ascii="宋体" w:hAnsi="宋体" w:cs="宋体"/>
        </w:rPr>
        <w:t>（2）总价金额与依据单价计算出的结果不一致的，以单价金额为准修正总价，但单价金额小数点有明显错误的除外；</w:t>
      </w:r>
    </w:p>
    <w:p>
      <w:pPr>
        <w:spacing w:line="400" w:lineRule="exact"/>
        <w:ind w:firstLine="420" w:firstLineChars="200"/>
        <w:rPr>
          <w:rFonts w:ascii="宋体" w:hAnsi="宋体" w:cs="宋体"/>
        </w:rPr>
      </w:pPr>
      <w:r>
        <w:rPr>
          <w:rFonts w:hint="eastAsia" w:ascii="宋体" w:hAnsi="宋体" w:cs="宋体"/>
        </w:rPr>
        <w:t>（3）当单价与数量相乘不等于合价时，以单价计算为准，如果单价有明显的小数点位置差错，应以标出的合价为准，同时对单价予以修正；</w:t>
      </w:r>
    </w:p>
    <w:p>
      <w:pPr>
        <w:spacing w:line="400" w:lineRule="exact"/>
        <w:ind w:firstLine="420" w:firstLineChars="200"/>
        <w:rPr>
          <w:rFonts w:ascii="宋体" w:hAnsi="宋体" w:cs="宋体"/>
        </w:rPr>
      </w:pPr>
      <w:r>
        <w:rPr>
          <w:rFonts w:hint="eastAsia" w:ascii="宋体" w:hAnsi="宋体" w:cs="宋体"/>
        </w:rPr>
        <w:t>（4）当各子目的合价累计不等于总价时，应以各子目合价累计数为准，修正总价。</w:t>
      </w:r>
    </w:p>
    <w:p>
      <w:pPr>
        <w:spacing w:line="400" w:lineRule="exact"/>
        <w:ind w:firstLine="420" w:firstLineChars="200"/>
        <w:rPr>
          <w:rFonts w:ascii="宋体" w:hAnsi="宋体" w:cs="宋体"/>
        </w:rPr>
      </w:pPr>
      <w:r>
        <w:rPr>
          <w:rFonts w:hint="eastAsia" w:ascii="宋体" w:hAnsi="宋体" w:cs="宋体"/>
        </w:rPr>
        <w:t>3.</w:t>
      </w:r>
      <w:r>
        <w:rPr>
          <w:rFonts w:ascii="宋体" w:hAnsi="宋体" w:cs="宋体"/>
        </w:rPr>
        <w:t>1</w:t>
      </w:r>
      <w:r>
        <w:rPr>
          <w:rFonts w:hint="eastAsia" w:ascii="宋体" w:hAnsi="宋体" w:cs="宋体"/>
        </w:rPr>
        <w:t>.</w:t>
      </w:r>
      <w:r>
        <w:rPr>
          <w:rFonts w:ascii="宋体" w:hAnsi="宋体" w:cs="宋体"/>
        </w:rPr>
        <w:t>3</w:t>
      </w:r>
      <w:r>
        <w:rPr>
          <w:rFonts w:hint="eastAsia" w:ascii="宋体" w:hAnsi="宋体" w:cs="宋体"/>
        </w:rPr>
        <w:t xml:space="preserve"> 修正后的最终投标报价若超过最高投标限价（如有），评标委员会应否决其投标。</w:t>
      </w:r>
    </w:p>
    <w:p>
      <w:pPr>
        <w:spacing w:line="400" w:lineRule="exact"/>
        <w:ind w:firstLine="420" w:firstLineChars="200"/>
        <w:rPr>
          <w:rFonts w:ascii="宋体" w:hAnsi="宋体" w:cs="宋体"/>
        </w:rPr>
      </w:pPr>
      <w:r>
        <w:rPr>
          <w:rFonts w:hint="eastAsia" w:ascii="宋体" w:hAnsi="宋体" w:cs="宋体"/>
        </w:rPr>
        <w:t>3.</w:t>
      </w:r>
      <w:r>
        <w:rPr>
          <w:rFonts w:ascii="宋体" w:hAnsi="宋体" w:cs="宋体"/>
        </w:rPr>
        <w:t>1</w:t>
      </w:r>
      <w:r>
        <w:rPr>
          <w:rFonts w:hint="eastAsia" w:ascii="宋体" w:hAnsi="宋体" w:cs="宋体"/>
        </w:rPr>
        <w:t>.</w:t>
      </w:r>
      <w:r>
        <w:rPr>
          <w:rFonts w:ascii="宋体" w:hAnsi="宋体" w:cs="宋体"/>
        </w:rPr>
        <w:t>4</w:t>
      </w:r>
      <w:r>
        <w:rPr>
          <w:rFonts w:hint="eastAsia" w:ascii="宋体" w:hAnsi="宋体" w:cs="宋体"/>
        </w:rPr>
        <w:t>修正后的最终投标报价仅作为签订合同的一个依据，不参与评标价得分的计算。</w:t>
      </w:r>
    </w:p>
    <w:p>
      <w:pPr>
        <w:spacing w:line="400" w:lineRule="exact"/>
        <w:ind w:firstLine="420" w:firstLineChars="200"/>
        <w:rPr>
          <w:rFonts w:ascii="宋体" w:hAnsi="宋体" w:cs="宋体"/>
        </w:rPr>
      </w:pPr>
      <w:r>
        <w:rPr>
          <w:rFonts w:hint="eastAsia" w:ascii="宋体" w:hAnsi="宋体" w:cs="宋体"/>
        </w:rPr>
        <w:t>3.</w:t>
      </w:r>
      <w:r>
        <w:rPr>
          <w:rFonts w:ascii="宋体" w:hAnsi="宋体" w:cs="宋体"/>
        </w:rPr>
        <w:t>2</w:t>
      </w:r>
      <w:r>
        <w:rPr>
          <w:rFonts w:hint="eastAsia" w:ascii="宋体" w:hAnsi="宋体" w:cs="宋体"/>
        </w:rPr>
        <w:t>详细评审</w:t>
      </w:r>
    </w:p>
    <w:p>
      <w:pPr>
        <w:spacing w:line="400" w:lineRule="exact"/>
        <w:ind w:firstLine="420" w:firstLineChars="200"/>
        <w:rPr>
          <w:rFonts w:ascii="宋体" w:hAnsi="宋体" w:cs="宋体"/>
        </w:rPr>
      </w:pPr>
      <w:r>
        <w:rPr>
          <w:rFonts w:hint="eastAsia" w:ascii="宋体" w:hAnsi="宋体" w:cs="宋体"/>
        </w:rPr>
        <w:t>3.</w:t>
      </w:r>
      <w:r>
        <w:rPr>
          <w:rFonts w:ascii="宋体" w:hAnsi="宋体" w:cs="宋体"/>
        </w:rPr>
        <w:t>2</w:t>
      </w:r>
      <w:r>
        <w:rPr>
          <w:rFonts w:hint="eastAsia" w:ascii="宋体" w:hAnsi="宋体" w:cs="宋体"/>
        </w:rPr>
        <w:t>.1 评标委员会按本章第 2.2</w:t>
      </w:r>
      <w:r>
        <w:rPr>
          <w:rFonts w:ascii="宋体" w:hAnsi="宋体" w:cs="宋体"/>
        </w:rPr>
        <w:t>.4</w:t>
      </w:r>
      <w:r>
        <w:rPr>
          <w:rFonts w:hint="eastAsia" w:ascii="宋体" w:hAnsi="宋体" w:cs="宋体"/>
        </w:rPr>
        <w:t>款规定的量化因素和分值进行打分，并计算出技术评估得分。</w:t>
      </w:r>
    </w:p>
    <w:p>
      <w:pPr>
        <w:spacing w:line="400" w:lineRule="exact"/>
        <w:ind w:firstLine="420" w:firstLineChars="200"/>
        <w:rPr>
          <w:rFonts w:ascii="宋体" w:hAnsi="宋体" w:cs="宋体"/>
        </w:rPr>
      </w:pPr>
      <w:r>
        <w:rPr>
          <w:rFonts w:hint="eastAsia" w:ascii="宋体" w:hAnsi="宋体" w:cs="宋体"/>
        </w:rPr>
        <w:t>3.</w:t>
      </w:r>
      <w:r>
        <w:rPr>
          <w:rFonts w:ascii="宋体" w:hAnsi="宋体" w:cs="宋体"/>
        </w:rPr>
        <w:t>2</w:t>
      </w:r>
      <w:r>
        <w:rPr>
          <w:rFonts w:hint="eastAsia" w:ascii="宋体" w:hAnsi="宋体" w:cs="宋体"/>
        </w:rPr>
        <w:t>.2 报价人得分分值计算保留小数点后两位，小数点后第三位“四舍五入”。</w:t>
      </w:r>
    </w:p>
    <w:p>
      <w:pPr>
        <w:spacing w:line="400" w:lineRule="exact"/>
        <w:ind w:firstLine="420" w:firstLineChars="200"/>
        <w:rPr>
          <w:rFonts w:ascii="宋体" w:hAnsi="宋体" w:cs="宋体"/>
        </w:rPr>
      </w:pPr>
      <w:r>
        <w:rPr>
          <w:rFonts w:hint="eastAsia" w:ascii="宋体" w:hAnsi="宋体" w:cs="宋体"/>
        </w:rPr>
        <w:t>3.</w:t>
      </w:r>
      <w:r>
        <w:rPr>
          <w:rFonts w:ascii="宋体" w:hAnsi="宋体" w:cs="宋体"/>
        </w:rPr>
        <w:t>2</w:t>
      </w:r>
      <w:r>
        <w:rPr>
          <w:rFonts w:hint="eastAsia" w:ascii="宋体" w:hAnsi="宋体" w:cs="宋体"/>
        </w:rPr>
        <w:t>.3 评标委员会发现报价人的报价明显低于其他投标报价，使得其投标报价可能低于其个别成本的，应要求该报价人作出书面说明并提供相应的证明材料。报价人不能合理说明或不能提供相应证明材料的，评标委员会应认定该报价人以低于成本报价竞标，并否决其投标。</w:t>
      </w:r>
    </w:p>
    <w:p>
      <w:pPr>
        <w:spacing w:line="400" w:lineRule="exact"/>
        <w:ind w:firstLine="420" w:firstLineChars="200"/>
        <w:rPr>
          <w:rFonts w:ascii="宋体" w:hAnsi="宋体" w:cs="宋体"/>
        </w:rPr>
      </w:pPr>
      <w:r>
        <w:rPr>
          <w:rFonts w:hint="eastAsia" w:ascii="宋体" w:hAnsi="宋体" w:cs="宋体"/>
        </w:rPr>
        <w:t>3.</w:t>
      </w:r>
      <w:r>
        <w:rPr>
          <w:rFonts w:ascii="宋体" w:hAnsi="宋体" w:cs="宋体"/>
        </w:rPr>
        <w:t>3</w:t>
      </w:r>
      <w:r>
        <w:rPr>
          <w:rFonts w:hint="eastAsia" w:ascii="宋体" w:hAnsi="宋体" w:cs="宋体"/>
        </w:rPr>
        <w:t xml:space="preserve"> 投标文件相关信息的核查</w:t>
      </w:r>
    </w:p>
    <w:p>
      <w:pPr>
        <w:spacing w:line="400" w:lineRule="exact"/>
        <w:ind w:firstLine="420" w:firstLineChars="200"/>
        <w:rPr>
          <w:rFonts w:ascii="宋体" w:hAnsi="宋体" w:cs="宋体"/>
        </w:rPr>
      </w:pPr>
      <w:r>
        <w:rPr>
          <w:rFonts w:hint="eastAsia" w:ascii="宋体" w:hAnsi="宋体" w:cs="宋体"/>
        </w:rPr>
        <w:t>3.5.2 评标委员会应对在评标过程中发现的报价人与报价人之间、报价人与采购人之间存在的串通投标的情形进行评审和认定。报价人存在串通投标、弄虚作假、行贿等违法行为的，评标委员会应否决其投标。</w:t>
      </w:r>
    </w:p>
    <w:p>
      <w:pPr>
        <w:spacing w:line="400" w:lineRule="exact"/>
        <w:ind w:firstLine="420" w:firstLineChars="200"/>
        <w:rPr>
          <w:rFonts w:ascii="宋体" w:hAnsi="宋体" w:cs="宋体"/>
        </w:rPr>
      </w:pPr>
      <w:r>
        <w:rPr>
          <w:rFonts w:hint="eastAsia" w:ascii="宋体" w:hAnsi="宋体" w:cs="宋体"/>
        </w:rPr>
        <w:t>（1）有下列情形之一的，属于报价人相互串通投标：</w:t>
      </w:r>
    </w:p>
    <w:p>
      <w:pPr>
        <w:spacing w:line="400" w:lineRule="exact"/>
        <w:ind w:firstLine="420" w:firstLineChars="200"/>
        <w:rPr>
          <w:rFonts w:ascii="宋体" w:hAnsi="宋体" w:cs="宋体"/>
        </w:rPr>
      </w:pPr>
      <w:r>
        <w:rPr>
          <w:rFonts w:hint="eastAsia" w:ascii="宋体" w:hAnsi="宋体" w:cs="宋体"/>
        </w:rPr>
        <w:t>a.报价人之间协商投标报价等投标文件的实质性内容；</w:t>
      </w:r>
    </w:p>
    <w:p>
      <w:pPr>
        <w:spacing w:line="400" w:lineRule="exact"/>
        <w:ind w:firstLine="420" w:firstLineChars="200"/>
        <w:rPr>
          <w:rFonts w:ascii="宋体" w:hAnsi="宋体" w:cs="宋体"/>
        </w:rPr>
      </w:pPr>
      <w:r>
        <w:rPr>
          <w:rFonts w:hint="eastAsia" w:ascii="宋体" w:hAnsi="宋体" w:cs="宋体"/>
        </w:rPr>
        <w:t>b.报价人之间约定中标人；</w:t>
      </w:r>
    </w:p>
    <w:p>
      <w:pPr>
        <w:spacing w:line="400" w:lineRule="exact"/>
        <w:ind w:firstLine="420" w:firstLineChars="200"/>
        <w:rPr>
          <w:rFonts w:ascii="宋体" w:hAnsi="宋体" w:cs="宋体"/>
        </w:rPr>
      </w:pPr>
      <w:r>
        <w:rPr>
          <w:rFonts w:hint="eastAsia" w:ascii="宋体" w:hAnsi="宋体" w:cs="宋体"/>
        </w:rPr>
        <w:t>c.报价人之间约定部分报价人放弃投标或中标；</w:t>
      </w:r>
    </w:p>
    <w:p>
      <w:pPr>
        <w:spacing w:line="400" w:lineRule="exact"/>
        <w:ind w:firstLine="420" w:firstLineChars="200"/>
        <w:rPr>
          <w:rFonts w:ascii="宋体" w:hAnsi="宋体" w:cs="宋体"/>
        </w:rPr>
      </w:pPr>
      <w:r>
        <w:rPr>
          <w:rFonts w:hint="eastAsia" w:ascii="宋体" w:hAnsi="宋体" w:cs="宋体"/>
        </w:rPr>
        <w:t>d.属于同一集团、协会、商会等组织成员的报价人按照该组织要求协同投标；</w:t>
      </w:r>
    </w:p>
    <w:p>
      <w:pPr>
        <w:spacing w:line="400" w:lineRule="exact"/>
        <w:ind w:firstLine="420" w:firstLineChars="200"/>
        <w:rPr>
          <w:rFonts w:ascii="宋体" w:hAnsi="宋体" w:cs="宋体"/>
        </w:rPr>
      </w:pPr>
      <w:r>
        <w:rPr>
          <w:rFonts w:hint="eastAsia" w:ascii="宋体" w:hAnsi="宋体" w:cs="宋体"/>
        </w:rPr>
        <w:t>e.报价人之间为谋取中标或排斥特定报价人而采取的其他联合行动。</w:t>
      </w:r>
    </w:p>
    <w:p>
      <w:pPr>
        <w:spacing w:line="400" w:lineRule="exact"/>
        <w:ind w:firstLine="420" w:firstLineChars="200"/>
        <w:rPr>
          <w:rFonts w:ascii="宋体" w:hAnsi="宋体" w:cs="宋体"/>
        </w:rPr>
      </w:pPr>
      <w:r>
        <w:rPr>
          <w:rFonts w:hint="eastAsia" w:ascii="宋体" w:hAnsi="宋体" w:cs="宋体"/>
        </w:rPr>
        <w:t>（2）有下列情形之一的，视为报价人相互串通投标：</w:t>
      </w:r>
    </w:p>
    <w:p>
      <w:pPr>
        <w:spacing w:line="400" w:lineRule="exact"/>
        <w:ind w:firstLine="420" w:firstLineChars="200"/>
        <w:rPr>
          <w:rFonts w:ascii="宋体" w:hAnsi="宋体" w:cs="宋体"/>
        </w:rPr>
      </w:pPr>
      <w:r>
        <w:rPr>
          <w:rFonts w:hint="eastAsia" w:ascii="宋体" w:hAnsi="宋体" w:cs="宋体"/>
        </w:rPr>
        <w:t>a.不同报价人的投标文件由同一单位或个人编制；</w:t>
      </w:r>
    </w:p>
    <w:p>
      <w:pPr>
        <w:spacing w:line="400" w:lineRule="exact"/>
        <w:ind w:firstLine="420" w:firstLineChars="200"/>
        <w:rPr>
          <w:rFonts w:ascii="宋体" w:hAnsi="宋体" w:cs="宋体"/>
        </w:rPr>
      </w:pPr>
      <w:r>
        <w:rPr>
          <w:rFonts w:hint="eastAsia" w:ascii="宋体" w:hAnsi="宋体" w:cs="宋体"/>
        </w:rPr>
        <w:t>b.不同报价人委托同一单位或个人办理投标事宜；</w:t>
      </w:r>
    </w:p>
    <w:p>
      <w:pPr>
        <w:spacing w:line="400" w:lineRule="exact"/>
        <w:ind w:firstLine="420" w:firstLineChars="200"/>
        <w:rPr>
          <w:rFonts w:ascii="宋体" w:hAnsi="宋体" w:cs="宋体"/>
        </w:rPr>
      </w:pPr>
      <w:r>
        <w:rPr>
          <w:rFonts w:hint="eastAsia" w:ascii="宋体" w:hAnsi="宋体" w:cs="宋体"/>
        </w:rPr>
        <w:t>c.不同报价人的投标文件载明的项目管理成员为同一人；</w:t>
      </w:r>
    </w:p>
    <w:p>
      <w:pPr>
        <w:spacing w:line="400" w:lineRule="exact"/>
        <w:ind w:firstLine="420" w:firstLineChars="200"/>
        <w:rPr>
          <w:rFonts w:ascii="宋体" w:hAnsi="宋体" w:cs="宋体"/>
        </w:rPr>
      </w:pPr>
      <w:r>
        <w:rPr>
          <w:rFonts w:hint="eastAsia" w:ascii="宋体" w:hAnsi="宋体" w:cs="宋体"/>
        </w:rPr>
        <w:t>d.不同报价人的投标文件异常一致或投标报价呈规律性差异；</w:t>
      </w:r>
    </w:p>
    <w:p>
      <w:pPr>
        <w:spacing w:line="400" w:lineRule="exact"/>
        <w:ind w:firstLine="420" w:firstLineChars="200"/>
        <w:rPr>
          <w:rFonts w:ascii="宋体" w:hAnsi="宋体" w:cs="宋体"/>
        </w:rPr>
      </w:pPr>
      <w:r>
        <w:rPr>
          <w:rFonts w:hint="eastAsia" w:ascii="宋体" w:hAnsi="宋体" w:cs="宋体"/>
        </w:rPr>
        <w:t>e.不同报价人的投标文件相互混装；</w:t>
      </w:r>
    </w:p>
    <w:p>
      <w:pPr>
        <w:spacing w:line="400" w:lineRule="exact"/>
        <w:ind w:firstLine="420" w:firstLineChars="200"/>
        <w:rPr>
          <w:rFonts w:ascii="宋体" w:hAnsi="宋体" w:cs="宋体"/>
        </w:rPr>
      </w:pPr>
      <w:r>
        <w:rPr>
          <w:rFonts w:hint="eastAsia" w:ascii="宋体" w:hAnsi="宋体" w:cs="宋体"/>
        </w:rPr>
        <w:t>f.不同报价人的投标保证金从同一单位或个人的账户转出。</w:t>
      </w:r>
    </w:p>
    <w:p>
      <w:pPr>
        <w:spacing w:line="400" w:lineRule="exact"/>
        <w:ind w:firstLine="420" w:firstLineChars="200"/>
        <w:rPr>
          <w:rFonts w:ascii="宋体" w:hAnsi="宋体" w:cs="宋体"/>
        </w:rPr>
      </w:pPr>
      <w:r>
        <w:rPr>
          <w:rFonts w:hint="eastAsia" w:ascii="宋体" w:hAnsi="宋体" w:cs="宋体"/>
        </w:rPr>
        <w:t>（3）有下列情形之一的，属于采购人与报价人串通投标：</w:t>
      </w:r>
    </w:p>
    <w:p>
      <w:pPr>
        <w:spacing w:line="400" w:lineRule="exact"/>
        <w:ind w:firstLine="420" w:firstLineChars="200"/>
        <w:rPr>
          <w:rFonts w:ascii="宋体" w:hAnsi="宋体" w:cs="宋体"/>
        </w:rPr>
      </w:pPr>
      <w:r>
        <w:rPr>
          <w:rFonts w:hint="eastAsia" w:ascii="宋体" w:hAnsi="宋体" w:cs="宋体"/>
        </w:rPr>
        <w:t>a.采购人在开标前开启投标文件并将有关信息泄露给其他报价人;</w:t>
      </w:r>
    </w:p>
    <w:p>
      <w:pPr>
        <w:spacing w:line="400" w:lineRule="exact"/>
        <w:ind w:firstLine="420" w:firstLineChars="200"/>
        <w:rPr>
          <w:rFonts w:ascii="宋体" w:hAnsi="宋体" w:cs="宋体"/>
        </w:rPr>
      </w:pPr>
      <w:r>
        <w:rPr>
          <w:rFonts w:hint="eastAsia" w:ascii="宋体" w:hAnsi="宋体" w:cs="宋体"/>
        </w:rPr>
        <w:t>b.采购人直接或间接向报价人泄露标底、评标委员会成员等信息；</w:t>
      </w:r>
    </w:p>
    <w:p>
      <w:pPr>
        <w:spacing w:line="400" w:lineRule="exact"/>
        <w:ind w:firstLine="420" w:firstLineChars="200"/>
        <w:rPr>
          <w:rFonts w:ascii="宋体" w:hAnsi="宋体" w:cs="宋体"/>
        </w:rPr>
      </w:pPr>
      <w:r>
        <w:rPr>
          <w:rFonts w:hint="eastAsia" w:ascii="宋体" w:hAnsi="宋体" w:cs="宋体"/>
        </w:rPr>
        <w:t>c.采购人明示或暗示报价人压低或抬高投标报价；</w:t>
      </w:r>
    </w:p>
    <w:p>
      <w:pPr>
        <w:spacing w:line="400" w:lineRule="exact"/>
        <w:ind w:firstLine="420" w:firstLineChars="200"/>
        <w:rPr>
          <w:rFonts w:ascii="宋体" w:hAnsi="宋体" w:cs="宋体"/>
        </w:rPr>
      </w:pPr>
      <w:r>
        <w:rPr>
          <w:rFonts w:hint="eastAsia" w:ascii="宋体" w:hAnsi="宋体" w:cs="宋体"/>
        </w:rPr>
        <w:t>d.采购人授意报价人撤换、修改投标文件；</w:t>
      </w:r>
    </w:p>
    <w:p>
      <w:pPr>
        <w:spacing w:line="400" w:lineRule="exact"/>
        <w:ind w:firstLine="420" w:firstLineChars="200"/>
        <w:rPr>
          <w:rFonts w:ascii="宋体" w:hAnsi="宋体" w:cs="宋体"/>
        </w:rPr>
      </w:pPr>
      <w:r>
        <w:rPr>
          <w:rFonts w:hint="eastAsia" w:ascii="宋体" w:hAnsi="宋体" w:cs="宋体"/>
        </w:rPr>
        <w:t>e.采购人明示或暗示报价人为特定报价人中标提供方便；</w:t>
      </w:r>
    </w:p>
    <w:p>
      <w:pPr>
        <w:spacing w:line="400" w:lineRule="exact"/>
        <w:ind w:firstLine="420" w:firstLineChars="200"/>
        <w:rPr>
          <w:rFonts w:ascii="宋体" w:hAnsi="宋体" w:cs="宋体"/>
        </w:rPr>
      </w:pPr>
      <w:r>
        <w:rPr>
          <w:rFonts w:hint="eastAsia" w:ascii="宋体" w:hAnsi="宋体" w:cs="宋体"/>
        </w:rPr>
        <w:t>f.采购人与报价人为谋求特定报价人中标而采取的其他串通行为。</w:t>
      </w:r>
    </w:p>
    <w:p>
      <w:pPr>
        <w:spacing w:line="400" w:lineRule="exact"/>
        <w:ind w:firstLine="420" w:firstLineChars="200"/>
        <w:rPr>
          <w:rFonts w:ascii="宋体" w:hAnsi="宋体" w:cs="宋体"/>
        </w:rPr>
      </w:pPr>
      <w:r>
        <w:rPr>
          <w:rFonts w:hint="eastAsia" w:ascii="宋体" w:hAnsi="宋体" w:cs="宋体"/>
        </w:rPr>
        <w:t>（4）报价人有下列情形之一的，属于弄虚作假的行为：</w:t>
      </w:r>
    </w:p>
    <w:p>
      <w:pPr>
        <w:spacing w:line="400" w:lineRule="exact"/>
        <w:ind w:firstLine="420" w:firstLineChars="200"/>
        <w:rPr>
          <w:rFonts w:ascii="宋体" w:hAnsi="宋体" w:cs="宋体"/>
        </w:rPr>
      </w:pPr>
      <w:r>
        <w:rPr>
          <w:rFonts w:hint="eastAsia" w:ascii="宋体" w:hAnsi="宋体" w:cs="宋体"/>
        </w:rPr>
        <w:t>a.使用通过受让或租借等方式获取的资格、资质证书投标；</w:t>
      </w:r>
    </w:p>
    <w:p>
      <w:pPr>
        <w:spacing w:line="400" w:lineRule="exact"/>
        <w:ind w:firstLine="420" w:firstLineChars="200"/>
        <w:rPr>
          <w:rFonts w:ascii="宋体" w:hAnsi="宋体" w:cs="宋体"/>
        </w:rPr>
      </w:pPr>
      <w:r>
        <w:rPr>
          <w:rFonts w:hint="eastAsia" w:ascii="宋体" w:hAnsi="宋体" w:cs="宋体"/>
        </w:rPr>
        <w:t>b.使用伪造、变造的许可证件；</w:t>
      </w:r>
    </w:p>
    <w:p>
      <w:pPr>
        <w:spacing w:line="400" w:lineRule="exact"/>
        <w:ind w:firstLine="420" w:firstLineChars="200"/>
        <w:rPr>
          <w:rFonts w:ascii="宋体" w:hAnsi="宋体" w:cs="宋体"/>
        </w:rPr>
      </w:pPr>
      <w:r>
        <w:rPr>
          <w:rFonts w:hint="eastAsia" w:ascii="宋体" w:hAnsi="宋体" w:cs="宋体"/>
        </w:rPr>
        <w:t>c.提供虚假的财务状况或业绩；</w:t>
      </w:r>
    </w:p>
    <w:p>
      <w:pPr>
        <w:spacing w:line="400" w:lineRule="exact"/>
        <w:ind w:firstLine="420" w:firstLineChars="200"/>
        <w:rPr>
          <w:rFonts w:ascii="宋体" w:hAnsi="宋体" w:cs="宋体"/>
        </w:rPr>
      </w:pPr>
      <w:r>
        <w:rPr>
          <w:rFonts w:hint="eastAsia" w:ascii="宋体" w:hAnsi="宋体" w:cs="宋体"/>
        </w:rPr>
        <w:t>d.提供虚假的项目负责人或主要技术人员简历、劳动关系证明；</w:t>
      </w:r>
    </w:p>
    <w:p>
      <w:pPr>
        <w:spacing w:line="400" w:lineRule="exact"/>
        <w:ind w:firstLine="420" w:firstLineChars="200"/>
        <w:rPr>
          <w:rFonts w:ascii="宋体" w:hAnsi="宋体" w:cs="宋体"/>
        </w:rPr>
      </w:pPr>
      <w:r>
        <w:rPr>
          <w:rFonts w:hint="eastAsia" w:ascii="宋体" w:hAnsi="宋体" w:cs="宋体"/>
        </w:rPr>
        <w:t>e.提供虚假的信用状况；</w:t>
      </w:r>
    </w:p>
    <w:p>
      <w:pPr>
        <w:spacing w:line="400" w:lineRule="exact"/>
        <w:ind w:firstLine="420" w:firstLineChars="200"/>
        <w:rPr>
          <w:rFonts w:ascii="宋体" w:hAnsi="宋体" w:cs="宋体"/>
        </w:rPr>
      </w:pPr>
      <w:r>
        <w:rPr>
          <w:rFonts w:hint="eastAsia" w:ascii="宋体" w:hAnsi="宋体" w:cs="宋体"/>
        </w:rPr>
        <w:t>f.其他弄虚作假的行为。</w:t>
      </w:r>
    </w:p>
    <w:p>
      <w:pPr>
        <w:spacing w:line="400" w:lineRule="exact"/>
        <w:ind w:firstLine="420" w:firstLineChars="200"/>
        <w:rPr>
          <w:rFonts w:ascii="宋体" w:hAnsi="宋体" w:cs="宋体"/>
        </w:rPr>
      </w:pPr>
      <w:r>
        <w:rPr>
          <w:rFonts w:hint="eastAsia" w:ascii="宋体" w:hAnsi="宋体" w:cs="宋体"/>
        </w:rPr>
        <w:t>3.6 投标文件的澄清和说明</w:t>
      </w:r>
    </w:p>
    <w:p>
      <w:pPr>
        <w:spacing w:line="400" w:lineRule="exact"/>
        <w:ind w:firstLine="420" w:firstLineChars="200"/>
        <w:rPr>
          <w:rFonts w:ascii="宋体" w:hAnsi="宋体" w:cs="宋体"/>
        </w:rPr>
      </w:pPr>
      <w:r>
        <w:rPr>
          <w:rFonts w:hint="eastAsia" w:ascii="宋体" w:hAnsi="宋体" w:cs="宋体"/>
        </w:rPr>
        <w:t>3.6.1 在评标过程中，评标委员会可以书面形式要求报价人对投标文件中含义不明确的内容、明显文字或计算错误进行书面澄清或说明。评标委员会不接受报价人主动提出的澄清、说明。报价人不按评标委员会要求澄清或说明的，评标委员会应否决其投标。</w:t>
      </w:r>
    </w:p>
    <w:p>
      <w:pPr>
        <w:spacing w:line="400" w:lineRule="exact"/>
        <w:ind w:firstLine="420" w:firstLineChars="200"/>
        <w:rPr>
          <w:rFonts w:ascii="宋体" w:hAnsi="宋体" w:cs="宋体"/>
        </w:rPr>
      </w:pPr>
      <w:r>
        <w:rPr>
          <w:rFonts w:hint="eastAsia" w:ascii="宋体" w:hAnsi="宋体" w:cs="宋体"/>
        </w:rPr>
        <w:t>3.6.2 澄清和说明不得超出投标文件的范围或改变投标文件的实质性内容（算术性错误的修正除外）。报价人的书面澄清、说明属于投标文件的组成部分。</w:t>
      </w:r>
    </w:p>
    <w:p>
      <w:pPr>
        <w:spacing w:line="400" w:lineRule="exact"/>
        <w:ind w:firstLine="420" w:firstLineChars="200"/>
        <w:rPr>
          <w:rFonts w:ascii="宋体" w:hAnsi="宋体" w:cs="宋体"/>
        </w:rPr>
      </w:pPr>
      <w:r>
        <w:rPr>
          <w:rFonts w:hint="eastAsia" w:ascii="宋体" w:hAnsi="宋体" w:cs="宋体"/>
        </w:rPr>
        <w:t>3.6.3 评标委员会不得暗示或诱导报价人作出澄清、说明，对报价人提交的澄清、说明有疑问的，可以要求报价人进一步澄清或说明，直至满足评标委员会的要求。</w:t>
      </w:r>
    </w:p>
    <w:p>
      <w:pPr>
        <w:spacing w:line="400" w:lineRule="exact"/>
        <w:ind w:firstLine="420" w:firstLineChars="200"/>
        <w:rPr>
          <w:rFonts w:ascii="宋体" w:hAnsi="宋体" w:cs="宋体"/>
        </w:rPr>
      </w:pPr>
      <w:r>
        <w:rPr>
          <w:rFonts w:hint="eastAsia" w:ascii="宋体" w:hAnsi="宋体" w:cs="宋体"/>
        </w:rPr>
        <w:t>3.6.4 凡超出招标文件规定的或给发包人带来未曾要求的利益的变化、偏差或其他因素在评标时不予考虑。</w:t>
      </w:r>
    </w:p>
    <w:p>
      <w:pPr>
        <w:spacing w:line="400" w:lineRule="exact"/>
        <w:ind w:firstLine="420" w:firstLineChars="200"/>
        <w:rPr>
          <w:rFonts w:ascii="宋体" w:hAnsi="宋体" w:cs="宋体"/>
        </w:rPr>
      </w:pPr>
      <w:r>
        <w:rPr>
          <w:rFonts w:hint="eastAsia" w:ascii="宋体" w:hAnsi="宋体" w:cs="宋体"/>
        </w:rPr>
        <w:t>3.7评标结果</w:t>
      </w:r>
    </w:p>
    <w:p>
      <w:pPr>
        <w:spacing w:line="400" w:lineRule="exact"/>
        <w:ind w:firstLine="420" w:firstLineChars="200"/>
        <w:rPr>
          <w:rFonts w:ascii="宋体" w:hAnsi="宋体" w:cs="宋体"/>
        </w:rPr>
      </w:pPr>
      <w:r>
        <w:rPr>
          <w:rFonts w:hint="eastAsia" w:ascii="宋体" w:hAnsi="宋体" w:cs="宋体"/>
        </w:rPr>
        <w:t>3.7.1 除第二章“报价人须知”前附表授权直接确定中标人外，评标委员会按照得分由高到低的顺序推荐中标候选人，并标明排序。</w:t>
      </w:r>
    </w:p>
    <w:p>
      <w:pPr>
        <w:pStyle w:val="27"/>
        <w:ind w:firstLine="420" w:firstLineChars="200"/>
        <w:jc w:val="both"/>
      </w:pPr>
      <w:r>
        <w:rPr>
          <w:rFonts w:hint="eastAsia" w:ascii="宋体" w:hAnsi="宋体" w:cs="宋体"/>
          <w:b w:val="0"/>
          <w:bCs w:val="0"/>
          <w:caps w:val="0"/>
          <w:sz w:val="21"/>
          <w:szCs w:val="24"/>
          <w:lang w:val="ru-RU"/>
        </w:rPr>
        <w:t>3.</w:t>
      </w:r>
      <w:r>
        <w:rPr>
          <w:rFonts w:hint="eastAsia" w:ascii="宋体" w:hAnsi="宋体" w:cs="宋体"/>
          <w:b w:val="0"/>
          <w:bCs w:val="0"/>
          <w:caps w:val="0"/>
          <w:sz w:val="21"/>
          <w:szCs w:val="24"/>
        </w:rPr>
        <w:t>7</w:t>
      </w:r>
      <w:r>
        <w:rPr>
          <w:rFonts w:hint="eastAsia" w:ascii="宋体" w:hAnsi="宋体" w:cs="宋体"/>
          <w:b w:val="0"/>
          <w:bCs w:val="0"/>
          <w:caps w:val="0"/>
          <w:sz w:val="21"/>
          <w:szCs w:val="24"/>
          <w:lang w:val="ru-RU"/>
        </w:rPr>
        <w:t>.2 评标委员会完成评标后，应向采购人提交书面评标报告。</w:t>
      </w:r>
      <w:r>
        <w:rPr>
          <w:rFonts w:hint="eastAsia"/>
        </w:rPr>
        <w:br w:type="page"/>
      </w:r>
      <w:bookmarkStart w:id="157" w:name="_Toc9316"/>
      <w:r>
        <w:rPr>
          <w:rStyle w:val="79"/>
          <w:rFonts w:hint="eastAsia"/>
          <w:b/>
          <w:bCs/>
        </w:rPr>
        <w:t>第四章 报价说明</w:t>
      </w:r>
      <w:bookmarkEnd w:id="157"/>
    </w:p>
    <w:p>
      <w:pPr>
        <w:spacing w:line="400" w:lineRule="exact"/>
        <w:ind w:firstLine="420" w:firstLineChars="200"/>
        <w:rPr>
          <w:rFonts w:ascii="宋体" w:hAnsi="宋体" w:cs="宋体"/>
          <w:szCs w:val="21"/>
        </w:rPr>
      </w:pPr>
      <w:bookmarkStart w:id="158" w:name="_Toc152042575"/>
      <w:bookmarkStart w:id="159" w:name="_Toc246997097"/>
      <w:bookmarkStart w:id="160" w:name="_Toc247085872"/>
      <w:bookmarkStart w:id="161" w:name="_Toc152045786"/>
      <w:bookmarkStart w:id="162" w:name="_Toc144974855"/>
      <w:bookmarkStart w:id="163" w:name="_Toc246996354"/>
      <w:bookmarkStart w:id="164" w:name="_Toc179632806"/>
      <w:r>
        <w:rPr>
          <w:rFonts w:hint="eastAsia" w:ascii="宋体" w:hAnsi="宋体" w:cs="宋体"/>
          <w:szCs w:val="21"/>
        </w:rPr>
        <w:t>1、工程量清单应与本工程询价文件、技术标准和要求等文件结合起来查阅与理解。</w:t>
      </w:r>
    </w:p>
    <w:p>
      <w:pPr>
        <w:spacing w:line="400" w:lineRule="exact"/>
        <w:ind w:firstLine="420" w:firstLineChars="200"/>
        <w:rPr>
          <w:rFonts w:ascii="宋体" w:hAnsi="宋体" w:cs="宋体"/>
          <w:szCs w:val="21"/>
        </w:rPr>
      </w:pPr>
      <w:r>
        <w:rPr>
          <w:rFonts w:hint="eastAsia" w:ascii="宋体" w:hAnsi="宋体" w:cs="宋体"/>
          <w:szCs w:val="21"/>
        </w:rPr>
        <w:t>2、本投标报价采用综合单价报价。综合单价是指完成工程量清单中一个规定计量单位的分部分项工程量清单费用、措施项目清单费用、其他项目清单费用、规费、税金等完成本项目的一切费用（即本项目的交通组织措施费（报价人报价时应充分考虑营运通车路段交通组织的各项因素）、“安全、文明施工措施费”、人工费、材料设备及采管费、工程照管费、机械使用费、安装和调试费、差旅费、交通费、车辆通行费、车辆台班费、办理施工许可、竣工资料编制、驻地建设、竣工验收、人员保险和第三者责任险、环境保护、文物保护、废弃物转运处理、综合费、税金等），以及招标文件中明示或暗示的的所有责任、义务和一般风险。</w:t>
      </w:r>
    </w:p>
    <w:p>
      <w:pPr>
        <w:spacing w:line="400" w:lineRule="exact"/>
        <w:ind w:firstLine="420" w:firstLineChars="200"/>
        <w:rPr>
          <w:rFonts w:ascii="宋体" w:hAnsi="宋体" w:cs="宋体"/>
          <w:szCs w:val="21"/>
        </w:rPr>
      </w:pPr>
      <w:r>
        <w:rPr>
          <w:rFonts w:hint="eastAsia" w:ascii="宋体" w:hAnsi="宋体" w:cs="宋体"/>
          <w:szCs w:val="21"/>
        </w:rPr>
        <w:t>3、交通组织措施费和“安全、文明施工措施费”报价人应考虑到本项目综合单价中，不另行体现，不予另行调整。保险均由承包人承担并支付，不在报价中单列。</w:t>
      </w:r>
    </w:p>
    <w:p>
      <w:pPr>
        <w:spacing w:line="400" w:lineRule="exact"/>
        <w:ind w:firstLine="420" w:firstLineChars="200"/>
        <w:rPr>
          <w:rFonts w:ascii="宋体" w:hAnsi="宋体" w:cs="宋体"/>
          <w:szCs w:val="21"/>
        </w:rPr>
      </w:pPr>
      <w:r>
        <w:rPr>
          <w:rFonts w:hint="eastAsia" w:ascii="宋体" w:hAnsi="宋体" w:cs="宋体"/>
          <w:szCs w:val="21"/>
        </w:rPr>
        <w:t>4、采购人直接供应的材料、设备的金额不进入投标总价，其他全部进入投标总价。</w:t>
      </w:r>
    </w:p>
    <w:p>
      <w:pPr>
        <w:spacing w:line="400" w:lineRule="exact"/>
        <w:ind w:firstLine="420" w:firstLineChars="200"/>
        <w:rPr>
          <w:rFonts w:ascii="宋体" w:hAnsi="宋体" w:cs="宋体"/>
          <w:szCs w:val="21"/>
        </w:rPr>
      </w:pPr>
      <w:r>
        <w:rPr>
          <w:rFonts w:hint="eastAsia" w:ascii="宋体" w:hAnsi="宋体" w:cs="宋体"/>
          <w:szCs w:val="21"/>
        </w:rPr>
        <w:t>5、报价人应结合施工现场实际和现在的市场情况、自身技术及管理水平、经营状况、机械设备及制定的施工方案的要求自行报价，该报价不低于报价人完成该招标项目的成本。</w:t>
      </w:r>
    </w:p>
    <w:p>
      <w:pPr>
        <w:spacing w:line="400" w:lineRule="exact"/>
        <w:ind w:firstLine="420" w:firstLineChars="200"/>
        <w:rPr>
          <w:rFonts w:ascii="宋体" w:hAnsi="宋体" w:cs="宋体"/>
          <w:szCs w:val="21"/>
        </w:rPr>
      </w:pPr>
      <w:r>
        <w:rPr>
          <w:rFonts w:hint="eastAsia" w:ascii="宋体" w:hAnsi="宋体" w:cs="宋体"/>
          <w:szCs w:val="21"/>
        </w:rPr>
        <w:t>6、横通道门现场尺寸与工程量清单内尺寸存在一定差异，报价人应综合考虑，合同期间单价不作调整。车行横通道门配件包含帘片，卷轴，电机，导轨，箱罩，控制箱、按钮、熔断器等；人行横通道门配件包含门框、门扇、合页、闭门器等。</w:t>
      </w:r>
    </w:p>
    <w:p>
      <w:pPr>
        <w:spacing w:line="400" w:lineRule="exact"/>
        <w:ind w:firstLine="420" w:firstLineChars="200"/>
        <w:rPr>
          <w:rFonts w:ascii="宋体" w:hAnsi="宋体" w:cs="宋体"/>
          <w:szCs w:val="21"/>
        </w:rPr>
      </w:pPr>
      <w:r>
        <w:rPr>
          <w:rFonts w:hint="eastAsia" w:ascii="宋体" w:hAnsi="宋体" w:cs="宋体"/>
          <w:szCs w:val="21"/>
        </w:rPr>
        <w:t>7、工程量清单中所列工程数量是估算的数量，仅作为投标的共同基础，不能作为最终结算与支付的依据。实际支付应按实际完成的工程量*工程量清单的单价来计算支付金额。</w:t>
      </w:r>
    </w:p>
    <w:p>
      <w:pPr>
        <w:spacing w:line="400" w:lineRule="exact"/>
        <w:ind w:firstLine="420" w:firstLineChars="200"/>
        <w:rPr>
          <w:rFonts w:ascii="宋体" w:hAnsi="宋体" w:cs="宋体"/>
          <w:szCs w:val="21"/>
        </w:rPr>
      </w:pPr>
      <w:r>
        <w:rPr>
          <w:rFonts w:hint="eastAsia" w:ascii="宋体" w:hAnsi="宋体" w:cs="宋体"/>
          <w:szCs w:val="21"/>
        </w:rPr>
        <w:t>8、工程量清单中所列工程量的变动，丝毫不会降低或影响合同条款的效力，也不免除承包人按规定的标准进行施工和修复缺陷的责任。</w:t>
      </w:r>
    </w:p>
    <w:p>
      <w:pPr>
        <w:spacing w:line="400" w:lineRule="exact"/>
        <w:ind w:firstLine="420" w:firstLineChars="200"/>
        <w:rPr>
          <w:rFonts w:ascii="宋体" w:hAnsi="宋体" w:cs="宋体"/>
          <w:szCs w:val="21"/>
        </w:rPr>
      </w:pPr>
      <w:r>
        <w:rPr>
          <w:rFonts w:hint="eastAsia" w:ascii="宋体" w:hAnsi="宋体" w:cs="宋体"/>
          <w:szCs w:val="21"/>
        </w:rPr>
        <w:t>9、对工程量清单中的每一个细目，报价人均填单价和合价，对于未填入单价和合价的细目，其费用应视为已包括在工程量清单中的其他细目的单价和合价中，承包人必须按发包人指令完成工程量清单中未填入单价和合价的细目，但不能得到结算与支付，报价人的投标总价应是所有工程费用的汇总。</w:t>
      </w:r>
    </w:p>
    <w:p>
      <w:pPr>
        <w:spacing w:line="400" w:lineRule="exact"/>
        <w:ind w:firstLine="420" w:firstLineChars="200"/>
        <w:rPr>
          <w:rFonts w:ascii="宋体" w:hAnsi="宋体" w:cs="宋体"/>
          <w:szCs w:val="21"/>
        </w:rPr>
      </w:pPr>
      <w:r>
        <w:rPr>
          <w:rFonts w:hint="eastAsia" w:ascii="宋体" w:hAnsi="宋体" w:cs="宋体"/>
          <w:szCs w:val="21"/>
        </w:rPr>
        <w:t>10、工程量清单中的任何内容不得随意删除或涂改，若有误，在有效时间内书面向采购人提出，以“补遗”资料为准。</w:t>
      </w:r>
    </w:p>
    <w:p>
      <w:pPr>
        <w:spacing w:line="400" w:lineRule="exact"/>
        <w:ind w:firstLine="420" w:firstLineChars="200"/>
        <w:rPr>
          <w:rFonts w:ascii="宋体" w:hAnsi="宋体" w:cs="宋体"/>
          <w:szCs w:val="21"/>
        </w:rPr>
      </w:pPr>
      <w:r>
        <w:rPr>
          <w:rFonts w:hint="eastAsia" w:ascii="宋体" w:hAnsi="宋体" w:cs="宋体"/>
          <w:szCs w:val="21"/>
        </w:rPr>
        <w:t>11、不同单项及单位工程中的分部分项工程量清单中相同项目（项目特征及工作内容相同）的应报价统一，如有差异，按最低的一个报价进行结算；材料设备单价处理办法相同。</w:t>
      </w:r>
    </w:p>
    <w:p>
      <w:pPr>
        <w:spacing w:line="400" w:lineRule="exact"/>
        <w:ind w:firstLine="420" w:firstLineChars="200"/>
        <w:rPr>
          <w:rFonts w:ascii="宋体" w:hAnsi="宋体" w:cs="宋体"/>
          <w:szCs w:val="21"/>
        </w:rPr>
      </w:pPr>
      <w:r>
        <w:rPr>
          <w:rFonts w:hint="eastAsia" w:ascii="宋体" w:hAnsi="宋体" w:cs="宋体"/>
          <w:szCs w:val="21"/>
        </w:rPr>
        <w:t>12、对作业和材料的技术标准和要求及一般说明或规定，未重复写入工程量清单内，在给工程量清单各细目标价前，应参阅招标文件中技术标准和要求的有关部分。</w:t>
      </w:r>
    </w:p>
    <w:p>
      <w:pPr>
        <w:spacing w:line="400" w:lineRule="exact"/>
        <w:ind w:firstLine="420" w:firstLineChars="200"/>
        <w:rPr>
          <w:rFonts w:ascii="宋体" w:hAnsi="宋体" w:cs="宋体"/>
          <w:szCs w:val="21"/>
        </w:rPr>
      </w:pPr>
      <w:r>
        <w:rPr>
          <w:rFonts w:hint="eastAsia" w:ascii="宋体" w:hAnsi="宋体" w:cs="宋体"/>
          <w:szCs w:val="21"/>
        </w:rPr>
        <w:t>13、对于符合要求的投标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投标价。如果报价人拒绝确认，则其投标文件将不予评审，并没收其履约担保。</w:t>
      </w:r>
    </w:p>
    <w:p>
      <w:pPr>
        <w:spacing w:line="400" w:lineRule="exact"/>
        <w:ind w:firstLine="420" w:firstLineChars="200"/>
        <w:rPr>
          <w:rFonts w:ascii="宋体" w:hAnsi="宋体" w:cs="宋体"/>
          <w:szCs w:val="21"/>
        </w:rPr>
      </w:pPr>
      <w:r>
        <w:rPr>
          <w:rFonts w:hint="eastAsia" w:ascii="宋体" w:hAnsi="宋体" w:cs="宋体"/>
          <w:szCs w:val="21"/>
        </w:rPr>
        <w:t>14、工程量清单中的任何内容不得随意删除或涂改，若有误，在有效时间内书面向采购人提出，以“补遗”资料为准。</w:t>
      </w:r>
    </w:p>
    <w:p>
      <w:pPr>
        <w:spacing w:line="400" w:lineRule="exact"/>
        <w:ind w:firstLine="420" w:firstLineChars="200"/>
        <w:rPr>
          <w:rFonts w:ascii="宋体" w:hAnsi="宋体" w:cs="宋体"/>
          <w:szCs w:val="21"/>
        </w:rPr>
      </w:pPr>
      <w:r>
        <w:rPr>
          <w:rFonts w:hint="eastAsia" w:ascii="宋体" w:hAnsi="宋体" w:cs="宋体"/>
          <w:szCs w:val="21"/>
        </w:rPr>
        <w:t>15、投标报价中的单价和合价全部以人民币（元）表示。</w:t>
      </w:r>
    </w:p>
    <w:p>
      <w:pPr>
        <w:spacing w:line="400" w:lineRule="exact"/>
        <w:ind w:firstLine="420" w:firstLineChars="200"/>
        <w:rPr>
          <w:rFonts w:ascii="宋体" w:hAnsi="宋体" w:cs="宋体"/>
          <w:szCs w:val="21"/>
        </w:rPr>
      </w:pPr>
      <w:r>
        <w:rPr>
          <w:rFonts w:hint="eastAsia" w:ascii="宋体" w:hAnsi="宋体" w:cs="宋体"/>
          <w:szCs w:val="21"/>
        </w:rPr>
        <w:t>16、对于报价人投标报价中明显高于市场价的单项报价，采购人有权进行价格审核后调整。调整后应以取得报价人的同意，并确认修正后的最终投标价。如果报价人拒绝确认，则其投标文件将不予评审。</w:t>
      </w:r>
    </w:p>
    <w:p>
      <w:pPr>
        <w:spacing w:line="400" w:lineRule="exact"/>
        <w:ind w:firstLine="420" w:firstLineChars="200"/>
        <w:rPr>
          <w:rFonts w:ascii="宋体" w:hAnsi="宋体" w:cs="宋体"/>
          <w:szCs w:val="21"/>
        </w:rPr>
      </w:pPr>
      <w:r>
        <w:rPr>
          <w:rFonts w:hint="eastAsia" w:ascii="宋体" w:hAnsi="宋体" w:cs="宋体"/>
          <w:szCs w:val="21"/>
        </w:rPr>
        <w:t>17、合同为单价合同，合同期间不予调价。</w:t>
      </w:r>
    </w:p>
    <w:p>
      <w:pPr>
        <w:spacing w:line="400" w:lineRule="exact"/>
        <w:rPr>
          <w:rFonts w:ascii="宋体" w:hAnsi="宋体" w:cs="宋体"/>
          <w:szCs w:val="21"/>
        </w:rPr>
      </w:pPr>
    </w:p>
    <w:p>
      <w:pPr>
        <w:pStyle w:val="27"/>
        <w:rPr>
          <w:rFonts w:ascii="宋体" w:hAnsi="宋体" w:cs="宋体"/>
          <w:szCs w:val="21"/>
        </w:rPr>
      </w:pPr>
    </w:p>
    <w:p>
      <w:pPr>
        <w:rPr>
          <w:rFonts w:ascii="宋体" w:hAnsi="宋体" w:cs="宋体"/>
          <w:szCs w:val="21"/>
        </w:rPr>
      </w:pPr>
    </w:p>
    <w:p>
      <w:pPr>
        <w:pStyle w:val="27"/>
        <w:rPr>
          <w:rFonts w:ascii="宋体" w:hAnsi="宋体" w:cs="宋体"/>
          <w:szCs w:val="21"/>
        </w:rPr>
      </w:pPr>
    </w:p>
    <w:p>
      <w:pPr>
        <w:rPr>
          <w:rFonts w:ascii="宋体" w:hAnsi="宋体" w:cs="宋体"/>
          <w:szCs w:val="21"/>
        </w:rPr>
      </w:pPr>
    </w:p>
    <w:p>
      <w:pPr>
        <w:pStyle w:val="27"/>
        <w:rPr>
          <w:rFonts w:ascii="宋体" w:hAnsi="宋体" w:cs="宋体"/>
          <w:szCs w:val="21"/>
        </w:rPr>
      </w:pPr>
    </w:p>
    <w:p>
      <w:pPr>
        <w:rPr>
          <w:rFonts w:ascii="宋体" w:hAnsi="宋体" w:cs="宋体"/>
          <w:szCs w:val="21"/>
        </w:rPr>
      </w:pPr>
    </w:p>
    <w:p>
      <w:pPr>
        <w:pStyle w:val="27"/>
        <w:rPr>
          <w:rFonts w:ascii="宋体" w:hAnsi="宋体" w:cs="宋体"/>
          <w:szCs w:val="21"/>
        </w:rPr>
      </w:pPr>
    </w:p>
    <w:p>
      <w:pPr>
        <w:rPr>
          <w:rFonts w:ascii="宋体" w:hAnsi="宋体" w:cs="宋体"/>
          <w:szCs w:val="21"/>
        </w:rPr>
      </w:pPr>
    </w:p>
    <w:p>
      <w:pPr>
        <w:pStyle w:val="27"/>
        <w:rPr>
          <w:rFonts w:ascii="宋体" w:hAnsi="宋体" w:cs="宋体"/>
          <w:szCs w:val="21"/>
        </w:rPr>
      </w:pPr>
    </w:p>
    <w:p>
      <w:pPr>
        <w:rPr>
          <w:rFonts w:ascii="宋体" w:hAnsi="宋体" w:cs="宋体"/>
          <w:szCs w:val="21"/>
        </w:rPr>
      </w:pPr>
    </w:p>
    <w:p>
      <w:pPr>
        <w:pStyle w:val="27"/>
        <w:rPr>
          <w:rFonts w:ascii="宋体" w:hAnsi="宋体" w:cs="宋体"/>
          <w:szCs w:val="21"/>
        </w:rPr>
      </w:pPr>
    </w:p>
    <w:p>
      <w:pPr>
        <w:rPr>
          <w:rFonts w:ascii="宋体" w:hAnsi="宋体" w:cs="宋体"/>
          <w:szCs w:val="21"/>
        </w:rPr>
      </w:pPr>
    </w:p>
    <w:p>
      <w:pPr>
        <w:pStyle w:val="27"/>
        <w:rPr>
          <w:rFonts w:ascii="宋体" w:hAnsi="宋体" w:cs="宋体"/>
          <w:szCs w:val="21"/>
        </w:rPr>
      </w:pPr>
    </w:p>
    <w:p>
      <w:pPr>
        <w:rPr>
          <w:rFonts w:ascii="宋体" w:hAnsi="宋体" w:cs="宋体"/>
          <w:szCs w:val="21"/>
        </w:rPr>
      </w:pPr>
    </w:p>
    <w:p>
      <w:pPr>
        <w:pStyle w:val="27"/>
        <w:rPr>
          <w:rFonts w:ascii="宋体" w:hAnsi="宋体" w:cs="宋体"/>
          <w:szCs w:val="21"/>
        </w:rPr>
      </w:pPr>
    </w:p>
    <w:p>
      <w:pPr>
        <w:rPr>
          <w:rFonts w:ascii="宋体" w:hAnsi="宋体" w:cs="宋体"/>
          <w:szCs w:val="21"/>
        </w:rPr>
      </w:pPr>
    </w:p>
    <w:p>
      <w:pPr>
        <w:pStyle w:val="27"/>
        <w:rPr>
          <w:rFonts w:ascii="宋体" w:hAnsi="宋体" w:cs="宋体"/>
          <w:szCs w:val="21"/>
        </w:rPr>
      </w:pPr>
    </w:p>
    <w:p>
      <w:pPr>
        <w:rPr>
          <w:rFonts w:ascii="宋体" w:hAnsi="宋体" w:cs="宋体"/>
          <w:szCs w:val="21"/>
        </w:rPr>
      </w:pPr>
    </w:p>
    <w:p>
      <w:pPr>
        <w:pStyle w:val="27"/>
      </w:pPr>
    </w:p>
    <w:p>
      <w:pPr>
        <w:pStyle w:val="3"/>
        <w:spacing w:before="0" w:after="0" w:line="360" w:lineRule="auto"/>
        <w:jc w:val="center"/>
        <w:rPr>
          <w:rFonts w:ascii="宋体" w:hAnsi="宋体" w:cs="宋体"/>
        </w:rPr>
        <w:sectPr>
          <w:footerReference r:id="rId9" w:type="default"/>
          <w:pgSz w:w="11906" w:h="16838"/>
          <w:pgMar w:top="1440" w:right="1800" w:bottom="1440" w:left="1800" w:header="851" w:footer="992" w:gutter="0"/>
          <w:cols w:space="720" w:num="1"/>
          <w:titlePg/>
          <w:docGrid w:type="lines" w:linePitch="312" w:charSpace="0"/>
        </w:sectPr>
      </w:pPr>
      <w:bookmarkStart w:id="165" w:name="_Toc152045772"/>
      <w:bookmarkStart w:id="166" w:name="_Toc246997083"/>
      <w:bookmarkStart w:id="167" w:name="_Toc144974834"/>
      <w:bookmarkStart w:id="168" w:name="_Toc514858705"/>
      <w:bookmarkStart w:id="169" w:name="_Toc2000409"/>
      <w:bookmarkStart w:id="170" w:name="_Toc246996340"/>
      <w:bookmarkStart w:id="171" w:name="_Toc19652"/>
      <w:bookmarkStart w:id="172" w:name="_Toc152042554"/>
      <w:bookmarkStart w:id="173" w:name="_Toc247085855"/>
      <w:bookmarkStart w:id="174" w:name="_Toc179632789"/>
    </w:p>
    <w:p>
      <w:pPr>
        <w:pStyle w:val="3"/>
        <w:spacing w:before="0" w:after="0" w:line="360" w:lineRule="auto"/>
        <w:jc w:val="center"/>
        <w:rPr>
          <w:rFonts w:ascii="宋体" w:hAnsi="宋体" w:cs="宋体"/>
        </w:rPr>
      </w:pPr>
      <w:r>
        <w:rPr>
          <w:rFonts w:hint="eastAsia" w:ascii="宋体" w:hAnsi="宋体" w:cs="宋体"/>
        </w:rPr>
        <w:t>第五章  工程量清单</w:t>
      </w:r>
      <w:bookmarkEnd w:id="165"/>
      <w:bookmarkEnd w:id="166"/>
      <w:bookmarkEnd w:id="167"/>
      <w:bookmarkEnd w:id="168"/>
      <w:bookmarkEnd w:id="169"/>
      <w:bookmarkEnd w:id="170"/>
      <w:bookmarkEnd w:id="171"/>
      <w:bookmarkEnd w:id="172"/>
      <w:bookmarkEnd w:id="173"/>
      <w:bookmarkEnd w:id="174"/>
    </w:p>
    <w:p>
      <w:pPr>
        <w:jc w:val="center"/>
        <w:rPr>
          <w:rFonts w:ascii="宋体" w:hAnsi="宋体" w:cs="宋体"/>
          <w:b/>
        </w:rPr>
      </w:pPr>
      <w:bookmarkStart w:id="175" w:name="_Toc246997093"/>
      <w:bookmarkStart w:id="176" w:name="_Toc144974851"/>
      <w:bookmarkStart w:id="177" w:name="_Toc179632800"/>
      <w:bookmarkStart w:id="178" w:name="_Toc152042571"/>
      <w:bookmarkStart w:id="179" w:name="_Toc247096438"/>
      <w:bookmarkStart w:id="180" w:name="_Toc152045782"/>
      <w:bookmarkStart w:id="181" w:name="_Toc247085866"/>
      <w:bookmarkStart w:id="182" w:name="_Toc246996350"/>
    </w:p>
    <w:p>
      <w:pPr>
        <w:pStyle w:val="27"/>
        <w:rPr>
          <w:rFonts w:ascii="宋体" w:hAnsi="宋体" w:cs="宋体"/>
          <w:sz w:val="22"/>
          <w:szCs w:val="22"/>
        </w:rPr>
      </w:pPr>
      <w:r>
        <w:rPr>
          <w:rFonts w:hint="eastAsia" w:ascii="宋体" w:hAnsi="宋体" w:cs="宋体"/>
          <w:sz w:val="22"/>
          <w:szCs w:val="22"/>
        </w:rPr>
        <w:t>5.1 工程量清单说明</w:t>
      </w:r>
    </w:p>
    <w:tbl>
      <w:tblPr>
        <w:tblStyle w:val="40"/>
        <w:tblW w:w="13800" w:type="dxa"/>
        <w:jc w:val="center"/>
        <w:shd w:val="clear" w:color="auto" w:fill="auto"/>
        <w:tblLayout w:type="autofit"/>
        <w:tblCellMar>
          <w:top w:w="0" w:type="dxa"/>
          <w:left w:w="108" w:type="dxa"/>
          <w:bottom w:w="0" w:type="dxa"/>
          <w:right w:w="108" w:type="dxa"/>
        </w:tblCellMar>
      </w:tblPr>
      <w:tblGrid>
        <w:gridCol w:w="526"/>
        <w:gridCol w:w="45"/>
        <w:gridCol w:w="1610"/>
        <w:gridCol w:w="558"/>
        <w:gridCol w:w="1235"/>
        <w:gridCol w:w="421"/>
        <w:gridCol w:w="228"/>
        <w:gridCol w:w="371"/>
        <w:gridCol w:w="3877"/>
        <w:gridCol w:w="48"/>
        <w:gridCol w:w="2959"/>
        <w:gridCol w:w="873"/>
        <w:gridCol w:w="108"/>
        <w:gridCol w:w="941"/>
      </w:tblGrid>
      <w:tr>
        <w:tblPrEx>
          <w:shd w:val="clear" w:color="auto" w:fill="auto"/>
          <w:tblCellMar>
            <w:top w:w="0" w:type="dxa"/>
            <w:left w:w="108" w:type="dxa"/>
            <w:bottom w:w="0" w:type="dxa"/>
            <w:right w:w="108" w:type="dxa"/>
          </w:tblCellMar>
        </w:tblPrEx>
        <w:trPr>
          <w:gridAfter w:val="2"/>
          <w:wAfter w:w="1049" w:type="dxa"/>
          <w:trHeight w:val="632" w:hRule="atLeast"/>
          <w:jc w:val="center"/>
        </w:trPr>
        <w:tc>
          <w:tcPr>
            <w:tcW w:w="12751" w:type="dxa"/>
            <w:gridSpan w:val="12"/>
            <w:tcBorders>
              <w:top w:val="nil"/>
              <w:left w:val="nil"/>
              <w:bottom w:val="nil"/>
              <w:right w:val="nil"/>
            </w:tcBorders>
            <w:shd w:val="clear" w:color="auto" w:fill="FFFFFF"/>
            <w:noWrap/>
            <w:vAlign w:val="center"/>
          </w:tcPr>
          <w:p>
            <w:pPr>
              <w:keepNext w:val="0"/>
              <w:keepLines w:val="0"/>
              <w:widowControl/>
              <w:suppressLineNumbers w:val="0"/>
              <w:jc w:val="center"/>
              <w:textAlignment w:val="center"/>
              <w:rPr>
                <w:rFonts w:ascii="等线" w:hAnsi="等线" w:eastAsia="等线" w:cs="等线"/>
                <w:i w:val="0"/>
                <w:iCs w:val="0"/>
                <w:color w:val="000000"/>
                <w:sz w:val="36"/>
                <w:szCs w:val="36"/>
                <w:u w:val="none"/>
              </w:rPr>
            </w:pPr>
            <w:r>
              <w:rPr>
                <w:rFonts w:hint="eastAsia" w:ascii="等线" w:hAnsi="等线" w:eastAsia="等线" w:cs="等线"/>
                <w:i w:val="0"/>
                <w:iCs w:val="0"/>
                <w:color w:val="000000"/>
                <w:kern w:val="0"/>
                <w:sz w:val="36"/>
                <w:szCs w:val="36"/>
                <w:u w:val="none"/>
                <w:lang w:val="en-US" w:eastAsia="zh-CN" w:bidi="ar"/>
              </w:rPr>
              <w:t>中西部车行横通门改造工程工程量清单计价规则</w:t>
            </w:r>
          </w:p>
        </w:tc>
      </w:tr>
      <w:tr>
        <w:tblPrEx>
          <w:shd w:val="clear" w:color="auto" w:fill="auto"/>
          <w:tblCellMar>
            <w:top w:w="0" w:type="dxa"/>
            <w:left w:w="108" w:type="dxa"/>
            <w:bottom w:w="0" w:type="dxa"/>
            <w:right w:w="108" w:type="dxa"/>
          </w:tblCellMar>
        </w:tblPrEx>
        <w:trPr>
          <w:gridAfter w:val="2"/>
          <w:wAfter w:w="1049" w:type="dxa"/>
          <w:trHeight w:val="642" w:hRule="atLeast"/>
          <w:jc w:val="center"/>
        </w:trPr>
        <w:tc>
          <w:tcPr>
            <w:tcW w:w="5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2213"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设备名称</w:t>
            </w:r>
          </w:p>
        </w:tc>
        <w:tc>
          <w:tcPr>
            <w:tcW w:w="16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主要技术要求</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392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计量规则</w:t>
            </w:r>
          </w:p>
        </w:tc>
        <w:tc>
          <w:tcPr>
            <w:tcW w:w="29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工作内容</w:t>
            </w:r>
          </w:p>
        </w:tc>
        <w:tc>
          <w:tcPr>
            <w:tcW w:w="8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tblPrEx>
          <w:shd w:val="clear" w:color="auto" w:fill="auto"/>
          <w:tblCellMar>
            <w:top w:w="0" w:type="dxa"/>
            <w:left w:w="108" w:type="dxa"/>
            <w:bottom w:w="0" w:type="dxa"/>
            <w:right w:w="108" w:type="dxa"/>
          </w:tblCellMar>
        </w:tblPrEx>
        <w:trPr>
          <w:gridAfter w:val="2"/>
          <w:wAfter w:w="1049" w:type="dxa"/>
          <w:trHeight w:val="5061" w:hRule="atLeast"/>
          <w:jc w:val="center"/>
        </w:trPr>
        <w:tc>
          <w:tcPr>
            <w:tcW w:w="52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2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安全生产费</w:t>
            </w:r>
          </w:p>
        </w:tc>
        <w:tc>
          <w:tcPr>
            <w:tcW w:w="16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总额</w:t>
            </w:r>
          </w:p>
        </w:tc>
        <w:tc>
          <w:tcPr>
            <w:tcW w:w="3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1.按工程量清单100～900章合计金额（不含建筑工程一切险、第三者责任险及安全生产费）乘以安全生产费费率计算，以总额计量；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2.根据国家和重庆市有关规定，与安全相关但不列入安全生产费用的支出，含在相关工程子目单价或总额价内，不另行计量</w:t>
            </w:r>
          </w:p>
        </w:tc>
        <w:tc>
          <w:tcPr>
            <w:tcW w:w="2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1.设置、完善、改造和维护安全防护设施设备支出；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2.配备、维护、保养应急救援的器材和设备支出和应急演练支出；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3.重大危险源和事故隐患评估、监控(包括远程监控)和整改支出；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4.安全生产检查、咨询、评价和安全生产标准化支出；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5.配备和更新现场作业人员安全防护用品支出；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6.安全生产宣传、教育、培训支出；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7.安全生产适用的新技术、新标准、新工艺、新装备的推广应用支出；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8.安全设施及特种设备检测检验支出；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9.其他与安全生产直接相关的支出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不可竞争，按实结算</w:t>
            </w:r>
          </w:p>
        </w:tc>
      </w:tr>
      <w:tr>
        <w:tblPrEx>
          <w:shd w:val="clear" w:color="auto" w:fill="auto"/>
          <w:tblCellMar>
            <w:top w:w="0" w:type="dxa"/>
            <w:left w:w="108" w:type="dxa"/>
            <w:bottom w:w="0" w:type="dxa"/>
            <w:right w:w="108" w:type="dxa"/>
          </w:tblCellMar>
        </w:tblPrEx>
        <w:trPr>
          <w:gridAfter w:val="2"/>
          <w:wAfter w:w="1049" w:type="dxa"/>
          <w:trHeight w:val="4114" w:hRule="atLeast"/>
          <w:jc w:val="center"/>
        </w:trPr>
        <w:tc>
          <w:tcPr>
            <w:tcW w:w="52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2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每天摆、拆交通标志</w:t>
            </w:r>
          </w:p>
        </w:tc>
        <w:tc>
          <w:tcPr>
            <w:tcW w:w="16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总额</w:t>
            </w:r>
          </w:p>
        </w:tc>
        <w:tc>
          <w:tcPr>
            <w:tcW w:w="3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按规定的安全作业规范计算，以总额计量</w:t>
            </w:r>
          </w:p>
        </w:tc>
        <w:tc>
          <w:tcPr>
            <w:tcW w:w="2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Style w:val="167"/>
                <w:lang w:val="en-US" w:eastAsia="zh-CN" w:bidi="ar"/>
              </w:rPr>
              <w:t>承包人在施工期间根据高速公路安全施工的有关规定，在交委、执法队办理相关手续，并按要求完成现场交通运营安全措施，如：购买、使用及维护摄像头、频闪灯、电子导向牌、锥标、水马、交通疏导指示牌，交通疏解维护车辆，交通安全管理与交通安全设施维护维修等发生的所有费用。在工程量清单第100章中列有一个单独的支付细目，投标人应根据自己的交通组织方案（须报交委、执法队审批通过）进行自主报价，报价不得超过限价，并此项费用包干使用</w:t>
            </w:r>
          </w:p>
        </w:tc>
        <w:tc>
          <w:tcPr>
            <w:tcW w:w="8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gridAfter w:val="2"/>
          <w:wAfter w:w="1049" w:type="dxa"/>
          <w:trHeight w:val="1589" w:hRule="atLeast"/>
          <w:jc w:val="center"/>
        </w:trPr>
        <w:tc>
          <w:tcPr>
            <w:tcW w:w="52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2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车行横通道门</w:t>
            </w:r>
          </w:p>
        </w:tc>
        <w:tc>
          <w:tcPr>
            <w:tcW w:w="16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5720*5950mm</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1.依据图纸所示，按满足设计配置和功能要求的设备数量以套计量；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2.包含门框、门扇、合页、闭门器等配件</w:t>
            </w:r>
          </w:p>
        </w:tc>
        <w:tc>
          <w:tcPr>
            <w:tcW w:w="2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1.门及配套附件、辅材的装卸、运输、就位；</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2.测位、钻孔、螺栓安装、支架固定、本体安装；</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3.调试。</w:t>
            </w:r>
          </w:p>
        </w:tc>
        <w:tc>
          <w:tcPr>
            <w:tcW w:w="8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gridAfter w:val="2"/>
          <w:wAfter w:w="1049" w:type="dxa"/>
          <w:trHeight w:val="957" w:hRule="atLeast"/>
          <w:jc w:val="center"/>
        </w:trPr>
        <w:tc>
          <w:tcPr>
            <w:tcW w:w="52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2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原车行横通门拆除、转运</w:t>
            </w:r>
          </w:p>
        </w:tc>
        <w:tc>
          <w:tcPr>
            <w:tcW w:w="16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5720*5950mm</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1.依据图纸所示，按满足设计配置和功能要求的设备数量以套计量；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2.包含门框、门扇、合页、闭门器等配件</w:t>
            </w:r>
          </w:p>
        </w:tc>
        <w:tc>
          <w:tcPr>
            <w:tcW w:w="2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1.门及配套附件、辅材的拆除、运输；</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2.现场清理；</w:t>
            </w:r>
          </w:p>
        </w:tc>
        <w:tc>
          <w:tcPr>
            <w:tcW w:w="8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gridAfter w:val="2"/>
          <w:wAfter w:w="1049" w:type="dxa"/>
          <w:trHeight w:val="957" w:hRule="atLeast"/>
          <w:jc w:val="center"/>
        </w:trPr>
        <w:tc>
          <w:tcPr>
            <w:tcW w:w="52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21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原车行横通道门控制箱拆除</w:t>
            </w:r>
          </w:p>
        </w:tc>
        <w:tc>
          <w:tcPr>
            <w:tcW w:w="16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3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1.依据图纸所示，按满足设计配置和功能要求的设备数量以套计量；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2.包含配件</w:t>
            </w:r>
          </w:p>
        </w:tc>
        <w:tc>
          <w:tcPr>
            <w:tcW w:w="2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1.箱体及配套附件、辅材的拆除、运输；</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2.现场清理；</w:t>
            </w:r>
          </w:p>
        </w:tc>
        <w:tc>
          <w:tcPr>
            <w:tcW w:w="8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gridAfter w:val="2"/>
          <w:wAfter w:w="1049" w:type="dxa"/>
          <w:trHeight w:val="643" w:hRule="atLeast"/>
          <w:jc w:val="center"/>
        </w:trPr>
        <w:tc>
          <w:tcPr>
            <w:tcW w:w="52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21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系统调试，配电箱接线及调试</w:t>
            </w:r>
          </w:p>
        </w:tc>
        <w:tc>
          <w:tcPr>
            <w:tcW w:w="16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等线" w:hAnsi="等线" w:eastAsia="等线" w:cs="等线"/>
                <w:i w:val="0"/>
                <w:iCs w:val="0"/>
                <w:color w:val="000000"/>
                <w:sz w:val="22"/>
                <w:szCs w:val="22"/>
                <w:u w:val="none"/>
              </w:rPr>
            </w:pP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3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1.依据图纸所示，按满足设计配置和功能要求的设备数量以项计量；</w:t>
            </w:r>
          </w:p>
        </w:tc>
        <w:tc>
          <w:tcPr>
            <w:tcW w:w="2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1.设备调试；</w:t>
            </w:r>
          </w:p>
        </w:tc>
        <w:tc>
          <w:tcPr>
            <w:tcW w:w="8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gridAfter w:val="2"/>
          <w:wAfter w:w="1049" w:type="dxa"/>
          <w:trHeight w:val="1904" w:hRule="atLeast"/>
          <w:jc w:val="center"/>
        </w:trPr>
        <w:tc>
          <w:tcPr>
            <w:tcW w:w="52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21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控制电缆</w:t>
            </w:r>
          </w:p>
        </w:tc>
        <w:tc>
          <w:tcPr>
            <w:tcW w:w="16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KVVP 16*1.5</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米</w:t>
            </w:r>
          </w:p>
        </w:tc>
        <w:tc>
          <w:tcPr>
            <w:tcW w:w="3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1.依据图纸所示，按满足设计配置和功能要求的线缆数量以米计量；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2.包含固定辅助材料、接线盒，不扣除设计或规范规定的线缆附加和预留长度，以及管路中间的接线箱（盒）、设备底座所占长度</w:t>
            </w:r>
          </w:p>
        </w:tc>
        <w:tc>
          <w:tcPr>
            <w:tcW w:w="2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1.线缆配套附件、辅材的装卸、运输、开箱、就位；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2.线缆检查、编号、安放；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3.断线、固定、临时封头、清理场地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4.功能检测</w:t>
            </w:r>
          </w:p>
        </w:tc>
        <w:tc>
          <w:tcPr>
            <w:tcW w:w="8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gridAfter w:val="2"/>
          <w:wAfter w:w="1049" w:type="dxa"/>
          <w:trHeight w:val="1904" w:hRule="atLeast"/>
          <w:jc w:val="center"/>
        </w:trPr>
        <w:tc>
          <w:tcPr>
            <w:tcW w:w="52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2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电力电缆</w:t>
            </w:r>
          </w:p>
        </w:tc>
        <w:tc>
          <w:tcPr>
            <w:tcW w:w="16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NH-YJV 3*4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3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1.依据图纸所示，按满足设计配置和功能要求的线缆数量以米计量；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2.包含固定辅助材料、接线盒，不扣除设计或规范规定的线缆附加和预留长度，以及管路中间的接线箱（盒）、设备底座所占长度</w:t>
            </w:r>
          </w:p>
        </w:tc>
        <w:tc>
          <w:tcPr>
            <w:tcW w:w="29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1.线缆配套附件、辅材的装卸、运输、开箱、就位；</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2.线缆检查、编号、安放；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3.断线、固定、临时封头、清理场地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4.功能检测</w:t>
            </w:r>
          </w:p>
        </w:tc>
        <w:tc>
          <w:tcPr>
            <w:tcW w:w="8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642" w:hRule="atLeast"/>
          <w:jc w:val="center"/>
        </w:trPr>
        <w:tc>
          <w:tcPr>
            <w:tcW w:w="13800" w:type="dxa"/>
            <w:gridSpan w:val="14"/>
            <w:tcBorders>
              <w:top w:val="nil"/>
              <w:left w:val="nil"/>
              <w:bottom w:val="nil"/>
              <w:right w:val="nil"/>
            </w:tcBorders>
            <w:shd w:val="clear" w:color="auto" w:fill="FFFFFF"/>
            <w:noWrap/>
            <w:vAlign w:val="center"/>
          </w:tcPr>
          <w:p>
            <w:pPr>
              <w:keepNext w:val="0"/>
              <w:keepLines w:val="0"/>
              <w:widowControl/>
              <w:suppressLineNumbers w:val="0"/>
              <w:jc w:val="center"/>
              <w:textAlignment w:val="center"/>
              <w:rPr>
                <w:rFonts w:ascii="等线" w:hAnsi="等线" w:eastAsia="等线" w:cs="等线"/>
                <w:i w:val="0"/>
                <w:iCs w:val="0"/>
                <w:color w:val="000000"/>
                <w:sz w:val="36"/>
                <w:szCs w:val="36"/>
                <w:u w:val="none"/>
              </w:rPr>
            </w:pPr>
            <w:r>
              <w:rPr>
                <w:rFonts w:hint="eastAsia" w:ascii="等线" w:hAnsi="等线" w:eastAsia="等线" w:cs="等线"/>
                <w:i w:val="0"/>
                <w:iCs w:val="0"/>
                <w:color w:val="000000"/>
                <w:kern w:val="0"/>
                <w:sz w:val="36"/>
                <w:szCs w:val="36"/>
                <w:u w:val="none"/>
                <w:lang w:val="en-US" w:eastAsia="zh-CN" w:bidi="ar"/>
              </w:rPr>
              <w:t>东南公司人行横通门更换项目工程量清单计价规则</w:t>
            </w:r>
          </w:p>
        </w:tc>
      </w:tr>
      <w:tr>
        <w:tblPrEx>
          <w:shd w:val="clear" w:color="auto" w:fill="auto"/>
          <w:tblCellMar>
            <w:top w:w="0" w:type="dxa"/>
            <w:left w:w="108" w:type="dxa"/>
            <w:bottom w:w="0" w:type="dxa"/>
            <w:right w:w="108" w:type="dxa"/>
          </w:tblCellMar>
        </w:tblPrEx>
        <w:trPr>
          <w:trHeight w:val="642" w:hRule="atLeast"/>
          <w:jc w:val="center"/>
        </w:trPr>
        <w:tc>
          <w:tcPr>
            <w:tcW w:w="571"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6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设备名称</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主要技术要求</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计量规则</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工作内容</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tblPrEx>
          <w:shd w:val="clear" w:color="auto" w:fill="auto"/>
          <w:tblCellMar>
            <w:top w:w="0" w:type="dxa"/>
            <w:left w:w="108" w:type="dxa"/>
            <w:bottom w:w="0" w:type="dxa"/>
            <w:right w:w="108" w:type="dxa"/>
          </w:tblCellMar>
        </w:tblPrEx>
        <w:trPr>
          <w:trHeight w:val="4114" w:hRule="atLeast"/>
          <w:jc w:val="center"/>
        </w:trPr>
        <w:tc>
          <w:tcPr>
            <w:tcW w:w="571"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安全生产费</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总额</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1.按工程量清单100～900章合计金额（不含建筑工程一切险、第三者责任险及安全生产费）乘以安全生产费费率计算，以总额计量；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2.根据国家和重庆市有关规定，与安全相关但不列入安全生产费用的支出，含在相关工程子目单价或总额价内，不另行计量</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1.设置、完善、改造和维护安全防护设施设备支出；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2.配备、维护、保养应急救援的器材和设备支出和应急演练支出；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3.重大危险源和事故隐患评估、监控(包括远程监控)和整改支出；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4.安全生产检查、咨询、评价和安全生产标准化支出；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5.配备和更新现场作业人员安全防护用品支出；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6.安全生产宣传、教育、培训支出；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7.安全生产适用的新技术、新标准、新工艺、新装备的推广应用支出；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8.安全设施及特种设备检测检验支出；</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9.其他与安全生产直接相关的支出</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167" w:hRule="atLeast"/>
          <w:jc w:val="center"/>
        </w:trPr>
        <w:tc>
          <w:tcPr>
            <w:tcW w:w="571"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每天摆、拆交通标志</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总额</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按规定的安全作业规范计算，以总额计量</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Style w:val="168"/>
                <w:lang w:val="en-US" w:eastAsia="zh-CN" w:bidi="ar"/>
              </w:rPr>
              <w:t>承包人在施工期间根据高速公路安全施工的有关规定，在交委、执法队办理相关手续，并按要求完成现场交通运营安全措施，如：购买、使用及维护摄像头、频闪灯、电子导向牌、锥标、水马、交通疏导指示牌，交通疏解维护车辆，交通安全管理与交通安全设施维护维修等发生的所有费用。在工程量清单第100章中列有一个单独的支付细目，投标人应根据自己的交通组织方案（须报交委、执法队审批通过）进行自主报价，报价不得超过限价，并此项费用包干使用</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957" w:hRule="atLeast"/>
          <w:jc w:val="center"/>
        </w:trPr>
        <w:tc>
          <w:tcPr>
            <w:tcW w:w="571"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人行横通道门</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1800*2100mm</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1.依据图纸所示，按满足设计配置和功能要求的设备数量以套计量；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2.包含门框、门扇、合页、闭门器等配件</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1.门及配套附件、辅材的装卸、运输、就位；</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2.测位、钻孔、螺栓安装、支架固定、本体安装；</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3.调试。</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670" w:hRule="atLeast"/>
          <w:jc w:val="center"/>
        </w:trPr>
        <w:tc>
          <w:tcPr>
            <w:tcW w:w="571"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人行横通道门封堵</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详见图纸</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1.依据图纸所示，按满足设计配置和功能要求的数量以套计量；</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1.材料装卸、运输、就位；</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2.横通道门封堵。</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957" w:hRule="atLeast"/>
          <w:jc w:val="center"/>
        </w:trPr>
        <w:tc>
          <w:tcPr>
            <w:tcW w:w="571"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应急疏散照明灯</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（带备电）</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1.依据图纸所示，按满足设计配置和功能要求的设备数量以套计量；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2.包含配件</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1.灯具及配套附件、辅材的装卸、运输、就位；</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2.测位、钻孔、螺栓安装、支架固定、本体安装；</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3.调试。</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957" w:hRule="atLeast"/>
          <w:jc w:val="center"/>
        </w:trPr>
        <w:tc>
          <w:tcPr>
            <w:tcW w:w="571"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双面红蓝闪烁警示灯</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双面</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1.依据图纸所示，按满足设计配置和功能要求的灯具数量以组计量；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2.包含配件</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1.灯具及配套附件、辅材的装卸、运输、就位；</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2.测位、钻孔、螺栓安装、支架固定、本体安装；</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3.调试。</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957" w:hRule="atLeast"/>
          <w:jc w:val="center"/>
        </w:trPr>
        <w:tc>
          <w:tcPr>
            <w:tcW w:w="571"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疏散通道逃生专用锁</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1.依据图纸所示，按满足设计配置和功能要求的设备数量以套计量；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2.包含配件</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1.锁具及配套附件、辅材的装卸、运输、就位；</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2.测位、钻孔、螺栓安装、本体安装；</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3.调试。</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670" w:hRule="atLeast"/>
          <w:jc w:val="center"/>
        </w:trPr>
        <w:tc>
          <w:tcPr>
            <w:tcW w:w="571"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门上指示牌</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1.依据图纸所示，按满足设计配置和功能要求的指示牌数量以组计量；</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1.本体及配套附件、辅材的装卸、运输、就位；</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2.测位、钻孔、螺栓安装、本体安装；</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967" w:hRule="atLeast"/>
          <w:jc w:val="center"/>
        </w:trPr>
        <w:tc>
          <w:tcPr>
            <w:tcW w:w="571" w:type="dxa"/>
            <w:gridSpan w:val="2"/>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6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原人行横通门拆除</w:t>
            </w:r>
          </w:p>
        </w:tc>
        <w:tc>
          <w:tcPr>
            <w:tcW w:w="179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1800*2100mm</w:t>
            </w:r>
          </w:p>
        </w:tc>
        <w:tc>
          <w:tcPr>
            <w:tcW w:w="6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1.依据图纸所示，按满足设计配置和功能要求的设备数量以套计量；</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2.包含门框、门扇、合页、闭门器等配件</w:t>
            </w:r>
          </w:p>
        </w:tc>
        <w:tc>
          <w:tcPr>
            <w:tcW w:w="3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smartSimSun" w:hAnsi="smartSimSun" w:eastAsia="smartSimSun" w:cs="smartSimSun"/>
                <w:i w:val="0"/>
                <w:iCs w:val="0"/>
                <w:color w:val="000000"/>
                <w:sz w:val="18"/>
                <w:szCs w:val="18"/>
                <w:u w:val="none"/>
              </w:rPr>
            </w:pPr>
            <w:r>
              <w:rPr>
                <w:rFonts w:hint="eastAsia" w:ascii="smartSimSun" w:hAnsi="smartSimSun" w:eastAsia="smartSimSun" w:cs="smartSimSun"/>
                <w:i w:val="0"/>
                <w:iCs w:val="0"/>
                <w:color w:val="000000"/>
                <w:kern w:val="0"/>
                <w:sz w:val="18"/>
                <w:szCs w:val="18"/>
                <w:u w:val="none"/>
                <w:lang w:val="en-US" w:eastAsia="zh-CN" w:bidi="ar"/>
              </w:rPr>
              <w:t>1.门及配套附件、辅材的拆除、运输；</w:t>
            </w:r>
            <w:r>
              <w:rPr>
                <w:rFonts w:hint="eastAsia" w:ascii="smartSimSun" w:hAnsi="smartSimSun" w:eastAsia="smartSimSun" w:cs="smartSimSun"/>
                <w:i w:val="0"/>
                <w:iCs w:val="0"/>
                <w:color w:val="000000"/>
                <w:kern w:val="0"/>
                <w:sz w:val="18"/>
                <w:szCs w:val="18"/>
                <w:u w:val="none"/>
                <w:lang w:val="en-US" w:eastAsia="zh-CN" w:bidi="ar"/>
              </w:rPr>
              <w:br w:type="textWrapping"/>
            </w:r>
            <w:r>
              <w:rPr>
                <w:rFonts w:hint="eastAsia" w:ascii="smartSimSun" w:hAnsi="smartSimSun" w:eastAsia="smartSimSun" w:cs="smartSimSun"/>
                <w:i w:val="0"/>
                <w:iCs w:val="0"/>
                <w:color w:val="000000"/>
                <w:kern w:val="0"/>
                <w:sz w:val="18"/>
                <w:szCs w:val="18"/>
                <w:u w:val="none"/>
                <w:lang w:val="en-US" w:eastAsia="zh-CN" w:bidi="ar"/>
              </w:rPr>
              <w:t>2.现场清理；</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eastAsia" w:ascii="等线" w:hAnsi="等线" w:eastAsia="等线" w:cs="等线"/>
                <w:i w:val="0"/>
                <w:iCs w:val="0"/>
                <w:color w:val="000000"/>
                <w:sz w:val="22"/>
                <w:szCs w:val="22"/>
                <w:u w:val="none"/>
              </w:rPr>
            </w:pPr>
          </w:p>
        </w:tc>
      </w:tr>
    </w:tbl>
    <w:p>
      <w:pPr>
        <w:rPr>
          <w:rFonts w:hint="eastAsia" w:ascii="宋体" w:hAnsi="宋体" w:cs="宋体"/>
          <w:b/>
        </w:rPr>
      </w:pPr>
    </w:p>
    <w:p>
      <w:r>
        <w:rPr>
          <w:rFonts w:hint="eastAsia" w:ascii="宋体" w:hAnsi="宋体" w:cs="宋体"/>
          <w:b/>
        </w:rPr>
        <w:t>5.2工程量清单</w:t>
      </w:r>
    </w:p>
    <w:p>
      <w:pPr>
        <w:jc w:val="left"/>
        <w:rPr>
          <w:rFonts w:hint="default" w:ascii="宋体" w:hAnsi="宋体" w:eastAsia="宋体" w:cs="宋体"/>
          <w:b/>
          <w:lang w:val="en-US" w:eastAsia="zh-CN"/>
        </w:rPr>
      </w:pPr>
      <w:r>
        <w:rPr>
          <w:rFonts w:hint="eastAsia" w:ascii="宋体" w:hAnsi="宋体" w:cs="宋体"/>
          <w:b/>
          <w:lang w:val="en-US" w:eastAsia="zh-CN"/>
        </w:rPr>
        <w:t>详见附件报价单</w:t>
      </w:r>
    </w:p>
    <w:p>
      <w:pPr>
        <w:jc w:val="center"/>
        <w:rPr>
          <w:rFonts w:ascii="宋体" w:hAnsi="宋体" w:cs="宋体"/>
          <w:b/>
        </w:rPr>
      </w:pPr>
    </w:p>
    <w:p>
      <w:pPr>
        <w:jc w:val="center"/>
        <w:rPr>
          <w:rFonts w:ascii="宋体" w:hAnsi="宋体" w:cs="宋体"/>
          <w:b/>
        </w:rPr>
      </w:pPr>
    </w:p>
    <w:p>
      <w:pPr>
        <w:jc w:val="center"/>
        <w:rPr>
          <w:rFonts w:ascii="宋体" w:hAnsi="宋体" w:cs="宋体"/>
          <w:b/>
        </w:rPr>
      </w:pPr>
    </w:p>
    <w:p>
      <w:pPr>
        <w:jc w:val="center"/>
        <w:rPr>
          <w:rFonts w:ascii="宋体" w:hAnsi="宋体" w:cs="宋体"/>
          <w:b/>
        </w:rPr>
        <w:sectPr>
          <w:pgSz w:w="16838" w:h="11906" w:orient="landscape"/>
          <w:pgMar w:top="1803" w:right="1440" w:bottom="1803" w:left="1440" w:header="851" w:footer="992" w:gutter="0"/>
          <w:cols w:space="0" w:num="1"/>
          <w:titlePg/>
          <w:docGrid w:type="lines" w:linePitch="319" w:charSpace="0"/>
        </w:sectPr>
      </w:pPr>
    </w:p>
    <w:p>
      <w:pPr>
        <w:pStyle w:val="3"/>
        <w:spacing w:before="0" w:after="0" w:line="360" w:lineRule="auto"/>
        <w:jc w:val="center"/>
        <w:rPr>
          <w:rFonts w:ascii="宋体" w:hAnsi="宋体" w:cs="宋体"/>
        </w:rPr>
      </w:pPr>
      <w:bookmarkStart w:id="183" w:name="_Toc513633963"/>
      <w:bookmarkStart w:id="184" w:name="_Toc2000410"/>
      <w:bookmarkStart w:id="185" w:name="_Toc28444"/>
      <w:bookmarkStart w:id="186" w:name="_Toc503951042"/>
      <w:bookmarkStart w:id="187" w:name="_Toc447827048"/>
      <w:bookmarkStart w:id="188" w:name="_Toc514858706"/>
      <w:r>
        <w:rPr>
          <w:rFonts w:hint="eastAsia" w:ascii="宋体" w:hAnsi="宋体" w:cs="宋体"/>
        </w:rPr>
        <w:t>第六章  图  纸</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jc w:val="center"/>
        <w:rPr>
          <w:rFonts w:ascii="宋体" w:hAnsi="宋体" w:cs="宋体"/>
          <w:b/>
          <w:kern w:val="0"/>
          <w:sz w:val="24"/>
        </w:rPr>
      </w:pPr>
    </w:p>
    <w:p>
      <w:pPr>
        <w:jc w:val="center"/>
        <w:rPr>
          <w:rFonts w:ascii="宋体" w:hAnsi="宋体" w:cs="宋体"/>
          <w:b/>
          <w:kern w:val="0"/>
          <w:sz w:val="24"/>
        </w:rPr>
      </w:pPr>
      <w:r>
        <w:rPr>
          <w:rFonts w:hint="eastAsia" w:ascii="宋体" w:hAnsi="宋体" w:cs="宋体"/>
          <w:b/>
          <w:kern w:val="0"/>
          <w:sz w:val="24"/>
        </w:rPr>
        <w:t>详见竞争性比选文件附件。</w:t>
      </w:r>
    </w:p>
    <w:p>
      <w:pPr>
        <w:pStyle w:val="27"/>
        <w:rPr>
          <w:rFonts w:ascii="宋体" w:hAnsi="宋体" w:cs="宋体"/>
          <w:kern w:val="0"/>
          <w:sz w:val="24"/>
        </w:rPr>
      </w:pPr>
    </w:p>
    <w:p/>
    <w:p>
      <w:pPr>
        <w:spacing w:line="400" w:lineRule="exact"/>
        <w:rPr>
          <w:rFonts w:ascii="宋体" w:hAnsi="宋体" w:cs="宋体"/>
        </w:rPr>
      </w:pPr>
      <w:r>
        <w:rPr>
          <w:rFonts w:hint="eastAsia" w:ascii="宋体" w:hAnsi="宋体" w:cs="宋体"/>
        </w:rPr>
        <w:br w:type="page"/>
      </w:r>
      <w:bookmarkStart w:id="189" w:name="_Toc144974854"/>
      <w:bookmarkStart w:id="190" w:name="_Toc152045785"/>
      <w:bookmarkStart w:id="191" w:name="_Toc152042574"/>
    </w:p>
    <w:p>
      <w:pPr>
        <w:pStyle w:val="3"/>
        <w:numPr>
          <w:ilvl w:val="0"/>
          <w:numId w:val="3"/>
        </w:numPr>
        <w:spacing w:before="0" w:after="0" w:line="360" w:lineRule="auto"/>
        <w:jc w:val="center"/>
      </w:pPr>
      <w:bookmarkStart w:id="192" w:name="_Toc513633964"/>
      <w:bookmarkStart w:id="193" w:name="_Toc246997096"/>
      <w:bookmarkStart w:id="194" w:name="_Toc179632804"/>
      <w:bookmarkStart w:id="195" w:name="_Toc514858707"/>
      <w:bookmarkStart w:id="196" w:name="_Toc2000411"/>
      <w:bookmarkStart w:id="197" w:name="_Toc503951043"/>
      <w:bookmarkStart w:id="198" w:name="_Toc247085870"/>
      <w:bookmarkStart w:id="199" w:name="_Toc246996353"/>
      <w:bookmarkStart w:id="200" w:name="_Toc447827049"/>
      <w:r>
        <w:rPr>
          <w:rFonts w:hint="eastAsia" w:ascii="宋体" w:hAnsi="宋体" w:cs="宋体"/>
        </w:rPr>
        <w:t xml:space="preserve"> </w:t>
      </w:r>
      <w:bookmarkStart w:id="201" w:name="_Toc20253"/>
      <w:r>
        <w:rPr>
          <w:rFonts w:hint="eastAsia" w:ascii="宋体" w:hAnsi="宋体" w:cs="宋体"/>
        </w:rPr>
        <w:t>技术标准和工作要求</w:t>
      </w:r>
      <w:bookmarkEnd w:id="189"/>
      <w:bookmarkEnd w:id="190"/>
      <w:bookmarkEnd w:id="191"/>
      <w:bookmarkEnd w:id="192"/>
      <w:bookmarkEnd w:id="193"/>
      <w:bookmarkEnd w:id="194"/>
      <w:bookmarkEnd w:id="195"/>
      <w:bookmarkEnd w:id="196"/>
      <w:bookmarkEnd w:id="197"/>
      <w:bookmarkEnd w:id="198"/>
      <w:bookmarkEnd w:id="199"/>
      <w:bookmarkEnd w:id="200"/>
      <w:bookmarkEnd w:id="201"/>
    </w:p>
    <w:p/>
    <w:bookmarkEnd w:id="158"/>
    <w:bookmarkEnd w:id="159"/>
    <w:bookmarkEnd w:id="160"/>
    <w:bookmarkEnd w:id="161"/>
    <w:bookmarkEnd w:id="162"/>
    <w:bookmarkEnd w:id="163"/>
    <w:bookmarkEnd w:id="164"/>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bookmarkStart w:id="202" w:name="_Toc514858708"/>
      <w:bookmarkStart w:id="203" w:name="_Toc514430114"/>
      <w:bookmarkStart w:id="204" w:name="_Toc2000412"/>
      <w:bookmarkStart w:id="205" w:name="_Toc246997098"/>
      <w:bookmarkStart w:id="206" w:name="_Toc144974856"/>
      <w:bookmarkStart w:id="207" w:name="_Toc152045787"/>
      <w:bookmarkStart w:id="208" w:name="_Toc507320039"/>
      <w:bookmarkStart w:id="209" w:name="_Toc246996355"/>
      <w:bookmarkStart w:id="210" w:name="_Toc247085873"/>
      <w:bookmarkStart w:id="211" w:name="_Toc152042576"/>
      <w:bookmarkStart w:id="212" w:name="_Toc179632807"/>
      <w:r>
        <w:rPr>
          <w:rFonts w:hint="eastAsia" w:ascii="宋体" w:hAnsi="宋体" w:cs="宋体"/>
          <w:b w:val="0"/>
          <w:bCs/>
          <w:color w:val="auto"/>
          <w:sz w:val="24"/>
          <w:szCs w:val="24"/>
          <w:lang w:val="en-US" w:eastAsia="zh-CN"/>
        </w:rPr>
        <w:t>一、</w:t>
      </w:r>
      <w:r>
        <w:rPr>
          <w:rFonts w:hint="eastAsia" w:ascii="宋体" w:hAnsi="宋体" w:eastAsia="宋体" w:cs="宋体"/>
          <w:b w:val="0"/>
          <w:bCs/>
          <w:color w:val="auto"/>
          <w:sz w:val="24"/>
          <w:szCs w:val="24"/>
        </w:rPr>
        <w:t>功能要求</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(1)车行横洞门横通道门应实现本地手动控制、自动控制（区域控制器完成）及远程控制（人工/自动）。</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(2)横通道门的报警信号应与手动报警按钮系统相连接，防火卷帘门的开、闭及故障等信号均作为报警信号。</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(3)横通道门在中位时不应有延时，要迅速全开或全闭。</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(4)隧道中间的车行横洞门保证联动。</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cs="宋体"/>
          <w:b w:val="0"/>
          <w:bCs/>
          <w:color w:val="auto"/>
          <w:sz w:val="24"/>
          <w:szCs w:val="24"/>
          <w:lang w:val="en-US" w:eastAsia="zh-CN"/>
        </w:rPr>
        <w:t>二、</w:t>
      </w:r>
      <w:r>
        <w:rPr>
          <w:rFonts w:hint="eastAsia" w:ascii="宋体" w:hAnsi="宋体" w:eastAsia="宋体" w:cs="宋体"/>
          <w:b w:val="0"/>
          <w:bCs/>
          <w:color w:val="auto"/>
          <w:sz w:val="24"/>
          <w:szCs w:val="24"/>
        </w:rPr>
        <w:t>相关标准及规范</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(1)适合工程所在地气候、环境特征，防锈、耐腐蚀。</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(2)防火门必须符合国家相关技术要求</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且符合设计文件参数技术要求</w:t>
      </w:r>
      <w:r>
        <w:rPr>
          <w:rFonts w:hint="eastAsia" w:ascii="宋体" w:hAnsi="宋体" w:eastAsia="宋体" w:cs="宋体"/>
          <w:b w:val="0"/>
          <w:bCs/>
          <w:color w:val="auto"/>
          <w:sz w:val="24"/>
          <w:szCs w:val="24"/>
        </w:rPr>
        <w:t>。</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(3)防火门的具体制作及安装由生产厂家及投标人结合土建工程设计及横洞限界等实际情况完成。本技术规范中的防火门均为非标产品，因此在运抵现场前，必须通过国家法定消防产品检测机构的检测，该费用已包含在报价中。</w:t>
      </w:r>
    </w:p>
    <w:p>
      <w:pPr>
        <w:pStyle w:val="169"/>
        <w:numPr>
          <w:ilvl w:val="0"/>
          <w:numId w:val="0"/>
        </w:numPr>
        <w:tabs>
          <w:tab w:val="left" w:pos="1240"/>
        </w:tabs>
        <w:spacing w:before="0" w:after="0" w:line="240" w:lineRule="auto"/>
        <w:ind w:left="220" w:leftChars="0" w:right="0" w:rightChars="0"/>
        <w:jc w:val="left"/>
        <w:rPr>
          <w:sz w:val="24"/>
        </w:rPr>
      </w:pPr>
      <w:r>
        <w:rPr>
          <w:rFonts w:hint="eastAsia" w:ascii="宋体" w:hAnsi="宋体" w:cs="宋体"/>
          <w:b w:val="0"/>
          <w:bCs/>
          <w:color w:val="auto"/>
          <w:sz w:val="24"/>
          <w:szCs w:val="24"/>
          <w:lang w:val="en-US" w:eastAsia="zh-CN"/>
        </w:rPr>
        <w:t xml:space="preserve">  三、</w:t>
      </w:r>
      <w:r>
        <w:rPr>
          <w:sz w:val="24"/>
        </w:rPr>
        <w:t>技术指标</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lang w:eastAsia="zh-CN"/>
        </w:rPr>
      </w:pP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1）通用要求</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钢质防火门，人行横洞采用平推门，车行横洞采用卷帘门。</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可远程控制开启，同时可手动开启，可检测门的开闭状态，并将信息传输到监控室。</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电动机有手动式与电动式，安装必须留有检修的空间，安装应牢固，不得漏油。电气安装：电气按钮启动操纵灵活，集中控制和联运的动作灵敏准确。</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自动控制的保险装置应安装在卷帘附近2米范围内的暴露部分能随时进行监控。</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自动控制电源、备用电源或蓄电池应能保证正常工作状态，所用电气线路不允许裸露。</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卷帘由卷门机带动卷轴实现开启或关闭，卷帘旁设有控制按钮，控制卷帘门启闭。卷帘控制箱设有接口端子，接收受控信号实现远距离控制卷帘升降，当卷帘上升或下降到限位位置时，卷帘控制箱的反馈信号端子输出闭合信号，中控室可显示卷帘所处位置。</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2）</w:t>
      </w:r>
      <w:r>
        <w:rPr>
          <w:rFonts w:hint="eastAsia" w:ascii="宋体" w:hAnsi="宋体" w:eastAsia="宋体" w:cs="宋体"/>
          <w:b w:val="0"/>
          <w:bCs/>
          <w:color w:val="auto"/>
          <w:sz w:val="24"/>
          <w:szCs w:val="24"/>
        </w:rPr>
        <w:t>车行横洞门其他要求</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整体复合式双层冷轧带钢，内填不燃性材料。</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主体材料为钢质防火卷帘门，钢质防火卷帘帘片采用 0.6～1.2mm 厚冷轧镀锌钢制成。</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耐火等级为 F4（≥3h）；烟特性为 FY3 级（≥2.5h）。</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帘板、导轨、门楣、卷轴等部件表表不允许有裂痕、压坑、及较明显的凹凸、锤痕、毛刺、空洞、及明显外观缺陷等。</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相对运动件在切割、弯曲、冲钻等加工处，必须清理毛刺。</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构件或零部件的组装、拼接处不允许有错位。</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焊接处应牢固，外观平整，不允许有夹渣，漏焊等现象。所有紧固件必须紧牢，不允许有松动现象。</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3）</w:t>
      </w:r>
      <w:r>
        <w:rPr>
          <w:rFonts w:hint="eastAsia" w:ascii="宋体" w:hAnsi="宋体" w:eastAsia="宋体" w:cs="宋体"/>
          <w:b w:val="0"/>
          <w:bCs/>
          <w:color w:val="auto"/>
          <w:sz w:val="24"/>
          <w:szCs w:val="24"/>
        </w:rPr>
        <w:t>零部件：</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right="0" w:rightChars="0"/>
        <w:jc w:val="left"/>
        <w:textAlignment w:val="auto"/>
        <w:outlineLvl w:val="9"/>
        <w:rPr>
          <w:rFonts w:hint="eastAsia" w:ascii="宋体" w:hAnsi="宋体" w:eastAsia="宋体" w:cs="宋体"/>
          <w:b w:val="0"/>
          <w:bCs/>
          <w:color w:val="auto"/>
          <w:sz w:val="24"/>
          <w:szCs w:val="24"/>
        </w:rPr>
      </w:pPr>
      <w:r>
        <w:rPr>
          <w:rFonts w:hint="eastAsia" w:ascii="宋体" w:hAnsi="宋体" w:cs="宋体"/>
          <w:b w:val="0"/>
          <w:bCs/>
          <w:color w:val="auto"/>
          <w:sz w:val="24"/>
          <w:szCs w:val="24"/>
          <w:lang w:val="en-US" w:eastAsia="zh-CN"/>
        </w:rPr>
        <w:t xml:space="preserve">    </w:t>
      </w:r>
      <w:r>
        <w:rPr>
          <w:rFonts w:hint="eastAsia" w:ascii="宋体" w:hAnsi="宋体" w:cs="宋体"/>
          <w:b w:val="0"/>
          <w:bCs/>
          <w:color w:val="auto"/>
          <w:sz w:val="24"/>
          <w:szCs w:val="24"/>
          <w:lang w:val="en-US" w:eastAsia="zh-CN"/>
        </w:rPr>
        <w:sym w:font="Wingdings" w:char="F081"/>
      </w:r>
      <w:r>
        <w:rPr>
          <w:rFonts w:hint="eastAsia" w:ascii="宋体" w:hAnsi="宋体" w:eastAsia="宋体" w:cs="宋体"/>
          <w:b w:val="0"/>
          <w:bCs/>
          <w:color w:val="auto"/>
          <w:sz w:val="24"/>
          <w:szCs w:val="24"/>
        </w:rPr>
        <w:t>帘板</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相邻互锁帘板或对具有防烟性能的重叠帘板串接后转动灵活，摆动±90°不允许脱落。</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帘板两端挡板或防串机构要装配牢固，装配成卷帘后，帘板串动量不得大于 2mm。</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帘板要平直，帘板直线度每米不大于 1.5mm，全长直线度不得超过 0.12%。</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帘板装配成卷后，不允许有孔洞和缝隙存在。</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具有防火性能的帘板，内处鼻钩串接后的接触面成弧面接触，弧度角在 30°范围内必须接触。</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帘板装配成卷帘后，在运行时不允许有倾斜，应当平等升降，卷帘的不平直度不大于洞口高度的 1/300。</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sym w:font="Wingdings" w:char="F082"/>
      </w:r>
      <w:r>
        <w:rPr>
          <w:rFonts w:hint="eastAsia" w:ascii="宋体" w:hAnsi="宋体" w:eastAsia="宋体" w:cs="宋体"/>
          <w:b w:val="0"/>
          <w:bCs/>
          <w:color w:val="auto"/>
          <w:sz w:val="24"/>
          <w:szCs w:val="24"/>
        </w:rPr>
        <w:t>导轨</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center"/>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帘板嵌入导轨的深度</w:t>
      </w:r>
    </w:p>
    <w:tbl>
      <w:tblPr>
        <w:tblStyle w:val="40"/>
        <w:tblW w:w="921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1"/>
        <w:gridCol w:w="3405"/>
        <w:gridCol w:w="45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1291" w:type="dxa"/>
          </w:tcPr>
          <w:p>
            <w:pPr>
              <w:pStyle w:val="170"/>
              <w:spacing w:before="2"/>
              <w:ind w:left="385" w:right="376"/>
              <w:rPr>
                <w:sz w:val="24"/>
              </w:rPr>
            </w:pPr>
            <w:r>
              <w:rPr>
                <w:sz w:val="24"/>
              </w:rPr>
              <w:t>序号</w:t>
            </w:r>
          </w:p>
        </w:tc>
        <w:tc>
          <w:tcPr>
            <w:tcW w:w="3405" w:type="dxa"/>
          </w:tcPr>
          <w:p>
            <w:pPr>
              <w:pStyle w:val="170"/>
              <w:spacing w:before="2"/>
              <w:ind w:left="842" w:right="832"/>
              <w:rPr>
                <w:sz w:val="24"/>
              </w:rPr>
            </w:pPr>
            <w:r>
              <w:rPr>
                <w:sz w:val="24"/>
              </w:rPr>
              <w:t>洞口宽度 B，mm</w:t>
            </w:r>
          </w:p>
        </w:tc>
        <w:tc>
          <w:tcPr>
            <w:tcW w:w="4519" w:type="dxa"/>
          </w:tcPr>
          <w:p>
            <w:pPr>
              <w:pStyle w:val="170"/>
              <w:spacing w:before="2"/>
              <w:ind w:left="1100" w:right="1089"/>
              <w:rPr>
                <w:sz w:val="24"/>
              </w:rPr>
            </w:pPr>
            <w:r>
              <w:rPr>
                <w:sz w:val="24"/>
              </w:rPr>
              <w:t>每端嵌入最小长度 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1291" w:type="dxa"/>
          </w:tcPr>
          <w:p>
            <w:pPr>
              <w:pStyle w:val="170"/>
              <w:spacing w:line="289" w:lineRule="exact"/>
              <w:rPr>
                <w:sz w:val="24"/>
              </w:rPr>
            </w:pPr>
            <w:r>
              <w:rPr>
                <w:sz w:val="24"/>
              </w:rPr>
              <w:t>1</w:t>
            </w:r>
          </w:p>
        </w:tc>
        <w:tc>
          <w:tcPr>
            <w:tcW w:w="3405" w:type="dxa"/>
          </w:tcPr>
          <w:p>
            <w:pPr>
              <w:pStyle w:val="170"/>
              <w:spacing w:line="289" w:lineRule="exact"/>
              <w:ind w:left="840" w:right="832"/>
              <w:rPr>
                <w:sz w:val="24"/>
              </w:rPr>
            </w:pPr>
            <w:r>
              <w:rPr>
                <w:sz w:val="24"/>
              </w:rPr>
              <w:t>B&lt;3000</w:t>
            </w:r>
          </w:p>
        </w:tc>
        <w:tc>
          <w:tcPr>
            <w:tcW w:w="4519" w:type="dxa"/>
          </w:tcPr>
          <w:p>
            <w:pPr>
              <w:pStyle w:val="170"/>
              <w:spacing w:line="289" w:lineRule="exact"/>
              <w:ind w:left="1098" w:right="1089"/>
              <w:rPr>
                <w:sz w:val="24"/>
              </w:rPr>
            </w:pPr>
            <w:r>
              <w:rPr>
                <w:sz w:val="24"/>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291" w:type="dxa"/>
          </w:tcPr>
          <w:p>
            <w:pPr>
              <w:pStyle w:val="170"/>
              <w:rPr>
                <w:sz w:val="24"/>
              </w:rPr>
            </w:pPr>
            <w:r>
              <w:rPr>
                <w:sz w:val="24"/>
              </w:rPr>
              <w:t>2</w:t>
            </w:r>
          </w:p>
        </w:tc>
        <w:tc>
          <w:tcPr>
            <w:tcW w:w="3405" w:type="dxa"/>
          </w:tcPr>
          <w:p>
            <w:pPr>
              <w:pStyle w:val="170"/>
              <w:ind w:left="840" w:right="832"/>
              <w:rPr>
                <w:sz w:val="24"/>
              </w:rPr>
            </w:pPr>
            <w:r>
              <w:rPr>
                <w:sz w:val="24"/>
              </w:rPr>
              <w:t>3000≤BL&lt;5000</w:t>
            </w:r>
          </w:p>
        </w:tc>
        <w:tc>
          <w:tcPr>
            <w:tcW w:w="4519" w:type="dxa"/>
          </w:tcPr>
          <w:p>
            <w:pPr>
              <w:pStyle w:val="170"/>
              <w:ind w:left="1098" w:right="1089"/>
              <w:rPr>
                <w:sz w:val="24"/>
              </w:rPr>
            </w:pPr>
            <w:r>
              <w:rPr>
                <w:sz w:val="24"/>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291" w:type="dxa"/>
          </w:tcPr>
          <w:p>
            <w:pPr>
              <w:pStyle w:val="170"/>
              <w:rPr>
                <w:sz w:val="24"/>
              </w:rPr>
            </w:pPr>
            <w:r>
              <w:rPr>
                <w:sz w:val="24"/>
              </w:rPr>
              <w:t>3</w:t>
            </w:r>
          </w:p>
        </w:tc>
        <w:tc>
          <w:tcPr>
            <w:tcW w:w="3405" w:type="dxa"/>
          </w:tcPr>
          <w:p>
            <w:pPr>
              <w:pStyle w:val="170"/>
              <w:ind w:left="840" w:right="832"/>
              <w:rPr>
                <w:sz w:val="24"/>
              </w:rPr>
            </w:pPr>
            <w:r>
              <w:rPr>
                <w:sz w:val="24"/>
              </w:rPr>
              <w:t>5000≤BL&lt;9000</w:t>
            </w:r>
          </w:p>
        </w:tc>
        <w:tc>
          <w:tcPr>
            <w:tcW w:w="4519" w:type="dxa"/>
          </w:tcPr>
          <w:p>
            <w:pPr>
              <w:pStyle w:val="170"/>
              <w:ind w:left="1098" w:right="1089"/>
              <w:rPr>
                <w:sz w:val="24"/>
              </w:rPr>
            </w:pPr>
            <w:r>
              <w:rPr>
                <w:sz w:val="24"/>
              </w:rPr>
              <w:t>60</w:t>
            </w:r>
          </w:p>
        </w:tc>
      </w:tr>
    </w:tbl>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导轨的顶部应成圆弧开，其长度应超过至少 75mm。</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具有防烟性能的导轨必须具有防烟装置，使用材料应为不燃材料，隔烟装置与卷帘表面应均匀紧密结合，贴合面不应小于 80%。</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导轨的滑动面应光滑平直，直线度每米不得大于 1.5mm，全长直线度不得超过0.12%，不允许有扭曲、凹凸、毛刺。</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导轨现场安装应牢固，预埋件间距不得大于 600mm，安装后的垂直度不得大于 5mm,全长垂直度不得大于 20mm。卷帘在导轨内运行平稳、顺畅，不允许有碰撞，冲击现象。</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sym w:font="Wingdings" w:char="F083"/>
      </w:r>
      <w:r>
        <w:rPr>
          <w:rFonts w:hint="eastAsia" w:ascii="宋体" w:hAnsi="宋体" w:eastAsia="宋体" w:cs="宋体"/>
          <w:b w:val="0"/>
          <w:bCs/>
          <w:color w:val="auto"/>
          <w:sz w:val="24"/>
          <w:szCs w:val="24"/>
        </w:rPr>
        <w:t>门楣</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门楣的结构必须有效地阻止火灾蔓延。</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具有防烟性能的门楣，必须设置防烟装置，有效地阻止烟气外溢。防烟装置为不燃材料。</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门楣的防烟装置与门楣密封面和卷帘表面应均匀接触，接触面不应小于门洞宽度的80%，非接触部位缝隙不得大于 2mm。</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门楣现场安装应牢固，预埋件间距不得大于 600mm。</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④座板</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座板与地面的接触应均匀、平行。并帘板装配成卷帘后，在运行时不允许有倾斜，应当平等升降，卷帘的不平直度不大于洞口高度的 1/300。</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座板宜采用角钢组成，角钢尺寸应根据洞口宽度决定，铆接连接或用螺栓连接间距不大于 600mm。</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⑤传动装置</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支座安装牢固，轴承无异样，加油充足。各个旋转轴的链轮中心应同轴一致，无破损。</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center"/>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卷帘启闭的平均速度</w:t>
      </w:r>
    </w:p>
    <w:tbl>
      <w:tblPr>
        <w:tblStyle w:val="40"/>
        <w:tblW w:w="9219"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0"/>
        <w:gridCol w:w="2331"/>
        <w:gridCol w:w="2329"/>
        <w:gridCol w:w="23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2230" w:type="dxa"/>
          </w:tcPr>
          <w:p>
            <w:pPr>
              <w:pStyle w:val="170"/>
              <w:spacing w:line="307" w:lineRule="exact"/>
              <w:ind w:left="1053"/>
              <w:jc w:val="left"/>
              <w:rPr>
                <w:sz w:val="24"/>
              </w:rPr>
            </w:pPr>
            <w:r>
              <w:rPr>
                <w:sz w:val="24"/>
              </w:rPr>
              <w:t>洞口高度</w:t>
            </w:r>
          </w:p>
          <w:p>
            <w:pPr>
              <w:pStyle w:val="170"/>
              <w:spacing w:before="2"/>
              <w:ind w:left="633"/>
              <w:jc w:val="left"/>
              <w:rPr>
                <w:sz w:val="24"/>
              </w:rPr>
            </w:pPr>
            <w:r>
              <w:rPr>
                <w:sz w:val="24"/>
              </w:rPr>
              <w:t>启闭状态</w:t>
            </w:r>
          </w:p>
        </w:tc>
        <w:tc>
          <w:tcPr>
            <w:tcW w:w="2331" w:type="dxa"/>
          </w:tcPr>
          <w:p>
            <w:pPr>
              <w:pStyle w:val="170"/>
              <w:spacing w:before="153" w:line="240" w:lineRule="auto"/>
              <w:ind w:left="601" w:right="598"/>
              <w:rPr>
                <w:sz w:val="24"/>
              </w:rPr>
            </w:pPr>
            <w:r>
              <w:rPr>
                <w:sz w:val="24"/>
              </w:rPr>
              <w:t>小于 2M</w:t>
            </w:r>
          </w:p>
        </w:tc>
        <w:tc>
          <w:tcPr>
            <w:tcW w:w="2329" w:type="dxa"/>
          </w:tcPr>
          <w:p>
            <w:pPr>
              <w:pStyle w:val="170"/>
              <w:spacing w:before="153" w:line="240" w:lineRule="auto"/>
              <w:ind w:left="362" w:right="356"/>
              <w:rPr>
                <w:sz w:val="24"/>
              </w:rPr>
            </w:pPr>
            <w:r>
              <w:rPr>
                <w:sz w:val="24"/>
              </w:rPr>
              <w:t>2M～5M</w:t>
            </w:r>
          </w:p>
        </w:tc>
        <w:tc>
          <w:tcPr>
            <w:tcW w:w="2329" w:type="dxa"/>
          </w:tcPr>
          <w:p>
            <w:pPr>
              <w:pStyle w:val="170"/>
              <w:spacing w:before="153" w:line="240" w:lineRule="auto"/>
              <w:ind w:left="358" w:right="356"/>
              <w:rPr>
                <w:sz w:val="24"/>
              </w:rPr>
            </w:pPr>
            <w:r>
              <w:rPr>
                <w:sz w:val="24"/>
              </w:rPr>
              <w:t>大于 5M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2230" w:type="dxa"/>
          </w:tcPr>
          <w:p>
            <w:pPr>
              <w:pStyle w:val="170"/>
              <w:spacing w:before="151" w:line="240" w:lineRule="auto"/>
              <w:ind w:left="633"/>
              <w:jc w:val="left"/>
              <w:rPr>
                <w:sz w:val="24"/>
              </w:rPr>
            </w:pPr>
            <w:r>
              <w:rPr>
                <w:sz w:val="24"/>
              </w:rPr>
              <w:t>电动启闭</w:t>
            </w:r>
          </w:p>
        </w:tc>
        <w:tc>
          <w:tcPr>
            <w:tcW w:w="2331" w:type="dxa"/>
          </w:tcPr>
          <w:p>
            <w:pPr>
              <w:pStyle w:val="170"/>
              <w:spacing w:before="151" w:line="240" w:lineRule="auto"/>
              <w:ind w:left="603" w:right="598"/>
              <w:rPr>
                <w:sz w:val="24"/>
              </w:rPr>
            </w:pPr>
            <w:r>
              <w:rPr>
                <w:sz w:val="24"/>
              </w:rPr>
              <w:t>2～6m/min</w:t>
            </w:r>
          </w:p>
        </w:tc>
        <w:tc>
          <w:tcPr>
            <w:tcW w:w="2329" w:type="dxa"/>
          </w:tcPr>
          <w:p>
            <w:pPr>
              <w:pStyle w:val="170"/>
              <w:spacing w:before="151" w:line="240" w:lineRule="auto"/>
              <w:ind w:left="362" w:right="356"/>
              <w:rPr>
                <w:sz w:val="24"/>
              </w:rPr>
            </w:pPr>
            <w:r>
              <w:rPr>
                <w:sz w:val="24"/>
              </w:rPr>
              <w:t>2.5～6.5m/min</w:t>
            </w:r>
          </w:p>
        </w:tc>
        <w:tc>
          <w:tcPr>
            <w:tcW w:w="2329" w:type="dxa"/>
          </w:tcPr>
          <w:p>
            <w:pPr>
              <w:pStyle w:val="170"/>
              <w:spacing w:before="151" w:line="240" w:lineRule="auto"/>
              <w:ind w:left="360" w:right="356"/>
              <w:rPr>
                <w:sz w:val="24"/>
              </w:rPr>
            </w:pPr>
            <w:r>
              <w:rPr>
                <w:sz w:val="24"/>
              </w:rPr>
              <w:t>3～9m/min</w:t>
            </w:r>
          </w:p>
        </w:tc>
      </w:tr>
    </w:tbl>
    <w:p>
      <w:pPr>
        <w:pStyle w:val="27"/>
        <w:keepNext w:val="0"/>
        <w:keepLines w:val="0"/>
        <w:pageBreakBefore w:val="0"/>
        <w:widowControl w:val="0"/>
        <w:kinsoku/>
        <w:wordWrap/>
        <w:overflowPunct/>
        <w:topLinePunct w:val="0"/>
        <w:autoSpaceDE/>
        <w:autoSpaceDN/>
        <w:bidi w:val="0"/>
        <w:adjustRightInd/>
        <w:snapToGrid/>
        <w:spacing w:before="0" w:after="0" w:line="360" w:lineRule="auto"/>
        <w:ind w:right="0" w:rightChars="0"/>
        <w:jc w:val="left"/>
        <w:textAlignment w:val="auto"/>
        <w:outlineLvl w:val="9"/>
        <w:rPr>
          <w:rFonts w:hint="eastAsia" w:ascii="宋体" w:hAnsi="宋体" w:eastAsia="宋体" w:cs="宋体"/>
          <w:b w:val="0"/>
          <w:bCs/>
          <w:color w:val="auto"/>
          <w:sz w:val="24"/>
          <w:szCs w:val="24"/>
        </w:rPr>
      </w:pPr>
      <w:r>
        <w:rPr>
          <w:rFonts w:hint="eastAsia" w:ascii="宋体" w:hAnsi="宋体" w:cs="宋体"/>
          <w:b w:val="0"/>
          <w:bCs/>
          <w:color w:val="auto"/>
          <w:sz w:val="24"/>
          <w:szCs w:val="24"/>
          <w:lang w:val="en-US" w:eastAsia="zh-CN"/>
        </w:rPr>
        <w:t xml:space="preserve">    </w:t>
      </w:r>
      <w:r>
        <w:rPr>
          <w:rFonts w:hint="eastAsia" w:ascii="宋体" w:hAnsi="宋体" w:eastAsia="宋体" w:cs="宋体"/>
          <w:b w:val="0"/>
          <w:bCs/>
          <w:color w:val="auto"/>
          <w:sz w:val="24"/>
          <w:szCs w:val="24"/>
        </w:rPr>
        <w:t>卷门机即电动机</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有手动式与电动式，防火卷帘必须配用卷门机加隔热保护装置，并应有耐火测试合格的合格证明。安装必须留有检修的空间，安装应牢固，不得漏油。</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电气安装：电气按钮启动操纵灵活，集中控制和联运的动作灵敏准确。</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自动控制的保险装置应安装在卷帘附近2米范围内的暴露部分及随时能监控的部分。</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现场控制：门内、门外均应有控制开启与关毕的装置。</w:t>
      </w:r>
    </w:p>
    <w:p>
      <w:pPr>
        <w:pStyle w:val="27"/>
        <w:keepNext w:val="0"/>
        <w:keepLines w:val="0"/>
        <w:pageBreakBefore w:val="0"/>
        <w:widowControl w:val="0"/>
        <w:kinsoku/>
        <w:wordWrap/>
        <w:overflowPunct/>
        <w:topLinePunct w:val="0"/>
        <w:autoSpaceDE/>
        <w:autoSpaceDN/>
        <w:bidi w:val="0"/>
        <w:adjustRightInd/>
        <w:snapToGrid/>
        <w:spacing w:before="0" w:after="0" w:line="360" w:lineRule="auto"/>
        <w:ind w:left="0" w:leftChars="0" w:right="0" w:rightChars="0" w:firstLine="480" w:firstLineChars="200"/>
        <w:jc w:val="left"/>
        <w:textAlignment w:val="auto"/>
        <w:outlineLvl w:val="9"/>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自动控制的电源、备用电源或蓄电池应能保证正常工作状态，所用的电气线路不允许裸露，应埋入墙内或有穿管。</w:t>
      </w:r>
    </w:p>
    <w:p>
      <w:pPr>
        <w:rPr>
          <w:rFonts w:ascii="宋体" w:hAnsi="宋体" w:cs="宋体"/>
        </w:rPr>
      </w:pPr>
      <w:r>
        <w:rPr>
          <w:rFonts w:hint="eastAsia" w:ascii="宋体" w:hAnsi="宋体" w:cs="宋体"/>
        </w:rPr>
        <w:br w:type="page"/>
      </w:r>
      <w:bookmarkEnd w:id="202"/>
      <w:bookmarkEnd w:id="203"/>
      <w:bookmarkEnd w:id="204"/>
      <w:bookmarkStart w:id="213" w:name="_Toc513633965"/>
    </w:p>
    <w:p>
      <w:pPr>
        <w:pStyle w:val="3"/>
        <w:spacing w:before="0" w:after="0" w:line="360" w:lineRule="auto"/>
        <w:jc w:val="center"/>
        <w:rPr>
          <w:rFonts w:ascii="宋体" w:hAnsi="宋体" w:cs="宋体"/>
        </w:rPr>
      </w:pPr>
      <w:bookmarkStart w:id="214" w:name="_Toc19886"/>
      <w:bookmarkStart w:id="215" w:name="_Toc2000413"/>
      <w:bookmarkStart w:id="216" w:name="_Toc514858709"/>
      <w:r>
        <w:rPr>
          <w:rFonts w:hint="eastAsia" w:ascii="宋体" w:hAnsi="宋体" w:cs="宋体"/>
        </w:rPr>
        <w:t>第八章  竞争性比选响应文件格式</w:t>
      </w:r>
      <w:bookmarkEnd w:id="213"/>
      <w:bookmarkEnd w:id="214"/>
      <w:bookmarkEnd w:id="215"/>
      <w:bookmarkEnd w:id="216"/>
    </w:p>
    <w:p>
      <w:pPr>
        <w:rPr>
          <w:rFonts w:ascii="宋体" w:hAnsi="宋体" w:cs="宋体"/>
        </w:rPr>
        <w:sectPr>
          <w:pgSz w:w="11906" w:h="16838"/>
          <w:pgMar w:top="1440" w:right="1803" w:bottom="1440" w:left="1803" w:header="851" w:footer="992" w:gutter="0"/>
          <w:cols w:space="0" w:num="1"/>
          <w:titlePg/>
          <w:docGrid w:type="lines" w:linePitch="319" w:charSpace="0"/>
        </w:sectPr>
      </w:pPr>
    </w:p>
    <w:p>
      <w:pPr>
        <w:rPr>
          <w:rFonts w:ascii="宋体" w:hAnsi="宋体" w:cs="宋体"/>
        </w:rPr>
      </w:pPr>
    </w:p>
    <w:p>
      <w:pPr>
        <w:jc w:val="center"/>
        <w:rPr>
          <w:rFonts w:ascii="宋体" w:hAnsi="宋体" w:cs="宋体"/>
          <w:sz w:val="52"/>
          <w:szCs w:val="52"/>
          <w:u w:val="single"/>
        </w:rPr>
      </w:pPr>
      <w:bookmarkStart w:id="217" w:name="_Toc503971829"/>
      <w:bookmarkStart w:id="218" w:name="_Toc513646738"/>
      <w:bookmarkStart w:id="219" w:name="_Toc514858710"/>
      <w:bookmarkStart w:id="220" w:name="_Toc513633967"/>
      <w:bookmarkStart w:id="221" w:name="_Toc503951046"/>
      <w:r>
        <w:rPr>
          <w:rFonts w:hint="eastAsia" w:ascii="宋体" w:hAnsi="宋体" w:cs="宋体"/>
          <w:u w:val="single"/>
        </w:rPr>
        <w:t xml:space="preserve">                           </w:t>
      </w:r>
      <w:r>
        <w:rPr>
          <w:rFonts w:hint="eastAsia" w:ascii="宋体" w:hAnsi="宋体" w:cs="宋体"/>
          <w:sz w:val="52"/>
          <w:szCs w:val="52"/>
          <w:u w:val="single"/>
        </w:rPr>
        <w:t>（项目名称）</w:t>
      </w:r>
      <w:bookmarkEnd w:id="217"/>
      <w:bookmarkEnd w:id="218"/>
      <w:bookmarkEnd w:id="219"/>
      <w:bookmarkEnd w:id="220"/>
      <w:bookmarkEnd w:id="221"/>
      <w:r>
        <w:rPr>
          <w:rFonts w:hint="eastAsia" w:ascii="宋体" w:hAnsi="宋体" w:cs="宋体"/>
          <w:sz w:val="52"/>
          <w:szCs w:val="52"/>
          <w:u w:val="single"/>
        </w:rPr>
        <w:t xml:space="preserve"> </w:t>
      </w:r>
    </w:p>
    <w:p>
      <w:pPr>
        <w:rPr>
          <w:rFonts w:ascii="宋体" w:hAnsi="宋体" w:cs="宋体"/>
          <w:sz w:val="20"/>
          <w:szCs w:val="20"/>
        </w:rPr>
      </w:pPr>
    </w:p>
    <w:p>
      <w:pPr>
        <w:jc w:val="center"/>
        <w:rPr>
          <w:rFonts w:ascii="宋体" w:hAnsi="宋体" w:cs="宋体"/>
          <w:sz w:val="44"/>
          <w:szCs w:val="44"/>
        </w:rPr>
      </w:pPr>
      <w:r>
        <w:rPr>
          <w:rFonts w:hint="eastAsia" w:ascii="宋体" w:hAnsi="宋体" w:cs="宋体"/>
          <w:sz w:val="44"/>
          <w:szCs w:val="44"/>
        </w:rPr>
        <w:t xml:space="preserve"> </w:t>
      </w: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jc w:val="center"/>
        <w:rPr>
          <w:rFonts w:ascii="宋体" w:hAnsi="宋体" w:cs="宋体"/>
          <w:b/>
          <w:sz w:val="72"/>
          <w:szCs w:val="44"/>
        </w:rPr>
      </w:pPr>
      <w:r>
        <w:rPr>
          <w:rFonts w:hint="eastAsia" w:ascii="宋体" w:hAnsi="宋体" w:cs="宋体"/>
          <w:b/>
          <w:sz w:val="72"/>
          <w:szCs w:val="44"/>
        </w:rPr>
        <w:t>竞争性比选响应文件</w:t>
      </w:r>
    </w:p>
    <w:p>
      <w:pPr>
        <w:jc w:val="center"/>
        <w:rPr>
          <w:rFonts w:ascii="宋体" w:hAnsi="宋体" w:cs="宋体"/>
          <w:b/>
          <w:sz w:val="32"/>
          <w:szCs w:val="32"/>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pStyle w:val="27"/>
      </w:pPr>
    </w:p>
    <w:p/>
    <w:p>
      <w:pPr>
        <w:pStyle w:val="27"/>
      </w:pPr>
    </w:p>
    <w:p/>
    <w:p>
      <w:pPr>
        <w:pStyle w:val="27"/>
      </w:pPr>
    </w:p>
    <w:p>
      <w:pPr>
        <w:jc w:val="center"/>
        <w:rPr>
          <w:rFonts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（盖单位鲜公章）</w:t>
      </w:r>
    </w:p>
    <w:p>
      <w:pPr>
        <w:jc w:val="center"/>
        <w:rPr>
          <w:rFonts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（签字）</w:t>
      </w:r>
    </w:p>
    <w:p>
      <w:pPr>
        <w:jc w:val="center"/>
        <w:rPr>
          <w:rFonts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pStyle w:val="4"/>
        <w:jc w:val="center"/>
        <w:rPr>
          <w:rFonts w:ascii="宋体" w:hAnsi="宋体" w:eastAsia="宋体" w:cs="宋体"/>
        </w:rPr>
      </w:pPr>
      <w:bookmarkStart w:id="222" w:name="_Toc23342"/>
      <w:bookmarkStart w:id="223" w:name="_Toc11329273"/>
      <w:bookmarkStart w:id="224" w:name="_Toc5459"/>
      <w:bookmarkStart w:id="225" w:name="_Toc1368"/>
      <w:bookmarkStart w:id="226" w:name="_Toc28780"/>
      <w:r>
        <w:rPr>
          <w:rFonts w:hint="eastAsia" w:ascii="宋体" w:hAnsi="宋体" w:eastAsia="宋体" w:cs="宋体"/>
        </w:rPr>
        <w:t>目    录</w:t>
      </w:r>
      <w:bookmarkEnd w:id="205"/>
      <w:bookmarkEnd w:id="206"/>
      <w:bookmarkEnd w:id="207"/>
      <w:bookmarkEnd w:id="208"/>
      <w:bookmarkEnd w:id="209"/>
      <w:bookmarkEnd w:id="210"/>
      <w:bookmarkEnd w:id="211"/>
      <w:bookmarkEnd w:id="212"/>
      <w:bookmarkEnd w:id="222"/>
      <w:bookmarkEnd w:id="223"/>
      <w:bookmarkEnd w:id="224"/>
      <w:bookmarkEnd w:id="225"/>
      <w:bookmarkEnd w:id="226"/>
    </w:p>
    <w:p>
      <w:pPr>
        <w:spacing w:line="400" w:lineRule="exact"/>
        <w:rPr>
          <w:rFonts w:ascii="宋体" w:hAnsi="宋体" w:cs="宋体"/>
        </w:rPr>
      </w:pPr>
      <w:r>
        <w:rPr>
          <w:rFonts w:hint="eastAsia" w:ascii="宋体" w:hAnsi="宋体" w:cs="宋体"/>
        </w:rPr>
        <w:t>一、竞争性响应声明书</w:t>
      </w:r>
    </w:p>
    <w:p>
      <w:pPr>
        <w:spacing w:line="400" w:lineRule="exact"/>
        <w:rPr>
          <w:rFonts w:ascii="宋体" w:hAnsi="宋体" w:cs="宋体"/>
        </w:rPr>
      </w:pPr>
      <w:r>
        <w:rPr>
          <w:rFonts w:hint="eastAsia" w:ascii="宋体" w:hAnsi="宋体" w:cs="宋体"/>
        </w:rPr>
        <w:t>二、法定代表人身份证明或法定代表人授权委托书</w:t>
      </w:r>
    </w:p>
    <w:p>
      <w:pPr>
        <w:spacing w:line="400" w:lineRule="exact"/>
        <w:rPr>
          <w:rFonts w:ascii="宋体" w:hAnsi="宋体" w:cs="宋体"/>
        </w:rPr>
      </w:pPr>
      <w:r>
        <w:rPr>
          <w:rFonts w:hint="eastAsia" w:ascii="宋体" w:hAnsi="宋体" w:cs="宋体"/>
        </w:rPr>
        <w:t>三、工程量清单</w:t>
      </w:r>
    </w:p>
    <w:p>
      <w:pPr>
        <w:spacing w:line="400" w:lineRule="exact"/>
        <w:rPr>
          <w:rFonts w:ascii="宋体" w:hAnsi="宋体" w:cs="宋体"/>
          <w:szCs w:val="21"/>
        </w:rPr>
      </w:pPr>
      <w:r>
        <w:rPr>
          <w:rFonts w:hint="eastAsia" w:ascii="宋体" w:hAnsi="宋体" w:cs="宋体"/>
        </w:rPr>
        <w:t>四、资格审查资料</w:t>
      </w:r>
      <w:r>
        <w:rPr>
          <w:rFonts w:hint="eastAsia" w:ascii="宋体" w:hAnsi="宋体" w:cs="宋体"/>
          <w:szCs w:val="21"/>
        </w:rPr>
        <w:t>报价人</w:t>
      </w:r>
    </w:p>
    <w:p>
      <w:pPr>
        <w:pStyle w:val="27"/>
        <w:rPr>
          <w:rFonts w:ascii="宋体" w:hAnsi="宋体" w:cs="宋体"/>
          <w:b w:val="0"/>
          <w:bCs w:val="0"/>
          <w:caps w:val="0"/>
          <w:sz w:val="21"/>
          <w:szCs w:val="21"/>
        </w:rPr>
      </w:pPr>
      <w:r>
        <w:rPr>
          <w:rFonts w:hint="eastAsia" w:ascii="宋体" w:hAnsi="宋体" w:cs="宋体"/>
          <w:b w:val="0"/>
          <w:bCs w:val="0"/>
          <w:caps w:val="0"/>
          <w:sz w:val="21"/>
          <w:szCs w:val="21"/>
        </w:rPr>
        <w:t>五、其他材料</w:t>
      </w:r>
    </w:p>
    <w:p>
      <w:pPr>
        <w:spacing w:line="400" w:lineRule="exact"/>
        <w:rPr>
          <w:rFonts w:ascii="宋体" w:hAnsi="宋体" w:cs="宋体"/>
        </w:rPr>
      </w:pPr>
      <w:r>
        <w:rPr>
          <w:rFonts w:hint="eastAsia" w:ascii="宋体" w:hAnsi="宋体" w:cs="宋体"/>
        </w:rPr>
        <w:t xml:space="preserve"> </w:t>
      </w: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p>
    <w:p>
      <w:pPr>
        <w:spacing w:line="400" w:lineRule="exact"/>
        <w:rPr>
          <w:rFonts w:ascii="宋体" w:hAnsi="宋体" w:cs="宋体"/>
        </w:rPr>
      </w:pPr>
      <w:r>
        <w:rPr>
          <w:rFonts w:ascii="宋体" w:hAnsi="宋体" w:cs="宋体"/>
        </w:rPr>
        <w:br w:type="page"/>
      </w:r>
    </w:p>
    <w:p>
      <w:pPr>
        <w:pStyle w:val="4"/>
        <w:spacing w:before="0" w:after="0" w:line="360" w:lineRule="auto"/>
        <w:jc w:val="center"/>
        <w:rPr>
          <w:rFonts w:ascii="宋体" w:hAnsi="宋体" w:eastAsia="宋体" w:cs="宋体"/>
          <w:sz w:val="28"/>
        </w:rPr>
      </w:pPr>
      <w:bookmarkStart w:id="227" w:name="_Toc11329274"/>
      <w:bookmarkStart w:id="228" w:name="_Toc8870"/>
      <w:bookmarkStart w:id="229" w:name="_Toc29547"/>
      <w:bookmarkStart w:id="230" w:name="_Toc25874"/>
      <w:bookmarkStart w:id="231" w:name="_Toc10309"/>
      <w:bookmarkStart w:id="232" w:name="_Toc15863"/>
      <w:bookmarkStart w:id="233" w:name="_Toc513633969"/>
      <w:bookmarkStart w:id="234" w:name="_Toc503951048"/>
      <w:bookmarkStart w:id="235" w:name="_Toc447827053"/>
      <w:r>
        <w:rPr>
          <w:rFonts w:hint="eastAsia" w:ascii="宋体" w:hAnsi="宋体" w:eastAsia="宋体" w:cs="宋体"/>
          <w:sz w:val="28"/>
        </w:rPr>
        <w:t>一、</w:t>
      </w:r>
      <w:bookmarkEnd w:id="227"/>
      <w:bookmarkEnd w:id="228"/>
      <w:r>
        <w:rPr>
          <w:rFonts w:hint="eastAsia" w:ascii="宋体" w:hAnsi="宋体" w:eastAsia="宋体" w:cs="宋体"/>
          <w:sz w:val="28"/>
        </w:rPr>
        <w:t>竞争比选响应声明书</w:t>
      </w:r>
      <w:bookmarkEnd w:id="229"/>
      <w:bookmarkEnd w:id="230"/>
      <w:bookmarkEnd w:id="231"/>
      <w:bookmarkEnd w:id="232"/>
    </w:p>
    <w:p>
      <w:pPr>
        <w:tabs>
          <w:tab w:val="left" w:pos="900"/>
        </w:tabs>
        <w:spacing w:line="300" w:lineRule="auto"/>
        <w:rPr>
          <w:rFonts w:ascii="Arial" w:hAnsi="Arial" w:cs="Arial"/>
          <w:color w:val="000000"/>
          <w:sz w:val="24"/>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rPr>
        <w:t>重庆首讯科技股份有限公司</w:t>
      </w:r>
    </w:p>
    <w:p>
      <w:pPr>
        <w:spacing w:line="700" w:lineRule="atLeast"/>
        <w:ind w:firstLine="480" w:firstLineChars="200"/>
        <w:rPr>
          <w:rFonts w:ascii="Arial" w:hAnsi="Arial" w:cs="Arial"/>
          <w:color w:val="000000"/>
          <w:sz w:val="24"/>
        </w:rPr>
      </w:pPr>
      <w:r>
        <w:rPr>
          <w:rFonts w:hint="eastAsia" w:ascii="Arial" w:hAnsi="Arial" w:cs="Arial"/>
          <w:color w:val="000000"/>
          <w:sz w:val="24"/>
        </w:rPr>
        <w:t>根据贵</w:t>
      </w:r>
      <w:r>
        <w:rPr>
          <w:rFonts w:hint="eastAsia" w:ascii="Arial" w:hAnsi="Arial" w:cs="Arial"/>
          <w:sz w:val="24"/>
        </w:rPr>
        <w:t>方为</w:t>
      </w:r>
      <w:r>
        <w:rPr>
          <w:rFonts w:hint="eastAsia" w:ascii="Arial" w:hAnsi="Arial" w:cs="Arial"/>
          <w:color w:val="000000"/>
          <w:sz w:val="24"/>
          <w:u w:val="single"/>
        </w:rPr>
        <w:t>中西部、东南部车行及人行横通门采购及安装</w:t>
      </w:r>
      <w:r>
        <w:rPr>
          <w:rFonts w:hint="eastAsia" w:ascii="Arial" w:hAnsi="Arial" w:cs="Arial"/>
          <w:sz w:val="24"/>
        </w:rPr>
        <w:t>竞争比选项目及服</w:t>
      </w:r>
      <w:r>
        <w:rPr>
          <w:rFonts w:hint="eastAsia" w:ascii="Arial" w:hAnsi="Arial" w:cs="Arial"/>
          <w:color w:val="000000"/>
          <w:sz w:val="24"/>
        </w:rPr>
        <w:t>务的竞争比选邀请，签字代表</w:t>
      </w:r>
      <w:r>
        <w:rPr>
          <w:rFonts w:ascii="Arial" w:hAnsi="Arial" w:cs="Arial"/>
          <w:color w:val="000000"/>
          <w:sz w:val="24"/>
          <w:u w:val="single"/>
        </w:rPr>
        <w:t xml:space="preserve">          </w:t>
      </w:r>
      <w:r>
        <w:rPr>
          <w:rFonts w:hint="eastAsia" w:ascii="Arial" w:hAnsi="Arial" w:cs="Arial"/>
          <w:color w:val="000000"/>
          <w:sz w:val="24"/>
          <w:u w:val="single"/>
        </w:rPr>
        <w:t>（全名、职务）</w:t>
      </w:r>
      <w:r>
        <w:rPr>
          <w:rFonts w:hint="eastAsia" w:ascii="Arial" w:hAnsi="Arial" w:cs="Arial"/>
          <w:color w:val="000000"/>
          <w:sz w:val="24"/>
        </w:rPr>
        <w:t>经正式授权并代表竞争比选响应单位</w:t>
      </w:r>
      <w:r>
        <w:rPr>
          <w:rFonts w:ascii="Arial" w:hAnsi="Arial" w:cs="Arial"/>
          <w:color w:val="000000"/>
          <w:sz w:val="24"/>
          <w:u w:val="single"/>
        </w:rPr>
        <w:t xml:space="preserve"> </w:t>
      </w:r>
      <w:r>
        <w:rPr>
          <w:rFonts w:hint="eastAsia" w:ascii="Arial" w:hAnsi="Arial" w:cs="Arial"/>
          <w:color w:val="000000"/>
          <w:sz w:val="24"/>
          <w:u w:val="single"/>
        </w:rPr>
        <w:t>（竞争比选响应单位名称）</w:t>
      </w:r>
      <w:r>
        <w:rPr>
          <w:rFonts w:ascii="Arial" w:hAnsi="Arial" w:cs="Arial"/>
          <w:color w:val="000000"/>
          <w:sz w:val="24"/>
          <w:u w:val="single"/>
        </w:rPr>
        <w:t xml:space="preserve"> </w:t>
      </w:r>
      <w:r>
        <w:rPr>
          <w:rFonts w:hint="eastAsia" w:ascii="Arial" w:hAnsi="Arial" w:cs="Arial"/>
          <w:color w:val="000000"/>
          <w:sz w:val="24"/>
        </w:rPr>
        <w:t>提交报价文件。</w:t>
      </w:r>
    </w:p>
    <w:p>
      <w:pPr>
        <w:spacing w:line="700" w:lineRule="atLeast"/>
        <w:ind w:firstLine="480" w:firstLineChars="200"/>
        <w:rPr>
          <w:rFonts w:ascii="Arial" w:hAnsi="Arial" w:cs="Arial"/>
          <w:color w:val="000000"/>
          <w:sz w:val="24"/>
          <w:u w:val="single"/>
        </w:rPr>
      </w:pPr>
      <w:r>
        <w:rPr>
          <w:rFonts w:hint="eastAsia" w:ascii="Arial" w:hAnsi="Arial" w:cs="Arial"/>
          <w:color w:val="000000"/>
          <w:sz w:val="24"/>
          <w:u w:val="single"/>
        </w:rPr>
        <w:t>我方愿以人民币：              元（大写              元）的报价总价，按照竞争比选文件的要求，承担本次竞争比选文件要求的安装工程。</w:t>
      </w:r>
    </w:p>
    <w:p>
      <w:pPr>
        <w:tabs>
          <w:tab w:val="left" w:pos="540"/>
          <w:tab w:val="left" w:pos="900"/>
        </w:tabs>
        <w:spacing w:line="300" w:lineRule="auto"/>
        <w:rPr>
          <w:rFonts w:ascii="Arial" w:hAnsi="Arial" w:cs="Arial"/>
          <w:color w:val="000000"/>
          <w:sz w:val="24"/>
        </w:rPr>
      </w:pPr>
      <w:r>
        <w:rPr>
          <w:rFonts w:ascii="Arial" w:hAnsi="Arial" w:cs="Arial"/>
          <w:color w:val="000000"/>
          <w:sz w:val="24"/>
        </w:rPr>
        <w:t xml:space="preserve">    </w:t>
      </w:r>
    </w:p>
    <w:p>
      <w:pPr>
        <w:tabs>
          <w:tab w:val="left" w:pos="540"/>
          <w:tab w:val="left" w:pos="900"/>
        </w:tabs>
        <w:spacing w:line="300" w:lineRule="auto"/>
        <w:rPr>
          <w:rFonts w:ascii="Arial" w:hAnsi="Arial" w:cs="Arial"/>
          <w:color w:val="000000"/>
          <w:sz w:val="24"/>
        </w:rPr>
      </w:pPr>
      <w:r>
        <w:rPr>
          <w:rFonts w:hint="eastAsia" w:ascii="Arial" w:hAnsi="Arial" w:cs="Arial"/>
          <w:color w:val="000000"/>
          <w:sz w:val="24"/>
        </w:rPr>
        <w:t>据此函，签字代表宣布同意如下：</w:t>
      </w:r>
    </w:p>
    <w:p>
      <w:pPr>
        <w:tabs>
          <w:tab w:val="left" w:pos="540"/>
          <w:tab w:val="left" w:pos="900"/>
        </w:tabs>
        <w:spacing w:line="300" w:lineRule="auto"/>
        <w:rPr>
          <w:rFonts w:ascii="Arial" w:hAnsi="Arial" w:cs="Arial"/>
          <w:color w:val="000000"/>
          <w:sz w:val="24"/>
        </w:rPr>
      </w:pPr>
      <w:r>
        <w:rPr>
          <w:rFonts w:ascii="Arial" w:hAnsi="Arial" w:cs="Arial"/>
          <w:color w:val="000000"/>
          <w:sz w:val="24"/>
        </w:rPr>
        <w:t>1</w:t>
      </w:r>
      <w:r>
        <w:rPr>
          <w:rFonts w:hint="eastAsia" w:ascii="Arial" w:hAnsi="Arial" w:cs="Arial"/>
          <w:color w:val="000000"/>
          <w:sz w:val="24"/>
        </w:rPr>
        <w:t>、竞争比选响应单位将按竞争比选文件规定履行合同责任和义务。</w:t>
      </w:r>
    </w:p>
    <w:p>
      <w:pPr>
        <w:tabs>
          <w:tab w:val="left" w:pos="900"/>
        </w:tabs>
        <w:spacing w:line="300" w:lineRule="auto"/>
        <w:rPr>
          <w:rFonts w:ascii="Arial" w:hAnsi="Arial" w:cs="Arial"/>
          <w:b/>
          <w:color w:val="000000"/>
          <w:sz w:val="24"/>
        </w:rPr>
      </w:pPr>
      <w:r>
        <w:rPr>
          <w:rFonts w:ascii="Arial" w:hAnsi="Arial" w:cs="Arial"/>
          <w:color w:val="000000"/>
          <w:sz w:val="24"/>
        </w:rPr>
        <w:t>2</w:t>
      </w:r>
      <w:r>
        <w:rPr>
          <w:rFonts w:hint="eastAsia" w:ascii="Arial" w:hAnsi="Arial" w:cs="Arial"/>
          <w:color w:val="000000"/>
          <w:sz w:val="24"/>
        </w:rPr>
        <w:t>、竞争比选响应单位已详细审查全部竞争比选文件，包括修改文件（如有的话）以及全部参考资料和相关附件。我们完全理解并同意放弃对这方面有不明及误解的权利。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rPr>
      </w:pPr>
      <w:r>
        <w:rPr>
          <w:rFonts w:hint="eastAsia" w:ascii="Arial" w:hAnsi="Arial" w:cs="Arial"/>
          <w:color w:val="000000"/>
          <w:sz w:val="24"/>
        </w:rPr>
        <w:t>3、竞争比选响应单位同意提供采购人可能要求的与其竞争比选响应文件有关的一切数据或资料，完全理解采购人不一定要接受最低报价的竞争比选响应或收到的任何报价。</w:t>
      </w:r>
    </w:p>
    <w:p>
      <w:pPr>
        <w:tabs>
          <w:tab w:val="left" w:pos="900"/>
        </w:tabs>
        <w:spacing w:line="300" w:lineRule="auto"/>
        <w:rPr>
          <w:rFonts w:ascii="Arial" w:hAnsi="Arial" w:cs="Arial"/>
          <w:b/>
          <w:color w:val="000000"/>
          <w:sz w:val="24"/>
        </w:rPr>
      </w:pPr>
      <w:r>
        <w:rPr>
          <w:rFonts w:hint="eastAsia" w:ascii="Arial" w:hAnsi="Arial" w:cs="Arial"/>
          <w:color w:val="000000"/>
          <w:sz w:val="24"/>
        </w:rPr>
        <w:t>4、与本竞争比选响应有关的一切正式往来通讯请寄：</w:t>
      </w:r>
    </w:p>
    <w:p>
      <w:pPr>
        <w:tabs>
          <w:tab w:val="left" w:pos="900"/>
        </w:tabs>
        <w:spacing w:line="300" w:lineRule="auto"/>
        <w:rPr>
          <w:rFonts w:ascii="Arial" w:hAnsi="Arial" w:cs="Arial"/>
          <w:b/>
          <w:color w:val="000000"/>
          <w:sz w:val="24"/>
        </w:rPr>
      </w:pPr>
      <w:r>
        <w:rPr>
          <w:rFonts w:hint="eastAsia" w:ascii="Arial" w:hAnsi="Arial" w:cs="Arial"/>
          <w:color w:val="000000"/>
          <w:sz w:val="24"/>
        </w:rPr>
        <w:t>地址：</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邮编：</w:t>
      </w:r>
      <w:r>
        <w:rPr>
          <w:rFonts w:ascii="Arial" w:hAnsi="Arial" w:cs="Arial"/>
          <w:color w:val="000000"/>
          <w:sz w:val="24"/>
          <w:u w:val="single"/>
        </w:rPr>
        <w:t xml:space="preserve">            </w:t>
      </w:r>
      <w:r>
        <w:rPr>
          <w:rFonts w:ascii="Arial" w:hAnsi="Arial" w:cs="Arial"/>
          <w:b/>
          <w:color w:val="000000"/>
          <w:sz w:val="24"/>
        </w:rPr>
        <w:t xml:space="preserve">  </w:t>
      </w:r>
    </w:p>
    <w:p>
      <w:pPr>
        <w:tabs>
          <w:tab w:val="left" w:pos="900"/>
        </w:tabs>
        <w:spacing w:line="300" w:lineRule="auto"/>
        <w:rPr>
          <w:rFonts w:ascii="Arial" w:hAnsi="Arial" w:cs="Arial"/>
          <w:color w:val="000000"/>
          <w:sz w:val="24"/>
          <w:u w:val="single"/>
        </w:rPr>
      </w:pPr>
      <w:r>
        <w:rPr>
          <w:rFonts w:hint="eastAsia" w:ascii="Arial" w:hAnsi="Arial" w:cs="Arial"/>
          <w:color w:val="000000"/>
          <w:sz w:val="24"/>
        </w:rPr>
        <w:t>电话：</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传真：</w:t>
      </w:r>
      <w:r>
        <w:rPr>
          <w:rFonts w:ascii="Arial" w:hAnsi="Arial" w:cs="Arial"/>
          <w:color w:val="000000"/>
          <w:sz w:val="24"/>
          <w:u w:val="single"/>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竞争比选响应单位法定代表人或授权代表人（签字）：</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sz w:val="24"/>
        </w:rPr>
      </w:pPr>
      <w:r>
        <w:rPr>
          <w:rFonts w:hint="eastAsia" w:ascii="Arial" w:hAnsi="Arial" w:cs="Arial"/>
          <w:sz w:val="24"/>
        </w:rPr>
        <w:t>竞争比选响应单位法定代表人或授权代表人职务：</w:t>
      </w:r>
      <w:r>
        <w:rPr>
          <w:rFonts w:ascii="Arial" w:hAnsi="Arial" w:cs="Arial"/>
          <w:sz w:val="24"/>
          <w:u w:val="single"/>
        </w:rPr>
        <w:t xml:space="preserve">             </w:t>
      </w:r>
      <w:r>
        <w:rPr>
          <w:rFonts w:ascii="Arial" w:hAnsi="Arial" w:cs="Arial"/>
          <w:sz w:val="24"/>
        </w:rPr>
        <w:t xml:space="preserve">               </w:t>
      </w:r>
    </w:p>
    <w:p>
      <w:pPr>
        <w:tabs>
          <w:tab w:val="left" w:pos="900"/>
        </w:tabs>
        <w:spacing w:line="300" w:lineRule="auto"/>
        <w:rPr>
          <w:rFonts w:ascii="Arial" w:hAnsi="Arial" w:cs="Arial"/>
          <w:color w:val="000000"/>
          <w:sz w:val="24"/>
        </w:rPr>
      </w:pPr>
      <w:r>
        <w:rPr>
          <w:rFonts w:hint="eastAsia" w:ascii="Arial" w:hAnsi="Arial" w:cs="Arial"/>
          <w:sz w:val="24"/>
        </w:rPr>
        <w:t>竞争比选响应单位名称（加盖公章）：</w:t>
      </w:r>
      <w:r>
        <w:rPr>
          <w:rFonts w:ascii="Arial" w:hAnsi="Arial" w:cs="Arial"/>
          <w:sz w:val="24"/>
          <w:u w:val="single"/>
        </w:rPr>
        <w:t xml:space="preserve">               </w:t>
      </w:r>
      <w:r>
        <w:rPr>
          <w:rFonts w:ascii="Arial" w:hAnsi="Arial" w:cs="Arial"/>
          <w:color w:val="000000"/>
          <w:sz w:val="24"/>
          <w:u w:val="single"/>
        </w:rPr>
        <w:t xml:space="preserve">                  </w:t>
      </w:r>
    </w:p>
    <w:p>
      <w:pPr>
        <w:tabs>
          <w:tab w:val="left" w:pos="900"/>
        </w:tabs>
        <w:spacing w:line="300" w:lineRule="auto"/>
        <w:rPr>
          <w:rFonts w:ascii="Arial" w:hAnsi="Arial" w:cs="Arial"/>
          <w:color w:val="000000"/>
          <w:sz w:val="24"/>
        </w:rPr>
      </w:pPr>
      <w:r>
        <w:rPr>
          <w:rFonts w:hint="eastAsia" w:ascii="Arial" w:hAnsi="Arial" w:cs="Arial"/>
          <w:color w:val="000000"/>
          <w:sz w:val="24"/>
        </w:rPr>
        <w:t>日期：</w:t>
      </w:r>
      <w:r>
        <w:rPr>
          <w:rFonts w:hint="eastAsia" w:ascii="Arial" w:hAnsi="Arial" w:cs="Arial"/>
          <w:color w:val="000000"/>
          <w:sz w:val="24"/>
          <w:u w:val="single"/>
        </w:rPr>
        <w:t xml:space="preserve">     </w:t>
      </w:r>
      <w:r>
        <w:rPr>
          <w:rFonts w:hint="eastAsia" w:ascii="Arial" w:hAnsi="Arial" w:cs="Arial"/>
          <w:color w:val="000000"/>
          <w:sz w:val="24"/>
        </w:rPr>
        <w:t>年</w:t>
      </w:r>
      <w:r>
        <w:rPr>
          <w:rFonts w:ascii="Arial" w:hAnsi="Arial" w:cs="Arial"/>
          <w:color w:val="000000"/>
          <w:sz w:val="24"/>
          <w:u w:val="single"/>
        </w:rPr>
        <w:t xml:space="preserve">      </w:t>
      </w:r>
      <w:r>
        <w:rPr>
          <w:rFonts w:hint="eastAsia" w:ascii="Arial" w:hAnsi="Arial" w:cs="Arial"/>
          <w:color w:val="000000"/>
          <w:sz w:val="24"/>
        </w:rPr>
        <w:t>月</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hint="eastAsia" w:ascii="Arial" w:hAnsi="Arial" w:cs="Arial"/>
          <w:color w:val="000000"/>
          <w:sz w:val="24"/>
        </w:rPr>
        <w:t>日</w:t>
      </w:r>
      <w:r>
        <w:rPr>
          <w:rFonts w:ascii="Arial" w:hAnsi="Arial" w:cs="Arial"/>
          <w:color w:val="000000"/>
          <w:sz w:val="24"/>
        </w:rPr>
        <w:t xml:space="preserve"> </w:t>
      </w:r>
    </w:p>
    <w:p>
      <w:pPr>
        <w:outlineLvl w:val="0"/>
        <w:rPr>
          <w:b/>
          <w:sz w:val="24"/>
        </w:rPr>
      </w:pPr>
    </w:p>
    <w:p>
      <w:pPr>
        <w:outlineLvl w:val="0"/>
        <w:rPr>
          <w:b/>
          <w:sz w:val="24"/>
        </w:rPr>
      </w:pPr>
    </w:p>
    <w:p>
      <w:pPr>
        <w:outlineLvl w:val="0"/>
        <w:rPr>
          <w:b/>
          <w:sz w:val="24"/>
        </w:rPr>
      </w:pPr>
    </w:p>
    <w:p>
      <w:pPr>
        <w:outlineLvl w:val="0"/>
        <w:rPr>
          <w:b/>
          <w:sz w:val="24"/>
        </w:rPr>
      </w:pPr>
    </w:p>
    <w:p>
      <w:pPr>
        <w:pStyle w:val="27"/>
        <w:rPr>
          <w:sz w:val="24"/>
        </w:rPr>
      </w:pPr>
    </w:p>
    <w:p>
      <w:pPr>
        <w:rPr>
          <w:b/>
          <w:sz w:val="24"/>
        </w:rPr>
      </w:pPr>
    </w:p>
    <w:p>
      <w:pPr>
        <w:pStyle w:val="27"/>
        <w:rPr>
          <w:sz w:val="24"/>
        </w:rPr>
      </w:pPr>
    </w:p>
    <w:p>
      <w:pPr>
        <w:rPr>
          <w:b/>
          <w:sz w:val="24"/>
        </w:rPr>
      </w:pPr>
    </w:p>
    <w:p>
      <w:pPr>
        <w:pStyle w:val="4"/>
        <w:jc w:val="center"/>
        <w:rPr>
          <w:rFonts w:ascii="宋体" w:hAnsi="宋体" w:eastAsia="宋体" w:cs="宋体"/>
          <w:sz w:val="28"/>
          <w:szCs w:val="28"/>
        </w:rPr>
      </w:pPr>
      <w:bookmarkStart w:id="236" w:name="_Toc27815"/>
      <w:bookmarkStart w:id="237" w:name="_Toc491883232"/>
      <w:r>
        <w:rPr>
          <w:rFonts w:hint="eastAsia" w:ascii="宋体" w:hAnsi="宋体" w:eastAsia="宋体" w:cs="宋体"/>
          <w:sz w:val="28"/>
          <w:szCs w:val="28"/>
        </w:rPr>
        <w:t>二、法定代表人身份证明或法定代表人授权委托书</w:t>
      </w:r>
      <w:bookmarkEnd w:id="236"/>
    </w:p>
    <w:p>
      <w:pPr>
        <w:pStyle w:val="4"/>
        <w:jc w:val="center"/>
        <w:rPr>
          <w:rFonts w:ascii="宋体" w:hAnsi="宋体" w:eastAsia="宋体" w:cs="宋体"/>
          <w:sz w:val="24"/>
          <w:szCs w:val="24"/>
        </w:rPr>
      </w:pPr>
      <w:bookmarkStart w:id="238" w:name="_Toc14141"/>
      <w:r>
        <w:rPr>
          <w:rFonts w:hint="eastAsia" w:ascii="宋体" w:hAnsi="宋体" w:eastAsia="宋体" w:cs="宋体"/>
          <w:sz w:val="24"/>
          <w:szCs w:val="24"/>
        </w:rPr>
        <w:t>（一）法定代表人身份证明</w:t>
      </w:r>
      <w:bookmarkEnd w:id="237"/>
      <w:bookmarkEnd w:id="238"/>
    </w:p>
    <w:p>
      <w:pPr>
        <w:spacing w:line="440" w:lineRule="exact"/>
        <w:rPr>
          <w:rFonts w:ascii="宋体" w:hAnsi="宋体"/>
          <w:sz w:val="20"/>
        </w:rPr>
      </w:pPr>
    </w:p>
    <w:p>
      <w:pPr>
        <w:spacing w:line="440" w:lineRule="exact"/>
        <w:rPr>
          <w:rFonts w:ascii="宋体" w:hAnsi="宋体"/>
        </w:rPr>
      </w:pPr>
    </w:p>
    <w:p>
      <w:pPr>
        <w:spacing w:line="440" w:lineRule="exact"/>
        <w:rPr>
          <w:rFonts w:ascii="宋体" w:hAnsi="宋体"/>
        </w:rPr>
      </w:pPr>
      <w:r>
        <w:rPr>
          <w:rFonts w:hint="eastAsia" w:ascii="宋体" w:hAnsi="宋体"/>
        </w:rPr>
        <w:t>报价人</w:t>
      </w:r>
      <w:r>
        <w:rPr>
          <w:rFonts w:ascii="宋体" w:hAnsi="宋体"/>
        </w:rPr>
        <w:t>名称：</w:t>
      </w:r>
      <w:r>
        <w:rPr>
          <w:rFonts w:ascii="宋体" w:hAnsi="宋体"/>
          <w:u w:val="single"/>
        </w:rPr>
        <w:t xml:space="preserve">                        </w:t>
      </w:r>
    </w:p>
    <w:p>
      <w:pPr>
        <w:spacing w:line="440" w:lineRule="exact"/>
        <w:rPr>
          <w:rFonts w:ascii="宋体" w:hAnsi="宋体"/>
        </w:rPr>
      </w:pPr>
      <w:r>
        <w:rPr>
          <w:rFonts w:ascii="宋体" w:hAnsi="宋体"/>
        </w:rPr>
        <w:t>姓名：</w:t>
      </w:r>
      <w:r>
        <w:rPr>
          <w:rFonts w:ascii="宋体" w:hAnsi="宋体"/>
          <w:u w:val="single"/>
        </w:rPr>
        <w:t xml:space="preserve">                </w:t>
      </w:r>
      <w:r>
        <w:rPr>
          <w:rFonts w:ascii="宋体" w:hAnsi="宋体"/>
        </w:rPr>
        <w:t>性别：</w:t>
      </w:r>
      <w:bookmarkStart w:id="239" w:name="_Toc27897"/>
      <w:bookmarkStart w:id="240" w:name="_Toc369531698"/>
      <w:bookmarkStart w:id="241" w:name="_Toc352691662"/>
      <w:r>
        <w:rPr>
          <w:rFonts w:ascii="宋体" w:hAnsi="宋体"/>
          <w:u w:val="single"/>
        </w:rPr>
        <w:t xml:space="preserve">        </w:t>
      </w:r>
      <w:r>
        <w:rPr>
          <w:rFonts w:ascii="宋体" w:hAnsi="宋体"/>
        </w:rPr>
        <w:t>年</w:t>
      </w:r>
      <w:bookmarkEnd w:id="239"/>
      <w:bookmarkEnd w:id="240"/>
      <w:bookmarkEnd w:id="241"/>
      <w:r>
        <w:rPr>
          <w:rFonts w:ascii="宋体" w:hAnsi="宋体"/>
        </w:rPr>
        <w:t>龄</w:t>
      </w:r>
      <w:bookmarkStart w:id="242" w:name="_Toc369531699"/>
      <w:bookmarkStart w:id="243" w:name="_Toc247514248"/>
      <w:bookmarkStart w:id="244" w:name="_Toc384308377"/>
      <w:bookmarkStart w:id="245" w:name="_Toc247527829"/>
      <w:bookmarkStart w:id="246" w:name="_Toc300835211"/>
      <w:bookmarkStart w:id="247" w:name="_Toc361508754"/>
      <w:bookmarkStart w:id="248" w:name="_Toc15573"/>
      <w:bookmarkStart w:id="249" w:name="_Toc352691663"/>
      <w:bookmarkStart w:id="250" w:name="_Toc152042578"/>
      <w:bookmarkStart w:id="251" w:name="_Toc144974858"/>
      <w:bookmarkStart w:id="252" w:name="_Toc152045789"/>
      <w:r>
        <w:rPr>
          <w:rFonts w:ascii="宋体" w:hAnsi="宋体"/>
        </w:rPr>
        <w:t>：</w:t>
      </w:r>
      <w:bookmarkEnd w:id="242"/>
      <w:bookmarkEnd w:id="243"/>
      <w:bookmarkEnd w:id="244"/>
      <w:bookmarkEnd w:id="245"/>
      <w:bookmarkEnd w:id="246"/>
      <w:bookmarkEnd w:id="247"/>
      <w:bookmarkEnd w:id="248"/>
      <w:bookmarkEnd w:id="249"/>
      <w:bookmarkEnd w:id="250"/>
      <w:bookmarkEnd w:id="251"/>
      <w:bookmarkEnd w:id="252"/>
      <w:r>
        <w:rPr>
          <w:rFonts w:ascii="宋体" w:hAnsi="宋体"/>
          <w:u w:val="single"/>
        </w:rPr>
        <w:t xml:space="preserve">        </w:t>
      </w:r>
      <w:r>
        <w:rPr>
          <w:rFonts w:ascii="宋体" w:hAnsi="宋体"/>
        </w:rPr>
        <w:t>职务：</w:t>
      </w:r>
      <w:r>
        <w:rPr>
          <w:rFonts w:ascii="宋体" w:hAnsi="宋体"/>
          <w:u w:val="single"/>
        </w:rPr>
        <w:t xml:space="preserve">        </w:t>
      </w:r>
    </w:p>
    <w:p>
      <w:pPr>
        <w:spacing w:line="440" w:lineRule="exact"/>
        <w:rPr>
          <w:rFonts w:ascii="宋体" w:hAnsi="宋体"/>
        </w:rPr>
      </w:pPr>
      <w:r>
        <w:rPr>
          <w:rFonts w:ascii="宋体" w:hAnsi="宋体"/>
        </w:rPr>
        <w:t>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w:t>
      </w:r>
    </w:p>
    <w:p>
      <w:pPr>
        <w:spacing w:line="440" w:lineRule="exact"/>
        <w:ind w:firstLine="420" w:firstLineChars="200"/>
        <w:rPr>
          <w:rFonts w:ascii="宋体" w:hAnsi="宋体"/>
        </w:rPr>
      </w:pPr>
      <w:r>
        <w:rPr>
          <w:rFonts w:ascii="宋体" w:hAnsi="宋体"/>
        </w:rPr>
        <w:t>特此证明。</w:t>
      </w:r>
    </w:p>
    <w:p>
      <w:pPr>
        <w:spacing w:line="440" w:lineRule="exact"/>
        <w:rPr>
          <w:rFonts w:ascii="宋体" w:hAnsi="宋体"/>
        </w:rPr>
      </w:pPr>
    </w:p>
    <w:p>
      <w:pPr>
        <w:spacing w:line="440" w:lineRule="exact"/>
        <w:rPr>
          <w:rFonts w:ascii="宋体" w:hAnsi="宋体"/>
        </w:rPr>
      </w:pPr>
      <w:r>
        <w:rPr>
          <w:rFonts w:ascii="宋体" w:hAnsi="宋体"/>
        </w:rPr>
        <w:t>附：法定代表人身份证复印件。</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jc w:val="center"/>
        <w:rPr>
          <w:rFonts w:ascii="宋体" w:hAnsi="宋体"/>
        </w:rPr>
      </w:pPr>
      <w:r>
        <w:rPr>
          <w:rFonts w:ascii="宋体" w:hAnsi="宋体"/>
        </w:rPr>
        <w:t xml:space="preserve">                              </w:t>
      </w:r>
      <w:r>
        <w:rPr>
          <w:rFonts w:hint="eastAsia" w:ascii="宋体" w:hAnsi="宋体"/>
        </w:rPr>
        <w:t>报价人</w:t>
      </w:r>
      <w:r>
        <w:rPr>
          <w:rFonts w:ascii="宋体" w:hAnsi="宋体"/>
        </w:rPr>
        <w:t>：</w:t>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rPr>
          <w:rFonts w:ascii="宋体" w:hAnsi="宋体"/>
        </w:rPr>
      </w:pPr>
    </w:p>
    <w:p>
      <w:pPr>
        <w:spacing w:line="440" w:lineRule="exact"/>
        <w:ind w:firstLine="4620" w:firstLineChars="2200"/>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注：本身份证明需由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w:t>
      </w:r>
    </w:p>
    <w:p>
      <w:pPr>
        <w:spacing w:line="440" w:lineRule="exact"/>
        <w:rPr>
          <w:rFonts w:ascii="宋体" w:hAnsi="宋体"/>
          <w:sz w:val="20"/>
        </w:rPr>
      </w:pPr>
    </w:p>
    <w:p>
      <w:pPr>
        <w:spacing w:line="20" w:lineRule="exact"/>
        <w:jc w:val="center"/>
        <w:rPr>
          <w:rFonts w:ascii="宋体" w:hAnsi="宋体"/>
          <w:sz w:val="20"/>
        </w:rPr>
      </w:pPr>
      <w:r>
        <w:rPr>
          <w:rFonts w:ascii="宋体" w:hAnsi="宋体"/>
          <w:sz w:val="20"/>
        </w:rPr>
        <w:br w:type="page"/>
      </w:r>
    </w:p>
    <w:p>
      <w:pPr>
        <w:pStyle w:val="4"/>
        <w:jc w:val="center"/>
        <w:rPr>
          <w:rFonts w:ascii="宋体" w:hAnsi="宋体"/>
          <w:sz w:val="28"/>
          <w:szCs w:val="28"/>
        </w:rPr>
      </w:pPr>
      <w:bookmarkStart w:id="253" w:name="_Toc491883233"/>
      <w:bookmarkStart w:id="254" w:name="_Toc58"/>
      <w:r>
        <w:rPr>
          <w:rFonts w:hint="eastAsia" w:ascii="宋体" w:hAnsi="宋体" w:eastAsia="宋体" w:cs="宋体"/>
          <w:sz w:val="24"/>
          <w:szCs w:val="24"/>
        </w:rPr>
        <w:t>（二）</w:t>
      </w:r>
      <w:bookmarkEnd w:id="253"/>
      <w:r>
        <w:rPr>
          <w:rFonts w:hint="eastAsia" w:ascii="宋体" w:hAnsi="宋体" w:eastAsia="宋体" w:cs="宋体"/>
          <w:sz w:val="24"/>
          <w:szCs w:val="24"/>
        </w:rPr>
        <w:t>法定代表人授权委托书</w:t>
      </w:r>
      <w:bookmarkEnd w:id="254"/>
    </w:p>
    <w:p>
      <w:pPr>
        <w:spacing w:line="440" w:lineRule="exact"/>
        <w:rPr>
          <w:rFonts w:ascii="宋体" w:hAnsi="宋体"/>
        </w:rPr>
      </w:pPr>
    </w:p>
    <w:p>
      <w:pPr>
        <w:topLinePunct/>
        <w:spacing w:line="440" w:lineRule="exact"/>
        <w:ind w:firstLine="420" w:firstLineChars="200"/>
        <w:rPr>
          <w:rFonts w:ascii="宋体" w:hAnsi="宋体"/>
        </w:rPr>
      </w:pPr>
      <w:r>
        <w:rPr>
          <w:rFonts w:ascii="宋体" w:hAnsi="宋体"/>
        </w:rPr>
        <w:t>本人</w:t>
      </w:r>
      <w:r>
        <w:rPr>
          <w:rFonts w:ascii="宋体" w:hAnsi="宋体"/>
          <w:u w:val="single"/>
        </w:rPr>
        <w:t xml:space="preserve">              </w:t>
      </w:r>
      <w:r>
        <w:rPr>
          <w:rFonts w:ascii="宋体" w:hAnsi="宋体"/>
        </w:rPr>
        <w:t>（姓名）系</w:t>
      </w:r>
      <w:r>
        <w:rPr>
          <w:rFonts w:ascii="宋体" w:hAnsi="宋体"/>
          <w:u w:val="single"/>
        </w:rPr>
        <w:t xml:space="preserve">                    </w:t>
      </w:r>
      <w:r>
        <w:rPr>
          <w:rFonts w:ascii="宋体" w:hAnsi="宋体"/>
        </w:rPr>
        <w:t>（</w:t>
      </w:r>
      <w:r>
        <w:rPr>
          <w:rFonts w:hint="eastAsia" w:ascii="宋体" w:hAnsi="宋体"/>
        </w:rPr>
        <w:t>报价人</w:t>
      </w:r>
      <w:r>
        <w:rPr>
          <w:rFonts w:ascii="宋体" w:hAnsi="宋体"/>
        </w:rPr>
        <w:t>名称）的法定代表人，现委托</w:t>
      </w:r>
      <w:r>
        <w:rPr>
          <w:rFonts w:ascii="宋体" w:hAnsi="宋体"/>
          <w:u w:val="single"/>
        </w:rPr>
        <w:t xml:space="preserve">            </w:t>
      </w:r>
      <w:r>
        <w:rPr>
          <w:rFonts w:ascii="宋体" w:hAnsi="宋体"/>
        </w:rPr>
        <w:t>（姓名）为我方代理人。代理人根据授权，以我方名义签署、澄清确认、递交、撤回、修改招标项目</w:t>
      </w:r>
      <w:r>
        <w:rPr>
          <w:rFonts w:hint="eastAsia" w:ascii="宋体" w:hAnsi="宋体"/>
        </w:rPr>
        <w:t>比选</w:t>
      </w:r>
      <w:r>
        <w:rPr>
          <w:rFonts w:ascii="宋体" w:hAnsi="宋体"/>
        </w:rPr>
        <w:t>文件、签订合同和处理有关事宜，其法律后果由我方承担。</w:t>
      </w:r>
    </w:p>
    <w:p>
      <w:pPr>
        <w:spacing w:line="440" w:lineRule="exact"/>
        <w:rPr>
          <w:rFonts w:ascii="宋体" w:hAnsi="宋体"/>
        </w:rPr>
      </w:pPr>
      <w:r>
        <w:rPr>
          <w:rFonts w:ascii="宋体" w:hAnsi="宋体"/>
        </w:rPr>
        <w:t>委托期限：</w:t>
      </w:r>
      <w:r>
        <w:rPr>
          <w:rFonts w:ascii="宋体" w:hAnsi="宋体"/>
          <w:u w:val="single"/>
        </w:rPr>
        <w:t xml:space="preserve">                       </w:t>
      </w:r>
      <w:r>
        <w:rPr>
          <w:rFonts w:ascii="宋体" w:hAnsi="宋体"/>
        </w:rPr>
        <w:t>。</w:t>
      </w:r>
    </w:p>
    <w:p>
      <w:pPr>
        <w:spacing w:line="440" w:lineRule="exact"/>
        <w:ind w:firstLine="420" w:firstLineChars="200"/>
        <w:rPr>
          <w:rFonts w:ascii="宋体" w:hAnsi="宋体"/>
        </w:rPr>
      </w:pPr>
      <w:r>
        <w:rPr>
          <w:rFonts w:ascii="宋体" w:hAnsi="宋体"/>
        </w:rPr>
        <w:t>代理人无转委托权。</w:t>
      </w:r>
    </w:p>
    <w:p>
      <w:pPr>
        <w:spacing w:line="440" w:lineRule="exact"/>
        <w:ind w:firstLine="420" w:firstLineChars="200"/>
        <w:rPr>
          <w:rFonts w:ascii="宋体" w:hAnsi="宋体"/>
        </w:rPr>
      </w:pPr>
    </w:p>
    <w:p>
      <w:pPr>
        <w:spacing w:line="440" w:lineRule="exact"/>
        <w:rPr>
          <w:rFonts w:ascii="宋体" w:hAnsi="宋体"/>
        </w:rPr>
      </w:pPr>
      <w:r>
        <w:rPr>
          <w:rFonts w:ascii="宋体" w:hAnsi="宋体"/>
        </w:rPr>
        <w:t>附：法定代表人身份证复印件及委托代理人身份证复印件</w:t>
      </w:r>
    </w:p>
    <w:p>
      <w:pPr>
        <w:spacing w:line="440" w:lineRule="exact"/>
        <w:rPr>
          <w:rFonts w:ascii="宋体" w:hAnsi="宋体"/>
        </w:rPr>
      </w:pPr>
    </w:p>
    <w:p>
      <w:pPr>
        <w:spacing w:line="440" w:lineRule="exact"/>
        <w:ind w:firstLine="2692" w:firstLineChars="1282"/>
        <w:rPr>
          <w:rFonts w:ascii="宋体" w:hAnsi="宋体"/>
        </w:rPr>
      </w:pPr>
      <w:r>
        <w:rPr>
          <w:rFonts w:ascii="宋体" w:hAnsi="宋体"/>
        </w:rPr>
        <w:t>投  标  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w:t>
      </w:r>
      <w:r>
        <w:rPr>
          <w:rFonts w:hint="eastAsia" w:ascii="宋体" w:hAnsi="宋体"/>
        </w:rPr>
        <w:t>盖</w:t>
      </w:r>
      <w:r>
        <w:rPr>
          <w:rFonts w:ascii="宋体" w:hAnsi="宋体"/>
        </w:rPr>
        <w:t>单位</w:t>
      </w:r>
      <w:r>
        <w:rPr>
          <w:rFonts w:hint="eastAsia" w:ascii="宋体" w:hAnsi="宋体"/>
        </w:rPr>
        <w:t>公章</w:t>
      </w:r>
      <w:r>
        <w:rPr>
          <w:rFonts w:ascii="宋体" w:hAnsi="宋体"/>
        </w:rPr>
        <w:t>）</w:t>
      </w:r>
    </w:p>
    <w:p>
      <w:pPr>
        <w:spacing w:line="440" w:lineRule="exact"/>
        <w:ind w:firstLine="2690" w:firstLineChars="1281"/>
        <w:jc w:val="left"/>
        <w:rPr>
          <w:rFonts w:ascii="宋体" w:hAnsi="宋体"/>
        </w:rPr>
      </w:pPr>
      <w:r>
        <w:rPr>
          <w:rFonts w:ascii="宋体" w:hAnsi="宋体"/>
        </w:rPr>
        <w:t>法定代表人：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ab/>
      </w:r>
      <w:r>
        <w:rPr>
          <w:rFonts w:ascii="宋体" w:hAnsi="宋体"/>
        </w:rPr>
        <w:t>（签字</w:t>
      </w:r>
      <w:r>
        <w:rPr>
          <w:rFonts w:hint="eastAsia" w:ascii="宋体" w:hAnsi="宋体"/>
        </w:rPr>
        <w:t xml:space="preserve"> </w:t>
      </w:r>
      <w:r>
        <w:rPr>
          <w:rFonts w:ascii="宋体" w:hAnsi="宋体"/>
        </w:rPr>
        <w:t>）</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r>
        <w:rPr>
          <w:rFonts w:ascii="宋体" w:hAnsi="宋体"/>
        </w:rPr>
        <w:t>委托代理人：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rPr>
        <w:t>（签字）</w:t>
      </w:r>
    </w:p>
    <w:p>
      <w:pPr>
        <w:spacing w:line="440" w:lineRule="exact"/>
        <w:ind w:firstLine="2692" w:firstLineChars="1282"/>
        <w:rPr>
          <w:rFonts w:ascii="宋体" w:hAnsi="宋体"/>
        </w:rPr>
      </w:pPr>
      <w:r>
        <w:rPr>
          <w:rFonts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p>
    <w:p>
      <w:pPr>
        <w:spacing w:line="440" w:lineRule="exact"/>
        <w:ind w:firstLine="4057" w:firstLineChars="1932"/>
        <w:jc w:val="right"/>
        <w:rPr>
          <w:rFonts w:ascii="宋体" w:hAnsi="宋体"/>
        </w:rPr>
      </w:pPr>
      <w:r>
        <w:rPr>
          <w:rFonts w:ascii="宋体" w:hAnsi="宋体"/>
          <w:u w:val="single"/>
        </w:rPr>
        <w:t xml:space="preserve">       </w:t>
      </w:r>
      <w:r>
        <w:rPr>
          <w:rFonts w:ascii="宋体" w:hAnsi="宋体"/>
        </w:rPr>
        <w:t>年</w:t>
      </w:r>
      <w:r>
        <w:rPr>
          <w:rFonts w:ascii="宋体" w:hAnsi="宋体"/>
          <w:u w:val="single"/>
        </w:rPr>
        <w:t xml:space="preserve">       </w:t>
      </w:r>
      <w:r>
        <w:rPr>
          <w:rFonts w:ascii="宋体" w:hAnsi="宋体"/>
        </w:rPr>
        <w:t>月</w:t>
      </w:r>
      <w:r>
        <w:rPr>
          <w:rFonts w:ascii="宋体" w:hAnsi="宋体"/>
          <w:u w:val="single"/>
        </w:rPr>
        <w:t xml:space="preserve">       </w:t>
      </w:r>
      <w:r>
        <w:rPr>
          <w:rFonts w:ascii="宋体" w:hAnsi="宋体"/>
        </w:rPr>
        <w:t>日</w:t>
      </w:r>
    </w:p>
    <w:p>
      <w:pPr>
        <w:rPr>
          <w:rFonts w:ascii="宋体" w:hAnsi="宋体"/>
        </w:rPr>
      </w:pPr>
    </w:p>
    <w:p>
      <w:pPr>
        <w:rPr>
          <w:rFonts w:ascii="宋体" w:hAnsi="宋体"/>
        </w:rPr>
      </w:pPr>
    </w:p>
    <w:p>
      <w:pPr>
        <w:spacing w:line="440" w:lineRule="exact"/>
        <w:rPr>
          <w:rFonts w:ascii="宋体" w:hAnsi="宋体"/>
        </w:rPr>
      </w:pPr>
      <w:r>
        <w:rPr>
          <w:rFonts w:ascii="宋体" w:hAnsi="宋体"/>
        </w:rPr>
        <w:t>注：本授权委托书需由</w:t>
      </w:r>
      <w:r>
        <w:rPr>
          <w:rFonts w:hint="eastAsia" w:ascii="宋体" w:hAnsi="宋体"/>
        </w:rPr>
        <w:t>报价人</w:t>
      </w:r>
      <w:r>
        <w:rPr>
          <w:rFonts w:ascii="宋体" w:hAnsi="宋体"/>
        </w:rPr>
        <w:t>加盖单位</w:t>
      </w:r>
      <w:r>
        <w:rPr>
          <w:rFonts w:hint="eastAsia" w:ascii="宋体" w:hAnsi="宋体"/>
        </w:rPr>
        <w:t>公章</w:t>
      </w:r>
      <w:r>
        <w:rPr>
          <w:rFonts w:ascii="宋体" w:hAnsi="宋体"/>
        </w:rPr>
        <w:t>并由其法定代表人和委托代理人签字。</w:t>
      </w:r>
    </w:p>
    <w:p>
      <w:pPr>
        <w:rPr>
          <w:rFonts w:ascii="宋体" w:hAnsi="宋体"/>
        </w:rPr>
      </w:pPr>
    </w:p>
    <w:p>
      <w:pPr>
        <w:pStyle w:val="27"/>
      </w:pPr>
    </w:p>
    <w:p>
      <w:pPr>
        <w:outlineLvl w:val="0"/>
        <w:rPr>
          <w:b/>
          <w:sz w:val="24"/>
        </w:rPr>
      </w:pPr>
    </w:p>
    <w:p>
      <w:pPr>
        <w:rPr>
          <w:rFonts w:ascii="宋体" w:hAnsi="宋体" w:cs="宋体"/>
          <w:snapToGrid w:val="0"/>
          <w:kern w:val="0"/>
          <w:szCs w:val="21"/>
        </w:rPr>
      </w:pPr>
    </w:p>
    <w:p>
      <w:pPr>
        <w:rPr>
          <w:rFonts w:ascii="宋体" w:hAnsi="宋体" w:cs="宋体"/>
        </w:rPr>
        <w:sectPr>
          <w:pgSz w:w="11906" w:h="16838"/>
          <w:pgMar w:top="1440" w:right="1803" w:bottom="1440" w:left="1803" w:header="851" w:footer="992" w:gutter="0"/>
          <w:cols w:space="0" w:num="1"/>
          <w:titlePg/>
          <w:docGrid w:type="lines" w:linePitch="319" w:charSpace="0"/>
        </w:sectPr>
      </w:pPr>
    </w:p>
    <w:p>
      <w:pPr>
        <w:jc w:val="center"/>
        <w:rPr>
          <w:rFonts w:ascii="宋体" w:hAnsi="宋体" w:cs="宋体"/>
          <w:b/>
        </w:rPr>
      </w:pPr>
      <w:bookmarkStart w:id="255" w:name="_Toc11329275"/>
      <w:r>
        <w:rPr>
          <w:rFonts w:hint="eastAsia" w:ascii="宋体" w:hAnsi="宋体" w:cs="宋体"/>
          <w:b/>
          <w:bCs/>
          <w:kern w:val="0"/>
          <w:sz w:val="28"/>
          <w:szCs w:val="32"/>
        </w:rPr>
        <w:t>三、</w:t>
      </w:r>
      <w:bookmarkEnd w:id="233"/>
      <w:bookmarkEnd w:id="234"/>
      <w:bookmarkEnd w:id="235"/>
      <w:bookmarkEnd w:id="255"/>
      <w:r>
        <w:rPr>
          <w:rFonts w:hint="eastAsia" w:ascii="宋体" w:hAnsi="宋体" w:cs="宋体"/>
          <w:b/>
          <w:bCs/>
          <w:kern w:val="0"/>
          <w:sz w:val="28"/>
          <w:szCs w:val="32"/>
        </w:rPr>
        <w:t>工程量清单</w:t>
      </w:r>
    </w:p>
    <w:p>
      <w:pPr>
        <w:ind w:left="765"/>
        <w:jc w:val="center"/>
        <w:rPr>
          <w:rFonts w:ascii="宋体" w:hAnsi="宋体" w:cs="宋体"/>
          <w:szCs w:val="21"/>
        </w:rPr>
      </w:pPr>
    </w:p>
    <w:p>
      <w:pPr>
        <w:pStyle w:val="37"/>
        <w:jc w:val="both"/>
        <w:rPr>
          <w:rFonts w:hAnsi="宋体"/>
        </w:rPr>
      </w:pPr>
      <w:r>
        <w:rPr>
          <w:rFonts w:hint="eastAsia" w:hAnsi="宋体"/>
        </w:rPr>
        <w:t>重庆首讯科技股份有限公司：</w:t>
      </w:r>
    </w:p>
    <w:p>
      <w:pPr>
        <w:spacing w:line="360" w:lineRule="auto"/>
        <w:ind w:firstLine="480" w:firstLineChars="200"/>
        <w:jc w:val="left"/>
        <w:rPr>
          <w:rFonts w:ascii="宋体" w:hAnsi="宋体"/>
          <w:b/>
          <w:color w:val="000000"/>
          <w:sz w:val="24"/>
        </w:rPr>
      </w:pPr>
      <w:r>
        <w:rPr>
          <w:rFonts w:hint="eastAsia" w:ascii="宋体" w:hAnsi="宋体"/>
          <w:color w:val="000000"/>
          <w:sz w:val="24"/>
        </w:rPr>
        <w:t>在研究了竞争比选文件中所有文件后，我司对</w:t>
      </w:r>
      <w:r>
        <w:rPr>
          <w:rFonts w:hint="eastAsia" w:ascii="Arial" w:hAnsi="Arial" w:cs="Arial"/>
          <w:color w:val="000000"/>
          <w:sz w:val="24"/>
          <w:u w:val="single"/>
        </w:rPr>
        <w:t>中西部、东南部车行及人行横通门采购及安装</w:t>
      </w:r>
      <w:r>
        <w:rPr>
          <w:rFonts w:hint="eastAsia" w:ascii="宋体" w:hAnsi="宋体"/>
          <w:color w:val="000000"/>
          <w:sz w:val="24"/>
        </w:rPr>
        <w:t>竞</w:t>
      </w:r>
      <w:r>
        <w:rPr>
          <w:rFonts w:hint="eastAsia" w:ascii="Arial" w:hAnsi="Arial" w:cs="Arial"/>
          <w:color w:val="000000"/>
          <w:sz w:val="24"/>
        </w:rPr>
        <w:t>争比选响应</w:t>
      </w:r>
      <w:r>
        <w:rPr>
          <w:rFonts w:hint="eastAsia" w:ascii="宋体" w:hAnsi="宋体"/>
          <w:color w:val="000000"/>
          <w:sz w:val="24"/>
        </w:rPr>
        <w:t>报价如下：</w:t>
      </w:r>
      <w:r>
        <w:rPr>
          <w:rFonts w:hint="eastAsia" w:ascii="宋体" w:hAnsi="宋体"/>
          <w:b/>
          <w:color w:val="000000"/>
          <w:sz w:val="24"/>
        </w:rPr>
        <w:t xml:space="preserve"> </w:t>
      </w:r>
    </w:p>
    <w:p>
      <w:pPr>
        <w:tabs>
          <w:tab w:val="left" w:pos="1680"/>
          <w:tab w:val="left" w:pos="4215"/>
          <w:tab w:val="left" w:pos="4305"/>
          <w:tab w:val="left" w:pos="8000"/>
        </w:tabs>
        <w:autoSpaceDE w:val="0"/>
        <w:autoSpaceDN w:val="0"/>
        <w:adjustRightInd w:val="0"/>
        <w:snapToGrid w:val="0"/>
        <w:spacing w:line="360" w:lineRule="auto"/>
        <w:ind w:firstLine="482" w:firstLineChars="200"/>
        <w:rPr>
          <w:rFonts w:ascii="宋体" w:hAnsi="宋体" w:cs="宋体"/>
          <w:kern w:val="0"/>
          <w:szCs w:val="21"/>
        </w:rPr>
      </w:pPr>
      <w:r>
        <w:rPr>
          <w:rFonts w:hint="eastAsia" w:ascii="宋体" w:hAnsi="宋体"/>
          <w:b/>
          <w:bCs/>
          <w:color w:val="000000"/>
          <w:sz w:val="24"/>
        </w:rPr>
        <w:t>报价采用表格形式，见</w:t>
      </w:r>
      <w:r>
        <w:rPr>
          <w:rFonts w:hint="eastAsia" w:ascii="宋体" w:hAnsi="宋体"/>
          <w:b/>
          <w:bCs/>
          <w:color w:val="000000"/>
          <w:sz w:val="24"/>
          <w:lang w:val="en-US" w:eastAsia="zh-CN"/>
        </w:rPr>
        <w:t>附件</w:t>
      </w:r>
      <w:r>
        <w:rPr>
          <w:rFonts w:hint="eastAsia" w:ascii="宋体" w:hAnsi="宋体"/>
          <w:b/>
          <w:bCs/>
          <w:color w:val="000000"/>
          <w:sz w:val="24"/>
        </w:rPr>
        <w:t>“工程量清单”。</w:t>
      </w:r>
      <w:r>
        <w:rPr>
          <w:rFonts w:hint="eastAsia" w:ascii="宋体" w:hAnsi="宋体" w:cs="宋体"/>
          <w:b/>
          <w:kern w:val="0"/>
          <w:sz w:val="28"/>
          <w:szCs w:val="28"/>
        </w:rPr>
        <w:t xml:space="preserve"> </w:t>
      </w:r>
    </w:p>
    <w:p>
      <w:pPr>
        <w:pStyle w:val="4"/>
        <w:spacing w:before="0" w:after="0" w:line="360" w:lineRule="auto"/>
        <w:rPr>
          <w:rFonts w:ascii="宋体" w:hAnsi="宋体" w:eastAsia="宋体" w:cs="宋体"/>
          <w:sz w:val="28"/>
        </w:rPr>
        <w:sectPr>
          <w:footerReference r:id="rId11" w:type="first"/>
          <w:footerReference r:id="rId10" w:type="default"/>
          <w:pgSz w:w="16838" w:h="11906" w:orient="landscape"/>
          <w:pgMar w:top="1803" w:right="1440" w:bottom="1803" w:left="1440" w:header="851" w:footer="992" w:gutter="0"/>
          <w:cols w:space="0" w:num="1"/>
          <w:titlePg/>
          <w:docGrid w:type="lines" w:linePitch="319" w:charSpace="0"/>
        </w:sectPr>
      </w:pPr>
      <w:bookmarkStart w:id="256" w:name="_Toc12910"/>
      <w:bookmarkStart w:id="257" w:name="_Toc11329278"/>
      <w:bookmarkStart w:id="258" w:name="_Toc503951050"/>
      <w:bookmarkStart w:id="259" w:name="_Toc6967"/>
      <w:bookmarkStart w:id="260" w:name="_Toc513633971"/>
      <w:bookmarkStart w:id="261" w:name="_Toc18757"/>
      <w:bookmarkStart w:id="262" w:name="_Toc11961"/>
      <w:bookmarkStart w:id="263" w:name="_Toc144974871"/>
      <w:bookmarkStart w:id="264" w:name="_Toc247085887"/>
      <w:bookmarkStart w:id="265" w:name="_Toc152045803"/>
      <w:bookmarkStart w:id="266" w:name="_Toc179632823"/>
      <w:bookmarkStart w:id="267" w:name="_Toc246996369"/>
      <w:bookmarkStart w:id="268" w:name="_Toc246997112"/>
      <w:bookmarkStart w:id="269" w:name="_Toc152042592"/>
      <w:bookmarkStart w:id="270" w:name="_Toc447827058"/>
    </w:p>
    <w:p>
      <w:pPr>
        <w:pStyle w:val="4"/>
        <w:spacing w:before="0" w:after="0" w:line="360" w:lineRule="auto"/>
        <w:jc w:val="center"/>
        <w:rPr>
          <w:rFonts w:ascii="宋体" w:hAnsi="宋体" w:eastAsia="宋体" w:cs="宋体"/>
          <w:sz w:val="28"/>
        </w:rPr>
      </w:pPr>
      <w:r>
        <w:rPr>
          <w:rFonts w:hint="eastAsia" w:ascii="宋体" w:hAnsi="宋体" w:eastAsia="宋体" w:cs="宋体"/>
          <w:sz w:val="28"/>
        </w:rPr>
        <w:t>四、资格审查资料</w:t>
      </w:r>
      <w:bookmarkEnd w:id="256"/>
      <w:bookmarkEnd w:id="257"/>
      <w:bookmarkEnd w:id="258"/>
      <w:bookmarkEnd w:id="259"/>
      <w:bookmarkEnd w:id="260"/>
      <w:bookmarkEnd w:id="261"/>
      <w:bookmarkEnd w:id="262"/>
    </w:p>
    <w:p>
      <w:pPr>
        <w:pStyle w:val="4"/>
        <w:spacing w:before="0" w:after="0" w:line="360" w:lineRule="auto"/>
        <w:jc w:val="center"/>
        <w:rPr>
          <w:rFonts w:ascii="宋体" w:hAnsi="宋体" w:eastAsia="宋体" w:cs="宋体"/>
          <w:sz w:val="28"/>
          <w:szCs w:val="28"/>
        </w:rPr>
      </w:pPr>
      <w:bookmarkStart w:id="271" w:name="_Toc17915"/>
      <w:bookmarkStart w:id="272" w:name="_Toc32456"/>
      <w:bookmarkStart w:id="273" w:name="_Toc22481"/>
      <w:bookmarkStart w:id="274" w:name="_Toc22003"/>
      <w:r>
        <w:rPr>
          <w:rFonts w:hint="eastAsia" w:ascii="宋体" w:hAnsi="宋体" w:eastAsia="宋体" w:cs="宋体"/>
          <w:sz w:val="28"/>
          <w:szCs w:val="28"/>
        </w:rPr>
        <w:t>资质最低要求</w:t>
      </w:r>
      <w:bookmarkEnd w:id="263"/>
      <w:bookmarkEnd w:id="264"/>
      <w:bookmarkEnd w:id="265"/>
      <w:bookmarkEnd w:id="266"/>
      <w:bookmarkEnd w:id="267"/>
      <w:bookmarkEnd w:id="268"/>
      <w:bookmarkEnd w:id="269"/>
      <w:bookmarkEnd w:id="270"/>
      <w:bookmarkEnd w:id="271"/>
      <w:bookmarkEnd w:id="272"/>
      <w:bookmarkEnd w:id="273"/>
      <w:bookmarkEnd w:id="274"/>
      <w:bookmarkStart w:id="275" w:name="_Toc447827068"/>
      <w:bookmarkStart w:id="276" w:name="_Toc513633973"/>
      <w:bookmarkStart w:id="277" w:name="_Toc11329281"/>
      <w:bookmarkStart w:id="278" w:name="_Toc11672"/>
      <w:bookmarkStart w:id="279" w:name="_Toc503951055"/>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szCs w:val="28"/>
        </w:rPr>
      </w:pPr>
    </w:p>
    <w:p>
      <w:pPr>
        <w:pStyle w:val="4"/>
        <w:spacing w:before="0" w:after="0" w:line="360" w:lineRule="auto"/>
        <w:jc w:val="center"/>
        <w:rPr>
          <w:rFonts w:ascii="宋体" w:hAnsi="宋体" w:eastAsia="宋体" w:cs="宋体"/>
          <w:sz w:val="28"/>
        </w:rPr>
      </w:pPr>
      <w:bookmarkStart w:id="280" w:name="_Toc27393"/>
      <w:r>
        <w:rPr>
          <w:rFonts w:hint="eastAsia" w:ascii="宋体" w:hAnsi="宋体" w:eastAsia="宋体" w:cs="宋体"/>
          <w:bCs w:val="0"/>
          <w:sz w:val="28"/>
          <w:szCs w:val="28"/>
        </w:rPr>
        <w:t>财务最低要求</w:t>
      </w:r>
      <w:bookmarkEnd w:id="280"/>
    </w:p>
    <w:p>
      <w:pPr>
        <w:pStyle w:val="4"/>
        <w:spacing w:before="0" w:after="0" w:line="360" w:lineRule="auto"/>
        <w:rPr>
          <w:rFonts w:ascii="宋体" w:hAnsi="宋体" w:eastAsia="宋体" w:cs="宋体"/>
          <w:sz w:val="28"/>
        </w:rPr>
      </w:pPr>
      <w:bookmarkStart w:id="281" w:name="_Toc16742"/>
      <w:r>
        <w:rPr>
          <w:rFonts w:hint="eastAsia" w:ascii="宋体" w:hAnsi="宋体" w:eastAsia="宋体" w:cs="宋体"/>
          <w:sz w:val="28"/>
        </w:rPr>
        <w:t>无</w:t>
      </w:r>
      <w:bookmarkEnd w:id="281"/>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rPr>
          <w:rFonts w:ascii="宋体" w:hAnsi="宋体" w:eastAsia="宋体" w:cs="宋体"/>
          <w:sz w:val="28"/>
        </w:rPr>
      </w:pPr>
    </w:p>
    <w:p>
      <w:pPr>
        <w:pStyle w:val="4"/>
        <w:spacing w:before="0" w:after="0" w:line="360" w:lineRule="auto"/>
        <w:jc w:val="center"/>
        <w:rPr>
          <w:rFonts w:ascii="宋体" w:hAnsi="宋体" w:eastAsia="宋体" w:cs="宋体"/>
          <w:sz w:val="28"/>
        </w:rPr>
      </w:pPr>
      <w:bookmarkStart w:id="282" w:name="_Toc3463"/>
      <w:r>
        <w:rPr>
          <w:rFonts w:hint="eastAsia" w:ascii="宋体" w:hAnsi="宋体" w:eastAsia="宋体" w:cs="宋体"/>
          <w:bCs w:val="0"/>
          <w:sz w:val="28"/>
          <w:szCs w:val="28"/>
        </w:rPr>
        <w:t>信誉最低要求</w:t>
      </w:r>
      <w:bookmarkEnd w:id="282"/>
    </w:p>
    <w:p>
      <w:pPr>
        <w:pStyle w:val="4"/>
        <w:spacing w:before="0" w:after="0" w:line="360" w:lineRule="auto"/>
        <w:rPr>
          <w:rFonts w:ascii="宋体" w:hAnsi="宋体" w:eastAsia="宋体" w:cs="宋体"/>
          <w:b w:val="0"/>
          <w:bCs w:val="0"/>
          <w:sz w:val="28"/>
        </w:rPr>
      </w:pPr>
      <w:bookmarkStart w:id="283" w:name="_Toc32171"/>
      <w:bookmarkStart w:id="284" w:name="_Toc11243"/>
      <w:bookmarkStart w:id="285" w:name="_Toc29559"/>
      <w:r>
        <w:rPr>
          <w:rFonts w:hint="eastAsia" w:ascii="宋体" w:hAnsi="宋体" w:eastAsia="宋体" w:cs="宋体"/>
          <w:b w:val="0"/>
          <w:bCs w:val="0"/>
          <w:sz w:val="28"/>
        </w:rPr>
        <w:t>提供截图</w:t>
      </w:r>
      <w:bookmarkEnd w:id="283"/>
    </w:p>
    <w:p>
      <w:pPr>
        <w:rPr>
          <w:rFonts w:ascii="宋体" w:hAnsi="宋体" w:cs="宋体"/>
          <w:sz w:val="28"/>
        </w:rPr>
      </w:pPr>
    </w:p>
    <w:p>
      <w:pPr>
        <w:pStyle w:val="27"/>
        <w:rPr>
          <w:rFonts w:ascii="宋体" w:hAnsi="宋体" w:cs="宋体"/>
          <w:b w:val="0"/>
          <w:bCs w:val="0"/>
          <w:sz w:val="28"/>
        </w:rPr>
      </w:pPr>
    </w:p>
    <w:p>
      <w:pPr>
        <w:rPr>
          <w:rFonts w:ascii="宋体" w:hAnsi="宋体" w:cs="宋体"/>
          <w:sz w:val="28"/>
        </w:rPr>
      </w:pPr>
    </w:p>
    <w:p>
      <w:pPr>
        <w:pStyle w:val="27"/>
        <w:rPr>
          <w:rFonts w:ascii="宋体" w:hAnsi="宋体" w:cs="宋体"/>
          <w:b w:val="0"/>
          <w:bCs w:val="0"/>
          <w:sz w:val="28"/>
        </w:rPr>
      </w:pPr>
    </w:p>
    <w:p>
      <w:pPr>
        <w:rPr>
          <w:rFonts w:ascii="宋体" w:hAnsi="宋体" w:cs="宋体"/>
          <w:sz w:val="28"/>
        </w:rPr>
      </w:pPr>
    </w:p>
    <w:p>
      <w:pPr>
        <w:pStyle w:val="27"/>
        <w:rPr>
          <w:rFonts w:ascii="宋体" w:hAnsi="宋体" w:cs="宋体"/>
          <w:b w:val="0"/>
          <w:bCs w:val="0"/>
          <w:sz w:val="28"/>
        </w:rPr>
      </w:pPr>
    </w:p>
    <w:p>
      <w:pPr>
        <w:rPr>
          <w:rFonts w:ascii="宋体" w:hAnsi="宋体" w:cs="宋体"/>
          <w:sz w:val="28"/>
        </w:rPr>
      </w:pPr>
    </w:p>
    <w:p>
      <w:pPr>
        <w:pStyle w:val="27"/>
        <w:rPr>
          <w:rFonts w:ascii="宋体" w:hAnsi="宋体" w:cs="宋体"/>
          <w:b w:val="0"/>
          <w:bCs w:val="0"/>
          <w:sz w:val="28"/>
        </w:rPr>
      </w:pPr>
    </w:p>
    <w:p>
      <w:pPr>
        <w:rPr>
          <w:rFonts w:ascii="宋体" w:hAnsi="宋体" w:cs="宋体"/>
          <w:sz w:val="28"/>
        </w:rPr>
      </w:pPr>
    </w:p>
    <w:p>
      <w:pPr>
        <w:pStyle w:val="27"/>
        <w:rPr>
          <w:rFonts w:ascii="宋体" w:hAnsi="宋体" w:cs="宋体"/>
          <w:b w:val="0"/>
          <w:bCs w:val="0"/>
          <w:sz w:val="28"/>
        </w:rPr>
      </w:pPr>
    </w:p>
    <w:p>
      <w:pPr>
        <w:rPr>
          <w:rFonts w:ascii="宋体" w:hAnsi="宋体" w:cs="宋体"/>
          <w:sz w:val="28"/>
        </w:rPr>
      </w:pPr>
    </w:p>
    <w:p>
      <w:pPr>
        <w:pStyle w:val="27"/>
        <w:rPr>
          <w:rFonts w:ascii="宋体" w:hAnsi="宋体" w:cs="宋体"/>
          <w:b w:val="0"/>
          <w:bCs w:val="0"/>
          <w:sz w:val="28"/>
        </w:rPr>
      </w:pPr>
    </w:p>
    <w:p>
      <w:pPr>
        <w:rPr>
          <w:rFonts w:ascii="宋体" w:hAnsi="宋体" w:cs="宋体"/>
          <w:sz w:val="28"/>
        </w:rPr>
      </w:pPr>
    </w:p>
    <w:p>
      <w:pPr>
        <w:pStyle w:val="27"/>
      </w:pPr>
    </w:p>
    <w:p/>
    <w:p>
      <w:pPr>
        <w:pStyle w:val="27"/>
      </w:pPr>
    </w:p>
    <w:p/>
    <w:p>
      <w:pPr>
        <w:pStyle w:val="27"/>
      </w:pPr>
    </w:p>
    <w:p>
      <w:pPr>
        <w:pStyle w:val="4"/>
        <w:spacing w:before="0" w:after="0" w:line="360" w:lineRule="auto"/>
        <w:jc w:val="center"/>
        <w:rPr>
          <w:rFonts w:ascii="宋体" w:hAnsi="宋体" w:eastAsia="宋体" w:cs="宋体"/>
          <w:bCs w:val="0"/>
          <w:sz w:val="28"/>
          <w:szCs w:val="28"/>
        </w:rPr>
      </w:pPr>
      <w:bookmarkStart w:id="286" w:name="_Toc10331"/>
      <w:r>
        <w:rPr>
          <w:rFonts w:hint="eastAsia" w:ascii="宋体" w:hAnsi="宋体" w:eastAsia="宋体" w:cs="宋体"/>
          <w:bCs w:val="0"/>
          <w:sz w:val="28"/>
          <w:szCs w:val="28"/>
        </w:rPr>
        <w:t>设备安装要求</w:t>
      </w:r>
      <w:bookmarkEnd w:id="286"/>
    </w:p>
    <w:p>
      <w:pPr>
        <w:jc w:val="center"/>
        <w:rPr>
          <w:rFonts w:ascii="宋体" w:hAnsi="宋体" w:cs="宋体"/>
          <w:sz w:val="28"/>
          <w:szCs w:val="28"/>
        </w:rPr>
      </w:pPr>
      <w:r>
        <w:rPr>
          <w:rFonts w:hint="eastAsia" w:ascii="宋体" w:hAnsi="宋体" w:cs="宋体"/>
          <w:sz w:val="28"/>
          <w:szCs w:val="28"/>
        </w:rPr>
        <w:t>承诺函</w:t>
      </w:r>
    </w:p>
    <w:p>
      <w:pPr>
        <w:tabs>
          <w:tab w:val="left" w:pos="900"/>
        </w:tabs>
        <w:spacing w:line="300" w:lineRule="auto"/>
        <w:rPr>
          <w:rFonts w:ascii="Arial" w:hAnsi="Arial" w:cs="Arial"/>
          <w:color w:val="000000"/>
          <w:szCs w:val="21"/>
        </w:rPr>
      </w:pPr>
      <w:r>
        <w:rPr>
          <w:rFonts w:ascii="Arial" w:hAnsi="Arial" w:cs="Arial"/>
          <w:color w:val="000000"/>
          <w:szCs w:val="21"/>
        </w:rPr>
        <w:t xml:space="preserve"> </w:t>
      </w:r>
      <w:r>
        <w:rPr>
          <w:rFonts w:hint="eastAsia" w:ascii="Arial" w:hAnsi="Arial" w:cs="Arial"/>
          <w:b/>
          <w:color w:val="000000"/>
          <w:szCs w:val="21"/>
        </w:rPr>
        <w:t>致：</w:t>
      </w:r>
      <w:r>
        <w:rPr>
          <w:rFonts w:hint="eastAsia" w:ascii="Arial" w:hAnsi="Arial" w:cs="Arial"/>
          <w:b/>
          <w:bCs/>
          <w:color w:val="000000"/>
          <w:szCs w:val="21"/>
          <w:u w:val="single"/>
        </w:rPr>
        <w:t>重庆首讯科技股份有限公司</w:t>
      </w:r>
    </w:p>
    <w:p>
      <w:pPr>
        <w:pStyle w:val="27"/>
        <w:spacing w:line="400" w:lineRule="exact"/>
        <w:ind w:firstLine="420" w:firstLineChars="200"/>
        <w:rPr>
          <w:rFonts w:ascii="宋体" w:hAnsi="宋体" w:cs="宋体"/>
          <w:b w:val="0"/>
          <w:bCs w:val="0"/>
          <w:sz w:val="21"/>
          <w:szCs w:val="21"/>
        </w:rPr>
      </w:pPr>
      <w:r>
        <w:rPr>
          <w:rFonts w:hint="eastAsia" w:ascii="宋体" w:hAnsi="宋体" w:cs="宋体"/>
          <w:b w:val="0"/>
          <w:bCs w:val="0"/>
          <w:sz w:val="21"/>
          <w:szCs w:val="21"/>
          <w:u w:val="single"/>
        </w:rPr>
        <w:t>（报价人名称）</w:t>
      </w:r>
      <w:r>
        <w:rPr>
          <w:rFonts w:hint="eastAsia" w:ascii="宋体" w:hAnsi="宋体" w:cs="宋体"/>
          <w:b w:val="0"/>
          <w:bCs w:val="0"/>
          <w:sz w:val="21"/>
          <w:szCs w:val="21"/>
        </w:rPr>
        <w:t>在此郑重承诺，如果我方成为</w:t>
      </w:r>
      <w:r>
        <w:rPr>
          <w:rFonts w:hint="eastAsia" w:ascii="宋体" w:hAnsi="宋体" w:cs="宋体"/>
          <w:b w:val="0"/>
          <w:bCs w:val="0"/>
          <w:sz w:val="21"/>
          <w:szCs w:val="21"/>
          <w:u w:val="single"/>
        </w:rPr>
        <w:t xml:space="preserve">  （项目名称）      </w:t>
      </w:r>
      <w:r>
        <w:rPr>
          <w:rFonts w:hint="eastAsia" w:ascii="宋体" w:hAnsi="宋体" w:cs="宋体"/>
          <w:b w:val="0"/>
          <w:bCs w:val="0"/>
          <w:sz w:val="21"/>
          <w:szCs w:val="21"/>
        </w:rPr>
        <w:t>的中标候选人，严格按照以下要求执行：设备的安装须由具备消防设施工程专业承包壹级资质的单位开展，如我方仅为设备生产商，不具备该资质，我方将该部分安装工程专业分包至具备消防设施工程专业承包壹级资质的单位实施，并在设备进场安装前向买方处进行单位核备，买方同意后，再进场进行安装</w:t>
      </w:r>
      <w:bookmarkEnd w:id="275"/>
      <w:bookmarkEnd w:id="276"/>
      <w:bookmarkEnd w:id="277"/>
      <w:bookmarkEnd w:id="278"/>
      <w:bookmarkEnd w:id="279"/>
      <w:bookmarkEnd w:id="284"/>
      <w:bookmarkEnd w:id="285"/>
      <w:bookmarkStart w:id="287" w:name="_Toc503951058"/>
      <w:bookmarkStart w:id="288" w:name="_Toc513633974"/>
      <w:r>
        <w:rPr>
          <w:rFonts w:hint="eastAsia" w:ascii="宋体" w:hAnsi="宋体" w:cs="宋体"/>
          <w:b w:val="0"/>
          <w:bCs w:val="0"/>
          <w:sz w:val="21"/>
          <w:szCs w:val="21"/>
        </w:rPr>
        <w:t>。</w:t>
      </w:r>
    </w:p>
    <w:p>
      <w:pPr>
        <w:rPr>
          <w:rFonts w:ascii="宋体" w:hAnsi="宋体" w:cs="宋体"/>
          <w:szCs w:val="21"/>
        </w:rPr>
      </w:pPr>
    </w:p>
    <w:p>
      <w:pPr>
        <w:pStyle w:val="27"/>
        <w:rPr>
          <w:rFonts w:ascii="宋体" w:hAnsi="宋体" w:cs="宋体"/>
          <w:b w:val="0"/>
          <w:bCs w:val="0"/>
          <w:sz w:val="21"/>
          <w:szCs w:val="21"/>
        </w:rPr>
      </w:pPr>
    </w:p>
    <w:p>
      <w:pPr>
        <w:rPr>
          <w:rFonts w:ascii="宋体" w:hAnsi="宋体" w:cs="宋体"/>
          <w:szCs w:val="21"/>
        </w:rPr>
      </w:pPr>
    </w:p>
    <w:p>
      <w:pPr>
        <w:pStyle w:val="27"/>
        <w:jc w:val="right"/>
        <w:rPr>
          <w:rFonts w:ascii="宋体" w:hAnsi="宋体" w:cs="宋体"/>
          <w:b w:val="0"/>
          <w:bCs w:val="0"/>
          <w:sz w:val="21"/>
          <w:szCs w:val="21"/>
          <w:u w:val="single"/>
        </w:rPr>
      </w:pPr>
      <w:r>
        <w:rPr>
          <w:rFonts w:hint="eastAsia" w:ascii="宋体" w:hAnsi="宋体" w:cs="宋体"/>
          <w:b w:val="0"/>
          <w:bCs w:val="0"/>
          <w:sz w:val="21"/>
          <w:szCs w:val="21"/>
        </w:rPr>
        <w:t>承诺人：</w:t>
      </w:r>
      <w:r>
        <w:rPr>
          <w:rFonts w:hint="eastAsia" w:ascii="宋体" w:hAnsi="宋体" w:cs="宋体"/>
          <w:b w:val="0"/>
          <w:bCs w:val="0"/>
          <w:sz w:val="21"/>
          <w:szCs w:val="21"/>
          <w:u w:val="single"/>
        </w:rPr>
        <w:t xml:space="preserve">                     （盖单位公章）</w:t>
      </w:r>
    </w:p>
    <w:p>
      <w:pPr>
        <w:rPr>
          <w:rFonts w:ascii="宋体" w:hAnsi="宋体" w:cs="宋体"/>
          <w:szCs w:val="21"/>
        </w:rPr>
      </w:pPr>
      <w:r>
        <w:rPr>
          <w:rFonts w:hint="eastAsia" w:ascii="宋体" w:hAnsi="宋体" w:cs="宋体"/>
          <w:szCs w:val="21"/>
        </w:rPr>
        <w:t xml:space="preserve">                                    </w:t>
      </w:r>
    </w:p>
    <w:p>
      <w:r>
        <w:rPr>
          <w:rFonts w:hint="eastAsia" w:ascii="宋体" w:hAnsi="宋体" w:cs="宋体"/>
          <w:szCs w:val="21"/>
        </w:rPr>
        <w:t xml:space="preserve">                                     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5"/>
        <w:rPr>
          <w:rFonts w:ascii="宋体" w:hAnsi="宋体" w:cs="宋体"/>
          <w:sz w:val="28"/>
        </w:rPr>
      </w:pPr>
    </w:p>
    <w:p>
      <w:pPr>
        <w:rPr>
          <w:rFonts w:ascii="宋体" w:hAnsi="宋体" w:cs="宋体"/>
          <w:sz w:val="28"/>
        </w:rPr>
      </w:pPr>
    </w:p>
    <w:p>
      <w:pPr>
        <w:pStyle w:val="27"/>
        <w:rPr>
          <w:rFonts w:ascii="宋体" w:hAnsi="宋体" w:cs="宋体"/>
          <w:sz w:val="28"/>
        </w:rPr>
      </w:pPr>
    </w:p>
    <w:p>
      <w:pPr>
        <w:rPr>
          <w:rFonts w:ascii="宋体" w:hAnsi="宋体" w:cs="宋体"/>
          <w:sz w:val="28"/>
        </w:rPr>
      </w:pPr>
    </w:p>
    <w:p>
      <w:pPr>
        <w:pStyle w:val="27"/>
        <w:rPr>
          <w:rFonts w:ascii="宋体" w:hAnsi="宋体" w:cs="宋体"/>
          <w:sz w:val="28"/>
        </w:rPr>
      </w:pPr>
    </w:p>
    <w:p>
      <w:pPr>
        <w:rPr>
          <w:rFonts w:ascii="宋体" w:hAnsi="宋体" w:cs="宋体"/>
          <w:sz w:val="28"/>
        </w:rPr>
      </w:pPr>
    </w:p>
    <w:p>
      <w:pPr>
        <w:pStyle w:val="27"/>
        <w:rPr>
          <w:rFonts w:ascii="宋体" w:hAnsi="宋体" w:cs="宋体"/>
          <w:sz w:val="28"/>
        </w:rPr>
      </w:pPr>
    </w:p>
    <w:p>
      <w:pPr>
        <w:pStyle w:val="5"/>
      </w:pPr>
    </w:p>
    <w:p/>
    <w:p>
      <w:pPr>
        <w:pStyle w:val="5"/>
        <w:jc w:val="center"/>
        <w:rPr>
          <w:rFonts w:ascii="宋体" w:hAnsi="宋体" w:cs="宋体"/>
          <w:sz w:val="28"/>
        </w:rPr>
      </w:pPr>
      <w:r>
        <w:rPr>
          <w:rFonts w:hint="eastAsia" w:ascii="宋体" w:hAnsi="宋体" w:cs="宋体"/>
          <w:sz w:val="28"/>
        </w:rPr>
        <w:t>五 询价文件要求的其他材料</w:t>
      </w:r>
    </w:p>
    <w:bookmarkEnd w:id="287"/>
    <w:bookmarkEnd w:id="288"/>
    <w:p>
      <w:pPr>
        <w:pStyle w:val="27"/>
      </w:pPr>
    </w:p>
    <w:sectPr>
      <w:pgSz w:w="11906" w:h="16838"/>
      <w:pgMar w:top="1440" w:right="1803" w:bottom="1440" w:left="1803" w:header="851" w:footer="992" w:gutter="0"/>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BF4F83A7-0979-42BF-9B69-8BC983A657F2}"/>
  </w:font>
  <w:font w:name="Arial">
    <w:panose1 w:val="020B0604020202020204"/>
    <w:charset w:val="01"/>
    <w:family w:val="swiss"/>
    <w:pitch w:val="default"/>
    <w:sig w:usb0="E0002EFF" w:usb1="C000785B" w:usb2="00000009" w:usb3="00000000" w:csb0="400001FF" w:csb1="FFFF0000"/>
    <w:embedRegular r:id="rId2" w:fontKey="{904AA375-1FFE-4C28-A80B-CA44389F240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3" w:fontKey="{AC8B95D3-FE9D-4A21-8CBA-4CE8A30B107D}"/>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0002A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83" w:usb1="288F0000" w:usb2="00000006" w:usb3="00000000" w:csb0="00040001" w:csb1="00000000"/>
  </w:font>
  <w:font w:name="Arial Unicode MS">
    <w:panose1 w:val="020B0604020202020204"/>
    <w:charset w:val="86"/>
    <w:family w:val="swiss"/>
    <w:pitch w:val="default"/>
    <w:sig w:usb0="FFFFFFFF" w:usb1="E9FFFFFF" w:usb2="0000003F" w:usb3="00000000" w:csb0="603F01FF" w:csb1="FFFF0000"/>
  </w:font>
  <w:font w:name="smartSimSun">
    <w:panose1 w:val="02010600030101010101"/>
    <w:charset w:val="86"/>
    <w:family w:val="auto"/>
    <w:pitch w:val="default"/>
    <w:sig w:usb0="00000003" w:usb1="080E0000" w:usb2="00000000" w:usb3="00000000" w:csb0="00040001" w:csb1="00000000"/>
    <w:embedRegular r:id="rId4" w:fontKey="{6F92A0C2-A5A1-4E13-9DF0-92ABA622F1C1}"/>
  </w:font>
  <w:font w:name="等线">
    <w:panose1 w:val="02010600030101010101"/>
    <w:charset w:val="86"/>
    <w:family w:val="auto"/>
    <w:pitch w:val="default"/>
    <w:sig w:usb0="A00002BF" w:usb1="38CF7CFA" w:usb2="00000016" w:usb3="00000000" w:csb0="0004000F" w:csb1="00000000"/>
    <w:embedRegular r:id="rId5" w:fontKey="{EEA08557-57C4-48F7-84BE-59E87BA7F8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p>
    <w:pPr>
      <w:pStyle w:val="2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1"/>
      <w:rPr>
        <w:rStyle w:val="44"/>
      </w:rPr>
    </w:pPr>
    <w:r>
      <w:fldChar w:fldCharType="begin"/>
    </w:r>
    <w:r>
      <w:rPr>
        <w:rStyle w:val="44"/>
      </w:rPr>
      <w:instrText xml:space="preserve">PAGE  </w:instrText>
    </w:r>
    <w:r>
      <w:fldChar w:fldCharType="end"/>
    </w:r>
  </w:p>
  <w:p>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fldChar w:fldCharType="begin"/>
    </w:r>
    <w:r>
      <w:instrText xml:space="preserve">PAGE   \* MERGEFORMAT</w:instrText>
    </w:r>
    <w:r>
      <w:fldChar w:fldCharType="separate"/>
    </w:r>
    <w:r>
      <w:rPr>
        <w:lang w:val="zh-CN"/>
      </w:rPr>
      <w:t>79</w:t>
    </w:r>
    <w:r>
      <w:fldChar w:fldCharType="end"/>
    </w:r>
  </w:p>
  <w:p>
    <w:pPr>
      <w:pStyle w:val="2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right="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10</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10</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right="360"/>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3308350</wp:posOffset>
              </wp:positionH>
              <wp:positionV relativeFrom="paragraph">
                <wp:posOffset>371475</wp:posOffset>
              </wp:positionV>
              <wp:extent cx="628015" cy="283845"/>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628015" cy="283845"/>
                      </a:xfrm>
                      <a:prstGeom prst="rect">
                        <a:avLst/>
                      </a:prstGeom>
                      <a:noFill/>
                      <a:ln w="9525">
                        <a:noFill/>
                      </a:ln>
                    </wps:spPr>
                    <wps:txbx>
                      <w:txbxContent>
                        <w:p>
                          <w:pPr>
                            <w:pStyle w:val="25"/>
                          </w:pPr>
                        </w:p>
                      </w:txbxContent>
                    </wps:txbx>
                    <wps:bodyPr wrap="square" lIns="0" tIns="0" rIns="0" bIns="0" upright="1">
                      <a:noAutofit/>
                    </wps:bodyPr>
                  </wps:wsp>
                </a:graphicData>
              </a:graphic>
            </wp:anchor>
          </w:drawing>
        </mc:Choice>
        <mc:Fallback>
          <w:pict>
            <v:shape id="文本框 1025" o:spid="_x0000_s1026" o:spt="202" type="#_x0000_t202" style="position:absolute;left:0pt;margin-left:260.5pt;margin-top:29.25pt;height:22.35pt;width:49.45pt;mso-position-horizontal-relative:margin;z-index:251659264;mso-width-relative:page;mso-height-relative:page;" filled="f" stroked="f" coordsize="21600,21600" o:gfxdata="UEsDBAoAAAAAAIdO4kAAAAAAAAAAAAAAAAAEAAAAZHJzL1BLAwQUAAAACACHTuJATn5PUtgAAAAK&#10;AQAADwAAAGRycy9kb3ducmV2LnhtbE2PTU+EMBCG7yb+h2ZMvLktmCULUjbG6MnEyOLBY4FZaJZO&#10;kXY//PeOJ73NZJ6887zl9uImccIlWE8akpUCgdT53tKg4aN5uduACNFQbyZPqOEbA2yr66vSFL0/&#10;U42nXRwEh1AojIYxxrmQMnQjOhNWfkbi294vzkRel0H2izlzuJtkqlQmnbHEH0Yz49OI3WF3dBoe&#10;P6l+tl9v7Xu9r23T5Ipes4PWtzeJegAR8RL/YPjVZ3Wo2Kn1R+qDmDSs04S7RB42axAMZEmeg2iZ&#10;VPcpyKqU/ytUP1BLAwQUAAAACACHTuJAlNe/29gBAAClAwAADgAAAGRycy9lMm9Eb2MueG1srVPL&#10;rtMwEN0j8Q+W9zQP6FWJml6BqouQECBd+ADXsRtLtsfYTpP+APwBKzbs+a5+B+Mk7X2wuQs2ztgz&#10;PnPO8WR9PRhNDsIHBbamxSKnRFgOjbL7mn79cvNiRUmIzDZMgxU1PYpArzfPn617V4kSWtCN8ARB&#10;bKh6V9M2RldlWeCtMCwswAmLSQnesIhbv88az3pENzor8/wq68E3zgMXIeDpdkrSGdE/BRCkVFxs&#10;gXdG2DiheqFZREmhVS7QzchWSsHjJymDiETXFJXGccUmGO/Smm3WrNp75lrFZwrsKRQeaTJMWWx6&#10;gdqyyEjn1T9QRnEPAWRccDDZJGR0BFUU+SNvblvmxKgFrQ7uYnr4f7D84+GzJ6rBSaDEMoMPfvr5&#10;4/Trz+n3d1Lk5TI51LtQYeGtw9I4vIUhVc/nAQ+T8EF6k74oiWAe/T1e/BVDJBwPr8pVXiwp4Zgq&#10;Vy9Xr0b07O6y8yG+E2BICmrq8flGV9nhQ4jYEEvPJamXhRul9fiE2pK+pq+XSPhBBm9oixeThIlq&#10;iuKwG2b+O2iOKKvHEahp+NYxLyjR7y16nOblHPhzsDsHnfNq3yLLYu74posg1Ugz9ZiA59b4eiP7&#10;edLSeNzfj1V3f9fm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5+T1LYAAAACgEAAA8AAAAAAAAA&#10;AQAgAAAAIgAAAGRycy9kb3ducmV2LnhtbFBLAQIUABQAAAAIAIdO4kCU17/b2AEAAKUDAAAOAAAA&#10;AAAAAAEAIAAAACcBAABkcnMvZTJvRG9jLnhtbFBLBQYAAAAABgAGAFkBAABxBQAAAAA=&#10;">
              <v:fill on="f" focussize="0,0"/>
              <v:stroke on="f"/>
              <v:imagedata o:title=""/>
              <o:lock v:ext="edit" aspectratio="f"/>
              <v:textbox inset="0mm,0mm,0mm,0mm">
                <w:txbxContent>
                  <w:p>
                    <w:pPr>
                      <w:pStyle w:val="25"/>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5"/>
                            <w:rPr>
                              <w:rStyle w:val="44"/>
                            </w:rPr>
                          </w:pPr>
                          <w:r>
                            <w:rPr>
                              <w:rStyle w:val="44"/>
                              <w:rFonts w:hint="eastAsia"/>
                            </w:rPr>
                            <w:fldChar w:fldCharType="begin"/>
                          </w:r>
                          <w:r>
                            <w:rPr>
                              <w:rStyle w:val="44"/>
                              <w:rFonts w:hint="eastAsia"/>
                            </w:rPr>
                            <w:instrText xml:space="preserve"> PAGE  \* MERGEFORMAT </w:instrText>
                          </w:r>
                          <w:r>
                            <w:rPr>
                              <w:rStyle w:val="44"/>
                              <w:rFonts w:hint="eastAsia"/>
                            </w:rPr>
                            <w:fldChar w:fldCharType="separate"/>
                          </w:r>
                          <w:r>
                            <w:t>32</w:t>
                          </w:r>
                          <w:r>
                            <w:rPr>
                              <w:rStyle w:val="44"/>
                              <w:rFonts w:hint="eastAsia"/>
                            </w:rP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dMCFNQBAAClAwAADgAAAGRycy9lMm9Eb2MueG1srVNLbtswEN0X6B0I&#10;7mvJAhK4guWghZGiQNEUSHMAmiItAvyBQ1vyBdobZNVN9z2Xz9EhJTlBusmiG2qGM3wz781ofTMY&#10;TY4igHK2octFSYmw3LXK7hv68P323YoSiMy2TDsrGnoSQG82b9+se1+LynVOtyIQBLFQ976hXYy+&#10;LgrgnTAMFs4Li0HpgmER3bAv2sB6RDe6qMryuuhdaH1wXADg7XYM0gkxvAbQSam42Dp+MMLGETUI&#10;zSJSgk55oJvcrZSCxzspQUSiG4pMYz6xCNq7dBabNav3gflO8akF9poWXnAyTFkseoHassjIIah/&#10;oIziwYGTccGdKUYiWRFksSxfaHPfMS8yF5Qa/EV0+H+w/OvxWyCqbWhFiWUGB35+/Hn+9ef8+wdZ&#10;ltV1Uqj3UGPivcfUOHx0A+7NfA94mYgPMpj0RUoE46jv6aKvGCLh6dGqWq1KDHGMzQ7iF0/PfYD4&#10;SThDktHQgAPMurLjF4hj6pySqll3q7TOQ9SW9A19f1Vd5QeXCIJrizUSibHZZMVhN0zMdq49IbEe&#10;l6ChFneeEv3ZosZpX2YjzMZuNg4+qH2HPS5zPfAfDhG7yU2mCiPsVBinl2lOm5bW47mfs57+rs1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KXTAhTUAQAApQMAAA4AAAAAAAAAAQAgAAAAHgEA&#10;AGRycy9lMm9Eb2MueG1sUEsFBgAAAAAGAAYAWQEAAGQFAAAAAA==&#10;">
              <v:fill on="f" focussize="0,0"/>
              <v:stroke on="f"/>
              <v:imagedata o:title=""/>
              <o:lock v:ext="edit" aspectratio="f"/>
              <v:textbox inset="0mm,0mm,0mm,0mm" style="mso-fit-shape-to-text:t;">
                <w:txbxContent>
                  <w:p>
                    <w:pPr>
                      <w:pStyle w:val="25"/>
                      <w:rPr>
                        <w:rStyle w:val="44"/>
                      </w:rPr>
                    </w:pPr>
                    <w:r>
                      <w:rPr>
                        <w:rStyle w:val="44"/>
                        <w:rFonts w:hint="eastAsia"/>
                      </w:rPr>
                      <w:fldChar w:fldCharType="begin"/>
                    </w:r>
                    <w:r>
                      <w:rPr>
                        <w:rStyle w:val="44"/>
                        <w:rFonts w:hint="eastAsia"/>
                      </w:rPr>
                      <w:instrText xml:space="preserve"> PAGE  \* MERGEFORMAT </w:instrText>
                    </w:r>
                    <w:r>
                      <w:rPr>
                        <w:rStyle w:val="44"/>
                        <w:rFonts w:hint="eastAsia"/>
                      </w:rPr>
                      <w:fldChar w:fldCharType="separate"/>
                    </w:r>
                    <w:r>
                      <w:t>32</w:t>
                    </w:r>
                    <w:r>
                      <w:rPr>
                        <w:rStyle w:val="44"/>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30</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30</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39"/>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3A46B833"/>
    <w:multiLevelType w:val="singleLevel"/>
    <w:tmpl w:val="3A46B833"/>
    <w:lvl w:ilvl="0" w:tentative="0">
      <w:start w:val="1"/>
      <w:numFmt w:val="decimal"/>
      <w:suff w:val="space"/>
      <w:lvlText w:val="%1."/>
      <w:lvlJc w:val="left"/>
    </w:lvl>
  </w:abstractNum>
  <w:abstractNum w:abstractNumId="2">
    <w:nsid w:val="60308260"/>
    <w:multiLevelType w:val="singleLevel"/>
    <w:tmpl w:val="60308260"/>
    <w:lvl w:ilvl="0" w:tentative="0">
      <w:start w:val="7"/>
      <w:numFmt w:val="chineseCounting"/>
      <w:suff w:val="space"/>
      <w:lvlText w:val="第%1章"/>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TrueTypeFonts/>
  <w:saveSubsetFonts/>
  <w:bordersDoNotSurroundHeader w:val="0"/>
  <w:bordersDoNotSurroundFooter w:val="0"/>
  <w:documentProtection w:enforcement="0"/>
  <w:defaultTabStop w:val="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A0539"/>
    <w:rsid w:val="001A09DE"/>
    <w:rsid w:val="001A5CDC"/>
    <w:rsid w:val="001A7336"/>
    <w:rsid w:val="001B37EE"/>
    <w:rsid w:val="001B455F"/>
    <w:rsid w:val="001B7789"/>
    <w:rsid w:val="001B7EA3"/>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4527"/>
    <w:rsid w:val="002258E9"/>
    <w:rsid w:val="00226226"/>
    <w:rsid w:val="00230813"/>
    <w:rsid w:val="00231314"/>
    <w:rsid w:val="00231845"/>
    <w:rsid w:val="002339FF"/>
    <w:rsid w:val="00235CEC"/>
    <w:rsid w:val="002460EA"/>
    <w:rsid w:val="00246DBB"/>
    <w:rsid w:val="002537F9"/>
    <w:rsid w:val="00253875"/>
    <w:rsid w:val="0025448C"/>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25D"/>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2258"/>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0045"/>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D660B"/>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3F93"/>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C4F"/>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6EFF"/>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2A5"/>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41020"/>
    <w:rsid w:val="00B42F9A"/>
    <w:rsid w:val="00B459DA"/>
    <w:rsid w:val="00B4774B"/>
    <w:rsid w:val="00B52622"/>
    <w:rsid w:val="00B529B8"/>
    <w:rsid w:val="00B53EAE"/>
    <w:rsid w:val="00B61124"/>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473DC"/>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28A"/>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96402"/>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37F3"/>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7623FE"/>
    <w:rsid w:val="01852BD3"/>
    <w:rsid w:val="01E12D45"/>
    <w:rsid w:val="02A800C5"/>
    <w:rsid w:val="037D0CD2"/>
    <w:rsid w:val="038B3366"/>
    <w:rsid w:val="03981B5E"/>
    <w:rsid w:val="03996EAD"/>
    <w:rsid w:val="03F60BFA"/>
    <w:rsid w:val="04023CC8"/>
    <w:rsid w:val="042674F4"/>
    <w:rsid w:val="04C12ED8"/>
    <w:rsid w:val="04DC5749"/>
    <w:rsid w:val="04E26FED"/>
    <w:rsid w:val="04FD6633"/>
    <w:rsid w:val="05871A0A"/>
    <w:rsid w:val="05A70EA9"/>
    <w:rsid w:val="05D55D36"/>
    <w:rsid w:val="060C2525"/>
    <w:rsid w:val="062756FD"/>
    <w:rsid w:val="06540A4C"/>
    <w:rsid w:val="067C53E7"/>
    <w:rsid w:val="06820F5E"/>
    <w:rsid w:val="06AE2ABA"/>
    <w:rsid w:val="06DD02BB"/>
    <w:rsid w:val="06E71F51"/>
    <w:rsid w:val="07050666"/>
    <w:rsid w:val="07362674"/>
    <w:rsid w:val="073B54B2"/>
    <w:rsid w:val="081748AE"/>
    <w:rsid w:val="08635851"/>
    <w:rsid w:val="08C2359B"/>
    <w:rsid w:val="09041814"/>
    <w:rsid w:val="092D7BDC"/>
    <w:rsid w:val="09332D2B"/>
    <w:rsid w:val="093E2D64"/>
    <w:rsid w:val="096C3EBB"/>
    <w:rsid w:val="098B1DA7"/>
    <w:rsid w:val="09A31A61"/>
    <w:rsid w:val="09DE1094"/>
    <w:rsid w:val="09E2475B"/>
    <w:rsid w:val="0A3F34B7"/>
    <w:rsid w:val="0A4B11BE"/>
    <w:rsid w:val="0A8E5B8D"/>
    <w:rsid w:val="0AA240FA"/>
    <w:rsid w:val="0AAC0CBB"/>
    <w:rsid w:val="0AD84BD3"/>
    <w:rsid w:val="0B1061C6"/>
    <w:rsid w:val="0B2B08D5"/>
    <w:rsid w:val="0B792B3D"/>
    <w:rsid w:val="0BB825ED"/>
    <w:rsid w:val="0BC0647C"/>
    <w:rsid w:val="0BF26817"/>
    <w:rsid w:val="0C22464A"/>
    <w:rsid w:val="0C623EAC"/>
    <w:rsid w:val="0CAD24AF"/>
    <w:rsid w:val="0D662EE5"/>
    <w:rsid w:val="0D9339BE"/>
    <w:rsid w:val="0D9F0DC4"/>
    <w:rsid w:val="0DDE695A"/>
    <w:rsid w:val="0E2D072E"/>
    <w:rsid w:val="0E3B295D"/>
    <w:rsid w:val="0E47249B"/>
    <w:rsid w:val="0E551882"/>
    <w:rsid w:val="0E6F3DCC"/>
    <w:rsid w:val="0F4C19DA"/>
    <w:rsid w:val="0F4C7D05"/>
    <w:rsid w:val="0F5F17BD"/>
    <w:rsid w:val="0F90531D"/>
    <w:rsid w:val="0FAD64B5"/>
    <w:rsid w:val="0FFF5930"/>
    <w:rsid w:val="101B2029"/>
    <w:rsid w:val="10A265EF"/>
    <w:rsid w:val="110D40B6"/>
    <w:rsid w:val="11485B0D"/>
    <w:rsid w:val="117076B2"/>
    <w:rsid w:val="125E1A9C"/>
    <w:rsid w:val="1276289F"/>
    <w:rsid w:val="1288522D"/>
    <w:rsid w:val="129D6A95"/>
    <w:rsid w:val="12AF4046"/>
    <w:rsid w:val="12CE506D"/>
    <w:rsid w:val="12F65490"/>
    <w:rsid w:val="12F73D2A"/>
    <w:rsid w:val="12F931FF"/>
    <w:rsid w:val="13112273"/>
    <w:rsid w:val="13511DF6"/>
    <w:rsid w:val="138B4634"/>
    <w:rsid w:val="138F1214"/>
    <w:rsid w:val="13D101C7"/>
    <w:rsid w:val="1400440E"/>
    <w:rsid w:val="144729D8"/>
    <w:rsid w:val="14AB614D"/>
    <w:rsid w:val="15507C7E"/>
    <w:rsid w:val="15664AEF"/>
    <w:rsid w:val="158E23E1"/>
    <w:rsid w:val="159D7EA6"/>
    <w:rsid w:val="159F1BF9"/>
    <w:rsid w:val="160B0227"/>
    <w:rsid w:val="17081A7A"/>
    <w:rsid w:val="17292C0C"/>
    <w:rsid w:val="176F50FE"/>
    <w:rsid w:val="17DD0B49"/>
    <w:rsid w:val="181C1400"/>
    <w:rsid w:val="18223BBF"/>
    <w:rsid w:val="18487F0D"/>
    <w:rsid w:val="18494C70"/>
    <w:rsid w:val="18D435BC"/>
    <w:rsid w:val="19BA69A5"/>
    <w:rsid w:val="19DF6D3F"/>
    <w:rsid w:val="19E24459"/>
    <w:rsid w:val="1A3D7EBE"/>
    <w:rsid w:val="1A4353A0"/>
    <w:rsid w:val="1B075A0C"/>
    <w:rsid w:val="1B67066F"/>
    <w:rsid w:val="1B7229E4"/>
    <w:rsid w:val="1B7A5EC7"/>
    <w:rsid w:val="1CF6260F"/>
    <w:rsid w:val="1CF83AEA"/>
    <w:rsid w:val="1D6914D5"/>
    <w:rsid w:val="1D7E09CF"/>
    <w:rsid w:val="1E7F32B0"/>
    <w:rsid w:val="1EBB622E"/>
    <w:rsid w:val="1EEA13A6"/>
    <w:rsid w:val="1EFE64E9"/>
    <w:rsid w:val="1F6207D0"/>
    <w:rsid w:val="1FE1627D"/>
    <w:rsid w:val="1FEA603B"/>
    <w:rsid w:val="20293E2F"/>
    <w:rsid w:val="206E3E8E"/>
    <w:rsid w:val="2093114F"/>
    <w:rsid w:val="209B57AA"/>
    <w:rsid w:val="20D83D6E"/>
    <w:rsid w:val="20EA6084"/>
    <w:rsid w:val="20F01139"/>
    <w:rsid w:val="20F1461D"/>
    <w:rsid w:val="212B522B"/>
    <w:rsid w:val="21736537"/>
    <w:rsid w:val="21977807"/>
    <w:rsid w:val="226827C0"/>
    <w:rsid w:val="227C6EFF"/>
    <w:rsid w:val="22942795"/>
    <w:rsid w:val="22A10D06"/>
    <w:rsid w:val="22E46F4A"/>
    <w:rsid w:val="22F20159"/>
    <w:rsid w:val="23486890"/>
    <w:rsid w:val="23AB4CDF"/>
    <w:rsid w:val="23C37A75"/>
    <w:rsid w:val="24436391"/>
    <w:rsid w:val="24AD6D9A"/>
    <w:rsid w:val="26154215"/>
    <w:rsid w:val="26666FDC"/>
    <w:rsid w:val="26B267E7"/>
    <w:rsid w:val="26F65310"/>
    <w:rsid w:val="27357F9F"/>
    <w:rsid w:val="27EF1935"/>
    <w:rsid w:val="27F47E38"/>
    <w:rsid w:val="280A1B75"/>
    <w:rsid w:val="283962F8"/>
    <w:rsid w:val="290212C1"/>
    <w:rsid w:val="29656DCE"/>
    <w:rsid w:val="298B4B23"/>
    <w:rsid w:val="29D875FE"/>
    <w:rsid w:val="2A194E5D"/>
    <w:rsid w:val="2A594BC2"/>
    <w:rsid w:val="2AA90FA0"/>
    <w:rsid w:val="2ABD0549"/>
    <w:rsid w:val="2B552F60"/>
    <w:rsid w:val="2BB367B9"/>
    <w:rsid w:val="2C184D47"/>
    <w:rsid w:val="2C796A89"/>
    <w:rsid w:val="2CBD3A96"/>
    <w:rsid w:val="2CC74339"/>
    <w:rsid w:val="2CCE1414"/>
    <w:rsid w:val="2CD616BF"/>
    <w:rsid w:val="2CF93ABF"/>
    <w:rsid w:val="2D1E27A3"/>
    <w:rsid w:val="2D766528"/>
    <w:rsid w:val="2E6A704D"/>
    <w:rsid w:val="2E8A6255"/>
    <w:rsid w:val="2F0B1048"/>
    <w:rsid w:val="2F141AAA"/>
    <w:rsid w:val="2FF23F99"/>
    <w:rsid w:val="30236367"/>
    <w:rsid w:val="30331BC6"/>
    <w:rsid w:val="303E7E03"/>
    <w:rsid w:val="304A182B"/>
    <w:rsid w:val="30757C00"/>
    <w:rsid w:val="307D5D65"/>
    <w:rsid w:val="30B34CE3"/>
    <w:rsid w:val="30CB1C83"/>
    <w:rsid w:val="31832D29"/>
    <w:rsid w:val="31D20CDE"/>
    <w:rsid w:val="31F37E23"/>
    <w:rsid w:val="32223DC6"/>
    <w:rsid w:val="329032EF"/>
    <w:rsid w:val="329970EF"/>
    <w:rsid w:val="32B35AAA"/>
    <w:rsid w:val="334459AC"/>
    <w:rsid w:val="33705A64"/>
    <w:rsid w:val="342645AD"/>
    <w:rsid w:val="34335C8F"/>
    <w:rsid w:val="34617CD8"/>
    <w:rsid w:val="34A61339"/>
    <w:rsid w:val="34F3793E"/>
    <w:rsid w:val="35574E9C"/>
    <w:rsid w:val="35712E34"/>
    <w:rsid w:val="35ED793B"/>
    <w:rsid w:val="366C082D"/>
    <w:rsid w:val="36C90DD1"/>
    <w:rsid w:val="37704489"/>
    <w:rsid w:val="37925427"/>
    <w:rsid w:val="37A55DCC"/>
    <w:rsid w:val="37CA04FF"/>
    <w:rsid w:val="394C68A5"/>
    <w:rsid w:val="395E479A"/>
    <w:rsid w:val="39A36C2D"/>
    <w:rsid w:val="39AA29B9"/>
    <w:rsid w:val="39E71AEC"/>
    <w:rsid w:val="39F60058"/>
    <w:rsid w:val="3A104089"/>
    <w:rsid w:val="3AB8426E"/>
    <w:rsid w:val="3ABF6576"/>
    <w:rsid w:val="3ACF765C"/>
    <w:rsid w:val="3AD278CD"/>
    <w:rsid w:val="3AFA4BE5"/>
    <w:rsid w:val="3B2A44B8"/>
    <w:rsid w:val="3B2B6476"/>
    <w:rsid w:val="3BBC038E"/>
    <w:rsid w:val="3C852047"/>
    <w:rsid w:val="3CA13116"/>
    <w:rsid w:val="3CA925AE"/>
    <w:rsid w:val="3CF877AB"/>
    <w:rsid w:val="3D306CB2"/>
    <w:rsid w:val="3D667959"/>
    <w:rsid w:val="3D8230F2"/>
    <w:rsid w:val="3D886E2C"/>
    <w:rsid w:val="3DD83D60"/>
    <w:rsid w:val="3E044CAE"/>
    <w:rsid w:val="3E112660"/>
    <w:rsid w:val="3EAD4174"/>
    <w:rsid w:val="3EAD7F9C"/>
    <w:rsid w:val="3EB32892"/>
    <w:rsid w:val="3EBC3336"/>
    <w:rsid w:val="3F064AE9"/>
    <w:rsid w:val="3F3B0C43"/>
    <w:rsid w:val="3F4C62B0"/>
    <w:rsid w:val="402A34B8"/>
    <w:rsid w:val="40360CD1"/>
    <w:rsid w:val="40613E30"/>
    <w:rsid w:val="40736573"/>
    <w:rsid w:val="409B4A07"/>
    <w:rsid w:val="40F66678"/>
    <w:rsid w:val="41146522"/>
    <w:rsid w:val="4120577A"/>
    <w:rsid w:val="41FD121E"/>
    <w:rsid w:val="421A7627"/>
    <w:rsid w:val="4233112B"/>
    <w:rsid w:val="433E6297"/>
    <w:rsid w:val="43501335"/>
    <w:rsid w:val="43702851"/>
    <w:rsid w:val="4424604A"/>
    <w:rsid w:val="445014AB"/>
    <w:rsid w:val="454F0B76"/>
    <w:rsid w:val="457E2BBE"/>
    <w:rsid w:val="45E076C0"/>
    <w:rsid w:val="46026DB9"/>
    <w:rsid w:val="4662498C"/>
    <w:rsid w:val="46A022D9"/>
    <w:rsid w:val="46A9554B"/>
    <w:rsid w:val="46BE1A6C"/>
    <w:rsid w:val="471B3499"/>
    <w:rsid w:val="48037A8A"/>
    <w:rsid w:val="48377D23"/>
    <w:rsid w:val="486634EE"/>
    <w:rsid w:val="48807890"/>
    <w:rsid w:val="48A64B98"/>
    <w:rsid w:val="48BC156D"/>
    <w:rsid w:val="48F765BE"/>
    <w:rsid w:val="49320F23"/>
    <w:rsid w:val="49931D76"/>
    <w:rsid w:val="49DD73AE"/>
    <w:rsid w:val="49F95BD6"/>
    <w:rsid w:val="4A3B06D7"/>
    <w:rsid w:val="4AD703A4"/>
    <w:rsid w:val="4BD07B58"/>
    <w:rsid w:val="4C3176AB"/>
    <w:rsid w:val="4C6E278E"/>
    <w:rsid w:val="4C8720A2"/>
    <w:rsid w:val="4D7251FF"/>
    <w:rsid w:val="4E472C92"/>
    <w:rsid w:val="4E9D5C2D"/>
    <w:rsid w:val="4EBA57C1"/>
    <w:rsid w:val="4FA91AAC"/>
    <w:rsid w:val="4FBD0FF5"/>
    <w:rsid w:val="4FC854D7"/>
    <w:rsid w:val="50142DE1"/>
    <w:rsid w:val="5015687B"/>
    <w:rsid w:val="501926CA"/>
    <w:rsid w:val="505E3D68"/>
    <w:rsid w:val="50A25D79"/>
    <w:rsid w:val="50AE4B67"/>
    <w:rsid w:val="516A440A"/>
    <w:rsid w:val="51C42E16"/>
    <w:rsid w:val="525351F4"/>
    <w:rsid w:val="525A6FBC"/>
    <w:rsid w:val="526C0997"/>
    <w:rsid w:val="533D33D1"/>
    <w:rsid w:val="53670B33"/>
    <w:rsid w:val="53775B6A"/>
    <w:rsid w:val="53D43855"/>
    <w:rsid w:val="53EE1101"/>
    <w:rsid w:val="53FC4E8E"/>
    <w:rsid w:val="541717DC"/>
    <w:rsid w:val="553C46BA"/>
    <w:rsid w:val="55494082"/>
    <w:rsid w:val="557D5B60"/>
    <w:rsid w:val="55834A19"/>
    <w:rsid w:val="55F526C6"/>
    <w:rsid w:val="56066DC9"/>
    <w:rsid w:val="564E1228"/>
    <w:rsid w:val="56534A57"/>
    <w:rsid w:val="569C7F1D"/>
    <w:rsid w:val="56A6131D"/>
    <w:rsid w:val="56A82B00"/>
    <w:rsid w:val="56BC5AD0"/>
    <w:rsid w:val="56D00C68"/>
    <w:rsid w:val="57895A45"/>
    <w:rsid w:val="57C5313B"/>
    <w:rsid w:val="57D807D4"/>
    <w:rsid w:val="57EA7969"/>
    <w:rsid w:val="58750691"/>
    <w:rsid w:val="58AB575D"/>
    <w:rsid w:val="59445F91"/>
    <w:rsid w:val="59815208"/>
    <w:rsid w:val="59F001A4"/>
    <w:rsid w:val="5A1E2DE7"/>
    <w:rsid w:val="5B123FA7"/>
    <w:rsid w:val="5B613C0E"/>
    <w:rsid w:val="5BCA6564"/>
    <w:rsid w:val="5C1E3775"/>
    <w:rsid w:val="5C381264"/>
    <w:rsid w:val="5C672644"/>
    <w:rsid w:val="5C8132C7"/>
    <w:rsid w:val="5CA23A25"/>
    <w:rsid w:val="5CC26330"/>
    <w:rsid w:val="5CD67F41"/>
    <w:rsid w:val="5D017C51"/>
    <w:rsid w:val="5D463591"/>
    <w:rsid w:val="5D4F2A78"/>
    <w:rsid w:val="5D792AE4"/>
    <w:rsid w:val="5E2F58D3"/>
    <w:rsid w:val="5E5A06FD"/>
    <w:rsid w:val="5E9342EC"/>
    <w:rsid w:val="5F3815EE"/>
    <w:rsid w:val="5F5C32D6"/>
    <w:rsid w:val="600E788A"/>
    <w:rsid w:val="604130CF"/>
    <w:rsid w:val="60794FD4"/>
    <w:rsid w:val="60814FEF"/>
    <w:rsid w:val="60D32F5A"/>
    <w:rsid w:val="610E2B4C"/>
    <w:rsid w:val="61DE43D4"/>
    <w:rsid w:val="61E06967"/>
    <w:rsid w:val="61F06607"/>
    <w:rsid w:val="624216A0"/>
    <w:rsid w:val="626736F9"/>
    <w:rsid w:val="628E1BE9"/>
    <w:rsid w:val="62D06FF9"/>
    <w:rsid w:val="62D765EB"/>
    <w:rsid w:val="633A3E44"/>
    <w:rsid w:val="636B22CC"/>
    <w:rsid w:val="638F7D97"/>
    <w:rsid w:val="63B65AC7"/>
    <w:rsid w:val="63D7428B"/>
    <w:rsid w:val="640C4C0D"/>
    <w:rsid w:val="645830D7"/>
    <w:rsid w:val="647258C3"/>
    <w:rsid w:val="64AA2E73"/>
    <w:rsid w:val="64E8446E"/>
    <w:rsid w:val="65376B47"/>
    <w:rsid w:val="654042F5"/>
    <w:rsid w:val="660447CA"/>
    <w:rsid w:val="665622BC"/>
    <w:rsid w:val="666C4EE6"/>
    <w:rsid w:val="66FB0FDC"/>
    <w:rsid w:val="66FC5AFF"/>
    <w:rsid w:val="67314CD6"/>
    <w:rsid w:val="67BA7741"/>
    <w:rsid w:val="680D0CA5"/>
    <w:rsid w:val="68A45648"/>
    <w:rsid w:val="68A5668C"/>
    <w:rsid w:val="6911241F"/>
    <w:rsid w:val="69B67115"/>
    <w:rsid w:val="69EF53B4"/>
    <w:rsid w:val="6A126DD2"/>
    <w:rsid w:val="6A420E56"/>
    <w:rsid w:val="6A924E32"/>
    <w:rsid w:val="6A94008C"/>
    <w:rsid w:val="6AE60947"/>
    <w:rsid w:val="6B0B374F"/>
    <w:rsid w:val="6B1F0CCB"/>
    <w:rsid w:val="6B6234E5"/>
    <w:rsid w:val="6BBD11F5"/>
    <w:rsid w:val="6BD12800"/>
    <w:rsid w:val="6BD4388D"/>
    <w:rsid w:val="6C5E02FC"/>
    <w:rsid w:val="6C721812"/>
    <w:rsid w:val="6C8B0F52"/>
    <w:rsid w:val="6CDD0DD0"/>
    <w:rsid w:val="6D0127E4"/>
    <w:rsid w:val="6D1C168A"/>
    <w:rsid w:val="6D3668DD"/>
    <w:rsid w:val="6DB941BD"/>
    <w:rsid w:val="6E5F1098"/>
    <w:rsid w:val="6EA41FA2"/>
    <w:rsid w:val="6F381CAC"/>
    <w:rsid w:val="6F8037B5"/>
    <w:rsid w:val="6F9C6902"/>
    <w:rsid w:val="6FA0729C"/>
    <w:rsid w:val="70100CA2"/>
    <w:rsid w:val="70393572"/>
    <w:rsid w:val="70A24D48"/>
    <w:rsid w:val="70BA64EF"/>
    <w:rsid w:val="70C900DF"/>
    <w:rsid w:val="71326D32"/>
    <w:rsid w:val="715A596A"/>
    <w:rsid w:val="717C247D"/>
    <w:rsid w:val="71816B8E"/>
    <w:rsid w:val="71832D29"/>
    <w:rsid w:val="71907818"/>
    <w:rsid w:val="71E95916"/>
    <w:rsid w:val="723A6FC7"/>
    <w:rsid w:val="7250588C"/>
    <w:rsid w:val="726F5278"/>
    <w:rsid w:val="727E786A"/>
    <w:rsid w:val="72BD0544"/>
    <w:rsid w:val="72C0472D"/>
    <w:rsid w:val="72D11D5C"/>
    <w:rsid w:val="72E85DAD"/>
    <w:rsid w:val="72FA066C"/>
    <w:rsid w:val="732303D9"/>
    <w:rsid w:val="73532CC9"/>
    <w:rsid w:val="744975DD"/>
    <w:rsid w:val="746920A5"/>
    <w:rsid w:val="74DE73F5"/>
    <w:rsid w:val="75BF6C6F"/>
    <w:rsid w:val="75D07F8B"/>
    <w:rsid w:val="75EE5669"/>
    <w:rsid w:val="76957051"/>
    <w:rsid w:val="773E064E"/>
    <w:rsid w:val="774E1211"/>
    <w:rsid w:val="777B71D8"/>
    <w:rsid w:val="77A54D53"/>
    <w:rsid w:val="77C16C46"/>
    <w:rsid w:val="77FC6767"/>
    <w:rsid w:val="781A0BEC"/>
    <w:rsid w:val="78202415"/>
    <w:rsid w:val="78213FC9"/>
    <w:rsid w:val="78701D9C"/>
    <w:rsid w:val="795660B2"/>
    <w:rsid w:val="7A0C1011"/>
    <w:rsid w:val="7A0E7A81"/>
    <w:rsid w:val="7A200A74"/>
    <w:rsid w:val="7A2C747D"/>
    <w:rsid w:val="7A321CDB"/>
    <w:rsid w:val="7A6E32C8"/>
    <w:rsid w:val="7AC900CF"/>
    <w:rsid w:val="7B052FBD"/>
    <w:rsid w:val="7B5A5A6C"/>
    <w:rsid w:val="7B5C250E"/>
    <w:rsid w:val="7B6D0F87"/>
    <w:rsid w:val="7B783FD8"/>
    <w:rsid w:val="7B9A3DB8"/>
    <w:rsid w:val="7BF20E1E"/>
    <w:rsid w:val="7C9408F4"/>
    <w:rsid w:val="7CB90CC2"/>
    <w:rsid w:val="7CFB2CE9"/>
    <w:rsid w:val="7D212CA5"/>
    <w:rsid w:val="7D255EE2"/>
    <w:rsid w:val="7D293184"/>
    <w:rsid w:val="7D69777E"/>
    <w:rsid w:val="7DB34706"/>
    <w:rsid w:val="7E1A0A9F"/>
    <w:rsid w:val="7E3C401A"/>
    <w:rsid w:val="7E641213"/>
    <w:rsid w:val="7EF34773"/>
    <w:rsid w:val="7F0D08DC"/>
    <w:rsid w:val="7F714EE5"/>
    <w:rsid w:val="7F7F2734"/>
    <w:rsid w:val="7FA63F96"/>
    <w:rsid w:val="7FB9287C"/>
    <w:rsid w:val="7FCC47FD"/>
    <w:rsid w:val="7FFB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9"/>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4"/>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3"/>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88"/>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5"/>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5"/>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77"/>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6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1"/>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link w:val="65"/>
    <w:qFormat/>
    <w:uiPriority w:val="0"/>
    <w:pPr>
      <w:ind w:firstLine="420" w:firstLineChars="200"/>
    </w:pPr>
  </w:style>
  <w:style w:type="paragraph" w:styleId="13">
    <w:name w:val="Document Map"/>
    <w:basedOn w:val="1"/>
    <w:link w:val="72"/>
    <w:qFormat/>
    <w:uiPriority w:val="0"/>
    <w:pPr>
      <w:shd w:val="clear" w:color="auto" w:fill="000080"/>
    </w:pPr>
    <w:rPr>
      <w:kern w:val="0"/>
      <w:sz w:val="20"/>
    </w:rPr>
  </w:style>
  <w:style w:type="paragraph" w:styleId="14">
    <w:name w:val="annotation text"/>
    <w:basedOn w:val="1"/>
    <w:link w:val="54"/>
    <w:unhideWhenUsed/>
    <w:qFormat/>
    <w:uiPriority w:val="99"/>
    <w:pPr>
      <w:jc w:val="left"/>
    </w:pPr>
    <w:rPr>
      <w:kern w:val="0"/>
      <w:sz w:val="20"/>
    </w:rPr>
  </w:style>
  <w:style w:type="paragraph" w:styleId="15">
    <w:name w:val="Body Text 3"/>
    <w:basedOn w:val="1"/>
    <w:link w:val="58"/>
    <w:qFormat/>
    <w:uiPriority w:val="0"/>
    <w:rPr>
      <w:rFonts w:ascii="宋体"/>
      <w:kern w:val="0"/>
      <w:sz w:val="24"/>
      <w:szCs w:val="20"/>
    </w:rPr>
  </w:style>
  <w:style w:type="paragraph" w:styleId="16">
    <w:name w:val="Body Text Indent"/>
    <w:basedOn w:val="1"/>
    <w:link w:val="71"/>
    <w:qFormat/>
    <w:uiPriority w:val="0"/>
    <w:pPr>
      <w:spacing w:after="120"/>
      <w:ind w:left="420" w:leftChars="200"/>
    </w:pPr>
    <w:rPr>
      <w:kern w:val="0"/>
      <w:sz w:val="20"/>
    </w:rPr>
  </w:style>
  <w:style w:type="paragraph" w:styleId="17">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8">
    <w:name w:val="toc 5"/>
    <w:basedOn w:val="1"/>
    <w:next w:val="1"/>
    <w:qFormat/>
    <w:uiPriority w:val="39"/>
    <w:pPr>
      <w:ind w:left="840"/>
      <w:jc w:val="left"/>
    </w:pPr>
    <w:rPr>
      <w:rFonts w:ascii="Calibri" w:hAnsi="Calibri"/>
      <w:sz w:val="18"/>
      <w:szCs w:val="18"/>
    </w:rPr>
  </w:style>
  <w:style w:type="paragraph" w:styleId="19">
    <w:name w:val="toc 3"/>
    <w:basedOn w:val="1"/>
    <w:next w:val="1"/>
    <w:qFormat/>
    <w:uiPriority w:val="39"/>
    <w:pPr>
      <w:ind w:left="420"/>
      <w:jc w:val="left"/>
    </w:pPr>
    <w:rPr>
      <w:rFonts w:ascii="Calibri" w:hAnsi="Calibri"/>
      <w:i/>
      <w:iCs/>
      <w:sz w:val="20"/>
      <w:szCs w:val="20"/>
    </w:rPr>
  </w:style>
  <w:style w:type="paragraph" w:styleId="20">
    <w:name w:val="Plain Text"/>
    <w:basedOn w:val="1"/>
    <w:link w:val="94"/>
    <w:qFormat/>
    <w:uiPriority w:val="99"/>
    <w:rPr>
      <w:rFonts w:ascii="Courier New" w:hAnsi="Courier New"/>
      <w:kern w:val="0"/>
      <w:sz w:val="20"/>
      <w:szCs w:val="20"/>
    </w:rPr>
  </w:style>
  <w:style w:type="paragraph" w:styleId="21">
    <w:name w:val="toc 8"/>
    <w:basedOn w:val="1"/>
    <w:next w:val="1"/>
    <w:qFormat/>
    <w:uiPriority w:val="39"/>
    <w:pPr>
      <w:ind w:left="1470"/>
      <w:jc w:val="left"/>
    </w:pPr>
    <w:rPr>
      <w:rFonts w:ascii="Calibri" w:hAnsi="Calibri"/>
      <w:sz w:val="18"/>
      <w:szCs w:val="18"/>
    </w:rPr>
  </w:style>
  <w:style w:type="paragraph" w:styleId="22">
    <w:name w:val="Date"/>
    <w:basedOn w:val="1"/>
    <w:next w:val="1"/>
    <w:link w:val="78"/>
    <w:qFormat/>
    <w:uiPriority w:val="0"/>
    <w:rPr>
      <w:kern w:val="0"/>
      <w:sz w:val="24"/>
      <w:szCs w:val="20"/>
    </w:rPr>
  </w:style>
  <w:style w:type="paragraph" w:styleId="23">
    <w:name w:val="Body Text Indent 2"/>
    <w:basedOn w:val="1"/>
    <w:qFormat/>
    <w:uiPriority w:val="0"/>
    <w:pPr>
      <w:spacing w:after="120" w:line="480" w:lineRule="auto"/>
      <w:ind w:left="420" w:leftChars="200"/>
    </w:pPr>
  </w:style>
  <w:style w:type="paragraph" w:styleId="24">
    <w:name w:val="Balloon Text"/>
    <w:basedOn w:val="1"/>
    <w:link w:val="76"/>
    <w:qFormat/>
    <w:uiPriority w:val="0"/>
    <w:rPr>
      <w:kern w:val="0"/>
      <w:sz w:val="18"/>
      <w:szCs w:val="18"/>
    </w:rPr>
  </w:style>
  <w:style w:type="paragraph" w:styleId="25">
    <w:name w:val="footer"/>
    <w:basedOn w:val="1"/>
    <w:link w:val="90"/>
    <w:qFormat/>
    <w:uiPriority w:val="99"/>
    <w:pPr>
      <w:tabs>
        <w:tab w:val="center" w:pos="4153"/>
        <w:tab w:val="right" w:pos="8306"/>
      </w:tabs>
      <w:snapToGrid w:val="0"/>
      <w:jc w:val="left"/>
    </w:pPr>
    <w:rPr>
      <w:kern w:val="0"/>
      <w:sz w:val="18"/>
      <w:szCs w:val="18"/>
    </w:rPr>
  </w:style>
  <w:style w:type="paragraph" w:styleId="26">
    <w:name w:val="header"/>
    <w:basedOn w:val="1"/>
    <w:link w:val="68"/>
    <w:qFormat/>
    <w:uiPriority w:val="0"/>
    <w:pPr>
      <w:pBdr>
        <w:bottom w:val="single" w:color="auto" w:sz="6" w:space="1"/>
      </w:pBdr>
      <w:tabs>
        <w:tab w:val="center" w:pos="4153"/>
        <w:tab w:val="right" w:pos="8306"/>
      </w:tabs>
      <w:snapToGrid w:val="0"/>
      <w:jc w:val="center"/>
    </w:pPr>
    <w:rPr>
      <w:kern w:val="0"/>
      <w:sz w:val="18"/>
      <w:szCs w:val="18"/>
    </w:rPr>
  </w:style>
  <w:style w:type="paragraph" w:styleId="27">
    <w:name w:val="toc 1"/>
    <w:basedOn w:val="1"/>
    <w:next w:val="1"/>
    <w:qFormat/>
    <w:uiPriority w:val="39"/>
    <w:pPr>
      <w:spacing w:before="120" w:after="120"/>
      <w:jc w:val="left"/>
    </w:pPr>
    <w:rPr>
      <w:rFonts w:ascii="Calibri" w:hAnsi="Calibri"/>
      <w:b/>
      <w:bCs/>
      <w:caps/>
      <w:sz w:val="20"/>
      <w:szCs w:val="20"/>
    </w:rPr>
  </w:style>
  <w:style w:type="paragraph" w:styleId="28">
    <w:name w:val="toc 4"/>
    <w:basedOn w:val="1"/>
    <w:next w:val="1"/>
    <w:qFormat/>
    <w:uiPriority w:val="39"/>
    <w:pPr>
      <w:ind w:left="630"/>
      <w:jc w:val="left"/>
    </w:pPr>
    <w:rPr>
      <w:rFonts w:ascii="Calibri" w:hAnsi="Calibri"/>
      <w:sz w:val="18"/>
      <w:szCs w:val="18"/>
    </w:rPr>
  </w:style>
  <w:style w:type="paragraph" w:styleId="29">
    <w:name w:val="footnote text"/>
    <w:basedOn w:val="1"/>
    <w:link w:val="62"/>
    <w:qFormat/>
    <w:uiPriority w:val="0"/>
    <w:rPr>
      <w:kern w:val="0"/>
      <w:sz w:val="20"/>
      <w:szCs w:val="20"/>
    </w:rPr>
  </w:style>
  <w:style w:type="paragraph" w:styleId="30">
    <w:name w:val="toc 6"/>
    <w:basedOn w:val="1"/>
    <w:next w:val="1"/>
    <w:qFormat/>
    <w:uiPriority w:val="39"/>
    <w:pPr>
      <w:ind w:left="1050"/>
      <w:jc w:val="left"/>
    </w:pPr>
    <w:rPr>
      <w:rFonts w:ascii="Calibri" w:hAnsi="Calibri"/>
      <w:sz w:val="18"/>
      <w:szCs w:val="18"/>
    </w:rPr>
  </w:style>
  <w:style w:type="paragraph" w:styleId="31">
    <w:name w:val="Body Text Indent 3"/>
    <w:basedOn w:val="1"/>
    <w:link w:val="82"/>
    <w:qFormat/>
    <w:uiPriority w:val="0"/>
    <w:pPr>
      <w:spacing w:after="120"/>
      <w:ind w:left="420" w:leftChars="200"/>
    </w:pPr>
    <w:rPr>
      <w:kern w:val="0"/>
      <w:sz w:val="16"/>
      <w:szCs w:val="16"/>
    </w:rPr>
  </w:style>
  <w:style w:type="paragraph" w:styleId="32">
    <w:name w:val="table of figures"/>
    <w:basedOn w:val="1"/>
    <w:next w:val="1"/>
    <w:qFormat/>
    <w:uiPriority w:val="0"/>
    <w:pPr>
      <w:ind w:left="200" w:leftChars="200" w:hanging="200" w:hangingChars="200"/>
    </w:pPr>
  </w:style>
  <w:style w:type="paragraph" w:styleId="33">
    <w:name w:val="toc 2"/>
    <w:basedOn w:val="1"/>
    <w:next w:val="1"/>
    <w:qFormat/>
    <w:uiPriority w:val="39"/>
    <w:pPr>
      <w:ind w:left="210"/>
      <w:jc w:val="left"/>
    </w:pPr>
    <w:rPr>
      <w:rFonts w:ascii="Calibri" w:hAnsi="Calibri"/>
      <w:smallCaps/>
      <w:sz w:val="20"/>
      <w:szCs w:val="20"/>
    </w:rPr>
  </w:style>
  <w:style w:type="paragraph" w:styleId="34">
    <w:name w:val="toc 9"/>
    <w:basedOn w:val="1"/>
    <w:next w:val="1"/>
    <w:qFormat/>
    <w:uiPriority w:val="39"/>
    <w:pPr>
      <w:ind w:left="1680"/>
      <w:jc w:val="left"/>
    </w:pPr>
    <w:rPr>
      <w:rFonts w:ascii="Calibri" w:hAnsi="Calibri"/>
      <w:sz w:val="18"/>
      <w:szCs w:val="18"/>
    </w:rPr>
  </w:style>
  <w:style w:type="paragraph" w:styleId="35">
    <w:name w:val="HTML Preformatted"/>
    <w:basedOn w:val="1"/>
    <w:link w:val="9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7">
    <w:name w:val="index 1"/>
    <w:basedOn w:val="1"/>
    <w:next w:val="1"/>
    <w:semiHidden/>
    <w:qFormat/>
    <w:uiPriority w:val="0"/>
    <w:pPr>
      <w:spacing w:line="360" w:lineRule="auto"/>
      <w:jc w:val="center"/>
    </w:pPr>
    <w:rPr>
      <w:rFonts w:ascii="宋体" w:hAnsi="Arial" w:cs="Arial"/>
      <w:b/>
      <w:color w:val="000000"/>
      <w:sz w:val="24"/>
    </w:rPr>
  </w:style>
  <w:style w:type="paragraph" w:styleId="38">
    <w:name w:val="Title"/>
    <w:basedOn w:val="1"/>
    <w:link w:val="75"/>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9">
    <w:name w:val="annotation subject"/>
    <w:basedOn w:val="14"/>
    <w:next w:val="14"/>
    <w:link w:val="64"/>
    <w:qFormat/>
    <w:uiPriority w:val="0"/>
    <w:rPr>
      <w:b/>
      <w:bCs/>
    </w:rPr>
  </w:style>
  <w:style w:type="table" w:styleId="41">
    <w:name w:val="Table Grid"/>
    <w:basedOn w:val="40"/>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qFormat/>
    <w:uiPriority w:val="0"/>
    <w:rPr>
      <w:b/>
      <w:bCs/>
    </w:rPr>
  </w:style>
  <w:style w:type="character" w:styleId="44">
    <w:name w:val="page number"/>
    <w:qFormat/>
    <w:uiPriority w:val="0"/>
  </w:style>
  <w:style w:type="character" w:styleId="45">
    <w:name w:val="FollowedHyperlink"/>
    <w:basedOn w:val="42"/>
    <w:qFormat/>
    <w:uiPriority w:val="0"/>
    <w:rPr>
      <w:rFonts w:hint="default" w:ascii="Arial" w:hAnsi="Arial" w:eastAsia="Arial" w:cs="Arial"/>
      <w:color w:val="333333"/>
      <w:sz w:val="21"/>
      <w:szCs w:val="21"/>
      <w:u w:val="none"/>
    </w:rPr>
  </w:style>
  <w:style w:type="character" w:styleId="46">
    <w:name w:val="Hyperlink"/>
    <w:basedOn w:val="42"/>
    <w:qFormat/>
    <w:uiPriority w:val="99"/>
    <w:rPr>
      <w:rFonts w:ascii="Arial" w:hAnsi="Arial" w:eastAsia="Arial" w:cs="Arial"/>
      <w:color w:val="333333"/>
      <w:sz w:val="21"/>
      <w:szCs w:val="21"/>
      <w:u w:val="none"/>
    </w:rPr>
  </w:style>
  <w:style w:type="character" w:styleId="47">
    <w:name w:val="annotation reference"/>
    <w:qFormat/>
    <w:uiPriority w:val="0"/>
    <w:rPr>
      <w:sz w:val="21"/>
      <w:szCs w:val="21"/>
    </w:rPr>
  </w:style>
  <w:style w:type="character" w:styleId="48">
    <w:name w:val="footnote reference"/>
    <w:qFormat/>
    <w:uiPriority w:val="0"/>
    <w:rPr>
      <w:vertAlign w:val="superscript"/>
    </w:rPr>
  </w:style>
  <w:style w:type="character" w:customStyle="1" w:styleId="49">
    <w:name w:val="apple-style-span"/>
    <w:qFormat/>
    <w:uiPriority w:val="0"/>
    <w:rPr>
      <w:rFonts w:ascii="Verdana" w:hAnsi="Verdana" w:eastAsia="宋体"/>
      <w:sz w:val="21"/>
      <w:lang w:val="en-US" w:eastAsia="en-US" w:bidi="ar-SA"/>
    </w:rPr>
  </w:style>
  <w:style w:type="character" w:customStyle="1" w:styleId="50">
    <w:name w:val="正文文本 3 Char1"/>
    <w:semiHidden/>
    <w:qFormat/>
    <w:uiPriority w:val="99"/>
    <w:rPr>
      <w:rFonts w:ascii="Times New Roman" w:hAnsi="Times New Roman" w:eastAsia="宋体" w:cs="Times New Roman"/>
      <w:sz w:val="16"/>
      <w:szCs w:val="16"/>
    </w:rPr>
  </w:style>
  <w:style w:type="character" w:customStyle="1" w:styleId="51">
    <w:name w:val="样式 宋体"/>
    <w:qFormat/>
    <w:uiPriority w:val="0"/>
    <w:rPr>
      <w:rFonts w:ascii="Times New Roman" w:hAnsi="Times New Roman" w:eastAsia="宋体"/>
      <w:sz w:val="21"/>
    </w:rPr>
  </w:style>
  <w:style w:type="character" w:customStyle="1" w:styleId="52">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3">
    <w:name w:val="标题 3 字符"/>
    <w:link w:val="5"/>
    <w:qFormat/>
    <w:uiPriority w:val="0"/>
    <w:rPr>
      <w:rFonts w:ascii="Times New Roman" w:hAnsi="Times New Roman" w:eastAsia="宋体" w:cs="Times New Roman"/>
      <w:b/>
      <w:bCs/>
      <w:sz w:val="32"/>
      <w:szCs w:val="32"/>
    </w:rPr>
  </w:style>
  <w:style w:type="character" w:customStyle="1" w:styleId="54">
    <w:name w:val="批注文字 字符"/>
    <w:link w:val="14"/>
    <w:semiHidden/>
    <w:qFormat/>
    <w:uiPriority w:val="99"/>
    <w:rPr>
      <w:rFonts w:ascii="Times New Roman" w:hAnsi="Times New Roman" w:eastAsia="宋体" w:cs="Times New Roman"/>
      <w:szCs w:val="24"/>
    </w:rPr>
  </w:style>
  <w:style w:type="character" w:customStyle="1" w:styleId="55">
    <w:name w:val="标题 6 字符"/>
    <w:link w:val="7"/>
    <w:qFormat/>
    <w:uiPriority w:val="0"/>
    <w:rPr>
      <w:rFonts w:ascii="Arial" w:hAnsi="Arial" w:eastAsia="黑体" w:cs="Times New Roman"/>
      <w:b/>
      <w:bCs/>
      <w:kern w:val="0"/>
      <w:sz w:val="24"/>
      <w:szCs w:val="24"/>
    </w:rPr>
  </w:style>
  <w:style w:type="character" w:customStyle="1" w:styleId="56">
    <w:name w:val="Char Char8"/>
    <w:qFormat/>
    <w:uiPriority w:val="0"/>
    <w:rPr>
      <w:rFonts w:ascii="Arial" w:hAnsi="Arial" w:eastAsia="黑体"/>
      <w:b/>
      <w:bCs/>
      <w:kern w:val="2"/>
      <w:sz w:val="32"/>
      <w:szCs w:val="32"/>
      <w:lang w:val="en-US" w:eastAsia="zh-CN" w:bidi="ar-SA"/>
    </w:rPr>
  </w:style>
  <w:style w:type="character" w:customStyle="1" w:styleId="57">
    <w:name w:val="脚注文本 Char1"/>
    <w:semiHidden/>
    <w:qFormat/>
    <w:uiPriority w:val="99"/>
    <w:rPr>
      <w:rFonts w:ascii="Times New Roman" w:hAnsi="Times New Roman" w:eastAsia="宋体" w:cs="Times New Roman"/>
      <w:sz w:val="18"/>
      <w:szCs w:val="18"/>
    </w:rPr>
  </w:style>
  <w:style w:type="character" w:customStyle="1" w:styleId="58">
    <w:name w:val="正文文本 3 字符"/>
    <w:link w:val="15"/>
    <w:qFormat/>
    <w:uiPriority w:val="0"/>
    <w:rPr>
      <w:rFonts w:ascii="宋体"/>
      <w:sz w:val="24"/>
    </w:rPr>
  </w:style>
  <w:style w:type="character" w:customStyle="1" w:styleId="59">
    <w:name w:val="页脚 Char1"/>
    <w:semiHidden/>
    <w:qFormat/>
    <w:uiPriority w:val="99"/>
    <w:rPr>
      <w:rFonts w:ascii="Times New Roman" w:hAnsi="Times New Roman" w:eastAsia="宋体" w:cs="Times New Roman"/>
      <w:sz w:val="18"/>
      <w:szCs w:val="18"/>
    </w:rPr>
  </w:style>
  <w:style w:type="character" w:customStyle="1" w:styleId="60">
    <w:name w:val="标题 Char1"/>
    <w:qFormat/>
    <w:uiPriority w:val="10"/>
    <w:rPr>
      <w:rFonts w:ascii="Calibri Light" w:hAnsi="Calibri Light" w:eastAsia="宋体" w:cs="Times New Roman"/>
      <w:b/>
      <w:bCs/>
      <w:sz w:val="32"/>
      <w:szCs w:val="32"/>
    </w:rPr>
  </w:style>
  <w:style w:type="character" w:customStyle="1" w:styleId="61">
    <w:name w:val="正文文本 字符"/>
    <w:link w:val="2"/>
    <w:qFormat/>
    <w:uiPriority w:val="0"/>
    <w:rPr>
      <w:rFonts w:eastAsia="宋体"/>
      <w:szCs w:val="24"/>
    </w:rPr>
  </w:style>
  <w:style w:type="character" w:customStyle="1" w:styleId="62">
    <w:name w:val="脚注文本 字符"/>
    <w:link w:val="29"/>
    <w:qFormat/>
    <w:uiPriority w:val="0"/>
    <w:rPr>
      <w:rFonts w:eastAsia="宋体"/>
    </w:rPr>
  </w:style>
  <w:style w:type="character" w:customStyle="1" w:styleId="63">
    <w:name w:val="纯文本 Char1"/>
    <w:semiHidden/>
    <w:qFormat/>
    <w:uiPriority w:val="99"/>
    <w:rPr>
      <w:rFonts w:ascii="宋体" w:hAnsi="Courier New" w:eastAsia="宋体" w:cs="Courier New"/>
      <w:szCs w:val="21"/>
    </w:rPr>
  </w:style>
  <w:style w:type="character" w:customStyle="1" w:styleId="64">
    <w:name w:val="批注主题 字符"/>
    <w:link w:val="39"/>
    <w:qFormat/>
    <w:uiPriority w:val="0"/>
    <w:rPr>
      <w:rFonts w:ascii="Times New Roman" w:hAnsi="Times New Roman" w:eastAsia="宋体" w:cs="Times New Roman"/>
      <w:b/>
      <w:bCs/>
      <w:szCs w:val="24"/>
    </w:rPr>
  </w:style>
  <w:style w:type="character" w:customStyle="1" w:styleId="65">
    <w:name w:val="正文缩进 字符"/>
    <w:link w:val="12"/>
    <w:qFormat/>
    <w:locked/>
    <w:uiPriority w:val="0"/>
    <w:rPr>
      <w:kern w:val="2"/>
      <w:sz w:val="21"/>
      <w:szCs w:val="24"/>
    </w:rPr>
  </w:style>
  <w:style w:type="character" w:customStyle="1" w:styleId="66">
    <w:name w:val="font11"/>
    <w:qFormat/>
    <w:uiPriority w:val="0"/>
    <w:rPr>
      <w:rFonts w:hint="default" w:ascii="Times New Roman" w:hAnsi="Times New Roman" w:cs="Times New Roman"/>
      <w:color w:val="000000"/>
      <w:sz w:val="22"/>
      <w:szCs w:val="22"/>
      <w:u w:val="none"/>
    </w:rPr>
  </w:style>
  <w:style w:type="character" w:customStyle="1" w:styleId="67">
    <w:name w:val="font01"/>
    <w:qFormat/>
    <w:uiPriority w:val="0"/>
    <w:rPr>
      <w:rFonts w:hint="eastAsia" w:ascii="宋体" w:hAnsi="宋体" w:eastAsia="宋体" w:cs="宋体"/>
      <w:color w:val="000000"/>
      <w:sz w:val="22"/>
      <w:szCs w:val="22"/>
      <w:u w:val="none"/>
    </w:rPr>
  </w:style>
  <w:style w:type="character" w:customStyle="1" w:styleId="68">
    <w:name w:val="页眉 字符"/>
    <w:link w:val="26"/>
    <w:qFormat/>
    <w:uiPriority w:val="0"/>
    <w:rPr>
      <w:rFonts w:ascii="Times New Roman" w:hAnsi="Times New Roman" w:eastAsia="宋体" w:cs="Times New Roman"/>
      <w:sz w:val="18"/>
      <w:szCs w:val="18"/>
    </w:rPr>
  </w:style>
  <w:style w:type="character" w:customStyle="1" w:styleId="69">
    <w:name w:val="标题 9 字符"/>
    <w:link w:val="10"/>
    <w:qFormat/>
    <w:uiPriority w:val="0"/>
    <w:rPr>
      <w:rFonts w:ascii="Arial" w:hAnsi="Arial" w:eastAsia="黑体" w:cs="Times New Roman"/>
      <w:kern w:val="0"/>
      <w:szCs w:val="21"/>
    </w:rPr>
  </w:style>
  <w:style w:type="character" w:customStyle="1" w:styleId="70">
    <w:name w:val="标题 2 Char1"/>
    <w:qFormat/>
    <w:uiPriority w:val="0"/>
    <w:rPr>
      <w:rFonts w:ascii="Arial" w:hAnsi="Arial" w:eastAsia="黑体" w:cs="Times New Roman"/>
      <w:b/>
      <w:bCs/>
      <w:sz w:val="32"/>
      <w:szCs w:val="32"/>
      <w:lang w:val="en-US" w:eastAsia="en-US" w:bidi="ar-SA"/>
    </w:rPr>
  </w:style>
  <w:style w:type="character" w:customStyle="1" w:styleId="71">
    <w:name w:val="正文文本缩进 字符"/>
    <w:link w:val="16"/>
    <w:qFormat/>
    <w:uiPriority w:val="0"/>
    <w:rPr>
      <w:szCs w:val="24"/>
    </w:rPr>
  </w:style>
  <w:style w:type="character" w:customStyle="1" w:styleId="72">
    <w:name w:val="文档结构图 字符"/>
    <w:link w:val="13"/>
    <w:qFormat/>
    <w:uiPriority w:val="0"/>
    <w:rPr>
      <w:rFonts w:ascii="Times New Roman" w:hAnsi="Times New Roman" w:eastAsia="宋体" w:cs="Times New Roman"/>
      <w:szCs w:val="24"/>
      <w:shd w:val="clear" w:color="auto" w:fill="000080"/>
    </w:rPr>
  </w:style>
  <w:style w:type="character" w:customStyle="1" w:styleId="73">
    <w:name w:val="font161"/>
    <w:qFormat/>
    <w:uiPriority w:val="0"/>
    <w:rPr>
      <w:b/>
      <w:bCs/>
      <w:sz w:val="32"/>
      <w:szCs w:val="32"/>
    </w:rPr>
  </w:style>
  <w:style w:type="character" w:customStyle="1" w:styleId="74">
    <w:name w:val="标题 2 字符"/>
    <w:link w:val="4"/>
    <w:qFormat/>
    <w:uiPriority w:val="0"/>
    <w:rPr>
      <w:rFonts w:ascii="Arial" w:hAnsi="Arial" w:eastAsia="黑体" w:cs="Times New Roman"/>
      <w:b/>
      <w:bCs/>
      <w:sz w:val="32"/>
      <w:szCs w:val="32"/>
    </w:rPr>
  </w:style>
  <w:style w:type="character" w:customStyle="1" w:styleId="75">
    <w:name w:val="标题 字符"/>
    <w:link w:val="38"/>
    <w:qFormat/>
    <w:uiPriority w:val="0"/>
    <w:rPr>
      <w:rFonts w:ascii="Arial" w:hAnsi="Arial"/>
      <w:b/>
      <w:sz w:val="32"/>
    </w:rPr>
  </w:style>
  <w:style w:type="character" w:customStyle="1" w:styleId="76">
    <w:name w:val="批注框文本 字符"/>
    <w:link w:val="24"/>
    <w:qFormat/>
    <w:uiPriority w:val="0"/>
    <w:rPr>
      <w:rFonts w:ascii="Times New Roman" w:hAnsi="Times New Roman" w:eastAsia="宋体" w:cs="Times New Roman"/>
      <w:sz w:val="18"/>
      <w:szCs w:val="18"/>
    </w:rPr>
  </w:style>
  <w:style w:type="character" w:customStyle="1" w:styleId="77">
    <w:name w:val="标题 8 字符"/>
    <w:link w:val="9"/>
    <w:qFormat/>
    <w:uiPriority w:val="0"/>
    <w:rPr>
      <w:rFonts w:ascii="Arial" w:hAnsi="Arial" w:eastAsia="黑体" w:cs="Times New Roman"/>
      <w:kern w:val="0"/>
      <w:sz w:val="24"/>
      <w:szCs w:val="24"/>
    </w:rPr>
  </w:style>
  <w:style w:type="character" w:customStyle="1" w:styleId="78">
    <w:name w:val="日期 字符"/>
    <w:link w:val="22"/>
    <w:qFormat/>
    <w:uiPriority w:val="0"/>
    <w:rPr>
      <w:rFonts w:ascii="Times New Roman" w:hAnsi="Times New Roman" w:eastAsia="宋体" w:cs="Times New Roman"/>
      <w:sz w:val="24"/>
      <w:szCs w:val="20"/>
    </w:rPr>
  </w:style>
  <w:style w:type="character" w:customStyle="1" w:styleId="79">
    <w:name w:val="标题 1 字符"/>
    <w:link w:val="3"/>
    <w:qFormat/>
    <w:uiPriority w:val="0"/>
    <w:rPr>
      <w:rFonts w:ascii="Times New Roman" w:hAnsi="Times New Roman" w:eastAsia="宋体" w:cs="Times New Roman"/>
      <w:b/>
      <w:bCs/>
      <w:kern w:val="44"/>
      <w:sz w:val="44"/>
      <w:szCs w:val="44"/>
    </w:rPr>
  </w:style>
  <w:style w:type="character" w:customStyle="1" w:styleId="80">
    <w:name w:val="招标节 Char"/>
    <w:link w:val="81"/>
    <w:qFormat/>
    <w:locked/>
    <w:uiPriority w:val="0"/>
    <w:rPr>
      <w:b/>
      <w:sz w:val="24"/>
      <w:szCs w:val="24"/>
    </w:rPr>
  </w:style>
  <w:style w:type="paragraph" w:customStyle="1" w:styleId="81">
    <w:name w:val="招标节"/>
    <w:basedOn w:val="1"/>
    <w:next w:val="1"/>
    <w:link w:val="80"/>
    <w:qFormat/>
    <w:uiPriority w:val="0"/>
    <w:pPr>
      <w:spacing w:beforeLines="50" w:afterLines="50"/>
      <w:outlineLvl w:val="1"/>
    </w:pPr>
    <w:rPr>
      <w:b/>
      <w:kern w:val="0"/>
      <w:sz w:val="24"/>
    </w:rPr>
  </w:style>
  <w:style w:type="character" w:customStyle="1" w:styleId="82">
    <w:name w:val="正文文本缩进 3 字符"/>
    <w:link w:val="31"/>
    <w:qFormat/>
    <w:uiPriority w:val="0"/>
    <w:rPr>
      <w:rFonts w:ascii="Times New Roman" w:hAnsi="Times New Roman" w:eastAsia="宋体" w:cs="Times New Roman"/>
      <w:sz w:val="16"/>
      <w:szCs w:val="16"/>
    </w:rPr>
  </w:style>
  <w:style w:type="character" w:customStyle="1" w:styleId="83">
    <w:name w:val="tpc_content1"/>
    <w:qFormat/>
    <w:uiPriority w:val="0"/>
    <w:rPr>
      <w:sz w:val="20"/>
      <w:szCs w:val="20"/>
    </w:rPr>
  </w:style>
  <w:style w:type="character" w:customStyle="1" w:styleId="84">
    <w:name w:val="Char Char"/>
    <w:qFormat/>
    <w:uiPriority w:val="0"/>
    <w:rPr>
      <w:rFonts w:ascii="Arial" w:hAnsi="Arial" w:eastAsia="黑体"/>
      <w:b/>
      <w:bCs/>
      <w:kern w:val="2"/>
      <w:sz w:val="32"/>
      <w:szCs w:val="32"/>
      <w:lang w:val="en-US" w:eastAsia="zh-CN" w:bidi="ar-SA"/>
    </w:rPr>
  </w:style>
  <w:style w:type="character" w:customStyle="1" w:styleId="85">
    <w:name w:val="正文文本 Char1"/>
    <w:semiHidden/>
    <w:qFormat/>
    <w:uiPriority w:val="99"/>
    <w:rPr>
      <w:rFonts w:ascii="Times New Roman" w:hAnsi="Times New Roman" w:eastAsia="宋体" w:cs="Times New Roman"/>
      <w:szCs w:val="24"/>
    </w:rPr>
  </w:style>
  <w:style w:type="character" w:customStyle="1" w:styleId="86">
    <w:name w:val="Char Char2"/>
    <w:qFormat/>
    <w:uiPriority w:val="0"/>
    <w:rPr>
      <w:rFonts w:eastAsia="宋体"/>
      <w:kern w:val="2"/>
      <w:sz w:val="21"/>
      <w:szCs w:val="24"/>
      <w:lang w:val="en-US" w:eastAsia="zh-CN" w:bidi="ar-SA"/>
    </w:rPr>
  </w:style>
  <w:style w:type="character" w:customStyle="1" w:styleId="87">
    <w:name w:val="apple-converted-space"/>
    <w:qFormat/>
    <w:uiPriority w:val="0"/>
  </w:style>
  <w:style w:type="character" w:customStyle="1" w:styleId="88">
    <w:name w:val="标题 4 字符"/>
    <w:link w:val="6"/>
    <w:qFormat/>
    <w:uiPriority w:val="0"/>
    <w:rPr>
      <w:rFonts w:ascii="Arial" w:hAnsi="Arial" w:eastAsia="黑体" w:cs="Times New Roman"/>
      <w:b/>
      <w:bCs/>
      <w:sz w:val="28"/>
      <w:szCs w:val="28"/>
    </w:rPr>
  </w:style>
  <w:style w:type="character" w:customStyle="1" w:styleId="89">
    <w:name w:val="正文文本缩进 Char1"/>
    <w:semiHidden/>
    <w:qFormat/>
    <w:uiPriority w:val="99"/>
    <w:rPr>
      <w:rFonts w:ascii="Times New Roman" w:hAnsi="Times New Roman" w:eastAsia="宋体" w:cs="Times New Roman"/>
      <w:szCs w:val="24"/>
    </w:rPr>
  </w:style>
  <w:style w:type="character" w:customStyle="1" w:styleId="90">
    <w:name w:val="页脚 字符"/>
    <w:link w:val="25"/>
    <w:qFormat/>
    <w:uiPriority w:val="99"/>
    <w:rPr>
      <w:sz w:val="18"/>
      <w:szCs w:val="18"/>
    </w:rPr>
  </w:style>
  <w:style w:type="character" w:customStyle="1" w:styleId="91">
    <w:name w:val="Char Char7"/>
    <w:qFormat/>
    <w:uiPriority w:val="0"/>
    <w:rPr>
      <w:rFonts w:ascii="Arial" w:hAnsi="Arial" w:eastAsia="黑体"/>
      <w:b/>
      <w:bCs/>
      <w:kern w:val="2"/>
      <w:sz w:val="32"/>
      <w:szCs w:val="32"/>
      <w:lang w:val="en-US" w:eastAsia="zh-CN" w:bidi="ar-SA"/>
    </w:rPr>
  </w:style>
  <w:style w:type="character" w:customStyle="1" w:styleId="92">
    <w:name w:val="HTML 预设格式 字符"/>
    <w:link w:val="35"/>
    <w:qFormat/>
    <w:uiPriority w:val="0"/>
    <w:rPr>
      <w:rFonts w:ascii="微软雅黑" w:hAnsi="微软雅黑" w:eastAsia="微软雅黑" w:cs="Times New Roman"/>
      <w:kern w:val="0"/>
      <w:sz w:val="24"/>
      <w:szCs w:val="24"/>
    </w:rPr>
  </w:style>
  <w:style w:type="character" w:customStyle="1" w:styleId="93">
    <w:name w:val="批注文字 Char"/>
    <w:qFormat/>
    <w:uiPriority w:val="0"/>
    <w:rPr>
      <w:rFonts w:eastAsia="宋体"/>
      <w:kern w:val="2"/>
      <w:sz w:val="21"/>
      <w:szCs w:val="24"/>
      <w:lang w:val="en-US" w:eastAsia="zh-CN" w:bidi="ar-SA"/>
    </w:rPr>
  </w:style>
  <w:style w:type="character" w:customStyle="1" w:styleId="94">
    <w:name w:val="纯文本 字符"/>
    <w:link w:val="20"/>
    <w:qFormat/>
    <w:uiPriority w:val="99"/>
    <w:rPr>
      <w:rFonts w:ascii="Courier New" w:hAnsi="Courier New"/>
    </w:rPr>
  </w:style>
  <w:style w:type="character" w:customStyle="1" w:styleId="95">
    <w:name w:val="标题 7 字符"/>
    <w:link w:val="8"/>
    <w:qFormat/>
    <w:uiPriority w:val="0"/>
    <w:rPr>
      <w:rFonts w:ascii="Times New Roman" w:hAnsi="Times New Roman" w:eastAsia="宋体" w:cs="Times New Roman"/>
      <w:b/>
      <w:bCs/>
      <w:kern w:val="0"/>
      <w:sz w:val="24"/>
      <w:szCs w:val="24"/>
    </w:rPr>
  </w:style>
  <w:style w:type="paragraph" w:customStyle="1" w:styleId="96">
    <w:name w:val="样式4"/>
    <w:basedOn w:val="5"/>
    <w:qFormat/>
    <w:uiPriority w:val="0"/>
    <w:rPr>
      <w:rFonts w:eastAsia="Arial"/>
    </w:rPr>
  </w:style>
  <w:style w:type="paragraph" w:customStyle="1" w:styleId="97">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8">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9">
    <w:name w:val="font10"/>
    <w:basedOn w:val="1"/>
    <w:qFormat/>
    <w:uiPriority w:val="0"/>
    <w:pPr>
      <w:widowControl/>
      <w:spacing w:before="100" w:beforeAutospacing="1" w:after="100" w:afterAutospacing="1"/>
      <w:jc w:val="left"/>
    </w:pPr>
    <w:rPr>
      <w:kern w:val="0"/>
      <w:sz w:val="28"/>
      <w:szCs w:val="28"/>
    </w:rPr>
  </w:style>
  <w:style w:type="paragraph" w:customStyle="1" w:styleId="100">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样式1"/>
    <w:basedOn w:val="5"/>
    <w:qFormat/>
    <w:uiPriority w:val="0"/>
    <w:rPr>
      <w:rFonts w:eastAsia="Arial"/>
    </w:rPr>
  </w:style>
  <w:style w:type="paragraph" w:customStyle="1" w:styleId="103">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Char"/>
    <w:basedOn w:val="1"/>
    <w:qFormat/>
    <w:uiPriority w:val="0"/>
    <w:pPr>
      <w:tabs>
        <w:tab w:val="left" w:pos="360"/>
      </w:tabs>
    </w:pPr>
    <w:rPr>
      <w:sz w:val="24"/>
    </w:rPr>
  </w:style>
  <w:style w:type="paragraph" w:customStyle="1" w:styleId="106">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表格"/>
    <w:basedOn w:val="1"/>
    <w:qFormat/>
    <w:uiPriority w:val="0"/>
    <w:pPr>
      <w:jc w:val="center"/>
      <w:textAlignment w:val="center"/>
    </w:pPr>
    <w:rPr>
      <w:rFonts w:ascii="华文细黑" w:hAnsi="华文细黑"/>
      <w:kern w:val="0"/>
      <w:szCs w:val="20"/>
    </w:rPr>
  </w:style>
  <w:style w:type="paragraph" w:customStyle="1" w:styleId="108">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2">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列表段落1"/>
    <w:basedOn w:val="1"/>
    <w:qFormat/>
    <w:uiPriority w:val="34"/>
    <w:pPr>
      <w:ind w:firstLine="420" w:firstLineChars="200"/>
    </w:pPr>
    <w:rPr>
      <w:rFonts w:ascii="Calibri" w:hAnsi="Calibri"/>
      <w:szCs w:val="22"/>
    </w:rPr>
  </w:style>
  <w:style w:type="paragraph" w:customStyle="1" w:styleId="118">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19">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2">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3">
    <w:name w:val="1"/>
    <w:basedOn w:val="1"/>
    <w:next w:val="1"/>
    <w:qFormat/>
    <w:uiPriority w:val="0"/>
  </w:style>
  <w:style w:type="paragraph" w:customStyle="1" w:styleId="124">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规范文本"/>
    <w:basedOn w:val="20"/>
    <w:qFormat/>
    <w:uiPriority w:val="0"/>
    <w:pPr>
      <w:adjustRightInd w:val="0"/>
      <w:snapToGrid w:val="0"/>
      <w:spacing w:line="360" w:lineRule="exact"/>
      <w:ind w:firstLine="420"/>
    </w:pPr>
    <w:rPr>
      <w:rFonts w:ascii="宋体"/>
      <w:snapToGrid w:val="0"/>
      <w:szCs w:val="21"/>
    </w:rPr>
  </w:style>
  <w:style w:type="paragraph" w:customStyle="1" w:styleId="127">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28">
    <w:name w:val="节"/>
    <w:basedOn w:val="20"/>
    <w:qFormat/>
    <w:uiPriority w:val="0"/>
    <w:pPr>
      <w:adjustRightInd w:val="0"/>
      <w:snapToGrid w:val="0"/>
      <w:spacing w:before="600" w:after="600"/>
      <w:jc w:val="center"/>
      <w:outlineLvl w:val="2"/>
    </w:pPr>
    <w:rPr>
      <w:rFonts w:ascii="黑体" w:eastAsia="黑体"/>
      <w:snapToGrid w:val="0"/>
      <w:w w:val="90"/>
      <w:sz w:val="32"/>
    </w:rPr>
  </w:style>
  <w:style w:type="paragraph" w:customStyle="1" w:styleId="129">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样式3"/>
    <w:basedOn w:val="5"/>
    <w:qFormat/>
    <w:uiPriority w:val="0"/>
    <w:rPr>
      <w:rFonts w:eastAsia="Arial"/>
    </w:rPr>
  </w:style>
  <w:style w:type="paragraph" w:customStyle="1" w:styleId="131">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2">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4">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6">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39">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0">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2">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3">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4">
    <w:name w:val="第二"/>
    <w:basedOn w:val="1"/>
    <w:qFormat/>
    <w:uiPriority w:val="0"/>
    <w:pPr>
      <w:adjustRightInd w:val="0"/>
      <w:snapToGrid w:val="0"/>
      <w:spacing w:line="360" w:lineRule="auto"/>
      <w:ind w:right="-108" w:rightChars="-45" w:firstLine="482"/>
    </w:pPr>
    <w:rPr>
      <w:b/>
    </w:rPr>
  </w:style>
  <w:style w:type="paragraph" w:customStyle="1" w:styleId="145">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7">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48">
    <w:name w:val="内容"/>
    <w:basedOn w:val="1"/>
    <w:qFormat/>
    <w:uiPriority w:val="0"/>
    <w:pPr>
      <w:spacing w:line="480" w:lineRule="exact"/>
      <w:ind w:firstLine="200" w:firstLineChars="200"/>
    </w:pPr>
  </w:style>
  <w:style w:type="paragraph" w:customStyle="1" w:styleId="149">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0">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1">
    <w:name w:val="列出段落1"/>
    <w:basedOn w:val="1"/>
    <w:qFormat/>
    <w:uiPriority w:val="99"/>
    <w:pPr>
      <w:ind w:firstLine="420" w:firstLineChars="200"/>
    </w:pPr>
  </w:style>
  <w:style w:type="paragraph" w:customStyle="1" w:styleId="152">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3">
    <w:name w:val="表格文字"/>
    <w:basedOn w:val="1"/>
    <w:qFormat/>
    <w:uiPriority w:val="0"/>
    <w:pPr>
      <w:adjustRightInd w:val="0"/>
      <w:spacing w:line="420" w:lineRule="atLeast"/>
      <w:jc w:val="left"/>
      <w:textAlignment w:val="baseline"/>
    </w:pPr>
    <w:rPr>
      <w:kern w:val="0"/>
      <w:szCs w:val="20"/>
    </w:rPr>
  </w:style>
  <w:style w:type="paragraph" w:customStyle="1" w:styleId="154">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5">
    <w:name w:val="样式2"/>
    <w:basedOn w:val="5"/>
    <w:qFormat/>
    <w:uiPriority w:val="0"/>
  </w:style>
  <w:style w:type="character" w:customStyle="1" w:styleId="156">
    <w:name w:val="after"/>
    <w:basedOn w:val="42"/>
    <w:qFormat/>
    <w:uiPriority w:val="0"/>
    <w:rPr>
      <w:bdr w:val="dashed" w:color="auto" w:sz="48" w:space="0"/>
    </w:rPr>
  </w:style>
  <w:style w:type="character" w:customStyle="1" w:styleId="157">
    <w:name w:val="before"/>
    <w:basedOn w:val="42"/>
    <w:qFormat/>
    <w:uiPriority w:val="0"/>
    <w:rPr>
      <w:bdr w:val="single" w:color="auto" w:sz="48" w:space="0"/>
    </w:rPr>
  </w:style>
  <w:style w:type="character" w:customStyle="1" w:styleId="158">
    <w:name w:val="hover48"/>
    <w:basedOn w:val="42"/>
    <w:qFormat/>
    <w:uiPriority w:val="0"/>
    <w:rPr>
      <w:shd w:val="clear" w:color="auto" w:fill="346AC3"/>
    </w:rPr>
  </w:style>
  <w:style w:type="character" w:customStyle="1" w:styleId="159">
    <w:name w:val="hover49"/>
    <w:basedOn w:val="42"/>
    <w:qFormat/>
    <w:uiPriority w:val="0"/>
  </w:style>
  <w:style w:type="character" w:customStyle="1" w:styleId="160">
    <w:name w:val="hover50"/>
    <w:basedOn w:val="42"/>
    <w:qFormat/>
    <w:uiPriority w:val="0"/>
    <w:rPr>
      <w:color w:val="4285F4"/>
      <w:u w:val="none"/>
    </w:rPr>
  </w:style>
  <w:style w:type="character" w:customStyle="1" w:styleId="161">
    <w:name w:val="hover51"/>
    <w:basedOn w:val="42"/>
    <w:qFormat/>
    <w:uiPriority w:val="0"/>
    <w:rPr>
      <w:color w:val="4285F4"/>
    </w:rPr>
  </w:style>
  <w:style w:type="character" w:customStyle="1" w:styleId="162">
    <w:name w:val="hover52"/>
    <w:basedOn w:val="42"/>
    <w:qFormat/>
    <w:uiPriority w:val="0"/>
    <w:rPr>
      <w:color w:val="1A85D7"/>
    </w:rPr>
  </w:style>
  <w:style w:type="character" w:customStyle="1" w:styleId="163">
    <w:name w:val="credit"/>
    <w:basedOn w:val="42"/>
    <w:qFormat/>
    <w:uiPriority w:val="0"/>
    <w:rPr>
      <w:sz w:val="18"/>
      <w:szCs w:val="18"/>
    </w:rPr>
  </w:style>
  <w:style w:type="character" w:customStyle="1" w:styleId="164">
    <w:name w:val="first-child"/>
    <w:basedOn w:val="42"/>
    <w:qFormat/>
    <w:uiPriority w:val="0"/>
  </w:style>
  <w:style w:type="character" w:customStyle="1" w:styleId="165">
    <w:name w:val="font31"/>
    <w:basedOn w:val="42"/>
    <w:qFormat/>
    <w:uiPriority w:val="0"/>
    <w:rPr>
      <w:rFonts w:hint="default" w:ascii="Arial" w:hAnsi="Arial" w:cs="Arial"/>
      <w:color w:val="000000"/>
      <w:sz w:val="18"/>
      <w:szCs w:val="18"/>
      <w:u w:val="none"/>
    </w:rPr>
  </w:style>
  <w:style w:type="character" w:customStyle="1" w:styleId="166">
    <w:name w:val="font21"/>
    <w:basedOn w:val="42"/>
    <w:qFormat/>
    <w:uiPriority w:val="0"/>
    <w:rPr>
      <w:rFonts w:hint="eastAsia" w:ascii="宋体" w:hAnsi="宋体" w:eastAsia="宋体" w:cs="宋体"/>
      <w:color w:val="000000"/>
      <w:sz w:val="18"/>
      <w:szCs w:val="18"/>
      <w:u w:val="none"/>
    </w:rPr>
  </w:style>
  <w:style w:type="character" w:customStyle="1" w:styleId="167">
    <w:name w:val="font61"/>
    <w:basedOn w:val="42"/>
    <w:qFormat/>
    <w:uiPriority w:val="0"/>
    <w:rPr>
      <w:rFonts w:hint="eastAsia" w:ascii="smartSimSun" w:hAnsi="smartSimSun" w:eastAsia="smartSimSun" w:cs="smartSimSun"/>
      <w:color w:val="000000"/>
      <w:sz w:val="18"/>
      <w:szCs w:val="18"/>
      <w:u w:val="none"/>
    </w:rPr>
  </w:style>
  <w:style w:type="character" w:customStyle="1" w:styleId="168">
    <w:name w:val="font51"/>
    <w:basedOn w:val="42"/>
    <w:qFormat/>
    <w:uiPriority w:val="0"/>
    <w:rPr>
      <w:rFonts w:hint="eastAsia" w:ascii="smartSimSun" w:hAnsi="smartSimSun" w:eastAsia="smartSimSun" w:cs="smartSimSun"/>
      <w:color w:val="000000"/>
      <w:sz w:val="18"/>
      <w:szCs w:val="18"/>
      <w:u w:val="none"/>
    </w:rPr>
  </w:style>
  <w:style w:type="paragraph" w:customStyle="1" w:styleId="169">
    <w:name w:val="List Paragraph"/>
    <w:basedOn w:val="1"/>
    <w:qFormat/>
    <w:uiPriority w:val="1"/>
    <w:pPr>
      <w:ind w:left="1061" w:hanging="361"/>
    </w:pPr>
    <w:rPr>
      <w:rFonts w:ascii="宋体" w:hAnsi="宋体" w:eastAsia="宋体" w:cs="宋体"/>
    </w:rPr>
  </w:style>
  <w:style w:type="paragraph" w:customStyle="1" w:styleId="170">
    <w:name w:val="Table Paragraph"/>
    <w:basedOn w:val="1"/>
    <w:qFormat/>
    <w:uiPriority w:val="1"/>
    <w:pPr>
      <w:spacing w:line="292" w:lineRule="exact"/>
      <w:ind w:left="9"/>
      <w:jc w:val="center"/>
    </w:pPr>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38</Pages>
  <Words>2715</Words>
  <Characters>15481</Characters>
  <Lines>129</Lines>
  <Paragraphs>36</Paragraphs>
  <TotalTime>25</TotalTime>
  <ScaleCrop>false</ScaleCrop>
  <LinksUpToDate>false</LinksUpToDate>
  <CharactersWithSpaces>18160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2021-08-13T01:48:00Z</dcterms:created>
  <dc:creator>陈桂兰</dc:creator>
  <cp:lastModifiedBy>♂杰♂</cp:lastModifiedBy>
  <cp:lastPrinted>2021-02-25T01:25:00Z</cp:lastPrinted>
  <dcterms:modified xsi:type="dcterms:W3CDTF">2021-10-14T04:22:58Z</dcterms:modified>
  <dc:title>项目名称：2019年重庆市取消高速公路省界收费站项目</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133A976FFC0F4E458550CB5E3C732B44</vt:lpwstr>
  </property>
</Properties>
</file>