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hint="default"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sz w:val="72"/>
          <w:szCs w:val="72"/>
          <w:lang w:val="en-US" w:eastAsia="zh-CN"/>
        </w:rPr>
      </w:pPr>
      <w:r>
        <w:rPr>
          <w:rFonts w:hint="eastAsia" w:ascii="Times New Roman" w:hAnsi="Times New Roman" w:eastAsia="方正小标宋_GBK" w:cs="Times New Roman"/>
          <w:bCs/>
          <w:sz w:val="72"/>
          <w:szCs w:val="72"/>
          <w:lang w:val="zh-CN" w:eastAsia="zh-CN"/>
        </w:rPr>
        <w:t>新田港</w:t>
      </w:r>
      <w:r>
        <w:rPr>
          <w:rFonts w:hint="eastAsia" w:ascii="Times New Roman" w:hAnsi="Times New Roman" w:eastAsia="方正小标宋_GBK" w:cs="Times New Roman"/>
          <w:bCs/>
          <w:sz w:val="72"/>
          <w:szCs w:val="72"/>
          <w:lang w:val="en-US" w:eastAsia="zh-CN"/>
        </w:rPr>
        <w:t>一期运营管理研究</w:t>
      </w:r>
    </w:p>
    <w:p>
      <w:pPr>
        <w:autoSpaceDE w:val="0"/>
        <w:autoSpaceDN w:val="0"/>
        <w:adjustRightInd w:val="0"/>
        <w:spacing w:line="360" w:lineRule="auto"/>
        <w:jc w:val="center"/>
        <w:rPr>
          <w:rFonts w:hint="default" w:ascii="Times New Roman" w:hAnsi="Times New Roman" w:eastAsia="方正小标宋_GBK" w:cs="Times New Roman"/>
          <w:bCs/>
          <w:sz w:val="72"/>
          <w:szCs w:val="72"/>
          <w:lang w:eastAsia="zh-CN"/>
        </w:rPr>
      </w:pPr>
      <w:r>
        <w:rPr>
          <w:rFonts w:hint="eastAsia" w:ascii="Times New Roman" w:hAnsi="Times New Roman" w:eastAsia="方正小标宋_GBK" w:cs="Times New Roman"/>
          <w:bCs/>
          <w:sz w:val="72"/>
          <w:szCs w:val="72"/>
          <w:lang w:val="en-US" w:eastAsia="zh-CN"/>
        </w:rPr>
        <w:t>项目</w:t>
      </w:r>
      <w:r>
        <w:rPr>
          <w:rFonts w:hint="default"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hint="default" w:ascii="Times New Roman" w:hAnsi="Times New Roman" w:cs="Times New Roman" w:eastAsiaTheme="minorEastAsia"/>
          <w:sz w:val="24"/>
          <w:szCs w:val="24"/>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hint="default"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zh-CN" w:eastAsia="zh-CN"/>
              </w:rPr>
            </w:pPr>
            <w:r>
              <w:rPr>
                <w:rFonts w:hint="eastAsia" w:ascii="Times New Roman" w:hAnsi="Times New Roman" w:eastAsia="方正小标宋_GBK" w:cs="Times New Roman"/>
                <w:bCs/>
                <w:sz w:val="32"/>
                <w:szCs w:val="32"/>
                <w:lang w:val="en-US" w:eastAsia="zh-CN"/>
              </w:rPr>
              <w:t>询价</w:t>
            </w:r>
            <w:r>
              <w:rPr>
                <w:rFonts w:hint="default" w:ascii="Times New Roman" w:hAnsi="Times New Roman" w:eastAsia="方正小标宋_GBK" w:cs="Times New Roman"/>
                <w:bCs/>
                <w:sz w:val="32"/>
                <w:szCs w:val="32"/>
                <w:lang w:val="zh-CN" w:eastAsia="zh-CN"/>
              </w:rPr>
              <w:t>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sz w:val="32"/>
                <w:szCs w:val="32"/>
                <w:vertAlign w:val="baseline"/>
                <w:lang w:val="zh-CN" w:eastAsia="zh-CN"/>
              </w:rPr>
            </w:pPr>
            <w:r>
              <w:rPr>
                <w:rFonts w:hint="eastAsia" w:ascii="Times New Roman" w:hAnsi="Times New Roman" w:eastAsia="方正小标宋_GBK" w:cs="Times New Roman"/>
                <w:bCs/>
                <w:sz w:val="32"/>
                <w:szCs w:val="32"/>
                <w:lang w:val="en-US" w:eastAsia="zh-CN"/>
              </w:rPr>
              <w:t>重庆新田港口物流有限公司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sz w:val="32"/>
          <w:szCs w:val="32"/>
          <w:lang w:val="zh-CN" w:eastAsia="zh-CN"/>
        </w:rPr>
      </w:pPr>
    </w:p>
    <w:p>
      <w:pPr>
        <w:autoSpaceDE w:val="0"/>
        <w:autoSpaceDN w:val="0"/>
        <w:adjustRightInd w:val="0"/>
        <w:jc w:val="center"/>
        <w:rPr>
          <w:rFonts w:hint="default" w:ascii="Times New Roman" w:hAnsi="Times New Roman" w:eastAsia="方正小标宋_GBK" w:cs="Times New Roman"/>
          <w:bCs/>
          <w:sz w:val="32"/>
          <w:szCs w:val="32"/>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sz w:val="32"/>
          <w:szCs w:val="32"/>
          <w:lang w:val="en-US" w:eastAsia="zh-CN"/>
        </w:rPr>
        <w:t>202</w:t>
      </w:r>
      <w:r>
        <w:rPr>
          <w:rFonts w:hint="eastAsia" w:ascii="Times New Roman" w:hAnsi="Times New Roman" w:eastAsia="方正小标宋_GBK" w:cs="Times New Roman"/>
          <w:bCs/>
          <w:sz w:val="32"/>
          <w:szCs w:val="32"/>
          <w:lang w:val="en-US" w:eastAsia="zh-CN"/>
        </w:rPr>
        <w:t>2</w:t>
      </w:r>
      <w:r>
        <w:rPr>
          <w:rFonts w:hint="default"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3</w:t>
      </w:r>
      <w:r>
        <w:rPr>
          <w:rFonts w:hint="default" w:ascii="Times New Roman" w:hAnsi="Times New Roman" w:eastAsia="方正小标宋_GBK" w:cs="Times New Roman"/>
          <w:bCs/>
          <w:sz w:val="32"/>
          <w:szCs w:val="32"/>
          <w:lang w:val="zh-CN" w:eastAsia="zh-CN"/>
        </w:rPr>
        <w:t>月</w:t>
      </w:r>
    </w:p>
    <w:p>
      <w:pPr>
        <w:widowControl/>
        <w:rPr>
          <w:rFonts w:hint="default" w:ascii="Times New Roman" w:hAnsi="Times New Roman" w:eastAsia="方正小标宋_GBK" w:cs="Times New Roman"/>
          <w:bCs/>
          <w:sz w:val="44"/>
          <w:szCs w:val="44"/>
          <w:lang w:val="zh-CN" w:eastAsia="zh-CN"/>
        </w:rPr>
      </w:pPr>
      <w:bookmarkStart w:id="0" w:name="_Toc29194680"/>
      <w:bookmarkStart w:id="1" w:name="_Toc52097499"/>
    </w:p>
    <w:bookmarkEnd w:id="0"/>
    <w:bookmarkEnd w:id="1"/>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bookmarkStart w:id="2" w:name="_Toc324429696"/>
      <w:bookmarkStart w:id="3" w:name="_Toc6230453"/>
      <w:bookmarkStart w:id="4" w:name="_Toc13014"/>
      <w:bookmarkStart w:id="5" w:name="_Toc29194684"/>
      <w:bookmarkStart w:id="6" w:name="_Toc52097503"/>
      <w:bookmarkStart w:id="7" w:name="_Toc323734101"/>
      <w:r>
        <w:rPr>
          <w:rFonts w:ascii="Times New Roman" w:hAnsi="Times New Roman" w:eastAsia="方正小标宋_GBK" w:cs="Times New Roman"/>
          <w:bCs/>
          <w:sz w:val="44"/>
          <w:szCs w:val="44"/>
          <w:lang w:val="zh-CN" w:eastAsia="zh-CN"/>
        </w:rPr>
        <w:t>第一章 询价公告</w:t>
      </w:r>
    </w:p>
    <w:p>
      <w:pPr>
        <w:autoSpaceDE w:val="0"/>
        <w:autoSpaceDN w:val="0"/>
        <w:adjustRightInd w:val="0"/>
        <w:spacing w:line="510" w:lineRule="exact"/>
        <w:ind w:right="117"/>
        <w:jc w:val="center"/>
        <w:outlineLvl w:val="0"/>
        <w:rPr>
          <w:rFonts w:ascii="Times New Roman" w:hAnsi="Times New Roman" w:cs="Times New Roman" w:eastAsiaTheme="minorEastAsia"/>
          <w:b/>
          <w:bCs/>
          <w:sz w:val="30"/>
          <w:szCs w:val="30"/>
          <w:lang w:eastAsia="zh-CN"/>
        </w:rPr>
      </w:pPr>
    </w:p>
    <w:p>
      <w:pPr>
        <w:spacing w:line="510" w:lineRule="exact"/>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新田港一期运营管理研究项目</w:t>
      </w:r>
      <w:r>
        <w:rPr>
          <w:rFonts w:ascii="Times New Roman" w:hAnsi="Times New Roman" w:eastAsia="方正小标宋_GBK" w:cs="Times New Roman"/>
          <w:sz w:val="36"/>
          <w:szCs w:val="36"/>
          <w:lang w:eastAsia="zh-CN"/>
        </w:rPr>
        <w:t>询价公告</w:t>
      </w:r>
    </w:p>
    <w:p>
      <w:pPr>
        <w:spacing w:line="510" w:lineRule="exact"/>
        <w:jc w:val="center"/>
        <w:rPr>
          <w:rFonts w:ascii="Times New Roman" w:hAnsi="Times New Roman" w:cs="Times New Roman" w:eastAsiaTheme="minorEastAsia"/>
          <w:sz w:val="30"/>
          <w:szCs w:val="30"/>
          <w:lang w:eastAsia="zh-CN"/>
        </w:rPr>
      </w:pPr>
    </w:p>
    <w:p>
      <w:pPr>
        <w:pStyle w:val="4"/>
        <w:spacing w:line="540" w:lineRule="exact"/>
        <w:ind w:left="0" w:leftChars="0" w:firstLine="640" w:firstLineChars="200"/>
        <w:rPr>
          <w:rFonts w:ascii="方正仿宋_GBK" w:hAnsi="方正仿宋_GBK" w:eastAsia="方正仿宋_GBK" w:cs="方正仿宋_GBK"/>
          <w:b w:val="0"/>
          <w:lang w:eastAsia="zh-CN"/>
        </w:rPr>
      </w:pPr>
      <w:r>
        <w:rPr>
          <w:rFonts w:hint="eastAsia" w:ascii="方正仿宋_GBK" w:hAnsi="方正仿宋_GBK" w:eastAsia="方正仿宋_GBK" w:cs="方正仿宋_GBK"/>
          <w:b w:val="0"/>
          <w:lang w:eastAsia="zh-CN"/>
        </w:rPr>
        <w:t>1.询价条件</w:t>
      </w:r>
    </w:p>
    <w:p>
      <w:pPr>
        <w:spacing w:line="54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本项目新田港一期运营管理研究项目已具备发包条件，询价人为重庆新田港口物流有限公司。根据实际工作需要，现计划对该项目</w:t>
      </w:r>
      <w:r>
        <w:rPr>
          <w:rFonts w:hint="eastAsia" w:ascii="方正仿宋_GBK" w:hAnsi="方正仿宋_GBK" w:eastAsia="方正仿宋_GBK" w:cs="方正仿宋_GBK"/>
          <w:sz w:val="32"/>
          <w:szCs w:val="32"/>
          <w:lang w:eastAsia="zh-CN"/>
        </w:rPr>
        <w:t>采取公开询价方式确定服务单位</w:t>
      </w:r>
      <w:r>
        <w:rPr>
          <w:rFonts w:hint="eastAsia" w:ascii="方正仿宋_GBK" w:hAnsi="方正仿宋_GBK" w:eastAsia="方正仿宋_GBK" w:cs="方正仿宋_GBK"/>
          <w:bCs/>
          <w:sz w:val="32"/>
          <w:szCs w:val="32"/>
          <w:lang w:eastAsia="zh-CN"/>
        </w:rPr>
        <w:t>。</w:t>
      </w:r>
    </w:p>
    <w:p>
      <w:pPr>
        <w:spacing w:line="540" w:lineRule="exact"/>
        <w:jc w:val="both"/>
        <w:rPr>
          <w:rFonts w:ascii="方正仿宋_GBK" w:hAnsi="方正仿宋_GBK" w:eastAsia="方正仿宋_GBK" w:cs="方正仿宋_GBK"/>
          <w:bCs/>
          <w:sz w:val="32"/>
          <w:szCs w:val="32"/>
          <w:lang w:eastAsia="zh-CN"/>
        </w:rPr>
      </w:pPr>
    </w:p>
    <w:p>
      <w:pPr>
        <w:pStyle w:val="4"/>
        <w:spacing w:line="540" w:lineRule="exact"/>
        <w:ind w:left="0" w:leftChars="0" w:firstLine="640" w:firstLineChars="200"/>
        <w:rPr>
          <w:rFonts w:ascii="方正仿宋_GBK" w:hAnsi="方正仿宋_GBK" w:eastAsia="方正仿宋_GBK" w:cs="方正仿宋_GBK"/>
          <w:lang w:eastAsia="zh-CN"/>
        </w:rPr>
      </w:pPr>
      <w:bookmarkStart w:id="8" w:name="_Toc29194682"/>
      <w:bookmarkStart w:id="9" w:name="_Toc6230451"/>
      <w:bookmarkStart w:id="10" w:name="_Toc52097501"/>
      <w:r>
        <w:rPr>
          <w:rFonts w:hint="eastAsia" w:ascii="方正仿宋_GBK" w:hAnsi="方正仿宋_GBK" w:eastAsia="方正仿宋_GBK" w:cs="方正仿宋_GBK"/>
          <w:b w:val="0"/>
          <w:lang w:eastAsia="zh-CN"/>
        </w:rPr>
        <w:t>2.项目概况与询价工作范围</w:t>
      </w:r>
      <w:bookmarkEnd w:id="8"/>
      <w:bookmarkEnd w:id="9"/>
      <w:bookmarkEnd w:id="10"/>
      <w:bookmarkStart w:id="11" w:name="_Toc323734100"/>
      <w:bookmarkStart w:id="12" w:name="_Toc324429695"/>
      <w:bookmarkStart w:id="13" w:name="_Toc21092"/>
      <w:r>
        <w:rPr>
          <w:rFonts w:hint="eastAsia" w:ascii="方正仿宋_GBK" w:hAnsi="方正仿宋_GBK" w:eastAsia="方正仿宋_GBK" w:cs="方正仿宋_GBK"/>
          <w:lang w:eastAsia="zh-CN"/>
        </w:rPr>
        <w:t xml:space="preserve">                            </w:t>
      </w:r>
    </w:p>
    <w:p>
      <w:pPr>
        <w:spacing w:line="54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2.1项目概况</w:t>
      </w:r>
    </w:p>
    <w:p>
      <w:pPr>
        <w:spacing w:line="540" w:lineRule="exact"/>
        <w:ind w:firstLine="643" w:firstLineChars="200"/>
        <w:jc w:val="both"/>
        <w:rPr>
          <w:rFonts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b/>
          <w:bCs/>
          <w:sz w:val="32"/>
          <w:szCs w:val="32"/>
          <w:lang w:eastAsia="zh-CN"/>
        </w:rPr>
        <w:t>2.</w:t>
      </w: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lang w:eastAsia="zh-CN"/>
        </w:rPr>
        <w:t>.1新田港一期规划建设情况。</w:t>
      </w:r>
      <w:r>
        <w:rPr>
          <w:rFonts w:hint="eastAsia" w:ascii="方正仿宋_GBK" w:hAnsi="方正仿宋_GBK" w:eastAsia="方正仿宋_GBK" w:cs="方正仿宋_GBK"/>
          <w:sz w:val="32"/>
          <w:szCs w:val="32"/>
          <w:lang w:eastAsia="zh-CN"/>
        </w:rPr>
        <w:t>新田港按照“前港后园”规划布置，位于重庆市万州区新田镇，一期项目业主重庆新田港口物流有限公司，由5个5000吨级多用途泊位，设计年吞吐量625万吨，2012年5月开工建设，2020年底竣工验收，已投产运营。</w:t>
      </w:r>
    </w:p>
    <w:p>
      <w:pPr>
        <w:pStyle w:val="39"/>
        <w:spacing w:before="0" w:beforeAutospacing="0" w:after="0" w:afterAutospacing="0" w:line="540" w:lineRule="exact"/>
        <w:ind w:firstLine="643" w:firstLineChars="200"/>
        <w:jc w:val="both"/>
        <w:rPr>
          <w:rFonts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rPr>
        <w:t>.2新田港铁路集疏运条件即将具备。</w:t>
      </w:r>
    </w:p>
    <w:p>
      <w:pPr>
        <w:pStyle w:val="39"/>
        <w:spacing w:before="0" w:beforeAutospacing="0" w:after="0" w:afterAutospacing="0" w:line="540" w:lineRule="exact"/>
        <w:ind w:firstLine="643"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sz w:val="32"/>
          <w:szCs w:val="32"/>
        </w:rPr>
        <w:t>铁路：</w:t>
      </w:r>
      <w:r>
        <w:rPr>
          <w:rFonts w:hint="eastAsia" w:ascii="方正仿宋_GBK" w:hAnsi="方正仿宋_GBK" w:eastAsia="方正仿宋_GBK" w:cs="方正仿宋_GBK"/>
          <w:sz w:val="32"/>
          <w:szCs w:val="32"/>
        </w:rPr>
        <w:t>宜万铁路万州新田港铁路集疏运中心工程（以下简称新田港铁路专用线）项目业主重庆铁路投资集团有限公司，起于宜万铁路桥头线路所，止于新田港区，正线为国铁Ⅱ级，单线铁路，电力牵引，全长约16.26公里，初、近、远期预测货运量分别为882万吨、1094万吨、1436万吨，概算总投资约21.03亿元，全额资本金，可研批复明确航发集团为重庆市出资人代表，后调整为重庆铁路投资集团有限公司</w:t>
      </w:r>
      <w:r>
        <w:rPr>
          <w:rFonts w:hint="eastAsia" w:ascii="方正仿宋_GBK" w:hAnsi="方正仿宋_GBK" w:eastAsia="方正仿宋_GBK" w:cs="方正仿宋_GBK"/>
          <w:color w:val="auto"/>
          <w:sz w:val="32"/>
          <w:szCs w:val="32"/>
        </w:rPr>
        <w:t>（以下简称重铁集团）。目前荆竹园隧道等控制性工程顺利贯通，全线拟于2022年底建成通车，将进一步扩大新田港腹地范围。</w:t>
      </w:r>
    </w:p>
    <w:p>
      <w:pPr>
        <w:pStyle w:val="39"/>
        <w:spacing w:before="0" w:beforeAutospacing="0" w:after="0" w:afterAutospacing="0" w:line="540" w:lineRule="exact"/>
        <w:ind w:firstLine="643"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rPr>
        <w:t>公路：</w:t>
      </w:r>
      <w:r>
        <w:rPr>
          <w:rFonts w:hint="eastAsia" w:ascii="方正仿宋_GBK" w:hAnsi="方正仿宋_GBK" w:eastAsia="方正仿宋_GBK" w:cs="方正仿宋_GBK"/>
          <w:color w:val="auto"/>
          <w:sz w:val="32"/>
          <w:szCs w:val="32"/>
        </w:rPr>
        <w:t>目前已有一条市政进港大道将港口与银白高速联通辐射周边地区。同时，万州绕城高速将于2022年底通过新田港互通直接进入港区并对接沿江、渝宜、万达等高速辐射周边地区和省份。</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2.2本次询价项目最高限价金额：</w:t>
      </w:r>
      <w:r>
        <w:rPr>
          <w:rFonts w:hint="eastAsia" w:ascii="方正仿宋_GBK" w:hAnsi="方正仿宋_GBK" w:eastAsia="方正仿宋_GBK" w:cs="方正仿宋_GBK"/>
          <w:bCs/>
          <w:color w:val="auto"/>
          <w:sz w:val="32"/>
          <w:szCs w:val="32"/>
          <w:u w:val="single"/>
          <w:lang w:val="en-US" w:eastAsia="zh-CN"/>
        </w:rPr>
        <w:t>80万</w:t>
      </w:r>
      <w:r>
        <w:rPr>
          <w:rFonts w:hint="eastAsia" w:ascii="方正仿宋_GBK" w:hAnsi="方正仿宋_GBK" w:eastAsia="方正仿宋_GBK" w:cs="方正仿宋_GBK"/>
          <w:bCs/>
          <w:color w:val="auto"/>
          <w:sz w:val="32"/>
          <w:szCs w:val="32"/>
          <w:u w:val="single"/>
          <w:lang w:eastAsia="zh-CN"/>
        </w:rPr>
        <w:t>元</w:t>
      </w:r>
      <w:r>
        <w:rPr>
          <w:rFonts w:hint="eastAsia" w:ascii="方正仿宋_GBK" w:hAnsi="方正仿宋_GBK" w:eastAsia="方正仿宋_GBK" w:cs="方正仿宋_GBK"/>
          <w:bCs/>
          <w:color w:val="auto"/>
          <w:sz w:val="32"/>
          <w:szCs w:val="32"/>
          <w:lang w:eastAsia="zh-CN"/>
        </w:rPr>
        <w:t>。</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2.3询价范围：</w:t>
      </w:r>
    </w:p>
    <w:p>
      <w:pPr>
        <w:spacing w:after="0" w:line="540" w:lineRule="exact"/>
        <w:ind w:firstLine="643"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kern w:val="0"/>
          <w:sz w:val="32"/>
          <w:szCs w:val="32"/>
        </w:rPr>
        <w:t>项目研究内容</w:t>
      </w:r>
    </w:p>
    <w:p>
      <w:pPr>
        <w:spacing w:line="540" w:lineRule="exact"/>
        <w:ind w:left="30" w:firstLine="482" w:firstLineChars="150"/>
        <w:rPr>
          <w:rFonts w:ascii="方正仿宋_GBK" w:hAnsi="方正仿宋_GBK" w:eastAsia="方正仿宋_GBK" w:cs="方正仿宋_GBK"/>
          <w:b/>
          <w:color w:val="auto"/>
          <w:sz w:val="32"/>
          <w:szCs w:val="32"/>
          <w:lang w:eastAsia="zh-CN"/>
        </w:rPr>
      </w:pPr>
      <w:r>
        <w:rPr>
          <w:rFonts w:hint="eastAsia" w:ascii="方正仿宋_GBK" w:hAnsi="方正仿宋_GBK" w:eastAsia="方正仿宋_GBK" w:cs="方正仿宋_GBK"/>
          <w:b/>
          <w:color w:val="auto"/>
          <w:sz w:val="32"/>
          <w:szCs w:val="32"/>
          <w:lang w:eastAsia="zh-CN"/>
        </w:rPr>
        <w:t>（一）发展现状评估</w:t>
      </w:r>
    </w:p>
    <w:p>
      <w:pPr>
        <w:spacing w:line="540" w:lineRule="exact"/>
        <w:ind w:firstLine="640" w:firstLineChars="200"/>
        <w:rPr>
          <w:rFonts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主要内容：站在支撑成渝双城经济圈发展的视角，系统分析新田港建设发展的现状、优势及存在的问题，重点分析重点货类、业务结构、市场分布、区位优势以及在支撑成渝双城经济圈发展中的作用，系统评价新田港的业务、管理、市场发展水平和能力。</w:t>
      </w:r>
    </w:p>
    <w:p>
      <w:pPr>
        <w:spacing w:line="540" w:lineRule="exact"/>
        <w:ind w:left="30" w:firstLine="643" w:firstLineChars="200"/>
        <w:rPr>
          <w:rFonts w:ascii="方正仿宋_GBK" w:hAnsi="方正仿宋_GBK" w:eastAsia="方正仿宋_GBK" w:cs="方正仿宋_GBK"/>
          <w:b/>
          <w:color w:val="auto"/>
          <w:sz w:val="32"/>
          <w:szCs w:val="32"/>
          <w:lang w:eastAsia="zh-CN"/>
        </w:rPr>
      </w:pPr>
      <w:r>
        <w:rPr>
          <w:rFonts w:hint="eastAsia" w:ascii="方正仿宋_GBK" w:hAnsi="方正仿宋_GBK" w:eastAsia="方正仿宋_GBK" w:cs="方正仿宋_GBK"/>
          <w:b/>
          <w:color w:val="auto"/>
          <w:sz w:val="32"/>
          <w:szCs w:val="32"/>
          <w:lang w:eastAsia="zh-CN"/>
        </w:rPr>
        <w:t>（二）发展环境分析</w:t>
      </w:r>
    </w:p>
    <w:p>
      <w:pPr>
        <w:spacing w:line="540" w:lineRule="exact"/>
        <w:ind w:firstLine="640" w:firstLineChars="200"/>
        <w:rPr>
          <w:rFonts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主要内容：系统分析构建新发展格局、西部陆海新通道、成渝双城经济圈、重庆自由贸易区（新田片区）建设的重大机遇对新田港带来的影响，结合集团企业内部环境、港口企业间竞争以及集团公司未来发展，系统分析新田港建设发展过程中的利益相关者在港口未来发展中的作用及诉求，为后续的竞合策略分析奠定基础。</w:t>
      </w:r>
    </w:p>
    <w:p>
      <w:pPr>
        <w:numPr>
          <w:ilvl w:val="0"/>
          <w:numId w:val="0"/>
        </w:numPr>
        <w:spacing w:line="540" w:lineRule="exact"/>
        <w:ind w:left="630" w:leftChars="0"/>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lang w:eastAsia="zh-CN"/>
        </w:rPr>
        <w:t>（</w:t>
      </w:r>
      <w:r>
        <w:rPr>
          <w:rFonts w:hint="eastAsia" w:ascii="方正仿宋_GBK" w:hAnsi="方正仿宋_GBK" w:eastAsia="方正仿宋_GBK" w:cs="方正仿宋_GBK"/>
          <w:b/>
          <w:color w:val="auto"/>
          <w:sz w:val="32"/>
          <w:szCs w:val="32"/>
          <w:lang w:val="en-US" w:eastAsia="zh-CN"/>
        </w:rPr>
        <w:t>三</w:t>
      </w:r>
      <w:r>
        <w:rPr>
          <w:rFonts w:hint="eastAsia" w:ascii="方正仿宋_GBK" w:hAnsi="方正仿宋_GBK" w:eastAsia="方正仿宋_GBK" w:cs="方正仿宋_GBK"/>
          <w:b/>
          <w:color w:val="auto"/>
          <w:sz w:val="32"/>
          <w:szCs w:val="32"/>
          <w:lang w:eastAsia="zh-CN"/>
        </w:rPr>
        <w:t>）</w:t>
      </w:r>
      <w:r>
        <w:rPr>
          <w:rFonts w:hint="eastAsia" w:ascii="方正仿宋_GBK" w:hAnsi="方正仿宋_GBK" w:eastAsia="方正仿宋_GBK" w:cs="方正仿宋_GBK"/>
          <w:b/>
          <w:color w:val="auto"/>
          <w:sz w:val="32"/>
          <w:szCs w:val="32"/>
        </w:rPr>
        <w:t>市场需求分析</w:t>
      </w:r>
    </w:p>
    <w:p>
      <w:pPr>
        <w:spacing w:line="540" w:lineRule="exact"/>
        <w:ind w:firstLine="640" w:firstLineChars="200"/>
        <w:rPr>
          <w:rFonts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主要内容：以港口供应链的视角，深入分析新田港腹地（包括万州区域、渝东北、川东北以及西部地区）的经济产业发展情况，对新田港的货源进行分析，并结合未来的发展趋势，重点分析港口发展的货类，并分析其市场规模。</w:t>
      </w:r>
    </w:p>
    <w:p>
      <w:pPr>
        <w:numPr>
          <w:ilvl w:val="0"/>
          <w:numId w:val="0"/>
        </w:numPr>
        <w:spacing w:line="540" w:lineRule="exact"/>
        <w:ind w:left="630" w:leftChars="0"/>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lang w:eastAsia="zh-CN"/>
        </w:rPr>
        <w:t>（</w:t>
      </w:r>
      <w:r>
        <w:rPr>
          <w:rFonts w:hint="eastAsia" w:ascii="方正仿宋_GBK" w:hAnsi="方正仿宋_GBK" w:eastAsia="方正仿宋_GBK" w:cs="方正仿宋_GBK"/>
          <w:b/>
          <w:color w:val="auto"/>
          <w:sz w:val="32"/>
          <w:szCs w:val="32"/>
          <w:lang w:val="en-US" w:eastAsia="zh-CN"/>
        </w:rPr>
        <w:t>四</w:t>
      </w:r>
      <w:r>
        <w:rPr>
          <w:rFonts w:hint="eastAsia" w:ascii="方正仿宋_GBK" w:hAnsi="方正仿宋_GBK" w:eastAsia="方正仿宋_GBK" w:cs="方正仿宋_GBK"/>
          <w:b/>
          <w:color w:val="auto"/>
          <w:sz w:val="32"/>
          <w:szCs w:val="32"/>
          <w:lang w:eastAsia="zh-CN"/>
        </w:rPr>
        <w:t>）</w:t>
      </w:r>
      <w:r>
        <w:rPr>
          <w:rFonts w:hint="eastAsia" w:ascii="方正仿宋_GBK" w:hAnsi="方正仿宋_GBK" w:eastAsia="方正仿宋_GBK" w:cs="方正仿宋_GBK"/>
          <w:b/>
          <w:color w:val="auto"/>
          <w:sz w:val="32"/>
          <w:szCs w:val="32"/>
        </w:rPr>
        <w:t>发展需求与定位</w:t>
      </w:r>
    </w:p>
    <w:p>
      <w:pPr>
        <w:spacing w:line="540" w:lineRule="exact"/>
        <w:ind w:firstLine="640" w:firstLineChars="200"/>
        <w:rPr>
          <w:rFonts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主要内容：站在重庆市建设长江上游航运中心的视角，从战略地位、运营组织、经营策略等角度分析航发集团的发展需求及定位，并结合环境、需求提出新田港的发展使命、战略定位、重点发展领域、业务方向，明确发展目标。</w:t>
      </w:r>
    </w:p>
    <w:p>
      <w:pPr>
        <w:numPr>
          <w:ilvl w:val="0"/>
          <w:numId w:val="0"/>
        </w:numPr>
        <w:spacing w:line="540" w:lineRule="exact"/>
        <w:ind w:left="630" w:leftChars="0"/>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lang w:eastAsia="zh-CN"/>
        </w:rPr>
        <w:t>（</w:t>
      </w:r>
      <w:r>
        <w:rPr>
          <w:rFonts w:hint="eastAsia" w:ascii="方正仿宋_GBK" w:hAnsi="方正仿宋_GBK" w:eastAsia="方正仿宋_GBK" w:cs="方正仿宋_GBK"/>
          <w:b/>
          <w:color w:val="auto"/>
          <w:sz w:val="32"/>
          <w:szCs w:val="32"/>
          <w:lang w:val="en-US" w:eastAsia="zh-CN"/>
        </w:rPr>
        <w:t>五</w:t>
      </w:r>
      <w:r>
        <w:rPr>
          <w:rFonts w:hint="eastAsia" w:ascii="方正仿宋_GBK" w:hAnsi="方正仿宋_GBK" w:eastAsia="方正仿宋_GBK" w:cs="方正仿宋_GBK"/>
          <w:b/>
          <w:color w:val="auto"/>
          <w:sz w:val="32"/>
          <w:szCs w:val="32"/>
          <w:lang w:eastAsia="zh-CN"/>
        </w:rPr>
        <w:t>）</w:t>
      </w:r>
      <w:r>
        <w:rPr>
          <w:rFonts w:hint="eastAsia" w:ascii="方正仿宋_GBK" w:hAnsi="方正仿宋_GBK" w:eastAsia="方正仿宋_GBK" w:cs="方正仿宋_GBK"/>
          <w:b/>
          <w:color w:val="auto"/>
          <w:sz w:val="32"/>
          <w:szCs w:val="32"/>
        </w:rPr>
        <w:t>重点货类及业务发展</w:t>
      </w:r>
    </w:p>
    <w:p>
      <w:pPr>
        <w:spacing w:line="540" w:lineRule="exact"/>
        <w:ind w:firstLine="640" w:firstLineChars="200"/>
        <w:rPr>
          <w:rFonts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主要内容：结合新发展格局、自由贸易区、中欧班列、西部陆海新通道、多式联运等对港口业务发展的需求及影响，提出未来港口作业的重点货类、市场方向、企业功能设置及未来发展策略。同时，从供应链竞争的视角分析和长江干线其他港口以及沿海港口的合作可行性。</w:t>
      </w:r>
    </w:p>
    <w:p>
      <w:pPr>
        <w:numPr>
          <w:ilvl w:val="0"/>
          <w:numId w:val="0"/>
        </w:numPr>
        <w:spacing w:line="540" w:lineRule="exact"/>
        <w:ind w:firstLine="643" w:firstLineChars="200"/>
        <w:rPr>
          <w:rFonts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lang w:eastAsia="zh-CN"/>
        </w:rPr>
        <w:t>（</w:t>
      </w:r>
      <w:r>
        <w:rPr>
          <w:rFonts w:hint="eastAsia" w:ascii="方正仿宋_GBK" w:hAnsi="方正仿宋_GBK" w:eastAsia="方正仿宋_GBK" w:cs="方正仿宋_GBK"/>
          <w:b/>
          <w:color w:val="auto"/>
          <w:sz w:val="32"/>
          <w:szCs w:val="32"/>
          <w:lang w:val="en-US" w:eastAsia="zh-CN"/>
        </w:rPr>
        <w:t>六</w:t>
      </w:r>
      <w:r>
        <w:rPr>
          <w:rFonts w:hint="eastAsia" w:ascii="方正仿宋_GBK" w:hAnsi="方正仿宋_GBK" w:eastAsia="方正仿宋_GBK" w:cs="方正仿宋_GBK"/>
          <w:b/>
          <w:color w:val="auto"/>
          <w:sz w:val="32"/>
          <w:szCs w:val="32"/>
          <w:lang w:eastAsia="zh-CN"/>
        </w:rPr>
        <w:t>）</w:t>
      </w:r>
      <w:r>
        <w:rPr>
          <w:rFonts w:hint="eastAsia" w:ascii="方正仿宋_GBK" w:hAnsi="方正仿宋_GBK" w:eastAsia="方正仿宋_GBK" w:cs="方正仿宋_GBK"/>
          <w:b/>
          <w:color w:val="auto"/>
          <w:sz w:val="32"/>
          <w:szCs w:val="32"/>
        </w:rPr>
        <w:t>多元化经营策略研究</w:t>
      </w:r>
    </w:p>
    <w:p>
      <w:pPr>
        <w:spacing w:line="540" w:lineRule="exact"/>
        <w:ind w:firstLine="640" w:firstLineChars="200"/>
        <w:rPr>
          <w:rFonts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主要内容：系统分析目前企业在组织架构及管理模式，对标同类企业和行业领先企业的组织运作模式，在核心业务研究的基础上，提出企业的运营管理方案，包括内部组织架构及对外合作模式，确定合作构架，并提出一体化经验模式、与其他港口合作模式等重点任务，从而实现业务运营与职能管理的有机配合和互相支撑。</w:t>
      </w:r>
    </w:p>
    <w:p>
      <w:pPr>
        <w:spacing w:line="540" w:lineRule="exact"/>
        <w:ind w:firstLine="643" w:firstLineChars="200"/>
        <w:rPr>
          <w:rFonts w:ascii="方正仿宋_GBK" w:hAnsi="方正仿宋_GBK" w:eastAsia="方正仿宋_GBK" w:cs="方正仿宋_GBK"/>
          <w:b/>
          <w:color w:val="auto"/>
          <w:sz w:val="32"/>
          <w:szCs w:val="32"/>
          <w:lang w:eastAsia="zh-CN"/>
        </w:rPr>
      </w:pPr>
      <w:r>
        <w:rPr>
          <w:rFonts w:hint="eastAsia" w:ascii="方正仿宋_GBK" w:hAnsi="方正仿宋_GBK" w:eastAsia="方正仿宋_GBK" w:cs="方正仿宋_GBK"/>
          <w:b/>
          <w:color w:val="auto"/>
          <w:sz w:val="32"/>
          <w:szCs w:val="32"/>
          <w:lang w:eastAsia="zh-CN"/>
        </w:rPr>
        <w:t>（</w:t>
      </w:r>
      <w:r>
        <w:rPr>
          <w:rFonts w:hint="eastAsia" w:ascii="方正仿宋_GBK" w:hAnsi="方正仿宋_GBK" w:eastAsia="方正仿宋_GBK" w:cs="方正仿宋_GBK"/>
          <w:b/>
          <w:color w:val="auto"/>
          <w:sz w:val="32"/>
          <w:szCs w:val="32"/>
          <w:lang w:val="en-US" w:eastAsia="zh-CN"/>
        </w:rPr>
        <w:t>七</w:t>
      </w:r>
      <w:r>
        <w:rPr>
          <w:rFonts w:hint="eastAsia" w:ascii="方正仿宋_GBK" w:hAnsi="方正仿宋_GBK" w:eastAsia="方正仿宋_GBK" w:cs="方正仿宋_GBK"/>
          <w:b/>
          <w:color w:val="auto"/>
          <w:sz w:val="32"/>
          <w:szCs w:val="32"/>
          <w:lang w:eastAsia="zh-CN"/>
        </w:rPr>
        <w:t>）保障体系</w:t>
      </w:r>
    </w:p>
    <w:p>
      <w:pPr>
        <w:spacing w:line="540" w:lineRule="exact"/>
        <w:ind w:firstLine="640" w:firstLineChars="200"/>
        <w:rPr>
          <w:rFonts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主要内容：结合企业发展存在问题与环境影响，依据航发集团战略定位与发展目标，围绕企业发展的重点领域业务，针对规划实施和推进中可能遇到的困难，提出保障规划落地的相关保障措施。</w:t>
      </w:r>
      <w:r>
        <w:rPr>
          <w:rFonts w:hint="eastAsia" w:ascii="方正仿宋_GBK" w:hAnsi="方正仿宋_GBK" w:eastAsia="方正仿宋_GBK" w:cs="方正仿宋_GBK"/>
          <w:color w:val="auto"/>
          <w:sz w:val="32"/>
          <w:szCs w:val="32"/>
          <w:lang w:val="en-US" w:eastAsia="zh-CN"/>
        </w:rPr>
        <w:t>包括但不限于铁路专线运营组织方案、新田港对外合作方案、新田港产城融合发展等专题研究。</w:t>
      </w:r>
    </w:p>
    <w:p>
      <w:pPr>
        <w:spacing w:line="540" w:lineRule="exact"/>
        <w:ind w:firstLine="640" w:firstLineChars="200"/>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2.4工期(交货期/服务期）：</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2022年</w:t>
      </w:r>
      <w:r>
        <w:rPr>
          <w:rFonts w:hint="eastAsia" w:ascii="方正仿宋_GBK" w:hAnsi="方正仿宋_GBK" w:eastAsia="方正仿宋_GBK" w:cs="方正仿宋_GBK"/>
          <w:bCs/>
          <w:color w:val="auto"/>
          <w:sz w:val="32"/>
          <w:szCs w:val="32"/>
          <w:lang w:val="en-US" w:eastAsia="zh-CN"/>
        </w:rPr>
        <w:t>5</w:t>
      </w:r>
      <w:r>
        <w:rPr>
          <w:rFonts w:hint="eastAsia" w:ascii="方正仿宋_GBK" w:hAnsi="方正仿宋_GBK" w:eastAsia="方正仿宋_GBK" w:cs="方正仿宋_GBK"/>
          <w:bCs/>
          <w:color w:val="auto"/>
          <w:sz w:val="32"/>
          <w:szCs w:val="32"/>
          <w:lang w:eastAsia="zh-CN"/>
        </w:rPr>
        <w:t>月底前提交初稿；初稿提交后30日内组织验收评审会，投标人根据评审会意见进行修改；2022年</w:t>
      </w:r>
      <w:r>
        <w:rPr>
          <w:rFonts w:hint="eastAsia" w:ascii="方正仿宋_GBK" w:hAnsi="方正仿宋_GBK" w:eastAsia="方正仿宋_GBK" w:cs="方正仿宋_GBK"/>
          <w:bCs/>
          <w:color w:val="auto"/>
          <w:sz w:val="32"/>
          <w:szCs w:val="32"/>
          <w:lang w:val="en-US" w:eastAsia="zh-CN"/>
        </w:rPr>
        <w:t>8</w:t>
      </w:r>
      <w:r>
        <w:rPr>
          <w:rFonts w:hint="eastAsia" w:ascii="方正仿宋_GBK" w:hAnsi="方正仿宋_GBK" w:eastAsia="方正仿宋_GBK" w:cs="方正仿宋_GBK"/>
          <w:bCs/>
          <w:color w:val="auto"/>
          <w:sz w:val="32"/>
          <w:szCs w:val="32"/>
          <w:lang w:eastAsia="zh-CN"/>
        </w:rPr>
        <w:t>月底前完成终稿编写。</w:t>
      </w:r>
    </w:p>
    <w:p>
      <w:pPr>
        <w:pStyle w:val="4"/>
        <w:spacing w:line="540" w:lineRule="exact"/>
        <w:ind w:left="0" w:leftChars="0" w:firstLine="640" w:firstLineChars="200"/>
        <w:rPr>
          <w:rFonts w:ascii="方正仿宋_GBK" w:hAnsi="方正仿宋_GBK" w:eastAsia="方正仿宋_GBK" w:cs="方正仿宋_GBK"/>
          <w:b w:val="0"/>
          <w:color w:val="auto"/>
          <w:lang w:eastAsia="zh-CN"/>
        </w:rPr>
      </w:pPr>
      <w:bookmarkStart w:id="14" w:name="_Toc52097502"/>
      <w:bookmarkStart w:id="15" w:name="_Toc6230452"/>
      <w:bookmarkStart w:id="16" w:name="_Toc29194683"/>
      <w:r>
        <w:rPr>
          <w:rFonts w:hint="eastAsia" w:ascii="方正仿宋_GBK" w:hAnsi="方正仿宋_GBK" w:eastAsia="方正仿宋_GBK" w:cs="方正仿宋_GBK"/>
          <w:b w:val="0"/>
          <w:color w:val="auto"/>
          <w:lang w:eastAsia="zh-CN"/>
        </w:rPr>
        <w:t>3.报价人资格要求</w:t>
      </w:r>
      <w:bookmarkEnd w:id="11"/>
      <w:bookmarkEnd w:id="12"/>
      <w:bookmarkEnd w:id="13"/>
      <w:bookmarkEnd w:id="14"/>
      <w:bookmarkEnd w:id="15"/>
      <w:bookmarkEnd w:id="16"/>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3.1本次询价实行资格后审，报价人应同时满足下列资格条件：</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（1）报价人为中国境内注册的独立法人企业。</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（2）报价人具有以下全部资质：</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①具有有效营业执照、税务登记证、组织机构代码证的单位，多证合一的需备注；</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②具有工程咨询单位资信证书；且业务范围涵盖交通运输、水运等内容。</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（3）报价人自2017年1月1日至报价截止日（以合同签订时间为准），至少具有1个港航物流、物流发展规划的相关业绩。</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3.2报价人没有被列入重庆高速公路集团有限公司黑名单。</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3.3本项目不接受联合体询价。</w:t>
      </w:r>
    </w:p>
    <w:p>
      <w:pPr>
        <w:pStyle w:val="2"/>
        <w:spacing w:after="0" w:line="540" w:lineRule="exact"/>
        <w:ind w:firstLine="0" w:firstLineChars="0"/>
        <w:rPr>
          <w:rFonts w:ascii="方正仿宋_GBK" w:hAnsi="方正仿宋_GBK" w:eastAsia="方正仿宋_GBK" w:cs="方正仿宋_GBK"/>
          <w:bCs/>
          <w:color w:val="auto"/>
          <w:kern w:val="0"/>
          <w:sz w:val="32"/>
          <w:szCs w:val="32"/>
        </w:rPr>
      </w:pPr>
    </w:p>
    <w:p>
      <w:pPr>
        <w:pStyle w:val="2"/>
        <w:spacing w:after="0" w:line="540" w:lineRule="exact"/>
        <w:ind w:firstLine="640" w:firstLineChars="200"/>
        <w:rPr>
          <w:rFonts w:ascii="方正仿宋_GBK" w:hAnsi="方正仿宋_GBK" w:eastAsia="方正仿宋_GBK" w:cs="方正仿宋_GBK"/>
          <w:bCs/>
          <w:color w:val="auto"/>
          <w:kern w:val="0"/>
          <w:sz w:val="32"/>
          <w:szCs w:val="32"/>
        </w:rPr>
      </w:pPr>
      <w:r>
        <w:rPr>
          <w:rFonts w:hint="eastAsia" w:ascii="方正仿宋_GBK" w:hAnsi="方正仿宋_GBK" w:eastAsia="方正仿宋_GBK" w:cs="方正仿宋_GBK"/>
          <w:bCs/>
          <w:color w:val="auto"/>
          <w:kern w:val="0"/>
          <w:sz w:val="32"/>
          <w:szCs w:val="32"/>
        </w:rPr>
        <w:t>4.合同支付方式</w:t>
      </w:r>
    </w:p>
    <w:p>
      <w:pPr>
        <w:spacing w:line="540" w:lineRule="exact"/>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 xml:space="preserve">    第一次付款：合同签订后支付合同总价的20%；</w:t>
      </w:r>
    </w:p>
    <w:p>
      <w:pPr>
        <w:pStyle w:val="2"/>
        <w:spacing w:after="0" w:line="540" w:lineRule="exact"/>
        <w:ind w:firstLine="32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sz w:val="32"/>
          <w:szCs w:val="32"/>
        </w:rPr>
        <w:t xml:space="preserve">  第二次付款：</w:t>
      </w:r>
      <w:r>
        <w:rPr>
          <w:rFonts w:hint="eastAsia" w:ascii="方正仿宋_GBK" w:hAnsi="方正仿宋_GBK" w:eastAsia="方正仿宋_GBK" w:cs="方正仿宋_GBK"/>
          <w:color w:val="auto"/>
          <w:sz w:val="32"/>
          <w:szCs w:val="32"/>
        </w:rPr>
        <w:t>完成项目验收，提交经验收合格的《新田港铁路专用线运行组织方案设计》（终稿），支付合同总价的77%；</w:t>
      </w:r>
    </w:p>
    <w:p>
      <w:pPr>
        <w:pStyle w:val="2"/>
        <w:spacing w:after="0" w:line="540" w:lineRule="exact"/>
        <w:ind w:firstLine="32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第三次付款：配合运行组织方案的落实实施，成果出具满一年，支付合同总价的3%。</w:t>
      </w:r>
    </w:p>
    <w:p>
      <w:pPr>
        <w:pStyle w:val="4"/>
        <w:spacing w:line="540" w:lineRule="exact"/>
        <w:ind w:left="0" w:leftChars="0" w:firstLine="640" w:firstLineChars="200"/>
        <w:rPr>
          <w:rFonts w:ascii="方正仿宋_GBK" w:hAnsi="方正仿宋_GBK" w:eastAsia="方正仿宋_GBK" w:cs="方正仿宋_GBK"/>
          <w:b w:val="0"/>
          <w:color w:val="auto"/>
          <w:lang w:eastAsia="zh-CN"/>
        </w:rPr>
      </w:pPr>
      <w:r>
        <w:rPr>
          <w:rFonts w:hint="eastAsia" w:ascii="方正仿宋_GBK" w:hAnsi="方正仿宋_GBK" w:eastAsia="方正仿宋_GBK" w:cs="方正仿宋_GBK"/>
          <w:b w:val="0"/>
          <w:color w:val="auto"/>
          <w:lang w:eastAsia="zh-CN"/>
        </w:rPr>
        <w:t>5. 报价文件的递交</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5.1报价文件递交地点：</w:t>
      </w:r>
      <w:r>
        <w:rPr>
          <w:rFonts w:hint="eastAsia" w:ascii="方正仿宋_GBK" w:hAnsi="方正仿宋_GBK" w:eastAsia="方正仿宋_GBK" w:cs="方正仿宋_GBK"/>
          <w:bCs/>
          <w:color w:val="auto"/>
          <w:sz w:val="32"/>
          <w:szCs w:val="32"/>
          <w:u w:val="single"/>
          <w:lang w:val="en-US" w:eastAsia="zh-CN"/>
        </w:rPr>
        <w:t>重庆市万州区万川大道55号香炉山宾馆5楼。</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5.2报价文件递交截止时间：</w:t>
      </w:r>
      <w:r>
        <w:rPr>
          <w:rFonts w:hint="eastAsia" w:ascii="方正仿宋_GBK" w:hAnsi="方正仿宋_GBK" w:eastAsia="方正仿宋_GBK" w:cs="方正仿宋_GBK"/>
          <w:bCs/>
          <w:color w:val="auto"/>
          <w:sz w:val="32"/>
          <w:szCs w:val="32"/>
          <w:u w:val="single"/>
          <w:lang w:eastAsia="zh-CN"/>
        </w:rPr>
        <w:t>202</w:t>
      </w:r>
      <w:r>
        <w:rPr>
          <w:rFonts w:hint="eastAsia" w:ascii="方正仿宋_GBK" w:hAnsi="方正仿宋_GBK" w:eastAsia="方正仿宋_GBK" w:cs="方正仿宋_GBK"/>
          <w:bCs/>
          <w:color w:val="auto"/>
          <w:sz w:val="32"/>
          <w:szCs w:val="32"/>
          <w:u w:val="single"/>
          <w:lang w:val="en-US" w:eastAsia="zh-CN"/>
        </w:rPr>
        <w:t>2</w:t>
      </w:r>
      <w:r>
        <w:rPr>
          <w:rFonts w:hint="eastAsia" w:ascii="方正仿宋_GBK" w:hAnsi="方正仿宋_GBK" w:eastAsia="方正仿宋_GBK" w:cs="方正仿宋_GBK"/>
          <w:bCs/>
          <w:color w:val="auto"/>
          <w:sz w:val="32"/>
          <w:szCs w:val="32"/>
          <w:lang w:eastAsia="zh-CN"/>
        </w:rPr>
        <w:t>年</w:t>
      </w:r>
      <w:r>
        <w:rPr>
          <w:rFonts w:hint="eastAsia" w:ascii="方正仿宋_GBK" w:hAnsi="方正仿宋_GBK" w:eastAsia="方正仿宋_GBK" w:cs="方正仿宋_GBK"/>
          <w:bCs/>
          <w:color w:val="auto"/>
          <w:sz w:val="32"/>
          <w:szCs w:val="32"/>
          <w:u w:val="single"/>
          <w:lang w:val="en-US" w:eastAsia="zh-CN"/>
        </w:rPr>
        <w:t>3</w:t>
      </w:r>
      <w:r>
        <w:rPr>
          <w:rFonts w:hint="eastAsia" w:ascii="方正仿宋_GBK" w:hAnsi="方正仿宋_GBK" w:eastAsia="方正仿宋_GBK" w:cs="方正仿宋_GBK"/>
          <w:bCs/>
          <w:color w:val="auto"/>
          <w:sz w:val="32"/>
          <w:szCs w:val="32"/>
          <w:lang w:eastAsia="zh-CN"/>
        </w:rPr>
        <w:t>月</w:t>
      </w:r>
      <w:r>
        <w:rPr>
          <w:rFonts w:hint="eastAsia" w:ascii="方正仿宋_GBK" w:hAnsi="方正仿宋_GBK" w:eastAsia="方正仿宋_GBK" w:cs="方正仿宋_GBK"/>
          <w:bCs/>
          <w:color w:val="auto"/>
          <w:sz w:val="32"/>
          <w:szCs w:val="32"/>
          <w:u w:val="single"/>
          <w:lang w:val="en-US" w:eastAsia="zh-CN"/>
        </w:rPr>
        <w:t>31</w:t>
      </w:r>
      <w:r>
        <w:rPr>
          <w:rFonts w:hint="eastAsia" w:ascii="方正仿宋_GBK" w:hAnsi="方正仿宋_GBK" w:eastAsia="方正仿宋_GBK" w:cs="方正仿宋_GBK"/>
          <w:bCs/>
          <w:color w:val="auto"/>
          <w:sz w:val="32"/>
          <w:szCs w:val="32"/>
          <w:lang w:eastAsia="zh-CN"/>
        </w:rPr>
        <w:t>日</w:t>
      </w:r>
      <w:r>
        <w:rPr>
          <w:rFonts w:hint="eastAsia" w:ascii="方正仿宋_GBK" w:hAnsi="方正仿宋_GBK" w:eastAsia="方正仿宋_GBK" w:cs="方正仿宋_GBK"/>
          <w:bCs/>
          <w:color w:val="auto"/>
          <w:sz w:val="32"/>
          <w:szCs w:val="32"/>
          <w:u w:val="single"/>
          <w:lang w:val="en-US" w:eastAsia="zh-CN"/>
        </w:rPr>
        <w:t>17</w:t>
      </w:r>
      <w:r>
        <w:rPr>
          <w:rFonts w:hint="eastAsia" w:ascii="方正仿宋_GBK" w:hAnsi="方正仿宋_GBK" w:eastAsia="方正仿宋_GBK" w:cs="方正仿宋_GBK"/>
          <w:bCs/>
          <w:color w:val="auto"/>
          <w:sz w:val="32"/>
          <w:szCs w:val="32"/>
          <w:lang w:eastAsia="zh-CN"/>
        </w:rPr>
        <w:t>时</w:t>
      </w:r>
      <w:r>
        <w:rPr>
          <w:rFonts w:hint="eastAsia" w:ascii="方正仿宋_GBK" w:hAnsi="方正仿宋_GBK" w:eastAsia="方正仿宋_GBK" w:cs="方正仿宋_GBK"/>
          <w:bCs/>
          <w:color w:val="auto"/>
          <w:sz w:val="32"/>
          <w:szCs w:val="32"/>
          <w:u w:val="single"/>
          <w:lang w:eastAsia="zh-CN"/>
        </w:rPr>
        <w:t>00</w:t>
      </w:r>
      <w:r>
        <w:rPr>
          <w:rFonts w:hint="eastAsia" w:ascii="方正仿宋_GBK" w:hAnsi="方正仿宋_GBK" w:eastAsia="方正仿宋_GBK" w:cs="方正仿宋_GBK"/>
          <w:bCs/>
          <w:color w:val="auto"/>
          <w:sz w:val="32"/>
          <w:szCs w:val="32"/>
          <w:lang w:eastAsia="zh-CN"/>
        </w:rPr>
        <w:t>分（北京时间）。</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5.3逾期送达的、未送达指定地点的或者不按照询价文件要求密封的报价文件，将予以拒收。</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5.4采用邮寄等其他方式递交报价文件的，所有风险由报价人自行承担。</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p>
    <w:p>
      <w:pPr>
        <w:pStyle w:val="4"/>
        <w:spacing w:line="540" w:lineRule="exact"/>
        <w:ind w:left="0" w:leftChars="0" w:firstLine="640" w:firstLineChars="200"/>
        <w:rPr>
          <w:rFonts w:ascii="方正仿宋_GBK" w:hAnsi="方正仿宋_GBK" w:eastAsia="方正仿宋_GBK" w:cs="方正仿宋_GBK"/>
          <w:b w:val="0"/>
          <w:color w:val="auto"/>
          <w:lang w:eastAsia="zh-CN"/>
        </w:rPr>
      </w:pPr>
      <w:r>
        <w:rPr>
          <w:rFonts w:hint="eastAsia" w:ascii="方正仿宋_GBK" w:hAnsi="方正仿宋_GBK" w:eastAsia="方正仿宋_GBK" w:cs="方正仿宋_GBK"/>
          <w:b w:val="0"/>
          <w:color w:val="auto"/>
          <w:lang w:eastAsia="zh-CN"/>
        </w:rPr>
        <w:t>6.发布公告的媒介</w:t>
      </w:r>
    </w:p>
    <w:p>
      <w:pPr>
        <w:wordWrap w:val="0"/>
        <w:spacing w:line="540" w:lineRule="exact"/>
        <w:ind w:firstLine="640" w:firstLineChars="200"/>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6.1本次询价公告及结果公示将在重庆高速公路集团官方网站（http://www.cegc.com.cn/gw/newsInfoMenu.html?id=42&amp;key=2）、重庆高速公路集团有限公司招投标管理平台（http://43.240.249.108:8088/PMS/）上发布。</w:t>
      </w:r>
    </w:p>
    <w:p>
      <w:pPr>
        <w:pStyle w:val="43"/>
        <w:spacing w:after="0" w:line="540" w:lineRule="exact"/>
        <w:ind w:left="440"/>
        <w:rPr>
          <w:rFonts w:ascii="方正仿宋_GBK" w:hAnsi="方正仿宋_GBK" w:eastAsia="方正仿宋_GBK" w:cs="方正仿宋_GBK"/>
          <w:color w:val="auto"/>
          <w:sz w:val="32"/>
          <w:szCs w:val="32"/>
        </w:rPr>
      </w:pP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6.2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p>
    <w:p>
      <w:pPr>
        <w:pStyle w:val="4"/>
        <w:numPr>
          <w:ilvl w:val="0"/>
          <w:numId w:val="1"/>
        </w:numPr>
        <w:spacing w:line="540" w:lineRule="exact"/>
        <w:ind w:firstLine="640" w:firstLineChars="200"/>
        <w:rPr>
          <w:rFonts w:ascii="方正仿宋_GBK" w:hAnsi="方正仿宋_GBK" w:eastAsia="方正仿宋_GBK" w:cs="方正仿宋_GBK"/>
          <w:b w:val="0"/>
          <w:color w:val="auto"/>
          <w:lang w:eastAsia="zh-CN"/>
        </w:rPr>
      </w:pPr>
      <w:r>
        <w:rPr>
          <w:rFonts w:hint="eastAsia" w:ascii="方正仿宋_GBK" w:hAnsi="方正仿宋_GBK" w:eastAsia="方正仿宋_GBK" w:cs="方正仿宋_GBK"/>
          <w:b w:val="0"/>
          <w:color w:val="auto"/>
          <w:lang w:eastAsia="zh-CN"/>
        </w:rPr>
        <w:t>联系方式</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询价人：</w:t>
      </w:r>
      <w:r>
        <w:rPr>
          <w:rFonts w:hint="eastAsia" w:ascii="方正仿宋_GBK" w:hAnsi="方正仿宋_GBK" w:eastAsia="方正仿宋_GBK" w:cs="方正仿宋_GBK"/>
          <w:color w:val="auto"/>
          <w:sz w:val="32"/>
          <w:szCs w:val="32"/>
          <w:u w:val="single"/>
          <w:lang w:eastAsia="zh-CN"/>
        </w:rPr>
        <w:t>重庆新田港口物流有限公司</w:t>
      </w:r>
    </w:p>
    <w:p>
      <w:pPr>
        <w:spacing w:line="540" w:lineRule="exact"/>
        <w:ind w:firstLine="640" w:firstLineChars="200"/>
        <w:jc w:val="both"/>
        <w:rPr>
          <w:rFonts w:ascii="方正仿宋_GBK" w:hAnsi="方正仿宋_GBK" w:eastAsia="方正仿宋_GBK" w:cs="方正仿宋_GBK"/>
          <w:bCs/>
          <w:color w:val="auto"/>
          <w:sz w:val="32"/>
          <w:szCs w:val="32"/>
          <w:lang w:eastAsia="zh-CN"/>
        </w:rPr>
      </w:pPr>
      <w:r>
        <w:rPr>
          <w:rFonts w:hint="eastAsia" w:ascii="方正仿宋_GBK" w:hAnsi="方正仿宋_GBK" w:eastAsia="方正仿宋_GBK" w:cs="方正仿宋_GBK"/>
          <w:bCs/>
          <w:color w:val="auto"/>
          <w:sz w:val="32"/>
          <w:szCs w:val="32"/>
          <w:lang w:eastAsia="zh-CN"/>
        </w:rPr>
        <w:t>地  址：</w:t>
      </w:r>
      <w:r>
        <w:rPr>
          <w:rFonts w:hint="eastAsia" w:ascii="方正仿宋_GBK" w:hAnsi="方正仿宋_GBK" w:eastAsia="方正仿宋_GBK" w:cs="方正仿宋_GBK"/>
          <w:bCs/>
          <w:color w:val="auto"/>
          <w:sz w:val="32"/>
          <w:szCs w:val="32"/>
          <w:u w:val="single"/>
          <w:lang w:val="en-US" w:eastAsia="zh-CN"/>
        </w:rPr>
        <w:t>重庆市万州区万川大道55号香炉山宾馆5楼515室。</w:t>
      </w:r>
    </w:p>
    <w:p>
      <w:pPr>
        <w:spacing w:line="540" w:lineRule="exact"/>
        <w:ind w:firstLine="640" w:firstLineChars="200"/>
        <w:jc w:val="both"/>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eastAsia="zh-CN"/>
        </w:rPr>
        <w:t>联系人：</w:t>
      </w:r>
      <w:r>
        <w:rPr>
          <w:rFonts w:hint="eastAsia" w:ascii="方正仿宋_GBK" w:hAnsi="方正仿宋_GBK" w:eastAsia="方正仿宋_GBK" w:cs="方正仿宋_GBK"/>
          <w:bCs/>
          <w:color w:val="auto"/>
          <w:sz w:val="32"/>
          <w:szCs w:val="32"/>
          <w:u w:val="single"/>
          <w:lang w:val="en-US" w:eastAsia="zh-CN"/>
        </w:rPr>
        <w:t>熊曾</w:t>
      </w:r>
    </w:p>
    <w:p>
      <w:pPr>
        <w:spacing w:line="540" w:lineRule="exact"/>
        <w:ind w:firstLine="640" w:firstLineChars="200"/>
        <w:jc w:val="both"/>
        <w:rPr>
          <w:rFonts w:hint="default" w:ascii="方正仿宋_GBK" w:hAnsi="方正仿宋_GBK" w:eastAsia="方正仿宋_GBK" w:cs="方正仿宋_GBK"/>
          <w:bCs/>
          <w:color w:val="auto"/>
          <w:sz w:val="32"/>
          <w:szCs w:val="32"/>
          <w:u w:val="single"/>
          <w:lang w:val="en-US" w:eastAsia="zh-CN"/>
        </w:rPr>
      </w:pPr>
      <w:r>
        <w:rPr>
          <w:rFonts w:hint="eastAsia" w:ascii="方正仿宋_GBK" w:hAnsi="方正仿宋_GBK" w:eastAsia="方正仿宋_GBK" w:cs="方正仿宋_GBK"/>
          <w:bCs/>
          <w:color w:val="auto"/>
          <w:sz w:val="32"/>
          <w:szCs w:val="32"/>
          <w:lang w:eastAsia="zh-CN"/>
        </w:rPr>
        <w:t>电  话：</w:t>
      </w:r>
      <w:r>
        <w:rPr>
          <w:rFonts w:hint="eastAsia" w:ascii="方正仿宋_GBK" w:hAnsi="方正仿宋_GBK" w:eastAsia="方正仿宋_GBK" w:cs="方正仿宋_GBK"/>
          <w:bCs/>
          <w:color w:val="auto"/>
          <w:sz w:val="32"/>
          <w:szCs w:val="32"/>
          <w:u w:val="single"/>
          <w:lang w:val="en-US" w:eastAsia="zh-CN"/>
        </w:rPr>
        <w:t>13668071577</w:t>
      </w:r>
    </w:p>
    <w:p>
      <w:pPr>
        <w:keepNext w:val="0"/>
        <w:keepLines w:val="0"/>
        <w:pageBreakBefore w:val="0"/>
        <w:widowControl/>
        <w:kinsoku/>
        <w:overflowPunct/>
        <w:topLinePunct w:val="0"/>
        <w:autoSpaceDE/>
        <w:autoSpaceDN/>
        <w:bidi w:val="0"/>
        <w:adjustRightInd/>
        <w:snapToGrid/>
        <w:spacing w:line="540" w:lineRule="exact"/>
        <w:jc w:val="right"/>
        <w:textAlignment w:val="auto"/>
        <w:rPr>
          <w:rFonts w:hint="default"/>
          <w:lang w:val="en-US" w:eastAsia="zh-CN"/>
        </w:rPr>
      </w:pPr>
      <w:r>
        <w:rPr>
          <w:rFonts w:hint="default"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sz w:val="44"/>
          <w:szCs w:val="44"/>
          <w:lang w:val="zh-CN" w:eastAsia="zh-CN"/>
        </w:rPr>
      </w:pPr>
      <w:r>
        <w:rPr>
          <w:rFonts w:hint="default" w:ascii="Times New Roman" w:hAnsi="Times New Roman" w:eastAsia="方正小标宋_GBK" w:cs="Times New Roman"/>
          <w:bCs/>
          <w:sz w:val="44"/>
          <w:szCs w:val="44"/>
          <w:lang w:val="zh-CN" w:eastAsia="zh-CN"/>
        </w:rPr>
        <w:t>第二章 报价文件要求与评审办法</w:t>
      </w:r>
    </w:p>
    <w:p>
      <w:pPr>
        <w:pStyle w:val="4"/>
        <w:spacing w:line="510" w:lineRule="exact"/>
        <w:rPr>
          <w:rFonts w:hint="default" w:ascii="Times New Roman" w:hAnsi="Times New Roman" w:eastAsia="黑体" w:cs="Times New Roman"/>
          <w:b w:val="0"/>
          <w:lang w:eastAsia="zh-CN"/>
        </w:rPr>
      </w:pPr>
    </w:p>
    <w:p>
      <w:pPr>
        <w:pStyle w:val="4"/>
        <w:spacing w:line="510" w:lineRule="exact"/>
        <w:rPr>
          <w:rFonts w:hint="default" w:ascii="Times New Roman" w:hAnsi="Times New Roman" w:eastAsia="黑体" w:cs="Times New Roman"/>
          <w:b w:val="0"/>
          <w:lang w:eastAsia="zh-CN"/>
        </w:rPr>
      </w:pPr>
      <w:r>
        <w:rPr>
          <w:rFonts w:hint="default" w:ascii="Times New Roman" w:hAnsi="Times New Roman" w:eastAsia="黑体" w:cs="Times New Roman"/>
          <w:b w:val="0"/>
          <w:lang w:eastAsia="zh-CN"/>
        </w:rPr>
        <w:t>1.报价文件要求</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1.1本项目总价最高限价为人民币</w:t>
      </w:r>
      <w:r>
        <w:rPr>
          <w:rFonts w:hint="eastAsia" w:ascii="Times New Roman" w:hAnsi="Times New Roman" w:eastAsia="方正仿宋_GBK" w:cs="Times New Roman"/>
          <w:bCs/>
          <w:sz w:val="32"/>
          <w:szCs w:val="32"/>
          <w:u w:val="single"/>
          <w:lang w:val="en-US" w:eastAsia="zh-CN"/>
        </w:rPr>
        <w:t xml:space="preserve"> 800000</w:t>
      </w:r>
      <w:r>
        <w:rPr>
          <w:rFonts w:hint="default" w:ascii="Times New Roman" w:hAnsi="Times New Roman" w:eastAsia="方正仿宋_GBK" w:cs="Times New Roman"/>
          <w:bCs/>
          <w:sz w:val="32"/>
          <w:szCs w:val="32"/>
          <w:lang w:eastAsia="zh-CN"/>
        </w:rPr>
        <w:t>元整（</w:t>
      </w:r>
      <w:r>
        <w:rPr>
          <w:rFonts w:hint="default" w:ascii="Times New Roman" w:hAnsi="Times New Roman" w:eastAsia="方正仿宋_GBK" w:cs="Times New Roman"/>
          <w:bCs/>
          <w:sz w:val="32"/>
          <w:szCs w:val="32"/>
          <w:u w:val="single"/>
          <w:lang w:eastAsia="zh-CN"/>
        </w:rPr>
        <w:t>￥</w:t>
      </w:r>
      <w:r>
        <w:rPr>
          <w:rFonts w:hint="eastAsia" w:ascii="Times New Roman" w:hAnsi="Times New Roman" w:eastAsia="方正仿宋_GBK" w:cs="Times New Roman"/>
          <w:bCs/>
          <w:sz w:val="32"/>
          <w:szCs w:val="32"/>
          <w:u w:val="single"/>
          <w:lang w:val="en-US" w:eastAsia="zh-CN"/>
        </w:rPr>
        <w:t xml:space="preserve"> 捌拾</w:t>
      </w:r>
      <w:r>
        <w:rPr>
          <w:rFonts w:hint="default" w:ascii="Times New Roman" w:hAnsi="Times New Roman" w:eastAsia="方正仿宋_GBK" w:cs="Times New Roman"/>
          <w:bCs/>
          <w:sz w:val="32"/>
          <w:szCs w:val="32"/>
          <w:u w:val="single"/>
          <w:lang w:val="en-US" w:eastAsia="zh-CN"/>
        </w:rPr>
        <w:t>_</w:t>
      </w:r>
      <w:r>
        <w:rPr>
          <w:rFonts w:hint="default" w:ascii="Times New Roman" w:hAnsi="Times New Roman" w:eastAsia="方正仿宋_GBK" w:cs="Times New Roman"/>
          <w:bCs/>
          <w:sz w:val="32"/>
          <w:szCs w:val="32"/>
          <w:lang w:eastAsia="zh-CN"/>
        </w:rPr>
        <w:t>万元）。报价人的报价不得高于最高限价，否则其报价文件将被否决。其它要求详见报价表中的报价说明。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1.3报价文件正本1份，副本</w:t>
      </w:r>
      <w:r>
        <w:rPr>
          <w:rFonts w:hint="eastAsia" w:ascii="Times New Roman" w:hAnsi="Times New Roman" w:eastAsia="方正仿宋_GBK" w:cs="Times New Roman"/>
          <w:bCs/>
          <w:sz w:val="32"/>
          <w:szCs w:val="32"/>
          <w:lang w:val="en-US" w:eastAsia="zh-CN"/>
        </w:rPr>
        <w:t>1</w:t>
      </w:r>
      <w:r>
        <w:rPr>
          <w:rFonts w:hint="default" w:ascii="Times New Roman" w:hAnsi="Times New Roman" w:eastAsia="方正仿宋_GBK" w:cs="Times New Roman"/>
          <w:bCs/>
          <w:sz w:val="32"/>
          <w:szCs w:val="32"/>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Cs/>
          <w:sz w:val="32"/>
          <w:szCs w:val="32"/>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sz w:val="32"/>
          <w:szCs w:val="32"/>
          <w:lang w:eastAsia="zh-CN"/>
        </w:rPr>
        <w:t>新田港铁路专用线运行组织方案设计</w:t>
      </w:r>
      <w:r>
        <w:rPr>
          <w:rFonts w:hint="eastAsia" w:ascii="Times New Roman" w:hAnsi="Times New Roman" w:eastAsia="方正仿宋_GBK" w:cs="Times New Roman"/>
          <w:bCs/>
          <w:sz w:val="32"/>
          <w:szCs w:val="32"/>
          <w:lang w:val="en-US" w:eastAsia="zh-CN"/>
        </w:rPr>
        <w:t>项目</w:t>
      </w:r>
      <w:r>
        <w:rPr>
          <w:rFonts w:hint="default" w:ascii="Times New Roman" w:hAnsi="Times New Roman" w:eastAsia="方正仿宋_GBK" w:cs="Times New Roman"/>
          <w:bCs/>
          <w:sz w:val="32"/>
          <w:szCs w:val="32"/>
          <w:lang w:eastAsia="zh-CN"/>
        </w:rPr>
        <w:t>，报价文件在</w:t>
      </w:r>
      <w:r>
        <w:rPr>
          <w:rFonts w:hint="default" w:ascii="Times New Roman" w:hAnsi="Times New Roman" w:eastAsia="方正仿宋_GBK" w:cs="Times New Roman"/>
          <w:bCs/>
          <w:sz w:val="32"/>
          <w:szCs w:val="32"/>
          <w:u w:val="single"/>
          <w:lang w:eastAsia="zh-CN"/>
        </w:rPr>
        <w:t>202</w:t>
      </w:r>
      <w:r>
        <w:rPr>
          <w:rFonts w:hint="eastAsia" w:ascii="Times New Roman" w:hAnsi="Times New Roman" w:eastAsia="方正仿宋_GBK" w:cs="Times New Roman"/>
          <w:bCs/>
          <w:sz w:val="32"/>
          <w:szCs w:val="32"/>
          <w:u w:val="single"/>
          <w:lang w:val="en-US" w:eastAsia="zh-CN"/>
        </w:rPr>
        <w:t>2</w:t>
      </w:r>
      <w:r>
        <w:rPr>
          <w:rFonts w:hint="default" w:ascii="Times New Roman" w:hAnsi="Times New Roman" w:eastAsia="方正仿宋_GBK" w:cs="Times New Roman"/>
          <w:bCs/>
          <w:sz w:val="32"/>
          <w:szCs w:val="32"/>
          <w:lang w:eastAsia="zh-CN"/>
        </w:rPr>
        <w:t>年</w:t>
      </w:r>
      <w:r>
        <w:rPr>
          <w:rFonts w:hint="default" w:ascii="Times New Roman" w:hAnsi="Times New Roman" w:eastAsia="方正仿宋_GBK" w:cs="Times New Roman"/>
          <w:bCs/>
          <w:sz w:val="32"/>
          <w:szCs w:val="32"/>
          <w:lang w:val="en-US" w:eastAsia="zh-CN"/>
        </w:rPr>
        <w:t>_</w:t>
      </w:r>
      <w:r>
        <w:rPr>
          <w:rFonts w:hint="eastAsia"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lang w:val="en-US" w:eastAsia="zh-CN"/>
        </w:rPr>
        <w:t>_</w:t>
      </w:r>
      <w:r>
        <w:rPr>
          <w:rFonts w:hint="default" w:ascii="Times New Roman" w:hAnsi="Times New Roman" w:eastAsia="方正仿宋_GBK" w:cs="Times New Roman"/>
          <w:bCs/>
          <w:sz w:val="32"/>
          <w:szCs w:val="32"/>
          <w:lang w:eastAsia="zh-CN"/>
        </w:rPr>
        <w:t>月</w:t>
      </w:r>
      <w:bookmarkStart w:id="32" w:name="_GoBack"/>
      <w:r>
        <w:rPr>
          <w:rFonts w:hint="eastAsia" w:ascii="Times New Roman" w:hAnsi="Times New Roman" w:eastAsia="方正仿宋_GBK" w:cs="Times New Roman"/>
          <w:bCs/>
          <w:sz w:val="32"/>
          <w:szCs w:val="32"/>
          <w:u w:val="single"/>
          <w:lang w:val="en-US" w:eastAsia="zh-CN"/>
        </w:rPr>
        <w:t>31</w:t>
      </w:r>
      <w:bookmarkEnd w:id="32"/>
      <w:r>
        <w:rPr>
          <w:rFonts w:hint="default" w:ascii="Times New Roman" w:hAnsi="Times New Roman" w:eastAsia="方正仿宋_GBK" w:cs="Times New Roman"/>
          <w:bCs/>
          <w:sz w:val="32"/>
          <w:szCs w:val="32"/>
          <w:lang w:eastAsia="zh-CN"/>
        </w:rPr>
        <w:t>日</w:t>
      </w:r>
      <w:r>
        <w:rPr>
          <w:rFonts w:hint="eastAsia" w:ascii="Times New Roman" w:hAnsi="Times New Roman" w:eastAsia="方正仿宋_GBK" w:cs="Times New Roman"/>
          <w:bCs/>
          <w:sz w:val="32"/>
          <w:szCs w:val="32"/>
          <w:u w:val="single"/>
          <w:lang w:val="en-US" w:eastAsia="zh-CN"/>
        </w:rPr>
        <w:t>17</w:t>
      </w:r>
      <w:r>
        <w:rPr>
          <w:rFonts w:hint="default" w:ascii="Times New Roman" w:hAnsi="Times New Roman" w:eastAsia="方正仿宋_GBK" w:cs="Times New Roman"/>
          <w:bCs/>
          <w:sz w:val="32"/>
          <w:szCs w:val="32"/>
          <w:lang w:eastAsia="zh-CN"/>
        </w:rPr>
        <w:t>时</w:t>
      </w:r>
      <w:r>
        <w:rPr>
          <w:rFonts w:hint="default" w:ascii="Times New Roman" w:hAnsi="Times New Roman" w:eastAsia="方正仿宋_GBK" w:cs="Times New Roman"/>
          <w:bCs/>
          <w:sz w:val="32"/>
          <w:szCs w:val="32"/>
          <w:u w:val="single"/>
          <w:lang w:eastAsia="zh-CN"/>
        </w:rPr>
        <w:t xml:space="preserve"> 00 </w:t>
      </w:r>
      <w:r>
        <w:rPr>
          <w:rFonts w:hint="default" w:ascii="Times New Roman" w:hAnsi="Times New Roman" w:eastAsia="方正仿宋_GBK" w:cs="Times New Roman"/>
          <w:bCs/>
          <w:sz w:val="32"/>
          <w:szCs w:val="32"/>
          <w:lang w:eastAsia="zh-CN"/>
        </w:rPr>
        <w:t>分前不得开启。</w:t>
      </w:r>
    </w:p>
    <w:p>
      <w:pPr>
        <w:pStyle w:val="4"/>
        <w:spacing w:line="510" w:lineRule="exact"/>
        <w:rPr>
          <w:rFonts w:hint="default" w:ascii="Times New Roman" w:hAnsi="Times New Roman" w:eastAsia="黑体" w:cs="Times New Roman"/>
          <w:b w:val="0"/>
          <w:lang w:eastAsia="zh-CN"/>
        </w:rPr>
      </w:pPr>
      <w:r>
        <w:rPr>
          <w:rFonts w:hint="default" w:ascii="Times New Roman" w:hAnsi="Times New Roman" w:eastAsia="黑体" w:cs="Times New Roman"/>
          <w:b w:val="0"/>
          <w:lang w:eastAsia="zh-CN"/>
        </w:rPr>
        <w:t>2</w:t>
      </w:r>
      <w:r>
        <w:rPr>
          <w:rFonts w:hint="eastAsia" w:ascii="Times New Roman" w:hAnsi="Times New Roman" w:eastAsia="黑体" w:cs="Times New Roman"/>
          <w:b w:val="0"/>
          <w:lang w:eastAsia="zh-CN"/>
        </w:rPr>
        <w:t>.</w:t>
      </w:r>
      <w:r>
        <w:rPr>
          <w:rFonts w:hint="default" w:ascii="Times New Roman" w:hAnsi="Times New Roman" w:eastAsia="黑体" w:cs="Times New Roman"/>
          <w:b w:val="0"/>
          <w:lang w:eastAsia="zh-CN"/>
        </w:rPr>
        <w:t>评审办法</w:t>
      </w:r>
    </w:p>
    <w:bookmarkEnd w:id="2"/>
    <w:bookmarkEnd w:id="3"/>
    <w:bookmarkEnd w:id="4"/>
    <w:bookmarkEnd w:id="5"/>
    <w:bookmarkEnd w:id="6"/>
    <w:bookmarkEnd w:id="7"/>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2.1 本项目采用经评审的综合评估法。评标委员会按照本章第 2.3 款规定的评分标准进行打分，按得分由高到低顺序推荐中标候选人。综合评分相等时，以投标报价低的优先；投标报价也相等的，以技术得分高的优先；如果技术得分也相等，由评标委员会投票确定。</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2.2 评标委员会由业主和相关行业专家组成。评标产生的专家费用由中标单位</w:t>
      </w:r>
      <w:r>
        <w:rPr>
          <w:rFonts w:ascii="Times New Roman" w:hAnsi="Times New Roman" w:eastAsia="方正仿宋_GBK" w:cs="Times New Roman"/>
          <w:bCs/>
          <w:sz w:val="32"/>
          <w:szCs w:val="32"/>
          <w:lang w:eastAsia="zh-CN"/>
        </w:rPr>
        <w:t>承担</w:t>
      </w:r>
      <w:r>
        <w:rPr>
          <w:rFonts w:hint="eastAsia"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 评分标准</w:t>
      </w:r>
    </w:p>
    <w:tbl>
      <w:tblPr>
        <w:tblStyle w:val="44"/>
        <w:tblW w:w="81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Layout w:type="fixed"/>
        <w:tblCellMar>
          <w:top w:w="0" w:type="dxa"/>
          <w:left w:w="108" w:type="dxa"/>
          <w:bottom w:w="0" w:type="dxa"/>
          <w:right w:w="108" w:type="dxa"/>
        </w:tblCellMar>
      </w:tblPr>
      <w:tblGrid>
        <w:gridCol w:w="585"/>
        <w:gridCol w:w="1224"/>
        <w:gridCol w:w="849"/>
        <w:gridCol w:w="5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PrEx>
        <w:trPr>
          <w:trHeight w:val="493"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评分因素及权重</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分值</w:t>
            </w:r>
          </w:p>
        </w:tc>
        <w:tc>
          <w:tcPr>
            <w:tcW w:w="5526" w:type="dxa"/>
            <w:tcBorders>
              <w:top w:val="single" w:color="000000" w:sz="4" w:space="0"/>
              <w:left w:val="single" w:color="000000" w:sz="4" w:space="0"/>
              <w:bottom w:val="single" w:color="000000" w:sz="4" w:space="0"/>
              <w:right w:val="single" w:color="auto" w:sz="4" w:space="0"/>
            </w:tcBorders>
            <w:shd w:val="clear" w:color="auto" w:fill="FFFFFF"/>
            <w:vAlign w:val="center"/>
          </w:tcPr>
          <w:p>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47" w:hRule="atLeast"/>
          <w:tblHeader/>
          <w:jc w:val="center"/>
        </w:trPr>
        <w:tc>
          <w:tcPr>
            <w:tcW w:w="585" w:type="dxa"/>
            <w:tcBorders>
              <w:top w:val="single" w:color="000000" w:sz="4" w:space="0"/>
              <w:left w:val="single" w:color="000000" w:sz="4" w:space="0"/>
              <w:bottom w:val="single" w:color="000000" w:sz="4" w:space="0"/>
              <w:right w:val="single" w:color="000000" w:sz="4" w:space="0"/>
            </w:tcBorders>
            <w:shd w:val="clear" w:color="auto" w:fill="FFE599"/>
            <w:vAlign w:val="center"/>
          </w:tcPr>
          <w:p>
            <w:pPr>
              <w:spacing w:line="240" w:lineRule="atLeast"/>
              <w:ind w:firstLine="28"/>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ascii="Times New Roman" w:hAnsi="Times New Roman" w:cs="Times New Roman"/>
                <w:sz w:val="21"/>
                <w:szCs w:val="21"/>
                <w:lang w:eastAsia="zh-CN"/>
              </w:rPr>
            </w:pPr>
            <w:r>
              <w:rPr>
                <w:rFonts w:ascii="Times New Roman" w:cs="Times New Roman"/>
                <w:sz w:val="21"/>
                <w:szCs w:val="21"/>
                <w:lang w:eastAsia="zh-CN"/>
              </w:rPr>
              <w:t>投标报价</w:t>
            </w:r>
          </w:p>
          <w:p>
            <w:pPr>
              <w:snapToGrid w:val="0"/>
              <w:spacing w:line="240" w:lineRule="atLeast"/>
              <w:ind w:firstLine="28"/>
              <w:jc w:val="center"/>
              <w:rPr>
                <w:rFonts w:ascii="Times New Roman" w:hAnsi="Times New Roman" w:cs="Times New Roman"/>
                <w:sz w:val="21"/>
                <w:szCs w:val="21"/>
                <w:lang w:eastAsia="zh-CN"/>
              </w:rPr>
            </w:pPr>
            <w:r>
              <w:rPr>
                <w:rFonts w:ascii="Times New Roman" w:cs="Times New Roman"/>
                <w:sz w:val="21"/>
                <w:szCs w:val="21"/>
                <w:lang w:eastAsia="zh-CN"/>
              </w:rPr>
              <w:t>（</w:t>
            </w:r>
            <w:r>
              <w:rPr>
                <w:rFonts w:hint="eastAsia" w:ascii="Times New Roman" w:cs="Times New Roman"/>
                <w:sz w:val="21"/>
                <w:szCs w:val="21"/>
                <w:lang w:val="en-US" w:eastAsia="zh-CN"/>
              </w:rPr>
              <w:t>70</w:t>
            </w:r>
            <w:r>
              <w:rPr>
                <w:rFonts w:ascii="Times New Roman" w:hAnsi="Times New Roman" w:cs="Times New Roman"/>
                <w:sz w:val="21"/>
                <w:szCs w:val="21"/>
                <w:lang w:eastAsia="zh-CN"/>
              </w:rPr>
              <w:t>%</w:t>
            </w:r>
            <w:r>
              <w:rPr>
                <w:rFonts w:ascii="Times New Roman" w:cs="Times New Roman"/>
                <w:sz w:val="21"/>
                <w:szCs w:val="21"/>
                <w:lang w:eastAsia="zh-CN"/>
              </w:rPr>
              <w:t>）</w:t>
            </w:r>
          </w:p>
        </w:tc>
        <w:tc>
          <w:tcPr>
            <w:tcW w:w="849" w:type="dxa"/>
            <w:tcBorders>
              <w:top w:val="single" w:color="000000" w:sz="4" w:space="0"/>
              <w:left w:val="single" w:color="000000" w:sz="4" w:space="0"/>
              <w:bottom w:val="single" w:color="000000" w:sz="4" w:space="0"/>
              <w:right w:val="single" w:color="000000" w:sz="4" w:space="0"/>
            </w:tcBorders>
            <w:shd w:val="clear" w:color="auto" w:fill="FFE599"/>
            <w:vAlign w:val="center"/>
          </w:tcPr>
          <w:p>
            <w:pPr>
              <w:snapToGrid w:val="0"/>
              <w:spacing w:line="240" w:lineRule="atLeast"/>
              <w:ind w:firstLine="28"/>
              <w:jc w:val="center"/>
              <w:rPr>
                <w:rFonts w:ascii="Times New Roman" w:hAnsi="Times New Roman" w:cs="Times New Roman"/>
                <w:sz w:val="21"/>
                <w:szCs w:val="21"/>
                <w:lang w:eastAsia="zh-CN"/>
              </w:rPr>
            </w:pPr>
            <w:r>
              <w:rPr>
                <w:rFonts w:hint="eastAsia" w:ascii="Times New Roman" w:hAnsi="Times New Roman" w:cs="Times New Roman"/>
                <w:sz w:val="21"/>
                <w:szCs w:val="21"/>
                <w:lang w:val="en-US" w:eastAsia="zh-CN"/>
              </w:rPr>
              <w:t>70</w:t>
            </w:r>
            <w:r>
              <w:rPr>
                <w:rFonts w:ascii="Times New Roman" w:cs="Times New Roman"/>
                <w:sz w:val="21"/>
                <w:szCs w:val="21"/>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ascii="Times New Roman" w:hAnsi="Times New Roman" w:cs="Times New Roman"/>
                <w:sz w:val="21"/>
                <w:szCs w:val="21"/>
                <w:lang w:eastAsia="zh-CN"/>
              </w:rPr>
            </w:pPr>
            <w:r>
              <w:rPr>
                <w:rFonts w:cs="Times New Roman"/>
                <w:sz w:val="21"/>
                <w:szCs w:val="21"/>
                <w:lang w:eastAsia="zh-CN"/>
              </w:rPr>
              <w:t>①</w:t>
            </w:r>
            <w:r>
              <w:rPr>
                <w:rFonts w:ascii="Times New Roman" w:cs="Times New Roman"/>
                <w:sz w:val="21"/>
                <w:szCs w:val="21"/>
                <w:lang w:eastAsia="zh-CN"/>
              </w:rPr>
              <w:t>对所有有效投标报价进行算术平均，所得的算术平均值作为评标基准价。</w:t>
            </w:r>
          </w:p>
          <w:p>
            <w:pPr>
              <w:snapToGrid w:val="0"/>
              <w:rPr>
                <w:rFonts w:ascii="Times New Roman" w:hAnsi="Times New Roman" w:cs="Times New Roman"/>
                <w:sz w:val="21"/>
                <w:szCs w:val="21"/>
                <w:lang w:eastAsia="zh-CN"/>
              </w:rPr>
            </w:pPr>
            <w:r>
              <w:rPr>
                <w:rFonts w:ascii="Times New Roman" w:cs="Times New Roman"/>
                <w:sz w:val="21"/>
                <w:szCs w:val="21"/>
                <w:lang w:eastAsia="zh-CN"/>
              </w:rPr>
              <w:t>评标基准价：所有通过初步评审的投标人的投标总报价中去掉六分之一（不能整除的按小数点前整数取整，不足六家报价则不去掉）的最低价和相同家数的最高价后的，取算术平均值。</w:t>
            </w:r>
          </w:p>
          <w:p>
            <w:pPr>
              <w:snapToGrid w:val="0"/>
              <w:rPr>
                <w:rFonts w:ascii="Times New Roman" w:hAnsi="Times New Roman" w:cs="Times New Roman"/>
                <w:sz w:val="21"/>
                <w:szCs w:val="21"/>
                <w:lang w:eastAsia="zh-CN"/>
              </w:rPr>
            </w:pPr>
            <w:r>
              <w:rPr>
                <w:rFonts w:cs="Times New Roman"/>
                <w:sz w:val="21"/>
                <w:szCs w:val="21"/>
                <w:lang w:eastAsia="zh-CN"/>
              </w:rPr>
              <w:t>②</w:t>
            </w:r>
            <w:r>
              <w:rPr>
                <w:rFonts w:ascii="Times New Roman" w:cs="Times New Roman"/>
                <w:sz w:val="21"/>
                <w:szCs w:val="21"/>
                <w:lang w:eastAsia="zh-CN"/>
              </w:rPr>
              <w:t>投标报价与评标基准价相比，等于评标基准价的得</w:t>
            </w:r>
            <w:r>
              <w:rPr>
                <w:rFonts w:ascii="Times New Roman" w:hAnsi="Times New Roman" w:cs="Times New Roman"/>
                <w:sz w:val="21"/>
                <w:szCs w:val="21"/>
                <w:lang w:eastAsia="zh-CN"/>
              </w:rPr>
              <w:t>60</w:t>
            </w:r>
            <w:r>
              <w:rPr>
                <w:rFonts w:ascii="Times New Roman" w:cs="Times New Roman"/>
                <w:sz w:val="21"/>
                <w:szCs w:val="21"/>
                <w:lang w:eastAsia="zh-CN"/>
              </w:rPr>
              <w:t>分；每上浮</w:t>
            </w:r>
            <w:r>
              <w:rPr>
                <w:rFonts w:ascii="Times New Roman" w:hAnsi="Times New Roman" w:cs="Times New Roman"/>
                <w:sz w:val="21"/>
                <w:szCs w:val="21"/>
                <w:lang w:eastAsia="zh-CN"/>
              </w:rPr>
              <w:t>1%</w:t>
            </w:r>
            <w:r>
              <w:rPr>
                <w:rFonts w:ascii="Times New Roman" w:cs="Times New Roman"/>
                <w:sz w:val="21"/>
                <w:szCs w:val="21"/>
                <w:lang w:eastAsia="zh-CN"/>
              </w:rPr>
              <w:t>扣</w:t>
            </w:r>
            <w:r>
              <w:rPr>
                <w:rFonts w:ascii="Times New Roman" w:hAnsi="Times New Roman" w:cs="Times New Roman"/>
                <w:sz w:val="21"/>
                <w:szCs w:val="21"/>
                <w:lang w:eastAsia="zh-CN"/>
              </w:rPr>
              <w:t>1</w:t>
            </w:r>
            <w:r>
              <w:rPr>
                <w:rFonts w:ascii="Times New Roman" w:cs="Times New Roman"/>
                <w:sz w:val="21"/>
                <w:szCs w:val="21"/>
                <w:lang w:eastAsia="zh-CN"/>
              </w:rPr>
              <w:t>分，依此类推；每下浮</w:t>
            </w:r>
            <w:r>
              <w:rPr>
                <w:rFonts w:ascii="Times New Roman" w:hAnsi="Times New Roman" w:cs="Times New Roman"/>
                <w:sz w:val="21"/>
                <w:szCs w:val="21"/>
                <w:lang w:eastAsia="zh-CN"/>
              </w:rPr>
              <w:t>1%</w:t>
            </w:r>
            <w:r>
              <w:rPr>
                <w:rFonts w:ascii="Times New Roman" w:cs="Times New Roman"/>
                <w:sz w:val="21"/>
                <w:szCs w:val="21"/>
                <w:lang w:eastAsia="zh-CN"/>
              </w:rPr>
              <w:t>扣</w:t>
            </w:r>
            <w:r>
              <w:rPr>
                <w:rFonts w:ascii="Times New Roman" w:hAnsi="Times New Roman" w:cs="Times New Roman"/>
                <w:sz w:val="21"/>
                <w:szCs w:val="21"/>
                <w:lang w:eastAsia="zh-CN"/>
              </w:rPr>
              <w:t>0.5</w:t>
            </w:r>
            <w:r>
              <w:rPr>
                <w:rFonts w:ascii="Times New Roman" w:cs="Times New Roman"/>
                <w:sz w:val="21"/>
                <w:szCs w:val="21"/>
                <w:lang w:eastAsia="zh-CN"/>
              </w:rPr>
              <w:t>分，依此类推；不带整数的按插入法计算，结果保留小数点后两位。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3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E599"/>
            <w:vAlign w:val="center"/>
          </w:tcPr>
          <w:p>
            <w:pPr>
              <w:spacing w:line="240" w:lineRule="atLeast"/>
              <w:ind w:firstLine="28"/>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1224" w:type="dxa"/>
            <w:vMerge w:val="restart"/>
            <w:tcBorders>
              <w:top w:val="single" w:color="000000" w:sz="4" w:space="0"/>
              <w:left w:val="single" w:color="000000" w:sz="4" w:space="0"/>
              <w:right w:val="single" w:color="000000" w:sz="4" w:space="0"/>
            </w:tcBorders>
            <w:shd w:val="clear" w:color="auto" w:fill="FFE599"/>
            <w:vAlign w:val="center"/>
          </w:tcPr>
          <w:p>
            <w:pPr>
              <w:snapToGrid w:val="0"/>
              <w:spacing w:line="240" w:lineRule="atLeast"/>
              <w:ind w:firstLine="28"/>
              <w:jc w:val="center"/>
              <w:rPr>
                <w:rFonts w:ascii="Times New Roman" w:hAnsi="Times New Roman" w:cs="Times New Roman"/>
                <w:sz w:val="21"/>
                <w:szCs w:val="21"/>
                <w:lang w:eastAsia="zh-CN"/>
              </w:rPr>
            </w:pPr>
            <w:r>
              <w:rPr>
                <w:rFonts w:ascii="Times New Roman" w:cs="Times New Roman"/>
                <w:sz w:val="21"/>
                <w:szCs w:val="21"/>
                <w:lang w:eastAsia="zh-CN"/>
              </w:rPr>
              <w:t>技术部分</w:t>
            </w:r>
          </w:p>
          <w:p>
            <w:pPr>
              <w:snapToGrid w:val="0"/>
              <w:spacing w:line="240" w:lineRule="atLeast"/>
              <w:ind w:firstLine="28"/>
              <w:jc w:val="center"/>
              <w:rPr>
                <w:rFonts w:ascii="Times New Roman" w:hAnsi="Times New Roman" w:cs="Times New Roman"/>
                <w:sz w:val="21"/>
                <w:szCs w:val="21"/>
                <w:lang w:eastAsia="zh-CN"/>
              </w:rPr>
            </w:pPr>
            <w:r>
              <w:rPr>
                <w:rFonts w:ascii="Times New Roman" w:cs="Times New Roman"/>
                <w:sz w:val="21"/>
                <w:szCs w:val="21"/>
                <w:lang w:eastAsia="zh-CN"/>
              </w:rPr>
              <w:t>（</w:t>
            </w:r>
            <w:r>
              <w:rPr>
                <w:rFonts w:hint="eastAsia" w:ascii="Times New Roman" w:cs="Times New Roman"/>
                <w:sz w:val="21"/>
                <w:szCs w:val="21"/>
                <w:lang w:val="en-US" w:eastAsia="zh-CN"/>
              </w:rPr>
              <w:t>20</w:t>
            </w:r>
            <w:r>
              <w:rPr>
                <w:rFonts w:ascii="Times New Roman" w:hAnsi="Times New Roman" w:cs="Times New Roman"/>
                <w:sz w:val="21"/>
                <w:szCs w:val="21"/>
                <w:lang w:eastAsia="zh-CN"/>
              </w:rPr>
              <w:t>%</w:t>
            </w:r>
            <w:r>
              <w:rPr>
                <w:rFonts w:ascii="Times New Roman" w:cs="Times New Roman"/>
                <w:sz w:val="21"/>
                <w:szCs w:val="21"/>
                <w:lang w:eastAsia="zh-CN"/>
              </w:rPr>
              <w:t>）</w:t>
            </w: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cs="Times New Roman"/>
                <w:sz w:val="21"/>
                <w:szCs w:val="21"/>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ascii="Times New Roman" w:hAnsi="Times New Roman" w:cs="Times New Roman"/>
                <w:sz w:val="21"/>
                <w:szCs w:val="21"/>
                <w:lang w:eastAsia="zh-CN"/>
              </w:rPr>
            </w:pPr>
            <w:r>
              <w:rPr>
                <w:rFonts w:ascii="Times New Roman" w:cs="Times New Roman"/>
                <w:sz w:val="21"/>
                <w:szCs w:val="21"/>
                <w:lang w:eastAsia="zh-CN"/>
              </w:rPr>
              <w:t>对项目的认识：</w:t>
            </w:r>
          </w:p>
          <w:p>
            <w:pPr>
              <w:snapToGrid w:val="0"/>
              <w:rPr>
                <w:rFonts w:ascii="Times New Roman" w:hAnsi="Times New Roman" w:cs="Times New Roman"/>
                <w:sz w:val="21"/>
                <w:szCs w:val="21"/>
                <w:lang w:eastAsia="zh-CN"/>
              </w:rPr>
            </w:pPr>
            <w:r>
              <w:rPr>
                <w:rFonts w:ascii="Times New Roman" w:cs="Times New Roman"/>
                <w:sz w:val="21"/>
                <w:szCs w:val="21"/>
                <w:lang w:eastAsia="zh-CN"/>
              </w:rPr>
              <w:t>结合项目</w:t>
            </w:r>
            <w:r>
              <w:rPr>
                <w:rFonts w:hint="eastAsia" w:ascii="Times New Roman" w:cs="Times New Roman"/>
                <w:sz w:val="21"/>
                <w:szCs w:val="21"/>
                <w:lang w:val="en-US" w:eastAsia="zh-CN"/>
              </w:rPr>
              <w:t>基本情况、项目研究的目的和内容</w:t>
            </w:r>
            <w:r>
              <w:rPr>
                <w:rFonts w:ascii="Times New Roman" w:cs="Times New Roman"/>
                <w:sz w:val="21"/>
                <w:szCs w:val="21"/>
                <w:lang w:eastAsia="zh-CN"/>
              </w:rPr>
              <w:t>等情况编制相应书面资料。评标专家横向比较资料完整性及体现出的认识程度，进行评分。优得</w:t>
            </w:r>
            <w:r>
              <w:rPr>
                <w:rFonts w:ascii="Times New Roman" w:hAnsi="Times New Roman" w:cs="Times New Roman"/>
                <w:sz w:val="21"/>
                <w:szCs w:val="21"/>
                <w:lang w:eastAsia="zh-CN"/>
              </w:rPr>
              <w:t>2</w:t>
            </w:r>
            <w:r>
              <w:rPr>
                <w:rFonts w:ascii="Times New Roman" w:cs="Times New Roman"/>
                <w:sz w:val="21"/>
                <w:szCs w:val="21"/>
                <w:lang w:eastAsia="zh-CN"/>
              </w:rPr>
              <w:t>分；中得</w:t>
            </w:r>
            <w:r>
              <w:rPr>
                <w:rFonts w:ascii="Times New Roman" w:hAnsi="Times New Roman" w:cs="Times New Roman"/>
                <w:sz w:val="21"/>
                <w:szCs w:val="21"/>
                <w:lang w:eastAsia="zh-CN"/>
              </w:rPr>
              <w:t>1</w:t>
            </w:r>
            <w:r>
              <w:rPr>
                <w:rFonts w:ascii="Times New Roman" w:cs="Times New Roman"/>
                <w:sz w:val="21"/>
                <w:szCs w:val="21"/>
                <w:lang w:eastAsia="zh-CN"/>
              </w:rPr>
              <w:t>分；差得</w:t>
            </w:r>
            <w:r>
              <w:rPr>
                <w:rFonts w:ascii="Times New Roman" w:hAnsi="Times New Roman" w:cs="Times New Roman"/>
                <w:sz w:val="21"/>
                <w:szCs w:val="21"/>
                <w:lang w:eastAsia="zh-CN"/>
              </w:rPr>
              <w:t>0</w:t>
            </w:r>
            <w:r>
              <w:rPr>
                <w:rFonts w:ascii="Times New Roman" w:cs="Times New Roman"/>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2283"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ascii="Times New Roman" w:hAnsi="Times New Roman" w:cs="Times New Roman"/>
                <w:sz w:val="21"/>
                <w:szCs w:val="21"/>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ascii="Times New Roman" w:hAnsi="Times New Roman" w:cs="Times New Roman"/>
                <w:sz w:val="21"/>
                <w:szCs w:val="21"/>
                <w:lang w:eastAsia="zh-CN"/>
              </w:rPr>
            </w:pP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ind w:firstLine="28"/>
              <w:jc w:val="center"/>
              <w:rPr>
                <w:rFonts w:ascii="Times New Roman" w:hAnsi="Times New Roman" w:cs="Times New Roman"/>
                <w:sz w:val="21"/>
                <w:szCs w:val="21"/>
                <w:lang w:eastAsia="zh-CN"/>
              </w:rPr>
            </w:pPr>
            <w:r>
              <w:rPr>
                <w:rFonts w:hint="eastAsia" w:ascii="Times New Roman" w:cs="Times New Roman"/>
                <w:sz w:val="21"/>
                <w:szCs w:val="21"/>
                <w:lang w:val="en-US" w:eastAsia="zh-CN"/>
              </w:rPr>
              <w:t>13</w:t>
            </w:r>
            <w:r>
              <w:rPr>
                <w:rFonts w:ascii="Times New Roman" w:cs="Times New Roman"/>
                <w:sz w:val="21"/>
                <w:szCs w:val="21"/>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ascii="Times New Roman" w:hAnsi="Times New Roman" w:cs="Times New Roman"/>
                <w:sz w:val="21"/>
                <w:szCs w:val="21"/>
                <w:lang w:eastAsia="zh-CN"/>
              </w:rPr>
            </w:pPr>
            <w:r>
              <w:rPr>
                <w:rFonts w:ascii="Times New Roman" w:cs="Times New Roman"/>
                <w:sz w:val="21"/>
                <w:szCs w:val="21"/>
                <w:lang w:eastAsia="zh-CN"/>
              </w:rPr>
              <w:t>技术方案：</w:t>
            </w:r>
          </w:p>
          <w:p>
            <w:pPr>
              <w:snapToGrid w:val="0"/>
              <w:rPr>
                <w:rFonts w:ascii="Times New Roman" w:hAnsi="Times New Roman" w:cs="Times New Roman"/>
                <w:sz w:val="21"/>
                <w:szCs w:val="21"/>
                <w:lang w:eastAsia="zh-CN"/>
              </w:rPr>
            </w:pPr>
            <w:r>
              <w:rPr>
                <w:rFonts w:ascii="Times New Roman" w:cs="Times New Roman"/>
                <w:sz w:val="21"/>
                <w:szCs w:val="21"/>
                <w:lang w:eastAsia="zh-CN"/>
              </w:rPr>
              <w:t>结合项目需求，编制相应专项研究</w:t>
            </w:r>
            <w:r>
              <w:rPr>
                <w:rFonts w:hint="eastAsia" w:ascii="Times New Roman" w:cs="Times New Roman"/>
                <w:sz w:val="21"/>
                <w:szCs w:val="21"/>
                <w:lang w:val="en-US" w:eastAsia="zh-CN"/>
              </w:rPr>
              <w:t>思路、</w:t>
            </w:r>
            <w:r>
              <w:rPr>
                <w:rFonts w:ascii="Times New Roman" w:cs="Times New Roman"/>
                <w:sz w:val="21"/>
                <w:szCs w:val="21"/>
                <w:lang w:eastAsia="zh-CN"/>
              </w:rPr>
              <w:t>方案、工作</w:t>
            </w:r>
            <w:r>
              <w:rPr>
                <w:rFonts w:hint="eastAsia" w:ascii="Times New Roman" w:cs="Times New Roman"/>
                <w:sz w:val="21"/>
                <w:szCs w:val="21"/>
                <w:lang w:val="en-US" w:eastAsia="zh-CN"/>
              </w:rPr>
              <w:t>计划</w:t>
            </w:r>
            <w:r>
              <w:rPr>
                <w:rFonts w:ascii="Times New Roman" w:cs="Times New Roman"/>
                <w:sz w:val="21"/>
                <w:szCs w:val="21"/>
                <w:lang w:eastAsia="zh-CN"/>
              </w:rPr>
              <w:t>等。评审专家横向比较资料全面、方案可行性及合理性进行评分。优得</w:t>
            </w:r>
            <w:r>
              <w:rPr>
                <w:rFonts w:hint="eastAsia" w:ascii="Times New Roman" w:hAnsi="Times New Roman" w:cs="Times New Roman"/>
                <w:sz w:val="21"/>
                <w:szCs w:val="21"/>
                <w:lang w:val="en-US" w:eastAsia="zh-CN"/>
              </w:rPr>
              <w:t>16-20</w:t>
            </w:r>
            <w:r>
              <w:rPr>
                <w:rFonts w:ascii="Times New Roman" w:cs="Times New Roman"/>
                <w:sz w:val="21"/>
                <w:szCs w:val="21"/>
                <w:lang w:eastAsia="zh-CN"/>
              </w:rPr>
              <w:t>分；中得</w:t>
            </w:r>
            <w:r>
              <w:rPr>
                <w:rFonts w:hint="eastAsia" w:ascii="Times New Roman" w:hAnsi="Times New Roman" w:cs="Times New Roman"/>
                <w:sz w:val="21"/>
                <w:szCs w:val="21"/>
                <w:lang w:val="en-US" w:eastAsia="zh-CN"/>
              </w:rPr>
              <w:t>11-15</w:t>
            </w:r>
            <w:r>
              <w:rPr>
                <w:rFonts w:ascii="Times New Roman" w:cs="Times New Roman"/>
                <w:sz w:val="21"/>
                <w:szCs w:val="21"/>
                <w:lang w:eastAsia="zh-CN"/>
              </w:rPr>
              <w:t>分；差得</w:t>
            </w:r>
            <w:r>
              <w:rPr>
                <w:rFonts w:ascii="Times New Roman" w:hAnsi="Times New Roman" w:cs="Times New Roman"/>
                <w:sz w:val="21"/>
                <w:szCs w:val="21"/>
                <w:lang w:eastAsia="zh-CN"/>
              </w:rPr>
              <w:t>0-</w:t>
            </w:r>
            <w:r>
              <w:rPr>
                <w:rFonts w:hint="eastAsia" w:ascii="Times New Roman" w:hAnsi="Times New Roman" w:cs="Times New Roman"/>
                <w:sz w:val="21"/>
                <w:szCs w:val="21"/>
                <w:lang w:val="en-US" w:eastAsia="zh-CN"/>
              </w:rPr>
              <w:t>10</w:t>
            </w:r>
            <w:r>
              <w:rPr>
                <w:rFonts w:ascii="Times New Roman" w:cs="Times New Roman"/>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4"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ascii="Times New Roman" w:hAnsi="Times New Roman" w:cs="Times New Roman"/>
                <w:sz w:val="21"/>
                <w:szCs w:val="21"/>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ascii="Times New Roman" w:hAnsi="Times New Roman" w:cs="Times New Roman"/>
                <w:sz w:val="21"/>
                <w:szCs w:val="21"/>
                <w:lang w:eastAsia="zh-CN"/>
              </w:rPr>
            </w:pPr>
          </w:p>
        </w:tc>
        <w:tc>
          <w:tcPr>
            <w:tcW w:w="849" w:type="dxa"/>
            <w:tcBorders>
              <w:left w:val="single" w:color="000000" w:sz="4" w:space="0"/>
              <w:right w:val="single" w:color="000000" w:sz="4" w:space="0"/>
            </w:tcBorders>
            <w:shd w:val="clear" w:color="auto" w:fill="FFE599"/>
            <w:vAlign w:val="center"/>
          </w:tcPr>
          <w:p>
            <w:pPr>
              <w:snapToGrid w:val="0"/>
              <w:ind w:firstLine="28"/>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r>
              <w:rPr>
                <w:rFonts w:ascii="Times New Roman" w:cs="Times New Roman"/>
                <w:sz w:val="21"/>
                <w:szCs w:val="21"/>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ascii="Times New Roman" w:hAnsi="Times New Roman" w:cs="Times New Roman"/>
                <w:sz w:val="21"/>
                <w:szCs w:val="21"/>
                <w:lang w:eastAsia="zh-CN"/>
              </w:rPr>
            </w:pPr>
            <w:r>
              <w:rPr>
                <w:rFonts w:ascii="Times New Roman" w:cs="Times New Roman"/>
                <w:sz w:val="21"/>
                <w:szCs w:val="21"/>
                <w:lang w:eastAsia="zh-CN"/>
              </w:rPr>
              <w:t>进度计划与措施：</w:t>
            </w:r>
          </w:p>
          <w:p>
            <w:pPr>
              <w:snapToGrid w:val="0"/>
              <w:rPr>
                <w:rFonts w:ascii="Times New Roman" w:hAnsi="Times New Roman" w:cs="Times New Roman"/>
                <w:sz w:val="21"/>
                <w:szCs w:val="21"/>
                <w:lang w:eastAsia="zh-CN"/>
              </w:rPr>
            </w:pPr>
            <w:r>
              <w:rPr>
                <w:rFonts w:ascii="Times New Roman" w:cs="Times New Roman"/>
                <w:sz w:val="21"/>
                <w:szCs w:val="21"/>
                <w:lang w:eastAsia="zh-CN"/>
              </w:rPr>
              <w:t>从总计划各关键环节的工期切实可行，保证工期的措施科学、可靠等方面进行独立评分。优得</w:t>
            </w:r>
            <w:r>
              <w:rPr>
                <w:rFonts w:ascii="Times New Roman" w:hAnsi="Times New Roman" w:cs="Times New Roman"/>
                <w:sz w:val="21"/>
                <w:szCs w:val="21"/>
                <w:lang w:eastAsia="zh-CN"/>
              </w:rPr>
              <w:t>3</w:t>
            </w:r>
            <w:r>
              <w:rPr>
                <w:rFonts w:ascii="Times New Roman" w:cs="Times New Roman"/>
                <w:sz w:val="21"/>
                <w:szCs w:val="21"/>
                <w:lang w:eastAsia="zh-CN"/>
              </w:rPr>
              <w:t>分；中得</w:t>
            </w:r>
            <w:r>
              <w:rPr>
                <w:rFonts w:ascii="Times New Roman" w:hAnsi="Times New Roman" w:cs="Times New Roman"/>
                <w:sz w:val="21"/>
                <w:szCs w:val="21"/>
                <w:lang w:eastAsia="zh-CN"/>
              </w:rPr>
              <w:t>2</w:t>
            </w:r>
            <w:r>
              <w:rPr>
                <w:rFonts w:ascii="Times New Roman" w:cs="Times New Roman"/>
                <w:sz w:val="21"/>
                <w:szCs w:val="21"/>
                <w:lang w:eastAsia="zh-CN"/>
              </w:rPr>
              <w:t>分；差得</w:t>
            </w:r>
            <w:r>
              <w:rPr>
                <w:rFonts w:ascii="Times New Roman" w:hAnsi="Times New Roman" w:cs="Times New Roman"/>
                <w:sz w:val="21"/>
                <w:szCs w:val="21"/>
                <w:lang w:eastAsia="zh-CN"/>
              </w:rPr>
              <w:t>0-1</w:t>
            </w:r>
            <w:r>
              <w:rPr>
                <w:rFonts w:ascii="Times New Roman" w:cs="Times New Roman"/>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894" w:hRule="atLeast"/>
          <w:tblHeader/>
          <w:jc w:val="center"/>
        </w:trPr>
        <w:tc>
          <w:tcPr>
            <w:tcW w:w="585" w:type="dxa"/>
            <w:vMerge w:val="continue"/>
            <w:tcBorders>
              <w:left w:val="single" w:color="000000" w:sz="4" w:space="0"/>
              <w:right w:val="single" w:color="000000" w:sz="4" w:space="0"/>
            </w:tcBorders>
            <w:shd w:val="clear" w:color="auto" w:fill="FFE599"/>
            <w:vAlign w:val="center"/>
          </w:tcPr>
          <w:p>
            <w:pPr>
              <w:spacing w:line="240" w:lineRule="atLeast"/>
              <w:ind w:firstLine="28"/>
              <w:jc w:val="center"/>
              <w:rPr>
                <w:rFonts w:ascii="Times New Roman" w:hAnsi="Times New Roman" w:cs="Times New Roman"/>
                <w:sz w:val="21"/>
                <w:szCs w:val="21"/>
                <w:lang w:eastAsia="zh-CN"/>
              </w:rPr>
            </w:pPr>
          </w:p>
        </w:tc>
        <w:tc>
          <w:tcPr>
            <w:tcW w:w="1224" w:type="dxa"/>
            <w:vMerge w:val="continue"/>
            <w:tcBorders>
              <w:left w:val="single" w:color="000000" w:sz="4" w:space="0"/>
              <w:right w:val="single" w:color="000000" w:sz="4" w:space="0"/>
            </w:tcBorders>
            <w:shd w:val="clear" w:color="auto" w:fill="FFE599"/>
            <w:vAlign w:val="center"/>
          </w:tcPr>
          <w:p>
            <w:pPr>
              <w:snapToGrid w:val="0"/>
              <w:spacing w:line="240" w:lineRule="atLeast"/>
              <w:ind w:firstLine="28"/>
              <w:jc w:val="center"/>
              <w:rPr>
                <w:rFonts w:ascii="Times New Roman" w:hAnsi="Times New Roman" w:cs="Times New Roman"/>
                <w:sz w:val="21"/>
                <w:szCs w:val="21"/>
                <w:lang w:eastAsia="zh-CN"/>
              </w:rPr>
            </w:pPr>
          </w:p>
        </w:tc>
        <w:tc>
          <w:tcPr>
            <w:tcW w:w="849" w:type="dxa"/>
            <w:tcBorders>
              <w:left w:val="single" w:color="000000" w:sz="4" w:space="0"/>
              <w:right w:val="single" w:color="000000" w:sz="4" w:space="0"/>
            </w:tcBorders>
            <w:shd w:val="clear" w:color="auto" w:fill="FFE599"/>
            <w:vAlign w:val="center"/>
          </w:tcPr>
          <w:p>
            <w:pPr>
              <w:snapToGrid w:val="0"/>
              <w:ind w:firstLine="28"/>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r>
              <w:rPr>
                <w:rFonts w:ascii="Times New Roman" w:cs="Times New Roman"/>
                <w:sz w:val="21"/>
                <w:szCs w:val="21"/>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ascii="Times New Roman" w:hAnsi="Times New Roman" w:cs="Times New Roman"/>
                <w:sz w:val="21"/>
                <w:szCs w:val="21"/>
                <w:lang w:eastAsia="zh-CN"/>
              </w:rPr>
            </w:pPr>
            <w:r>
              <w:rPr>
                <w:rFonts w:ascii="Times New Roman" w:cs="Times New Roman"/>
                <w:sz w:val="21"/>
                <w:szCs w:val="21"/>
                <w:lang w:eastAsia="zh-CN"/>
              </w:rPr>
              <w:t>成果验证承诺：</w:t>
            </w:r>
          </w:p>
          <w:p>
            <w:pPr>
              <w:snapToGrid w:val="0"/>
              <w:rPr>
                <w:rFonts w:ascii="Times New Roman" w:hAnsi="Times New Roman" w:cs="Times New Roman"/>
                <w:sz w:val="21"/>
                <w:szCs w:val="21"/>
                <w:lang w:eastAsia="zh-CN"/>
              </w:rPr>
            </w:pPr>
            <w:r>
              <w:rPr>
                <w:rFonts w:ascii="Times New Roman" w:cs="Times New Roman"/>
                <w:sz w:val="21"/>
                <w:szCs w:val="21"/>
                <w:lang w:eastAsia="zh-CN"/>
              </w:rPr>
              <w:t>提供项目成果验证承诺书（承诺书模板见附件）。对项目初步成果进行后续验证。提供承诺书</w:t>
            </w:r>
            <w:r>
              <w:rPr>
                <w:rFonts w:hint="eastAsia" w:ascii="Times New Roman" w:cs="Times New Roman"/>
                <w:sz w:val="21"/>
                <w:szCs w:val="21"/>
                <w:lang w:val="en-US" w:eastAsia="zh-CN"/>
              </w:rPr>
              <w:t>得</w:t>
            </w:r>
            <w:r>
              <w:rPr>
                <w:rFonts w:ascii="Times New Roman" w:hAnsi="Times New Roman" w:cs="Times New Roman"/>
                <w:sz w:val="21"/>
                <w:szCs w:val="21"/>
                <w:lang w:eastAsia="zh-CN"/>
              </w:rPr>
              <w:t>2</w:t>
            </w:r>
            <w:r>
              <w:rPr>
                <w:rFonts w:ascii="Times New Roman" w:cs="Times New Roman"/>
                <w:sz w:val="21"/>
                <w:szCs w:val="21"/>
                <w:lang w:eastAsia="zh-CN"/>
              </w:rPr>
              <w:t>分；未提供得</w:t>
            </w:r>
            <w:r>
              <w:rPr>
                <w:rFonts w:ascii="Times New Roman" w:hAnsi="Times New Roman" w:cs="Times New Roman"/>
                <w:sz w:val="21"/>
                <w:szCs w:val="21"/>
                <w:lang w:eastAsia="zh-CN"/>
              </w:rPr>
              <w:t>0</w:t>
            </w:r>
            <w:r>
              <w:rPr>
                <w:rFonts w:ascii="Times New Roman" w:cs="Times New Roman"/>
                <w:sz w:val="21"/>
                <w:szCs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984" w:hRule="atLeast"/>
          <w:tblHeader/>
          <w:jc w:val="center"/>
        </w:trPr>
        <w:tc>
          <w:tcPr>
            <w:tcW w:w="585" w:type="dxa"/>
            <w:vMerge w:val="restart"/>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1224" w:type="dxa"/>
            <w:vMerge w:val="restart"/>
            <w:tcBorders>
              <w:top w:val="single" w:color="000000" w:sz="4" w:space="0"/>
              <w:left w:val="single" w:color="000000" w:sz="4" w:space="0"/>
              <w:right w:val="single" w:color="000000" w:sz="4" w:space="0"/>
            </w:tcBorders>
            <w:shd w:val="clear" w:color="auto" w:fill="FFE599"/>
            <w:vAlign w:val="center"/>
          </w:tcPr>
          <w:p>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商务部分</w:t>
            </w:r>
          </w:p>
          <w:p>
            <w:pPr>
              <w:spacing w:line="400" w:lineRule="exact"/>
              <w:jc w:val="center"/>
              <w:rPr>
                <w:rFonts w:ascii="Times New Roman" w:hAnsi="Times New Roman" w:cs="Times New Roman"/>
                <w:sz w:val="21"/>
                <w:szCs w:val="21"/>
                <w:lang w:eastAsia="zh-CN"/>
              </w:rPr>
            </w:pPr>
            <w:r>
              <w:rPr>
                <w:rFonts w:ascii="Times New Roman" w:cs="Times New Roman"/>
                <w:sz w:val="21"/>
                <w:szCs w:val="21"/>
                <w:lang w:eastAsia="zh-CN"/>
              </w:rPr>
              <w:t>（</w:t>
            </w:r>
            <w:r>
              <w:rPr>
                <w:rFonts w:ascii="Times New Roman" w:hAnsi="Times New Roman" w:cs="Times New Roman"/>
                <w:sz w:val="21"/>
                <w:szCs w:val="21"/>
                <w:lang w:eastAsia="zh-CN"/>
              </w:rPr>
              <w:t>1</w:t>
            </w:r>
            <w:r>
              <w:rPr>
                <w:rFonts w:hint="eastAsia" w:ascii="Times New Roman" w:hAnsi="Times New Roman" w:cs="Times New Roman"/>
                <w:sz w:val="21"/>
                <w:szCs w:val="21"/>
                <w:lang w:val="en-US" w:eastAsia="zh-CN"/>
              </w:rPr>
              <w:t>0</w:t>
            </w:r>
            <w:r>
              <w:rPr>
                <w:rFonts w:ascii="Times New Roman" w:hAnsi="Times New Roman" w:cs="Times New Roman"/>
                <w:sz w:val="21"/>
                <w:szCs w:val="21"/>
                <w:lang w:eastAsia="zh-CN"/>
              </w:rPr>
              <w:t>%</w:t>
            </w:r>
            <w:r>
              <w:rPr>
                <w:rFonts w:ascii="Times New Roman" w:cs="Times New Roman"/>
                <w:sz w:val="21"/>
                <w:szCs w:val="21"/>
                <w:lang w:eastAsia="zh-CN"/>
              </w:rPr>
              <w:t>）</w:t>
            </w:r>
          </w:p>
        </w:tc>
        <w:tc>
          <w:tcPr>
            <w:tcW w:w="849" w:type="dxa"/>
            <w:tcBorders>
              <w:top w:val="single" w:color="000000" w:sz="4" w:space="0"/>
              <w:left w:val="single" w:color="000000" w:sz="4" w:space="0"/>
              <w:right w:val="single" w:color="000000" w:sz="4" w:space="0"/>
            </w:tcBorders>
            <w:shd w:val="clear" w:color="auto" w:fill="FFE599"/>
            <w:vAlign w:val="center"/>
          </w:tcPr>
          <w:p>
            <w:pPr>
              <w:snapToGrid w:val="0"/>
              <w:spacing w:line="400" w:lineRule="exact"/>
              <w:jc w:val="center"/>
              <w:rPr>
                <w:rFonts w:ascii="Times New Roman" w:hAnsi="Times New Roman" w:cs="Times New Roman"/>
                <w:sz w:val="21"/>
                <w:szCs w:val="21"/>
                <w:lang w:eastAsia="zh-CN"/>
              </w:rPr>
            </w:pPr>
            <w:r>
              <w:rPr>
                <w:rFonts w:hint="eastAsia" w:ascii="Times New Roman" w:cs="Times New Roman"/>
                <w:sz w:val="21"/>
                <w:szCs w:val="21"/>
                <w:lang w:val="en-US" w:eastAsia="zh-CN"/>
              </w:rPr>
              <w:t>6</w:t>
            </w:r>
            <w:r>
              <w:rPr>
                <w:rFonts w:ascii="Times New Roman" w:cs="Times New Roman"/>
                <w:sz w:val="21"/>
                <w:szCs w:val="21"/>
                <w:lang w:eastAsia="zh-CN"/>
              </w:rPr>
              <w:t>分</w:t>
            </w:r>
          </w:p>
        </w:tc>
        <w:tc>
          <w:tcPr>
            <w:tcW w:w="5526" w:type="dxa"/>
            <w:tcBorders>
              <w:top w:val="single" w:color="000000" w:sz="4" w:space="0"/>
              <w:left w:val="single" w:color="000000" w:sz="4" w:space="0"/>
              <w:right w:val="single" w:color="auto" w:sz="4" w:space="0"/>
            </w:tcBorders>
            <w:shd w:val="clear" w:color="auto" w:fill="FFE599"/>
            <w:vAlign w:val="center"/>
          </w:tcPr>
          <w:p>
            <w:pPr>
              <w:snapToGrid w:val="0"/>
              <w:rPr>
                <w:rFonts w:ascii="Times New Roman" w:hAnsi="Times New Roman" w:cs="Times New Roman"/>
                <w:sz w:val="21"/>
                <w:szCs w:val="21"/>
                <w:lang w:eastAsia="zh-CN"/>
              </w:rPr>
            </w:pPr>
            <w:r>
              <w:rPr>
                <w:rFonts w:ascii="Times New Roman" w:cs="Times New Roman"/>
                <w:sz w:val="21"/>
                <w:szCs w:val="21"/>
                <w:lang w:eastAsia="zh-CN"/>
              </w:rPr>
              <w:t>投标人业绩：</w:t>
            </w:r>
          </w:p>
          <w:p>
            <w:pPr>
              <w:snapToGrid w:val="0"/>
              <w:rPr>
                <w:rFonts w:ascii="Times New Roman" w:hAnsi="Times New Roman" w:cs="Times New Roman"/>
                <w:sz w:val="21"/>
                <w:szCs w:val="21"/>
                <w:lang w:eastAsia="zh-CN"/>
              </w:rPr>
            </w:pPr>
            <w:r>
              <w:rPr>
                <w:rFonts w:cs="Times New Roman"/>
                <w:sz w:val="21"/>
                <w:szCs w:val="21"/>
                <w:lang w:eastAsia="zh-CN"/>
              </w:rPr>
              <w:t>①</w:t>
            </w:r>
            <w:r>
              <w:rPr>
                <w:rFonts w:ascii="Times New Roman" w:cs="Times New Roman"/>
                <w:sz w:val="21"/>
                <w:szCs w:val="21"/>
                <w:lang w:eastAsia="zh-CN"/>
              </w:rPr>
              <w:t>投标人承担过</w:t>
            </w:r>
            <w:r>
              <w:rPr>
                <w:rFonts w:hint="eastAsia" w:ascii="Times New Roman" w:cs="Times New Roman"/>
                <w:sz w:val="21"/>
                <w:szCs w:val="21"/>
                <w:lang w:val="en-US" w:eastAsia="zh-CN"/>
              </w:rPr>
              <w:t>港航物流、物流发展规划研究的</w:t>
            </w:r>
            <w:r>
              <w:rPr>
                <w:rFonts w:ascii="Times New Roman" w:cs="Times New Roman"/>
                <w:sz w:val="21"/>
                <w:szCs w:val="21"/>
                <w:lang w:eastAsia="zh-CN"/>
              </w:rPr>
              <w:t>，得</w:t>
            </w:r>
            <w:r>
              <w:rPr>
                <w:rFonts w:hint="eastAsia" w:ascii="Times New Roman" w:cs="Times New Roman"/>
                <w:sz w:val="21"/>
                <w:szCs w:val="21"/>
                <w:lang w:val="en-US" w:eastAsia="zh-CN"/>
              </w:rPr>
              <w:t>4</w:t>
            </w:r>
            <w:r>
              <w:rPr>
                <w:rFonts w:ascii="Times New Roman" w:cs="Times New Roman"/>
                <w:sz w:val="21"/>
                <w:szCs w:val="21"/>
                <w:lang w:eastAsia="zh-CN"/>
              </w:rPr>
              <w:t>分，未提供得</w:t>
            </w:r>
            <w:r>
              <w:rPr>
                <w:rFonts w:ascii="Times New Roman" w:hAnsi="Times New Roman" w:cs="Times New Roman"/>
                <w:sz w:val="21"/>
                <w:szCs w:val="21"/>
                <w:lang w:eastAsia="zh-CN"/>
              </w:rPr>
              <w:t>0</w:t>
            </w:r>
            <w:r>
              <w:rPr>
                <w:rFonts w:ascii="Times New Roman" w:cs="Times New Roman"/>
                <w:sz w:val="21"/>
                <w:szCs w:val="21"/>
                <w:lang w:eastAsia="zh-CN"/>
              </w:rPr>
              <w:t>分。</w:t>
            </w:r>
            <w:r>
              <w:rPr>
                <w:rFonts w:hint="eastAsia" w:ascii="Times New Roman" w:hAnsi="Times New Roman" w:cs="Times New Roman"/>
                <w:sz w:val="21"/>
                <w:szCs w:val="21"/>
                <w:lang w:val="en-US" w:eastAsia="zh-CN"/>
              </w:rPr>
              <w:t>每增加1个研究业绩，加1分，最多加2分。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70" w:hRule="atLeast"/>
          <w:tblHeader/>
          <w:jc w:val="center"/>
        </w:trPr>
        <w:tc>
          <w:tcPr>
            <w:tcW w:w="585" w:type="dxa"/>
            <w:vMerge w:val="continue"/>
            <w:tcBorders>
              <w:left w:val="single" w:color="000000" w:sz="4" w:space="0"/>
              <w:right w:val="single" w:color="000000" w:sz="4" w:space="0"/>
            </w:tcBorders>
            <w:shd w:val="clear" w:color="auto" w:fill="FFE599"/>
          </w:tcPr>
          <w:p>
            <w:pPr>
              <w:spacing w:line="400" w:lineRule="exact"/>
              <w:jc w:val="center"/>
              <w:rPr>
                <w:rFonts w:ascii="Times New Roman" w:hAnsi="Times New Roman" w:cs="Times New Roman"/>
                <w:sz w:val="21"/>
                <w:szCs w:val="21"/>
                <w:lang w:eastAsia="zh-CN"/>
              </w:rPr>
            </w:pPr>
          </w:p>
        </w:tc>
        <w:tc>
          <w:tcPr>
            <w:tcW w:w="1224" w:type="dxa"/>
            <w:vMerge w:val="continue"/>
            <w:tcBorders>
              <w:left w:val="single" w:color="000000" w:sz="4" w:space="0"/>
              <w:right w:val="single" w:color="000000" w:sz="4" w:space="0"/>
            </w:tcBorders>
            <w:shd w:val="clear" w:color="auto" w:fill="FFE599"/>
          </w:tcPr>
          <w:p>
            <w:pPr>
              <w:spacing w:line="400" w:lineRule="exact"/>
              <w:jc w:val="center"/>
              <w:rPr>
                <w:rFonts w:ascii="Times New Roman" w:hAnsi="Times New Roman" w:cs="Times New Roman"/>
                <w:sz w:val="21"/>
                <w:szCs w:val="21"/>
                <w:lang w:eastAsia="zh-CN"/>
              </w:rPr>
            </w:pPr>
          </w:p>
        </w:tc>
        <w:tc>
          <w:tcPr>
            <w:tcW w:w="849" w:type="dxa"/>
            <w:tcBorders>
              <w:left w:val="single" w:color="000000" w:sz="4" w:space="0"/>
              <w:right w:val="single" w:color="000000" w:sz="4" w:space="0"/>
            </w:tcBorders>
            <w:shd w:val="clear" w:color="auto" w:fill="FFE599"/>
            <w:vAlign w:val="center"/>
          </w:tcPr>
          <w:p>
            <w:pPr>
              <w:snapToGrid w:val="0"/>
              <w:spacing w:line="400" w:lineRule="exact"/>
              <w:jc w:val="center"/>
              <w:rPr>
                <w:rFonts w:ascii="Times New Roman" w:hAnsi="Times New Roman" w:cs="Times New Roman"/>
                <w:sz w:val="21"/>
                <w:szCs w:val="21"/>
                <w:lang w:eastAsia="zh-CN"/>
              </w:rPr>
            </w:pPr>
            <w:r>
              <w:rPr>
                <w:rFonts w:hint="eastAsia" w:ascii="Times New Roman" w:cs="Times New Roman"/>
                <w:sz w:val="21"/>
                <w:szCs w:val="21"/>
                <w:lang w:val="en-US" w:eastAsia="zh-CN"/>
              </w:rPr>
              <w:t>3</w:t>
            </w:r>
            <w:r>
              <w:rPr>
                <w:rFonts w:ascii="Times New Roman" w:cs="Times New Roman"/>
                <w:sz w:val="21"/>
                <w:szCs w:val="21"/>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ascii="Times New Roman" w:hAnsi="Times New Roman" w:cs="Times New Roman"/>
                <w:sz w:val="21"/>
                <w:szCs w:val="21"/>
                <w:lang w:eastAsia="zh-CN"/>
              </w:rPr>
            </w:pPr>
            <w:r>
              <w:rPr>
                <w:rFonts w:ascii="Times New Roman" w:cs="Times New Roman"/>
                <w:sz w:val="21"/>
                <w:szCs w:val="21"/>
                <w:lang w:eastAsia="zh-CN"/>
              </w:rPr>
              <w:t>人力资源配备：</w:t>
            </w:r>
          </w:p>
          <w:p>
            <w:pPr>
              <w:snapToGrid w:val="0"/>
              <w:rPr>
                <w:rFonts w:hint="eastAsia" w:cs="Times New Roman"/>
                <w:sz w:val="21"/>
                <w:szCs w:val="21"/>
                <w:lang w:eastAsia="zh-CN"/>
              </w:rPr>
            </w:pPr>
            <w:r>
              <w:rPr>
                <w:rFonts w:hint="eastAsia" w:cs="Times New Roman"/>
                <w:sz w:val="21"/>
                <w:szCs w:val="21"/>
                <w:lang w:eastAsia="zh-CN"/>
              </w:rPr>
              <w:t>①项目负责人1名，需具有交通科研相关专业正高级工程师职称：有正高级工程师的得1分；满分1分，未提供得0分。</w:t>
            </w:r>
          </w:p>
          <w:p>
            <w:pPr>
              <w:snapToGrid w:val="0"/>
              <w:rPr>
                <w:rFonts w:hint="eastAsia" w:cs="Times New Roman"/>
                <w:sz w:val="21"/>
                <w:szCs w:val="21"/>
                <w:lang w:eastAsia="zh-CN"/>
              </w:rPr>
            </w:pPr>
            <w:r>
              <w:rPr>
                <w:rFonts w:hint="eastAsia" w:cs="Times New Roman"/>
                <w:sz w:val="21"/>
                <w:szCs w:val="21"/>
                <w:lang w:eastAsia="zh-CN"/>
              </w:rPr>
              <w:t>②技术负责人1名，需具有交通运输相关专业高级工程师及以上职称且具有注册咨询工程师证书，有得1分；满分1分，未提供得0分。</w:t>
            </w:r>
          </w:p>
          <w:p>
            <w:pPr>
              <w:snapToGrid w:val="0"/>
              <w:rPr>
                <w:rFonts w:ascii="Times New Roman" w:hAnsi="Times New Roman" w:cs="Times New Roman"/>
                <w:sz w:val="21"/>
                <w:szCs w:val="21"/>
                <w:lang w:eastAsia="zh-CN"/>
              </w:rPr>
            </w:pPr>
            <w:r>
              <w:rPr>
                <w:rFonts w:hint="eastAsia" w:cs="Times New Roman"/>
                <w:sz w:val="21"/>
                <w:szCs w:val="21"/>
                <w:lang w:eastAsia="zh-CN"/>
              </w:rPr>
              <w:t>③骨干技术人员需具有交通运输专业高级工程师及以上职称，有得1分，满分1分，未提供得0分。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E599"/>
          <w:tblCellMar>
            <w:top w:w="0" w:type="dxa"/>
            <w:left w:w="108" w:type="dxa"/>
            <w:bottom w:w="0" w:type="dxa"/>
            <w:right w:w="108" w:type="dxa"/>
          </w:tblCellMar>
        </w:tblPrEx>
        <w:trPr>
          <w:trHeight w:val="1116" w:hRule="atLeast"/>
          <w:tblHeader/>
          <w:jc w:val="center"/>
        </w:trPr>
        <w:tc>
          <w:tcPr>
            <w:tcW w:w="585" w:type="dxa"/>
            <w:vMerge w:val="continue"/>
            <w:tcBorders>
              <w:left w:val="single" w:color="000000" w:sz="4" w:space="0"/>
              <w:right w:val="single" w:color="000000" w:sz="4" w:space="0"/>
            </w:tcBorders>
            <w:shd w:val="clear" w:color="auto" w:fill="FFE599"/>
          </w:tcPr>
          <w:p>
            <w:pPr>
              <w:spacing w:line="400" w:lineRule="exact"/>
              <w:jc w:val="center"/>
              <w:rPr>
                <w:rFonts w:ascii="Times New Roman" w:hAnsi="Times New Roman" w:cs="Times New Roman"/>
                <w:sz w:val="21"/>
                <w:szCs w:val="21"/>
                <w:lang w:eastAsia="zh-CN"/>
              </w:rPr>
            </w:pPr>
          </w:p>
        </w:tc>
        <w:tc>
          <w:tcPr>
            <w:tcW w:w="1224" w:type="dxa"/>
            <w:vMerge w:val="continue"/>
            <w:tcBorders>
              <w:left w:val="single" w:color="000000" w:sz="4" w:space="0"/>
              <w:right w:val="single" w:color="000000" w:sz="4" w:space="0"/>
            </w:tcBorders>
            <w:shd w:val="clear" w:color="auto" w:fill="FFE599"/>
          </w:tcPr>
          <w:p>
            <w:pPr>
              <w:spacing w:line="400" w:lineRule="exact"/>
              <w:jc w:val="center"/>
              <w:rPr>
                <w:rFonts w:ascii="Times New Roman" w:hAnsi="Times New Roman" w:cs="Times New Roman"/>
                <w:sz w:val="21"/>
                <w:szCs w:val="21"/>
                <w:lang w:eastAsia="zh-CN"/>
              </w:rPr>
            </w:pPr>
          </w:p>
        </w:tc>
        <w:tc>
          <w:tcPr>
            <w:tcW w:w="849" w:type="dxa"/>
            <w:tcBorders>
              <w:left w:val="single" w:color="000000" w:sz="4" w:space="0"/>
              <w:right w:val="single" w:color="000000" w:sz="4" w:space="0"/>
            </w:tcBorders>
            <w:shd w:val="clear" w:color="auto" w:fill="FFE599"/>
            <w:vAlign w:val="center"/>
          </w:tcPr>
          <w:p>
            <w:pPr>
              <w:snapToGrid w:val="0"/>
              <w:spacing w:line="400" w:lineRule="exact"/>
              <w:jc w:val="center"/>
              <w:rPr>
                <w:rFonts w:ascii="Times New Roman" w:hAnsi="Times New Roman" w:cs="Times New Roman"/>
                <w:sz w:val="21"/>
                <w:szCs w:val="21"/>
                <w:lang w:eastAsia="zh-CN"/>
              </w:rPr>
            </w:pPr>
            <w:r>
              <w:rPr>
                <w:rFonts w:hint="eastAsia" w:ascii="Times New Roman" w:cs="Times New Roman"/>
                <w:sz w:val="21"/>
                <w:szCs w:val="21"/>
                <w:lang w:val="en-US" w:eastAsia="zh-CN"/>
              </w:rPr>
              <w:t>1</w:t>
            </w:r>
            <w:r>
              <w:rPr>
                <w:rFonts w:ascii="Times New Roman" w:cs="Times New Roman"/>
                <w:sz w:val="21"/>
                <w:szCs w:val="21"/>
                <w:lang w:eastAsia="zh-CN"/>
              </w:rPr>
              <w:t>分</w:t>
            </w:r>
          </w:p>
        </w:tc>
        <w:tc>
          <w:tcPr>
            <w:tcW w:w="5526" w:type="dxa"/>
            <w:tcBorders>
              <w:top w:val="single" w:color="000000" w:sz="4" w:space="0"/>
              <w:left w:val="single" w:color="000000" w:sz="4" w:space="0"/>
              <w:bottom w:val="single" w:color="000000" w:sz="4" w:space="0"/>
              <w:right w:val="single" w:color="auto" w:sz="4" w:space="0"/>
            </w:tcBorders>
            <w:shd w:val="clear" w:color="auto" w:fill="FFE599"/>
            <w:vAlign w:val="center"/>
          </w:tcPr>
          <w:p>
            <w:pPr>
              <w:snapToGrid w:val="0"/>
              <w:rPr>
                <w:rFonts w:ascii="Times New Roman" w:hAnsi="Times New Roman" w:cs="Times New Roman"/>
                <w:sz w:val="21"/>
                <w:szCs w:val="21"/>
                <w:lang w:eastAsia="zh-CN"/>
              </w:rPr>
            </w:pPr>
            <w:r>
              <w:rPr>
                <w:rFonts w:ascii="Times New Roman" w:cs="Times New Roman"/>
                <w:sz w:val="21"/>
                <w:szCs w:val="21"/>
                <w:lang w:eastAsia="zh-CN"/>
              </w:rPr>
              <w:t>获奖情况：</w:t>
            </w:r>
          </w:p>
          <w:p>
            <w:pPr>
              <w:snapToGrid w:val="0"/>
              <w:rPr>
                <w:rFonts w:ascii="Times New Roman" w:hAnsi="Times New Roman" w:cs="Times New Roman"/>
                <w:sz w:val="21"/>
                <w:szCs w:val="21"/>
                <w:lang w:eastAsia="zh-CN"/>
              </w:rPr>
            </w:pPr>
            <w:r>
              <w:rPr>
                <w:rFonts w:ascii="Times New Roman" w:cs="Times New Roman"/>
                <w:sz w:val="21"/>
                <w:szCs w:val="21"/>
                <w:lang w:eastAsia="zh-CN"/>
              </w:rPr>
              <w:t>近</w:t>
            </w:r>
            <w:r>
              <w:rPr>
                <w:rFonts w:ascii="Times New Roman" w:hAnsi="Times New Roman" w:cs="Times New Roman"/>
                <w:sz w:val="21"/>
                <w:szCs w:val="21"/>
                <w:lang w:eastAsia="zh-CN"/>
              </w:rPr>
              <w:t>3</w:t>
            </w:r>
            <w:r>
              <w:rPr>
                <w:rFonts w:ascii="Times New Roman" w:cs="Times New Roman"/>
                <w:sz w:val="21"/>
                <w:szCs w:val="21"/>
                <w:lang w:eastAsia="zh-CN"/>
              </w:rPr>
              <w:t>年以来（</w:t>
            </w:r>
            <w:r>
              <w:rPr>
                <w:rFonts w:ascii="Times New Roman" w:hAnsi="Times New Roman" w:cs="Times New Roman"/>
                <w:sz w:val="21"/>
                <w:szCs w:val="21"/>
                <w:lang w:eastAsia="zh-CN"/>
              </w:rPr>
              <w:t>201</w:t>
            </w:r>
            <w:r>
              <w:rPr>
                <w:rFonts w:hint="eastAsia" w:ascii="Times New Roman" w:hAnsi="Times New Roman" w:cs="Times New Roman"/>
                <w:sz w:val="21"/>
                <w:szCs w:val="21"/>
                <w:lang w:val="en-US" w:eastAsia="zh-CN"/>
              </w:rPr>
              <w:t>7</w:t>
            </w:r>
            <w:r>
              <w:rPr>
                <w:rFonts w:ascii="Times New Roman" w:cs="Times New Roman"/>
                <w:sz w:val="21"/>
                <w:szCs w:val="21"/>
                <w:lang w:eastAsia="zh-CN"/>
              </w:rPr>
              <w:t>年</w:t>
            </w:r>
            <w:r>
              <w:rPr>
                <w:rFonts w:ascii="Times New Roman" w:hAnsi="Times New Roman" w:cs="Times New Roman"/>
                <w:sz w:val="21"/>
                <w:szCs w:val="21"/>
                <w:lang w:eastAsia="zh-CN"/>
              </w:rPr>
              <w:t>1</w:t>
            </w:r>
            <w:r>
              <w:rPr>
                <w:rFonts w:ascii="Times New Roman" w:cs="Times New Roman"/>
                <w:sz w:val="21"/>
                <w:szCs w:val="21"/>
                <w:lang w:eastAsia="zh-CN"/>
              </w:rPr>
              <w:t>月</w:t>
            </w:r>
            <w:r>
              <w:rPr>
                <w:rFonts w:ascii="Times New Roman" w:hAnsi="Times New Roman" w:cs="Times New Roman"/>
                <w:sz w:val="21"/>
                <w:szCs w:val="21"/>
                <w:lang w:eastAsia="zh-CN"/>
              </w:rPr>
              <w:t>1</w:t>
            </w:r>
            <w:r>
              <w:rPr>
                <w:rFonts w:ascii="Times New Roman" w:cs="Times New Roman"/>
                <w:sz w:val="21"/>
                <w:szCs w:val="21"/>
                <w:lang w:eastAsia="zh-CN"/>
              </w:rPr>
              <w:t>日至投标截止时间）投标人或技术骨干获得省部级以上（包含省部级）奖项得</w:t>
            </w:r>
            <w:r>
              <w:rPr>
                <w:rFonts w:hint="eastAsia" w:ascii="Times New Roman" w:cs="Times New Roman"/>
                <w:sz w:val="21"/>
                <w:szCs w:val="21"/>
                <w:lang w:val="en-US" w:eastAsia="zh-CN"/>
              </w:rPr>
              <w:t>1</w:t>
            </w:r>
            <w:r>
              <w:rPr>
                <w:rFonts w:ascii="Times New Roman" w:cs="Times New Roman"/>
                <w:sz w:val="21"/>
                <w:szCs w:val="21"/>
                <w:lang w:eastAsia="zh-CN"/>
              </w:rPr>
              <w:t>分，否则得</w:t>
            </w:r>
            <w:r>
              <w:rPr>
                <w:rFonts w:ascii="Times New Roman" w:hAnsi="Times New Roman" w:cs="Times New Roman"/>
                <w:sz w:val="21"/>
                <w:szCs w:val="21"/>
                <w:lang w:eastAsia="zh-CN"/>
              </w:rPr>
              <w:t>0</w:t>
            </w:r>
            <w:r>
              <w:rPr>
                <w:rFonts w:ascii="Times New Roman" w:cs="Times New Roman"/>
                <w:sz w:val="21"/>
                <w:szCs w:val="21"/>
                <w:lang w:eastAsia="zh-CN"/>
              </w:rPr>
              <w:t>分。</w:t>
            </w:r>
          </w:p>
        </w:tc>
      </w:tr>
    </w:tbl>
    <w:p>
      <w:pPr>
        <w:snapToGrid w:val="0"/>
        <w:spacing w:line="400" w:lineRule="exact"/>
        <w:jc w:val="center"/>
        <w:rPr>
          <w:rFonts w:ascii="Times New Roman" w:hAnsi="Times New Roman" w:cs="Times New Roman"/>
          <w:b/>
          <w:sz w:val="21"/>
          <w:szCs w:val="21"/>
          <w:lang w:eastAsia="zh-CN"/>
        </w:rPr>
      </w:pPr>
      <w:r>
        <w:rPr>
          <w:rFonts w:hint="eastAsia" w:ascii="Times New Roman" w:hAnsi="Times New Roman" w:cs="Times New Roman"/>
          <w:b/>
          <w:sz w:val="21"/>
          <w:szCs w:val="21"/>
          <w:lang w:eastAsia="zh-CN"/>
        </w:rPr>
        <w:t>备注：以上所有证明材料均需提供复印件，并加盖公章，统一装订入报价文件</w:t>
      </w:r>
    </w:p>
    <w:p>
      <w:pPr>
        <w:jc w:val="right"/>
        <w:rPr>
          <w:rFonts w:asciiTheme="minorEastAsia" w:hAnsiTheme="minorEastAsia" w:eastAsiaTheme="minorEastAsia"/>
          <w:szCs w:val="21"/>
          <w:lang w:eastAsia="zh-CN"/>
        </w:rPr>
      </w:pPr>
    </w:p>
    <w:p>
      <w:pPr>
        <w:jc w:val="both"/>
        <w:rPr>
          <w:rFonts w:hint="eastAsia"/>
          <w:lang w:val="en-US" w:eastAsia="zh-CN"/>
        </w:rPr>
      </w:pPr>
      <w:r>
        <w:rPr>
          <w:rFonts w:hint="eastAsia"/>
          <w:lang w:val="en-US" w:eastAsia="zh-CN"/>
        </w:rPr>
        <w:br w:type="page"/>
      </w:r>
    </w:p>
    <w:p>
      <w:pPr>
        <w:numPr>
          <w:ilvl w:val="0"/>
          <w:numId w:val="0"/>
        </w:numPr>
        <w:autoSpaceDE w:val="0"/>
        <w:autoSpaceDN w:val="0"/>
        <w:adjustRightInd w:val="0"/>
        <w:spacing w:line="564" w:lineRule="exact"/>
        <w:ind w:right="117" w:rightChars="0"/>
        <w:jc w:val="both"/>
        <w:outlineLvl w:val="0"/>
        <w:rPr>
          <w:rFonts w:hint="default" w:ascii="Times New Roman" w:hAnsi="Times New Roman" w:eastAsia="方正小标宋_GBK" w:cs="Times New Roman"/>
          <w:bCs/>
          <w:sz w:val="44"/>
          <w:szCs w:val="44"/>
          <w:lang w:val="zh-CN" w:eastAsia="zh-CN"/>
        </w:rPr>
      </w:pPr>
      <w:r>
        <w:rPr>
          <w:rFonts w:hint="eastAsia" w:ascii="Times New Roman" w:hAnsi="Times New Roman" w:eastAsia="方正小标宋_GBK" w:cs="Times New Roman"/>
          <w:bCs/>
          <w:sz w:val="44"/>
          <w:szCs w:val="44"/>
          <w:lang w:val="en-US" w:eastAsia="zh-CN"/>
        </w:rPr>
        <w:t xml:space="preserve">       第三章 </w:t>
      </w:r>
      <w:r>
        <w:rPr>
          <w:rFonts w:hint="default"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jc w:val="center"/>
        <w:rPr>
          <w:rFonts w:hint="default" w:ascii="Times New Roman" w:hAnsi="Times New Roman" w:eastAsia="方正小标宋_GBK" w:cs="Times New Roman"/>
          <w:bCs/>
          <w:sz w:val="48"/>
          <w:szCs w:val="48"/>
          <w:lang w:val="en-US" w:eastAsia="zh-CN"/>
        </w:rPr>
      </w:pPr>
      <w:r>
        <w:rPr>
          <w:rFonts w:hint="default" w:ascii="Times New Roman" w:hAnsi="Times New Roman" w:eastAsia="方正小标宋_GBK" w:cs="Times New Roman"/>
          <w:bCs/>
          <w:sz w:val="48"/>
          <w:szCs w:val="48"/>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bCs/>
          <w:sz w:val="48"/>
          <w:szCs w:val="48"/>
          <w:lang w:val="en-US" w:eastAsia="zh-CN"/>
        </w:rPr>
      </w:pPr>
      <w:r>
        <w:rPr>
          <w:rFonts w:hint="eastAsia" w:ascii="Times New Roman" w:hAnsi="Times New Roman" w:eastAsia="方正小标宋_GBK" w:cs="Times New Roman"/>
          <w:bCs/>
          <w:sz w:val="48"/>
          <w:szCs w:val="48"/>
          <w:lang w:val="en-US" w:eastAsia="zh-CN"/>
        </w:rPr>
        <w:t>新田港铁路专用线运行组织方案设计</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小标宋_GBK" w:cs="Times New Roman"/>
          <w:lang w:eastAsia="zh-CN"/>
        </w:rPr>
      </w:pPr>
    </w:p>
    <w:p>
      <w:pPr>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72"/>
          <w:szCs w:val="72"/>
          <w:lang w:eastAsia="zh-CN"/>
        </w:rPr>
        <w:t>报价文件</w:t>
      </w: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cs="Times New Roman"/>
          <w:lang w:eastAsia="zh-CN"/>
        </w:rPr>
      </w:pPr>
    </w:p>
    <w:p>
      <w:pP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（盖单位章）</w:t>
      </w:r>
    </w:p>
    <w:p>
      <w:pPr>
        <w:pStyle w:val="43"/>
        <w:rPr>
          <w:rFonts w:hint="default"/>
          <w:lang w:eastAsia="zh-CN"/>
        </w:rPr>
      </w:pPr>
    </w:p>
    <w:p>
      <w:pPr>
        <w:jc w:val="center"/>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法定代表人或其委托代理人:</w:t>
      </w:r>
      <w:r>
        <w:rPr>
          <w:rFonts w:hint="default" w:ascii="Times New Roman" w:hAnsi="Times New Roman" w:eastAsia="方正仿宋_GBK" w:cs="Times New Roman"/>
          <w:sz w:val="32"/>
          <w:szCs w:val="32"/>
          <w:u w:val="single"/>
          <w:lang w:eastAsia="zh-CN"/>
        </w:rPr>
        <w:t xml:space="preserve">         </w:t>
      </w:r>
      <w:r>
        <w:rPr>
          <w:rFonts w:hint="default" w:ascii="Times New Roman" w:hAnsi="Times New Roman" w:eastAsia="方正仿宋_GBK" w:cs="Times New Roman"/>
          <w:sz w:val="32"/>
          <w:szCs w:val="32"/>
          <w:lang w:eastAsia="zh-CN"/>
        </w:rPr>
        <w:t>（签字）</w:t>
      </w:r>
    </w:p>
    <w:p>
      <w:pPr>
        <w:jc w:val="center"/>
        <w:rPr>
          <w:rFonts w:hint="default" w:ascii="Times New Roman" w:hAnsi="Times New Roman" w:eastAsia="方正仿宋_GBK" w:cs="Times New Roman"/>
          <w:sz w:val="32"/>
          <w:szCs w:val="32"/>
          <w:lang w:eastAsia="zh-CN"/>
        </w:rPr>
      </w:pPr>
    </w:p>
    <w:p>
      <w:pPr>
        <w:jc w:val="center"/>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月   日</w:t>
      </w:r>
    </w:p>
    <w:p>
      <w:pPr>
        <w:pStyle w:val="99"/>
        <w:ind w:firstLine="420"/>
        <w:jc w:val="center"/>
        <w:rPr>
          <w:rFonts w:hint="default" w:ascii="Times New Roman" w:hAnsi="Times New Roman" w:eastAsia="方正小标宋_GBK" w:cs="Times New Roman"/>
          <w:sz w:val="44"/>
          <w:szCs w:val="44"/>
        </w:rPr>
      </w:pPr>
      <w:r>
        <w:rPr>
          <w:rFonts w:hint="default" w:ascii="Times New Roman" w:hAnsi="Times New Roman" w:eastAsia="宋体" w:cs="Times New Roman"/>
          <w:sz w:val="21"/>
          <w:szCs w:val="21"/>
        </w:rPr>
        <w:br w:type="page"/>
      </w:r>
      <w:r>
        <w:rPr>
          <w:rFonts w:hint="default" w:ascii="Times New Roman" w:hAnsi="Times New Roman" w:eastAsia="方正小标宋_GBK" w:cs="Times New Roman"/>
          <w:sz w:val="44"/>
          <w:szCs w:val="44"/>
        </w:rPr>
        <w:t>目  录</w:t>
      </w:r>
    </w:p>
    <w:p>
      <w:pPr>
        <w:tabs>
          <w:tab w:val="left" w:pos="469"/>
        </w:tabs>
        <w:spacing w:line="538" w:lineRule="exact"/>
        <w:rPr>
          <w:rFonts w:hint="default" w:ascii="Times New Roman" w:hAnsi="Times New Roman" w:eastAsia="方正仿宋_GBK" w:cs="Times New Roman"/>
          <w:sz w:val="32"/>
          <w:szCs w:val="32"/>
          <w:lang w:eastAsia="zh-CN"/>
        </w:rPr>
      </w:pPr>
      <w:bookmarkStart w:id="17" w:name="bookmark291"/>
      <w:r>
        <w:rPr>
          <w:rFonts w:hint="default"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二、投标函</w:t>
      </w:r>
    </w:p>
    <w:p>
      <w:pPr>
        <w:tabs>
          <w:tab w:val="left" w:pos="469"/>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三、报价表</w:t>
      </w:r>
    </w:p>
    <w:bookmarkEnd w:id="17"/>
    <w:p>
      <w:pPr>
        <w:tabs>
          <w:tab w:val="left" w:pos="474"/>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四、资格审查资料</w:t>
      </w:r>
    </w:p>
    <w:p>
      <w:pPr>
        <w:tabs>
          <w:tab w:val="left" w:pos="993"/>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w:t>
      </w:r>
      <w:r>
        <w:rPr>
          <w:rFonts w:hint="eastAsia" w:ascii="Times New Roman" w:hAnsi="Times New Roman" w:eastAsia="方正仿宋_GBK" w:cs="Times New Roman"/>
          <w:sz w:val="32"/>
          <w:szCs w:val="32"/>
          <w:lang w:val="en-US" w:eastAsia="zh-CN"/>
        </w:rPr>
        <w:t>对项目的认知、技术</w:t>
      </w:r>
      <w:r>
        <w:rPr>
          <w:rFonts w:hint="default" w:ascii="Times New Roman" w:hAnsi="Times New Roman" w:eastAsia="方正仿宋_GBK" w:cs="Times New Roman"/>
          <w:sz w:val="32"/>
          <w:szCs w:val="32"/>
          <w:lang w:eastAsia="zh-CN"/>
        </w:rPr>
        <w:t>方案及进度安排</w:t>
      </w:r>
    </w:p>
    <w:p>
      <w:pPr>
        <w:tabs>
          <w:tab w:val="left" w:pos="474"/>
        </w:tabs>
        <w:spacing w:line="538"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六、其他资料</w:t>
      </w:r>
    </w:p>
    <w:p>
      <w:pPr>
        <w:pStyle w:val="173"/>
        <w:keepNext/>
        <w:keepLines/>
        <w:shd w:val="clear" w:color="auto" w:fill="auto"/>
        <w:snapToGrid w:val="0"/>
        <w:spacing w:before="0" w:after="0" w:line="240" w:lineRule="auto"/>
        <w:jc w:val="both"/>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18" w:name="_Toc52097543"/>
      <w:bookmarkStart w:id="19" w:name="bookmark292"/>
      <w:bookmarkStart w:id="20" w:name="_Toc29194793"/>
      <w:bookmarkStart w:id="21" w:name="_Toc10710824"/>
      <w:r>
        <w:rPr>
          <w:rFonts w:hint="default" w:ascii="Times New Roman" w:hAnsi="Times New Roman" w:eastAsia="方正小标宋_GBK" w:cs="Times New Roman"/>
          <w:sz w:val="44"/>
          <w:szCs w:val="44"/>
        </w:rPr>
        <w:t>一、法定代表人身份证明或授权委托书</w:t>
      </w:r>
      <w:bookmarkEnd w:id="18"/>
    </w:p>
    <w:p>
      <w:pPr>
        <w:widowControl/>
        <w:rPr>
          <w:rFonts w:hint="default" w:ascii="Times New Roman" w:hAnsi="Times New Roman" w:cs="Times New Roman" w:eastAsiaTheme="minorEastAsia"/>
          <w:kern w:val="2"/>
          <w:sz w:val="32"/>
          <w:szCs w:val="32"/>
          <w:lang w:eastAsia="zh-CN"/>
        </w:rPr>
      </w:pPr>
      <w:r>
        <w:rPr>
          <w:rFonts w:hint="default" w:ascii="Times New Roman" w:hAnsi="Times New Roman" w:cs="Times New Roman"/>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sz w:val="44"/>
          <w:szCs w:val="44"/>
        </w:rPr>
      </w:pPr>
      <w:bookmarkStart w:id="22" w:name="_Toc52097544"/>
      <w:r>
        <w:rPr>
          <w:rFonts w:hint="default" w:ascii="Times New Roman" w:hAnsi="Times New Roman" w:eastAsia="方正小标宋_GBK" w:cs="Times New Roman"/>
          <w:sz w:val="44"/>
          <w:szCs w:val="44"/>
        </w:rPr>
        <w:t>二、报价函</w:t>
      </w:r>
      <w:bookmarkEnd w:id="19"/>
      <w:bookmarkEnd w:id="20"/>
      <w:bookmarkEnd w:id="21"/>
      <w:bookmarkEnd w:id="22"/>
    </w:p>
    <w:p>
      <w:pPr>
        <w:tabs>
          <w:tab w:val="left" w:leader="underscore" w:pos="2036"/>
        </w:tabs>
        <w:spacing w:line="510" w:lineRule="exact"/>
        <w:ind w:left="140"/>
        <w:rPr>
          <w:rFonts w:hint="default" w:ascii="Times New Roman" w:hAnsi="Times New Roman" w:eastAsia="方正仿宋_GBK" w:cs="Times New Roman"/>
          <w:sz w:val="32"/>
          <w:szCs w:val="32"/>
          <w:lang w:eastAsia="zh-CN"/>
        </w:rPr>
      </w:pPr>
      <w:bookmarkStart w:id="23" w:name="bookmark293"/>
      <w:r>
        <w:rPr>
          <w:rFonts w:hint="default" w:ascii="Times New Roman" w:hAnsi="Times New Roman" w:eastAsia="方正仿宋_GBK" w:cs="Times New Roman"/>
          <w:sz w:val="32"/>
          <w:szCs w:val="32"/>
          <w:lang w:eastAsia="zh-CN"/>
        </w:rPr>
        <w:t>____________(询价人名称</w:t>
      </w:r>
      <w:r>
        <w:rPr>
          <w:rFonts w:hint="default" w:ascii="Times New Roman" w:hAnsi="Times New Roman" w:eastAsia="方正仿宋_GBK" w:cs="Times New Roman"/>
          <w:sz w:val="32"/>
          <w:szCs w:val="32"/>
          <w:lang w:eastAsia="zh-CN" w:bidi="en-US"/>
        </w:rPr>
        <w:t>）：</w:t>
      </w:r>
      <w:bookmarkEnd w:id="23"/>
    </w:p>
    <w:p>
      <w:pPr>
        <w:tabs>
          <w:tab w:val="left" w:pos="939"/>
        </w:tabs>
        <w:adjustRightInd w:val="0"/>
        <w:spacing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bidi="en-US"/>
        </w:rPr>
        <w:t>1.</w:t>
      </w:r>
      <w:r>
        <w:rPr>
          <w:rFonts w:hint="default"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sz w:val="32"/>
          <w:szCs w:val="32"/>
          <w:lang w:val="en-US" w:eastAsia="zh-CN"/>
        </w:rPr>
        <w:t>_______项目</w:t>
      </w:r>
      <w:r>
        <w:rPr>
          <w:rFonts w:hint="default" w:ascii="Times New Roman" w:hAnsi="Times New Roman" w:eastAsia="方正仿宋_GBK" w:cs="Times New Roman"/>
          <w:sz w:val="32"/>
          <w:szCs w:val="32"/>
          <w:lang w:eastAsia="zh-CN"/>
        </w:rPr>
        <w:t>询价文件的全部内容，愿意以人民币（大写</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u w:val="single"/>
          <w:lang w:eastAsia="zh-CN" w:bidi="en-US"/>
        </w:rPr>
        <w:t xml:space="preserve">       </w:t>
      </w:r>
      <w:r>
        <w:rPr>
          <w:rFonts w:hint="default" w:ascii="Times New Roman" w:hAnsi="Times New Roman" w:eastAsia="方正仿宋_GBK" w:cs="Times New Roman"/>
          <w:sz w:val="32"/>
          <w:szCs w:val="32"/>
          <w:lang w:eastAsia="zh-CN" w:bidi="en-US"/>
        </w:rPr>
        <w:t>)</w:t>
      </w:r>
      <w:r>
        <w:rPr>
          <w:rFonts w:hint="default"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（5）项目方案</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人员投入</w:t>
      </w:r>
      <w:r>
        <w:rPr>
          <w:rFonts w:hint="default" w:ascii="Times New Roman" w:hAnsi="Times New Roman" w:eastAsia="方正仿宋_GBK" w:cs="Times New Roman"/>
          <w:sz w:val="32"/>
          <w:szCs w:val="32"/>
          <w:lang w:eastAsia="zh-CN"/>
        </w:rPr>
        <w:t>及进度安排；</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6.我方在此声明，所递交的报价文件及有关资料内容完整、真实和准确，且不存在第二章“报价人须知”第</w:t>
      </w:r>
      <w:r>
        <w:rPr>
          <w:rFonts w:hint="default" w:ascii="Times New Roman" w:hAnsi="Times New Roman" w:eastAsia="方正仿宋_GBK" w:cs="Times New Roman"/>
          <w:sz w:val="32"/>
          <w:szCs w:val="32"/>
          <w:lang w:eastAsia="zh-CN" w:bidi="en-US"/>
        </w:rPr>
        <w:t>1.4.3</w:t>
      </w:r>
      <w:r>
        <w:rPr>
          <w:rFonts w:hint="default" w:ascii="Times New Roman" w:hAnsi="Times New Roman" w:eastAsia="方正仿宋_GBK" w:cs="Times New Roman"/>
          <w:sz w:val="32"/>
          <w:szCs w:val="32"/>
          <w:lang w:eastAsia="zh-CN"/>
        </w:rPr>
        <w:t>项规定的任何一种情形。</w:t>
      </w:r>
    </w:p>
    <w:p>
      <w:pPr>
        <w:tabs>
          <w:tab w:val="left" w:pos="849"/>
        </w:tabs>
        <w:adjustRightInd w:val="0"/>
        <w:spacing w:line="510" w:lineRule="exact"/>
        <w:ind w:left="42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bidi="en-US"/>
        </w:rPr>
        <w:t>7.(</w:t>
      </w:r>
      <w:r>
        <w:rPr>
          <w:rFonts w:hint="default" w:ascii="Times New Roman" w:hAnsi="Times New Roman" w:eastAsia="方正仿宋_GBK" w:cs="Times New Roman"/>
          <w:sz w:val="32"/>
          <w:szCs w:val="32"/>
          <w:lang w:eastAsia="zh-CN"/>
        </w:rPr>
        <w:t>其他补充说明）。</w:t>
      </w:r>
    </w:p>
    <w:p>
      <w:pPr>
        <w:spacing w:line="510" w:lineRule="exact"/>
        <w:ind w:left="2660"/>
        <w:rPr>
          <w:rFonts w:hint="default" w:ascii="Times New Roman" w:hAnsi="Times New Roman" w:eastAsia="方正仿宋_GBK" w:cs="Times New Roman"/>
          <w:sz w:val="32"/>
          <w:szCs w:val="32"/>
          <w:lang w:eastAsia="zh-CN"/>
        </w:rPr>
      </w:pPr>
      <w:r>
        <w:rPr>
          <w:rStyle w:val="180"/>
          <w:rFonts w:hint="default" w:ascii="Times New Roman" w:hAnsi="Times New Roman" w:eastAsia="方正仿宋_GBK" w:cs="Times New Roman"/>
          <w:sz w:val="32"/>
          <w:szCs w:val="32"/>
        </w:rPr>
        <w:t>报价人：</w:t>
      </w:r>
      <w:r>
        <w:rPr>
          <w:rStyle w:val="182"/>
          <w:rFonts w:hint="default" w:ascii="Times New Roman" w:hAnsi="Times New Roman" w:eastAsia="方正仿宋_GBK" w:cs="Times New Roman"/>
          <w:sz w:val="32"/>
          <w:szCs w:val="32"/>
          <w:lang w:eastAsia="zh-CN"/>
        </w:rPr>
        <w:t>(盖单位章）</w:t>
      </w:r>
    </w:p>
    <w:p>
      <w:pPr>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法定代表人或其委托代理人：</w:t>
      </w:r>
      <w:r>
        <w:rPr>
          <w:rStyle w:val="182"/>
          <w:rFonts w:hint="default" w:ascii="Times New Roman" w:hAnsi="Times New Roman" w:eastAsia="方正仿宋_GBK" w:cs="Times New Roman"/>
          <w:sz w:val="32"/>
          <w:szCs w:val="32"/>
          <w:lang w:eastAsia="zh-CN"/>
        </w:rPr>
        <w:t>(签字</w:t>
      </w:r>
      <w:r>
        <w:rPr>
          <w:rStyle w:val="182"/>
          <w:rFonts w:hint="default"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hint="default" w:ascii="Times New Roman" w:hAnsi="Times New Roman" w:eastAsia="方正仿宋_GBK" w:cs="Times New Roman"/>
          <w:sz w:val="32"/>
          <w:szCs w:val="32"/>
          <w:u w:val="single"/>
          <w:lang w:eastAsia="zh-CN"/>
        </w:rPr>
      </w:pPr>
      <w:r>
        <w:rPr>
          <w:rFonts w:hint="default" w:ascii="Times New Roman" w:hAnsi="Times New Roman" w:eastAsia="方正仿宋_GBK" w:cs="Times New Roman"/>
          <w:sz w:val="32"/>
          <w:szCs w:val="32"/>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sz w:val="44"/>
          <w:szCs w:val="44"/>
        </w:rPr>
      </w:pPr>
      <w:r>
        <w:rPr>
          <w:rFonts w:hint="default" w:ascii="Times New Roman" w:hAnsi="Times New Roman" w:cs="Times New Roman"/>
          <w:szCs w:val="21"/>
          <w:u w:val="single"/>
        </w:rPr>
        <w:br w:type="page"/>
      </w:r>
      <w:bookmarkStart w:id="24" w:name="_Toc52097545"/>
      <w:bookmarkStart w:id="25" w:name="_Toc10710825"/>
      <w:bookmarkStart w:id="26" w:name="_Toc29194794"/>
      <w:r>
        <w:rPr>
          <w:rFonts w:hint="default" w:ascii="Times New Roman" w:hAnsi="Times New Roman" w:eastAsia="方正小标宋_GBK" w:cs="Times New Roman"/>
          <w:sz w:val="44"/>
          <w:szCs w:val="44"/>
        </w:rPr>
        <w:t>三</w:t>
      </w:r>
      <w:r>
        <w:rPr>
          <w:rStyle w:val="181"/>
          <w:rFonts w:hint="default" w:ascii="Times New Roman" w:hAnsi="Times New Roman" w:eastAsia="方正小标宋_GBK" w:cs="Times New Roman"/>
          <w:sz w:val="44"/>
          <w:szCs w:val="44"/>
        </w:rPr>
        <w:t>、报价表</w:t>
      </w:r>
      <w:bookmarkEnd w:id="24"/>
      <w:bookmarkEnd w:id="25"/>
      <w:bookmarkEnd w:id="26"/>
    </w:p>
    <w:p>
      <w:pPr>
        <w:tabs>
          <w:tab w:val="left" w:leader="underscore" w:pos="7582"/>
        </w:tabs>
        <w:spacing w:line="51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1.报价说明</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w:t>
      </w:r>
      <w:r>
        <w:rPr>
          <w:rFonts w:hint="eastAsia" w:ascii="Times New Roman" w:hAnsi="Times New Roman" w:eastAsia="方正仿宋_GBK" w:cs="Times New Roman"/>
          <w:sz w:val="32"/>
          <w:szCs w:val="32"/>
          <w:lang w:val="en-US" w:eastAsia="zh-CN"/>
        </w:rPr>
        <w:t>本合同为总价包干合同，</w:t>
      </w:r>
      <w:r>
        <w:rPr>
          <w:rFonts w:hint="default" w:ascii="Times New Roman" w:hAnsi="Times New Roman" w:eastAsia="方正仿宋_GBK" w:cs="Times New Roman"/>
          <w:sz w:val="32"/>
          <w:szCs w:val="32"/>
          <w:lang w:eastAsia="zh-CN"/>
        </w:rPr>
        <w:t>报价表中的价格，应包括报价单位完成合同内容所需的设计费、</w:t>
      </w:r>
      <w:r>
        <w:rPr>
          <w:rFonts w:hint="eastAsia" w:ascii="Times New Roman" w:hAnsi="Times New Roman" w:eastAsia="方正仿宋_GBK" w:cs="Times New Roman"/>
          <w:sz w:val="32"/>
          <w:szCs w:val="32"/>
          <w:lang w:val="en-US" w:eastAsia="zh-CN"/>
        </w:rPr>
        <w:t>调研费、咨询费、差旅费、</w:t>
      </w:r>
      <w:r>
        <w:rPr>
          <w:rFonts w:hint="default" w:ascii="Times New Roman" w:hAnsi="Times New Roman" w:eastAsia="方正仿宋_GBK" w:cs="Times New Roman"/>
          <w:sz w:val="32"/>
          <w:szCs w:val="32"/>
          <w:lang w:eastAsia="zh-CN"/>
        </w:rPr>
        <w:t>技术服务费</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资料印刷、</w:t>
      </w:r>
      <w:r>
        <w:rPr>
          <w:rFonts w:hint="default" w:ascii="Times New Roman" w:hAnsi="Times New Roman" w:eastAsia="方正仿宋_GBK" w:cs="Times New Roman"/>
          <w:sz w:val="32"/>
          <w:szCs w:val="32"/>
          <w:lang w:eastAsia="zh-CN"/>
        </w:rPr>
        <w:t>管理费、利润、税费，以及合同明示或暗示的风险、责任和义务等所发生的其他全部费用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i/>
          <w:iCs/>
          <w:sz w:val="32"/>
          <w:szCs w:val="32"/>
          <w:lang w:eastAsia="zh-CN"/>
        </w:rPr>
        <w:t>报价在合同有效期内固定不变</w:t>
      </w:r>
      <w:r>
        <w:rPr>
          <w:rFonts w:hint="default" w:ascii="Times New Roman" w:hAnsi="Times New Roman" w:eastAsia="方正仿宋_GBK" w:cs="Times New Roman"/>
          <w:sz w:val="32"/>
          <w:szCs w:val="32"/>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br w:type="page"/>
      </w:r>
    </w:p>
    <w:p>
      <w:pPr>
        <w:rPr>
          <w:rFonts w:hint="default" w:ascii="Times New Roman" w:hAnsi="Times New Roman" w:cs="Times New Roman"/>
          <w:lang w:eastAsia="zh-CN"/>
        </w:rPr>
      </w:pPr>
    </w:p>
    <w:p>
      <w:pPr>
        <w:numPr>
          <w:ilvl w:val="0"/>
          <w:numId w:val="2"/>
        </w:numPr>
        <w:tabs>
          <w:tab w:val="left" w:leader="underscore" w:pos="7582"/>
        </w:tabs>
        <w:spacing w:line="510" w:lineRule="exact"/>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报价表</w:t>
      </w:r>
    </w:p>
    <w:p>
      <w:pPr>
        <w:pStyle w:val="43"/>
        <w:numPr>
          <w:ilvl w:val="0"/>
          <w:numId w:val="0"/>
        </w:numPr>
        <w:ind w:leftChars="200"/>
        <w:rPr>
          <w:rFonts w:hint="default"/>
          <w:lang w:eastAsia="zh-CN"/>
        </w:rPr>
      </w:pPr>
    </w:p>
    <w:p>
      <w:pPr>
        <w:spacing w:line="360" w:lineRule="auto"/>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bCs/>
          <w:sz w:val="44"/>
          <w:szCs w:val="44"/>
          <w:lang w:eastAsia="zh-CN"/>
        </w:rPr>
        <w:t>报价表</w:t>
      </w:r>
    </w:p>
    <w:p>
      <w:pPr>
        <w:tabs>
          <w:tab w:val="left" w:leader="underscore" w:pos="7582"/>
        </w:tabs>
        <w:rPr>
          <w:rFonts w:hint="default" w:ascii="Times New Roman" w:hAnsi="Times New Roman" w:cs="Times New Roman"/>
          <w:lang w:eastAsia="zh-CN"/>
        </w:rPr>
      </w:pPr>
    </w:p>
    <w:p>
      <w:pPr>
        <w:tabs>
          <w:tab w:val="left" w:leader="underscore" w:pos="7582"/>
        </w:tabs>
        <w:rPr>
          <w:rFonts w:hint="default" w:ascii="Times New Roman" w:hAnsi="Times New Roman" w:cs="Times New Roman"/>
          <w:lang w:eastAsia="zh-CN"/>
        </w:rPr>
      </w:pPr>
      <w:r>
        <w:rPr>
          <w:rFonts w:hint="default" w:ascii="Times New Roman" w:hAnsi="Times New Roman" w:cs="Times New Roman"/>
          <w:lang w:eastAsia="zh-CN"/>
        </w:rPr>
        <w:t xml:space="preserve">                                                            单位：人民币元</w:t>
      </w:r>
    </w:p>
    <w:tbl>
      <w:tblPr>
        <w:tblStyle w:val="44"/>
        <w:tblW w:w="7860" w:type="dxa"/>
        <w:jc w:val="center"/>
        <w:tblLayout w:type="fixed"/>
        <w:tblCellMar>
          <w:top w:w="0" w:type="dxa"/>
          <w:left w:w="108" w:type="dxa"/>
          <w:bottom w:w="0" w:type="dxa"/>
          <w:right w:w="108" w:type="dxa"/>
        </w:tblCellMar>
      </w:tblPr>
      <w:tblGrid>
        <w:gridCol w:w="770"/>
        <w:gridCol w:w="1938"/>
        <w:gridCol w:w="1605"/>
        <w:gridCol w:w="2127"/>
        <w:gridCol w:w="1420"/>
      </w:tblGrid>
      <w:tr>
        <w:tblPrEx>
          <w:tblCellMar>
            <w:top w:w="0" w:type="dxa"/>
            <w:left w:w="108" w:type="dxa"/>
            <w:bottom w:w="0" w:type="dxa"/>
            <w:right w:w="108" w:type="dxa"/>
          </w:tblCellMar>
        </w:tblPrEx>
        <w:trPr>
          <w:trHeight w:val="636" w:hRule="atLeast"/>
          <w:jc w:val="center"/>
        </w:trPr>
        <w:tc>
          <w:tcPr>
            <w:tcW w:w="770" w:type="dxa"/>
            <w:tcBorders>
              <w:top w:val="single" w:color="auto" w:sz="12" w:space="0"/>
              <w:left w:val="single" w:color="auto" w:sz="12" w:space="0"/>
              <w:bottom w:val="single" w:color="auto" w:sz="4" w:space="0"/>
              <w:right w:val="single" w:color="auto" w:sz="4" w:space="0"/>
            </w:tcBorders>
            <w:shd w:val="clear" w:color="auto" w:fill="auto"/>
            <w:vAlign w:val="center"/>
          </w:tcPr>
          <w:p>
            <w:pPr>
              <w:snapToGrid w:val="0"/>
              <w:jc w:val="center"/>
              <w:rPr>
                <w:rFonts w:ascii="仿宋" w:hAnsi="仿宋" w:eastAsia="仿宋" w:cs="宋体"/>
                <w:b/>
                <w:sz w:val="28"/>
              </w:rPr>
            </w:pPr>
            <w:bookmarkStart w:id="27" w:name="_Toc150847038"/>
            <w:bookmarkStart w:id="28" w:name="_Toc148863269"/>
            <w:bookmarkStart w:id="29" w:name="_Toc148779982"/>
            <w:r>
              <w:rPr>
                <w:rFonts w:ascii="仿宋" w:hAnsi="仿宋" w:eastAsia="仿宋" w:cs="宋体"/>
                <w:b/>
                <w:sz w:val="28"/>
              </w:rPr>
              <w:t>序号</w:t>
            </w:r>
          </w:p>
        </w:tc>
        <w:tc>
          <w:tcPr>
            <w:tcW w:w="1938" w:type="dxa"/>
            <w:tcBorders>
              <w:top w:val="single" w:color="auto" w:sz="12"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宋体"/>
                <w:b/>
                <w:sz w:val="28"/>
              </w:rPr>
            </w:pPr>
            <w:r>
              <w:rPr>
                <w:rFonts w:ascii="仿宋" w:hAnsi="仿宋" w:eastAsia="仿宋" w:cs="宋体"/>
                <w:b/>
                <w:sz w:val="28"/>
              </w:rPr>
              <w:t>项目分类</w:t>
            </w:r>
          </w:p>
        </w:tc>
        <w:tc>
          <w:tcPr>
            <w:tcW w:w="1605" w:type="dxa"/>
            <w:tcBorders>
              <w:top w:val="single" w:color="auto" w:sz="12"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宋体"/>
                <w:b/>
                <w:sz w:val="28"/>
              </w:rPr>
            </w:pPr>
            <w:r>
              <w:rPr>
                <w:rFonts w:ascii="仿宋" w:hAnsi="仿宋" w:eastAsia="仿宋" w:cs="宋体"/>
                <w:b/>
                <w:sz w:val="28"/>
              </w:rPr>
              <w:t>取费标准</w:t>
            </w:r>
          </w:p>
        </w:tc>
        <w:tc>
          <w:tcPr>
            <w:tcW w:w="2127" w:type="dxa"/>
            <w:tcBorders>
              <w:top w:val="single" w:color="auto" w:sz="12" w:space="0"/>
              <w:left w:val="single" w:color="auto" w:sz="4" w:space="0"/>
              <w:bottom w:val="single" w:color="auto" w:sz="4" w:space="0"/>
              <w:right w:val="single" w:color="auto" w:sz="4" w:space="0"/>
            </w:tcBorders>
            <w:shd w:val="clear" w:color="auto" w:fill="auto"/>
            <w:vAlign w:val="center"/>
          </w:tcPr>
          <w:p>
            <w:pPr>
              <w:snapToGrid w:val="0"/>
              <w:jc w:val="center"/>
              <w:rPr>
                <w:rFonts w:ascii="仿宋" w:hAnsi="仿宋" w:eastAsia="仿宋" w:cs="宋体"/>
                <w:b/>
                <w:sz w:val="28"/>
              </w:rPr>
            </w:pPr>
            <w:r>
              <w:rPr>
                <w:rFonts w:ascii="仿宋" w:hAnsi="仿宋" w:eastAsia="仿宋" w:cs="宋体"/>
                <w:b/>
                <w:sz w:val="28"/>
              </w:rPr>
              <w:t>费用计算</w:t>
            </w:r>
          </w:p>
        </w:tc>
        <w:tc>
          <w:tcPr>
            <w:tcW w:w="1420" w:type="dxa"/>
            <w:tcBorders>
              <w:top w:val="single" w:color="auto" w:sz="12" w:space="0"/>
              <w:left w:val="single" w:color="auto" w:sz="4" w:space="0"/>
              <w:bottom w:val="single" w:color="auto" w:sz="4" w:space="0"/>
              <w:right w:val="single" w:color="auto" w:sz="12" w:space="0"/>
            </w:tcBorders>
            <w:shd w:val="clear" w:color="auto" w:fill="auto"/>
            <w:vAlign w:val="center"/>
          </w:tcPr>
          <w:p>
            <w:pPr>
              <w:snapToGrid w:val="0"/>
              <w:jc w:val="center"/>
              <w:rPr>
                <w:rFonts w:ascii="仿宋" w:hAnsi="仿宋" w:eastAsia="仿宋" w:cs="宋体"/>
                <w:b/>
                <w:sz w:val="28"/>
              </w:rPr>
            </w:pPr>
            <w:r>
              <w:rPr>
                <w:rFonts w:ascii="仿宋" w:hAnsi="仿宋" w:eastAsia="仿宋" w:cs="宋体"/>
                <w:b/>
                <w:sz w:val="28"/>
              </w:rPr>
              <w:t>费用合计（元）</w:t>
            </w:r>
          </w:p>
        </w:tc>
      </w:tr>
      <w:tr>
        <w:tblPrEx>
          <w:tblCellMar>
            <w:top w:w="0" w:type="dxa"/>
            <w:left w:w="108" w:type="dxa"/>
            <w:bottom w:w="0" w:type="dxa"/>
            <w:right w:w="108" w:type="dxa"/>
          </w:tblCellMar>
        </w:tblPrEx>
        <w:trPr>
          <w:trHeight w:val="336" w:hRule="atLeast"/>
          <w:jc w:val="center"/>
        </w:trPr>
        <w:tc>
          <w:tcPr>
            <w:tcW w:w="770" w:type="dxa"/>
            <w:tcBorders>
              <w:top w:val="single" w:color="auto" w:sz="4" w:space="0"/>
              <w:left w:val="single" w:color="auto" w:sz="12" w:space="0"/>
              <w:bottom w:val="single" w:color="auto" w:sz="4" w:space="0"/>
              <w:right w:val="single" w:color="auto" w:sz="4" w:space="0"/>
            </w:tcBorders>
            <w:shd w:val="clear" w:color="auto" w:fill="auto"/>
            <w:vAlign w:val="center"/>
          </w:tcPr>
          <w:p>
            <w:pPr>
              <w:snapToGrid w:val="0"/>
              <w:jc w:val="center"/>
              <w:rPr>
                <w:rFonts w:ascii="仿宋" w:hAnsi="仿宋" w:eastAsia="仿宋" w:cs="宋体"/>
                <w:sz w:val="28"/>
              </w:rPr>
            </w:pPr>
            <w:r>
              <w:rPr>
                <w:rFonts w:ascii="仿宋" w:hAnsi="仿宋" w:eastAsia="仿宋" w:cs="宋体"/>
                <w:sz w:val="28"/>
              </w:rPr>
              <w:t>1</w:t>
            </w:r>
          </w:p>
        </w:tc>
        <w:tc>
          <w:tcPr>
            <w:tcW w:w="1938"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仿宋" w:hAnsi="仿宋" w:eastAsia="仿宋" w:cs="宋体"/>
                <w:sz w:val="28"/>
              </w:rPr>
            </w:pPr>
            <w:r>
              <w:rPr>
                <w:rFonts w:ascii="仿宋" w:hAnsi="仿宋" w:eastAsia="仿宋" w:cs="宋体"/>
                <w:sz w:val="28"/>
              </w:rPr>
              <w:t>研究人员费</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仿宋" w:hAnsi="仿宋" w:eastAsia="仿宋" w:cs="宋体"/>
                <w:sz w:val="28"/>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仿宋" w:hAnsi="仿宋" w:eastAsia="仿宋" w:cs="宋体"/>
                <w:sz w:val="28"/>
              </w:rPr>
            </w:pPr>
          </w:p>
        </w:tc>
        <w:tc>
          <w:tcPr>
            <w:tcW w:w="1420" w:type="dxa"/>
            <w:tcBorders>
              <w:top w:val="single" w:color="auto" w:sz="4" w:space="0"/>
              <w:left w:val="single" w:color="auto" w:sz="4" w:space="0"/>
              <w:bottom w:val="single" w:color="auto" w:sz="4" w:space="0"/>
              <w:right w:val="single" w:color="auto" w:sz="12" w:space="0"/>
            </w:tcBorders>
            <w:shd w:val="clear" w:color="auto" w:fill="auto"/>
            <w:vAlign w:val="center"/>
          </w:tcPr>
          <w:p>
            <w:pPr>
              <w:snapToGrid w:val="0"/>
              <w:jc w:val="both"/>
              <w:rPr>
                <w:rFonts w:ascii="仿宋" w:hAnsi="仿宋" w:eastAsia="仿宋" w:cs="宋体"/>
                <w:sz w:val="28"/>
              </w:rPr>
            </w:pPr>
          </w:p>
        </w:tc>
      </w:tr>
      <w:tr>
        <w:tblPrEx>
          <w:tblCellMar>
            <w:top w:w="0" w:type="dxa"/>
            <w:left w:w="108" w:type="dxa"/>
            <w:bottom w:w="0" w:type="dxa"/>
            <w:right w:w="108" w:type="dxa"/>
          </w:tblCellMar>
        </w:tblPrEx>
        <w:trPr>
          <w:trHeight w:val="336" w:hRule="atLeast"/>
          <w:jc w:val="center"/>
        </w:trPr>
        <w:tc>
          <w:tcPr>
            <w:tcW w:w="770" w:type="dxa"/>
            <w:tcBorders>
              <w:top w:val="single" w:color="auto" w:sz="4" w:space="0"/>
              <w:left w:val="single" w:color="auto" w:sz="12" w:space="0"/>
              <w:bottom w:val="single" w:color="auto" w:sz="8" w:space="0"/>
              <w:right w:val="single" w:color="auto" w:sz="8" w:space="0"/>
            </w:tcBorders>
            <w:shd w:val="clear" w:color="auto" w:fill="auto"/>
            <w:vAlign w:val="center"/>
          </w:tcPr>
          <w:p>
            <w:pPr>
              <w:snapToGrid w:val="0"/>
              <w:jc w:val="center"/>
              <w:rPr>
                <w:rFonts w:ascii="仿宋" w:hAnsi="仿宋" w:eastAsia="仿宋" w:cs="宋体"/>
                <w:sz w:val="28"/>
              </w:rPr>
            </w:pPr>
            <w:r>
              <w:rPr>
                <w:rFonts w:ascii="仿宋" w:hAnsi="仿宋" w:eastAsia="仿宋" w:cs="宋体"/>
                <w:sz w:val="28"/>
              </w:rPr>
              <w:t>2</w:t>
            </w:r>
          </w:p>
        </w:tc>
        <w:tc>
          <w:tcPr>
            <w:tcW w:w="1938" w:type="dxa"/>
            <w:tcBorders>
              <w:top w:val="single" w:color="auto" w:sz="4" w:space="0"/>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r>
              <w:rPr>
                <w:rFonts w:ascii="仿宋" w:hAnsi="仿宋" w:eastAsia="仿宋" w:cs="宋体"/>
                <w:sz w:val="28"/>
              </w:rPr>
              <w:t>国内差旅费</w:t>
            </w:r>
          </w:p>
        </w:tc>
        <w:tc>
          <w:tcPr>
            <w:tcW w:w="1605" w:type="dxa"/>
            <w:tcBorders>
              <w:top w:val="single" w:color="auto" w:sz="4" w:space="0"/>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p>
        </w:tc>
        <w:tc>
          <w:tcPr>
            <w:tcW w:w="2127" w:type="dxa"/>
            <w:tcBorders>
              <w:top w:val="single" w:color="auto" w:sz="4" w:space="0"/>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p>
        </w:tc>
        <w:tc>
          <w:tcPr>
            <w:tcW w:w="1420" w:type="dxa"/>
            <w:tcBorders>
              <w:top w:val="single" w:color="auto" w:sz="4" w:space="0"/>
              <w:left w:val="nil"/>
              <w:bottom w:val="single" w:color="auto" w:sz="8" w:space="0"/>
              <w:right w:val="single" w:color="auto" w:sz="12" w:space="0"/>
            </w:tcBorders>
            <w:shd w:val="clear" w:color="auto" w:fill="auto"/>
            <w:vAlign w:val="center"/>
          </w:tcPr>
          <w:p>
            <w:pPr>
              <w:snapToGrid w:val="0"/>
              <w:jc w:val="center"/>
              <w:rPr>
                <w:rFonts w:ascii="仿宋" w:hAnsi="仿宋" w:eastAsia="仿宋" w:cs="宋体"/>
                <w:sz w:val="28"/>
              </w:rPr>
            </w:pPr>
          </w:p>
        </w:tc>
      </w:tr>
      <w:tr>
        <w:tblPrEx>
          <w:tblCellMar>
            <w:top w:w="0" w:type="dxa"/>
            <w:left w:w="108" w:type="dxa"/>
            <w:bottom w:w="0" w:type="dxa"/>
            <w:right w:w="108" w:type="dxa"/>
          </w:tblCellMar>
        </w:tblPrEx>
        <w:trPr>
          <w:trHeight w:val="324" w:hRule="atLeast"/>
          <w:jc w:val="center"/>
        </w:trPr>
        <w:tc>
          <w:tcPr>
            <w:tcW w:w="770" w:type="dxa"/>
            <w:tcBorders>
              <w:top w:val="nil"/>
              <w:left w:val="single" w:color="auto" w:sz="12" w:space="0"/>
              <w:bottom w:val="single" w:color="auto" w:sz="8" w:space="0"/>
              <w:right w:val="single" w:color="auto" w:sz="8" w:space="0"/>
            </w:tcBorders>
            <w:shd w:val="clear" w:color="auto" w:fill="auto"/>
            <w:vAlign w:val="center"/>
          </w:tcPr>
          <w:p>
            <w:pPr>
              <w:snapToGrid w:val="0"/>
              <w:jc w:val="center"/>
              <w:rPr>
                <w:rFonts w:ascii="仿宋" w:hAnsi="仿宋" w:eastAsia="仿宋" w:cs="宋体"/>
                <w:sz w:val="28"/>
              </w:rPr>
            </w:pPr>
            <w:r>
              <w:rPr>
                <w:rFonts w:ascii="仿宋" w:hAnsi="仿宋" w:eastAsia="仿宋" w:cs="宋体"/>
                <w:sz w:val="28"/>
              </w:rPr>
              <w:t>3</w:t>
            </w:r>
          </w:p>
        </w:tc>
        <w:tc>
          <w:tcPr>
            <w:tcW w:w="1938" w:type="dxa"/>
            <w:tcBorders>
              <w:top w:val="nil"/>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r>
              <w:rPr>
                <w:rFonts w:ascii="仿宋" w:hAnsi="仿宋" w:eastAsia="仿宋" w:cs="宋体"/>
                <w:sz w:val="28"/>
              </w:rPr>
              <w:t>报告印刷费</w:t>
            </w:r>
            <w:r>
              <w:rPr>
                <w:rFonts w:hint="eastAsia" w:ascii="仿宋" w:hAnsi="仿宋" w:eastAsia="仿宋" w:cs="宋体"/>
                <w:sz w:val="28"/>
              </w:rPr>
              <w:t>、资料费</w:t>
            </w:r>
          </w:p>
        </w:tc>
        <w:tc>
          <w:tcPr>
            <w:tcW w:w="1605" w:type="dxa"/>
            <w:tcBorders>
              <w:top w:val="nil"/>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p>
        </w:tc>
        <w:tc>
          <w:tcPr>
            <w:tcW w:w="2127" w:type="dxa"/>
            <w:tcBorders>
              <w:top w:val="nil"/>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p>
        </w:tc>
        <w:tc>
          <w:tcPr>
            <w:tcW w:w="1420" w:type="dxa"/>
            <w:tcBorders>
              <w:top w:val="nil"/>
              <w:left w:val="nil"/>
              <w:bottom w:val="single" w:color="auto" w:sz="8" w:space="0"/>
              <w:right w:val="single" w:color="auto" w:sz="12" w:space="0"/>
            </w:tcBorders>
            <w:shd w:val="clear" w:color="auto" w:fill="auto"/>
            <w:vAlign w:val="center"/>
          </w:tcPr>
          <w:p>
            <w:pPr>
              <w:snapToGrid w:val="0"/>
              <w:jc w:val="both"/>
              <w:rPr>
                <w:rFonts w:ascii="仿宋" w:hAnsi="仿宋" w:eastAsia="仿宋" w:cs="宋体"/>
                <w:sz w:val="28"/>
              </w:rPr>
            </w:pPr>
          </w:p>
        </w:tc>
      </w:tr>
      <w:tr>
        <w:tblPrEx>
          <w:tblCellMar>
            <w:top w:w="0" w:type="dxa"/>
            <w:left w:w="108" w:type="dxa"/>
            <w:bottom w:w="0" w:type="dxa"/>
            <w:right w:w="108" w:type="dxa"/>
          </w:tblCellMar>
        </w:tblPrEx>
        <w:trPr>
          <w:trHeight w:val="324" w:hRule="atLeast"/>
          <w:jc w:val="center"/>
        </w:trPr>
        <w:tc>
          <w:tcPr>
            <w:tcW w:w="770" w:type="dxa"/>
            <w:tcBorders>
              <w:top w:val="nil"/>
              <w:left w:val="single" w:color="auto" w:sz="12" w:space="0"/>
              <w:bottom w:val="single" w:color="auto" w:sz="8" w:space="0"/>
              <w:right w:val="single" w:color="auto" w:sz="8" w:space="0"/>
            </w:tcBorders>
            <w:shd w:val="clear" w:color="auto" w:fill="auto"/>
            <w:vAlign w:val="center"/>
          </w:tcPr>
          <w:p>
            <w:pPr>
              <w:snapToGrid w:val="0"/>
              <w:jc w:val="center"/>
              <w:rPr>
                <w:rFonts w:hint="eastAsia" w:ascii="仿宋" w:hAnsi="仿宋" w:eastAsia="仿宋" w:cs="宋体"/>
                <w:sz w:val="28"/>
                <w:lang w:val="en-US" w:eastAsia="zh-CN"/>
              </w:rPr>
            </w:pPr>
            <w:r>
              <w:rPr>
                <w:rFonts w:hint="eastAsia" w:ascii="仿宋" w:hAnsi="仿宋" w:eastAsia="仿宋" w:cs="宋体"/>
                <w:sz w:val="28"/>
                <w:lang w:val="en-US" w:eastAsia="zh-CN"/>
              </w:rPr>
              <w:t>4</w:t>
            </w:r>
          </w:p>
        </w:tc>
        <w:tc>
          <w:tcPr>
            <w:tcW w:w="1938" w:type="dxa"/>
            <w:tcBorders>
              <w:top w:val="nil"/>
              <w:left w:val="nil"/>
              <w:bottom w:val="single" w:color="auto" w:sz="8" w:space="0"/>
              <w:right w:val="single" w:color="auto" w:sz="8" w:space="0"/>
            </w:tcBorders>
            <w:shd w:val="clear" w:color="auto" w:fill="auto"/>
            <w:vAlign w:val="center"/>
          </w:tcPr>
          <w:p>
            <w:pPr>
              <w:snapToGrid w:val="0"/>
              <w:rPr>
                <w:rFonts w:hint="eastAsia" w:ascii="仿宋" w:hAnsi="仿宋" w:eastAsia="仿宋" w:cs="宋体"/>
                <w:sz w:val="28"/>
                <w:lang w:val="en-US" w:eastAsia="zh-CN"/>
              </w:rPr>
            </w:pPr>
            <w:r>
              <w:rPr>
                <w:rFonts w:hint="eastAsia" w:ascii="仿宋" w:hAnsi="仿宋" w:eastAsia="仿宋" w:cs="宋体"/>
                <w:sz w:val="28"/>
                <w:lang w:val="en-US" w:eastAsia="zh-CN"/>
              </w:rPr>
              <w:t>成果评审费</w:t>
            </w:r>
          </w:p>
        </w:tc>
        <w:tc>
          <w:tcPr>
            <w:tcW w:w="1605" w:type="dxa"/>
            <w:tcBorders>
              <w:top w:val="nil"/>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p>
        </w:tc>
        <w:tc>
          <w:tcPr>
            <w:tcW w:w="2127" w:type="dxa"/>
            <w:tcBorders>
              <w:top w:val="nil"/>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p>
        </w:tc>
        <w:tc>
          <w:tcPr>
            <w:tcW w:w="1420" w:type="dxa"/>
            <w:tcBorders>
              <w:top w:val="nil"/>
              <w:left w:val="nil"/>
              <w:bottom w:val="single" w:color="auto" w:sz="8" w:space="0"/>
              <w:right w:val="single" w:color="auto" w:sz="12" w:space="0"/>
            </w:tcBorders>
            <w:shd w:val="clear" w:color="auto" w:fill="auto"/>
            <w:vAlign w:val="center"/>
          </w:tcPr>
          <w:p>
            <w:pPr>
              <w:snapToGrid w:val="0"/>
              <w:jc w:val="both"/>
              <w:rPr>
                <w:rFonts w:ascii="仿宋" w:hAnsi="仿宋" w:eastAsia="仿宋" w:cs="宋体"/>
                <w:sz w:val="28"/>
              </w:rPr>
            </w:pPr>
          </w:p>
        </w:tc>
      </w:tr>
      <w:tr>
        <w:tblPrEx>
          <w:tblCellMar>
            <w:top w:w="0" w:type="dxa"/>
            <w:left w:w="108" w:type="dxa"/>
            <w:bottom w:w="0" w:type="dxa"/>
            <w:right w:w="108" w:type="dxa"/>
          </w:tblCellMar>
        </w:tblPrEx>
        <w:trPr>
          <w:trHeight w:val="324" w:hRule="atLeast"/>
          <w:jc w:val="center"/>
        </w:trPr>
        <w:tc>
          <w:tcPr>
            <w:tcW w:w="770" w:type="dxa"/>
            <w:tcBorders>
              <w:top w:val="nil"/>
              <w:left w:val="single" w:color="auto" w:sz="12" w:space="0"/>
              <w:bottom w:val="single" w:color="auto" w:sz="8" w:space="0"/>
              <w:right w:val="single" w:color="auto" w:sz="8" w:space="0"/>
            </w:tcBorders>
            <w:shd w:val="clear" w:color="auto" w:fill="auto"/>
            <w:vAlign w:val="center"/>
          </w:tcPr>
          <w:p>
            <w:pPr>
              <w:snapToGrid w:val="0"/>
              <w:jc w:val="center"/>
              <w:rPr>
                <w:rFonts w:ascii="仿宋" w:hAnsi="仿宋" w:eastAsia="仿宋" w:cs="宋体"/>
                <w:sz w:val="28"/>
              </w:rPr>
            </w:pPr>
          </w:p>
        </w:tc>
        <w:tc>
          <w:tcPr>
            <w:tcW w:w="1938" w:type="dxa"/>
            <w:tcBorders>
              <w:top w:val="nil"/>
              <w:left w:val="nil"/>
              <w:bottom w:val="single" w:color="auto" w:sz="8" w:space="0"/>
              <w:right w:val="single" w:color="auto" w:sz="8" w:space="0"/>
            </w:tcBorders>
            <w:shd w:val="clear" w:color="auto" w:fill="auto"/>
            <w:vAlign w:val="center"/>
          </w:tcPr>
          <w:p>
            <w:pPr>
              <w:snapToGrid w:val="0"/>
              <w:jc w:val="right"/>
              <w:rPr>
                <w:rFonts w:ascii="仿宋" w:hAnsi="仿宋" w:eastAsia="仿宋" w:cs="宋体"/>
                <w:b/>
                <w:sz w:val="28"/>
              </w:rPr>
            </w:pPr>
            <w:r>
              <w:rPr>
                <w:rFonts w:hint="eastAsia" w:ascii="仿宋" w:hAnsi="仿宋" w:eastAsia="仿宋" w:cs="宋体"/>
                <w:b/>
                <w:sz w:val="28"/>
              </w:rPr>
              <w:t>小计</w:t>
            </w:r>
          </w:p>
        </w:tc>
        <w:tc>
          <w:tcPr>
            <w:tcW w:w="1605" w:type="dxa"/>
            <w:tcBorders>
              <w:top w:val="nil"/>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p>
        </w:tc>
        <w:tc>
          <w:tcPr>
            <w:tcW w:w="2127" w:type="dxa"/>
            <w:tcBorders>
              <w:top w:val="nil"/>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p>
        </w:tc>
        <w:tc>
          <w:tcPr>
            <w:tcW w:w="1420" w:type="dxa"/>
            <w:tcBorders>
              <w:top w:val="nil"/>
              <w:left w:val="nil"/>
              <w:bottom w:val="single" w:color="auto" w:sz="8" w:space="0"/>
              <w:right w:val="single" w:color="auto" w:sz="12" w:space="0"/>
            </w:tcBorders>
            <w:shd w:val="clear" w:color="auto" w:fill="auto"/>
            <w:vAlign w:val="center"/>
          </w:tcPr>
          <w:p>
            <w:pPr>
              <w:snapToGrid w:val="0"/>
              <w:jc w:val="center"/>
              <w:rPr>
                <w:rFonts w:ascii="仿宋" w:hAnsi="仿宋" w:eastAsia="仿宋" w:cs="宋体"/>
                <w:sz w:val="28"/>
              </w:rPr>
            </w:pPr>
          </w:p>
        </w:tc>
      </w:tr>
      <w:tr>
        <w:tblPrEx>
          <w:tblCellMar>
            <w:top w:w="0" w:type="dxa"/>
            <w:left w:w="108" w:type="dxa"/>
            <w:bottom w:w="0" w:type="dxa"/>
            <w:right w:w="108" w:type="dxa"/>
          </w:tblCellMar>
        </w:tblPrEx>
        <w:trPr>
          <w:trHeight w:val="324" w:hRule="atLeast"/>
          <w:jc w:val="center"/>
        </w:trPr>
        <w:tc>
          <w:tcPr>
            <w:tcW w:w="770" w:type="dxa"/>
            <w:tcBorders>
              <w:top w:val="nil"/>
              <w:left w:val="single" w:color="auto" w:sz="12" w:space="0"/>
              <w:bottom w:val="single" w:color="auto" w:sz="8" w:space="0"/>
              <w:right w:val="single" w:color="auto" w:sz="8" w:space="0"/>
            </w:tcBorders>
            <w:shd w:val="clear" w:color="auto" w:fill="auto"/>
            <w:vAlign w:val="center"/>
          </w:tcPr>
          <w:p>
            <w:pPr>
              <w:snapToGrid w:val="0"/>
              <w:jc w:val="center"/>
              <w:rPr>
                <w:rFonts w:ascii="仿宋" w:hAnsi="仿宋" w:eastAsia="仿宋" w:cs="宋体"/>
                <w:sz w:val="28"/>
              </w:rPr>
            </w:pPr>
            <w:r>
              <w:rPr>
                <w:rFonts w:hint="eastAsia" w:ascii="仿宋" w:hAnsi="仿宋" w:eastAsia="仿宋" w:cs="宋体"/>
                <w:sz w:val="28"/>
              </w:rPr>
              <w:t>4</w:t>
            </w:r>
          </w:p>
        </w:tc>
        <w:tc>
          <w:tcPr>
            <w:tcW w:w="1938" w:type="dxa"/>
            <w:tcBorders>
              <w:top w:val="nil"/>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r>
              <w:rPr>
                <w:rFonts w:ascii="仿宋" w:hAnsi="仿宋" w:eastAsia="仿宋" w:cs="宋体"/>
                <w:sz w:val="28"/>
              </w:rPr>
              <w:t>税费</w:t>
            </w:r>
          </w:p>
        </w:tc>
        <w:tc>
          <w:tcPr>
            <w:tcW w:w="1605" w:type="dxa"/>
            <w:tcBorders>
              <w:top w:val="nil"/>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p>
        </w:tc>
        <w:tc>
          <w:tcPr>
            <w:tcW w:w="21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Times New Roman"/>
                <w:kern w:val="0"/>
                <w:sz w:val="24"/>
              </w:rPr>
            </w:pPr>
          </w:p>
        </w:tc>
        <w:tc>
          <w:tcPr>
            <w:tcW w:w="1420" w:type="dxa"/>
            <w:tcBorders>
              <w:top w:val="nil"/>
              <w:left w:val="nil"/>
              <w:bottom w:val="single" w:color="auto" w:sz="8" w:space="0"/>
              <w:right w:val="single" w:color="auto" w:sz="12" w:space="0"/>
            </w:tcBorders>
            <w:shd w:val="clear" w:color="auto" w:fill="auto"/>
            <w:vAlign w:val="center"/>
          </w:tcPr>
          <w:p>
            <w:pPr>
              <w:snapToGrid w:val="0"/>
              <w:jc w:val="center"/>
              <w:rPr>
                <w:rFonts w:ascii="仿宋" w:hAnsi="仿宋" w:eastAsia="仿宋" w:cs="宋体"/>
                <w:sz w:val="28"/>
              </w:rPr>
            </w:pPr>
          </w:p>
        </w:tc>
      </w:tr>
      <w:tr>
        <w:tblPrEx>
          <w:tblCellMar>
            <w:top w:w="0" w:type="dxa"/>
            <w:left w:w="108" w:type="dxa"/>
            <w:bottom w:w="0" w:type="dxa"/>
            <w:right w:w="108" w:type="dxa"/>
          </w:tblCellMar>
        </w:tblPrEx>
        <w:trPr>
          <w:trHeight w:val="336" w:hRule="atLeast"/>
          <w:jc w:val="center"/>
        </w:trPr>
        <w:tc>
          <w:tcPr>
            <w:tcW w:w="770" w:type="dxa"/>
            <w:tcBorders>
              <w:top w:val="nil"/>
              <w:left w:val="single" w:color="auto" w:sz="12" w:space="0"/>
              <w:bottom w:val="single" w:color="auto" w:sz="8" w:space="0"/>
              <w:right w:val="single" w:color="auto" w:sz="8" w:space="0"/>
            </w:tcBorders>
            <w:shd w:val="clear" w:color="auto" w:fill="auto"/>
            <w:vAlign w:val="center"/>
          </w:tcPr>
          <w:p>
            <w:pPr>
              <w:snapToGrid w:val="0"/>
              <w:jc w:val="center"/>
              <w:rPr>
                <w:rFonts w:ascii="仿宋" w:hAnsi="仿宋" w:eastAsia="仿宋" w:cs="宋体"/>
                <w:sz w:val="28"/>
              </w:rPr>
            </w:pPr>
            <w:r>
              <w:rPr>
                <w:rFonts w:ascii="仿宋" w:hAnsi="仿宋" w:eastAsia="仿宋" w:cs="宋体"/>
                <w:sz w:val="28"/>
              </w:rPr>
              <w:t>5</w:t>
            </w:r>
          </w:p>
        </w:tc>
        <w:tc>
          <w:tcPr>
            <w:tcW w:w="1938" w:type="dxa"/>
            <w:tcBorders>
              <w:top w:val="nil"/>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r>
              <w:rPr>
                <w:rFonts w:ascii="仿宋" w:hAnsi="仿宋" w:eastAsia="仿宋" w:cs="宋体"/>
                <w:sz w:val="28"/>
              </w:rPr>
              <w:t>项目管理费</w:t>
            </w:r>
          </w:p>
        </w:tc>
        <w:tc>
          <w:tcPr>
            <w:tcW w:w="1605" w:type="dxa"/>
            <w:tcBorders>
              <w:top w:val="nil"/>
              <w:left w:val="nil"/>
              <w:bottom w:val="single" w:color="auto" w:sz="8" w:space="0"/>
              <w:right w:val="single" w:color="auto" w:sz="8" w:space="0"/>
            </w:tcBorders>
            <w:shd w:val="clear" w:color="auto" w:fill="auto"/>
            <w:vAlign w:val="center"/>
          </w:tcPr>
          <w:p>
            <w:pPr>
              <w:snapToGrid w:val="0"/>
              <w:rPr>
                <w:rFonts w:ascii="仿宋" w:hAnsi="仿宋" w:eastAsia="仿宋" w:cs="宋体"/>
                <w:sz w:val="28"/>
              </w:rPr>
            </w:pPr>
          </w:p>
        </w:tc>
        <w:tc>
          <w:tcPr>
            <w:tcW w:w="2127"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eastAsia="宋体" w:cs="Times New Roman"/>
                <w:kern w:val="0"/>
                <w:sz w:val="24"/>
              </w:rPr>
            </w:pPr>
          </w:p>
        </w:tc>
        <w:tc>
          <w:tcPr>
            <w:tcW w:w="1420" w:type="dxa"/>
            <w:tcBorders>
              <w:top w:val="nil"/>
              <w:left w:val="nil"/>
              <w:bottom w:val="single" w:color="auto" w:sz="8" w:space="0"/>
              <w:right w:val="single" w:color="auto" w:sz="12" w:space="0"/>
            </w:tcBorders>
            <w:shd w:val="clear" w:color="auto" w:fill="auto"/>
            <w:vAlign w:val="center"/>
          </w:tcPr>
          <w:p>
            <w:pPr>
              <w:snapToGrid w:val="0"/>
              <w:jc w:val="center"/>
              <w:rPr>
                <w:rFonts w:ascii="仿宋" w:hAnsi="仿宋" w:eastAsia="仿宋" w:cs="宋体"/>
                <w:sz w:val="28"/>
              </w:rPr>
            </w:pPr>
          </w:p>
        </w:tc>
      </w:tr>
      <w:tr>
        <w:tblPrEx>
          <w:tblCellMar>
            <w:top w:w="0" w:type="dxa"/>
            <w:left w:w="108" w:type="dxa"/>
            <w:bottom w:w="0" w:type="dxa"/>
            <w:right w:w="108" w:type="dxa"/>
          </w:tblCellMar>
        </w:tblPrEx>
        <w:trPr>
          <w:trHeight w:val="324" w:hRule="atLeast"/>
          <w:jc w:val="center"/>
        </w:trPr>
        <w:tc>
          <w:tcPr>
            <w:tcW w:w="770" w:type="dxa"/>
            <w:tcBorders>
              <w:top w:val="nil"/>
              <w:left w:val="single" w:color="auto" w:sz="12" w:space="0"/>
              <w:bottom w:val="single" w:color="auto" w:sz="12" w:space="0"/>
              <w:right w:val="single" w:color="auto" w:sz="8" w:space="0"/>
            </w:tcBorders>
            <w:shd w:val="clear" w:color="auto" w:fill="auto"/>
            <w:vAlign w:val="center"/>
          </w:tcPr>
          <w:p>
            <w:pPr>
              <w:snapToGrid w:val="0"/>
              <w:rPr>
                <w:rFonts w:ascii="仿宋" w:hAnsi="仿宋" w:eastAsia="仿宋" w:cs="宋体"/>
                <w:sz w:val="28"/>
              </w:rPr>
            </w:pPr>
          </w:p>
        </w:tc>
        <w:tc>
          <w:tcPr>
            <w:tcW w:w="1938" w:type="dxa"/>
            <w:tcBorders>
              <w:top w:val="nil"/>
              <w:left w:val="nil"/>
              <w:bottom w:val="single" w:color="auto" w:sz="12" w:space="0"/>
              <w:right w:val="single" w:color="auto" w:sz="8" w:space="0"/>
            </w:tcBorders>
            <w:shd w:val="clear" w:color="auto" w:fill="auto"/>
            <w:vAlign w:val="center"/>
          </w:tcPr>
          <w:p>
            <w:pPr>
              <w:snapToGrid w:val="0"/>
              <w:jc w:val="right"/>
              <w:rPr>
                <w:rFonts w:ascii="仿宋" w:hAnsi="仿宋" w:eastAsia="仿宋" w:cs="宋体"/>
                <w:b/>
                <w:sz w:val="28"/>
              </w:rPr>
            </w:pPr>
            <w:r>
              <w:rPr>
                <w:rFonts w:ascii="仿宋" w:hAnsi="仿宋" w:eastAsia="仿宋" w:cs="宋体"/>
                <w:b/>
                <w:sz w:val="28"/>
              </w:rPr>
              <w:t>合计</w:t>
            </w:r>
          </w:p>
        </w:tc>
        <w:tc>
          <w:tcPr>
            <w:tcW w:w="1605" w:type="dxa"/>
            <w:tcBorders>
              <w:top w:val="nil"/>
              <w:left w:val="nil"/>
              <w:bottom w:val="single" w:color="auto" w:sz="12" w:space="0"/>
              <w:right w:val="single" w:color="auto" w:sz="8" w:space="0"/>
            </w:tcBorders>
            <w:shd w:val="clear" w:color="auto" w:fill="auto"/>
            <w:vAlign w:val="center"/>
          </w:tcPr>
          <w:p>
            <w:pPr>
              <w:snapToGrid w:val="0"/>
              <w:rPr>
                <w:rFonts w:ascii="仿宋" w:hAnsi="仿宋" w:eastAsia="仿宋" w:cs="宋体"/>
                <w:sz w:val="28"/>
              </w:rPr>
            </w:pPr>
          </w:p>
        </w:tc>
        <w:tc>
          <w:tcPr>
            <w:tcW w:w="2127" w:type="dxa"/>
            <w:tcBorders>
              <w:top w:val="nil"/>
              <w:left w:val="nil"/>
              <w:bottom w:val="single" w:color="auto" w:sz="12" w:space="0"/>
              <w:right w:val="single" w:color="auto" w:sz="8" w:space="0"/>
            </w:tcBorders>
            <w:shd w:val="clear" w:color="auto" w:fill="auto"/>
            <w:vAlign w:val="center"/>
          </w:tcPr>
          <w:p>
            <w:pPr>
              <w:snapToGrid w:val="0"/>
              <w:rPr>
                <w:rFonts w:ascii="仿宋" w:hAnsi="仿宋" w:eastAsia="仿宋" w:cs="宋体"/>
                <w:sz w:val="28"/>
              </w:rPr>
            </w:pPr>
          </w:p>
        </w:tc>
        <w:tc>
          <w:tcPr>
            <w:tcW w:w="1420" w:type="dxa"/>
            <w:tcBorders>
              <w:top w:val="nil"/>
              <w:left w:val="nil"/>
              <w:bottom w:val="single" w:color="auto" w:sz="12" w:space="0"/>
              <w:right w:val="single" w:color="auto" w:sz="12" w:space="0"/>
            </w:tcBorders>
            <w:shd w:val="clear" w:color="auto" w:fill="auto"/>
            <w:vAlign w:val="center"/>
          </w:tcPr>
          <w:p>
            <w:pPr>
              <w:snapToGrid w:val="0"/>
              <w:jc w:val="center"/>
              <w:rPr>
                <w:rFonts w:ascii="仿宋" w:hAnsi="仿宋" w:eastAsia="仿宋" w:cs="宋体"/>
                <w:sz w:val="28"/>
              </w:rPr>
            </w:pPr>
          </w:p>
        </w:tc>
      </w:tr>
      <w:bookmarkEnd w:id="27"/>
      <w:bookmarkEnd w:id="28"/>
      <w:bookmarkEnd w:id="29"/>
    </w:tbl>
    <w:p>
      <w:pPr>
        <w:pStyle w:val="73"/>
        <w:spacing w:line="360" w:lineRule="auto"/>
        <w:ind w:left="800"/>
        <w:rPr>
          <w:rFonts w:hint="default" w:ascii="Times New Roman" w:hAnsi="Times New Roman" w:cs="Times New Roman"/>
          <w:szCs w:val="21"/>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sz w:val="44"/>
          <w:szCs w:val="44"/>
        </w:rPr>
      </w:pPr>
      <w:r>
        <w:rPr>
          <w:rFonts w:hint="default" w:ascii="Times New Roman" w:hAnsi="Times New Roman" w:cs="Times New Roman"/>
        </w:rPr>
        <w:br w:type="page"/>
      </w:r>
      <w:bookmarkStart w:id="30" w:name="_Toc52097546"/>
      <w:r>
        <w:rPr>
          <w:rFonts w:hint="default" w:ascii="Times New Roman" w:hAnsi="Times New Roman" w:eastAsia="方正小标宋_GBK" w:cs="Times New Roman"/>
          <w:sz w:val="44"/>
          <w:szCs w:val="44"/>
        </w:rPr>
        <w:t>四、资格审查资料</w:t>
      </w:r>
      <w:bookmarkEnd w:id="30"/>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2.资质证书</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3.业绩证明</w:t>
      </w:r>
    </w:p>
    <w:p>
      <w:pPr>
        <w:spacing w:line="510" w:lineRule="exact"/>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eastAsia="zh-CN"/>
        </w:rPr>
        <w:t>人力资源配备</w:t>
      </w:r>
    </w:p>
    <w:p>
      <w:pPr>
        <w:spacing w:line="510" w:lineRule="exact"/>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5.其他</w:t>
      </w:r>
      <w:r>
        <w:rPr>
          <w:rFonts w:hint="default" w:ascii="Times New Roman" w:hAnsi="Times New Roman" w:eastAsia="方正仿宋_GBK" w:cs="Times New Roman"/>
          <w:sz w:val="32"/>
          <w:szCs w:val="32"/>
          <w:lang w:eastAsia="zh-CN"/>
        </w:rPr>
        <w:t>。</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.信用承诺书</w:t>
      </w:r>
    </w:p>
    <w:p>
      <w:pPr>
        <w:tabs>
          <w:tab w:val="left" w:leader="underscore" w:pos="7582"/>
        </w:tabs>
        <w:spacing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sz w:val="32"/>
          <w:szCs w:val="32"/>
          <w:lang w:eastAsia="zh-CN"/>
        </w:rPr>
      </w:pPr>
    </w:p>
    <w:p>
      <w:pPr>
        <w:adjustRightInd w:val="0"/>
        <w:snapToGrid w:val="0"/>
        <w:spacing w:after="120" w:line="360" w:lineRule="auto"/>
        <w:jc w:val="center"/>
        <w:rPr>
          <w:rFonts w:hint="default" w:ascii="Times New Roman" w:hAnsi="Times New Roman" w:cs="Times New Roman" w:eastAsiaTheme="minorEastAsia"/>
          <w:sz w:val="32"/>
          <w:szCs w:val="32"/>
          <w:lang w:eastAsia="zh-CN"/>
        </w:rPr>
      </w:pPr>
      <w:r>
        <w:rPr>
          <w:rFonts w:hint="default"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信用承诺书</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重庆航运建设发展（集团）有限公司：</w:t>
      </w:r>
    </w:p>
    <w:p>
      <w:pPr>
        <w:adjustRightInd w:val="0"/>
        <w:snapToGrid w:val="0"/>
        <w:spacing w:after="120" w:line="51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sz w:val="32"/>
          <w:szCs w:val="32"/>
          <w:lang w:val="en-US" w:eastAsia="zh-CN"/>
        </w:rPr>
        <w:t>_______</w:t>
      </w:r>
      <w:r>
        <w:rPr>
          <w:rFonts w:hint="default"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val="en-US" w:eastAsia="zh-CN"/>
        </w:rPr>
        <w:t>与</w:t>
      </w:r>
      <w:r>
        <w:rPr>
          <w:rFonts w:hint="default" w:ascii="Times New Roman" w:hAnsi="Times New Roman" w:eastAsia="方正仿宋_GBK" w:cs="Times New Roman"/>
          <w:sz w:val="32"/>
          <w:szCs w:val="32"/>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sz w:val="32"/>
          <w:szCs w:val="32"/>
          <w:lang w:eastAsia="zh-CN"/>
        </w:rPr>
      </w:pPr>
      <w:r>
        <w:rPr>
          <w:rFonts w:hint="default" w:ascii="Times New Roman" w:hAnsi="Times New Roman" w:eastAsia="方正仿宋_GBK" w:cs="Times New Roman"/>
          <w:sz w:val="32"/>
          <w:szCs w:val="32"/>
          <w:lang w:eastAsia="zh-CN"/>
        </w:rPr>
        <w:t>6、</w:t>
      </w:r>
      <w:r>
        <w:rPr>
          <w:rFonts w:hint="eastAsia" w:ascii="Times New Roman" w:hAnsi="Times New Roman" w:eastAsia="方正仿宋_GBK" w:cs="Times New Roman"/>
          <w:i/>
          <w:iCs/>
          <w:sz w:val="32"/>
          <w:szCs w:val="32"/>
          <w:lang w:val="en-US" w:eastAsia="zh-CN"/>
        </w:rPr>
        <w:t>其他：</w:t>
      </w:r>
      <w:r>
        <w:rPr>
          <w:rFonts w:hint="eastAsia" w:ascii="Times New Roman" w:hAnsi="Times New Roman" w:eastAsia="方正仿宋_GBK" w:cs="Times New Roman"/>
          <w:i/>
          <w:iCs/>
          <w:sz w:val="32"/>
          <w:szCs w:val="32"/>
          <w:lang w:val="en-US" w:eastAsia="zh-CN"/>
        </w:rPr>
        <w:tab/>
      </w:r>
      <w:r>
        <w:rPr>
          <w:rFonts w:hint="eastAsia" w:ascii="Times New Roman" w:hAnsi="Times New Roman" w:eastAsia="方正仿宋_GBK" w:cs="Times New Roman"/>
          <w:i/>
          <w:iCs/>
          <w:sz w:val="32"/>
          <w:szCs w:val="32"/>
          <w:lang w:val="en-US" w:eastAsia="zh-CN"/>
        </w:rPr>
        <w:t>_______</w:t>
      </w:r>
      <w:r>
        <w:rPr>
          <w:rFonts w:hint="default" w:ascii="Times New Roman" w:hAnsi="Times New Roman" w:eastAsia="方正仿宋_GBK" w:cs="Times New Roman"/>
          <w:i/>
          <w:iCs/>
          <w:sz w:val="32"/>
          <w:szCs w:val="32"/>
          <w:lang w:eastAsia="zh-CN"/>
        </w:rPr>
        <w:t>。</w:t>
      </w:r>
    </w:p>
    <w:p>
      <w:pPr>
        <w:adjustRightInd w:val="0"/>
        <w:snapToGrid w:val="0"/>
        <w:spacing w:after="120" w:line="510" w:lineRule="exac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法定代表人：       （签字或盖章）</w:t>
      </w:r>
    </w:p>
    <w:p>
      <w:pPr>
        <w:pStyle w:val="43"/>
        <w:jc w:val="righ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年    月    日</w:t>
      </w:r>
    </w:p>
    <w:p>
      <w:pPr>
        <w:pStyle w:val="43"/>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五、</w:t>
      </w:r>
      <w:r>
        <w:rPr>
          <w:rFonts w:hint="default" w:ascii="Times New Roman" w:hAnsi="Times New Roman" w:eastAsia="方正小标宋_GBK" w:cs="Times New Roman"/>
          <w:sz w:val="44"/>
          <w:szCs w:val="44"/>
          <w:lang w:val="en-US" w:eastAsia="zh-CN"/>
        </w:rPr>
        <w:t>项目方案及进度安排</w:t>
      </w:r>
      <w:bookmarkStart w:id="31" w:name="_Toc52097548"/>
    </w:p>
    <w:p>
      <w:pPr>
        <w:spacing w:line="51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项目的认识（结合项目背景、区域概况、</w:t>
      </w:r>
      <w:r>
        <w:rPr>
          <w:rFonts w:hint="eastAsia"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lang w:eastAsia="zh-CN"/>
        </w:rPr>
        <w:t>书面资料）</w:t>
      </w:r>
      <w:r>
        <w:rPr>
          <w:rFonts w:hint="eastAsia" w:ascii="Times New Roman" w:hAnsi="Times New Roman" w:eastAsia="方正仿宋_GBK" w:cs="Times New Roman"/>
          <w:sz w:val="32"/>
          <w:szCs w:val="32"/>
          <w:lang w:eastAsia="zh-CN"/>
        </w:rPr>
        <w:t>；</w:t>
      </w:r>
    </w:p>
    <w:p>
      <w:pPr>
        <w:spacing w:line="51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技术方案（结合项目需求，编制相应专项研究方案、工作程序等）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进度计划与措施（总计划各关键环节的工期切实可行，保证工期的措施科学、可靠等方面)</w:t>
      </w:r>
      <w:r>
        <w:rPr>
          <w:rFonts w:hint="eastAsia" w:ascii="Times New Roman" w:hAnsi="Times New Roman" w:eastAsia="方正仿宋_GBK" w:cs="Times New Roman"/>
          <w:sz w:val="32"/>
          <w:szCs w:val="32"/>
          <w:lang w:eastAsia="zh-CN"/>
        </w:rPr>
        <w:t>；</w:t>
      </w:r>
    </w:p>
    <w:p>
      <w:pPr>
        <w:spacing w:line="510" w:lineRule="exact"/>
        <w:ind w:firstLine="640" w:firstLineChars="200"/>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其他</w:t>
      </w:r>
    </w:p>
    <w:p>
      <w:pPr>
        <w:adjustRightInd w:val="0"/>
        <w:snapToGrid w:val="0"/>
        <w:spacing w:after="120" w:line="360" w:lineRule="auto"/>
        <w:ind w:firstLine="435"/>
        <w:jc w:val="left"/>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rPr>
        <w:t>六、其他资料</w:t>
      </w:r>
      <w:bookmarkEnd w:id="31"/>
    </w:p>
    <w:sectPr>
      <w:headerReference r:id="rId5"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516AC6"/>
    <w:multiLevelType w:val="singleLevel"/>
    <w:tmpl w:val="A5516AC6"/>
    <w:lvl w:ilvl="0" w:tentative="0">
      <w:start w:val="7"/>
      <w:numFmt w:val="decimal"/>
      <w:suff w:val="space"/>
      <w:lvlText w:val="%1."/>
      <w:lvlJc w:val="left"/>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BD21B0"/>
    <w:rsid w:val="01F47E9D"/>
    <w:rsid w:val="020019E7"/>
    <w:rsid w:val="048A3FA3"/>
    <w:rsid w:val="04C75BA9"/>
    <w:rsid w:val="05046843"/>
    <w:rsid w:val="0636605F"/>
    <w:rsid w:val="067A2C61"/>
    <w:rsid w:val="06ED263D"/>
    <w:rsid w:val="073F6485"/>
    <w:rsid w:val="07501833"/>
    <w:rsid w:val="08651193"/>
    <w:rsid w:val="08F93D5B"/>
    <w:rsid w:val="09CD7F8F"/>
    <w:rsid w:val="0A95138C"/>
    <w:rsid w:val="0BB95CD2"/>
    <w:rsid w:val="0BFE4292"/>
    <w:rsid w:val="0C292867"/>
    <w:rsid w:val="0CD07E15"/>
    <w:rsid w:val="0CFA4A65"/>
    <w:rsid w:val="0FB66909"/>
    <w:rsid w:val="10A81391"/>
    <w:rsid w:val="117A6EEF"/>
    <w:rsid w:val="118F3348"/>
    <w:rsid w:val="124C5AD7"/>
    <w:rsid w:val="138B3C94"/>
    <w:rsid w:val="13B86C2F"/>
    <w:rsid w:val="14295DAF"/>
    <w:rsid w:val="142A7E51"/>
    <w:rsid w:val="159E24E8"/>
    <w:rsid w:val="162417DF"/>
    <w:rsid w:val="16A76DEE"/>
    <w:rsid w:val="17AC5B95"/>
    <w:rsid w:val="198130EF"/>
    <w:rsid w:val="19AE416C"/>
    <w:rsid w:val="19DD43BA"/>
    <w:rsid w:val="1A4B45F5"/>
    <w:rsid w:val="1AEB3291"/>
    <w:rsid w:val="1B4A004A"/>
    <w:rsid w:val="1CEB3111"/>
    <w:rsid w:val="1D1E25DF"/>
    <w:rsid w:val="1D652848"/>
    <w:rsid w:val="1DD736C3"/>
    <w:rsid w:val="1FF1397E"/>
    <w:rsid w:val="214A4434"/>
    <w:rsid w:val="21CC3BA7"/>
    <w:rsid w:val="21E3769E"/>
    <w:rsid w:val="22102401"/>
    <w:rsid w:val="228765EB"/>
    <w:rsid w:val="22EE3D26"/>
    <w:rsid w:val="241174C5"/>
    <w:rsid w:val="24223D80"/>
    <w:rsid w:val="24304B96"/>
    <w:rsid w:val="24430E72"/>
    <w:rsid w:val="24B738C2"/>
    <w:rsid w:val="255178E6"/>
    <w:rsid w:val="255E1927"/>
    <w:rsid w:val="25F14B98"/>
    <w:rsid w:val="26710645"/>
    <w:rsid w:val="26A91696"/>
    <w:rsid w:val="272F2851"/>
    <w:rsid w:val="274F3DB2"/>
    <w:rsid w:val="279C6923"/>
    <w:rsid w:val="27BD1AEB"/>
    <w:rsid w:val="28FC289D"/>
    <w:rsid w:val="2914405B"/>
    <w:rsid w:val="29156EF2"/>
    <w:rsid w:val="29641BEC"/>
    <w:rsid w:val="2BF539B5"/>
    <w:rsid w:val="2C61237F"/>
    <w:rsid w:val="2D280A7E"/>
    <w:rsid w:val="319A23E2"/>
    <w:rsid w:val="328937F3"/>
    <w:rsid w:val="32F017EB"/>
    <w:rsid w:val="33C83BC3"/>
    <w:rsid w:val="35153592"/>
    <w:rsid w:val="35996867"/>
    <w:rsid w:val="387B5356"/>
    <w:rsid w:val="389F0583"/>
    <w:rsid w:val="39A21649"/>
    <w:rsid w:val="3B3B1938"/>
    <w:rsid w:val="3B536115"/>
    <w:rsid w:val="3B896557"/>
    <w:rsid w:val="3D12686E"/>
    <w:rsid w:val="3D18578A"/>
    <w:rsid w:val="3DA55E6C"/>
    <w:rsid w:val="3E0A4684"/>
    <w:rsid w:val="3E415AC4"/>
    <w:rsid w:val="3EC066EC"/>
    <w:rsid w:val="3ED20001"/>
    <w:rsid w:val="3EE322BE"/>
    <w:rsid w:val="3EED6A2E"/>
    <w:rsid w:val="3EF25A32"/>
    <w:rsid w:val="408814E1"/>
    <w:rsid w:val="418D49B0"/>
    <w:rsid w:val="41DC2462"/>
    <w:rsid w:val="42615AA3"/>
    <w:rsid w:val="426A5D19"/>
    <w:rsid w:val="42A713D5"/>
    <w:rsid w:val="42EE0B57"/>
    <w:rsid w:val="42FC2B26"/>
    <w:rsid w:val="43EF3495"/>
    <w:rsid w:val="453756CC"/>
    <w:rsid w:val="455255E8"/>
    <w:rsid w:val="46E4318C"/>
    <w:rsid w:val="471F4D88"/>
    <w:rsid w:val="479E3A47"/>
    <w:rsid w:val="47D87266"/>
    <w:rsid w:val="48324764"/>
    <w:rsid w:val="49222A1C"/>
    <w:rsid w:val="49A2577D"/>
    <w:rsid w:val="4A321E22"/>
    <w:rsid w:val="4A3546F1"/>
    <w:rsid w:val="4ABE7CC7"/>
    <w:rsid w:val="4B106456"/>
    <w:rsid w:val="4C6F2EDA"/>
    <w:rsid w:val="4E03626B"/>
    <w:rsid w:val="4F7B2533"/>
    <w:rsid w:val="508711A9"/>
    <w:rsid w:val="510E35CE"/>
    <w:rsid w:val="517B4EC0"/>
    <w:rsid w:val="51B322DA"/>
    <w:rsid w:val="51CC3CA7"/>
    <w:rsid w:val="526D2EBF"/>
    <w:rsid w:val="53366EE7"/>
    <w:rsid w:val="54271112"/>
    <w:rsid w:val="54523A5C"/>
    <w:rsid w:val="555C3065"/>
    <w:rsid w:val="5571228F"/>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B934BF"/>
    <w:rsid w:val="5EF2527F"/>
    <w:rsid w:val="5F4768A1"/>
    <w:rsid w:val="5FA74DF5"/>
    <w:rsid w:val="60895210"/>
    <w:rsid w:val="60DC0379"/>
    <w:rsid w:val="60F91A9B"/>
    <w:rsid w:val="61156038"/>
    <w:rsid w:val="61681DAA"/>
    <w:rsid w:val="62137647"/>
    <w:rsid w:val="64761A1E"/>
    <w:rsid w:val="65585085"/>
    <w:rsid w:val="66662638"/>
    <w:rsid w:val="67015D83"/>
    <w:rsid w:val="676C3643"/>
    <w:rsid w:val="67B30A70"/>
    <w:rsid w:val="68466749"/>
    <w:rsid w:val="68562C5D"/>
    <w:rsid w:val="689313CC"/>
    <w:rsid w:val="68C3182C"/>
    <w:rsid w:val="69E81028"/>
    <w:rsid w:val="6CE5077C"/>
    <w:rsid w:val="6D541C74"/>
    <w:rsid w:val="6DAD722E"/>
    <w:rsid w:val="6DE06576"/>
    <w:rsid w:val="70656815"/>
    <w:rsid w:val="709655A9"/>
    <w:rsid w:val="70D83866"/>
    <w:rsid w:val="710D7515"/>
    <w:rsid w:val="7139605B"/>
    <w:rsid w:val="71B25E42"/>
    <w:rsid w:val="72B14FD5"/>
    <w:rsid w:val="737F3A69"/>
    <w:rsid w:val="74181201"/>
    <w:rsid w:val="743D400A"/>
    <w:rsid w:val="744A351C"/>
    <w:rsid w:val="74590E55"/>
    <w:rsid w:val="755A6876"/>
    <w:rsid w:val="755F3CFE"/>
    <w:rsid w:val="756555F5"/>
    <w:rsid w:val="760D0BC5"/>
    <w:rsid w:val="762D6621"/>
    <w:rsid w:val="76575395"/>
    <w:rsid w:val="77AD20AE"/>
    <w:rsid w:val="78286988"/>
    <w:rsid w:val="78582AF1"/>
    <w:rsid w:val="7861167A"/>
    <w:rsid w:val="78E04108"/>
    <w:rsid w:val="7A3E4002"/>
    <w:rsid w:val="7AAF6562"/>
    <w:rsid w:val="7C4D729D"/>
    <w:rsid w:val="7D100213"/>
    <w:rsid w:val="7DA07D53"/>
    <w:rsid w:val="7DCC7838"/>
    <w:rsid w:val="7E16720D"/>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w:basedOn w:val="1"/>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w:basedOn w:val="1"/>
    <w:link w:val="55"/>
    <w:qFormat/>
    <w:uiPriority w:val="0"/>
    <w:rPr>
      <w:sz w:val="21"/>
      <w:szCs w:val="21"/>
    </w:rPr>
  </w:style>
  <w:style w:type="paragraph" w:styleId="19">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6"/>
    <w:next w:val="16"/>
    <w:link w:val="96"/>
    <w:unhideWhenUsed/>
    <w:qFormat/>
    <w:uiPriority w:val="0"/>
    <w:rPr>
      <w:rFonts w:ascii="宋体" w:hAnsi="宋体" w:cs="宋体"/>
      <w:b/>
      <w:bCs/>
    </w:rPr>
  </w:style>
  <w:style w:type="paragraph" w:styleId="43">
    <w:name w:val="Body Text First Indent 2"/>
    <w:basedOn w:val="19"/>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8"/>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9"/>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Default"/>
    <w:unhideWhenUsed/>
    <w:qFormat/>
    <w:uiPriority w:val="0"/>
    <w:pPr>
      <w:widowControl w:val="0"/>
      <w:autoSpaceDE w:val="0"/>
      <w:autoSpaceDN w:val="0"/>
      <w:adjustRightInd w:val="0"/>
    </w:pPr>
    <w:rPr>
      <w:rFonts w:hint="eastAsia" w:ascii="仿宋_GB2312" w:hAnsi="Calibri"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1524</Words>
  <Characters>8687</Characters>
  <Lines>72</Lines>
  <Paragraphs>20</Paragraphs>
  <TotalTime>10</TotalTime>
  <ScaleCrop>false</ScaleCrop>
  <LinksUpToDate>false</LinksUpToDate>
  <CharactersWithSpaces>10191</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李春举</cp:lastModifiedBy>
  <dcterms:modified xsi:type="dcterms:W3CDTF">2022-03-28T01:37:40Z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FD2EE96D98C947BFB9F329FC212C1126</vt:lpwstr>
  </property>
</Properties>
</file>