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pacing w:val="-16"/>
          <w:sz w:val="36"/>
          <w:szCs w:val="36"/>
          <w:lang w:val="en-US" w:eastAsia="zh-CN"/>
        </w:rPr>
      </w:pPr>
      <w:r>
        <w:rPr>
          <w:rFonts w:hint="eastAsia" w:ascii="宋体" w:hAnsi="宋体"/>
          <w:b/>
          <w:bCs/>
          <w:spacing w:val="-16"/>
          <w:sz w:val="36"/>
          <w:szCs w:val="36"/>
          <w:lang w:val="en-US" w:eastAsia="zh-CN"/>
        </w:rPr>
        <w:t xml:space="preserve"> </w:t>
      </w:r>
      <w:r>
        <w:rPr>
          <w:rFonts w:hint="eastAsia" w:ascii="宋体" w:hAnsi="宋体"/>
          <w:b/>
          <w:bCs/>
          <w:spacing w:val="-16"/>
          <w:sz w:val="36"/>
          <w:szCs w:val="36"/>
        </w:rPr>
        <w:t>重庆高速公路集团有限公司</w:t>
      </w:r>
      <w:r>
        <w:rPr>
          <w:rFonts w:hint="eastAsia" w:ascii="宋体" w:hAnsi="宋体"/>
          <w:b/>
          <w:bCs/>
          <w:spacing w:val="-16"/>
          <w:sz w:val="36"/>
          <w:szCs w:val="36"/>
          <w:lang w:val="en-US" w:eastAsia="zh-CN"/>
        </w:rPr>
        <w:t>东南</w:t>
      </w:r>
      <w:r>
        <w:rPr>
          <w:rFonts w:hint="eastAsia" w:ascii="宋体" w:hAnsi="宋体"/>
          <w:b/>
          <w:bCs/>
          <w:spacing w:val="-16"/>
          <w:sz w:val="36"/>
          <w:szCs w:val="36"/>
        </w:rPr>
        <w:t xml:space="preserve">营运分公司                  </w:t>
      </w:r>
      <w:r>
        <w:rPr>
          <w:rFonts w:hint="eastAsia" w:ascii="宋体" w:hAnsi="宋体"/>
          <w:b/>
          <w:bCs/>
          <w:spacing w:val="-16"/>
          <w:sz w:val="36"/>
          <w:szCs w:val="36"/>
          <w:lang w:val="en-US" w:eastAsia="zh-CN"/>
        </w:rPr>
        <w:t>2023年服务区生活垃圾清运处置</w:t>
      </w:r>
    </w:p>
    <w:p>
      <w:pPr>
        <w:spacing w:line="360" w:lineRule="auto"/>
        <w:jc w:val="center"/>
        <w:rPr>
          <w:rFonts w:hint="eastAsia" w:ascii="宋体" w:hAnsi="宋体"/>
          <w:b/>
          <w:bCs/>
          <w:spacing w:val="-16"/>
          <w:sz w:val="36"/>
          <w:szCs w:val="36"/>
        </w:rPr>
      </w:pPr>
      <w:r>
        <w:rPr>
          <w:rFonts w:hint="eastAsia" w:ascii="宋体" w:hAnsi="宋体"/>
          <w:b/>
          <w:bCs/>
          <w:spacing w:val="-16"/>
          <w:sz w:val="36"/>
          <w:szCs w:val="36"/>
          <w:lang w:val="en-US" w:eastAsia="zh-CN"/>
        </w:rPr>
        <w:t>项目</w:t>
      </w:r>
      <w:r>
        <w:rPr>
          <w:rFonts w:hint="eastAsia" w:ascii="宋体" w:hAnsi="宋体"/>
          <w:b/>
          <w:bCs/>
          <w:spacing w:val="-16"/>
          <w:sz w:val="36"/>
          <w:szCs w:val="36"/>
        </w:rPr>
        <w:t>询价函</w:t>
      </w:r>
    </w:p>
    <w:p>
      <w:pPr>
        <w:spacing w:line="500" w:lineRule="exact"/>
        <w:ind w:firstLine="480" w:firstLineChars="200"/>
        <w:rPr>
          <w:rFonts w:hint="eastAsia" w:ascii="宋体" w:hAnsi="宋体"/>
          <w:sz w:val="24"/>
        </w:rPr>
      </w:pPr>
      <w:r>
        <w:rPr>
          <w:rFonts w:hint="eastAsia" w:ascii="宋体" w:hAnsi="宋体"/>
          <w:sz w:val="24"/>
        </w:rPr>
        <w:t>重庆高速公路集团有限公司东南营运分公司为规范辖区服务区管理，需对服务区</w:t>
      </w:r>
      <w:r>
        <w:rPr>
          <w:rFonts w:hint="eastAsia" w:ascii="宋体" w:hAnsi="宋体"/>
          <w:sz w:val="24"/>
          <w:lang w:val="en-US" w:eastAsia="zh-CN"/>
        </w:rPr>
        <w:t>生活</w:t>
      </w:r>
      <w:r>
        <w:rPr>
          <w:rFonts w:hint="eastAsia" w:ascii="宋体" w:hAnsi="宋体"/>
          <w:sz w:val="24"/>
        </w:rPr>
        <w:t>垃圾清运</w:t>
      </w:r>
      <w:r>
        <w:rPr>
          <w:rFonts w:hint="eastAsia" w:ascii="宋体" w:hAnsi="宋体"/>
          <w:sz w:val="24"/>
          <w:lang w:eastAsia="zh-CN"/>
        </w:rPr>
        <w:t>处置</w:t>
      </w:r>
      <w:r>
        <w:rPr>
          <w:rFonts w:hint="eastAsia" w:ascii="宋体" w:hAnsi="宋体"/>
          <w:sz w:val="24"/>
        </w:rPr>
        <w:t>服务进行询价，</w:t>
      </w:r>
      <w:r>
        <w:rPr>
          <w:rFonts w:hint="eastAsia" w:ascii="宋体" w:hAnsi="宋体"/>
          <w:sz w:val="24"/>
          <w:lang w:eastAsia="zh-CN"/>
        </w:rPr>
        <w:t>项目</w:t>
      </w:r>
      <w:r>
        <w:rPr>
          <w:rFonts w:hint="eastAsia" w:ascii="宋体" w:hAnsi="宋体"/>
          <w:sz w:val="24"/>
          <w:lang w:val="en-US" w:eastAsia="zh-CN"/>
        </w:rPr>
        <w:t>现</w:t>
      </w:r>
      <w:r>
        <w:rPr>
          <w:rFonts w:hint="eastAsia" w:ascii="宋体" w:hAnsi="宋体"/>
          <w:sz w:val="24"/>
          <w:lang w:eastAsia="zh-CN"/>
        </w:rPr>
        <w:t>已具备询价条件，</w:t>
      </w:r>
      <w:r>
        <w:rPr>
          <w:rFonts w:hint="eastAsia" w:ascii="宋体" w:hAnsi="宋体"/>
          <w:sz w:val="24"/>
        </w:rPr>
        <w:t>特邀请符合资质要求的单位参加此次竞争性</w:t>
      </w:r>
      <w:r>
        <w:rPr>
          <w:rFonts w:hint="eastAsia" w:ascii="宋体" w:hAnsi="宋体"/>
          <w:sz w:val="24"/>
          <w:lang w:eastAsia="zh-CN"/>
        </w:rPr>
        <w:t>询价</w:t>
      </w:r>
      <w:r>
        <w:rPr>
          <w:rFonts w:hint="eastAsia" w:ascii="宋体" w:hAnsi="宋体"/>
          <w:sz w:val="24"/>
        </w:rPr>
        <w:t>。</w:t>
      </w:r>
    </w:p>
    <w:p>
      <w:pPr>
        <w:spacing w:line="500" w:lineRule="exact"/>
        <w:ind w:left="0" w:leftChars="0" w:firstLine="482" w:firstLineChars="200"/>
        <w:jc w:val="both"/>
        <w:rPr>
          <w:rFonts w:hint="eastAsia" w:ascii="宋体" w:hAnsi="宋体"/>
          <w:sz w:val="24"/>
          <w:lang w:val="en-US" w:eastAsia="zh-CN"/>
        </w:rPr>
      </w:pPr>
      <w:r>
        <w:rPr>
          <w:rFonts w:hint="eastAsia" w:ascii="宋体" w:hAnsi="宋体" w:cs="宋体"/>
          <w:b/>
          <w:bCs/>
          <w:color w:val="auto"/>
          <w:sz w:val="24"/>
          <w:szCs w:val="24"/>
          <w:lang w:val="en-US" w:eastAsia="zh-CN"/>
        </w:rPr>
        <w:t>一、项目名称：</w:t>
      </w:r>
      <w:r>
        <w:rPr>
          <w:rFonts w:hint="eastAsia" w:ascii="宋体" w:hAnsi="宋体"/>
          <w:snapToGrid w:val="0"/>
          <w:spacing w:val="0"/>
          <w:kern w:val="0"/>
          <w:sz w:val="24"/>
        </w:rPr>
        <w:t>重庆高速公路集团有限公司</w:t>
      </w:r>
      <w:r>
        <w:rPr>
          <w:rFonts w:hint="eastAsia" w:ascii="宋体" w:hAnsi="宋体"/>
          <w:snapToGrid w:val="0"/>
          <w:spacing w:val="0"/>
          <w:kern w:val="0"/>
          <w:sz w:val="24"/>
          <w:lang w:val="en-US" w:eastAsia="zh-CN"/>
        </w:rPr>
        <w:t>东南</w:t>
      </w:r>
      <w:r>
        <w:rPr>
          <w:rFonts w:hint="eastAsia" w:ascii="宋体" w:hAnsi="宋体"/>
          <w:snapToGrid w:val="0"/>
          <w:spacing w:val="0"/>
          <w:kern w:val="0"/>
          <w:sz w:val="24"/>
        </w:rPr>
        <w:t>营运分公司</w:t>
      </w:r>
      <w:r>
        <w:rPr>
          <w:rFonts w:hint="eastAsia" w:ascii="宋体" w:hAnsi="宋体"/>
          <w:spacing w:val="0"/>
          <w:kern w:val="0"/>
          <w:sz w:val="24"/>
          <w:lang w:val="en-US" w:eastAsia="zh-CN"/>
        </w:rPr>
        <w:t>2023年服务区生活垃圾清运处置</w:t>
      </w:r>
    </w:p>
    <w:p>
      <w:pPr>
        <w:spacing w:line="500" w:lineRule="exact"/>
        <w:ind w:firstLine="480" w:firstLineChars="200"/>
        <w:rPr>
          <w:rFonts w:hint="eastAsia" w:ascii="宋体" w:hAnsi="宋体"/>
          <w:sz w:val="24"/>
          <w:lang w:val="en-US" w:eastAsia="zh-CN"/>
        </w:rPr>
      </w:pP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二、项目地点</w:t>
      </w:r>
    </w:p>
    <w:p>
      <w:pPr>
        <w:numPr>
          <w:ilvl w:val="0"/>
          <w:numId w:val="0"/>
        </w:numPr>
        <w:spacing w:line="360" w:lineRule="auto"/>
        <w:ind w:firstLine="480"/>
        <w:rPr>
          <w:rFonts w:hint="eastAsia" w:ascii="宋体" w:hAnsi="宋体"/>
          <w:color w:val="000000"/>
          <w:sz w:val="24"/>
          <w:highlight w:val="none"/>
        </w:rPr>
      </w:pPr>
      <w:r>
        <w:rPr>
          <w:rFonts w:hint="eastAsia" w:ascii="宋体" w:hAnsi="宋体"/>
          <w:sz w:val="24"/>
        </w:rPr>
        <w:t>G65渝湘高速公路</w:t>
      </w:r>
      <w:r>
        <w:rPr>
          <w:rFonts w:hint="eastAsia" w:ascii="宋体" w:hAnsi="宋体"/>
          <w:sz w:val="24"/>
          <w:lang w:val="en-US" w:eastAsia="zh-CN"/>
        </w:rPr>
        <w:t>酉阳、板溪（叠石花谷）</w:t>
      </w:r>
      <w:r>
        <w:rPr>
          <w:rFonts w:hint="eastAsia" w:ascii="宋体" w:hAnsi="宋体"/>
          <w:sz w:val="24"/>
        </w:rPr>
        <w:t>服务区（共计</w:t>
      </w:r>
      <w:r>
        <w:rPr>
          <w:rFonts w:hint="eastAsia" w:ascii="宋体" w:hAnsi="宋体"/>
          <w:sz w:val="24"/>
          <w:lang w:val="en-US" w:eastAsia="zh-CN"/>
        </w:rPr>
        <w:t>1.5</w:t>
      </w:r>
      <w:r>
        <w:rPr>
          <w:rFonts w:hint="eastAsia" w:ascii="宋体" w:hAnsi="宋体"/>
          <w:sz w:val="24"/>
        </w:rPr>
        <w:t>对服务区）</w:t>
      </w:r>
      <w:r>
        <w:rPr>
          <w:rFonts w:hint="eastAsia" w:ascii="宋体" w:hAnsi="宋体"/>
          <w:color w:val="000000"/>
          <w:sz w:val="24"/>
          <w:highlight w:val="none"/>
        </w:rPr>
        <w:t>。</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三、询价范围及项目要求</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1、询价范围</w:t>
      </w:r>
    </w:p>
    <w:p>
      <w:pPr>
        <w:spacing w:line="360" w:lineRule="auto"/>
        <w:ind w:firstLine="480" w:firstLineChars="200"/>
        <w:rPr>
          <w:rFonts w:hint="eastAsia" w:ascii="宋体" w:hAnsi="宋体" w:eastAsia="宋体"/>
          <w:sz w:val="24"/>
          <w:lang w:eastAsia="zh-CN"/>
        </w:rPr>
      </w:pPr>
      <w:r>
        <w:rPr>
          <w:rFonts w:hint="eastAsia" w:ascii="宋体" w:hAnsi="宋体" w:cs="宋体"/>
          <w:kern w:val="0"/>
          <w:sz w:val="24"/>
          <w:lang w:val="en-US" w:eastAsia="zh-CN"/>
        </w:rPr>
        <w:t>生活垃圾清运处置范围：对重庆高速公路集团有限公司东南营运分公司酉阳管理中心辖区所有服务区进出城方向的生活垃圾进行清空清运处置。即二类服务区：G65渝湘高速公路酉阳服务区，</w:t>
      </w:r>
      <w:r>
        <w:rPr>
          <w:rFonts w:hint="eastAsia" w:ascii="宋体" w:hAnsi="宋体"/>
          <w:sz w:val="24"/>
          <w:lang w:val="en-US" w:eastAsia="zh-CN"/>
        </w:rPr>
        <w:t>三类服务区：</w:t>
      </w:r>
      <w:r>
        <w:rPr>
          <w:rFonts w:hint="eastAsia" w:ascii="宋体" w:hAnsi="宋体"/>
          <w:sz w:val="24"/>
        </w:rPr>
        <w:t>G65渝湘高速公路</w:t>
      </w:r>
      <w:r>
        <w:rPr>
          <w:rFonts w:hint="eastAsia" w:ascii="宋体" w:hAnsi="宋体"/>
          <w:sz w:val="24"/>
          <w:lang w:val="en-US" w:eastAsia="zh-CN"/>
        </w:rPr>
        <w:t>板溪（叠石花谷）服务区</w:t>
      </w:r>
      <w:r>
        <w:rPr>
          <w:rFonts w:hint="eastAsia" w:ascii="宋体" w:hAnsi="宋体"/>
          <w:sz w:val="24"/>
          <w:lang w:eastAsia="zh-CN"/>
        </w:rPr>
        <w:t>。</w:t>
      </w:r>
    </w:p>
    <w:p>
      <w:pPr>
        <w:spacing w:line="360" w:lineRule="auto"/>
        <w:ind w:firstLine="480" w:firstLineChars="200"/>
        <w:rPr>
          <w:rFonts w:hint="eastAsia" w:ascii="宋体" w:hAnsi="宋体"/>
          <w:color w:val="000000"/>
          <w:sz w:val="24"/>
          <w:highlight w:val="none"/>
        </w:rPr>
      </w:pPr>
      <w:bookmarkStart w:id="0" w:name="_Toc446247227"/>
      <w:bookmarkStart w:id="1" w:name="_Toc446357040"/>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项目</w:t>
      </w:r>
      <w:r>
        <w:rPr>
          <w:rFonts w:hint="eastAsia" w:ascii="宋体" w:hAnsi="宋体"/>
          <w:color w:val="000000"/>
          <w:sz w:val="24"/>
          <w:highlight w:val="none"/>
        </w:rPr>
        <w:t>要求</w:t>
      </w:r>
      <w:bookmarkEnd w:id="0"/>
      <w:bookmarkEnd w:id="1"/>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生活垃圾清运处置频率及要求</w:t>
      </w:r>
    </w:p>
    <w:tbl>
      <w:tblPr>
        <w:tblStyle w:val="6"/>
        <w:tblW w:w="103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52"/>
        <w:gridCol w:w="1187"/>
        <w:gridCol w:w="1588"/>
        <w:gridCol w:w="3785"/>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10356" w:type="dxa"/>
            <w:gridSpan w:val="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服务区生活垃圾清运处置频次要求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9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服务区名称</w:t>
            </w:r>
          </w:p>
        </w:tc>
        <w:tc>
          <w:tcPr>
            <w:tcW w:w="2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日常清空清运</w:t>
            </w:r>
          </w:p>
        </w:tc>
        <w:tc>
          <w:tcPr>
            <w:tcW w:w="37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特殊时段增加清空清运频次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（含春运、暑运、重大节假日等）</w:t>
            </w:r>
          </w:p>
        </w:tc>
        <w:tc>
          <w:tcPr>
            <w:tcW w:w="1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全年清空清运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频次总计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19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清运频率</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全年基本清空清运处置频次</w:t>
            </w:r>
          </w:p>
        </w:tc>
        <w:tc>
          <w:tcPr>
            <w:tcW w:w="37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酉阳</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天/次</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91</w:t>
            </w:r>
            <w:r>
              <w:rPr>
                <w:rFonts w:hint="eastAsia" w:ascii="宋体" w:hAnsi="宋体" w:eastAsia="宋体" w:cs="宋体"/>
                <w:i w:val="0"/>
                <w:color w:val="000000"/>
                <w:kern w:val="0"/>
                <w:sz w:val="24"/>
                <w:szCs w:val="24"/>
                <w:u w:val="none"/>
                <w:lang w:val="en-US" w:eastAsia="zh-CN" w:bidi="ar"/>
              </w:rPr>
              <w:t>次/年</w:t>
            </w:r>
          </w:p>
        </w:tc>
        <w:tc>
          <w:tcPr>
            <w:tcW w:w="37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10次/年</w:t>
            </w:r>
          </w:p>
        </w:tc>
        <w:tc>
          <w:tcPr>
            <w:tcW w:w="1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174</w:t>
            </w:r>
            <w:r>
              <w:rPr>
                <w:rFonts w:hint="eastAsia" w:ascii="宋体" w:hAnsi="宋体" w:eastAsia="宋体" w:cs="宋体"/>
                <w:i w:val="0"/>
                <w:color w:val="000000"/>
                <w:kern w:val="0"/>
                <w:sz w:val="24"/>
                <w:szCs w:val="24"/>
                <w:u w:val="none"/>
                <w:lang w:val="en-US" w:eastAsia="zh-CN" w:bidi="ar"/>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sz w:val="24"/>
                <w:lang w:val="en-US" w:eastAsia="zh-CN"/>
              </w:rPr>
              <w:t>板溪（叠石花谷）</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天/次</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73</w:t>
            </w:r>
            <w:r>
              <w:rPr>
                <w:rFonts w:hint="eastAsia" w:ascii="宋体" w:hAnsi="宋体" w:eastAsia="宋体" w:cs="宋体"/>
                <w:i w:val="0"/>
                <w:color w:val="000000"/>
                <w:kern w:val="0"/>
                <w:sz w:val="24"/>
                <w:szCs w:val="24"/>
                <w:u w:val="none"/>
                <w:lang w:val="en-US" w:eastAsia="zh-CN" w:bidi="ar"/>
              </w:rPr>
              <w:t>次/年</w:t>
            </w:r>
          </w:p>
        </w:tc>
        <w:tc>
          <w:tcPr>
            <w:tcW w:w="37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31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164</w:t>
            </w:r>
            <w:r>
              <w:rPr>
                <w:rFonts w:hint="eastAsia" w:ascii="宋体" w:hAnsi="宋体" w:eastAsia="宋体" w:cs="宋体"/>
                <w:i w:val="0"/>
                <w:color w:val="000000"/>
                <w:kern w:val="0"/>
                <w:sz w:val="24"/>
                <w:szCs w:val="24"/>
                <w:u w:val="none"/>
                <w:lang w:val="en-US" w:eastAsia="zh-CN" w:bidi="ar"/>
              </w:rPr>
              <w:t>次/年</w:t>
            </w:r>
          </w:p>
        </w:tc>
        <w:tc>
          <w:tcPr>
            <w:tcW w:w="3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10次/年</w:t>
            </w:r>
          </w:p>
        </w:tc>
        <w:tc>
          <w:tcPr>
            <w:tcW w:w="1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360" w:lineRule="auto"/>
        <w:rPr>
          <w:rFonts w:hint="eastAsia" w:ascii="宋体" w:hAnsi="宋体"/>
          <w:sz w:val="24"/>
          <w:lang w:val="en-US" w:eastAsia="zh-CN"/>
        </w:rPr>
      </w:pP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四、服务周期：2023年5月1日-2024年4月30日</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五、限价的组成</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）本项目上限价：</w:t>
      </w:r>
      <w:r>
        <w:rPr>
          <w:rFonts w:hint="eastAsia" w:ascii="宋体" w:hAnsi="宋体"/>
          <w:sz w:val="24"/>
          <w:lang w:val="en-US" w:eastAsia="zh-CN"/>
        </w:rPr>
        <w:t>73800</w:t>
      </w:r>
      <w:r>
        <w:rPr>
          <w:rFonts w:hint="eastAsia" w:ascii="宋体" w:hAnsi="宋体"/>
          <w:sz w:val="24"/>
          <w:lang w:eastAsia="zh-CN"/>
        </w:rPr>
        <w:t>元（</w:t>
      </w:r>
      <w:r>
        <w:rPr>
          <w:rFonts w:hint="eastAsia" w:ascii="宋体" w:hAnsi="宋体"/>
          <w:sz w:val="24"/>
          <w:lang w:val="en-US" w:eastAsia="zh-CN"/>
        </w:rPr>
        <w:t>柒万叁仟捌佰元整</w:t>
      </w:r>
      <w:r>
        <w:rPr>
          <w:rFonts w:hint="eastAsia" w:ascii="宋体" w:hAnsi="宋体"/>
          <w:sz w:val="24"/>
          <w:lang w:eastAsia="zh-CN"/>
        </w:rPr>
        <w:t>），</w:t>
      </w:r>
      <w:r>
        <w:rPr>
          <w:rFonts w:hint="eastAsia" w:ascii="宋体" w:hAnsi="宋体"/>
          <w:sz w:val="24"/>
          <w:lang w:val="en-US" w:eastAsia="zh-CN"/>
        </w:rPr>
        <w:t>报价实行总费用包干制。</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）该费用包含服务区生活垃圾清运处置费用</w:t>
      </w:r>
      <w:r>
        <w:rPr>
          <w:rFonts w:hint="eastAsia" w:ascii="宋体" w:hAnsi="宋体"/>
          <w:sz w:val="24"/>
          <w:lang w:val="en-US" w:eastAsia="zh-CN"/>
        </w:rPr>
        <w:t>73800</w:t>
      </w:r>
      <w:r>
        <w:rPr>
          <w:rFonts w:hint="eastAsia" w:ascii="宋体" w:hAnsi="宋体"/>
          <w:sz w:val="24"/>
          <w:lang w:eastAsia="zh-CN"/>
        </w:rPr>
        <w:t>元（</w:t>
      </w:r>
      <w:r>
        <w:rPr>
          <w:rFonts w:hint="eastAsia" w:ascii="宋体" w:hAnsi="宋体"/>
          <w:sz w:val="24"/>
          <w:lang w:val="en-US" w:eastAsia="zh-CN"/>
        </w:rPr>
        <w:t>柒万叁仟捌佰元整</w:t>
      </w:r>
      <w:r>
        <w:rPr>
          <w:rFonts w:hint="eastAsia" w:ascii="宋体" w:hAnsi="宋体"/>
          <w:sz w:val="24"/>
          <w:lang w:eastAsia="zh-CN"/>
        </w:rPr>
        <w:t>）</w:t>
      </w:r>
      <w:r>
        <w:rPr>
          <w:rFonts w:hint="eastAsia" w:ascii="宋体" w:hAnsi="宋体"/>
          <w:sz w:val="24"/>
          <w:lang w:val="en-US" w:eastAsia="zh-CN"/>
        </w:rPr>
        <w:t>。</w:t>
      </w:r>
    </w:p>
    <w:p>
      <w:pPr>
        <w:numPr>
          <w:ilvl w:val="0"/>
          <w:numId w:val="0"/>
        </w:numPr>
        <w:spacing w:line="360" w:lineRule="auto"/>
        <w:ind w:firstLine="480" w:firstLineChars="200"/>
        <w:rPr>
          <w:rFonts w:hint="eastAsia" w:ascii="宋体" w:hAnsi="宋体"/>
          <w:sz w:val="24"/>
          <w:lang w:eastAsia="zh-CN"/>
        </w:rPr>
      </w:pPr>
      <w:r>
        <w:rPr>
          <w:rFonts w:hint="eastAsia" w:ascii="宋体" w:hAnsi="宋体"/>
          <w:sz w:val="24"/>
          <w:lang w:val="en-US" w:eastAsia="zh-CN"/>
        </w:rPr>
        <w:t>（3）生活垃圾清运处置</w:t>
      </w:r>
      <w:r>
        <w:rPr>
          <w:rFonts w:hint="eastAsia" w:ascii="宋体" w:hAnsi="宋体"/>
          <w:sz w:val="24"/>
          <w:lang w:eastAsia="zh-CN"/>
        </w:rPr>
        <w:t>报价已包含</w:t>
      </w:r>
      <w:r>
        <w:rPr>
          <w:rFonts w:hint="eastAsia" w:ascii="宋体" w:hAnsi="宋体"/>
          <w:sz w:val="24"/>
        </w:rPr>
        <w:t>垃圾</w:t>
      </w:r>
      <w:r>
        <w:rPr>
          <w:rFonts w:hint="eastAsia" w:ascii="宋体" w:hAnsi="宋体"/>
          <w:sz w:val="24"/>
          <w:lang w:eastAsia="zh-CN"/>
        </w:rPr>
        <w:t>收集装车费、运输</w:t>
      </w:r>
      <w:r>
        <w:rPr>
          <w:rFonts w:hint="eastAsia" w:ascii="宋体" w:hAnsi="宋体"/>
          <w:sz w:val="24"/>
        </w:rPr>
        <w:t>费</w:t>
      </w:r>
      <w:r>
        <w:rPr>
          <w:rFonts w:hint="eastAsia" w:ascii="宋体" w:hAnsi="宋体"/>
          <w:sz w:val="24"/>
          <w:lang w:eastAsia="zh-CN"/>
        </w:rPr>
        <w:t>（含高速路通行费、车辆使用费，人力成本费）</w:t>
      </w:r>
      <w:r>
        <w:rPr>
          <w:rFonts w:hint="eastAsia" w:ascii="宋体" w:hAnsi="宋体"/>
          <w:sz w:val="24"/>
        </w:rPr>
        <w:t>、</w:t>
      </w:r>
      <w:r>
        <w:rPr>
          <w:rFonts w:hint="eastAsia" w:ascii="宋体" w:hAnsi="宋体"/>
          <w:sz w:val="24"/>
          <w:lang w:eastAsia="zh-CN"/>
        </w:rPr>
        <w:t>政府指定的合法垃圾接收点按政府要求收取的垃圾处置费</w:t>
      </w:r>
      <w:r>
        <w:rPr>
          <w:rFonts w:hint="eastAsia" w:ascii="宋体" w:hAnsi="宋体"/>
          <w:sz w:val="24"/>
          <w:lang w:val="en-US" w:eastAsia="zh-CN"/>
        </w:rPr>
        <w:t>及</w:t>
      </w:r>
      <w:r>
        <w:rPr>
          <w:rFonts w:hint="eastAsia" w:ascii="宋体" w:hAnsi="宋体"/>
          <w:sz w:val="24"/>
          <w:lang w:eastAsia="zh-CN"/>
        </w:rPr>
        <w:t>税金等全部费用。</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六、询价函的澄清或修改</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cs="宋体"/>
          <w:color w:val="auto"/>
          <w:sz w:val="24"/>
          <w:szCs w:val="24"/>
          <w:lang w:val="en-US" w:eastAsia="zh-CN"/>
        </w:rPr>
        <w:t>如投标人对比选文件有疑点要求澄清，须在2023年4月14日12时之前在招投标系统中上传质疑文件，招标人可在2023年4月14日23时之前，可以补遗书形式修改竞争性比选文件或作答，补遗书按时间先后顺序编号，对所有投标人都具有约束力。补遗书与比选文件不一致的部分以补遗书为准。如果前后发出的补遗书的内容不一致时，以后发出的补遗书为准；</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七、报价人的资质要求</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1、报价人须具备独立企业法人资格、企业营业执照、银行开户许可证。</w:t>
      </w:r>
    </w:p>
    <w:p>
      <w:pPr>
        <w:spacing w:line="360" w:lineRule="auto"/>
        <w:ind w:firstLine="480" w:firstLineChars="200"/>
        <w:rPr>
          <w:rFonts w:hint="eastAsia" w:ascii="宋体" w:hAnsi="宋体"/>
          <w:sz w:val="24"/>
          <w:highlight w:val="none"/>
          <w:lang w:val="en-US" w:eastAsia="zh-CN"/>
        </w:rPr>
      </w:pPr>
      <w:r>
        <w:rPr>
          <w:rFonts w:hint="eastAsia" w:ascii="宋体" w:hAnsi="宋体"/>
          <w:sz w:val="24"/>
          <w:lang w:val="en-US" w:eastAsia="zh-CN"/>
        </w:rPr>
        <w:t>2、报价人企业营业执照的经营范围需包含生活垃圾经营性服务和</w:t>
      </w:r>
      <w:r>
        <w:rPr>
          <w:rFonts w:hint="eastAsia" w:ascii="宋体" w:hAnsi="宋体"/>
          <w:sz w:val="24"/>
          <w:highlight w:val="none"/>
          <w:lang w:val="en-US" w:eastAsia="zh-CN"/>
        </w:rPr>
        <w:t>处置服务。</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3、报价人需具备生活垃圾经营性服务的相关资质。</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八、评价原则</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1、本次询价</w:t>
      </w:r>
      <w:r>
        <w:rPr>
          <w:rFonts w:hint="eastAsia" w:ascii="宋体" w:hAnsi="宋体"/>
          <w:sz w:val="24"/>
          <w:highlight w:val="none"/>
          <w:lang w:eastAsia="zh-CN"/>
        </w:rPr>
        <w:t>为竞</w:t>
      </w:r>
      <w:r>
        <w:rPr>
          <w:rFonts w:hint="eastAsia" w:ascii="宋体" w:hAnsi="宋体"/>
          <w:color w:val="000000"/>
          <w:sz w:val="24"/>
          <w:highlight w:val="none"/>
          <w:lang w:eastAsia="zh-CN"/>
        </w:rPr>
        <w:t>争性</w:t>
      </w:r>
      <w:r>
        <w:rPr>
          <w:rFonts w:hint="eastAsia" w:ascii="宋体" w:hAnsi="宋体"/>
          <w:color w:val="000000"/>
          <w:sz w:val="24"/>
          <w:highlight w:val="none"/>
          <w:lang w:val="en-US" w:eastAsia="zh-CN"/>
        </w:rPr>
        <w:t>比选</w:t>
      </w:r>
      <w:r>
        <w:rPr>
          <w:rFonts w:hint="eastAsia" w:ascii="宋体" w:hAnsi="宋体"/>
          <w:color w:val="000000"/>
          <w:sz w:val="24"/>
          <w:highlight w:val="none"/>
          <w:lang w:eastAsia="zh-CN"/>
        </w:rPr>
        <w:t>，</w:t>
      </w:r>
      <w:r>
        <w:rPr>
          <w:rFonts w:hint="eastAsia" w:ascii="宋体" w:hAnsi="宋体"/>
          <w:sz w:val="24"/>
          <w:lang w:eastAsia="zh-CN"/>
        </w:rPr>
        <w:t>采用经评审</w:t>
      </w:r>
      <w:r>
        <w:rPr>
          <w:rFonts w:hint="eastAsia" w:ascii="宋体" w:hAnsi="宋体"/>
          <w:sz w:val="24"/>
          <w:lang w:val="en-US" w:eastAsia="zh-CN"/>
        </w:rPr>
        <w:t>的</w:t>
      </w:r>
      <w:r>
        <w:rPr>
          <w:rFonts w:hint="eastAsia" w:ascii="宋体" w:hAnsi="宋体"/>
          <w:sz w:val="24"/>
          <w:lang w:eastAsia="zh-CN"/>
        </w:rPr>
        <w:t>最低价法评标，</w:t>
      </w:r>
      <w:r>
        <w:rPr>
          <w:rFonts w:hint="eastAsia" w:ascii="宋体" w:hAnsi="宋体"/>
          <w:sz w:val="24"/>
          <w:lang w:val="en-US" w:eastAsia="zh-CN"/>
        </w:rPr>
        <w:t>符合资质要求且生活垃圾清运处置</w:t>
      </w:r>
      <w:r>
        <w:rPr>
          <w:rFonts w:hint="eastAsia" w:ascii="宋体" w:hAnsi="宋体"/>
          <w:sz w:val="24"/>
          <w:lang w:eastAsia="zh-CN"/>
        </w:rPr>
        <w:t>服务</w:t>
      </w:r>
      <w:r>
        <w:rPr>
          <w:rFonts w:hint="eastAsia" w:ascii="宋体" w:hAnsi="宋体"/>
          <w:sz w:val="24"/>
          <w:lang w:val="en-US" w:eastAsia="zh-CN"/>
        </w:rPr>
        <w:t>综合价格报价最低</w:t>
      </w:r>
      <w:r>
        <w:rPr>
          <w:rFonts w:hint="eastAsia" w:ascii="宋体" w:hAnsi="宋体"/>
          <w:color w:val="000000"/>
          <w:sz w:val="24"/>
          <w:highlight w:val="none"/>
          <w:lang w:val="en-US" w:eastAsia="zh-CN"/>
        </w:rPr>
        <w:t>的单位即为拟合作单位。</w:t>
      </w:r>
      <w:r>
        <w:rPr>
          <w:rFonts w:hint="eastAsia" w:ascii="宋体" w:hAnsi="宋体"/>
          <w:sz w:val="24"/>
        </w:rPr>
        <w:t>如果所有单位报价明显高于市场价，询价方有权取消此次询价</w:t>
      </w:r>
      <w:r>
        <w:rPr>
          <w:rFonts w:hint="eastAsia" w:ascii="宋体" w:hAnsi="宋体"/>
          <w:sz w:val="24"/>
          <w:lang w:eastAsia="zh-CN"/>
        </w:rPr>
        <w:t>。</w:t>
      </w:r>
      <w:r>
        <w:rPr>
          <w:rFonts w:hint="eastAsia" w:ascii="宋体" w:hAnsi="宋体"/>
          <w:sz w:val="24"/>
          <w:lang w:val="en-US" w:eastAsia="zh-CN"/>
        </w:rPr>
        <w:t xml:space="preserve">                 </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w:t>
      </w:r>
      <w:r>
        <w:rPr>
          <w:rFonts w:hint="eastAsia" w:ascii="宋体" w:hAnsi="宋体"/>
          <w:sz w:val="24"/>
          <w:lang w:val="en-US" w:eastAsia="zh-CN"/>
        </w:rPr>
        <w:t>如果报价单位最低报价总额相同，最低报价单位现场进行二次报价，以二次报价低者中标。</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s="Times New Roman"/>
          <w:color w:val="auto"/>
          <w:sz w:val="24"/>
          <w:szCs w:val="24"/>
          <w:lang w:val="en-US" w:eastAsia="zh-CN"/>
        </w:rPr>
        <w:t>若本次询价失败，则邀请有效报价较低的申请人进行谈判，并以谈判价格做为合同签约价。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4、废标</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属以下情况的，将被视为废标，</w:t>
      </w:r>
      <w:r>
        <w:rPr>
          <w:rFonts w:hint="eastAsia" w:ascii="宋体" w:hAnsi="宋体"/>
          <w:color w:val="auto"/>
          <w:sz w:val="24"/>
          <w:szCs w:val="24"/>
          <w:highlight w:val="none"/>
          <w:lang w:eastAsia="zh-CN"/>
        </w:rPr>
        <w:t>所有资料均一律退回：</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报价资料</w:t>
      </w:r>
      <w:r>
        <w:rPr>
          <w:rFonts w:hint="eastAsia" w:ascii="宋体" w:hAnsi="宋体"/>
          <w:color w:val="auto"/>
          <w:sz w:val="24"/>
          <w:szCs w:val="24"/>
          <w:highlight w:val="none"/>
          <w:lang w:val="en-US" w:eastAsia="zh-CN"/>
        </w:rPr>
        <w:t>未按要求装袋密封的（加盖报价单位鲜章）；</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报价资料不齐全的；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（3）对营业执照、资质文件不是原件扫描或擅自修改图片的；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资质证明文件不能证明满足询价文件要求的</w:t>
      </w:r>
      <w:r>
        <w:rPr>
          <w:rFonts w:hint="eastAsia" w:ascii="宋体" w:hAnsi="宋体"/>
          <w:color w:val="auto"/>
          <w:sz w:val="24"/>
          <w:szCs w:val="24"/>
          <w:highlight w:val="none"/>
          <w:lang w:val="en-US" w:eastAsia="zh-CN"/>
        </w:rPr>
        <w:t>；</w:t>
      </w:r>
    </w:p>
    <w:p>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（5）报价人改动报价表格格式的；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（6）报价超过上限价的；</w:t>
      </w:r>
      <w:r>
        <w:rPr>
          <w:rFonts w:hint="eastAsia" w:ascii="宋体" w:hAnsi="宋体"/>
          <w:color w:val="auto"/>
          <w:sz w:val="24"/>
          <w:szCs w:val="24"/>
          <w:highlight w:val="none"/>
          <w:lang w:val="en-US" w:eastAsia="zh-CN"/>
        </w:rPr>
        <w:br w:type="textWrapping"/>
      </w:r>
      <w:r>
        <w:rPr>
          <w:rFonts w:hint="eastAsia" w:ascii="宋体" w:hAnsi="宋体"/>
          <w:color w:val="auto"/>
          <w:sz w:val="24"/>
          <w:szCs w:val="24"/>
          <w:highlight w:val="none"/>
          <w:lang w:val="en-US" w:eastAsia="zh-CN"/>
        </w:rPr>
        <w:t xml:space="preserve">    （7）投标人未执行总价报价，按服务区差异化分开报价的。</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九、承包人乙方义务</w:t>
      </w:r>
    </w:p>
    <w:p>
      <w:pPr>
        <w:spacing w:line="360" w:lineRule="auto"/>
        <w:ind w:firstLine="480" w:firstLineChars="200"/>
        <w:rPr>
          <w:rFonts w:hint="eastAsia" w:ascii="宋体" w:hAnsi="宋体" w:eastAsia="宋体"/>
          <w:sz w:val="24"/>
          <w:lang w:eastAsia="zh-CN"/>
        </w:rPr>
      </w:pPr>
      <w:r>
        <w:rPr>
          <w:rFonts w:hint="eastAsia" w:ascii="宋体" w:hAnsi="宋体" w:cs="宋体"/>
          <w:color w:val="000000"/>
          <w:kern w:val="0"/>
          <w:sz w:val="24"/>
          <w:szCs w:val="20"/>
          <w:highlight w:val="none"/>
        </w:rPr>
        <w:t>1、</w:t>
      </w:r>
      <w:r>
        <w:rPr>
          <w:rFonts w:hint="eastAsia" w:ascii="宋体" w:hAnsi="宋体" w:cs="宋体"/>
          <w:color w:val="000000"/>
          <w:kern w:val="0"/>
          <w:sz w:val="24"/>
          <w:szCs w:val="20"/>
          <w:highlight w:val="none"/>
          <w:lang w:eastAsia="zh-CN"/>
        </w:rPr>
        <w:t>乙方</w:t>
      </w:r>
      <w:r>
        <w:rPr>
          <w:rFonts w:hint="eastAsia" w:ascii="宋体" w:hAnsi="宋体"/>
          <w:sz w:val="24"/>
        </w:rPr>
        <w:t>需要</w:t>
      </w:r>
      <w:r>
        <w:rPr>
          <w:rFonts w:hint="eastAsia" w:ascii="宋体" w:hAnsi="宋体"/>
          <w:sz w:val="24"/>
          <w:lang w:eastAsia="zh-CN"/>
        </w:rPr>
        <w:t>自行配备</w:t>
      </w:r>
      <w:r>
        <w:rPr>
          <w:rFonts w:hint="eastAsia" w:ascii="宋体" w:hAnsi="宋体"/>
          <w:sz w:val="24"/>
        </w:rPr>
        <w:t>拥有</w:t>
      </w:r>
      <w:r>
        <w:rPr>
          <w:rFonts w:hint="eastAsia" w:ascii="宋体" w:hAnsi="宋体"/>
          <w:sz w:val="24"/>
          <w:lang w:eastAsia="zh-CN"/>
        </w:rPr>
        <w:t>单次处理量不低于</w:t>
      </w:r>
      <w:r>
        <w:rPr>
          <w:rFonts w:hint="eastAsia" w:ascii="宋体" w:hAnsi="宋体"/>
          <w:sz w:val="24"/>
          <w:lang w:val="en-US" w:eastAsia="zh-CN"/>
        </w:rPr>
        <w:t>10m³且手续齐全的密闭式</w:t>
      </w:r>
      <w:r>
        <w:rPr>
          <w:rFonts w:hint="eastAsia" w:ascii="宋体" w:hAnsi="宋体"/>
          <w:sz w:val="24"/>
        </w:rPr>
        <w:t>垃圾清运车辆</w:t>
      </w:r>
      <w:r>
        <w:rPr>
          <w:rFonts w:hint="eastAsia" w:ascii="宋体" w:hAnsi="宋体"/>
          <w:sz w:val="24"/>
          <w:lang w:eastAsia="zh-CN"/>
        </w:rPr>
        <w:t>。</w:t>
      </w:r>
    </w:p>
    <w:p>
      <w:pPr>
        <w:spacing w:line="360" w:lineRule="auto"/>
        <w:ind w:firstLine="480" w:firstLineChars="200"/>
        <w:rPr>
          <w:rFonts w:hint="eastAsia" w:ascii="宋体" w:hAnsi="宋体" w:eastAsia="宋体" w:cs="宋体"/>
          <w:color w:val="000000"/>
          <w:sz w:val="24"/>
          <w:szCs w:val="20"/>
          <w:highlight w:val="none"/>
          <w:lang w:eastAsia="zh-CN"/>
        </w:rPr>
      </w:pPr>
      <w:r>
        <w:rPr>
          <w:rFonts w:hint="eastAsia" w:ascii="宋体" w:hAnsi="宋体" w:cs="宋体"/>
          <w:color w:val="000000"/>
          <w:kern w:val="0"/>
          <w:sz w:val="24"/>
          <w:szCs w:val="20"/>
          <w:highlight w:val="none"/>
          <w:lang w:val="en-US" w:eastAsia="zh-CN"/>
        </w:rPr>
        <w:t>2、乙方</w:t>
      </w:r>
      <w:r>
        <w:rPr>
          <w:rFonts w:hint="eastAsia" w:ascii="宋体" w:hAnsi="宋体" w:cs="宋体"/>
          <w:color w:val="000000"/>
          <w:kern w:val="0"/>
          <w:sz w:val="24"/>
          <w:szCs w:val="20"/>
          <w:highlight w:val="none"/>
        </w:rPr>
        <w:t>应按</w:t>
      </w:r>
      <w:r>
        <w:rPr>
          <w:rFonts w:hint="eastAsia" w:ascii="宋体" w:hAnsi="宋体" w:cs="宋体"/>
          <w:color w:val="000000"/>
          <w:kern w:val="0"/>
          <w:sz w:val="24"/>
          <w:szCs w:val="20"/>
          <w:highlight w:val="none"/>
          <w:lang w:eastAsia="zh-CN"/>
        </w:rPr>
        <w:t>甲方要求合法地对服务区产生的</w:t>
      </w:r>
      <w:r>
        <w:rPr>
          <w:rFonts w:hint="eastAsia" w:ascii="宋体" w:hAnsi="宋体" w:cs="宋体"/>
          <w:color w:val="000000"/>
          <w:kern w:val="0"/>
          <w:sz w:val="24"/>
          <w:szCs w:val="20"/>
          <w:highlight w:val="none"/>
          <w:lang w:val="en-US" w:eastAsia="zh-CN"/>
        </w:rPr>
        <w:t>生活</w:t>
      </w:r>
      <w:r>
        <w:rPr>
          <w:rFonts w:hint="eastAsia" w:ascii="宋体" w:hAnsi="宋体" w:cs="宋体"/>
          <w:color w:val="000000"/>
          <w:kern w:val="0"/>
          <w:sz w:val="24"/>
          <w:szCs w:val="20"/>
          <w:highlight w:val="none"/>
          <w:lang w:eastAsia="zh-CN"/>
        </w:rPr>
        <w:t>垃圾进行</w:t>
      </w:r>
      <w:r>
        <w:rPr>
          <w:rFonts w:hint="eastAsia" w:ascii="宋体" w:hAnsi="宋体" w:cs="宋体"/>
          <w:color w:val="000000"/>
          <w:kern w:val="0"/>
          <w:sz w:val="24"/>
          <w:szCs w:val="20"/>
          <w:highlight w:val="none"/>
          <w:lang w:val="en-US" w:eastAsia="zh-CN"/>
        </w:rPr>
        <w:t>清空</w:t>
      </w:r>
      <w:r>
        <w:rPr>
          <w:rFonts w:hint="eastAsia" w:ascii="宋体" w:hAnsi="宋体" w:cs="宋体"/>
          <w:color w:val="000000"/>
          <w:kern w:val="0"/>
          <w:sz w:val="24"/>
          <w:szCs w:val="20"/>
          <w:highlight w:val="none"/>
          <w:lang w:eastAsia="zh-CN"/>
        </w:rPr>
        <w:t>清运处置，</w:t>
      </w:r>
      <w:r>
        <w:rPr>
          <w:rFonts w:hint="eastAsia" w:ascii="宋体" w:hAnsi="宋体" w:cs="宋体"/>
          <w:color w:val="000000"/>
          <w:kern w:val="0"/>
          <w:sz w:val="24"/>
          <w:szCs w:val="20"/>
          <w:highlight w:val="none"/>
          <w:lang w:val="en-US" w:eastAsia="zh-CN"/>
        </w:rPr>
        <w:t>生活垃圾清运处置</w:t>
      </w:r>
      <w:r>
        <w:rPr>
          <w:rFonts w:hint="eastAsia" w:ascii="宋体" w:hAnsi="宋体"/>
          <w:sz w:val="24"/>
          <w:lang w:val="en-US" w:eastAsia="zh-CN"/>
        </w:rPr>
        <w:t>作业均需符合国家规定的垃圾收集、转运、处置流程，</w:t>
      </w:r>
      <w:r>
        <w:rPr>
          <w:rFonts w:hint="eastAsia" w:ascii="宋体" w:hAnsi="宋体" w:cs="宋体"/>
          <w:color w:val="000000"/>
          <w:kern w:val="0"/>
          <w:sz w:val="24"/>
          <w:szCs w:val="20"/>
          <w:highlight w:val="none"/>
          <w:lang w:val="en-US" w:eastAsia="zh-CN"/>
        </w:rPr>
        <w:t>按月</w:t>
      </w:r>
      <w:r>
        <w:rPr>
          <w:rFonts w:hint="eastAsia" w:ascii="宋体" w:hAnsi="宋体" w:cs="宋体"/>
          <w:color w:val="000000"/>
          <w:kern w:val="0"/>
          <w:sz w:val="24"/>
          <w:szCs w:val="20"/>
          <w:highlight w:val="none"/>
          <w:lang w:eastAsia="zh-CN"/>
        </w:rPr>
        <w:t>及时反馈清运处置回执资料至各服务区存档</w:t>
      </w:r>
      <w:r>
        <w:rPr>
          <w:rFonts w:hint="eastAsia" w:ascii="宋体" w:hAnsi="宋体" w:cs="宋体"/>
          <w:color w:val="000000"/>
          <w:kern w:val="0"/>
          <w:sz w:val="24"/>
          <w:szCs w:val="20"/>
          <w:highlight w:val="none"/>
        </w:rPr>
        <w:t>，并对其</w:t>
      </w:r>
      <w:r>
        <w:rPr>
          <w:rFonts w:hint="eastAsia" w:ascii="宋体" w:hAnsi="宋体" w:cs="宋体"/>
          <w:color w:val="000000"/>
          <w:kern w:val="0"/>
          <w:sz w:val="24"/>
          <w:szCs w:val="20"/>
          <w:highlight w:val="none"/>
          <w:lang w:eastAsia="zh-CN"/>
        </w:rPr>
        <w:t>资料的真实</w:t>
      </w:r>
      <w:r>
        <w:rPr>
          <w:rFonts w:hint="eastAsia" w:ascii="宋体" w:hAnsi="宋体" w:cs="宋体"/>
          <w:color w:val="000000"/>
          <w:kern w:val="0"/>
          <w:sz w:val="24"/>
          <w:szCs w:val="20"/>
          <w:highlight w:val="none"/>
        </w:rPr>
        <w:t>性</w:t>
      </w:r>
      <w:r>
        <w:rPr>
          <w:rFonts w:hint="eastAsia" w:ascii="宋体" w:hAnsi="宋体" w:cs="宋体"/>
          <w:color w:val="000000"/>
          <w:kern w:val="0"/>
          <w:sz w:val="24"/>
          <w:szCs w:val="20"/>
          <w:highlight w:val="none"/>
          <w:lang w:eastAsia="zh-CN"/>
        </w:rPr>
        <w:t>、</w:t>
      </w:r>
      <w:r>
        <w:rPr>
          <w:rFonts w:hint="eastAsia" w:ascii="宋体" w:hAnsi="宋体" w:cs="宋体"/>
          <w:color w:val="000000"/>
          <w:kern w:val="0"/>
          <w:sz w:val="24"/>
          <w:szCs w:val="20"/>
          <w:highlight w:val="none"/>
        </w:rPr>
        <w:t>完整性、及时</w:t>
      </w:r>
      <w:r>
        <w:rPr>
          <w:rFonts w:hint="eastAsia" w:ascii="宋体" w:hAnsi="宋体" w:cs="宋体"/>
          <w:color w:val="000000"/>
          <w:kern w:val="0"/>
          <w:sz w:val="24"/>
          <w:szCs w:val="20"/>
          <w:highlight w:val="none"/>
          <w:lang w:eastAsia="zh-CN"/>
        </w:rPr>
        <w:t>性</w:t>
      </w:r>
      <w:r>
        <w:rPr>
          <w:rFonts w:hint="eastAsia" w:ascii="宋体" w:hAnsi="宋体" w:cs="宋体"/>
          <w:color w:val="000000"/>
          <w:kern w:val="0"/>
          <w:sz w:val="24"/>
          <w:szCs w:val="20"/>
          <w:highlight w:val="none"/>
          <w:lang w:val="en-US" w:eastAsia="zh-CN"/>
        </w:rPr>
        <w:t>及</w:t>
      </w:r>
      <w:r>
        <w:rPr>
          <w:rFonts w:hint="eastAsia" w:ascii="宋体" w:hAnsi="宋体" w:cs="宋体"/>
          <w:color w:val="000000"/>
          <w:kern w:val="0"/>
          <w:sz w:val="24"/>
          <w:szCs w:val="20"/>
          <w:highlight w:val="none"/>
        </w:rPr>
        <w:t>安全</w:t>
      </w:r>
      <w:r>
        <w:rPr>
          <w:rFonts w:hint="eastAsia" w:ascii="宋体" w:hAnsi="宋体" w:cs="宋体"/>
          <w:color w:val="000000"/>
          <w:kern w:val="0"/>
          <w:sz w:val="24"/>
          <w:szCs w:val="20"/>
          <w:highlight w:val="none"/>
          <w:lang w:val="en-US" w:eastAsia="zh-CN"/>
        </w:rPr>
        <w:t>环保</w:t>
      </w:r>
      <w:r>
        <w:rPr>
          <w:rFonts w:hint="eastAsia" w:ascii="宋体" w:hAnsi="宋体" w:cs="宋体"/>
          <w:color w:val="000000"/>
          <w:kern w:val="0"/>
          <w:sz w:val="24"/>
          <w:szCs w:val="20"/>
          <w:highlight w:val="none"/>
        </w:rPr>
        <w:t>性负责</w:t>
      </w:r>
      <w:r>
        <w:rPr>
          <w:rFonts w:hint="eastAsia" w:ascii="宋体" w:hAnsi="宋体" w:cs="宋体"/>
          <w:color w:val="000000"/>
          <w:kern w:val="0"/>
          <w:sz w:val="24"/>
          <w:szCs w:val="20"/>
          <w:highlight w:val="none"/>
          <w:lang w:eastAsia="zh-CN"/>
        </w:rPr>
        <w:t>。</w:t>
      </w:r>
    </w:p>
    <w:p>
      <w:pPr>
        <w:widowControl/>
        <w:spacing w:line="360" w:lineRule="auto"/>
        <w:ind w:firstLine="480" w:firstLineChars="200"/>
        <w:jc w:val="left"/>
        <w:rPr>
          <w:rFonts w:hint="eastAsia" w:ascii="宋体" w:hAnsi="宋体" w:cs="宋体"/>
          <w:color w:val="000000"/>
          <w:sz w:val="24"/>
          <w:szCs w:val="20"/>
          <w:highlight w:val="none"/>
        </w:rPr>
      </w:pPr>
      <w:r>
        <w:rPr>
          <w:rFonts w:hint="eastAsia" w:ascii="宋体" w:hAnsi="宋体" w:cs="宋体"/>
          <w:color w:val="000000"/>
          <w:kern w:val="0"/>
          <w:sz w:val="24"/>
          <w:szCs w:val="20"/>
          <w:highlight w:val="none"/>
          <w:lang w:val="en-US" w:eastAsia="zh-CN"/>
        </w:rPr>
        <w:t>3</w:t>
      </w:r>
      <w:r>
        <w:rPr>
          <w:rFonts w:hint="eastAsia" w:ascii="宋体" w:hAnsi="宋体" w:cs="宋体"/>
          <w:color w:val="000000"/>
          <w:kern w:val="0"/>
          <w:sz w:val="24"/>
          <w:szCs w:val="20"/>
          <w:highlight w:val="none"/>
        </w:rPr>
        <w:t>、</w:t>
      </w:r>
      <w:r>
        <w:rPr>
          <w:rFonts w:hint="eastAsia" w:ascii="宋体" w:hAnsi="宋体" w:cs="宋体"/>
          <w:color w:val="000000"/>
          <w:kern w:val="0"/>
          <w:sz w:val="24"/>
          <w:szCs w:val="20"/>
          <w:highlight w:val="none"/>
          <w:lang w:eastAsia="zh-CN"/>
        </w:rPr>
        <w:t>乙方</w:t>
      </w:r>
      <w:r>
        <w:rPr>
          <w:rFonts w:hint="eastAsia" w:ascii="宋体" w:hAnsi="宋体" w:cs="宋体"/>
          <w:color w:val="000000"/>
          <w:kern w:val="0"/>
          <w:sz w:val="24"/>
          <w:szCs w:val="20"/>
          <w:highlight w:val="none"/>
          <w:lang w:val="en-US" w:eastAsia="zh-CN"/>
        </w:rPr>
        <w:t>需与其作业人员签订合同并购买人身安全保险（包括人身意外险），保险费用由乙方独自完整承担，其</w:t>
      </w:r>
      <w:r>
        <w:rPr>
          <w:rFonts w:hint="eastAsia" w:ascii="宋体" w:hAnsi="宋体" w:cs="宋体"/>
          <w:color w:val="000000"/>
          <w:kern w:val="0"/>
          <w:sz w:val="24"/>
          <w:szCs w:val="20"/>
          <w:highlight w:val="none"/>
          <w:lang w:eastAsia="zh-CN"/>
        </w:rPr>
        <w:t>作业人员在施工作业期间及运输途中出现的安全责任事故</w:t>
      </w:r>
      <w:r>
        <w:rPr>
          <w:rFonts w:hint="eastAsia" w:ascii="宋体" w:hAnsi="宋体" w:cs="宋体"/>
          <w:color w:val="000000"/>
          <w:kern w:val="0"/>
          <w:sz w:val="24"/>
          <w:szCs w:val="20"/>
          <w:highlight w:val="none"/>
          <w:lang w:val="en-US" w:eastAsia="zh-CN"/>
        </w:rPr>
        <w:t>均</w:t>
      </w:r>
      <w:r>
        <w:rPr>
          <w:rFonts w:hint="eastAsia" w:ascii="宋体" w:hAnsi="宋体" w:cs="宋体"/>
          <w:color w:val="000000"/>
          <w:kern w:val="0"/>
          <w:sz w:val="24"/>
          <w:szCs w:val="20"/>
          <w:highlight w:val="none"/>
          <w:lang w:eastAsia="zh-CN"/>
        </w:rPr>
        <w:t>由乙方</w:t>
      </w:r>
      <w:r>
        <w:rPr>
          <w:rFonts w:hint="eastAsia" w:ascii="宋体" w:hAnsi="宋体" w:cs="宋体"/>
          <w:color w:val="000000"/>
          <w:kern w:val="0"/>
          <w:sz w:val="24"/>
          <w:szCs w:val="20"/>
          <w:highlight w:val="none"/>
          <w:lang w:val="en-US" w:eastAsia="zh-CN"/>
        </w:rPr>
        <w:t>独立完整承担。</w:t>
      </w:r>
    </w:p>
    <w:p>
      <w:pPr>
        <w:widowControl/>
        <w:spacing w:line="360" w:lineRule="auto"/>
        <w:ind w:firstLine="480" w:firstLineChars="200"/>
        <w:jc w:val="left"/>
        <w:rPr>
          <w:rFonts w:hint="eastAsia" w:ascii="宋体" w:hAnsi="宋体" w:eastAsia="宋体" w:cs="宋体"/>
          <w:color w:val="000000"/>
          <w:kern w:val="0"/>
          <w:sz w:val="24"/>
          <w:szCs w:val="20"/>
          <w:highlight w:val="none"/>
          <w:lang w:val="en-US" w:eastAsia="zh-CN"/>
        </w:rPr>
      </w:pPr>
      <w:r>
        <w:rPr>
          <w:rFonts w:hint="eastAsia" w:ascii="宋体" w:hAnsi="宋体" w:cs="宋体"/>
          <w:color w:val="000000"/>
          <w:kern w:val="0"/>
          <w:sz w:val="24"/>
          <w:szCs w:val="20"/>
          <w:highlight w:val="none"/>
          <w:lang w:val="en-US" w:eastAsia="zh-CN"/>
        </w:rPr>
        <w:t>4</w:t>
      </w:r>
      <w:r>
        <w:rPr>
          <w:rFonts w:hint="eastAsia" w:ascii="宋体" w:hAnsi="宋体" w:cs="宋体"/>
          <w:color w:val="000000"/>
          <w:kern w:val="0"/>
          <w:sz w:val="24"/>
          <w:szCs w:val="20"/>
          <w:highlight w:val="none"/>
        </w:rPr>
        <w:t>、</w:t>
      </w:r>
      <w:r>
        <w:rPr>
          <w:rFonts w:hint="eastAsia" w:ascii="宋体" w:hAnsi="宋体" w:cs="宋体"/>
          <w:color w:val="000000"/>
          <w:kern w:val="0"/>
          <w:sz w:val="24"/>
          <w:szCs w:val="20"/>
          <w:highlight w:val="none"/>
          <w:lang w:val="en-US" w:eastAsia="zh-CN"/>
        </w:rPr>
        <w:t>乙方严禁雇佣60岁及以上人员作业。</w:t>
      </w:r>
    </w:p>
    <w:p>
      <w:pPr>
        <w:widowControl/>
        <w:spacing w:line="360" w:lineRule="auto"/>
        <w:ind w:firstLine="480" w:firstLineChars="200"/>
        <w:jc w:val="left"/>
        <w:rPr>
          <w:rFonts w:hint="eastAsia" w:ascii="宋体" w:hAnsi="宋体" w:cs="宋体"/>
          <w:color w:val="000000"/>
          <w:kern w:val="0"/>
          <w:sz w:val="24"/>
          <w:szCs w:val="20"/>
          <w:highlight w:val="none"/>
        </w:rPr>
      </w:pPr>
      <w:r>
        <w:rPr>
          <w:rFonts w:hint="eastAsia" w:ascii="宋体" w:hAnsi="宋体" w:cs="宋体"/>
          <w:color w:val="000000"/>
          <w:kern w:val="0"/>
          <w:sz w:val="24"/>
          <w:szCs w:val="20"/>
          <w:highlight w:val="none"/>
          <w:lang w:val="en-US" w:eastAsia="zh-CN"/>
        </w:rPr>
        <w:t>5、乙方</w:t>
      </w:r>
      <w:r>
        <w:rPr>
          <w:rFonts w:hint="eastAsia" w:ascii="宋体" w:hAnsi="宋体" w:cs="宋体"/>
          <w:color w:val="000000"/>
          <w:kern w:val="0"/>
          <w:sz w:val="24"/>
          <w:szCs w:val="20"/>
          <w:highlight w:val="none"/>
          <w:lang w:eastAsia="zh-CN"/>
        </w:rPr>
        <w:t>在服务区</w:t>
      </w:r>
      <w:r>
        <w:rPr>
          <w:rFonts w:hint="eastAsia" w:ascii="宋体" w:hAnsi="宋体" w:cs="宋体"/>
          <w:color w:val="000000"/>
          <w:kern w:val="0"/>
          <w:sz w:val="24"/>
          <w:szCs w:val="20"/>
          <w:highlight w:val="none"/>
          <w:lang w:val="en-US" w:eastAsia="zh-CN"/>
        </w:rPr>
        <w:t>进行</w:t>
      </w:r>
      <w:r>
        <w:rPr>
          <w:rFonts w:hint="eastAsia" w:ascii="宋体" w:hAnsi="宋体" w:cs="宋体"/>
          <w:color w:val="000000"/>
          <w:kern w:val="0"/>
          <w:sz w:val="24"/>
          <w:szCs w:val="20"/>
          <w:highlight w:val="none"/>
          <w:lang w:eastAsia="zh-CN"/>
        </w:rPr>
        <w:t>垃圾清</w:t>
      </w:r>
      <w:r>
        <w:rPr>
          <w:rFonts w:hint="eastAsia" w:ascii="宋体" w:hAnsi="宋体" w:cs="宋体"/>
          <w:color w:val="000000"/>
          <w:kern w:val="0"/>
          <w:sz w:val="24"/>
          <w:szCs w:val="20"/>
          <w:highlight w:val="none"/>
          <w:lang w:val="en-US" w:eastAsia="zh-CN"/>
        </w:rPr>
        <w:t>运装车</w:t>
      </w:r>
      <w:r>
        <w:rPr>
          <w:rFonts w:hint="eastAsia" w:ascii="宋体" w:hAnsi="宋体" w:cs="宋体"/>
          <w:color w:val="000000"/>
          <w:kern w:val="0"/>
          <w:sz w:val="24"/>
          <w:szCs w:val="20"/>
          <w:highlight w:val="none"/>
          <w:lang w:eastAsia="zh-CN"/>
        </w:rPr>
        <w:t>处置</w:t>
      </w:r>
      <w:r>
        <w:rPr>
          <w:rFonts w:hint="eastAsia" w:ascii="宋体" w:hAnsi="宋体" w:cs="宋体"/>
          <w:color w:val="000000"/>
          <w:kern w:val="0"/>
          <w:sz w:val="24"/>
          <w:szCs w:val="20"/>
          <w:highlight w:val="none"/>
          <w:lang w:val="en-US" w:eastAsia="zh-CN"/>
        </w:rPr>
        <w:t>作业</w:t>
      </w:r>
      <w:r>
        <w:rPr>
          <w:rFonts w:hint="eastAsia" w:ascii="宋体" w:hAnsi="宋体" w:cs="宋体"/>
          <w:color w:val="000000"/>
          <w:kern w:val="0"/>
          <w:sz w:val="24"/>
          <w:szCs w:val="20"/>
          <w:highlight w:val="none"/>
          <w:lang w:eastAsia="zh-CN"/>
        </w:rPr>
        <w:t>时，需保证服务区垃圾池周边的环境卫生，</w:t>
      </w:r>
      <w:r>
        <w:rPr>
          <w:rFonts w:hint="eastAsia" w:ascii="宋体" w:hAnsi="宋体" w:cs="宋体"/>
          <w:color w:val="000000"/>
          <w:kern w:val="0"/>
          <w:sz w:val="24"/>
          <w:szCs w:val="20"/>
          <w:highlight w:val="none"/>
        </w:rPr>
        <w:t>保证清运车辆在垃圾倾倒路线中不发生跑、冒、滴、漏</w:t>
      </w:r>
      <w:r>
        <w:rPr>
          <w:rFonts w:hint="eastAsia" w:ascii="宋体" w:hAnsi="宋体" w:cs="宋体"/>
          <w:color w:val="000000"/>
          <w:kern w:val="0"/>
          <w:sz w:val="24"/>
          <w:szCs w:val="20"/>
          <w:highlight w:val="none"/>
          <w:lang w:val="en-US" w:eastAsia="zh-CN"/>
        </w:rPr>
        <w:t>等</w:t>
      </w:r>
      <w:r>
        <w:rPr>
          <w:rFonts w:hint="eastAsia" w:ascii="宋体" w:hAnsi="宋体" w:cs="宋体"/>
          <w:color w:val="000000"/>
          <w:kern w:val="0"/>
          <w:sz w:val="24"/>
          <w:szCs w:val="20"/>
          <w:highlight w:val="none"/>
        </w:rPr>
        <w:t>情况</w:t>
      </w:r>
      <w:r>
        <w:rPr>
          <w:rFonts w:hint="eastAsia" w:ascii="宋体" w:hAnsi="宋体" w:cs="宋体"/>
          <w:color w:val="000000"/>
          <w:kern w:val="0"/>
          <w:sz w:val="24"/>
          <w:szCs w:val="20"/>
          <w:highlight w:val="none"/>
          <w:lang w:eastAsia="zh-CN"/>
        </w:rPr>
        <w:t>。</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6、生活垃圾污物的清运处置去向均需合法合规，如违规操作所造成的一切环保责任、行政法律责任及处罚等均由乙方独立完整承担。</w:t>
      </w:r>
    </w:p>
    <w:p>
      <w:pPr>
        <w:widowControl/>
        <w:spacing w:line="360" w:lineRule="auto"/>
        <w:ind w:firstLine="480" w:firstLineChars="200"/>
        <w:jc w:val="left"/>
        <w:rPr>
          <w:rFonts w:hint="eastAsia" w:ascii="宋体" w:hAnsi="宋体" w:eastAsia="宋体" w:cs="宋体"/>
          <w:color w:val="000000"/>
          <w:kern w:val="0"/>
          <w:sz w:val="24"/>
          <w:szCs w:val="20"/>
          <w:highlight w:val="none"/>
          <w:lang w:val="en-US" w:eastAsia="zh-CN"/>
        </w:rPr>
      </w:pPr>
      <w:r>
        <w:rPr>
          <w:rFonts w:hint="eastAsia" w:ascii="宋体" w:hAnsi="宋体" w:cs="宋体"/>
          <w:color w:val="000000"/>
          <w:kern w:val="0"/>
          <w:sz w:val="24"/>
          <w:szCs w:val="20"/>
          <w:highlight w:val="none"/>
          <w:lang w:val="en-US" w:eastAsia="zh-CN"/>
        </w:rPr>
        <w:t>7、甲方提出需求（包含但不仅限于合同约定清空清运频次），乙方均应无条件在48小时内及时响应，并按照甲方的要求进行生活垃圾清运处置服务，如响应不及时，则按照1000元/服务区/次进行扣减。</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十、计量支付方式</w:t>
      </w:r>
    </w:p>
    <w:p>
      <w:pPr>
        <w:widowControl/>
        <w:spacing w:line="360" w:lineRule="auto"/>
        <w:ind w:firstLine="480" w:firstLineChars="200"/>
        <w:jc w:val="left"/>
        <w:rPr>
          <w:rFonts w:hint="eastAsia" w:ascii="宋体" w:hAnsi="宋体" w:eastAsia="宋体" w:cs="宋体"/>
          <w:i w:val="0"/>
          <w:color w:val="000000"/>
          <w:sz w:val="24"/>
          <w:szCs w:val="24"/>
          <w:u w:val="none"/>
          <w:lang w:val="en-US" w:eastAsia="zh-CN"/>
        </w:rPr>
      </w:pPr>
      <w:r>
        <w:rPr>
          <w:rFonts w:hint="eastAsia" w:ascii="宋体" w:hAnsi="宋体"/>
          <w:color w:val="000000"/>
          <w:sz w:val="24"/>
          <w:highlight w:val="none"/>
          <w:lang w:val="en-US" w:eastAsia="zh-CN"/>
        </w:rPr>
        <w:t>1、</w:t>
      </w:r>
      <w:r>
        <w:rPr>
          <w:rFonts w:hint="eastAsia" w:ascii="宋体" w:hAnsi="宋体" w:eastAsia="宋体" w:cs="宋体"/>
          <w:i w:val="0"/>
          <w:color w:val="000000"/>
          <w:sz w:val="24"/>
          <w:szCs w:val="24"/>
          <w:u w:val="none"/>
          <w:lang w:val="en-US" w:eastAsia="zh-CN"/>
        </w:rPr>
        <w:t>清运计量</w:t>
      </w:r>
    </w:p>
    <w:p>
      <w:pPr>
        <w:widowControl/>
        <w:spacing w:line="360" w:lineRule="auto"/>
        <w:ind w:firstLine="480" w:firstLineChars="20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（1）生活垃圾清运以单个服务</w:t>
      </w:r>
      <w:r>
        <w:rPr>
          <w:rFonts w:hint="eastAsia" w:ascii="宋体" w:hAnsi="宋体" w:eastAsia="宋体" w:cs="宋体"/>
          <w:i w:val="0"/>
          <w:color w:val="auto"/>
          <w:sz w:val="24"/>
          <w:szCs w:val="24"/>
          <w:u w:val="none"/>
          <w:lang w:val="en-US" w:eastAsia="zh-CN"/>
        </w:rPr>
        <w:t>区两侧垃圾房</w:t>
      </w:r>
      <w:r>
        <w:rPr>
          <w:rFonts w:hint="eastAsia" w:ascii="宋体" w:hAnsi="宋体" w:cs="宋体"/>
          <w:color w:val="auto"/>
          <w:kern w:val="0"/>
          <w:sz w:val="24"/>
          <w:u w:val="none"/>
          <w:lang w:val="en-US" w:eastAsia="zh-CN"/>
        </w:rPr>
        <w:t>清空清运</w:t>
      </w:r>
      <w:r>
        <w:rPr>
          <w:rFonts w:hint="eastAsia" w:ascii="宋体" w:hAnsi="宋体" w:eastAsia="宋体" w:cs="宋体"/>
          <w:i w:val="0"/>
          <w:color w:val="000000"/>
          <w:sz w:val="24"/>
          <w:szCs w:val="24"/>
          <w:u w:val="none"/>
          <w:lang w:val="en-US" w:eastAsia="zh-CN"/>
        </w:rPr>
        <w:t>整车装载并合规处置为计量1次；</w:t>
      </w:r>
    </w:p>
    <w:p>
      <w:pPr>
        <w:widowControl/>
        <w:spacing w:line="360" w:lineRule="auto"/>
        <w:ind w:firstLine="480" w:firstLineChars="20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（2）垃圾量少的服务区保证基本清运频率，按照清运频率要求并合规处置进行计量；</w:t>
      </w:r>
    </w:p>
    <w:p>
      <w:pPr>
        <w:spacing w:line="360" w:lineRule="auto"/>
        <w:ind w:firstLine="480" w:firstLineChars="200"/>
        <w:rPr>
          <w:rFonts w:hint="eastAsia" w:ascii="宋体" w:hAnsi="宋体"/>
          <w:sz w:val="24"/>
          <w:lang w:val="en-US" w:eastAsia="zh-CN"/>
        </w:rPr>
      </w:pPr>
      <w:r>
        <w:rPr>
          <w:rFonts w:hint="eastAsia" w:ascii="宋体" w:hAnsi="宋体"/>
          <w:color w:val="000000"/>
          <w:sz w:val="24"/>
          <w:highlight w:val="none"/>
          <w:lang w:val="en-US" w:eastAsia="zh-CN"/>
        </w:rPr>
        <w:t>2、服务区</w:t>
      </w:r>
      <w:r>
        <w:rPr>
          <w:rFonts w:hint="eastAsia" w:ascii="宋体" w:hAnsi="宋体"/>
          <w:sz w:val="24"/>
          <w:lang w:val="en-US" w:eastAsia="zh-CN"/>
        </w:rPr>
        <w:t>环卫保洁服务费用实行总价包干制，按照不超出</w:t>
      </w:r>
      <w:r>
        <w:rPr>
          <w:rFonts w:hint="eastAsia" w:ascii="宋体" w:hAnsi="宋体"/>
          <w:color w:val="000000"/>
          <w:sz w:val="24"/>
          <w:highlight w:val="none"/>
          <w:lang w:eastAsia="zh-CN"/>
        </w:rPr>
        <w:t>本项目上限总价</w:t>
      </w:r>
      <w:r>
        <w:rPr>
          <w:rFonts w:hint="eastAsia" w:ascii="宋体" w:hAnsi="宋体" w:cs="宋体"/>
          <w:kern w:val="0"/>
          <w:sz w:val="24"/>
          <w:lang w:val="en-US" w:eastAsia="zh-CN"/>
        </w:rPr>
        <w:t>73800</w:t>
      </w:r>
      <w:r>
        <w:rPr>
          <w:rFonts w:hint="eastAsia" w:ascii="宋体" w:hAnsi="宋体"/>
          <w:color w:val="000000"/>
          <w:sz w:val="24"/>
          <w:highlight w:val="none"/>
        </w:rPr>
        <w:t>元</w:t>
      </w:r>
      <w:r>
        <w:rPr>
          <w:rFonts w:hint="eastAsia" w:ascii="宋体" w:hAnsi="宋体"/>
          <w:sz w:val="24"/>
          <w:lang w:eastAsia="zh-CN"/>
        </w:rPr>
        <w:t>（</w:t>
      </w:r>
      <w:r>
        <w:rPr>
          <w:rFonts w:hint="eastAsia" w:ascii="宋体" w:hAnsi="宋体"/>
          <w:sz w:val="24"/>
          <w:lang w:val="en-US" w:eastAsia="zh-Hans"/>
        </w:rPr>
        <w:t>柒</w:t>
      </w:r>
      <w:r>
        <w:rPr>
          <w:rFonts w:hint="eastAsia" w:ascii="宋体" w:hAnsi="宋体"/>
          <w:sz w:val="24"/>
          <w:lang w:val="en-US" w:eastAsia="zh-CN"/>
        </w:rPr>
        <w:t>万</w:t>
      </w:r>
      <w:r>
        <w:rPr>
          <w:rFonts w:hint="eastAsia" w:ascii="宋体" w:hAnsi="宋体"/>
          <w:sz w:val="24"/>
          <w:lang w:val="en-US" w:eastAsia="zh-Hans"/>
        </w:rPr>
        <w:t>叁</w:t>
      </w:r>
      <w:r>
        <w:rPr>
          <w:rFonts w:hint="eastAsia" w:ascii="宋体" w:hAnsi="宋体"/>
          <w:sz w:val="24"/>
          <w:lang w:val="en-US" w:eastAsia="zh-CN"/>
        </w:rPr>
        <w:t>仟</w:t>
      </w:r>
      <w:r>
        <w:rPr>
          <w:rFonts w:hint="eastAsia" w:ascii="宋体" w:hAnsi="宋体"/>
          <w:sz w:val="24"/>
          <w:lang w:val="en-US" w:eastAsia="zh-Hans"/>
        </w:rPr>
        <w:t>捌</w:t>
      </w:r>
      <w:r>
        <w:rPr>
          <w:rFonts w:hint="eastAsia" w:ascii="宋体" w:hAnsi="宋体"/>
          <w:sz w:val="24"/>
          <w:lang w:val="en-US" w:eastAsia="zh-CN"/>
        </w:rPr>
        <w:t>佰元整</w:t>
      </w:r>
      <w:r>
        <w:rPr>
          <w:rFonts w:hint="eastAsia" w:ascii="宋体" w:hAnsi="宋体"/>
          <w:sz w:val="24"/>
          <w:lang w:eastAsia="zh-CN"/>
        </w:rPr>
        <w:t>）</w:t>
      </w:r>
      <w:r>
        <w:rPr>
          <w:rFonts w:hint="eastAsia" w:ascii="宋体" w:hAnsi="宋体"/>
          <w:color w:val="000000"/>
          <w:sz w:val="24"/>
          <w:highlight w:val="none"/>
          <w:lang w:val="en-US" w:eastAsia="zh-CN"/>
        </w:rPr>
        <w:t>进行包干结算，具体结算金额以实际中标金额为准。</w:t>
      </w:r>
    </w:p>
    <w:p>
      <w:pPr>
        <w:widowControl/>
        <w:spacing w:line="360" w:lineRule="auto"/>
        <w:ind w:firstLine="480" w:firstLineChars="200"/>
        <w:jc w:val="left"/>
        <w:rPr>
          <w:rFonts w:hint="eastAsia" w:ascii="宋体" w:hAnsi="宋体" w:eastAsia="宋体" w:cs="宋体"/>
          <w:i w:val="0"/>
          <w:color w:val="000000"/>
          <w:sz w:val="24"/>
          <w:szCs w:val="24"/>
          <w:u w:val="none"/>
          <w:lang w:val="en-US" w:eastAsia="zh-CN"/>
        </w:rPr>
      </w:pPr>
      <w:r>
        <w:rPr>
          <w:rFonts w:hint="eastAsia" w:ascii="宋体" w:hAnsi="宋体"/>
          <w:color w:val="000000"/>
          <w:sz w:val="24"/>
          <w:highlight w:val="none"/>
          <w:lang w:val="en-US" w:eastAsia="zh-CN"/>
        </w:rPr>
        <w:t>3、生活垃圾清运处置频次</w:t>
      </w:r>
      <w:r>
        <w:rPr>
          <w:rFonts w:hint="eastAsia" w:ascii="宋体" w:hAnsi="宋体" w:eastAsia="宋体" w:cs="宋体"/>
          <w:i w:val="0"/>
          <w:color w:val="000000"/>
          <w:sz w:val="24"/>
          <w:szCs w:val="24"/>
          <w:u w:val="none"/>
          <w:lang w:val="en-US" w:eastAsia="zh-CN"/>
        </w:rPr>
        <w:t>如超过了全年的约定固定频次</w:t>
      </w:r>
      <w:r>
        <w:rPr>
          <w:rFonts w:hint="eastAsia" w:ascii="宋体" w:hAnsi="宋体" w:eastAsia="宋体" w:cs="宋体"/>
          <w:i w:val="0"/>
          <w:color w:val="auto"/>
          <w:sz w:val="24"/>
          <w:szCs w:val="24"/>
          <w:u w:val="none"/>
          <w:lang w:val="en-US" w:eastAsia="zh-CN"/>
        </w:rPr>
        <w:t>（全年</w:t>
      </w:r>
      <w:r>
        <w:rPr>
          <w:rFonts w:hint="eastAsia" w:ascii="宋体" w:hAnsi="宋体" w:cs="宋体"/>
          <w:i w:val="0"/>
          <w:color w:val="auto"/>
          <w:sz w:val="24"/>
          <w:szCs w:val="24"/>
          <w:u w:val="none"/>
          <w:lang w:val="en-US" w:eastAsia="zh-CN"/>
        </w:rPr>
        <w:t>174</w:t>
      </w:r>
      <w:r>
        <w:rPr>
          <w:rFonts w:hint="eastAsia" w:ascii="宋体" w:hAnsi="宋体" w:eastAsia="宋体" w:cs="宋体"/>
          <w:i w:val="0"/>
          <w:color w:val="auto"/>
          <w:sz w:val="24"/>
          <w:szCs w:val="24"/>
          <w:u w:val="none"/>
          <w:lang w:val="en-US" w:eastAsia="zh-CN"/>
        </w:rPr>
        <w:t>次），</w:t>
      </w:r>
      <w:r>
        <w:rPr>
          <w:rFonts w:hint="eastAsia" w:ascii="宋体" w:hAnsi="宋体" w:eastAsia="宋体" w:cs="宋体"/>
          <w:i w:val="0"/>
          <w:color w:val="000000"/>
          <w:sz w:val="24"/>
          <w:szCs w:val="24"/>
          <w:u w:val="none"/>
          <w:lang w:val="en-US" w:eastAsia="zh-CN"/>
        </w:rPr>
        <w:t>额外的生活垃圾清运处置服务则按单价结算，即以生活垃圾清运处置中标价/全年</w:t>
      </w:r>
      <w:r>
        <w:rPr>
          <w:rFonts w:hint="eastAsia" w:ascii="宋体" w:hAnsi="宋体" w:cs="宋体"/>
          <w:i w:val="0"/>
          <w:color w:val="auto"/>
          <w:sz w:val="24"/>
          <w:szCs w:val="24"/>
          <w:u w:val="none"/>
          <w:lang w:val="en-US" w:eastAsia="zh-CN"/>
        </w:rPr>
        <w:t>174</w:t>
      </w:r>
      <w:r>
        <w:rPr>
          <w:rFonts w:hint="eastAsia" w:ascii="宋体" w:hAnsi="宋体" w:eastAsia="宋体" w:cs="宋体"/>
          <w:i w:val="0"/>
          <w:color w:val="auto"/>
          <w:sz w:val="24"/>
          <w:szCs w:val="24"/>
          <w:u w:val="none"/>
          <w:lang w:val="en-US" w:eastAsia="zh-CN"/>
        </w:rPr>
        <w:t>次</w:t>
      </w:r>
      <w:r>
        <w:rPr>
          <w:rFonts w:hint="eastAsia" w:ascii="宋体" w:hAnsi="宋体" w:eastAsia="宋体" w:cs="宋体"/>
          <w:i w:val="0"/>
          <w:color w:val="000000"/>
          <w:sz w:val="24"/>
          <w:szCs w:val="24"/>
          <w:u w:val="none"/>
          <w:lang w:val="en-US" w:eastAsia="zh-CN"/>
        </w:rPr>
        <w:t>的金额作为结算单价额外进行计价结算。</w:t>
      </w:r>
    </w:p>
    <w:p>
      <w:pPr>
        <w:widowControl/>
        <w:spacing w:line="360" w:lineRule="auto"/>
        <w:ind w:firstLine="480" w:firstLineChars="200"/>
        <w:jc w:val="left"/>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u w:val="none"/>
          <w:lang w:val="en-US" w:eastAsia="zh-CN"/>
        </w:rPr>
        <w:t>4、生活垃圾清运处置如未达到全年约定服务频次，则按照生活垃圾清运处置中标价/全年</w:t>
      </w:r>
      <w:r>
        <w:rPr>
          <w:rFonts w:hint="eastAsia" w:ascii="宋体" w:hAnsi="宋体" w:cs="宋体"/>
          <w:i w:val="0"/>
          <w:color w:val="auto"/>
          <w:sz w:val="24"/>
          <w:szCs w:val="24"/>
          <w:u w:val="none"/>
          <w:lang w:val="en-US" w:eastAsia="zh-CN"/>
        </w:rPr>
        <w:t>174</w:t>
      </w:r>
      <w:r>
        <w:rPr>
          <w:rFonts w:hint="eastAsia" w:ascii="宋体" w:hAnsi="宋体" w:eastAsia="宋体" w:cs="宋体"/>
          <w:i w:val="0"/>
          <w:color w:val="auto"/>
          <w:sz w:val="24"/>
          <w:szCs w:val="24"/>
          <w:u w:val="none"/>
          <w:lang w:val="en-US" w:eastAsia="zh-CN"/>
        </w:rPr>
        <w:t>次</w:t>
      </w:r>
      <w:r>
        <w:rPr>
          <w:rFonts w:hint="eastAsia" w:ascii="宋体" w:hAnsi="宋体" w:eastAsia="宋体" w:cs="宋体"/>
          <w:i w:val="0"/>
          <w:color w:val="000000"/>
          <w:sz w:val="24"/>
          <w:szCs w:val="24"/>
          <w:u w:val="none"/>
          <w:lang w:val="en-US" w:eastAsia="zh-CN"/>
        </w:rPr>
        <w:t>*频次的差额在年终结算</w:t>
      </w:r>
      <w:r>
        <w:rPr>
          <w:rFonts w:hint="eastAsia" w:ascii="宋体" w:hAnsi="宋体" w:eastAsia="宋体" w:cs="宋体"/>
          <w:i w:val="0"/>
          <w:color w:val="000000"/>
          <w:sz w:val="24"/>
          <w:szCs w:val="24"/>
          <w:highlight w:val="none"/>
          <w:u w:val="none"/>
          <w:lang w:val="en-US" w:eastAsia="zh-CN"/>
        </w:rPr>
        <w:t>时进行扣减。</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5、生活垃圾清运处置费用按季度进行结算，结算时必须以服务区现场管理人员和管理中心审核签字确认的资料作为支付依据。</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6、乙方应在每季度报账前（季度末月初）自行将应支付款项的发票和资料准备齐全，并按时上交至管理中心核实，如因乙方未按时上交报账资料不能按期支付，由乙方自行负责。</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7、每季度10%的结算金额作为履约保证金，正常履约则按照结算金额100%进行支付，如未按要求履约，则按照合同条款予以扣减。</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十一、竞价文件的组成部分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报</w:t>
      </w:r>
      <w:r>
        <w:rPr>
          <w:rFonts w:hint="eastAsia" w:ascii="宋体" w:hAnsi="宋体"/>
          <w:color w:val="auto"/>
          <w:sz w:val="24"/>
          <w:highlight w:val="none"/>
        </w:rPr>
        <w:t>价书：报价方根据询价方提供的相关资料进行综合报价，超过</w:t>
      </w:r>
      <w:r>
        <w:rPr>
          <w:rFonts w:hint="eastAsia" w:ascii="宋体" w:hAnsi="宋体"/>
          <w:color w:val="auto"/>
          <w:sz w:val="24"/>
          <w:highlight w:val="none"/>
          <w:lang w:eastAsia="zh-CN"/>
        </w:rPr>
        <w:t>上限价</w:t>
      </w:r>
      <w:r>
        <w:rPr>
          <w:rFonts w:hint="eastAsia" w:ascii="宋体" w:hAnsi="宋体"/>
          <w:color w:val="auto"/>
          <w:sz w:val="24"/>
          <w:highlight w:val="none"/>
        </w:rPr>
        <w:t>为废标</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公司营业执照</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经营范围需包含生活垃圾经营性服务</w:t>
      </w:r>
      <w:r>
        <w:rPr>
          <w:rFonts w:hint="eastAsia" w:ascii="宋体" w:hAnsi="宋体"/>
          <w:color w:val="000000"/>
          <w:sz w:val="24"/>
          <w:highlight w:val="none"/>
          <w:lang w:eastAsia="zh-CN"/>
        </w:rPr>
        <w:t>）。</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所有资料装袋密封，封包正面注明报价单位名称（需与报价单位提交的营业执照一致），在封口处加盖报价人单位公章，报价函（须盖单位公章（复印件无效），提供的证明材料（如营业执照、资质证书等）复印件需加盖报价人公章。</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十二、竞价文件的递交</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1、报价截止时间：2023年</w:t>
      </w:r>
      <w:r>
        <w:rPr>
          <w:rFonts w:hint="eastAsia" w:ascii="宋体" w:hAnsi="宋体"/>
          <w:color w:val="auto"/>
          <w:sz w:val="24"/>
          <w:highlight w:val="none"/>
          <w:lang w:val="en-US" w:eastAsia="zh-CN"/>
        </w:rPr>
        <w:t>4月17日10:00为</w:t>
      </w:r>
      <w:r>
        <w:rPr>
          <w:rFonts w:hint="eastAsia" w:ascii="宋体" w:hAnsi="宋体"/>
          <w:color w:val="000000"/>
          <w:sz w:val="24"/>
          <w:highlight w:val="none"/>
          <w:lang w:val="en-US" w:eastAsia="zh-CN"/>
        </w:rPr>
        <w:t>报价截止时间，报价函必须在规定时间送达发包人，逾期送达的报价函将不予受理。</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2、报价文件送达地址：</w:t>
      </w:r>
      <w:r>
        <w:rPr>
          <w:rFonts w:hint="eastAsia" w:ascii="宋体" w:hAnsi="宋体"/>
          <w:color w:val="auto"/>
          <w:sz w:val="24"/>
          <w:highlight w:val="none"/>
          <w:lang w:val="en-US" w:eastAsia="zh-CN"/>
        </w:rPr>
        <w:t>重庆市酉阳县小坝乡高速公路桃花源收费站</w:t>
      </w:r>
      <w:r>
        <w:rPr>
          <w:rFonts w:hint="eastAsia" w:ascii="宋体" w:hAnsi="宋体"/>
          <w:color w:val="000000"/>
          <w:sz w:val="24"/>
          <w:highlight w:val="none"/>
          <w:lang w:val="en-US" w:eastAsia="zh-CN"/>
        </w:rPr>
        <w:t>（重庆高速</w:t>
      </w:r>
      <w:r>
        <w:rPr>
          <w:rFonts w:hint="eastAsia" w:ascii="宋体" w:hAnsi="宋体"/>
          <w:color w:val="000000"/>
          <w:sz w:val="24"/>
          <w:highlight w:val="none"/>
          <w:lang w:val="en-US" w:eastAsia="zh-Hans"/>
        </w:rPr>
        <w:t>公路集团有限公司</w:t>
      </w:r>
      <w:r>
        <w:rPr>
          <w:rFonts w:hint="eastAsia" w:ascii="宋体" w:hAnsi="宋体"/>
          <w:color w:val="000000"/>
          <w:sz w:val="24"/>
          <w:highlight w:val="none"/>
          <w:lang w:val="en-US" w:eastAsia="zh-CN"/>
        </w:rPr>
        <w:t>东南营运分公司酉阳管理中心）</w:t>
      </w:r>
      <w:r>
        <w:rPr>
          <w:rFonts w:hint="eastAsia" w:ascii="宋体" w:hAnsi="宋体"/>
          <w:color w:val="auto"/>
          <w:sz w:val="24"/>
          <w:highlight w:val="none"/>
          <w:lang w:val="en-US" w:eastAsia="zh-CN"/>
        </w:rPr>
        <w:t>212会议室</w:t>
      </w:r>
      <w:r>
        <w:rPr>
          <w:rFonts w:hint="eastAsia" w:ascii="宋体" w:hAnsi="宋体"/>
          <w:color w:val="000000"/>
          <w:sz w:val="24"/>
          <w:highlight w:val="none"/>
          <w:lang w:val="en-US" w:eastAsia="zh-CN"/>
        </w:rPr>
        <w:t>。联系人：李励，联系电话：15223970068。</w:t>
      </w:r>
    </w:p>
    <w:p>
      <w:pPr>
        <w:widowControl/>
        <w:spacing w:line="360" w:lineRule="auto"/>
        <w:ind w:firstLine="482" w:firstLineChars="200"/>
        <w:jc w:val="left"/>
        <w:rPr>
          <w:rFonts w:hint="eastAsia" w:ascii="宋体" w:hAnsi="宋体"/>
          <w:color w:val="000000"/>
          <w:sz w:val="24"/>
          <w:highlight w:val="none"/>
          <w:lang w:val="en-US" w:eastAsia="zh-CN"/>
        </w:rPr>
      </w:pPr>
      <w:r>
        <w:rPr>
          <w:rFonts w:hint="eastAsia" w:ascii="宋体" w:hAnsi="宋体" w:cs="宋体"/>
          <w:b/>
          <w:bCs/>
          <w:color w:val="auto"/>
          <w:sz w:val="24"/>
          <w:szCs w:val="24"/>
          <w:lang w:val="en-US" w:eastAsia="zh-CN"/>
        </w:rPr>
        <w:t>十三、开标时间及地点</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1、开标时间：于2023年</w:t>
      </w:r>
      <w:r>
        <w:rPr>
          <w:rFonts w:hint="eastAsia" w:ascii="宋体" w:hAnsi="宋体"/>
          <w:color w:val="auto"/>
          <w:sz w:val="24"/>
          <w:highlight w:val="none"/>
          <w:lang w:val="en-US" w:eastAsia="zh-CN"/>
        </w:rPr>
        <w:t>4月17日上午10:00。</w:t>
      </w:r>
    </w:p>
    <w:p>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2、开标地点：</w:t>
      </w:r>
      <w:r>
        <w:rPr>
          <w:rFonts w:hint="eastAsia" w:ascii="宋体" w:hAnsi="宋体"/>
          <w:sz w:val="24"/>
        </w:rPr>
        <w:t>重庆高速</w:t>
      </w:r>
      <w:r>
        <w:rPr>
          <w:rFonts w:hint="eastAsia" w:ascii="宋体" w:hAnsi="宋体"/>
          <w:sz w:val="24"/>
          <w:lang w:val="en-US" w:eastAsia="zh-Hans"/>
        </w:rPr>
        <w:t>公路</w:t>
      </w:r>
      <w:r>
        <w:rPr>
          <w:rFonts w:hint="eastAsia" w:ascii="宋体" w:hAnsi="宋体"/>
          <w:sz w:val="24"/>
        </w:rPr>
        <w:t>集团</w:t>
      </w:r>
      <w:r>
        <w:rPr>
          <w:rFonts w:hint="eastAsia" w:ascii="宋体" w:hAnsi="宋体"/>
          <w:sz w:val="24"/>
          <w:lang w:val="en-US" w:eastAsia="zh-Hans"/>
        </w:rPr>
        <w:t>有限公司</w:t>
      </w:r>
      <w:r>
        <w:rPr>
          <w:rFonts w:hint="eastAsia" w:ascii="宋体" w:hAnsi="宋体"/>
          <w:sz w:val="24"/>
        </w:rPr>
        <w:t>东南营运分公司</w:t>
      </w:r>
      <w:r>
        <w:rPr>
          <w:rFonts w:hint="eastAsia" w:ascii="宋体" w:hAnsi="宋体"/>
          <w:sz w:val="24"/>
          <w:lang w:val="en-US" w:eastAsia="zh-CN"/>
        </w:rPr>
        <w:t>酉阳管理中心</w:t>
      </w:r>
      <w:r>
        <w:rPr>
          <w:rFonts w:hint="eastAsia" w:ascii="宋体" w:hAnsi="宋体"/>
          <w:sz w:val="24"/>
        </w:rPr>
        <w:t>办公</w:t>
      </w:r>
      <w:r>
        <w:rPr>
          <w:rFonts w:hint="eastAsia" w:ascii="宋体" w:hAnsi="宋体"/>
          <w:color w:val="auto"/>
          <w:sz w:val="24"/>
          <w:lang w:val="en-US" w:eastAsia="zh-CN"/>
        </w:rPr>
        <w:t>楼212</w:t>
      </w:r>
      <w:r>
        <w:rPr>
          <w:rFonts w:hint="eastAsia" w:ascii="宋体" w:hAnsi="宋体"/>
          <w:color w:val="auto"/>
          <w:sz w:val="24"/>
          <w:lang w:eastAsia="zh-CN"/>
        </w:rPr>
        <w:t>会议室</w:t>
      </w:r>
      <w:r>
        <w:rPr>
          <w:rFonts w:hint="eastAsia" w:ascii="宋体" w:hAnsi="宋体"/>
          <w:color w:val="auto"/>
          <w:sz w:val="24"/>
          <w:lang w:val="en-US" w:eastAsia="zh-CN"/>
        </w:rPr>
        <w:t>现</w:t>
      </w:r>
      <w:r>
        <w:rPr>
          <w:rFonts w:hint="eastAsia" w:ascii="宋体" w:hAnsi="宋体"/>
          <w:sz w:val="24"/>
          <w:lang w:val="en-US" w:eastAsia="zh-CN"/>
        </w:rPr>
        <w:t>场</w:t>
      </w:r>
      <w:r>
        <w:rPr>
          <w:rFonts w:hint="eastAsia" w:ascii="宋体" w:hAnsi="宋体"/>
          <w:sz w:val="24"/>
          <w:lang w:eastAsia="zh-CN"/>
        </w:rPr>
        <w:t>开标。请各报价单位负责人或委托代理人准时参加开标</w:t>
      </w:r>
      <w:r>
        <w:rPr>
          <w:rFonts w:hint="eastAsia" w:ascii="宋体" w:hAnsi="宋体"/>
          <w:color w:val="000000"/>
          <w:sz w:val="24"/>
          <w:highlight w:val="none"/>
          <w:lang w:val="en-US" w:eastAsia="zh-CN"/>
        </w:rPr>
        <w:t>，不按时参加的视为自动放弃同时认可此次开标。</w:t>
      </w:r>
    </w:p>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此页以下无正文</w:t>
      </w:r>
      <w:r>
        <w:rPr>
          <w:rFonts w:hint="eastAsia" w:ascii="宋体" w:hAnsi="宋体"/>
          <w:color w:val="000000"/>
          <w:sz w:val="24"/>
          <w:highlight w:val="none"/>
          <w:lang w:eastAsia="zh-CN"/>
        </w:rPr>
        <w:t>）</w:t>
      </w:r>
      <w:r>
        <w:rPr>
          <w:rFonts w:hint="eastAsia" w:ascii="宋体" w:hAnsi="宋体"/>
          <w:color w:val="000000"/>
          <w:sz w:val="24"/>
          <w:highlight w:val="none"/>
        </w:rPr>
        <w:t xml:space="preserve"> </w:t>
      </w:r>
    </w:p>
    <w:p>
      <w:pPr>
        <w:spacing w:line="360" w:lineRule="auto"/>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重庆高速公路集团有限公司</w:t>
      </w:r>
      <w:r>
        <w:rPr>
          <w:rFonts w:hint="eastAsia" w:ascii="宋体" w:hAnsi="宋体"/>
          <w:color w:val="000000"/>
          <w:sz w:val="24"/>
          <w:highlight w:val="none"/>
          <w:lang w:val="en-US" w:eastAsia="zh-CN"/>
        </w:rPr>
        <w:t>东南</w:t>
      </w:r>
      <w:r>
        <w:rPr>
          <w:rFonts w:hint="eastAsia" w:ascii="宋体" w:hAnsi="宋体"/>
          <w:color w:val="000000"/>
          <w:sz w:val="24"/>
          <w:highlight w:val="none"/>
        </w:rPr>
        <w:t>营运分公司</w:t>
      </w:r>
    </w:p>
    <w:p>
      <w:pPr>
        <w:spacing w:line="360" w:lineRule="auto"/>
        <w:ind w:right="40"/>
        <w:rPr>
          <w:rFonts w:hint="eastAsia" w:ascii="宋体" w:hAnsi="宋体"/>
          <w:color w:val="000000"/>
          <w:sz w:val="24"/>
          <w:highlight w:val="none"/>
        </w:rPr>
      </w:pPr>
      <w:r>
        <w:rPr>
          <w:rFonts w:hint="eastAsia" w:ascii="宋体" w:hAnsi="宋体"/>
          <w:color w:val="000000"/>
          <w:sz w:val="24"/>
          <w:highlight w:val="none"/>
        </w:rPr>
        <w:t xml:space="preserve">                                              20</w:t>
      </w:r>
      <w:r>
        <w:rPr>
          <w:rFonts w:hint="eastAsia" w:ascii="宋体" w:hAnsi="宋体"/>
          <w:color w:val="000000"/>
          <w:sz w:val="24"/>
          <w:highlight w:val="none"/>
          <w:lang w:val="en-US" w:eastAsia="zh-CN"/>
        </w:rPr>
        <w:t>23</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7</w:t>
      </w:r>
      <w:r>
        <w:rPr>
          <w:rFonts w:hint="eastAsia" w:ascii="宋体" w:hAnsi="宋体"/>
          <w:color w:val="000000"/>
          <w:sz w:val="24"/>
          <w:highlight w:val="none"/>
        </w:rPr>
        <w:t>日</w:t>
      </w: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ascii="仿宋_GB2312" w:eastAsia="仿宋_GB2312"/>
          <w:b/>
          <w:sz w:val="32"/>
          <w:szCs w:val="32"/>
          <w:highlight w:val="none"/>
          <w:lang w:eastAsia="zh-CN"/>
        </w:rPr>
      </w:pPr>
    </w:p>
    <w:p>
      <w:pPr>
        <w:rPr>
          <w:rFonts w:hint="eastAsia" w:ascii="仿宋_GB2312" w:eastAsia="仿宋_GB2312"/>
          <w:b/>
          <w:sz w:val="32"/>
          <w:szCs w:val="32"/>
          <w:highlight w:val="none"/>
          <w:lang w:eastAsia="zh-CN"/>
        </w:rPr>
      </w:pPr>
    </w:p>
    <w:p>
      <w:pPr>
        <w:pStyle w:val="2"/>
        <w:rPr>
          <w:rFonts w:hint="eastAsia"/>
          <w:lang w:eastAsia="zh-CN"/>
        </w:rPr>
      </w:pPr>
    </w:p>
    <w:p>
      <w:pPr>
        <w:spacing w:line="360" w:lineRule="auto"/>
        <w:jc w:val="both"/>
        <w:rPr>
          <w:rFonts w:hint="eastAsia" w:ascii="仿宋_GB2312" w:eastAsia="仿宋_GB2312"/>
          <w:b/>
          <w:sz w:val="32"/>
          <w:szCs w:val="32"/>
          <w:highlight w:val="none"/>
          <w:lang w:eastAsia="zh-CN"/>
        </w:rPr>
      </w:pPr>
      <w:r>
        <w:rPr>
          <w:rFonts w:hint="eastAsia" w:ascii="仿宋_GB2312" w:eastAsia="仿宋_GB2312"/>
          <w:b/>
          <w:sz w:val="32"/>
          <w:szCs w:val="32"/>
          <w:highlight w:val="none"/>
          <w:lang w:eastAsia="zh-CN"/>
        </w:rPr>
        <w:t>附</w:t>
      </w:r>
      <w:r>
        <w:rPr>
          <w:rFonts w:hint="eastAsia" w:ascii="仿宋_GB2312" w:eastAsia="仿宋_GB2312"/>
          <w:b/>
          <w:sz w:val="32"/>
          <w:szCs w:val="32"/>
          <w:highlight w:val="none"/>
          <w:lang w:val="en-US" w:eastAsia="zh-CN"/>
        </w:rPr>
        <w:t>件一：</w:t>
      </w:r>
      <w:bookmarkStart w:id="2" w:name="_GoBack"/>
      <w:bookmarkEnd w:id="2"/>
    </w:p>
    <w:tbl>
      <w:tblPr>
        <w:tblStyle w:val="6"/>
        <w:tblpPr w:leftFromText="180" w:rightFromText="180" w:vertAnchor="text" w:horzAnchor="page" w:tblpX="1225" w:tblpY="488"/>
        <w:tblOverlap w:val="never"/>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7"/>
        <w:gridCol w:w="1078"/>
        <w:gridCol w:w="1078"/>
        <w:gridCol w:w="1078"/>
        <w:gridCol w:w="1078"/>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9630" w:type="dxa"/>
            <w:gridSpan w:val="6"/>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服务区垃圾清运明细报价表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车量使用费</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174</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174</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垃圾处置费</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174</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4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bl>
    <w:p>
      <w:pPr>
        <w:spacing w:line="360" w:lineRule="auto"/>
        <w:jc w:val="both"/>
        <w:rPr>
          <w:rFonts w:hint="eastAsia" w:ascii="仿宋_GB2312" w:eastAsia="仿宋_GB2312"/>
          <w:b/>
          <w:sz w:val="32"/>
          <w:szCs w:val="32"/>
          <w:highlight w:val="none"/>
          <w:lang w:val="en-US" w:eastAsia="zh-CN"/>
        </w:rPr>
      </w:pPr>
    </w:p>
    <w:tbl>
      <w:tblPr>
        <w:tblStyle w:val="6"/>
        <w:tblW w:w="9629" w:type="dxa"/>
        <w:jc w:val="center"/>
        <w:tblInd w:w="0" w:type="dxa"/>
        <w:tblLayout w:type="fixed"/>
        <w:tblCellMar>
          <w:top w:w="0" w:type="dxa"/>
          <w:left w:w="108" w:type="dxa"/>
          <w:bottom w:w="0" w:type="dxa"/>
          <w:right w:w="108" w:type="dxa"/>
        </w:tblCellMar>
      </w:tblPr>
      <w:tblGrid>
        <w:gridCol w:w="9629"/>
      </w:tblGrid>
      <w:tr>
        <w:tblPrEx>
          <w:tblLayout w:type="fixed"/>
          <w:tblCellMar>
            <w:top w:w="0" w:type="dxa"/>
            <w:left w:w="108" w:type="dxa"/>
            <w:bottom w:w="0" w:type="dxa"/>
            <w:right w:w="108" w:type="dxa"/>
          </w:tblCellMar>
        </w:tblPrEx>
        <w:trPr>
          <w:trHeight w:val="1725" w:hRule="atLeast"/>
          <w:jc w:val="center"/>
        </w:trPr>
        <w:tc>
          <w:tcPr>
            <w:tcW w:w="9629" w:type="dxa"/>
            <w:tcBorders>
              <w:top w:val="nil"/>
              <w:left w:val="nil"/>
              <w:bottom w:val="nil"/>
              <w:right w:val="nil"/>
            </w:tcBorders>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                    </w:t>
            </w:r>
          </w:p>
          <w:p>
            <w:pPr>
              <w:widowControl/>
              <w:jc w:val="both"/>
              <w:textAlignment w:val="center"/>
              <w:rPr>
                <w:rFonts w:hint="eastAsia" w:ascii="宋体" w:hAnsi="宋体" w:cs="宋体"/>
                <w:color w:val="000000"/>
                <w:kern w:val="0"/>
                <w:sz w:val="28"/>
                <w:szCs w:val="28"/>
                <w:lang w:bidi="ar"/>
              </w:rPr>
            </w:pPr>
          </w:p>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报价单位：（盖章）</w:t>
            </w:r>
          </w:p>
        </w:tc>
      </w:tr>
      <w:tr>
        <w:tblPrEx>
          <w:tblLayout w:type="fixed"/>
          <w:tblCellMar>
            <w:top w:w="0" w:type="dxa"/>
            <w:left w:w="108" w:type="dxa"/>
            <w:bottom w:w="0" w:type="dxa"/>
            <w:right w:w="108" w:type="dxa"/>
          </w:tblCellMar>
        </w:tblPrEx>
        <w:trPr>
          <w:trHeight w:val="1016" w:hRule="atLeast"/>
          <w:jc w:val="center"/>
        </w:trPr>
        <w:tc>
          <w:tcPr>
            <w:tcW w:w="9629" w:type="dxa"/>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报价单位负责人（或委托代理人）：</w:t>
            </w:r>
          </w:p>
        </w:tc>
      </w:tr>
      <w:tr>
        <w:tblPrEx>
          <w:tblLayout w:type="fixed"/>
          <w:tblCellMar>
            <w:top w:w="0" w:type="dxa"/>
            <w:left w:w="108" w:type="dxa"/>
            <w:bottom w:w="0" w:type="dxa"/>
            <w:right w:w="108" w:type="dxa"/>
          </w:tblCellMar>
        </w:tblPrEx>
        <w:trPr>
          <w:trHeight w:val="1725" w:hRule="atLeast"/>
          <w:jc w:val="center"/>
        </w:trPr>
        <w:tc>
          <w:tcPr>
            <w:tcW w:w="9629" w:type="dxa"/>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年   月   日</w:t>
            </w:r>
          </w:p>
        </w:tc>
      </w:tr>
    </w:tbl>
    <w:p>
      <w:pPr>
        <w:spacing w:line="360" w:lineRule="auto"/>
        <w:jc w:val="both"/>
        <w:rPr>
          <w:rFonts w:hint="eastAsia" w:ascii="仿宋_GB2312" w:eastAsia="仿宋_GB2312"/>
          <w:b/>
          <w:sz w:val="32"/>
          <w:szCs w:val="32"/>
          <w:highlight w:val="none"/>
          <w:lang w:val="en-US" w:eastAsia="zh-CN"/>
        </w:rPr>
      </w:pPr>
    </w:p>
    <w:p>
      <w:pPr>
        <w:spacing w:line="360" w:lineRule="auto"/>
        <w:jc w:val="both"/>
        <w:rPr>
          <w:rFonts w:hint="eastAsia" w:ascii="仿宋_GB2312" w:eastAsia="仿宋_GB2312"/>
          <w:b/>
          <w:sz w:val="32"/>
          <w:szCs w:val="32"/>
          <w:highlight w:val="none"/>
          <w:lang w:val="en-US" w:eastAsia="zh-CN"/>
        </w:rPr>
      </w:pPr>
    </w:p>
    <w:p>
      <w:pPr>
        <w:pStyle w:val="2"/>
        <w:rPr>
          <w:rFonts w:hint="eastAsia" w:ascii="仿宋_GB2312" w:eastAsia="仿宋_GB2312"/>
          <w:b/>
          <w:sz w:val="32"/>
          <w:szCs w:val="32"/>
          <w:highlight w:val="none"/>
          <w:lang w:val="en-US" w:eastAsia="zh-CN"/>
        </w:rPr>
      </w:pPr>
    </w:p>
    <w:p>
      <w:pPr>
        <w:rPr>
          <w:rFonts w:hint="eastAsia" w:ascii="仿宋_GB2312" w:eastAsia="仿宋_GB2312"/>
          <w:b/>
          <w:sz w:val="32"/>
          <w:szCs w:val="32"/>
          <w:highlight w:val="none"/>
          <w:lang w:val="en-US" w:eastAsia="zh-CN"/>
        </w:rPr>
      </w:pPr>
    </w:p>
    <w:p>
      <w:pPr>
        <w:pStyle w:val="2"/>
        <w:rPr>
          <w:rFonts w:hint="eastAsia" w:ascii="仿宋_GB2312" w:eastAsia="仿宋_GB2312"/>
          <w:b/>
          <w:sz w:val="32"/>
          <w:szCs w:val="32"/>
          <w:highlight w:val="none"/>
          <w:lang w:val="en-US" w:eastAsia="zh-CN"/>
        </w:rPr>
      </w:pPr>
    </w:p>
    <w:p>
      <w:pPr>
        <w:rPr>
          <w:rFonts w:hint="eastAsia" w:ascii="仿宋_GB2312" w:eastAsia="仿宋_GB2312"/>
          <w:b/>
          <w:sz w:val="32"/>
          <w:szCs w:val="32"/>
          <w:highlight w:val="none"/>
          <w:lang w:val="en-US" w:eastAsia="zh-CN"/>
        </w:rPr>
      </w:pPr>
    </w:p>
    <w:p>
      <w:pPr>
        <w:pStyle w:val="2"/>
        <w:rPr>
          <w:rFonts w:hint="eastAsia" w:ascii="仿宋_GB2312" w:eastAsia="仿宋_GB2312"/>
          <w:b/>
          <w:sz w:val="32"/>
          <w:szCs w:val="32"/>
          <w:highlight w:val="none"/>
          <w:lang w:val="en-US" w:eastAsia="zh-CN"/>
        </w:rPr>
      </w:pPr>
    </w:p>
    <w:p>
      <w:pPr>
        <w:rPr>
          <w:rFonts w:hint="eastAsia" w:ascii="仿宋_GB2312" w:eastAsia="仿宋_GB2312"/>
          <w:b/>
          <w:sz w:val="32"/>
          <w:szCs w:val="32"/>
          <w:highlight w:val="none"/>
          <w:lang w:val="en-US" w:eastAsia="zh-CN"/>
        </w:rPr>
      </w:pPr>
    </w:p>
    <w:p>
      <w:pPr>
        <w:pStyle w:val="2"/>
        <w:rPr>
          <w:rFonts w:hint="eastAsia"/>
          <w:lang w:val="en-US" w:eastAsia="zh-CN"/>
        </w:rPr>
      </w:pPr>
    </w:p>
    <w:p>
      <w:pPr>
        <w:spacing w:line="360" w:lineRule="auto"/>
        <w:jc w:val="both"/>
        <w:rPr>
          <w:rFonts w:hint="eastAsia" w:ascii="仿宋_GB2312" w:eastAsia="仿宋_GB2312"/>
          <w:b/>
          <w:sz w:val="32"/>
          <w:szCs w:val="32"/>
          <w:highlight w:val="none"/>
          <w:lang w:eastAsia="zh-CN"/>
        </w:rPr>
      </w:pPr>
      <w:r>
        <w:rPr>
          <w:rFonts w:hint="eastAsia" w:ascii="仿宋_GB2312" w:eastAsia="仿宋_GB2312"/>
          <w:b/>
          <w:sz w:val="32"/>
          <w:szCs w:val="32"/>
          <w:highlight w:val="none"/>
          <w:lang w:val="en-US" w:eastAsia="zh-CN"/>
        </w:rPr>
        <w:t>附</w:t>
      </w:r>
      <w:r>
        <w:rPr>
          <w:rFonts w:hint="eastAsia" w:ascii="仿宋_GB2312" w:eastAsia="仿宋_GB2312"/>
          <w:b/>
          <w:sz w:val="32"/>
          <w:szCs w:val="32"/>
          <w:highlight w:val="none"/>
          <w:lang w:eastAsia="zh-CN"/>
        </w:rPr>
        <w:t>件</w:t>
      </w:r>
      <w:r>
        <w:rPr>
          <w:rFonts w:hint="eastAsia" w:ascii="仿宋_GB2312" w:eastAsia="仿宋_GB2312"/>
          <w:b/>
          <w:sz w:val="32"/>
          <w:szCs w:val="32"/>
          <w:highlight w:val="none"/>
          <w:lang w:val="en-US" w:eastAsia="zh-CN"/>
        </w:rPr>
        <w:t>二</w:t>
      </w:r>
      <w:r>
        <w:rPr>
          <w:rFonts w:hint="eastAsia" w:ascii="仿宋_GB2312" w:eastAsia="仿宋_GB2312"/>
          <w:b/>
          <w:sz w:val="32"/>
          <w:szCs w:val="32"/>
          <w:highlight w:val="none"/>
          <w:lang w:eastAsia="zh-CN"/>
        </w:rPr>
        <w:t>：</w:t>
      </w:r>
    </w:p>
    <w:p>
      <w:pPr>
        <w:pStyle w:val="2"/>
        <w:rPr>
          <w:rFonts w:hint="eastAsia"/>
          <w:lang w:eastAsia="zh-CN"/>
        </w:rPr>
      </w:pPr>
    </w:p>
    <w:tbl>
      <w:tblPr>
        <w:tblStyle w:val="6"/>
        <w:tblW w:w="9629" w:type="dxa"/>
        <w:jc w:val="center"/>
        <w:tblInd w:w="0" w:type="dxa"/>
        <w:tblLayout w:type="fixed"/>
        <w:tblCellMar>
          <w:top w:w="0" w:type="dxa"/>
          <w:left w:w="108" w:type="dxa"/>
          <w:bottom w:w="0" w:type="dxa"/>
          <w:right w:w="108" w:type="dxa"/>
        </w:tblCellMar>
      </w:tblPr>
      <w:tblGrid>
        <w:gridCol w:w="3125"/>
        <w:gridCol w:w="1719"/>
        <w:gridCol w:w="2521"/>
        <w:gridCol w:w="681"/>
        <w:gridCol w:w="1583"/>
      </w:tblGrid>
      <w:tr>
        <w:tblPrEx>
          <w:tblLayout w:type="fixed"/>
          <w:tblCellMar>
            <w:top w:w="0" w:type="dxa"/>
            <w:left w:w="108" w:type="dxa"/>
            <w:bottom w:w="0" w:type="dxa"/>
            <w:right w:w="108" w:type="dxa"/>
          </w:tblCellMar>
        </w:tblPrEx>
        <w:trPr>
          <w:trHeight w:val="1621" w:hRule="atLeast"/>
          <w:jc w:val="center"/>
        </w:trPr>
        <w:tc>
          <w:tcPr>
            <w:tcW w:w="9629" w:type="dxa"/>
            <w:gridSpan w:val="5"/>
            <w:tcBorders>
              <w:top w:val="nil"/>
              <w:left w:val="nil"/>
              <w:bottom w:val="nil"/>
              <w:right w:val="nil"/>
            </w:tcBorders>
            <w:vAlign w:val="center"/>
          </w:tcPr>
          <w:p>
            <w:pPr>
              <w:widowControl/>
              <w:jc w:val="center"/>
              <w:textAlignment w:val="center"/>
              <w:rPr>
                <w:rFonts w:hint="eastAsia" w:ascii="宋体" w:hAnsi="宋体" w:eastAsia="宋体" w:cs="宋体"/>
                <w:color w:val="000000"/>
                <w:kern w:val="0"/>
                <w:sz w:val="36"/>
                <w:szCs w:val="36"/>
                <w:lang w:val="en-US" w:eastAsia="zh-CN" w:bidi="ar"/>
              </w:rPr>
            </w:pPr>
            <w:r>
              <w:rPr>
                <w:rFonts w:hint="eastAsia" w:ascii="宋体" w:hAnsi="宋体" w:cs="宋体"/>
                <w:color w:val="000000"/>
                <w:kern w:val="0"/>
                <w:sz w:val="36"/>
                <w:szCs w:val="36"/>
                <w:lang w:bidi="ar"/>
              </w:rPr>
              <w:t>重庆高速</w:t>
            </w:r>
            <w:r>
              <w:rPr>
                <w:rFonts w:hint="eastAsia" w:ascii="宋体" w:hAnsi="宋体" w:cs="宋体"/>
                <w:color w:val="000000"/>
                <w:kern w:val="0"/>
                <w:sz w:val="36"/>
                <w:szCs w:val="36"/>
                <w:lang w:val="en-US" w:eastAsia="zh-CN" w:bidi="ar"/>
              </w:rPr>
              <w:t>公路</w:t>
            </w:r>
            <w:r>
              <w:rPr>
                <w:rFonts w:hint="eastAsia" w:ascii="宋体" w:hAnsi="宋体" w:cs="宋体"/>
                <w:color w:val="000000"/>
                <w:kern w:val="0"/>
                <w:sz w:val="36"/>
                <w:szCs w:val="36"/>
                <w:lang w:eastAsia="zh-CN" w:bidi="ar"/>
              </w:rPr>
              <w:t>集团</w:t>
            </w:r>
            <w:r>
              <w:rPr>
                <w:rFonts w:hint="eastAsia" w:ascii="宋体" w:hAnsi="宋体" w:cs="宋体"/>
                <w:color w:val="000000"/>
                <w:kern w:val="0"/>
                <w:sz w:val="36"/>
                <w:szCs w:val="36"/>
                <w:lang w:val="en-US" w:eastAsia="zh-CN" w:bidi="ar"/>
              </w:rPr>
              <w:t>有限公司</w:t>
            </w:r>
            <w:r>
              <w:rPr>
                <w:rFonts w:hint="eastAsia" w:ascii="宋体" w:hAnsi="宋体" w:cs="宋体"/>
                <w:color w:val="000000"/>
                <w:kern w:val="0"/>
                <w:sz w:val="36"/>
                <w:szCs w:val="36"/>
                <w:lang w:bidi="ar"/>
              </w:rPr>
              <w:t>东南营运分公司</w:t>
            </w:r>
          </w:p>
          <w:p>
            <w:pPr>
              <w:widowControl/>
              <w:jc w:val="center"/>
              <w:textAlignment w:val="center"/>
              <w:rPr>
                <w:rFonts w:ascii="宋体" w:hAnsi="宋体" w:cs="宋体"/>
                <w:kern w:val="0"/>
                <w:sz w:val="36"/>
                <w:szCs w:val="36"/>
              </w:rPr>
            </w:pPr>
            <w:r>
              <w:rPr>
                <w:rFonts w:hint="eastAsia" w:ascii="宋体" w:hAnsi="宋体" w:cs="宋体"/>
                <w:color w:val="000000"/>
                <w:kern w:val="0"/>
                <w:sz w:val="36"/>
                <w:szCs w:val="36"/>
                <w:lang w:bidi="ar"/>
              </w:rPr>
              <w:t>服务区</w:t>
            </w:r>
            <w:r>
              <w:rPr>
                <w:rFonts w:hint="eastAsia" w:ascii="宋体" w:hAnsi="宋体" w:cs="宋体"/>
                <w:color w:val="000000"/>
                <w:kern w:val="0"/>
                <w:sz w:val="36"/>
                <w:szCs w:val="36"/>
                <w:lang w:val="en-US" w:eastAsia="zh-CN" w:bidi="ar"/>
              </w:rPr>
              <w:t>生活垃圾清运处置服务</w:t>
            </w:r>
            <w:r>
              <w:rPr>
                <w:rFonts w:hint="eastAsia" w:ascii="宋体" w:hAnsi="宋体" w:cs="宋体"/>
                <w:color w:val="000000"/>
                <w:kern w:val="0"/>
                <w:sz w:val="36"/>
                <w:szCs w:val="36"/>
                <w:lang w:eastAsia="zh-CN" w:bidi="ar"/>
              </w:rPr>
              <w:t>项目</w:t>
            </w:r>
            <w:r>
              <w:rPr>
                <w:rFonts w:hint="eastAsia" w:ascii="宋体" w:hAnsi="宋体" w:cs="宋体"/>
                <w:color w:val="000000"/>
                <w:kern w:val="0"/>
                <w:sz w:val="36"/>
                <w:szCs w:val="36"/>
                <w:lang w:bidi="ar"/>
              </w:rPr>
              <w:t>报价表</w:t>
            </w:r>
          </w:p>
        </w:tc>
      </w:tr>
      <w:tr>
        <w:tblPrEx>
          <w:tblLayout w:type="fixed"/>
          <w:tblCellMar>
            <w:top w:w="0" w:type="dxa"/>
            <w:left w:w="108" w:type="dxa"/>
            <w:bottom w:w="0" w:type="dxa"/>
            <w:right w:w="108" w:type="dxa"/>
          </w:tblCellMar>
        </w:tblPrEx>
        <w:trPr>
          <w:trHeight w:val="690" w:hRule="atLeast"/>
          <w:jc w:val="center"/>
        </w:trPr>
        <w:tc>
          <w:tcPr>
            <w:tcW w:w="4844" w:type="dxa"/>
            <w:gridSpan w:val="2"/>
            <w:tcBorders>
              <w:top w:val="nil"/>
              <w:left w:val="nil"/>
              <w:bottom w:val="single" w:color="auto" w:sz="4" w:space="0"/>
              <w:right w:val="nil"/>
            </w:tcBorders>
            <w:vAlign w:val="center"/>
          </w:tcPr>
          <w:p>
            <w:pPr>
              <w:jc w:val="left"/>
              <w:rPr>
                <w:rFonts w:ascii="宋体" w:hAnsi="宋体" w:cs="宋体"/>
                <w:kern w:val="0"/>
                <w:sz w:val="24"/>
              </w:rPr>
            </w:pPr>
          </w:p>
        </w:tc>
        <w:tc>
          <w:tcPr>
            <w:tcW w:w="3202" w:type="dxa"/>
            <w:gridSpan w:val="2"/>
            <w:tcBorders>
              <w:top w:val="nil"/>
              <w:left w:val="nil"/>
              <w:bottom w:val="single" w:color="auto" w:sz="4" w:space="0"/>
              <w:right w:val="nil"/>
            </w:tcBorders>
            <w:vAlign w:val="center"/>
          </w:tcPr>
          <w:p>
            <w:pPr>
              <w:jc w:val="left"/>
              <w:rPr>
                <w:rFonts w:ascii="宋体" w:hAnsi="宋体" w:cs="宋体"/>
                <w:kern w:val="0"/>
                <w:sz w:val="24"/>
              </w:rPr>
            </w:pPr>
          </w:p>
        </w:tc>
        <w:tc>
          <w:tcPr>
            <w:tcW w:w="1583" w:type="dxa"/>
            <w:tcBorders>
              <w:top w:val="nil"/>
              <w:left w:val="nil"/>
              <w:bottom w:val="single" w:color="auto" w:sz="4" w:space="0"/>
              <w:right w:val="nil"/>
            </w:tcBorders>
            <w:vAlign w:val="center"/>
          </w:tcPr>
          <w:p>
            <w:pPr>
              <w:widowControl/>
              <w:jc w:val="right"/>
              <w:textAlignment w:val="center"/>
              <w:rPr>
                <w:rFonts w:hint="eastAsia"/>
              </w:rPr>
            </w:pPr>
            <w:r>
              <w:rPr>
                <w:rFonts w:hint="eastAsia"/>
              </w:rPr>
              <w:t>单位：元</w:t>
            </w:r>
          </w:p>
          <w:p>
            <w:pPr>
              <w:pStyle w:val="2"/>
              <w:rPr>
                <w:rFonts w:hint="eastAsia"/>
              </w:rPr>
            </w:pPr>
          </w:p>
          <w:p/>
        </w:tc>
      </w:tr>
      <w:tr>
        <w:tblPrEx>
          <w:tblLayout w:type="fixed"/>
          <w:tblCellMar>
            <w:top w:w="0" w:type="dxa"/>
            <w:left w:w="108" w:type="dxa"/>
            <w:bottom w:w="0" w:type="dxa"/>
            <w:right w:w="108" w:type="dxa"/>
          </w:tblCellMar>
        </w:tblPrEx>
        <w:trPr>
          <w:trHeight w:val="660" w:hRule="atLeast"/>
          <w:jc w:val="center"/>
        </w:trPr>
        <w:tc>
          <w:tcPr>
            <w:tcW w:w="31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服务内容</w:t>
            </w:r>
          </w:p>
        </w:tc>
        <w:tc>
          <w:tcPr>
            <w:tcW w:w="1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kern w:val="0"/>
                <w:sz w:val="28"/>
                <w:szCs w:val="28"/>
              </w:rPr>
            </w:pPr>
            <w:r>
              <w:rPr>
                <w:rFonts w:hint="eastAsia" w:ascii="宋体" w:hAnsi="宋体" w:cs="宋体"/>
                <w:color w:val="000000"/>
                <w:kern w:val="0"/>
                <w:sz w:val="28"/>
                <w:szCs w:val="28"/>
                <w:lang w:bidi="ar"/>
              </w:rPr>
              <w:t>上限价</w:t>
            </w:r>
          </w:p>
        </w:tc>
        <w:tc>
          <w:tcPr>
            <w:tcW w:w="252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8"/>
                <w:szCs w:val="28"/>
              </w:rPr>
            </w:pPr>
            <w:r>
              <w:rPr>
                <w:rFonts w:hint="eastAsia" w:ascii="宋体" w:hAnsi="宋体" w:cs="宋体"/>
                <w:kern w:val="0"/>
                <w:sz w:val="28"/>
                <w:szCs w:val="28"/>
              </w:rPr>
              <w:t>投标价</w:t>
            </w:r>
          </w:p>
        </w:tc>
        <w:tc>
          <w:tcPr>
            <w:tcW w:w="2264" w:type="dxa"/>
            <w:gridSpan w:val="2"/>
            <w:tcBorders>
              <w:top w:val="nil"/>
              <w:left w:val="nil"/>
              <w:bottom w:val="single" w:color="auto" w:sz="4" w:space="0"/>
              <w:right w:val="single" w:color="auto" w:sz="4" w:space="0"/>
            </w:tcBorders>
            <w:vAlign w:val="center"/>
          </w:tcPr>
          <w:p>
            <w:pPr>
              <w:widowControl/>
              <w:jc w:val="center"/>
              <w:textAlignment w:val="center"/>
            </w:pPr>
            <w:r>
              <w:rPr>
                <w:rFonts w:hint="eastAsia" w:ascii="宋体" w:hAnsi="宋体" w:cs="宋体"/>
                <w:color w:val="000000"/>
                <w:kern w:val="0"/>
                <w:sz w:val="28"/>
                <w:szCs w:val="28"/>
                <w:lang w:bidi="ar"/>
              </w:rPr>
              <w:t>备注</w:t>
            </w:r>
          </w:p>
        </w:tc>
      </w:tr>
      <w:tr>
        <w:tblPrEx>
          <w:tblLayout w:type="fixed"/>
          <w:tblCellMar>
            <w:top w:w="0" w:type="dxa"/>
            <w:left w:w="108" w:type="dxa"/>
            <w:bottom w:w="0" w:type="dxa"/>
            <w:right w:w="108" w:type="dxa"/>
          </w:tblCellMar>
        </w:tblPrEx>
        <w:trPr>
          <w:trHeight w:val="660" w:hRule="atLeast"/>
          <w:jc w:val="center"/>
        </w:trPr>
        <w:tc>
          <w:tcPr>
            <w:tcW w:w="312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28"/>
                <w:szCs w:val="28"/>
              </w:rPr>
            </w:pPr>
            <w:r>
              <w:rPr>
                <w:rFonts w:hint="eastAsia" w:ascii="宋体" w:hAnsi="宋体" w:cs="宋体"/>
                <w:color w:val="000000"/>
                <w:kern w:val="0"/>
                <w:sz w:val="28"/>
                <w:szCs w:val="28"/>
                <w:lang w:val="en-US" w:eastAsia="zh-CN" w:bidi="ar"/>
              </w:rPr>
              <w:t>生活</w:t>
            </w:r>
            <w:r>
              <w:rPr>
                <w:rFonts w:hint="eastAsia" w:ascii="宋体" w:hAnsi="宋体" w:cs="宋体"/>
                <w:color w:val="000000"/>
                <w:kern w:val="0"/>
                <w:sz w:val="28"/>
                <w:szCs w:val="28"/>
                <w:lang w:bidi="ar"/>
              </w:rPr>
              <w:t>垃圾清运处置</w:t>
            </w:r>
            <w:r>
              <w:rPr>
                <w:rFonts w:hint="eastAsia" w:ascii="宋体" w:hAnsi="宋体" w:cs="宋体"/>
                <w:color w:val="000000"/>
                <w:kern w:val="0"/>
                <w:sz w:val="28"/>
                <w:szCs w:val="28"/>
                <w:lang w:eastAsia="zh-CN" w:bidi="ar"/>
              </w:rPr>
              <w:t>服务</w:t>
            </w:r>
          </w:p>
        </w:tc>
        <w:tc>
          <w:tcPr>
            <w:tcW w:w="1719" w:type="dxa"/>
            <w:tcBorders>
              <w:top w:val="nil"/>
              <w:left w:val="nil"/>
              <w:bottom w:val="single" w:color="auto" w:sz="4" w:space="0"/>
              <w:right w:val="single" w:color="auto" w:sz="4" w:space="0"/>
            </w:tcBorders>
            <w:vAlign w:val="center"/>
          </w:tcPr>
          <w:p>
            <w:pPr>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73800</w:t>
            </w:r>
          </w:p>
        </w:tc>
        <w:tc>
          <w:tcPr>
            <w:tcW w:w="2521" w:type="dxa"/>
            <w:tcBorders>
              <w:top w:val="nil"/>
              <w:left w:val="nil"/>
              <w:bottom w:val="single" w:color="auto" w:sz="4" w:space="0"/>
              <w:right w:val="single" w:color="auto" w:sz="4" w:space="0"/>
            </w:tcBorders>
            <w:vAlign w:val="center"/>
          </w:tcPr>
          <w:p>
            <w:pPr>
              <w:rPr>
                <w:rFonts w:hint="eastAsia" w:ascii="宋体" w:hAnsi="宋体" w:cs="宋体"/>
                <w:kern w:val="0"/>
                <w:sz w:val="24"/>
              </w:rPr>
            </w:pPr>
          </w:p>
        </w:tc>
        <w:tc>
          <w:tcPr>
            <w:tcW w:w="2264" w:type="dxa"/>
            <w:gridSpan w:val="2"/>
            <w:tcBorders>
              <w:top w:val="nil"/>
              <w:left w:val="nil"/>
              <w:bottom w:val="single" w:color="auto" w:sz="4" w:space="0"/>
              <w:right w:val="single" w:color="auto" w:sz="4" w:space="0"/>
            </w:tcBorders>
            <w:vAlign w:val="center"/>
          </w:tcPr>
          <w:p/>
        </w:tc>
      </w:tr>
      <w:tr>
        <w:tblPrEx>
          <w:tblLayout w:type="fixed"/>
          <w:tblCellMar>
            <w:top w:w="0" w:type="dxa"/>
            <w:left w:w="108" w:type="dxa"/>
            <w:bottom w:w="0" w:type="dxa"/>
            <w:right w:w="108" w:type="dxa"/>
          </w:tblCellMar>
        </w:tblPrEx>
        <w:trPr>
          <w:trHeight w:val="660" w:hRule="atLeast"/>
          <w:jc w:val="center"/>
        </w:trPr>
        <w:tc>
          <w:tcPr>
            <w:tcW w:w="312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eastAsia="zh-CN" w:bidi="ar"/>
              </w:rPr>
              <w:t>合计</w:t>
            </w:r>
          </w:p>
        </w:tc>
        <w:tc>
          <w:tcPr>
            <w:tcW w:w="1719"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73800</w:t>
            </w:r>
          </w:p>
        </w:tc>
        <w:tc>
          <w:tcPr>
            <w:tcW w:w="2521" w:type="dxa"/>
            <w:tcBorders>
              <w:top w:val="nil"/>
              <w:left w:val="nil"/>
              <w:bottom w:val="single" w:color="auto" w:sz="4" w:space="0"/>
              <w:right w:val="single" w:color="auto" w:sz="4" w:space="0"/>
            </w:tcBorders>
            <w:vAlign w:val="center"/>
          </w:tcPr>
          <w:p>
            <w:pPr>
              <w:rPr>
                <w:rFonts w:hint="eastAsia" w:ascii="宋体" w:hAnsi="宋体" w:cs="宋体"/>
                <w:kern w:val="0"/>
                <w:sz w:val="24"/>
              </w:rPr>
            </w:pPr>
          </w:p>
        </w:tc>
        <w:tc>
          <w:tcPr>
            <w:tcW w:w="2264" w:type="dxa"/>
            <w:gridSpan w:val="2"/>
            <w:tcBorders>
              <w:top w:val="nil"/>
              <w:left w:val="nil"/>
              <w:bottom w:val="single" w:color="auto" w:sz="4" w:space="0"/>
              <w:right w:val="single" w:color="auto" w:sz="4" w:space="0"/>
            </w:tcBorders>
            <w:vAlign w:val="center"/>
          </w:tcPr>
          <w:p/>
        </w:tc>
      </w:tr>
      <w:tr>
        <w:tblPrEx>
          <w:tblLayout w:type="fixed"/>
          <w:tblCellMar>
            <w:top w:w="0" w:type="dxa"/>
            <w:left w:w="108" w:type="dxa"/>
            <w:bottom w:w="0" w:type="dxa"/>
            <w:right w:w="108" w:type="dxa"/>
          </w:tblCellMar>
        </w:tblPrEx>
        <w:trPr>
          <w:trHeight w:val="1888" w:hRule="atLeast"/>
          <w:jc w:val="center"/>
        </w:trPr>
        <w:tc>
          <w:tcPr>
            <w:tcW w:w="9629" w:type="dxa"/>
            <w:gridSpan w:val="5"/>
            <w:tcBorders>
              <w:top w:val="single" w:color="auto" w:sz="4" w:space="0"/>
              <w:left w:val="nil"/>
              <w:bottom w:val="nil"/>
              <w:right w:val="nil"/>
            </w:tcBorders>
            <w:vAlign w:val="center"/>
          </w:tcPr>
          <w:p>
            <w:pPr>
              <w:widowControl/>
              <w:jc w:val="both"/>
              <w:textAlignment w:val="center"/>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bidi="ar"/>
              </w:rPr>
              <w:t>注：1、</w:t>
            </w:r>
            <w:r>
              <w:rPr>
                <w:rFonts w:hint="eastAsia" w:ascii="宋体" w:hAnsi="宋体" w:cs="宋体"/>
                <w:color w:val="000000"/>
                <w:kern w:val="0"/>
                <w:sz w:val="28"/>
                <w:szCs w:val="28"/>
                <w:lang w:eastAsia="zh-CN" w:bidi="ar"/>
              </w:rPr>
              <w:t>投标人必须对</w:t>
            </w:r>
            <w:r>
              <w:rPr>
                <w:rFonts w:hint="eastAsia" w:ascii="宋体" w:hAnsi="宋体" w:cs="宋体"/>
                <w:color w:val="000000"/>
                <w:kern w:val="0"/>
                <w:sz w:val="28"/>
                <w:szCs w:val="28"/>
                <w:lang w:val="en-US" w:eastAsia="zh-CN" w:bidi="ar"/>
              </w:rPr>
              <w:t>生活</w:t>
            </w:r>
            <w:r>
              <w:rPr>
                <w:rFonts w:hint="eastAsia" w:ascii="宋体" w:hAnsi="宋体" w:cs="宋体"/>
                <w:color w:val="000000"/>
                <w:kern w:val="0"/>
                <w:sz w:val="28"/>
                <w:szCs w:val="28"/>
                <w:lang w:eastAsia="zh-CN" w:bidi="ar"/>
              </w:rPr>
              <w:t>垃圾清运处置服务进行报价。</w:t>
            </w:r>
          </w:p>
          <w:p>
            <w:pPr>
              <w:widowControl/>
              <w:ind w:firstLine="560" w:firstLineChars="200"/>
              <w:jc w:val="both"/>
              <w:textAlignment w:val="center"/>
              <w:rPr>
                <w:rFonts w:hint="eastAsia" w:ascii="宋体" w:hAnsi="宋体" w:cs="宋体"/>
                <w:color w:val="000000"/>
                <w:kern w:val="0"/>
                <w:sz w:val="28"/>
                <w:szCs w:val="28"/>
                <w:highlight w:val="none"/>
                <w:lang w:val="en-US" w:eastAsia="zh-CN" w:bidi="ar"/>
              </w:rPr>
            </w:pPr>
            <w:r>
              <w:rPr>
                <w:rFonts w:hint="eastAsia" w:ascii="宋体" w:hAnsi="宋体" w:cs="宋体"/>
                <w:color w:val="000000"/>
                <w:kern w:val="0"/>
                <w:sz w:val="28"/>
                <w:szCs w:val="28"/>
                <w:lang w:val="en-US" w:eastAsia="zh-CN" w:bidi="ar"/>
              </w:rPr>
              <w:t>2、</w:t>
            </w:r>
            <w:r>
              <w:rPr>
                <w:rFonts w:hint="eastAsia" w:ascii="宋体" w:hAnsi="宋体" w:cs="宋体"/>
                <w:color w:val="000000"/>
                <w:kern w:val="0"/>
                <w:sz w:val="28"/>
                <w:szCs w:val="28"/>
                <w:highlight w:val="none"/>
                <w:lang w:eastAsia="zh-CN" w:bidi="ar"/>
              </w:rPr>
              <w:t>综合投标价（</w:t>
            </w:r>
            <w:r>
              <w:rPr>
                <w:rFonts w:hint="eastAsia" w:ascii="宋体" w:hAnsi="宋体" w:cs="宋体"/>
                <w:color w:val="000000"/>
                <w:kern w:val="0"/>
                <w:sz w:val="28"/>
                <w:szCs w:val="28"/>
                <w:highlight w:val="none"/>
                <w:lang w:val="en-US" w:eastAsia="zh-CN" w:bidi="ar"/>
              </w:rPr>
              <w:t>生活</w:t>
            </w:r>
            <w:r>
              <w:rPr>
                <w:rFonts w:hint="eastAsia" w:ascii="宋体" w:hAnsi="宋体" w:cs="宋体"/>
                <w:color w:val="000000"/>
                <w:kern w:val="0"/>
                <w:sz w:val="28"/>
                <w:szCs w:val="28"/>
                <w:highlight w:val="none"/>
                <w:lang w:eastAsia="zh-CN" w:bidi="ar"/>
              </w:rPr>
              <w:t>垃圾清运处置服务）</w:t>
            </w:r>
            <w:r>
              <w:rPr>
                <w:rFonts w:hint="eastAsia" w:ascii="宋体" w:hAnsi="宋体" w:cs="宋体"/>
                <w:color w:val="000000"/>
                <w:kern w:val="0"/>
                <w:sz w:val="28"/>
                <w:szCs w:val="28"/>
                <w:highlight w:val="none"/>
                <w:lang w:bidi="ar"/>
              </w:rPr>
              <w:t>超过上限价</w:t>
            </w:r>
            <w:r>
              <w:rPr>
                <w:rFonts w:hint="eastAsia" w:ascii="宋体" w:hAnsi="宋体" w:cs="宋体"/>
                <w:color w:val="000000"/>
                <w:kern w:val="0"/>
                <w:sz w:val="28"/>
                <w:szCs w:val="28"/>
                <w:highlight w:val="none"/>
                <w:lang w:eastAsia="zh-CN" w:bidi="ar"/>
              </w:rPr>
              <w:t>均</w:t>
            </w:r>
            <w:r>
              <w:rPr>
                <w:rFonts w:hint="eastAsia" w:ascii="宋体" w:hAnsi="宋体" w:cs="宋体"/>
                <w:color w:val="000000"/>
                <w:kern w:val="0"/>
                <w:sz w:val="28"/>
                <w:szCs w:val="28"/>
                <w:highlight w:val="none"/>
                <w:lang w:bidi="ar"/>
              </w:rPr>
              <w:t>作为废标处理</w:t>
            </w:r>
            <w:r>
              <w:rPr>
                <w:rFonts w:hint="eastAsia" w:ascii="宋体" w:hAnsi="宋体" w:cs="宋体"/>
                <w:color w:val="000000"/>
                <w:kern w:val="0"/>
                <w:sz w:val="28"/>
                <w:szCs w:val="28"/>
                <w:highlight w:val="none"/>
                <w:lang w:eastAsia="zh-CN" w:bidi="ar"/>
              </w:rPr>
              <w:t>。</w:t>
            </w:r>
          </w:p>
          <w:p>
            <w:pPr>
              <w:widowControl/>
              <w:jc w:val="both"/>
              <w:textAlignment w:val="center"/>
              <w:rPr>
                <w:rFonts w:hint="eastAsia"/>
              </w:rPr>
            </w:pPr>
            <w:r>
              <w:rPr>
                <w:rFonts w:hint="eastAsia" w:ascii="宋体" w:hAnsi="宋体" w:cs="宋体"/>
                <w:color w:val="000000"/>
                <w:kern w:val="0"/>
                <w:sz w:val="28"/>
                <w:szCs w:val="28"/>
                <w:highlight w:val="none"/>
                <w:lang w:bidi="ar"/>
              </w:rPr>
              <w:t xml:space="preserve"> </w:t>
            </w:r>
            <w:r>
              <w:rPr>
                <w:rFonts w:ascii="宋体" w:hAnsi="宋体" w:cs="宋体"/>
                <w:color w:val="000000"/>
                <w:kern w:val="0"/>
                <w:sz w:val="28"/>
                <w:szCs w:val="28"/>
                <w:highlight w:val="none"/>
                <w:lang w:bidi="ar"/>
              </w:rPr>
              <w:t xml:space="preserve">  </w:t>
            </w:r>
            <w:r>
              <w:rPr>
                <w:rFonts w:hint="eastAsia" w:ascii="宋体" w:hAnsi="宋体" w:cs="宋体"/>
                <w:color w:val="000000"/>
                <w:kern w:val="0"/>
                <w:sz w:val="28"/>
                <w:szCs w:val="28"/>
                <w:highlight w:val="none"/>
                <w:lang w:val="en-US" w:eastAsia="zh-CN" w:bidi="ar"/>
              </w:rPr>
              <w:t xml:space="preserve"> </w:t>
            </w:r>
            <w:r>
              <w:rPr>
                <w:rFonts w:hint="eastAsia" w:ascii="宋体" w:hAnsi="宋体" w:cs="宋体"/>
                <w:color w:val="000000"/>
                <w:kern w:val="0"/>
                <w:sz w:val="28"/>
                <w:szCs w:val="28"/>
                <w:highlight w:val="none"/>
                <w:lang w:bidi="ar"/>
              </w:rPr>
              <w:t>3、</w:t>
            </w:r>
            <w:r>
              <w:rPr>
                <w:rFonts w:hint="eastAsia" w:ascii="宋体" w:hAnsi="宋体" w:cs="宋体"/>
                <w:color w:val="000000"/>
                <w:kern w:val="0"/>
                <w:sz w:val="28"/>
                <w:szCs w:val="28"/>
                <w:highlight w:val="none"/>
                <w:lang w:eastAsia="zh-CN" w:bidi="ar"/>
              </w:rPr>
              <w:t>最低综合报价（</w:t>
            </w:r>
            <w:r>
              <w:rPr>
                <w:rFonts w:hint="eastAsia" w:ascii="宋体" w:hAnsi="宋体" w:cs="宋体"/>
                <w:color w:val="000000"/>
                <w:kern w:val="0"/>
                <w:sz w:val="28"/>
                <w:szCs w:val="28"/>
                <w:highlight w:val="none"/>
                <w:lang w:val="en-US" w:eastAsia="zh-CN" w:bidi="ar"/>
              </w:rPr>
              <w:t>生活</w:t>
            </w:r>
            <w:r>
              <w:rPr>
                <w:rFonts w:hint="eastAsia" w:ascii="宋体" w:hAnsi="宋体" w:cs="宋体"/>
                <w:color w:val="000000"/>
                <w:kern w:val="0"/>
                <w:sz w:val="28"/>
                <w:szCs w:val="28"/>
                <w:highlight w:val="none"/>
                <w:lang w:eastAsia="zh-CN" w:bidi="ar"/>
              </w:rPr>
              <w:t>垃圾清运处置服务价格最低的）</w:t>
            </w:r>
            <w:r>
              <w:rPr>
                <w:rFonts w:hint="eastAsia" w:ascii="宋体" w:hAnsi="宋体" w:cs="宋体"/>
                <w:color w:val="000000"/>
                <w:kern w:val="0"/>
                <w:sz w:val="28"/>
                <w:szCs w:val="28"/>
                <w:highlight w:val="none"/>
                <w:lang w:val="en-US" w:eastAsia="zh-CN" w:bidi="ar"/>
              </w:rPr>
              <w:t>拟</w:t>
            </w:r>
            <w:r>
              <w:rPr>
                <w:rFonts w:hint="eastAsia" w:ascii="宋体" w:hAnsi="宋体" w:cs="宋体"/>
                <w:color w:val="000000"/>
                <w:kern w:val="0"/>
                <w:sz w:val="28"/>
                <w:szCs w:val="28"/>
                <w:highlight w:val="none"/>
                <w:lang w:eastAsia="zh-CN" w:bidi="ar"/>
              </w:rPr>
              <w:t>为中标价</w:t>
            </w:r>
            <w:r>
              <w:rPr>
                <w:rFonts w:hint="eastAsia" w:ascii="宋体" w:hAnsi="宋体" w:cs="宋体"/>
                <w:color w:val="000000"/>
                <w:kern w:val="0"/>
                <w:sz w:val="28"/>
                <w:szCs w:val="28"/>
                <w:lang w:bidi="ar"/>
              </w:rPr>
              <w:t>。</w:t>
            </w:r>
          </w:p>
        </w:tc>
      </w:tr>
      <w:tr>
        <w:tblPrEx>
          <w:tblLayout w:type="fixed"/>
          <w:tblCellMar>
            <w:top w:w="0" w:type="dxa"/>
            <w:left w:w="108" w:type="dxa"/>
            <w:bottom w:w="0" w:type="dxa"/>
            <w:right w:w="108" w:type="dxa"/>
          </w:tblCellMar>
        </w:tblPrEx>
        <w:trPr>
          <w:trHeight w:val="1725" w:hRule="atLeast"/>
          <w:jc w:val="center"/>
        </w:trPr>
        <w:tc>
          <w:tcPr>
            <w:tcW w:w="9629" w:type="dxa"/>
            <w:gridSpan w:val="5"/>
            <w:tcBorders>
              <w:top w:val="nil"/>
              <w:left w:val="nil"/>
              <w:bottom w:val="nil"/>
              <w:right w:val="nil"/>
            </w:tcBorders>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                    </w:t>
            </w:r>
          </w:p>
          <w:p>
            <w:pPr>
              <w:widowControl/>
              <w:jc w:val="both"/>
              <w:textAlignment w:val="center"/>
              <w:rPr>
                <w:rFonts w:hint="eastAsia" w:ascii="宋体" w:hAnsi="宋体" w:cs="宋体"/>
                <w:color w:val="000000"/>
                <w:kern w:val="0"/>
                <w:sz w:val="28"/>
                <w:szCs w:val="28"/>
                <w:lang w:bidi="ar"/>
              </w:rPr>
            </w:pPr>
          </w:p>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报价单位：（盖章）</w:t>
            </w:r>
          </w:p>
        </w:tc>
      </w:tr>
      <w:tr>
        <w:tblPrEx>
          <w:tblLayout w:type="fixed"/>
          <w:tblCellMar>
            <w:top w:w="0" w:type="dxa"/>
            <w:left w:w="108" w:type="dxa"/>
            <w:bottom w:w="0" w:type="dxa"/>
            <w:right w:w="108" w:type="dxa"/>
          </w:tblCellMar>
        </w:tblPrEx>
        <w:trPr>
          <w:trHeight w:val="1016" w:hRule="atLeast"/>
          <w:jc w:val="center"/>
        </w:trPr>
        <w:tc>
          <w:tcPr>
            <w:tcW w:w="9629" w:type="dxa"/>
            <w:gridSpan w:val="5"/>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报价单位负责人（或委托代理人）：</w:t>
            </w:r>
          </w:p>
        </w:tc>
      </w:tr>
      <w:tr>
        <w:tblPrEx>
          <w:tblLayout w:type="fixed"/>
          <w:tblCellMar>
            <w:top w:w="0" w:type="dxa"/>
            <w:left w:w="108" w:type="dxa"/>
            <w:bottom w:w="0" w:type="dxa"/>
            <w:right w:w="108" w:type="dxa"/>
          </w:tblCellMar>
        </w:tblPrEx>
        <w:trPr>
          <w:trHeight w:val="1725" w:hRule="atLeast"/>
          <w:jc w:val="center"/>
        </w:trPr>
        <w:tc>
          <w:tcPr>
            <w:tcW w:w="9629" w:type="dxa"/>
            <w:gridSpan w:val="5"/>
            <w:vAlign w:val="center"/>
          </w:tcPr>
          <w:p>
            <w:pPr>
              <w:widowControl/>
              <w:jc w:val="center"/>
              <w:textAlignment w:val="center"/>
              <w:rPr>
                <w:rFonts w:ascii="宋体" w:hAnsi="宋体" w:cs="宋体"/>
                <w:kern w:val="0"/>
                <w:sz w:val="28"/>
                <w:szCs w:val="28"/>
              </w:rPr>
            </w:pPr>
            <w:r>
              <w:rPr>
                <w:rFonts w:hint="eastAsia" w:ascii="宋体" w:hAnsi="宋体" w:cs="宋体"/>
                <w:color w:val="000000"/>
                <w:kern w:val="0"/>
                <w:sz w:val="28"/>
                <w:szCs w:val="28"/>
                <w:lang w:bidi="ar"/>
              </w:rPr>
              <w:t xml:space="preserve">                 年   月   日</w:t>
            </w:r>
          </w:p>
        </w:tc>
      </w:tr>
    </w:tbl>
    <w:p>
      <w:pPr>
        <w:spacing w:line="360" w:lineRule="auto"/>
        <w:ind w:right="40"/>
        <w:rPr>
          <w:rFonts w:hint="eastAsia" w:ascii="宋体" w:hAnsi="宋体"/>
          <w:color w:val="000000"/>
          <w:sz w:val="24"/>
        </w:rPr>
      </w:pPr>
    </w:p>
    <w:p>
      <w:pPr>
        <w:rPr>
          <w:rFonts w:hint="eastAsia" w:ascii="仿宋_GB2312" w:eastAsia="仿宋_GB2312"/>
          <w:b/>
          <w:sz w:val="32"/>
          <w:szCs w:val="32"/>
          <w:highlight w:val="none"/>
          <w:lang w:val="en-US" w:eastAsia="zh-CN"/>
        </w:rPr>
      </w:pPr>
    </w:p>
    <w:p>
      <w:pPr>
        <w:spacing w:line="360" w:lineRule="auto"/>
        <w:jc w:val="both"/>
        <w:rPr>
          <w:rFonts w:hint="eastAsia" w:ascii="仿宋_GB2312" w:eastAsia="仿宋_GB2312"/>
          <w:b/>
          <w:sz w:val="32"/>
          <w:szCs w:val="32"/>
          <w:highlight w:val="none"/>
          <w:lang w:eastAsia="zh-CN"/>
        </w:rPr>
      </w:pPr>
    </w:p>
    <w:p>
      <w:pPr>
        <w:spacing w:line="360" w:lineRule="auto"/>
        <w:jc w:val="both"/>
        <w:rPr>
          <w:rFonts w:hint="eastAsia" w:ascii="仿宋_GB2312" w:eastAsia="仿宋_GB2312"/>
          <w:b/>
          <w:sz w:val="32"/>
          <w:szCs w:val="32"/>
          <w:highlight w:val="none"/>
          <w:lang w:val="en-US" w:eastAsia="zh-CN"/>
        </w:rPr>
      </w:pPr>
      <w:r>
        <w:rPr>
          <w:rFonts w:hint="eastAsia" w:ascii="仿宋_GB2312" w:eastAsia="仿宋_GB2312"/>
          <w:b/>
          <w:sz w:val="32"/>
          <w:szCs w:val="32"/>
          <w:highlight w:val="none"/>
          <w:lang w:eastAsia="zh-CN"/>
        </w:rPr>
        <w:br w:type="textWrapping"/>
      </w:r>
      <w:r>
        <w:rPr>
          <w:rFonts w:hint="eastAsia" w:ascii="仿宋_GB2312" w:eastAsia="仿宋_GB2312"/>
          <w:b/>
          <w:sz w:val="32"/>
          <w:szCs w:val="32"/>
          <w:highlight w:val="none"/>
          <w:lang w:eastAsia="zh-CN"/>
        </w:rPr>
        <w:t>附件</w:t>
      </w:r>
      <w:r>
        <w:rPr>
          <w:rFonts w:hint="eastAsia" w:ascii="仿宋_GB2312" w:eastAsia="仿宋_GB2312"/>
          <w:b/>
          <w:sz w:val="32"/>
          <w:szCs w:val="32"/>
          <w:highlight w:val="none"/>
          <w:lang w:val="en-US" w:eastAsia="zh-CN"/>
        </w:rPr>
        <w:t>三：</w:t>
      </w:r>
    </w:p>
    <w:p>
      <w:pPr>
        <w:pStyle w:val="2"/>
        <w:rPr>
          <w:rFonts w:hint="eastAsia" w:ascii="仿宋_GB2312" w:eastAsia="仿宋_GB2312"/>
          <w:b/>
          <w:sz w:val="32"/>
          <w:szCs w:val="32"/>
          <w:highlight w:val="none"/>
          <w:lang w:val="en-US" w:eastAsia="zh-CN"/>
        </w:rPr>
      </w:pPr>
    </w:p>
    <w:p>
      <w:pPr>
        <w:rPr>
          <w:rFonts w:hint="eastAsia" w:ascii="仿宋_GB2312" w:eastAsia="仿宋_GB2312"/>
          <w:b/>
          <w:sz w:val="32"/>
          <w:szCs w:val="32"/>
          <w:highlight w:val="none"/>
          <w:lang w:val="en-US" w:eastAsia="zh-CN"/>
        </w:rPr>
      </w:pPr>
    </w:p>
    <w:p>
      <w:pPr>
        <w:pStyle w:val="2"/>
        <w:rPr>
          <w:rFonts w:hint="eastAsia"/>
          <w:lang w:eastAsia="zh-CN"/>
        </w:rPr>
      </w:pPr>
    </w:p>
    <w:p>
      <w:pPr>
        <w:spacing w:line="360" w:lineRule="auto"/>
        <w:ind w:firstLine="480" w:firstLineChars="200"/>
        <w:jc w:val="center"/>
        <w:rPr>
          <w:rFonts w:hint="eastAsia" w:ascii="宋体" w:hAnsi="宋体"/>
          <w:color w:val="000000"/>
          <w:sz w:val="24"/>
          <w:highlight w:val="none"/>
        </w:rPr>
      </w:pPr>
      <w:r>
        <w:rPr>
          <w:rFonts w:hint="eastAsia" w:ascii="宋体" w:hAnsi="宋体"/>
          <w:color w:val="000000"/>
          <w:sz w:val="24"/>
          <w:highlight w:val="none"/>
        </w:rPr>
        <w:t>法人代表授权书</w:t>
      </w:r>
    </w:p>
    <w:p>
      <w:pPr>
        <w:spacing w:line="360" w:lineRule="auto"/>
        <w:ind w:firstLine="480" w:firstLineChars="200"/>
        <w:rPr>
          <w:rFonts w:hint="eastAsia" w:ascii="宋体" w:hAnsi="宋体"/>
          <w:color w:val="000000"/>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olor w:val="000000"/>
          <w:sz w:val="24"/>
          <w:highlight w:val="none"/>
        </w:rPr>
      </w:pPr>
      <w:r>
        <w:rPr>
          <w:rFonts w:hint="eastAsia" w:ascii="宋体" w:hAnsi="宋体"/>
          <w:color w:val="000000"/>
          <w:sz w:val="24"/>
          <w:highlight w:val="none"/>
        </w:rPr>
        <w:t xml:space="preserve">本授权书声明：我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是</w:t>
      </w:r>
      <w:r>
        <w:rPr>
          <w:rFonts w:hint="eastAsia" w:ascii="宋体" w:hAnsi="宋体"/>
          <w:color w:val="000000"/>
          <w:sz w:val="24"/>
          <w:highlight w:val="none"/>
          <w:lang w:val="en-US" w:eastAsia="zh-CN"/>
        </w:rPr>
        <w:t xml:space="preserve">         </w:t>
      </w:r>
      <w:r>
        <w:rPr>
          <w:rFonts w:hint="eastAsia" w:ascii="宋体" w:hAnsi="宋体" w:eastAsia="宋体" w:cs="Times New Roman"/>
          <w:color w:val="000000"/>
          <w:sz w:val="24"/>
          <w:highlight w:val="none"/>
          <w:lang w:val="en-US" w:eastAsia="zh-CN"/>
        </w:rPr>
        <w:t xml:space="preserve">       </w:t>
      </w:r>
      <w:r>
        <w:rPr>
          <w:rFonts w:hint="eastAsia" w:ascii="宋体" w:hAnsi="宋体" w:eastAsia="宋体" w:cs="Times New Roman"/>
          <w:color w:val="000000"/>
          <w:sz w:val="24"/>
          <w:highlight w:val="none"/>
        </w:rPr>
        <w:t>公司的法人代表，现代表本单位授权     为本单位的合法代理人，就参加</w:t>
      </w:r>
      <w:r>
        <w:rPr>
          <w:rFonts w:hint="eastAsia" w:ascii="宋体" w:hAnsi="宋体" w:eastAsia="宋体" w:cs="Times New Roman"/>
          <w:color w:val="000000"/>
          <w:sz w:val="24"/>
          <w:highlight w:val="none"/>
          <w:lang w:val="en-US" w:eastAsia="zh-CN"/>
        </w:rPr>
        <w:t>2023年</w:t>
      </w:r>
      <w:r>
        <w:rPr>
          <w:rFonts w:hint="eastAsia" w:ascii="宋体" w:hAnsi="宋体" w:cs="Times New Roman"/>
          <w:color w:val="000000"/>
          <w:sz w:val="24"/>
          <w:highlight w:val="none"/>
          <w:lang w:val="en-US" w:eastAsia="zh-CN"/>
        </w:rPr>
        <w:t>酉阳</w:t>
      </w:r>
      <w:r>
        <w:rPr>
          <w:rFonts w:hint="eastAsia" w:ascii="宋体" w:hAnsi="宋体" w:eastAsia="宋体" w:cs="Times New Roman"/>
          <w:color w:val="000000"/>
          <w:sz w:val="24"/>
          <w:highlight w:val="none"/>
          <w:lang w:val="en-US" w:eastAsia="zh-CN"/>
        </w:rPr>
        <w:t>管理中心服务区生活垃圾清运处置项目的</w:t>
      </w:r>
      <w:r>
        <w:rPr>
          <w:rFonts w:hint="eastAsia" w:ascii="宋体" w:hAnsi="宋体" w:eastAsia="宋体" w:cs="Times New Roman"/>
          <w:color w:val="000000"/>
          <w:sz w:val="24"/>
          <w:highlight w:val="none"/>
        </w:rPr>
        <w:t>报价、合同的签订、合同的执行</w:t>
      </w:r>
      <w:r>
        <w:rPr>
          <w:rFonts w:hint="eastAsia" w:ascii="宋体" w:hAnsi="宋体"/>
          <w:color w:val="000000"/>
          <w:sz w:val="24"/>
          <w:highlight w:val="none"/>
        </w:rPr>
        <w:t>和后续服务，以及以本单位名义处理一起与之有关的事物。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本授权书于</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年</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月</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日签字盖章生效，特此声明。</w:t>
      </w:r>
    </w:p>
    <w:p>
      <w:pPr>
        <w:spacing w:line="360" w:lineRule="auto"/>
        <w:ind w:firstLine="480" w:firstLineChars="200"/>
        <w:rPr>
          <w:rFonts w:hint="eastAsia" w:ascii="宋体" w:hAnsi="宋体"/>
          <w:color w:val="000000"/>
          <w:sz w:val="24"/>
          <w:highlight w:val="none"/>
        </w:rPr>
      </w:pP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法人代表（签字盖章）：</w:t>
      </w:r>
    </w:p>
    <w:p>
      <w:pPr>
        <w:spacing w:line="360" w:lineRule="auto"/>
        <w:ind w:firstLine="480" w:firstLineChars="200"/>
        <w:rPr>
          <w:rFonts w:hint="eastAsia" w:ascii="宋体" w:hAnsi="宋体"/>
          <w:color w:val="000000"/>
          <w:sz w:val="24"/>
          <w:highlight w:val="none"/>
        </w:rPr>
      </w:pP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代理人（被授权人签字）：</w:t>
      </w:r>
    </w:p>
    <w:p>
      <w:pPr>
        <w:spacing w:line="360" w:lineRule="auto"/>
        <w:ind w:firstLine="480" w:firstLineChars="200"/>
        <w:rPr>
          <w:rFonts w:hint="eastAsia" w:ascii="宋体" w:hAnsi="宋体"/>
          <w:color w:val="000000"/>
          <w:sz w:val="24"/>
          <w:highlight w:val="none"/>
        </w:rPr>
      </w:pP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 xml:space="preserve">代理人身份证：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     </w:t>
      </w: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单位名称：</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     </w:t>
      </w:r>
    </w:p>
    <w:p>
      <w:pPr>
        <w:spacing w:line="360" w:lineRule="auto"/>
        <w:ind w:firstLine="4080" w:firstLineChars="1700"/>
        <w:rPr>
          <w:rFonts w:hint="eastAsia" w:ascii="宋体" w:hAnsi="宋体"/>
          <w:color w:val="000000"/>
          <w:sz w:val="24"/>
          <w:highlight w:val="none"/>
        </w:rPr>
      </w:pPr>
      <w:r>
        <w:rPr>
          <w:rFonts w:hint="eastAsia" w:ascii="宋体" w:hAnsi="宋体"/>
          <w:color w:val="000000"/>
          <w:sz w:val="24"/>
          <w:highlight w:val="none"/>
        </w:rPr>
        <w:t>日    期：</w:t>
      </w:r>
    </w:p>
    <w:p>
      <w:pPr>
        <w:spacing w:line="360" w:lineRule="auto"/>
        <w:rPr>
          <w:rFonts w:hint="eastAsia" w:ascii="宋体" w:hAnsi="宋体" w:eastAsia="宋体" w:cs="宋体"/>
          <w:sz w:val="30"/>
          <w:szCs w:val="30"/>
        </w:rPr>
      </w:pPr>
    </w:p>
    <w:p>
      <w:pPr>
        <w:spacing w:line="360" w:lineRule="auto"/>
        <w:ind w:right="40"/>
        <w:rPr>
          <w:rFonts w:hint="eastAsia" w:ascii="宋体" w:hAnsi="宋体"/>
          <w:color w:val="000000"/>
          <w:sz w:val="24"/>
        </w:rPr>
      </w:pPr>
    </w:p>
    <w:p/>
    <w:sectPr>
      <w:headerReference r:id="rId5" w:type="first"/>
      <w:footerReference r:id="rId8" w:type="first"/>
      <w:headerReference r:id="rId3" w:type="default"/>
      <w:footerReference r:id="rId6" w:type="default"/>
      <w:headerReference r:id="rId4" w:type="even"/>
      <w:footerReference r:id="rId7" w:type="even"/>
      <w:pgSz w:w="11906" w:h="16838"/>
      <w:pgMar w:top="567" w:right="1800" w:bottom="567" w:left="180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jA1NjkxZDJlMzUzMGIyYWRmZTVhOGMwNmI0NWYifQ=="/>
  </w:docVars>
  <w:rsids>
    <w:rsidRoot w:val="3B532B21"/>
    <w:rsid w:val="037E1D68"/>
    <w:rsid w:val="22441618"/>
    <w:rsid w:val="2C8815B4"/>
    <w:rsid w:val="3B532B21"/>
    <w:rsid w:val="4A2801B5"/>
    <w:rsid w:val="4B5A572B"/>
    <w:rsid w:val="51E06060"/>
    <w:rsid w:val="57BD3EF8"/>
    <w:rsid w:val="65E70BFD"/>
    <w:rsid w:val="77343E5D"/>
    <w:rsid w:val="7D4E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3141</Words>
  <Characters>3273</Characters>
  <Lines>0</Lines>
  <Paragraphs>0</Paragraphs>
  <TotalTime>184</TotalTime>
  <ScaleCrop>false</ScaleCrop>
  <LinksUpToDate>false</LinksUpToDate>
  <CharactersWithSpaces>3635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2023-04-07T03:33:00Z</dcterms:created>
  <dc:creator>bother</dc:creator>
  <cp:lastModifiedBy>假象1414155261</cp:lastModifiedBy>
  <dcterms:modified xsi:type="dcterms:W3CDTF">2023-04-07T07:36:55Z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F655C6E9EB2B4CD686151D4CBC3CD4F9_11</vt:lpwstr>
  </property>
</Properties>
</file>