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15"/>
        </w:tabs>
        <w:spacing w:line="360" w:lineRule="auto"/>
        <w:rPr>
          <w:rFonts w:asciiTheme="majorEastAsia" w:hAnsiTheme="majorEastAsia" w:eastAsiaTheme="majorEastAsia"/>
          <w:b/>
          <w:sz w:val="32"/>
          <w:szCs w:val="32"/>
          <w:u w:val="single"/>
        </w:rPr>
      </w:pPr>
    </w:p>
    <w:p>
      <w:pPr>
        <w:pStyle w:val="2"/>
        <w:rPr>
          <w:rFonts w:asciiTheme="majorEastAsia" w:hAnsiTheme="majorEastAsia" w:eastAsiaTheme="majorEastAsia"/>
          <w:b/>
          <w:sz w:val="32"/>
          <w:szCs w:val="32"/>
          <w:u w:val="single"/>
        </w:rPr>
      </w:pPr>
    </w:p>
    <w:p>
      <w:pPr>
        <w:pStyle w:val="2"/>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rPr>
      </w:pPr>
      <w:r>
        <w:rPr>
          <w:rFonts w:hint="eastAsia" w:asciiTheme="majorEastAsia" w:hAnsiTheme="majorEastAsia" w:eastAsiaTheme="majorEastAsia"/>
          <w:b/>
          <w:sz w:val="44"/>
          <w:szCs w:val="44"/>
        </w:rPr>
        <w:t>高升服务区室内装修工程</w:t>
      </w: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360" w:lineRule="auto"/>
        <w:jc w:val="center"/>
        <w:rPr>
          <w:rFonts w:asciiTheme="majorEastAsia" w:hAnsiTheme="majorEastAsia" w:eastAsiaTheme="majorEastAsia"/>
        </w:rPr>
      </w:pPr>
    </w:p>
    <w:p>
      <w:pPr>
        <w:spacing w:line="276" w:lineRule="auto"/>
        <w:jc w:val="center"/>
        <w:rPr>
          <w:rFonts w:asciiTheme="majorEastAsia" w:hAnsiTheme="majorEastAsia" w:eastAsiaTheme="majorEastAsia"/>
          <w:b/>
          <w:sz w:val="88"/>
          <w:szCs w:val="88"/>
        </w:rPr>
      </w:pPr>
      <w:r>
        <w:rPr>
          <w:rFonts w:hint="eastAsia" w:asciiTheme="majorEastAsia" w:hAnsiTheme="majorEastAsia" w:eastAsiaTheme="majorEastAsia"/>
          <w:b/>
          <w:sz w:val="88"/>
          <w:szCs w:val="88"/>
        </w:rPr>
        <w:t>竞争性比选文件</w:t>
      </w:r>
    </w:p>
    <w:p>
      <w:pPr>
        <w:snapToGrid w:val="0"/>
        <w:spacing w:line="360" w:lineRule="auto"/>
        <w:ind w:firstLine="643" w:firstLineChars="200"/>
        <w:jc w:val="center"/>
        <w:rPr>
          <w:rFonts w:asciiTheme="majorEastAsia" w:hAnsiTheme="majorEastAsia" w:eastAsiaTheme="majorEastAsia"/>
          <w:b/>
          <w:sz w:val="32"/>
        </w:rPr>
      </w:pPr>
    </w:p>
    <w:p>
      <w:pPr>
        <w:snapToGrid w:val="0"/>
        <w:spacing w:line="360" w:lineRule="auto"/>
        <w:ind w:firstLine="442" w:firstLineChars="200"/>
        <w:jc w:val="center"/>
        <w:rPr>
          <w:rFonts w:asciiTheme="majorEastAsia" w:hAnsiTheme="majorEastAsia" w:eastAsiaTheme="majorEastAsia"/>
          <w:b/>
          <w:sz w:val="22"/>
        </w:rPr>
      </w:pPr>
    </w:p>
    <w:p>
      <w:pPr>
        <w:snapToGrid w:val="0"/>
        <w:spacing w:line="360" w:lineRule="auto"/>
        <w:ind w:firstLine="442" w:firstLineChars="200"/>
        <w:jc w:val="center"/>
        <w:rPr>
          <w:rFonts w:asciiTheme="majorEastAsia" w:hAnsiTheme="majorEastAsia" w:eastAsiaTheme="majorEastAsia"/>
          <w:b/>
          <w:sz w:val="22"/>
        </w:rPr>
      </w:pPr>
    </w:p>
    <w:p>
      <w:pPr>
        <w:snapToGrid w:val="0"/>
        <w:spacing w:line="360" w:lineRule="auto"/>
        <w:ind w:firstLine="442" w:firstLineChars="200"/>
        <w:jc w:val="center"/>
        <w:rPr>
          <w:rFonts w:asciiTheme="majorEastAsia" w:hAnsiTheme="majorEastAsia" w:eastAsiaTheme="majorEastAsia"/>
          <w:b/>
          <w:sz w:val="22"/>
        </w:rPr>
      </w:pPr>
    </w:p>
    <w:p>
      <w:pPr>
        <w:snapToGrid w:val="0"/>
        <w:spacing w:line="360" w:lineRule="auto"/>
        <w:ind w:firstLine="442" w:firstLineChars="200"/>
        <w:jc w:val="center"/>
        <w:rPr>
          <w:rFonts w:asciiTheme="majorEastAsia" w:hAnsiTheme="majorEastAsia" w:eastAsiaTheme="majorEastAsia"/>
          <w:b/>
          <w:sz w:val="22"/>
        </w:rPr>
      </w:pPr>
    </w:p>
    <w:p>
      <w:pPr>
        <w:snapToGrid w:val="0"/>
        <w:spacing w:line="360" w:lineRule="auto"/>
        <w:ind w:firstLine="643" w:firstLineChars="200"/>
        <w:jc w:val="center"/>
        <w:rPr>
          <w:rFonts w:asciiTheme="majorEastAsia" w:hAnsiTheme="majorEastAsia" w:eastAsiaTheme="majorEastAsia"/>
          <w:b/>
          <w:sz w:val="32"/>
        </w:rPr>
      </w:pPr>
    </w:p>
    <w:p>
      <w:pPr>
        <w:snapToGrid w:val="0"/>
        <w:spacing w:line="360" w:lineRule="auto"/>
        <w:ind w:firstLine="643" w:firstLineChars="200"/>
        <w:jc w:val="center"/>
        <w:rPr>
          <w:rFonts w:asciiTheme="majorEastAsia" w:hAnsiTheme="majorEastAsia" w:eastAsiaTheme="majorEastAsia"/>
          <w:b/>
          <w:sz w:val="32"/>
        </w:rPr>
      </w:pPr>
    </w:p>
    <w:p>
      <w:pPr>
        <w:snapToGrid w:val="0"/>
        <w:spacing w:line="360" w:lineRule="auto"/>
        <w:ind w:firstLine="643" w:firstLineChars="200"/>
        <w:jc w:val="center"/>
        <w:rPr>
          <w:rFonts w:asciiTheme="majorEastAsia" w:hAnsiTheme="majorEastAsia" w:eastAsiaTheme="majorEastAsia"/>
          <w:b/>
          <w:sz w:val="32"/>
        </w:rPr>
      </w:pPr>
    </w:p>
    <w:p>
      <w:pPr>
        <w:snapToGrid w:val="0"/>
        <w:spacing w:line="360" w:lineRule="auto"/>
        <w:ind w:firstLine="993" w:firstLineChars="220"/>
        <w:jc w:val="left"/>
        <w:rPr>
          <w:rFonts w:asciiTheme="majorEastAsia" w:hAnsiTheme="majorEastAsia" w:eastAsiaTheme="majorEastAsia"/>
          <w:b/>
          <w:sz w:val="30"/>
          <w:szCs w:val="30"/>
          <w:u w:val="single"/>
        </w:rPr>
      </w:pPr>
      <w:r>
        <w:rPr>
          <w:rFonts w:hint="eastAsia" w:asciiTheme="majorEastAsia" w:hAnsiTheme="majorEastAsia" w:eastAsiaTheme="majorEastAsia"/>
          <w:b/>
          <w:spacing w:val="75"/>
          <w:kern w:val="0"/>
          <w:sz w:val="30"/>
          <w:szCs w:val="30"/>
        </w:rPr>
        <w:t>比选</w:t>
      </w:r>
      <w:r>
        <w:rPr>
          <w:rFonts w:hint="eastAsia" w:asciiTheme="majorEastAsia" w:hAnsiTheme="majorEastAsia" w:eastAsiaTheme="majorEastAsia"/>
          <w:b/>
          <w:kern w:val="0"/>
          <w:sz w:val="30"/>
          <w:szCs w:val="30"/>
        </w:rPr>
        <w:t>人</w:t>
      </w:r>
      <w:r>
        <w:rPr>
          <w:rFonts w:hint="eastAsia" w:asciiTheme="majorEastAsia" w:hAnsiTheme="majorEastAsia" w:eastAsiaTheme="majorEastAsia"/>
          <w:b/>
          <w:sz w:val="30"/>
          <w:szCs w:val="30"/>
        </w:rPr>
        <w:t>：</w:t>
      </w:r>
      <w:r>
        <w:rPr>
          <w:rFonts w:hint="eastAsia" w:asciiTheme="majorEastAsia" w:hAnsiTheme="majorEastAsia" w:eastAsiaTheme="majorEastAsia"/>
          <w:b/>
          <w:sz w:val="30"/>
          <w:szCs w:val="30"/>
          <w:u w:val="single"/>
        </w:rPr>
        <w:t>高速管家（重庆）实业有限公司</w:t>
      </w:r>
      <w:r>
        <w:rPr>
          <w:rFonts w:hint="eastAsia" w:cs="宋体" w:asciiTheme="majorEastAsia" w:hAnsiTheme="majorEastAsia" w:eastAsiaTheme="majorEastAsia"/>
          <w:b/>
          <w:sz w:val="30"/>
          <w:szCs w:val="30"/>
        </w:rPr>
        <w:t>（盖章）</w:t>
      </w:r>
    </w:p>
    <w:p>
      <w:pPr>
        <w:snapToGrid w:val="0"/>
        <w:jc w:val="center"/>
        <w:rPr>
          <w:rFonts w:asciiTheme="majorEastAsia" w:hAnsiTheme="majorEastAsia" w:eastAsiaTheme="majorEastAsia"/>
          <w:b/>
          <w:sz w:val="28"/>
          <w:szCs w:val="28"/>
        </w:rPr>
      </w:pPr>
    </w:p>
    <w:p>
      <w:pPr>
        <w:snapToGrid w:val="0"/>
        <w:spacing w:line="360" w:lineRule="auto"/>
        <w:jc w:val="center"/>
        <w:rPr>
          <w:rFonts w:asciiTheme="majorEastAsia" w:hAnsiTheme="majorEastAsia" w:eastAsiaTheme="majorEastAsia"/>
          <w:b/>
          <w:sz w:val="32"/>
          <w:szCs w:val="28"/>
        </w:rPr>
      </w:pPr>
      <w:r>
        <w:rPr>
          <w:rFonts w:hint="eastAsia" w:asciiTheme="majorEastAsia" w:hAnsiTheme="majorEastAsia" w:eastAsiaTheme="majorEastAsia"/>
          <w:b/>
          <w:sz w:val="32"/>
          <w:szCs w:val="28"/>
        </w:rPr>
        <w:t>二〇二二年三月</w:t>
      </w:r>
    </w:p>
    <w:p>
      <w:pPr>
        <w:snapToGrid w:val="0"/>
        <w:spacing w:line="360" w:lineRule="auto"/>
        <w:jc w:val="center"/>
        <w:rPr>
          <w:rFonts w:asciiTheme="majorEastAsia" w:hAnsiTheme="majorEastAsia" w:eastAsiaTheme="majorEastAsia"/>
          <w:b/>
          <w:sz w:val="32"/>
          <w:szCs w:val="28"/>
        </w:rPr>
      </w:pPr>
    </w:p>
    <w:p>
      <w:pPr>
        <w:snapToGrid w:val="0"/>
        <w:spacing w:line="360" w:lineRule="auto"/>
        <w:jc w:val="center"/>
        <w:rPr>
          <w:rFonts w:asciiTheme="majorEastAsia" w:hAnsiTheme="majorEastAsia" w:eastAsiaTheme="majorEastAsia"/>
          <w:b/>
          <w:sz w:val="32"/>
          <w:szCs w:val="28"/>
        </w:rPr>
        <w:sectPr>
          <w:headerReference r:id="rId3" w:type="default"/>
          <w:footerReference r:id="rId4" w:type="default"/>
          <w:pgSz w:w="11907" w:h="16839"/>
          <w:pgMar w:top="1440" w:right="1559" w:bottom="1440" w:left="1800" w:header="993" w:footer="982" w:gutter="0"/>
          <w:pgNumType w:fmt="decimal" w:start="0"/>
          <w:cols w:space="720" w:num="1"/>
          <w:docGrid w:linePitch="286" w:charSpace="0"/>
        </w:sectPr>
      </w:pPr>
    </w:p>
    <w:p>
      <w:pPr>
        <w:snapToGrid w:val="0"/>
        <w:spacing w:line="360" w:lineRule="auto"/>
        <w:jc w:val="center"/>
        <w:rPr>
          <w:rFonts w:asciiTheme="majorEastAsia" w:hAnsiTheme="majorEastAsia" w:eastAsiaTheme="majorEastAsia"/>
          <w:b/>
          <w:kern w:val="0"/>
          <w:sz w:val="28"/>
          <w:szCs w:val="28"/>
          <w:highlight w:val="none"/>
        </w:rPr>
      </w:pPr>
      <w:bookmarkStart w:id="1751" w:name="_GoBack"/>
      <w:r>
        <w:rPr>
          <w:rFonts w:hint="eastAsia" w:asciiTheme="majorEastAsia" w:hAnsiTheme="majorEastAsia" w:eastAsiaTheme="majorEastAsia"/>
          <w:b/>
          <w:kern w:val="0"/>
          <w:sz w:val="28"/>
          <w:szCs w:val="28"/>
          <w:highlight w:val="none"/>
        </w:rPr>
        <w:t>目 录</w:t>
      </w:r>
    </w:p>
    <w:bookmarkEnd w:id="1751"/>
    <w:p>
      <w:pPr>
        <w:pStyle w:val="37"/>
        <w:tabs>
          <w:tab w:val="right" w:leader="dot" w:pos="8385"/>
        </w:tabs>
        <w:spacing w:line="3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Cs/>
          <w:kern w:val="0"/>
          <w:sz w:val="22"/>
          <w:szCs w:val="22"/>
        </w:rPr>
        <w:fldChar w:fldCharType="begin"/>
      </w:r>
      <w:r>
        <w:rPr>
          <w:rFonts w:hint="eastAsia" w:asciiTheme="minorEastAsia" w:hAnsiTheme="minorEastAsia" w:eastAsiaTheme="minorEastAsia" w:cstheme="minorEastAsia"/>
          <w:bCs/>
          <w:kern w:val="0"/>
          <w:sz w:val="22"/>
          <w:szCs w:val="22"/>
        </w:rPr>
        <w:instrText xml:space="preserve"> TOC \o "1-3" \h \z \u </w:instrText>
      </w:r>
      <w:r>
        <w:rPr>
          <w:rFonts w:hint="eastAsia" w:asciiTheme="minorEastAsia" w:hAnsiTheme="minorEastAsia" w:eastAsiaTheme="minorEastAsia" w:cstheme="minorEastAsia"/>
          <w:bCs/>
          <w:kern w:val="0"/>
          <w:sz w:val="22"/>
          <w:szCs w:val="22"/>
        </w:rPr>
        <w:fldChar w:fldCharType="separate"/>
      </w:r>
      <w:r>
        <w:rPr>
          <w:rFonts w:hint="eastAsia" w:asciiTheme="minorEastAsia" w:hAnsiTheme="minorEastAsia" w:eastAsiaTheme="minorEastAsia" w:cstheme="minorEastAsia"/>
          <w:bCs/>
          <w:kern w:val="0"/>
          <w:sz w:val="22"/>
          <w:szCs w:val="22"/>
        </w:rPr>
        <w:fldChar w:fldCharType="begin"/>
      </w:r>
      <w:r>
        <w:rPr>
          <w:rFonts w:hint="eastAsia" w:asciiTheme="minorEastAsia" w:hAnsiTheme="minorEastAsia" w:eastAsiaTheme="minorEastAsia" w:cstheme="minorEastAsia"/>
          <w:bCs/>
          <w:kern w:val="0"/>
          <w:sz w:val="22"/>
          <w:szCs w:val="22"/>
        </w:rPr>
        <w:instrText xml:space="preserve"> TOC \o "1-3" \h \z \u </w:instrText>
      </w:r>
      <w:r>
        <w:rPr>
          <w:rFonts w:hint="eastAsia" w:asciiTheme="minorEastAsia" w:hAnsiTheme="minorEastAsia" w:eastAsiaTheme="minorEastAsia" w:cstheme="minorEastAsia"/>
          <w:bCs/>
          <w:kern w:val="0"/>
          <w:sz w:val="22"/>
          <w:szCs w:val="22"/>
        </w:rPr>
        <w:fldChar w:fldCharType="separate"/>
      </w:r>
      <w:r>
        <w:fldChar w:fldCharType="begin"/>
      </w:r>
      <w:r>
        <w:instrText xml:space="preserve"> HYPERLINK \l "_Toc29123" </w:instrText>
      </w:r>
      <w:r>
        <w:fldChar w:fldCharType="separate"/>
      </w:r>
      <w:r>
        <w:rPr>
          <w:rFonts w:hint="eastAsia" w:asciiTheme="minorEastAsia" w:hAnsiTheme="minorEastAsia" w:eastAsiaTheme="minorEastAsia" w:cstheme="minorEastAsia"/>
          <w:kern w:val="0"/>
          <w:sz w:val="22"/>
          <w:szCs w:val="22"/>
        </w:rPr>
        <w:t>第一章 竞争性比选公告</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_Toc29123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"_Toc8276" </w:instrText>
      </w:r>
      <w:r>
        <w:fldChar w:fldCharType="separate"/>
      </w:r>
      <w:r>
        <w:rPr>
          <w:rFonts w:hint="eastAsia" w:asciiTheme="minorEastAsia" w:hAnsiTheme="minorEastAsia" w:eastAsiaTheme="minorEastAsia" w:cstheme="minorEastAsia"/>
          <w:bCs/>
          <w:sz w:val="22"/>
          <w:szCs w:val="22"/>
          <w:lang w:val="zh-CN"/>
        </w:rPr>
        <w:t>1．比选条件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_Toc8276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"_Toc11653" </w:instrText>
      </w:r>
      <w:r>
        <w:fldChar w:fldCharType="separate"/>
      </w:r>
      <w:r>
        <w:rPr>
          <w:rFonts w:hint="eastAsia" w:asciiTheme="minorEastAsia" w:hAnsiTheme="minorEastAsia" w:eastAsiaTheme="minorEastAsia" w:cstheme="minorEastAsia"/>
          <w:bCs/>
          <w:sz w:val="22"/>
          <w:szCs w:val="22"/>
          <w:lang w:val="zh-CN"/>
        </w:rPr>
        <w:t>2．项目概况与比选范围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_Toc11653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"_Toc9267" </w:instrText>
      </w:r>
      <w:r>
        <w:fldChar w:fldCharType="separate"/>
      </w:r>
      <w:r>
        <w:rPr>
          <w:rFonts w:hint="eastAsia" w:asciiTheme="minorEastAsia" w:hAnsiTheme="minorEastAsia" w:eastAsiaTheme="minorEastAsia" w:cstheme="minorEastAsia"/>
          <w:bCs/>
          <w:sz w:val="22"/>
          <w:szCs w:val="22"/>
          <w:lang w:val="zh-CN"/>
        </w:rPr>
        <w:t>3．比选申请人资格要求</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_Toc9267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"_Toc27291" </w:instrText>
      </w:r>
      <w:r>
        <w:fldChar w:fldCharType="separate"/>
      </w:r>
      <w:r>
        <w:rPr>
          <w:rFonts w:hint="eastAsia" w:asciiTheme="minorEastAsia" w:hAnsiTheme="minorEastAsia" w:eastAsiaTheme="minorEastAsia" w:cstheme="minorEastAsia"/>
          <w:bCs/>
          <w:sz w:val="22"/>
          <w:szCs w:val="22"/>
          <w:lang w:val="zh-CN"/>
        </w:rPr>
        <w:t>4．比选文件的获取</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"_Toc18559" </w:instrText>
      </w:r>
      <w:r>
        <w:fldChar w:fldCharType="separate"/>
      </w:r>
      <w:r>
        <w:rPr>
          <w:rFonts w:hint="eastAsia" w:asciiTheme="minorEastAsia" w:hAnsiTheme="minorEastAsia" w:eastAsiaTheme="minorEastAsia" w:cstheme="minorEastAsia"/>
          <w:bCs/>
          <w:sz w:val="22"/>
          <w:szCs w:val="22"/>
          <w:lang w:val="zh-CN"/>
        </w:rPr>
        <w:t>5．比选申请文件的递交</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"_Toc18990" </w:instrText>
      </w:r>
      <w:r>
        <w:fldChar w:fldCharType="separate"/>
      </w:r>
      <w:r>
        <w:rPr>
          <w:rFonts w:hint="eastAsia" w:asciiTheme="minorEastAsia" w:hAnsiTheme="minorEastAsia" w:eastAsiaTheme="minorEastAsia" w:cstheme="minorEastAsia"/>
          <w:bCs/>
          <w:sz w:val="22"/>
          <w:szCs w:val="22"/>
        </w:rPr>
        <w:t>6．</w:t>
      </w:r>
      <w:r>
        <w:rPr>
          <w:rFonts w:hint="eastAsia" w:asciiTheme="minorEastAsia" w:hAnsiTheme="minorEastAsia" w:eastAsiaTheme="minorEastAsia" w:cstheme="minorEastAsia"/>
          <w:bCs/>
          <w:sz w:val="22"/>
          <w:szCs w:val="22"/>
          <w:lang w:val="zh-CN"/>
        </w:rPr>
        <w:t>发布公告的媒介</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"_Toc9980" </w:instrText>
      </w:r>
      <w:r>
        <w:fldChar w:fldCharType="separate"/>
      </w:r>
      <w:r>
        <w:rPr>
          <w:rFonts w:hint="eastAsia" w:asciiTheme="minorEastAsia" w:hAnsiTheme="minorEastAsia" w:eastAsiaTheme="minorEastAsia" w:cstheme="minorEastAsia"/>
          <w:bCs/>
          <w:sz w:val="22"/>
          <w:szCs w:val="22"/>
          <w:lang w:val="zh-CN"/>
        </w:rPr>
        <w:t>7．联系方式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_Toc9980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3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"_Toc3889" </w:instrText>
      </w:r>
      <w:r>
        <w:fldChar w:fldCharType="separate"/>
      </w:r>
      <w:r>
        <w:rPr>
          <w:rFonts w:hint="eastAsia" w:asciiTheme="minorEastAsia" w:hAnsiTheme="minorEastAsia" w:eastAsiaTheme="minorEastAsia" w:cstheme="minorEastAsia"/>
          <w:kern w:val="0"/>
          <w:sz w:val="22"/>
          <w:szCs w:val="22"/>
        </w:rPr>
        <w:t>第二章 比选申请人须知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_Toc3889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"_Toc11814" </w:instrText>
      </w:r>
      <w:r>
        <w:fldChar w:fldCharType="separate"/>
      </w:r>
      <w:r>
        <w:rPr>
          <w:rFonts w:hint="eastAsia" w:asciiTheme="minorEastAsia" w:hAnsiTheme="minorEastAsia" w:eastAsiaTheme="minorEastAsia" w:cstheme="minorEastAsia"/>
          <w:sz w:val="22"/>
          <w:szCs w:val="22"/>
        </w:rPr>
        <w:t>比选申请人须知前附表</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_Toc11814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3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"_Toc12555" </w:instrText>
      </w:r>
      <w:r>
        <w:fldChar w:fldCharType="separate"/>
      </w:r>
      <w:r>
        <w:rPr>
          <w:rFonts w:hint="eastAsia" w:asciiTheme="minorEastAsia" w:hAnsiTheme="minorEastAsia" w:eastAsiaTheme="minorEastAsia" w:cstheme="minorEastAsia"/>
          <w:kern w:val="0"/>
          <w:sz w:val="22"/>
          <w:szCs w:val="22"/>
        </w:rPr>
        <w:t>第三章 评审办法（经评审的最低投标价法）</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_Toc12555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"_Toc13687" </w:instrText>
      </w:r>
      <w:r>
        <w:fldChar w:fldCharType="separate"/>
      </w:r>
      <w:r>
        <w:rPr>
          <w:rFonts w:hint="eastAsia" w:asciiTheme="minorEastAsia" w:hAnsiTheme="minorEastAsia" w:eastAsiaTheme="minorEastAsia" w:cstheme="minorEastAsia"/>
          <w:bCs/>
          <w:sz w:val="22"/>
          <w:szCs w:val="22"/>
        </w:rPr>
        <w:t>评标办法前附表</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_Toc13687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"_Toc32573" </w:instrText>
      </w:r>
      <w:r>
        <w:fldChar w:fldCharType="separate"/>
      </w:r>
      <w:r>
        <w:rPr>
          <w:rFonts w:hint="eastAsia" w:asciiTheme="minorEastAsia" w:hAnsiTheme="minorEastAsia" w:eastAsiaTheme="minorEastAsia" w:cstheme="minorEastAsia"/>
          <w:sz w:val="22"/>
          <w:szCs w:val="22"/>
        </w:rPr>
        <w:t>1. 评审方法</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Cs/>
          <w:kern w:val="0"/>
          <w:sz w:val="22"/>
          <w:szCs w:val="22"/>
        </w:rPr>
        <w:t>2</w:t>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"_Toc7553" </w:instrText>
      </w:r>
      <w:r>
        <w:fldChar w:fldCharType="separate"/>
      </w:r>
      <w:r>
        <w:rPr>
          <w:rFonts w:hint="eastAsia" w:asciiTheme="minorEastAsia" w:hAnsiTheme="minorEastAsia" w:eastAsiaTheme="minorEastAsia" w:cstheme="minorEastAsia"/>
          <w:sz w:val="22"/>
          <w:szCs w:val="22"/>
        </w:rPr>
        <w:t>2. 评审标准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Cs/>
          <w:kern w:val="0"/>
          <w:sz w:val="22"/>
          <w:szCs w:val="22"/>
        </w:rPr>
        <w:t>2</w:t>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"_Toc9769" </w:instrText>
      </w:r>
      <w:r>
        <w:fldChar w:fldCharType="separate"/>
      </w:r>
      <w:r>
        <w:rPr>
          <w:rFonts w:hint="eastAsia" w:asciiTheme="minorEastAsia" w:hAnsiTheme="minorEastAsia" w:eastAsiaTheme="minorEastAsia" w:cstheme="minorEastAsia"/>
          <w:sz w:val="22"/>
          <w:szCs w:val="22"/>
        </w:rPr>
        <w:t>3. 评审程序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Cs/>
          <w:kern w:val="0"/>
          <w:sz w:val="22"/>
          <w:szCs w:val="22"/>
        </w:rPr>
        <w:t>2</w:t>
      </w:r>
    </w:p>
    <w:p>
      <w:pPr>
        <w:pStyle w:val="3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"_Toc18637" </w:instrText>
      </w:r>
      <w:r>
        <w:fldChar w:fldCharType="separate"/>
      </w:r>
      <w:r>
        <w:rPr>
          <w:rFonts w:hint="eastAsia" w:asciiTheme="minorEastAsia" w:hAnsiTheme="minorEastAsia" w:eastAsiaTheme="minorEastAsia" w:cstheme="minorEastAsia"/>
          <w:kern w:val="0"/>
          <w:sz w:val="22"/>
          <w:szCs w:val="22"/>
        </w:rPr>
        <w:t>第四章 合同条款及格式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5</w:t>
      </w:r>
    </w:p>
    <w:p>
      <w:pPr>
        <w:pStyle w:val="43"/>
        <w:tabs>
          <w:tab w:val="right" w:leader="dot" w:pos="8385"/>
        </w:tabs>
        <w:spacing w:line="340" w:lineRule="exact"/>
        <w:jc w:val="center"/>
        <w:rPr>
          <w:rFonts w:asciiTheme="minorEastAsia" w:hAnsiTheme="minorEastAsia" w:eastAsiaTheme="minorEastAsia" w:cstheme="minorEastAsia"/>
          <w:bCs/>
          <w:kern w:val="0"/>
          <w:sz w:val="22"/>
          <w:szCs w:val="22"/>
        </w:rPr>
      </w:pPr>
      <w:r>
        <w:fldChar w:fldCharType="begin"/>
      </w:r>
      <w:r>
        <w:instrText xml:space="preserve"> HYPERLINK \l "_Toc11382" </w:instrText>
      </w:r>
      <w:r>
        <w:fldChar w:fldCharType="separate"/>
      </w:r>
      <w:r>
        <w:rPr>
          <w:rFonts w:hint="eastAsia" w:asciiTheme="minorEastAsia" w:hAnsiTheme="minorEastAsia" w:eastAsiaTheme="minorEastAsia" w:cstheme="minorEastAsia"/>
          <w:bCs/>
          <w:kern w:val="0"/>
          <w:sz w:val="22"/>
          <w:szCs w:val="22"/>
        </w:rPr>
        <w:t>第一节 合同协议书</w:t>
      </w:r>
      <w:r>
        <w:rPr>
          <w:rFonts w:hint="eastAsia" w:asciiTheme="minorEastAsia" w:hAnsiTheme="minorEastAsia" w:eastAsiaTheme="minorEastAsia" w:cstheme="minorEastAsia"/>
          <w:bCs/>
          <w:kern w:val="0"/>
          <w:sz w:val="22"/>
          <w:szCs w:val="22"/>
        </w:rPr>
        <w:tab/>
      </w:r>
      <w:r>
        <w:rPr>
          <w:rFonts w:hint="eastAsia" w:asciiTheme="minorEastAsia" w:hAnsiTheme="minorEastAsia" w:eastAsiaTheme="minorEastAsia" w:cstheme="minorEastAsia"/>
          <w:bCs/>
          <w:kern w:val="0"/>
          <w:sz w:val="22"/>
          <w:szCs w:val="22"/>
        </w:rPr>
        <w:t>2</w:t>
      </w:r>
      <w:r>
        <w:rPr>
          <w:rFonts w:hint="eastAsia" w:asciiTheme="minorEastAsia" w:hAnsiTheme="minorEastAsia" w:eastAsiaTheme="minorEastAsia" w:cstheme="minorEastAsia"/>
          <w:bCs/>
          <w:kern w:val="0"/>
          <w:sz w:val="22"/>
          <w:szCs w:val="22"/>
        </w:rPr>
        <w:fldChar w:fldCharType="end"/>
      </w:r>
      <w:r>
        <w:rPr>
          <w:rFonts w:hint="eastAsia" w:asciiTheme="minorEastAsia" w:hAnsiTheme="minorEastAsia" w:eastAsiaTheme="minorEastAsia" w:cstheme="minorEastAsia"/>
          <w:bCs/>
          <w:kern w:val="0"/>
          <w:sz w:val="22"/>
          <w:szCs w:val="22"/>
          <w:lang w:val="en-US" w:eastAsia="zh-CN"/>
        </w:rPr>
        <w:t>6</w:t>
      </w:r>
    </w:p>
    <w:p>
      <w:pPr>
        <w:pStyle w:val="43"/>
        <w:tabs>
          <w:tab w:val="right" w:leader="dot" w:pos="8385"/>
        </w:tabs>
        <w:spacing w:line="340" w:lineRule="exact"/>
        <w:jc w:val="center"/>
        <w:rPr>
          <w:rFonts w:asciiTheme="minorEastAsia" w:hAnsiTheme="minorEastAsia" w:eastAsiaTheme="minorEastAsia" w:cstheme="minorEastAsia"/>
          <w:bCs/>
          <w:kern w:val="0"/>
          <w:sz w:val="22"/>
          <w:szCs w:val="22"/>
        </w:rPr>
      </w:pPr>
      <w:r>
        <w:fldChar w:fldCharType="begin"/>
      </w:r>
      <w:r>
        <w:instrText xml:space="preserve"> HYPERLINK \l "_Toc3780" </w:instrText>
      </w:r>
      <w:r>
        <w:fldChar w:fldCharType="separate"/>
      </w:r>
      <w:r>
        <w:rPr>
          <w:rFonts w:hint="eastAsia" w:asciiTheme="minorEastAsia" w:hAnsiTheme="minorEastAsia" w:eastAsiaTheme="minorEastAsia" w:cstheme="minorEastAsia"/>
          <w:bCs/>
          <w:kern w:val="0"/>
          <w:sz w:val="22"/>
          <w:szCs w:val="22"/>
        </w:rPr>
        <w:t>第二节 通用合同条款</w:t>
      </w:r>
      <w:r>
        <w:rPr>
          <w:rFonts w:hint="eastAsia" w:asciiTheme="minorEastAsia" w:hAnsiTheme="minorEastAsia" w:eastAsiaTheme="minorEastAsia" w:cstheme="minorEastAsia"/>
          <w:bCs/>
          <w:kern w:val="0"/>
          <w:sz w:val="22"/>
          <w:szCs w:val="22"/>
        </w:rPr>
        <w:tab/>
      </w:r>
      <w:r>
        <w:rPr>
          <w:rFonts w:hint="eastAsia" w:asciiTheme="minorEastAsia" w:hAnsiTheme="minorEastAsia" w:eastAsiaTheme="minorEastAsia" w:cstheme="minorEastAsia"/>
          <w:bCs/>
          <w:kern w:val="0"/>
          <w:sz w:val="22"/>
          <w:szCs w:val="22"/>
        </w:rPr>
        <w:t>2</w:t>
      </w:r>
      <w:r>
        <w:rPr>
          <w:rFonts w:hint="eastAsia" w:asciiTheme="minorEastAsia" w:hAnsiTheme="minorEastAsia" w:eastAsiaTheme="minorEastAsia" w:cstheme="minorEastAsia"/>
          <w:bCs/>
          <w:kern w:val="0"/>
          <w:sz w:val="22"/>
          <w:szCs w:val="22"/>
        </w:rPr>
        <w:fldChar w:fldCharType="end"/>
      </w:r>
      <w:r>
        <w:rPr>
          <w:rFonts w:hint="eastAsia" w:asciiTheme="minorEastAsia" w:hAnsiTheme="minorEastAsia" w:eastAsiaTheme="minorEastAsia" w:cstheme="minorEastAsia"/>
          <w:bCs/>
          <w:kern w:val="0"/>
          <w:sz w:val="22"/>
          <w:szCs w:val="22"/>
          <w:lang w:val="en-US" w:eastAsia="zh-CN"/>
        </w:rPr>
        <w:t>7</w:t>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"_Toc17258" </w:instrText>
      </w:r>
      <w:r>
        <w:fldChar w:fldCharType="separate"/>
      </w:r>
      <w:r>
        <w:rPr>
          <w:rFonts w:hint="eastAsia" w:asciiTheme="minorEastAsia" w:hAnsiTheme="minorEastAsia" w:eastAsiaTheme="minorEastAsia" w:cstheme="minorEastAsia"/>
          <w:bCs/>
          <w:kern w:val="0"/>
          <w:sz w:val="22"/>
          <w:szCs w:val="22"/>
        </w:rPr>
        <w:t>第三节 专用合同条款</w:t>
      </w:r>
      <w:r>
        <w:rPr>
          <w:rFonts w:hint="eastAsia" w:asciiTheme="minorEastAsia" w:hAnsiTheme="minorEastAsia" w:eastAsiaTheme="minorEastAsia" w:cstheme="minorEastAsia"/>
          <w:bCs/>
          <w:kern w:val="0"/>
          <w:sz w:val="22"/>
          <w:szCs w:val="22"/>
        </w:rPr>
        <w:tab/>
      </w:r>
      <w:r>
        <w:rPr>
          <w:rFonts w:hint="eastAsia" w:asciiTheme="minorEastAsia" w:hAnsiTheme="minorEastAsia" w:eastAsiaTheme="minorEastAsia" w:cstheme="minorEastAsia"/>
          <w:bCs/>
          <w:kern w:val="0"/>
          <w:sz w:val="22"/>
          <w:szCs w:val="22"/>
        </w:rPr>
        <w:t>7</w:t>
      </w:r>
      <w:r>
        <w:rPr>
          <w:rFonts w:hint="eastAsia" w:asciiTheme="minorEastAsia" w:hAnsiTheme="minorEastAsia" w:eastAsiaTheme="minorEastAsia" w:cstheme="minorEastAsia"/>
          <w:bCs/>
          <w:kern w:val="0"/>
          <w:sz w:val="22"/>
          <w:szCs w:val="22"/>
        </w:rPr>
        <w:fldChar w:fldCharType="end"/>
      </w:r>
      <w:r>
        <w:rPr>
          <w:rFonts w:hint="eastAsia" w:asciiTheme="minorEastAsia" w:hAnsiTheme="minorEastAsia" w:eastAsiaTheme="minorEastAsia" w:cstheme="minorEastAsia"/>
          <w:bCs/>
          <w:kern w:val="0"/>
          <w:sz w:val="22"/>
          <w:szCs w:val="22"/>
          <w:lang w:val="en-US" w:eastAsia="zh-CN"/>
        </w:rPr>
        <w:t>7</w:t>
      </w:r>
    </w:p>
    <w:p>
      <w:pPr>
        <w:pStyle w:val="3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"_Toc25954" </w:instrText>
      </w:r>
      <w:r>
        <w:fldChar w:fldCharType="separate"/>
      </w:r>
      <w:r>
        <w:rPr>
          <w:rFonts w:hint="eastAsia" w:asciiTheme="minorEastAsia" w:hAnsiTheme="minorEastAsia" w:eastAsiaTheme="minorEastAsia" w:cstheme="minorEastAsia"/>
          <w:kern w:val="1"/>
          <w:sz w:val="22"/>
          <w:szCs w:val="22"/>
        </w:rPr>
        <w:t>第五章 工程量清单</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Cs/>
          <w:kern w:val="0"/>
          <w:sz w:val="22"/>
          <w:szCs w:val="22"/>
        </w:rPr>
        <w:t>13</w:t>
      </w:r>
      <w:r>
        <w:rPr>
          <w:rFonts w:hint="eastAsia" w:asciiTheme="minorEastAsia" w:hAnsiTheme="minorEastAsia" w:eastAsiaTheme="minorEastAsia" w:cstheme="minorEastAsia"/>
          <w:bCs/>
          <w:kern w:val="0"/>
          <w:sz w:val="22"/>
          <w:szCs w:val="22"/>
          <w:lang w:val="en-US" w:eastAsia="zh-CN"/>
        </w:rPr>
        <w:t>2</w:t>
      </w:r>
    </w:p>
    <w:p>
      <w:pPr>
        <w:pStyle w:val="3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"_Toc25954" </w:instrText>
      </w:r>
      <w:r>
        <w:fldChar w:fldCharType="separate"/>
      </w:r>
      <w:r>
        <w:rPr>
          <w:rFonts w:hint="eastAsia" w:asciiTheme="minorEastAsia" w:hAnsiTheme="minorEastAsia" w:eastAsiaTheme="minorEastAsia" w:cstheme="minorEastAsia"/>
          <w:kern w:val="1"/>
          <w:sz w:val="22"/>
          <w:szCs w:val="22"/>
        </w:rPr>
        <w:t>第六章 图纸</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Cs/>
          <w:kern w:val="0"/>
          <w:sz w:val="22"/>
          <w:szCs w:val="22"/>
        </w:rPr>
        <w:t>13</w:t>
      </w:r>
      <w:r>
        <w:rPr>
          <w:rFonts w:hint="eastAsia" w:asciiTheme="minorEastAsia" w:hAnsiTheme="minorEastAsia" w:eastAsiaTheme="minorEastAsia" w:cstheme="minorEastAsia"/>
          <w:bCs/>
          <w:kern w:val="0"/>
          <w:sz w:val="22"/>
          <w:szCs w:val="22"/>
          <w:lang w:val="en-US" w:eastAsia="zh-CN"/>
        </w:rPr>
        <w:t>3</w:t>
      </w:r>
    </w:p>
    <w:p>
      <w:pPr>
        <w:pStyle w:val="3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"_Toc25954" </w:instrText>
      </w:r>
      <w:r>
        <w:fldChar w:fldCharType="separate"/>
      </w:r>
      <w:r>
        <w:rPr>
          <w:rFonts w:hint="eastAsia" w:asciiTheme="minorEastAsia" w:hAnsiTheme="minorEastAsia" w:eastAsiaTheme="minorEastAsia" w:cstheme="minorEastAsia"/>
          <w:kern w:val="1"/>
          <w:sz w:val="22"/>
          <w:szCs w:val="22"/>
        </w:rPr>
        <w:t>第七章 技术标准和要求</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Cs/>
          <w:kern w:val="0"/>
          <w:sz w:val="22"/>
          <w:szCs w:val="22"/>
        </w:rPr>
        <w:t>13</w:t>
      </w:r>
      <w:r>
        <w:rPr>
          <w:rFonts w:hint="eastAsia" w:asciiTheme="minorEastAsia" w:hAnsiTheme="minorEastAsia" w:eastAsiaTheme="minorEastAsia" w:cstheme="minorEastAsia"/>
          <w:bCs/>
          <w:kern w:val="0"/>
          <w:sz w:val="22"/>
          <w:szCs w:val="22"/>
          <w:lang w:val="en-US" w:eastAsia="zh-CN"/>
        </w:rPr>
        <w:t>4</w:t>
      </w:r>
    </w:p>
    <w:p>
      <w:pPr>
        <w:pStyle w:val="37"/>
        <w:tabs>
          <w:tab w:val="right" w:leader="dot" w:pos="8385"/>
        </w:tabs>
        <w:spacing w:line="340" w:lineRule="exact"/>
        <w:jc w:val="center"/>
        <w:rPr>
          <w:rFonts w:asciiTheme="minorEastAsia" w:hAnsiTheme="minorEastAsia" w:eastAsiaTheme="minorEastAsia" w:cstheme="minorEastAsia"/>
          <w:bCs/>
          <w:kern w:val="0"/>
          <w:sz w:val="22"/>
          <w:szCs w:val="22"/>
        </w:rPr>
      </w:pPr>
      <w:r>
        <w:fldChar w:fldCharType="begin"/>
      </w:r>
      <w:r>
        <w:instrText xml:space="preserve"> HYPERLINK \l "_Toc25954" </w:instrText>
      </w:r>
      <w:r>
        <w:fldChar w:fldCharType="separate"/>
      </w:r>
      <w:r>
        <w:rPr>
          <w:rFonts w:hint="eastAsia" w:asciiTheme="minorEastAsia" w:hAnsiTheme="minorEastAsia" w:eastAsiaTheme="minorEastAsia" w:cstheme="minorEastAsia"/>
          <w:kern w:val="1"/>
          <w:sz w:val="22"/>
          <w:szCs w:val="22"/>
        </w:rPr>
        <w:t>第八章 比选申请文件格式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Cs/>
          <w:kern w:val="0"/>
          <w:sz w:val="22"/>
          <w:szCs w:val="22"/>
        </w:rPr>
        <w:t>13</w:t>
      </w:r>
      <w:r>
        <w:rPr>
          <w:rFonts w:hint="eastAsia" w:asciiTheme="minorEastAsia" w:hAnsiTheme="minorEastAsia" w:eastAsiaTheme="minorEastAsia" w:cstheme="minorEastAsia"/>
          <w:bCs/>
          <w:kern w:val="0"/>
          <w:sz w:val="22"/>
          <w:szCs w:val="22"/>
          <w:lang w:val="en-US" w:eastAsia="zh-CN"/>
        </w:rPr>
        <w:t>5</w:t>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"_Toc28210" </w:instrText>
      </w:r>
      <w:r>
        <w:fldChar w:fldCharType="separate"/>
      </w:r>
      <w:r>
        <w:rPr>
          <w:rFonts w:hint="eastAsia" w:asciiTheme="minorEastAsia" w:hAnsiTheme="minorEastAsia" w:eastAsiaTheme="minorEastAsia" w:cstheme="minorEastAsia"/>
          <w:sz w:val="22"/>
          <w:szCs w:val="22"/>
        </w:rPr>
        <w:t>一、比选申请函部分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Cs/>
          <w:kern w:val="0"/>
          <w:sz w:val="22"/>
          <w:szCs w:val="22"/>
        </w:rPr>
        <w:t>13</w:t>
      </w:r>
      <w:r>
        <w:rPr>
          <w:rFonts w:hint="eastAsia" w:asciiTheme="minorEastAsia" w:hAnsiTheme="minorEastAsia" w:eastAsiaTheme="minorEastAsia" w:cstheme="minorEastAsia"/>
          <w:bCs/>
          <w:kern w:val="0"/>
          <w:sz w:val="22"/>
          <w:szCs w:val="22"/>
          <w:lang w:val="en-US" w:eastAsia="zh-CN"/>
        </w:rPr>
        <w:t>6</w:t>
      </w:r>
    </w:p>
    <w:p>
      <w:pPr>
        <w:pStyle w:val="2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"_Toc32154" </w:instrText>
      </w:r>
      <w:r>
        <w:fldChar w:fldCharType="separate"/>
      </w:r>
      <w:r>
        <w:rPr>
          <w:rFonts w:hint="eastAsia" w:asciiTheme="minorEastAsia" w:hAnsiTheme="minorEastAsia" w:eastAsiaTheme="minorEastAsia" w:cstheme="minorEastAsia"/>
          <w:bCs/>
          <w:snapToGrid w:val="0"/>
          <w:sz w:val="22"/>
          <w:szCs w:val="22"/>
        </w:rPr>
        <w:t>（一）</w:t>
      </w:r>
      <w:r>
        <w:rPr>
          <w:rFonts w:hint="eastAsia" w:asciiTheme="minorEastAsia" w:hAnsiTheme="minorEastAsia" w:eastAsiaTheme="minorEastAsia" w:cstheme="minorEastAsia"/>
          <w:kern w:val="0"/>
          <w:sz w:val="22"/>
          <w:szCs w:val="22"/>
        </w:rPr>
        <w:t>比选申请</w:t>
      </w:r>
      <w:r>
        <w:rPr>
          <w:rFonts w:hint="eastAsia" w:asciiTheme="minorEastAsia" w:hAnsiTheme="minorEastAsia" w:eastAsiaTheme="minorEastAsia" w:cstheme="minorEastAsia"/>
          <w:bCs/>
          <w:snapToGrid w:val="0"/>
          <w:sz w:val="22"/>
          <w:szCs w:val="22"/>
        </w:rPr>
        <w:t>函</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9</w:t>
      </w:r>
    </w:p>
    <w:p>
      <w:pPr>
        <w:pStyle w:val="2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"_Toc27468" </w:instrText>
      </w:r>
      <w:r>
        <w:fldChar w:fldCharType="separate"/>
      </w:r>
      <w:r>
        <w:rPr>
          <w:rFonts w:hint="eastAsia" w:asciiTheme="minorEastAsia" w:hAnsiTheme="minorEastAsia" w:eastAsiaTheme="minorEastAsia" w:cstheme="minorEastAsia"/>
          <w:bCs/>
          <w:snapToGrid w:val="0"/>
          <w:sz w:val="22"/>
          <w:szCs w:val="22"/>
        </w:rPr>
        <w:t>（二）法定代表人身份证明及授权委托书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40</w:t>
      </w:r>
    </w:p>
    <w:p>
      <w:pPr>
        <w:pStyle w:val="27"/>
        <w:tabs>
          <w:tab w:val="right" w:leader="dot" w:pos="8385"/>
        </w:tabs>
        <w:spacing w:line="340" w:lineRule="exact"/>
        <w:jc w:val="center"/>
      </w:pPr>
      <w:r>
        <w:fldChar w:fldCharType="begin"/>
      </w:r>
      <w:r>
        <w:instrText xml:space="preserve"> HYPERLINK \l "_Toc27468" </w:instrText>
      </w:r>
      <w:r>
        <w:fldChar w:fldCharType="separate"/>
      </w:r>
      <w:r>
        <w:rPr>
          <w:rFonts w:hint="eastAsia" w:asciiTheme="minorEastAsia" w:hAnsiTheme="minorEastAsia" w:eastAsiaTheme="minorEastAsia" w:cstheme="minorEastAsia"/>
          <w:bCs/>
          <w:snapToGrid w:val="0"/>
          <w:sz w:val="22"/>
          <w:szCs w:val="22"/>
        </w:rPr>
        <w:t>（三）低价风险担保缴纳承诺书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2</w:t>
      </w:r>
    </w:p>
    <w:p>
      <w:pPr>
        <w:pStyle w:val="43"/>
        <w:tabs>
          <w:tab w:val="right" w:leader="dot" w:pos="8385"/>
        </w:tabs>
        <w:spacing w:line="340" w:lineRule="exact"/>
        <w:jc w:val="center"/>
      </w:pPr>
      <w:r>
        <w:fldChar w:fldCharType="begin"/>
      </w:r>
      <w:r>
        <w:instrText xml:space="preserve"> HYPERLINK \l "_Toc27468" </w:instrText>
      </w:r>
      <w:r>
        <w:fldChar w:fldCharType="separate"/>
      </w:r>
      <w:r>
        <w:rPr>
          <w:rFonts w:hint="eastAsia" w:asciiTheme="minorEastAsia" w:hAnsiTheme="minorEastAsia" w:eastAsiaTheme="minorEastAsia" w:cstheme="minorEastAsia"/>
          <w:bCs/>
          <w:snapToGrid w:val="0"/>
          <w:sz w:val="22"/>
          <w:szCs w:val="22"/>
        </w:rPr>
        <w:t>（四）自行踏勘承诺书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3</w:t>
      </w:r>
    </w:p>
    <w:p>
      <w:pPr>
        <w:pStyle w:val="43"/>
        <w:tabs>
          <w:tab w:val="right" w:leader="dot" w:pos="8385"/>
        </w:tabs>
        <w:spacing w:line="340" w:lineRule="exact"/>
        <w:jc w:val="center"/>
        <w:rPr>
          <w:rFonts w:asciiTheme="minorEastAsia" w:hAnsiTheme="minorEastAsia" w:eastAsiaTheme="minorEastAsia" w:cstheme="minorEastAsia"/>
          <w:bCs/>
          <w:kern w:val="0"/>
          <w:sz w:val="22"/>
          <w:szCs w:val="22"/>
        </w:rPr>
      </w:pPr>
      <w:r>
        <w:fldChar w:fldCharType="begin"/>
      </w:r>
      <w:r>
        <w:instrText xml:space="preserve"> HYPERLINK \l "_Toc27468" </w:instrText>
      </w:r>
      <w:r>
        <w:fldChar w:fldCharType="separate"/>
      </w:r>
      <w:r>
        <w:rPr>
          <w:rFonts w:hint="eastAsia" w:asciiTheme="minorEastAsia" w:hAnsiTheme="minorEastAsia" w:eastAsiaTheme="minorEastAsia" w:cstheme="minorEastAsia"/>
          <w:bCs/>
          <w:snapToGrid w:val="0"/>
          <w:sz w:val="22"/>
          <w:szCs w:val="22"/>
        </w:rPr>
        <w:t>（五）投标保证金转账凭证</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4</w:t>
      </w:r>
    </w:p>
    <w:p>
      <w:pPr>
        <w:pStyle w:val="43"/>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"_Toc16938" </w:instrText>
      </w:r>
      <w:r>
        <w:fldChar w:fldCharType="separate"/>
      </w:r>
      <w:r>
        <w:rPr>
          <w:rFonts w:hint="eastAsia" w:asciiTheme="minorEastAsia" w:hAnsiTheme="minorEastAsia" w:eastAsiaTheme="minorEastAsia" w:cstheme="minorEastAsia"/>
          <w:sz w:val="22"/>
          <w:szCs w:val="22"/>
        </w:rPr>
        <w:t>二、资格审查资料</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5</w:t>
      </w:r>
    </w:p>
    <w:p>
      <w:pPr>
        <w:pStyle w:val="2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"_Toc17058" </w:instrText>
      </w:r>
      <w:r>
        <w:fldChar w:fldCharType="separate"/>
      </w:r>
      <w:r>
        <w:rPr>
          <w:rFonts w:hint="eastAsia" w:asciiTheme="minorEastAsia" w:hAnsiTheme="minorEastAsia" w:eastAsiaTheme="minorEastAsia" w:cstheme="minorEastAsia"/>
          <w:sz w:val="22"/>
          <w:szCs w:val="22"/>
        </w:rPr>
        <w:t>（一）法定代表人身份证明及授权委托书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8</w:t>
      </w:r>
    </w:p>
    <w:p>
      <w:pPr>
        <w:pStyle w:val="2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"_Toc17202" </w:instrText>
      </w:r>
      <w:r>
        <w:fldChar w:fldCharType="separate"/>
      </w:r>
      <w:r>
        <w:rPr>
          <w:rFonts w:hint="eastAsia" w:asciiTheme="minorEastAsia" w:hAnsiTheme="minorEastAsia" w:eastAsiaTheme="minorEastAsia" w:cstheme="minorEastAsia"/>
          <w:sz w:val="22"/>
          <w:szCs w:val="22"/>
        </w:rPr>
        <w:t>（二）比选申请人基本情况表</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50</w:t>
      </w:r>
    </w:p>
    <w:p>
      <w:pPr>
        <w:pStyle w:val="2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"_Toc18440" </w:instrText>
      </w:r>
      <w:r>
        <w:fldChar w:fldCharType="separate"/>
      </w:r>
      <w:r>
        <w:rPr>
          <w:rFonts w:hint="eastAsia" w:asciiTheme="minorEastAsia" w:hAnsiTheme="minorEastAsia" w:eastAsiaTheme="minorEastAsia" w:cstheme="minorEastAsia"/>
          <w:bCs/>
          <w:snapToGrid w:val="0"/>
          <w:sz w:val="22"/>
          <w:szCs w:val="22"/>
        </w:rPr>
        <w:t>（三）项目管理机构</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1</w:t>
      </w:r>
    </w:p>
    <w:p>
      <w:pPr>
        <w:pStyle w:val="27"/>
        <w:tabs>
          <w:tab w:val="right" w:leader="dot" w:pos="8385"/>
        </w:tabs>
        <w:spacing w:line="340" w:lineRule="exact"/>
        <w:jc w:val="center"/>
        <w:rPr>
          <w:rFonts w:asciiTheme="minorEastAsia" w:hAnsiTheme="minorEastAsia" w:eastAsiaTheme="minorEastAsia" w:cstheme="minorEastAsia"/>
          <w:bCs/>
          <w:kern w:val="0"/>
          <w:sz w:val="22"/>
          <w:szCs w:val="22"/>
        </w:rPr>
      </w:pPr>
      <w:r>
        <w:fldChar w:fldCharType="begin"/>
      </w:r>
      <w:r>
        <w:instrText xml:space="preserve"> HYPERLINK \l "_Toc18440" </w:instrText>
      </w:r>
      <w:r>
        <w:fldChar w:fldCharType="separate"/>
      </w:r>
      <w:r>
        <w:rPr>
          <w:rFonts w:hint="eastAsia" w:asciiTheme="minorEastAsia" w:hAnsiTheme="minorEastAsia" w:eastAsiaTheme="minorEastAsia" w:cstheme="minorEastAsia"/>
          <w:bCs/>
          <w:snapToGrid w:val="0"/>
          <w:sz w:val="22"/>
          <w:szCs w:val="22"/>
        </w:rPr>
        <w:t>（四）近年财务状况表</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Cs/>
          <w:kern w:val="0"/>
          <w:sz w:val="22"/>
          <w:szCs w:val="22"/>
        </w:rPr>
        <w:t>5</w:t>
      </w:r>
      <w:r>
        <w:rPr>
          <w:rFonts w:hint="eastAsia" w:asciiTheme="minorEastAsia" w:hAnsiTheme="minorEastAsia" w:eastAsiaTheme="minorEastAsia" w:cstheme="minorEastAsia"/>
          <w:bCs/>
          <w:kern w:val="0"/>
          <w:sz w:val="22"/>
          <w:szCs w:val="22"/>
          <w:lang w:val="en-US" w:eastAsia="zh-CN"/>
        </w:rPr>
        <w:t>3</w:t>
      </w:r>
    </w:p>
    <w:p>
      <w:pPr>
        <w:pStyle w:val="27"/>
        <w:tabs>
          <w:tab w:val="right" w:leader="dot" w:pos="8385"/>
        </w:tabs>
        <w:spacing w:line="340" w:lineRule="exact"/>
        <w:jc w:val="center"/>
        <w:rPr>
          <w:rFonts w:asciiTheme="minorEastAsia" w:hAnsiTheme="minorEastAsia" w:eastAsiaTheme="minorEastAsia" w:cstheme="minorEastAsia"/>
          <w:bCs/>
          <w:kern w:val="0"/>
          <w:sz w:val="22"/>
          <w:szCs w:val="22"/>
        </w:rPr>
      </w:pPr>
      <w:r>
        <w:fldChar w:fldCharType="begin"/>
      </w:r>
      <w:r>
        <w:instrText xml:space="preserve"> HYPERLINK \l "_Toc16545" </w:instrText>
      </w:r>
      <w:r>
        <w:fldChar w:fldCharType="separate"/>
      </w:r>
      <w:r>
        <w:rPr>
          <w:rFonts w:hint="eastAsia" w:asciiTheme="minorEastAsia" w:hAnsiTheme="minorEastAsia" w:eastAsiaTheme="minorEastAsia" w:cstheme="minorEastAsia"/>
          <w:bCs/>
          <w:snapToGrid w:val="0"/>
          <w:sz w:val="22"/>
          <w:szCs w:val="22"/>
        </w:rPr>
        <w:t>（五）类似业绩证明材料</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Cs/>
          <w:kern w:val="0"/>
          <w:sz w:val="22"/>
          <w:szCs w:val="22"/>
        </w:rPr>
        <w:t>5</w:t>
      </w:r>
      <w:r>
        <w:rPr>
          <w:rFonts w:hint="eastAsia" w:asciiTheme="minorEastAsia" w:hAnsiTheme="minorEastAsia" w:eastAsiaTheme="minorEastAsia" w:cstheme="minorEastAsia"/>
          <w:bCs/>
          <w:kern w:val="0"/>
          <w:sz w:val="22"/>
          <w:szCs w:val="22"/>
          <w:lang w:val="en-US" w:eastAsia="zh-CN"/>
        </w:rPr>
        <w:t>4</w:t>
      </w:r>
    </w:p>
    <w:p>
      <w:pPr>
        <w:pStyle w:val="27"/>
        <w:tabs>
          <w:tab w:val="right" w:leader="dot" w:pos="8385"/>
        </w:tabs>
        <w:spacing w:line="340" w:lineRule="exact"/>
        <w:jc w:val="center"/>
      </w:pPr>
      <w:r>
        <w:fldChar w:fldCharType="begin"/>
      </w:r>
      <w:r>
        <w:instrText xml:space="preserve"> HYPERLINK \l "_Toc16545" </w:instrText>
      </w:r>
      <w:r>
        <w:fldChar w:fldCharType="separate"/>
      </w:r>
      <w:r>
        <w:rPr>
          <w:rFonts w:hint="eastAsia" w:asciiTheme="minorEastAsia" w:hAnsiTheme="minorEastAsia" w:eastAsiaTheme="minorEastAsia" w:cstheme="minorEastAsia"/>
          <w:bCs/>
          <w:snapToGrid w:val="0"/>
          <w:sz w:val="22"/>
          <w:szCs w:val="22"/>
        </w:rPr>
        <w:t>（六）信誉要求</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_Toc16545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5</w:t>
      </w:r>
    </w:p>
    <w:p>
      <w:pPr>
        <w:pStyle w:val="27"/>
        <w:tabs>
          <w:tab w:val="right" w:leader="dot" w:pos="8385"/>
        </w:tabs>
        <w:spacing w:line="340" w:lineRule="exact"/>
        <w:jc w:val="center"/>
        <w:rPr>
          <w:rFonts w:asciiTheme="minorEastAsia" w:hAnsiTheme="minorEastAsia" w:eastAsiaTheme="minorEastAsia" w:cstheme="minorEastAsia"/>
          <w:sz w:val="22"/>
          <w:szCs w:val="22"/>
        </w:rPr>
      </w:pPr>
      <w:r>
        <w:fldChar w:fldCharType="begin"/>
      </w:r>
      <w:r>
        <w:instrText xml:space="preserve"> HYPERLINK \l "_Toc12661" </w:instrText>
      </w:r>
      <w:r>
        <w:fldChar w:fldCharType="separate"/>
      </w:r>
      <w:r>
        <w:rPr>
          <w:rFonts w:hint="eastAsia" w:asciiTheme="minorEastAsia" w:hAnsiTheme="minorEastAsia" w:eastAsiaTheme="minorEastAsia" w:cstheme="minorEastAsia"/>
          <w:bCs/>
          <w:snapToGrid w:val="0"/>
          <w:sz w:val="22"/>
          <w:szCs w:val="22"/>
        </w:rPr>
        <w:t>（七）其他资料</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_Toc12661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6</w:t>
      </w:r>
    </w:p>
    <w:p>
      <w:pPr>
        <w:pStyle w:val="43"/>
        <w:tabs>
          <w:tab w:val="right" w:leader="dot" w:pos="8385"/>
        </w:tabs>
        <w:spacing w:line="340" w:lineRule="exact"/>
        <w:jc w:val="center"/>
        <w:rPr>
          <w:rFonts w:asciiTheme="minorEastAsia" w:hAnsiTheme="minorEastAsia" w:eastAsiaTheme="minorEastAsia" w:cstheme="minorEastAsia"/>
          <w:bCs/>
          <w:kern w:val="0"/>
          <w:sz w:val="22"/>
          <w:szCs w:val="22"/>
        </w:rPr>
      </w:pPr>
      <w:r>
        <w:fldChar w:fldCharType="begin"/>
      </w:r>
      <w:r>
        <w:instrText xml:space="preserve"> HYPERLINK \l "_Toc16205" </w:instrText>
      </w:r>
      <w:r>
        <w:fldChar w:fldCharType="separate"/>
      </w:r>
      <w:r>
        <w:rPr>
          <w:rFonts w:hint="eastAsia" w:asciiTheme="minorEastAsia" w:hAnsiTheme="minorEastAsia" w:eastAsiaTheme="minorEastAsia" w:cstheme="minorEastAsia"/>
          <w:sz w:val="22"/>
          <w:szCs w:val="22"/>
        </w:rPr>
        <w:t>三、商务部分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7</w:t>
      </w:r>
    </w:p>
    <w:p>
      <w:pPr>
        <w:pStyle w:val="43"/>
        <w:tabs>
          <w:tab w:val="right" w:leader="dot" w:pos="8385"/>
        </w:tabs>
        <w:spacing w:line="340" w:lineRule="exact"/>
        <w:jc w:val="center"/>
        <w:rPr>
          <w:rFonts w:asciiTheme="minorEastAsia" w:hAnsiTheme="minorEastAsia" w:eastAsiaTheme="minorEastAsia" w:cstheme="minorEastAsia"/>
          <w:bCs/>
          <w:kern w:val="0"/>
          <w:sz w:val="22"/>
          <w:szCs w:val="22"/>
        </w:rPr>
      </w:pPr>
      <w:r>
        <w:fldChar w:fldCharType="begin"/>
      </w:r>
      <w:r>
        <w:instrText xml:space="preserve"> HYPERLINK \l "_Toc16205" </w:instrText>
      </w:r>
      <w:r>
        <w:fldChar w:fldCharType="separate"/>
      </w:r>
      <w:r>
        <w:rPr>
          <w:rFonts w:hint="eastAsia" w:asciiTheme="minorEastAsia" w:hAnsiTheme="minorEastAsia" w:eastAsiaTheme="minorEastAsia" w:cstheme="minorEastAsia"/>
          <w:bCs/>
          <w:kern w:val="0"/>
          <w:sz w:val="22"/>
          <w:szCs w:val="22"/>
        </w:rPr>
        <w:t>四</w:t>
      </w:r>
      <w:r>
        <w:rPr>
          <w:rFonts w:hint="eastAsia" w:asciiTheme="minorEastAsia" w:hAnsiTheme="minorEastAsia" w:eastAsiaTheme="minorEastAsia" w:cstheme="minorEastAsia"/>
          <w:sz w:val="22"/>
          <w:szCs w:val="22"/>
        </w:rPr>
        <w:t>、技术部分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1</w:t>
      </w:r>
    </w:p>
    <w:p>
      <w:pPr>
        <w:pStyle w:val="43"/>
        <w:tabs>
          <w:tab w:val="right" w:leader="dot" w:pos="8385"/>
        </w:tabs>
        <w:spacing w:line="340" w:lineRule="exact"/>
        <w:jc w:val="center"/>
        <w:rPr>
          <w:rFonts w:asciiTheme="minorEastAsia" w:hAnsiTheme="minorEastAsia" w:eastAsiaTheme="minorEastAsia" w:cstheme="minorEastAsia"/>
          <w:bCs/>
          <w:kern w:val="0"/>
          <w:sz w:val="22"/>
          <w:szCs w:val="22"/>
        </w:rPr>
      </w:pPr>
      <w:r>
        <w:rPr>
          <w:rFonts w:hint="eastAsia" w:asciiTheme="minorEastAsia" w:hAnsiTheme="minorEastAsia" w:eastAsiaTheme="minorEastAsia" w:cstheme="minorEastAsia"/>
          <w:bCs/>
          <w:kern w:val="0"/>
          <w:sz w:val="22"/>
          <w:szCs w:val="22"/>
        </w:rPr>
        <w:fldChar w:fldCharType="end"/>
      </w:r>
    </w:p>
    <w:p>
      <w:pPr>
        <w:pStyle w:val="43"/>
        <w:tabs>
          <w:tab w:val="right" w:leader="dot" w:pos="8385"/>
        </w:tabs>
        <w:spacing w:line="340" w:lineRule="exact"/>
        <w:ind w:left="0" w:leftChars="0"/>
        <w:jc w:val="center"/>
        <w:rPr>
          <w:rFonts w:asciiTheme="majorEastAsia" w:hAnsiTheme="majorEastAsia" w:eastAsiaTheme="majorEastAsia"/>
          <w:bCs/>
          <w:kern w:val="0"/>
          <w:szCs w:val="21"/>
        </w:rPr>
      </w:pPr>
      <w:r>
        <w:rPr>
          <w:rFonts w:hint="eastAsia" w:asciiTheme="minorEastAsia" w:hAnsiTheme="minorEastAsia" w:eastAsiaTheme="minorEastAsia" w:cstheme="minorEastAsia"/>
          <w:bCs/>
          <w:kern w:val="0"/>
          <w:sz w:val="22"/>
          <w:szCs w:val="22"/>
        </w:rPr>
        <w:fldChar w:fldCharType="end"/>
      </w:r>
    </w:p>
    <w:p>
      <w:pPr>
        <w:pStyle w:val="3"/>
        <w:ind w:left="0" w:firstLine="0"/>
        <w:rPr>
          <w:rFonts w:asciiTheme="majorEastAsia" w:hAnsiTheme="majorEastAsia" w:eastAsiaTheme="majorEastAsia"/>
          <w:b/>
          <w:kern w:val="0"/>
          <w:sz w:val="36"/>
          <w:szCs w:val="36"/>
        </w:rPr>
      </w:pPr>
      <w:bookmarkStart w:id="0" w:name="_Toc9850"/>
      <w:bookmarkStart w:id="1" w:name="_Toc6226"/>
      <w:bookmarkStart w:id="2" w:name="_Toc232500168"/>
      <w:bookmarkStart w:id="3" w:name="_Toc29123"/>
      <w:bookmarkStart w:id="4" w:name="_Toc28097764"/>
      <w:r>
        <w:rPr>
          <w:rFonts w:hint="eastAsia" w:asciiTheme="majorEastAsia" w:hAnsiTheme="majorEastAsia" w:eastAsiaTheme="majorEastAsia"/>
          <w:b/>
          <w:kern w:val="0"/>
          <w:sz w:val="36"/>
          <w:szCs w:val="36"/>
        </w:rPr>
        <w:t xml:space="preserve">第一章 </w:t>
      </w:r>
      <w:bookmarkEnd w:id="0"/>
      <w:bookmarkEnd w:id="1"/>
      <w:bookmarkEnd w:id="2"/>
      <w:r>
        <w:rPr>
          <w:rFonts w:hint="eastAsia" w:asciiTheme="majorEastAsia" w:hAnsiTheme="majorEastAsia" w:eastAsiaTheme="majorEastAsia"/>
          <w:b/>
          <w:kern w:val="0"/>
          <w:sz w:val="36"/>
          <w:szCs w:val="36"/>
        </w:rPr>
        <w:t>竞争性比选公告</w:t>
      </w:r>
      <w:bookmarkEnd w:id="3"/>
      <w:bookmarkEnd w:id="4"/>
    </w:p>
    <w:p>
      <w:pPr>
        <w:spacing w:line="360" w:lineRule="auto"/>
        <w:jc w:val="center"/>
        <w:rPr>
          <w:rFonts w:cs="宋体" w:asciiTheme="majorEastAsia" w:hAnsiTheme="majorEastAsia" w:eastAsiaTheme="majorEastAsia"/>
          <w:b/>
          <w:bCs/>
          <w:kern w:val="0"/>
          <w:sz w:val="30"/>
          <w:szCs w:val="30"/>
          <w:lang w:val="zh-CN"/>
        </w:rPr>
      </w:pPr>
      <w:bookmarkStart w:id="5" w:name="OLE_LINK8"/>
      <w:r>
        <w:rPr>
          <w:rFonts w:hint="eastAsia" w:cs="宋体" w:asciiTheme="majorEastAsia" w:hAnsiTheme="majorEastAsia" w:eastAsiaTheme="majorEastAsia"/>
          <w:b/>
          <w:bCs/>
          <w:kern w:val="0"/>
          <w:sz w:val="30"/>
          <w:szCs w:val="30"/>
        </w:rPr>
        <w:t>高升服务区室内装修工程</w:t>
      </w:r>
      <w:r>
        <w:rPr>
          <w:rFonts w:hint="eastAsia" w:cs="宋体" w:asciiTheme="majorEastAsia" w:hAnsiTheme="majorEastAsia" w:eastAsiaTheme="majorEastAsia"/>
          <w:b/>
          <w:bCs/>
          <w:kern w:val="0"/>
          <w:sz w:val="30"/>
          <w:szCs w:val="30"/>
          <w:lang w:val="zh-CN"/>
        </w:rPr>
        <w:t>竞争性比选公告</w:t>
      </w:r>
    </w:p>
    <w:p>
      <w:pPr>
        <w:pStyle w:val="4"/>
        <w:rPr>
          <w:rFonts w:cs="宋体" w:asciiTheme="majorEastAsia" w:hAnsiTheme="majorEastAsia" w:eastAsiaTheme="majorEastAsia"/>
          <w:bCs/>
          <w:color w:val="auto"/>
          <w:sz w:val="24"/>
          <w:szCs w:val="22"/>
          <w:lang w:val="zh-CN"/>
        </w:rPr>
      </w:pPr>
      <w:bookmarkStart w:id="6" w:name="_Toc8276"/>
      <w:r>
        <w:rPr>
          <w:rFonts w:hint="eastAsia" w:cs="宋体" w:asciiTheme="majorEastAsia" w:hAnsiTheme="majorEastAsia" w:eastAsiaTheme="majorEastAsia"/>
          <w:bCs/>
          <w:color w:val="auto"/>
          <w:sz w:val="24"/>
          <w:szCs w:val="22"/>
          <w:lang w:val="zh-CN"/>
        </w:rPr>
        <w:t>1．比选条件</w:t>
      </w:r>
      <w:bookmarkEnd w:id="6"/>
    </w:p>
    <w:p>
      <w:pPr>
        <w:snapToGrid w:val="0"/>
        <w:spacing w:line="360" w:lineRule="auto"/>
        <w:ind w:firstLine="440" w:firstLineChars="200"/>
        <w:rPr>
          <w:rFonts w:cs="宋体" w:asciiTheme="majorEastAsia" w:hAnsiTheme="majorEastAsia" w:eastAsiaTheme="majorEastAsia"/>
          <w:color w:val="auto"/>
          <w:sz w:val="22"/>
          <w:szCs w:val="22"/>
        </w:rPr>
      </w:pPr>
      <w:r>
        <w:rPr>
          <w:rFonts w:hint="eastAsia" w:asciiTheme="majorEastAsia" w:hAnsiTheme="majorEastAsia" w:eastAsiaTheme="majorEastAsia"/>
          <w:color w:val="auto"/>
          <w:sz w:val="22"/>
          <w:szCs w:val="22"/>
          <w:u w:val="single"/>
        </w:rPr>
        <w:t>高升服务区室内装修工程施工项目（以下简称本项目）</w:t>
      </w:r>
      <w:r>
        <w:rPr>
          <w:rFonts w:hint="eastAsia" w:asciiTheme="majorEastAsia" w:hAnsiTheme="majorEastAsia" w:eastAsiaTheme="majorEastAsia"/>
          <w:color w:val="auto"/>
          <w:sz w:val="22"/>
          <w:szCs w:val="22"/>
        </w:rPr>
        <w:t>，比选人为</w:t>
      </w:r>
      <w:r>
        <w:rPr>
          <w:rFonts w:hint="eastAsia" w:asciiTheme="majorEastAsia" w:hAnsiTheme="majorEastAsia" w:eastAsiaTheme="majorEastAsia"/>
          <w:color w:val="auto"/>
          <w:sz w:val="22"/>
          <w:szCs w:val="22"/>
          <w:u w:val="single"/>
        </w:rPr>
        <w:t>高速管家（重庆）实业有限公司</w:t>
      </w:r>
      <w:r>
        <w:rPr>
          <w:rFonts w:hint="eastAsia" w:asciiTheme="majorEastAsia" w:hAnsiTheme="majorEastAsia" w:eastAsiaTheme="majorEastAsia"/>
          <w:color w:val="auto"/>
          <w:sz w:val="22"/>
          <w:szCs w:val="22"/>
        </w:rPr>
        <w:t>，建设资金为</w:t>
      </w:r>
      <w:r>
        <w:rPr>
          <w:rFonts w:hint="eastAsia" w:asciiTheme="majorEastAsia" w:hAnsiTheme="majorEastAsia" w:eastAsiaTheme="majorEastAsia"/>
          <w:color w:val="auto"/>
          <w:sz w:val="22"/>
          <w:szCs w:val="22"/>
          <w:u w:val="single"/>
        </w:rPr>
        <w:t>业主自筹</w:t>
      </w:r>
      <w:r>
        <w:rPr>
          <w:rFonts w:hint="eastAsia" w:asciiTheme="majorEastAsia" w:hAnsiTheme="majorEastAsia" w:eastAsiaTheme="majorEastAsia"/>
          <w:color w:val="auto"/>
          <w:sz w:val="22"/>
          <w:szCs w:val="22"/>
        </w:rPr>
        <w:t>，本项目已具备</w:t>
      </w:r>
      <w:r>
        <w:rPr>
          <w:rFonts w:hint="eastAsia" w:asciiTheme="majorEastAsia" w:hAnsiTheme="majorEastAsia" w:eastAsiaTheme="majorEastAsia"/>
          <w:color w:val="auto"/>
          <w:sz w:val="22"/>
          <w:szCs w:val="22"/>
          <w:lang w:val="en-US" w:eastAsia="zh-CN"/>
        </w:rPr>
        <w:t>比</w:t>
      </w:r>
      <w:r>
        <w:rPr>
          <w:rFonts w:hint="eastAsia" w:asciiTheme="majorEastAsia" w:hAnsiTheme="majorEastAsia" w:eastAsiaTheme="majorEastAsia"/>
          <w:color w:val="auto"/>
          <w:sz w:val="22"/>
          <w:szCs w:val="22"/>
        </w:rPr>
        <w:t>选条件，现对该项目的施工进行竞争性比选。</w:t>
      </w:r>
      <w:r>
        <w:rPr>
          <w:rFonts w:hint="eastAsia" w:cs="宋体" w:asciiTheme="majorEastAsia" w:hAnsiTheme="majorEastAsia" w:eastAsiaTheme="majorEastAsia"/>
          <w:color w:val="auto"/>
          <w:sz w:val="22"/>
          <w:szCs w:val="22"/>
        </w:rPr>
        <w:t xml:space="preserve"> </w:t>
      </w:r>
    </w:p>
    <w:p>
      <w:pPr>
        <w:pStyle w:val="4"/>
        <w:rPr>
          <w:rFonts w:cs="宋体" w:asciiTheme="majorEastAsia" w:hAnsiTheme="majorEastAsia" w:eastAsiaTheme="majorEastAsia"/>
          <w:bCs/>
          <w:sz w:val="22"/>
          <w:szCs w:val="22"/>
          <w:lang w:val="zh-CN"/>
        </w:rPr>
      </w:pPr>
      <w:bookmarkStart w:id="7" w:name="_Toc11653"/>
      <w:r>
        <w:rPr>
          <w:rFonts w:hint="eastAsia" w:cs="宋体" w:asciiTheme="majorEastAsia" w:hAnsiTheme="majorEastAsia" w:eastAsiaTheme="majorEastAsia"/>
          <w:bCs/>
          <w:sz w:val="24"/>
          <w:szCs w:val="22"/>
          <w:lang w:val="zh-CN"/>
        </w:rPr>
        <w:t>2．项目概况与比选范围</w:t>
      </w:r>
      <w:bookmarkEnd w:id="7"/>
    </w:p>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2.1 建设地点：</w:t>
      </w:r>
      <w:r>
        <w:rPr>
          <w:rFonts w:hint="eastAsia" w:cs="宋体" w:asciiTheme="majorEastAsia" w:hAnsiTheme="majorEastAsia" w:eastAsiaTheme="majorEastAsia"/>
          <w:color w:val="auto"/>
          <w:sz w:val="22"/>
          <w:szCs w:val="22"/>
        </w:rPr>
        <w:t>大足区高升镇G5013渝</w:t>
      </w:r>
      <w:r>
        <w:rPr>
          <w:rFonts w:hint="eastAsia" w:cs="宋体" w:asciiTheme="majorEastAsia" w:hAnsiTheme="majorEastAsia" w:eastAsiaTheme="majorEastAsia"/>
          <w:sz w:val="22"/>
          <w:szCs w:val="22"/>
        </w:rPr>
        <w:t>蓉高速公路省界收费站（出城侧）高升服务区。</w:t>
      </w:r>
    </w:p>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2.2 建设规模：高升服务区单侧商业面积约929m</w:t>
      </w:r>
      <w:r>
        <w:rPr>
          <w:rFonts w:hint="eastAsia" w:cs="宋体" w:asciiTheme="majorEastAsia" w:hAnsiTheme="majorEastAsia" w:eastAsiaTheme="majorEastAsia"/>
          <w:sz w:val="22"/>
          <w:szCs w:val="22"/>
          <w:vertAlign w:val="superscript"/>
        </w:rPr>
        <w:t>2</w:t>
      </w:r>
      <w:r>
        <w:rPr>
          <w:rFonts w:hint="eastAsia" w:cs="宋体" w:asciiTheme="majorEastAsia" w:hAnsiTheme="majorEastAsia" w:eastAsiaTheme="majorEastAsia"/>
          <w:sz w:val="22"/>
          <w:szCs w:val="22"/>
        </w:rPr>
        <w:t>，室内面积611m</w:t>
      </w:r>
      <w:r>
        <w:rPr>
          <w:rFonts w:hint="eastAsia" w:cs="宋体" w:asciiTheme="majorEastAsia" w:hAnsiTheme="majorEastAsia" w:eastAsiaTheme="majorEastAsia"/>
          <w:sz w:val="22"/>
          <w:szCs w:val="22"/>
          <w:vertAlign w:val="superscript"/>
        </w:rPr>
        <w:t>2</w:t>
      </w:r>
      <w:r>
        <w:rPr>
          <w:rFonts w:hint="eastAsia" w:cs="宋体" w:asciiTheme="majorEastAsia" w:hAnsiTheme="majorEastAsia" w:eastAsiaTheme="majorEastAsia"/>
          <w:sz w:val="22"/>
          <w:szCs w:val="22"/>
        </w:rPr>
        <w:t>，架空走廊318m</w:t>
      </w:r>
      <w:r>
        <w:rPr>
          <w:rFonts w:hint="eastAsia" w:cs="宋体" w:asciiTheme="majorEastAsia" w:hAnsiTheme="majorEastAsia" w:eastAsiaTheme="majorEastAsia"/>
          <w:sz w:val="22"/>
          <w:szCs w:val="22"/>
          <w:vertAlign w:val="superscript"/>
        </w:rPr>
        <w:t>2</w:t>
      </w:r>
      <w:r>
        <w:rPr>
          <w:rFonts w:hint="eastAsia" w:cs="宋体" w:asciiTheme="majorEastAsia" w:hAnsiTheme="majorEastAsia" w:eastAsiaTheme="majorEastAsia"/>
          <w:sz w:val="22"/>
          <w:szCs w:val="22"/>
        </w:rPr>
        <w:t>。</w:t>
      </w:r>
    </w:p>
    <w:p>
      <w:pPr>
        <w:snapToGrid w:val="0"/>
        <w:spacing w:line="360" w:lineRule="auto"/>
        <w:ind w:firstLine="440" w:firstLineChars="200"/>
        <w:rPr>
          <w:rFonts w:cs="宋体" w:asciiTheme="majorEastAsia" w:hAnsiTheme="majorEastAsia" w:eastAsiaTheme="majorEastAsia"/>
          <w:sz w:val="22"/>
          <w:szCs w:val="22"/>
          <w:highlight w:val="none"/>
        </w:rPr>
      </w:pPr>
      <w:r>
        <w:rPr>
          <w:rFonts w:hint="eastAsia" w:cs="宋体" w:asciiTheme="majorEastAsia" w:hAnsiTheme="majorEastAsia" w:eastAsiaTheme="majorEastAsia"/>
          <w:sz w:val="22"/>
          <w:szCs w:val="22"/>
        </w:rPr>
        <w:t>2.3 本次比选项目最高限价</w:t>
      </w:r>
      <w:r>
        <w:rPr>
          <w:rFonts w:hint="eastAsia" w:cs="宋体" w:asciiTheme="majorEastAsia" w:hAnsiTheme="majorEastAsia" w:eastAsiaTheme="majorEastAsia"/>
          <w:sz w:val="22"/>
          <w:szCs w:val="22"/>
          <w:highlight w:val="none"/>
        </w:rPr>
        <w:t>：</w:t>
      </w:r>
      <w:r>
        <w:rPr>
          <w:rFonts w:hint="eastAsia" w:cs="宋体" w:asciiTheme="majorEastAsia" w:hAnsiTheme="majorEastAsia" w:eastAsiaTheme="majorEastAsia"/>
          <w:b/>
          <w:bCs/>
          <w:sz w:val="22"/>
          <w:szCs w:val="22"/>
          <w:highlight w:val="none"/>
          <w:lang w:val="en-US" w:eastAsia="zh-CN"/>
        </w:rPr>
        <w:t>1720888.76</w:t>
      </w:r>
      <w:r>
        <w:rPr>
          <w:rFonts w:hint="eastAsia" w:cs="宋体" w:asciiTheme="majorEastAsia" w:hAnsiTheme="majorEastAsia" w:eastAsiaTheme="majorEastAsia"/>
          <w:b/>
          <w:bCs/>
          <w:sz w:val="22"/>
          <w:szCs w:val="22"/>
          <w:highlight w:val="none"/>
        </w:rPr>
        <w:t>元</w:t>
      </w:r>
      <w:r>
        <w:rPr>
          <w:rFonts w:hint="eastAsia" w:cs="宋体" w:asciiTheme="majorEastAsia" w:hAnsiTheme="majorEastAsia" w:eastAsiaTheme="majorEastAsia"/>
          <w:b/>
          <w:bCs/>
          <w:sz w:val="22"/>
          <w:szCs w:val="22"/>
          <w:highlight w:val="none"/>
          <w:lang w:eastAsia="zh-CN"/>
        </w:rPr>
        <w:t>。</w:t>
      </w:r>
    </w:p>
    <w:p>
      <w:pPr>
        <w:snapToGrid w:val="0"/>
        <w:spacing w:line="360" w:lineRule="auto"/>
        <w:ind w:firstLine="440" w:firstLineChars="200"/>
        <w:jc w:val="left"/>
        <w:rPr>
          <w:rFonts w:cs="宋体" w:asciiTheme="majorEastAsia" w:hAnsiTheme="majorEastAsia" w:eastAsiaTheme="majorEastAsia"/>
          <w:sz w:val="22"/>
          <w:szCs w:val="22"/>
        </w:rPr>
      </w:pPr>
      <w:r>
        <w:rPr>
          <w:rFonts w:cs="宋体" w:asciiTheme="majorEastAsia" w:hAnsiTheme="majorEastAsia" w:eastAsiaTheme="majorEastAsia"/>
          <w:sz w:val="22"/>
          <w:szCs w:val="22"/>
        </w:rPr>
        <w:t>2.</w:t>
      </w:r>
      <w:r>
        <w:rPr>
          <w:rFonts w:hint="eastAsia" w:cs="宋体" w:asciiTheme="majorEastAsia" w:hAnsiTheme="majorEastAsia" w:eastAsiaTheme="majorEastAsia"/>
          <w:sz w:val="22"/>
          <w:szCs w:val="22"/>
        </w:rPr>
        <w:t>4</w:t>
      </w:r>
      <w:r>
        <w:rPr>
          <w:rFonts w:cs="宋体" w:asciiTheme="majorEastAsia" w:hAnsiTheme="majorEastAsia" w:eastAsiaTheme="majorEastAsia"/>
          <w:sz w:val="22"/>
          <w:szCs w:val="22"/>
        </w:rPr>
        <w:t xml:space="preserve"> </w:t>
      </w:r>
      <w:r>
        <w:rPr>
          <w:rFonts w:hint="eastAsia" w:cs="宋体" w:asciiTheme="majorEastAsia" w:hAnsiTheme="majorEastAsia" w:eastAsiaTheme="majorEastAsia"/>
          <w:sz w:val="22"/>
          <w:szCs w:val="22"/>
        </w:rPr>
        <w:t>比选范围：</w:t>
      </w:r>
      <w:bookmarkStart w:id="8" w:name="OLE_LINK3"/>
      <w:r>
        <w:rPr>
          <w:rFonts w:hint="eastAsia" w:cs="宋体" w:asciiTheme="majorEastAsia" w:hAnsiTheme="majorEastAsia" w:eastAsiaTheme="majorEastAsia"/>
          <w:sz w:val="22"/>
          <w:szCs w:val="22"/>
        </w:rPr>
        <w:t>本项目施工设计图纸上所示的全部工作内容，具体以比选人发出的施工图纸及工程量清单为准，包括但不限于：除卫生间外的室内商业装修及内庭院装修，水电施工（室内装饰配电系统、照明、插座、给排水系统等）、弱电与智能化施工（电话通信与网络(含WIFI)系统、 电话通信与网络(含WIFI)布线系</w:t>
      </w:r>
      <w:r>
        <w:rPr>
          <w:rFonts w:hint="eastAsia" w:cs="宋体" w:asciiTheme="majorEastAsia" w:hAnsiTheme="majorEastAsia" w:eastAsiaTheme="majorEastAsia"/>
          <w:color w:val="auto"/>
          <w:sz w:val="22"/>
          <w:szCs w:val="22"/>
          <w:highlight w:val="none"/>
        </w:rPr>
        <w:t>统、摄像监控系统（海康</w:t>
      </w:r>
      <w:r>
        <w:rPr>
          <w:rFonts w:hint="eastAsia" w:cs="宋体" w:asciiTheme="majorEastAsia" w:hAnsiTheme="majorEastAsia" w:eastAsiaTheme="majorEastAsia"/>
          <w:color w:val="auto"/>
          <w:sz w:val="22"/>
          <w:szCs w:val="22"/>
          <w:highlight w:val="none"/>
          <w:lang w:val="en-US" w:eastAsia="zh-CN"/>
        </w:rPr>
        <w:t>威视</w:t>
      </w:r>
      <w:r>
        <w:rPr>
          <w:rFonts w:hint="eastAsia" w:cs="宋体" w:asciiTheme="majorEastAsia" w:hAnsiTheme="majorEastAsia" w:eastAsiaTheme="majorEastAsia"/>
          <w:color w:val="auto"/>
          <w:sz w:val="22"/>
          <w:szCs w:val="22"/>
          <w:highlight w:val="none"/>
        </w:rPr>
        <w:t>）），</w:t>
      </w:r>
      <w:r>
        <w:rPr>
          <w:rFonts w:hint="eastAsia" w:cs="宋体" w:asciiTheme="majorEastAsia" w:hAnsiTheme="majorEastAsia" w:eastAsiaTheme="majorEastAsia"/>
          <w:sz w:val="22"/>
          <w:szCs w:val="22"/>
        </w:rPr>
        <w:t>机电施工（排烟系统），外立面广告施工等。</w:t>
      </w:r>
    </w:p>
    <w:p>
      <w:pPr>
        <w:snapToGrid w:val="0"/>
        <w:spacing w:line="360" w:lineRule="auto"/>
        <w:ind w:firstLine="440" w:firstLineChars="20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2.5 工期要求</w:t>
      </w:r>
      <w:r>
        <w:rPr>
          <w:rFonts w:hint="eastAsia" w:cs="宋体" w:asciiTheme="majorEastAsia" w:hAnsiTheme="majorEastAsia" w:eastAsiaTheme="majorEastAsia"/>
          <w:color w:val="auto"/>
          <w:sz w:val="22"/>
          <w:szCs w:val="22"/>
        </w:rPr>
        <w:t>：</w:t>
      </w:r>
      <w:bookmarkEnd w:id="8"/>
      <w:r>
        <w:rPr>
          <w:rFonts w:hint="eastAsia" w:cs="宋体" w:asciiTheme="majorEastAsia" w:hAnsiTheme="majorEastAsia" w:eastAsiaTheme="majorEastAsia"/>
          <w:color w:val="auto"/>
          <w:sz w:val="22"/>
          <w:szCs w:val="22"/>
        </w:rPr>
        <w:t>工期</w:t>
      </w:r>
      <w:r>
        <w:rPr>
          <w:rFonts w:hint="eastAsia" w:cs="宋体" w:asciiTheme="majorEastAsia" w:hAnsiTheme="majorEastAsia" w:eastAsiaTheme="majorEastAsia"/>
          <w:b/>
          <w:bCs/>
          <w:color w:val="auto"/>
          <w:sz w:val="22"/>
          <w:szCs w:val="22"/>
        </w:rPr>
        <w:t>40</w:t>
      </w:r>
      <w:r>
        <w:rPr>
          <w:rFonts w:hint="eastAsia" w:cs="宋体" w:asciiTheme="majorEastAsia" w:hAnsiTheme="majorEastAsia" w:eastAsiaTheme="majorEastAsia"/>
          <w:color w:val="auto"/>
          <w:sz w:val="22"/>
          <w:szCs w:val="22"/>
        </w:rPr>
        <w:t>日历天，缺陷责</w:t>
      </w:r>
      <w:r>
        <w:rPr>
          <w:rFonts w:hint="eastAsia" w:cs="宋体" w:asciiTheme="majorEastAsia" w:hAnsiTheme="majorEastAsia" w:eastAsiaTheme="majorEastAsia"/>
          <w:sz w:val="22"/>
          <w:szCs w:val="22"/>
        </w:rPr>
        <w:t>任期</w:t>
      </w:r>
      <w:r>
        <w:rPr>
          <w:rFonts w:hint="eastAsia" w:cs="宋体" w:asciiTheme="majorEastAsia" w:hAnsiTheme="majorEastAsia" w:eastAsiaTheme="majorEastAsia"/>
          <w:b/>
          <w:bCs/>
          <w:sz w:val="22"/>
          <w:szCs w:val="22"/>
        </w:rPr>
        <w:t>24</w:t>
      </w:r>
      <w:r>
        <w:rPr>
          <w:rFonts w:hint="eastAsia" w:cs="宋体" w:asciiTheme="majorEastAsia" w:hAnsiTheme="majorEastAsia" w:eastAsiaTheme="majorEastAsia"/>
          <w:sz w:val="22"/>
          <w:szCs w:val="22"/>
        </w:rPr>
        <w:t>个月。</w:t>
      </w:r>
    </w:p>
    <w:p>
      <w:pPr>
        <w:pStyle w:val="4"/>
        <w:rPr>
          <w:rFonts w:cs="宋体" w:asciiTheme="majorEastAsia" w:hAnsiTheme="majorEastAsia" w:eastAsiaTheme="majorEastAsia"/>
          <w:bCs/>
          <w:color w:val="auto"/>
          <w:sz w:val="24"/>
          <w:szCs w:val="22"/>
          <w:lang w:val="zh-CN"/>
        </w:rPr>
      </w:pPr>
      <w:bookmarkStart w:id="9" w:name="_Toc9267"/>
      <w:r>
        <w:rPr>
          <w:rFonts w:hint="eastAsia" w:cs="宋体" w:asciiTheme="majorEastAsia" w:hAnsiTheme="majorEastAsia" w:eastAsiaTheme="majorEastAsia"/>
          <w:bCs/>
          <w:color w:val="auto"/>
          <w:sz w:val="24"/>
          <w:szCs w:val="22"/>
          <w:lang w:val="zh-CN"/>
        </w:rPr>
        <w:t>3．比选申请人资格要求</w:t>
      </w:r>
      <w:bookmarkEnd w:id="9"/>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3.1比选申请人须具备建设行政主管部门颁发的</w:t>
      </w:r>
      <w:r>
        <w:rPr>
          <w:rFonts w:hint="eastAsia" w:asciiTheme="majorEastAsia" w:hAnsiTheme="majorEastAsia" w:eastAsiaTheme="majorEastAsia"/>
          <w:b/>
          <w:sz w:val="22"/>
          <w:szCs w:val="22"/>
          <w:u w:val="single"/>
        </w:rPr>
        <w:t>建筑工程施工总承包叁级及以上资质</w:t>
      </w:r>
      <w:r>
        <w:rPr>
          <w:rFonts w:hint="eastAsia"/>
        </w:rPr>
        <w:t>或</w:t>
      </w:r>
      <w:r>
        <w:rPr>
          <w:rFonts w:hint="eastAsia" w:asciiTheme="majorEastAsia" w:hAnsiTheme="majorEastAsia" w:eastAsiaTheme="majorEastAsia"/>
          <w:b/>
          <w:sz w:val="22"/>
          <w:szCs w:val="22"/>
          <w:u w:val="single"/>
        </w:rPr>
        <w:t>建筑装修装饰工程专业承包贰级及以上资质</w:t>
      </w:r>
      <w:r>
        <w:rPr>
          <w:rFonts w:hint="eastAsia" w:asciiTheme="majorEastAsia" w:hAnsiTheme="majorEastAsia" w:eastAsiaTheme="majorEastAsia"/>
          <w:b/>
          <w:sz w:val="22"/>
          <w:szCs w:val="22"/>
          <w:lang w:eastAsia="zh-CN"/>
        </w:rPr>
        <w:t>。</w:t>
      </w:r>
    </w:p>
    <w:p>
      <w:pPr>
        <w:spacing w:line="360" w:lineRule="auto"/>
        <w:ind w:firstLine="440" w:firstLineChars="200"/>
        <w:rPr>
          <w:rFonts w:hint="eastAsia" w:asciiTheme="majorEastAsia" w:hAnsiTheme="majorEastAsia" w:eastAsiaTheme="majorEastAsia"/>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3.2 比选申请人须具备建设行政主管部门颁发的有效安全生产许可证。</w:t>
      </w:r>
    </w:p>
    <w:p>
      <w:pPr>
        <w:spacing w:line="360" w:lineRule="auto"/>
        <w:ind w:firstLine="440" w:firstLineChars="20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3.</w:t>
      </w:r>
      <w:r>
        <w:rPr>
          <w:rFonts w:hint="eastAsia" w:asciiTheme="majorEastAsia" w:hAnsiTheme="majorEastAsia" w:eastAsiaTheme="majorEastAsia"/>
          <w:color w:val="auto"/>
          <w:sz w:val="22"/>
          <w:szCs w:val="22"/>
          <w:highlight w:val="none"/>
          <w:lang w:val="en-US" w:eastAsia="zh-CN"/>
        </w:rPr>
        <w:t>3</w:t>
      </w:r>
      <w:r>
        <w:rPr>
          <w:rFonts w:asciiTheme="majorEastAsia" w:hAnsiTheme="majorEastAsia" w:eastAsiaTheme="majorEastAsia"/>
          <w:color w:val="auto"/>
          <w:sz w:val="22"/>
          <w:szCs w:val="22"/>
          <w:highlight w:val="none"/>
        </w:rPr>
        <w:t xml:space="preserve"> </w:t>
      </w:r>
      <w:r>
        <w:rPr>
          <w:rFonts w:hint="eastAsia" w:asciiTheme="majorEastAsia" w:hAnsiTheme="majorEastAsia" w:eastAsiaTheme="majorEastAsia"/>
          <w:color w:val="auto"/>
          <w:sz w:val="22"/>
          <w:szCs w:val="22"/>
          <w:highlight w:val="none"/>
          <w:lang w:val="en-US" w:eastAsia="zh-CN"/>
        </w:rPr>
        <w:t xml:space="preserve"> </w:t>
      </w:r>
      <w:r>
        <w:rPr>
          <w:rFonts w:hint="eastAsia" w:asciiTheme="majorEastAsia" w:hAnsiTheme="majorEastAsia" w:eastAsiaTheme="majorEastAsia"/>
          <w:color w:val="auto"/>
          <w:sz w:val="22"/>
          <w:szCs w:val="22"/>
          <w:highlight w:val="none"/>
        </w:rPr>
        <w:t>2019年1月1日至今，比选申请人须具有</w:t>
      </w:r>
      <w:r>
        <w:rPr>
          <w:rFonts w:hint="eastAsia" w:asciiTheme="majorEastAsia" w:hAnsiTheme="majorEastAsia" w:eastAsiaTheme="majorEastAsia"/>
          <w:color w:val="auto"/>
          <w:sz w:val="22"/>
          <w:szCs w:val="22"/>
          <w:highlight w:val="none"/>
          <w:lang w:val="en-US" w:eastAsia="zh-CN"/>
        </w:rPr>
        <w:t>至少1个</w:t>
      </w:r>
      <w:r>
        <w:rPr>
          <w:rFonts w:hint="eastAsia" w:asciiTheme="majorEastAsia" w:hAnsiTheme="majorEastAsia" w:eastAsiaTheme="majorEastAsia"/>
          <w:color w:val="auto"/>
          <w:sz w:val="22"/>
          <w:szCs w:val="22"/>
          <w:highlight w:val="none"/>
        </w:rPr>
        <w:t>100万及以上公共建筑装修工程（</w:t>
      </w:r>
      <w:r>
        <w:rPr>
          <w:rFonts w:hint="eastAsia" w:asciiTheme="majorEastAsia" w:hAnsiTheme="majorEastAsia" w:eastAsiaTheme="majorEastAsia"/>
          <w:color w:val="auto"/>
          <w:sz w:val="22"/>
          <w:szCs w:val="22"/>
          <w:highlight w:val="none"/>
          <w:lang w:val="en-US" w:eastAsia="zh-CN"/>
        </w:rPr>
        <w:t>如</w:t>
      </w:r>
      <w:r>
        <w:rPr>
          <w:rFonts w:hint="eastAsia" w:asciiTheme="majorEastAsia" w:hAnsiTheme="majorEastAsia" w:eastAsiaTheme="majorEastAsia"/>
          <w:color w:val="auto"/>
          <w:sz w:val="22"/>
          <w:szCs w:val="22"/>
          <w:highlight w:val="none"/>
        </w:rPr>
        <w:t>服务区、商场、写字楼、酒店、娱乐场所、机场、火车站等）</w:t>
      </w:r>
      <w:r>
        <w:rPr>
          <w:rFonts w:hint="eastAsia" w:asciiTheme="majorEastAsia" w:hAnsiTheme="majorEastAsia" w:eastAsiaTheme="majorEastAsia"/>
          <w:color w:val="auto"/>
          <w:sz w:val="22"/>
          <w:szCs w:val="22"/>
          <w:highlight w:val="none"/>
          <w:lang w:val="en-US" w:eastAsia="zh-CN"/>
        </w:rPr>
        <w:t>的</w:t>
      </w:r>
      <w:r>
        <w:rPr>
          <w:rFonts w:hint="eastAsia" w:asciiTheme="majorEastAsia" w:hAnsiTheme="majorEastAsia" w:eastAsiaTheme="majorEastAsia"/>
          <w:color w:val="auto"/>
          <w:sz w:val="22"/>
          <w:szCs w:val="22"/>
          <w:highlight w:val="none"/>
        </w:rPr>
        <w:t>业绩，以合同签订时间为准。</w:t>
      </w:r>
    </w:p>
    <w:p>
      <w:pPr>
        <w:spacing w:line="360" w:lineRule="auto"/>
        <w:ind w:firstLine="440" w:firstLineChars="200"/>
        <w:rPr>
          <w:rFonts w:hint="eastAsia" w:asciiTheme="majorEastAsia" w:hAnsiTheme="majorEastAsia" w:eastAsiaTheme="majorEastAsia"/>
          <w:sz w:val="22"/>
          <w:szCs w:val="22"/>
          <w:lang w:val="en-US" w:eastAsia="zh-CN"/>
        </w:rPr>
      </w:pPr>
      <w:r>
        <w:rPr>
          <w:rFonts w:hint="eastAsia" w:asciiTheme="majorEastAsia" w:hAnsiTheme="majorEastAsia" w:eastAsiaTheme="majorEastAsia"/>
          <w:sz w:val="22"/>
          <w:szCs w:val="22"/>
          <w:lang w:val="en-US" w:eastAsia="zh-CN"/>
        </w:rPr>
        <w:t>3.4 比选申请人还应在人员、设备、资金等方面具有相应的施工能力，详见竞争性比选文件第二章比选申请人须知前附表第1.4.1项内容</w:t>
      </w:r>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3.</w:t>
      </w:r>
      <w:r>
        <w:rPr>
          <w:rFonts w:hint="eastAsia" w:asciiTheme="majorEastAsia" w:hAnsiTheme="majorEastAsia" w:eastAsiaTheme="majorEastAsia"/>
          <w:sz w:val="22"/>
          <w:szCs w:val="22"/>
          <w:lang w:val="en-US" w:eastAsia="zh-CN"/>
        </w:rPr>
        <w:t>5</w:t>
      </w:r>
      <w:r>
        <w:rPr>
          <w:rFonts w:hint="eastAsia" w:asciiTheme="majorEastAsia" w:hAnsiTheme="majorEastAsia" w:eastAsiaTheme="majorEastAsia"/>
          <w:sz w:val="22"/>
          <w:szCs w:val="22"/>
        </w:rPr>
        <w:t xml:space="preserve"> 本次比选不接受联合体竞标。</w:t>
      </w:r>
    </w:p>
    <w:p>
      <w:pPr>
        <w:pStyle w:val="4"/>
        <w:rPr>
          <w:rFonts w:cs="宋体" w:asciiTheme="majorEastAsia" w:hAnsiTheme="majorEastAsia" w:eastAsiaTheme="majorEastAsia"/>
          <w:bCs/>
          <w:sz w:val="24"/>
          <w:szCs w:val="22"/>
          <w:lang w:val="zh-CN"/>
        </w:rPr>
      </w:pPr>
      <w:bookmarkStart w:id="10" w:name="_Toc27291"/>
      <w:r>
        <w:rPr>
          <w:rFonts w:hint="eastAsia" w:cs="宋体" w:asciiTheme="majorEastAsia" w:hAnsiTheme="majorEastAsia" w:eastAsiaTheme="majorEastAsia"/>
          <w:bCs/>
          <w:sz w:val="24"/>
          <w:szCs w:val="22"/>
          <w:lang w:val="zh-CN"/>
        </w:rPr>
        <w:t>4．比选文件的获取</w:t>
      </w:r>
      <w:bookmarkEnd w:id="10"/>
    </w:p>
    <w:p>
      <w:pPr>
        <w:tabs>
          <w:tab w:val="left" w:pos="3840"/>
          <w:tab w:val="left" w:pos="5300"/>
        </w:tabs>
        <w:autoSpaceDE w:val="0"/>
        <w:autoSpaceDN w:val="0"/>
        <w:adjustRightInd w:val="0"/>
        <w:snapToGrid w:val="0"/>
        <w:spacing w:line="360" w:lineRule="auto"/>
        <w:ind w:firstLine="440" w:firstLineChars="200"/>
        <w:jc w:val="left"/>
      </w:pPr>
      <w:r>
        <w:rPr>
          <w:rFonts w:hint="eastAsia" w:cs="MingLiU" w:asciiTheme="majorEastAsia" w:hAnsiTheme="majorEastAsia" w:eastAsiaTheme="majorEastAsia"/>
          <w:snapToGrid w:val="0"/>
          <w:kern w:val="0"/>
          <w:sz w:val="22"/>
          <w:szCs w:val="22"/>
        </w:rPr>
        <w:t>4.1 本项目不需报名，凡有意参加竞标者</w:t>
      </w:r>
      <w:r>
        <w:rPr>
          <w:rFonts w:hint="eastAsia" w:cs="MingLiU" w:asciiTheme="majorEastAsia" w:hAnsiTheme="majorEastAsia" w:eastAsiaTheme="majorEastAsia"/>
          <w:snapToGrid w:val="0"/>
          <w:kern w:val="0"/>
          <w:sz w:val="22"/>
          <w:szCs w:val="22"/>
          <w:highlight w:val="none"/>
        </w:rPr>
        <w:t>，请于</w:t>
      </w:r>
      <w:r>
        <w:rPr>
          <w:rFonts w:hint="eastAsia" w:cs="MingLiU" w:asciiTheme="majorEastAsia" w:hAnsiTheme="majorEastAsia" w:eastAsiaTheme="majorEastAsia"/>
          <w:b/>
          <w:snapToGrid w:val="0"/>
          <w:kern w:val="0"/>
          <w:sz w:val="22"/>
          <w:szCs w:val="22"/>
          <w:highlight w:val="none"/>
          <w:u w:val="single"/>
        </w:rPr>
        <w:t>2022年3月</w:t>
      </w:r>
      <w:r>
        <w:rPr>
          <w:rFonts w:hint="eastAsia" w:cs="MingLiU" w:asciiTheme="majorEastAsia" w:hAnsiTheme="majorEastAsia" w:eastAsiaTheme="majorEastAsia"/>
          <w:b/>
          <w:snapToGrid w:val="0"/>
          <w:kern w:val="0"/>
          <w:sz w:val="22"/>
          <w:szCs w:val="22"/>
          <w:highlight w:val="none"/>
          <w:u w:val="single"/>
          <w:lang w:val="en-US" w:eastAsia="zh-CN"/>
        </w:rPr>
        <w:t>16</w:t>
      </w:r>
      <w:r>
        <w:rPr>
          <w:rFonts w:hint="eastAsia" w:cs="MingLiU" w:asciiTheme="majorEastAsia" w:hAnsiTheme="majorEastAsia" w:eastAsiaTheme="majorEastAsia"/>
          <w:b/>
          <w:snapToGrid w:val="0"/>
          <w:kern w:val="0"/>
          <w:sz w:val="22"/>
          <w:szCs w:val="22"/>
          <w:highlight w:val="none"/>
          <w:u w:val="single"/>
        </w:rPr>
        <w:t>日前</w:t>
      </w:r>
      <w:r>
        <w:rPr>
          <w:rFonts w:hint="eastAsia" w:cs="MingLiU" w:asciiTheme="majorEastAsia" w:hAnsiTheme="majorEastAsia" w:eastAsiaTheme="majorEastAsia"/>
          <w:snapToGrid w:val="0"/>
          <w:kern w:val="0"/>
          <w:sz w:val="22"/>
          <w:szCs w:val="22"/>
          <w:highlight w:val="none"/>
        </w:rPr>
        <w:t>在</w:t>
      </w:r>
      <w:r>
        <w:rPr>
          <w:rFonts w:hint="eastAsia" w:cs="MingLiU" w:asciiTheme="majorEastAsia" w:hAnsiTheme="majorEastAsia" w:eastAsiaTheme="majorEastAsia"/>
          <w:b/>
          <w:snapToGrid w:val="0"/>
          <w:kern w:val="0"/>
          <w:sz w:val="22"/>
          <w:szCs w:val="22"/>
        </w:rPr>
        <w:t>重庆高速公路集团有限公司招投标管理平台（http://43.240.249.108:8088/PMS/）、重庆高速集团官网（http://www.cegc.com.cn/gw/newsInfoMenu.html?id=42&amp;key=2）</w:t>
      </w:r>
      <w:r>
        <w:rPr>
          <w:rFonts w:hint="eastAsia" w:cs="MingLiU" w:asciiTheme="majorEastAsia" w:hAnsiTheme="majorEastAsia" w:eastAsiaTheme="majorEastAsia"/>
          <w:snapToGrid w:val="0"/>
          <w:kern w:val="0"/>
          <w:sz w:val="22"/>
          <w:szCs w:val="22"/>
        </w:rPr>
        <w:t>下载本项目竞争性比选文件(含工程量清单)、图纸、澄清、修改、补遗等开标前公布的所有相关资料，不管比选申请人下载与否，比选人都视为比选申请人已收到以上资料并全部知晓有关比选过程和事宜，否则由此产生的一切后果由比选申请人自负。</w:t>
      </w:r>
    </w:p>
    <w:p>
      <w:pPr>
        <w:pStyle w:val="4"/>
        <w:rPr>
          <w:rFonts w:cs="宋体" w:asciiTheme="majorEastAsia" w:hAnsiTheme="majorEastAsia" w:eastAsiaTheme="majorEastAsia"/>
          <w:bCs/>
          <w:sz w:val="24"/>
          <w:szCs w:val="22"/>
          <w:lang w:val="zh-CN"/>
        </w:rPr>
      </w:pPr>
      <w:bookmarkStart w:id="11" w:name="_Toc18559"/>
      <w:r>
        <w:rPr>
          <w:rFonts w:hint="eastAsia" w:cs="宋体" w:asciiTheme="majorEastAsia" w:hAnsiTheme="majorEastAsia" w:eastAsiaTheme="majorEastAsia"/>
          <w:bCs/>
          <w:sz w:val="24"/>
          <w:szCs w:val="22"/>
          <w:lang w:val="zh-CN"/>
        </w:rPr>
        <w:t>5．比选申请文件的递交</w:t>
      </w:r>
      <w:bookmarkEnd w:id="11"/>
    </w:p>
    <w:p>
      <w:pPr>
        <w:tabs>
          <w:tab w:val="left" w:pos="3840"/>
          <w:tab w:val="left" w:pos="5300"/>
        </w:tabs>
        <w:autoSpaceDE w:val="0"/>
        <w:autoSpaceDN w:val="0"/>
        <w:adjustRightInd w:val="0"/>
        <w:snapToGrid w:val="0"/>
        <w:spacing w:line="360" w:lineRule="auto"/>
        <w:ind w:firstLine="440" w:firstLineChars="200"/>
        <w:jc w:val="left"/>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5.1 比选申请文件的</w:t>
      </w:r>
      <w:r>
        <w:rPr>
          <w:rFonts w:hint="eastAsia" w:cs="MingLiU" w:asciiTheme="majorEastAsia" w:hAnsiTheme="majorEastAsia" w:eastAsiaTheme="majorEastAsia"/>
          <w:snapToGrid w:val="0"/>
          <w:kern w:val="0"/>
          <w:sz w:val="22"/>
          <w:szCs w:val="22"/>
          <w:highlight w:val="none"/>
        </w:rPr>
        <w:t>递交时间为</w:t>
      </w:r>
      <w:r>
        <w:rPr>
          <w:rFonts w:hint="eastAsia" w:cs="MingLiU" w:asciiTheme="majorEastAsia" w:hAnsiTheme="majorEastAsia" w:eastAsiaTheme="majorEastAsia"/>
          <w:b/>
          <w:snapToGrid w:val="0"/>
          <w:kern w:val="0"/>
          <w:sz w:val="22"/>
          <w:szCs w:val="22"/>
          <w:highlight w:val="none"/>
          <w:u w:val="single"/>
        </w:rPr>
        <w:t>2022年3月</w:t>
      </w:r>
      <w:r>
        <w:rPr>
          <w:rFonts w:hint="eastAsia" w:cs="MingLiU" w:asciiTheme="majorEastAsia" w:hAnsiTheme="majorEastAsia" w:eastAsiaTheme="majorEastAsia"/>
          <w:b/>
          <w:snapToGrid w:val="0"/>
          <w:kern w:val="0"/>
          <w:sz w:val="22"/>
          <w:szCs w:val="22"/>
          <w:highlight w:val="none"/>
          <w:u w:val="single"/>
          <w:lang w:val="en-US" w:eastAsia="zh-CN"/>
        </w:rPr>
        <w:t>16</w:t>
      </w:r>
      <w:r>
        <w:rPr>
          <w:rFonts w:hint="eastAsia" w:cs="MingLiU" w:asciiTheme="majorEastAsia" w:hAnsiTheme="majorEastAsia" w:eastAsiaTheme="majorEastAsia"/>
          <w:b/>
          <w:snapToGrid w:val="0"/>
          <w:kern w:val="0"/>
          <w:sz w:val="22"/>
          <w:szCs w:val="22"/>
          <w:highlight w:val="none"/>
          <w:u w:val="single"/>
        </w:rPr>
        <w:t>日</w:t>
      </w:r>
      <w:r>
        <w:rPr>
          <w:rFonts w:hint="eastAsia" w:cs="MingLiU" w:asciiTheme="majorEastAsia" w:hAnsiTheme="majorEastAsia" w:eastAsiaTheme="majorEastAsia"/>
          <w:b/>
          <w:snapToGrid w:val="0"/>
          <w:kern w:val="0"/>
          <w:sz w:val="22"/>
          <w:szCs w:val="22"/>
          <w:highlight w:val="none"/>
          <w:u w:val="single"/>
          <w:lang w:val="en-US" w:eastAsia="zh-CN"/>
        </w:rPr>
        <w:t>15</w:t>
      </w:r>
      <w:r>
        <w:rPr>
          <w:rFonts w:hint="eastAsia" w:cs="MingLiU" w:asciiTheme="majorEastAsia" w:hAnsiTheme="majorEastAsia" w:eastAsiaTheme="majorEastAsia"/>
          <w:b/>
          <w:snapToGrid w:val="0"/>
          <w:kern w:val="0"/>
          <w:sz w:val="22"/>
          <w:szCs w:val="22"/>
          <w:highlight w:val="none"/>
          <w:u w:val="single"/>
        </w:rPr>
        <w:t>时</w:t>
      </w:r>
      <w:r>
        <w:rPr>
          <w:rFonts w:hint="eastAsia" w:cs="MingLiU" w:asciiTheme="majorEastAsia" w:hAnsiTheme="majorEastAsia" w:eastAsiaTheme="majorEastAsia"/>
          <w:b/>
          <w:snapToGrid w:val="0"/>
          <w:kern w:val="0"/>
          <w:sz w:val="22"/>
          <w:szCs w:val="22"/>
          <w:highlight w:val="none"/>
          <w:u w:val="single"/>
          <w:lang w:val="en-US" w:eastAsia="zh-CN"/>
        </w:rPr>
        <w:t>3</w:t>
      </w:r>
      <w:r>
        <w:rPr>
          <w:rFonts w:hint="eastAsia" w:cs="MingLiU" w:asciiTheme="majorEastAsia" w:hAnsiTheme="majorEastAsia" w:eastAsiaTheme="majorEastAsia"/>
          <w:b/>
          <w:snapToGrid w:val="0"/>
          <w:kern w:val="0"/>
          <w:sz w:val="22"/>
          <w:szCs w:val="22"/>
          <w:highlight w:val="none"/>
          <w:u w:val="single"/>
        </w:rPr>
        <w:t>0分至</w:t>
      </w:r>
      <w:r>
        <w:rPr>
          <w:rFonts w:hint="eastAsia" w:cs="MingLiU" w:asciiTheme="majorEastAsia" w:hAnsiTheme="majorEastAsia" w:eastAsiaTheme="majorEastAsia"/>
          <w:b/>
          <w:snapToGrid w:val="0"/>
          <w:kern w:val="0"/>
          <w:sz w:val="22"/>
          <w:szCs w:val="22"/>
          <w:highlight w:val="none"/>
          <w:u w:val="single"/>
          <w:lang w:val="en-US" w:eastAsia="zh-CN"/>
        </w:rPr>
        <w:t>16</w:t>
      </w:r>
      <w:r>
        <w:rPr>
          <w:rFonts w:hint="eastAsia" w:cs="MingLiU" w:asciiTheme="majorEastAsia" w:hAnsiTheme="majorEastAsia" w:eastAsiaTheme="majorEastAsia"/>
          <w:b/>
          <w:snapToGrid w:val="0"/>
          <w:kern w:val="0"/>
          <w:sz w:val="22"/>
          <w:szCs w:val="22"/>
          <w:highlight w:val="none"/>
          <w:u w:val="single"/>
        </w:rPr>
        <w:t>时</w:t>
      </w:r>
      <w:r>
        <w:rPr>
          <w:rFonts w:hint="eastAsia" w:cs="MingLiU" w:asciiTheme="majorEastAsia" w:hAnsiTheme="majorEastAsia" w:eastAsiaTheme="majorEastAsia"/>
          <w:b/>
          <w:snapToGrid w:val="0"/>
          <w:kern w:val="0"/>
          <w:sz w:val="22"/>
          <w:szCs w:val="22"/>
          <w:highlight w:val="none"/>
          <w:u w:val="single"/>
          <w:lang w:val="en-US" w:eastAsia="zh-CN"/>
        </w:rPr>
        <w:t>00</w:t>
      </w:r>
      <w:r>
        <w:rPr>
          <w:rFonts w:hint="eastAsia" w:cs="MingLiU" w:asciiTheme="majorEastAsia" w:hAnsiTheme="majorEastAsia" w:eastAsiaTheme="majorEastAsia"/>
          <w:b/>
          <w:snapToGrid w:val="0"/>
          <w:kern w:val="0"/>
          <w:sz w:val="22"/>
          <w:szCs w:val="22"/>
          <w:highlight w:val="none"/>
          <w:u w:val="single"/>
        </w:rPr>
        <w:t>分</w:t>
      </w:r>
      <w:r>
        <w:rPr>
          <w:rFonts w:hint="eastAsia" w:cs="MingLiU" w:asciiTheme="majorEastAsia" w:hAnsiTheme="majorEastAsia" w:eastAsiaTheme="majorEastAsia"/>
          <w:snapToGrid w:val="0"/>
          <w:kern w:val="0"/>
          <w:sz w:val="22"/>
          <w:szCs w:val="22"/>
          <w:highlight w:val="none"/>
        </w:rPr>
        <w:t>，</w:t>
      </w:r>
      <w:r>
        <w:rPr>
          <w:rFonts w:hint="eastAsia" w:cs="MingLiU" w:asciiTheme="majorEastAsia" w:hAnsiTheme="majorEastAsia" w:eastAsiaTheme="majorEastAsia"/>
          <w:snapToGrid w:val="0"/>
          <w:kern w:val="0"/>
          <w:sz w:val="22"/>
          <w:szCs w:val="22"/>
        </w:rPr>
        <w:t>地点为</w:t>
      </w:r>
      <w:r>
        <w:rPr>
          <w:rFonts w:hint="eastAsia" w:cs="MingLiU" w:asciiTheme="majorEastAsia" w:hAnsiTheme="majorEastAsia" w:eastAsiaTheme="majorEastAsia"/>
          <w:snapToGrid w:val="0"/>
          <w:kern w:val="0"/>
          <w:sz w:val="22"/>
          <w:szCs w:val="22"/>
          <w:u w:val="single"/>
        </w:rPr>
        <w:t>渝北区人和香锦路4号7层</w:t>
      </w:r>
      <w:r>
        <w:rPr>
          <w:rFonts w:hint="eastAsia" w:cs="MingLiU" w:asciiTheme="majorEastAsia" w:hAnsiTheme="majorEastAsia" w:eastAsiaTheme="majorEastAsia"/>
          <w:snapToGrid w:val="0"/>
          <w:kern w:val="0"/>
          <w:sz w:val="22"/>
          <w:szCs w:val="22"/>
        </w:rPr>
        <w:t>。</w:t>
      </w:r>
    </w:p>
    <w:p>
      <w:pPr>
        <w:tabs>
          <w:tab w:val="left" w:pos="3840"/>
          <w:tab w:val="left" w:pos="5300"/>
        </w:tabs>
        <w:autoSpaceDE w:val="0"/>
        <w:autoSpaceDN w:val="0"/>
        <w:adjustRightInd w:val="0"/>
        <w:snapToGrid w:val="0"/>
        <w:spacing w:line="360" w:lineRule="auto"/>
        <w:ind w:firstLine="440" w:firstLineChars="200"/>
        <w:jc w:val="left"/>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5.2 逾期送达的或者未送达指定地点的比选申请文件，比选人不予受理。</w:t>
      </w:r>
    </w:p>
    <w:p>
      <w:pPr>
        <w:pStyle w:val="4"/>
        <w:rPr>
          <w:rFonts w:cs="宋体" w:asciiTheme="majorEastAsia" w:hAnsiTheme="majorEastAsia" w:eastAsiaTheme="majorEastAsia"/>
          <w:bCs/>
          <w:sz w:val="24"/>
          <w:szCs w:val="22"/>
        </w:rPr>
      </w:pPr>
      <w:bookmarkStart w:id="12" w:name="_Toc18990"/>
      <w:r>
        <w:rPr>
          <w:rFonts w:hint="eastAsia" w:cs="宋体" w:asciiTheme="majorEastAsia" w:hAnsiTheme="majorEastAsia" w:eastAsiaTheme="majorEastAsia"/>
          <w:bCs/>
          <w:sz w:val="24"/>
          <w:szCs w:val="22"/>
        </w:rPr>
        <w:t>6．</w:t>
      </w:r>
      <w:r>
        <w:rPr>
          <w:rFonts w:hint="eastAsia" w:cs="宋体" w:asciiTheme="majorEastAsia" w:hAnsiTheme="majorEastAsia" w:eastAsiaTheme="majorEastAsia"/>
          <w:bCs/>
          <w:sz w:val="24"/>
          <w:szCs w:val="22"/>
          <w:lang w:val="zh-CN"/>
        </w:rPr>
        <w:t>发布公告的媒介</w:t>
      </w:r>
      <w:bookmarkEnd w:id="12"/>
    </w:p>
    <w:p>
      <w:pPr>
        <w:tabs>
          <w:tab w:val="left" w:pos="3840"/>
          <w:tab w:val="left" w:pos="5300"/>
        </w:tabs>
        <w:autoSpaceDE w:val="0"/>
        <w:autoSpaceDN w:val="0"/>
        <w:adjustRightInd w:val="0"/>
        <w:snapToGrid w:val="0"/>
        <w:spacing w:line="360" w:lineRule="auto"/>
        <w:ind w:firstLine="440" w:firstLineChars="200"/>
        <w:jc w:val="left"/>
        <w:rPr>
          <w:rFonts w:cs="MingLiU" w:asciiTheme="majorEastAsia" w:hAnsiTheme="majorEastAsia" w:eastAsiaTheme="majorEastAsia"/>
          <w:snapToGrid w:val="0"/>
          <w:kern w:val="0"/>
          <w:sz w:val="22"/>
          <w:szCs w:val="22"/>
        </w:rPr>
      </w:pPr>
      <w:r>
        <w:rPr>
          <w:rFonts w:hint="eastAsia" w:cs="Arial" w:asciiTheme="majorEastAsia" w:hAnsiTheme="majorEastAsia" w:eastAsiaTheme="majorEastAsia"/>
          <w:sz w:val="22"/>
          <w:szCs w:val="22"/>
        </w:rPr>
        <w:t>本次竞争性比选公告</w:t>
      </w:r>
      <w:r>
        <w:rPr>
          <w:rFonts w:hint="eastAsia" w:cs="MingLiU" w:asciiTheme="majorEastAsia" w:hAnsiTheme="majorEastAsia" w:eastAsiaTheme="majorEastAsia"/>
          <w:snapToGrid w:val="0"/>
          <w:kern w:val="0"/>
          <w:sz w:val="22"/>
          <w:szCs w:val="22"/>
        </w:rPr>
        <w:t>在</w:t>
      </w:r>
      <w:r>
        <w:rPr>
          <w:rFonts w:hint="eastAsia" w:cs="MingLiU" w:asciiTheme="majorEastAsia" w:hAnsiTheme="majorEastAsia" w:eastAsiaTheme="majorEastAsia"/>
          <w:b/>
          <w:snapToGrid w:val="0"/>
          <w:kern w:val="0"/>
          <w:sz w:val="22"/>
          <w:szCs w:val="22"/>
        </w:rPr>
        <w:t>重庆高速公路集团有限公司招投标管理平台（http://43.240.249.108:8088/PMS/）和重庆高速集团官网（http://www.cegc.com.cn/gw/newsInfoMenu.html?id=42&amp;key=2）</w:t>
      </w:r>
      <w:r>
        <w:rPr>
          <w:rFonts w:hint="eastAsia" w:cs="MingLiU" w:asciiTheme="majorEastAsia" w:hAnsiTheme="majorEastAsia" w:eastAsiaTheme="majorEastAsia"/>
          <w:snapToGrid w:val="0"/>
          <w:kern w:val="0"/>
          <w:sz w:val="22"/>
          <w:szCs w:val="22"/>
        </w:rPr>
        <w:t>上发布。</w:t>
      </w:r>
    </w:p>
    <w:p>
      <w:pPr>
        <w:pStyle w:val="4"/>
        <w:rPr>
          <w:rFonts w:cs="宋体" w:asciiTheme="majorEastAsia" w:hAnsiTheme="majorEastAsia" w:eastAsiaTheme="majorEastAsia"/>
          <w:b w:val="0"/>
          <w:bCs/>
          <w:sz w:val="22"/>
          <w:szCs w:val="22"/>
          <w:lang w:val="zh-CN"/>
        </w:rPr>
      </w:pPr>
      <w:bookmarkStart w:id="13" w:name="_Toc9980"/>
      <w:r>
        <w:rPr>
          <w:rFonts w:hint="eastAsia" w:cs="宋体" w:asciiTheme="majorEastAsia" w:hAnsiTheme="majorEastAsia" w:eastAsiaTheme="majorEastAsia"/>
          <w:bCs/>
          <w:sz w:val="24"/>
          <w:szCs w:val="22"/>
          <w:lang w:val="zh-CN"/>
        </w:rPr>
        <w:t>7．联系方式</w:t>
      </w:r>
      <w:bookmarkEnd w:id="13"/>
      <w:r>
        <w:rPr>
          <w:rFonts w:hint="eastAsia" w:cs="宋体" w:asciiTheme="majorEastAsia" w:hAnsiTheme="majorEastAsia" w:eastAsiaTheme="majorEastAsia"/>
          <w:bCs/>
          <w:sz w:val="24"/>
          <w:szCs w:val="22"/>
          <w:lang w:val="zh-CN"/>
        </w:rPr>
        <w:t xml:space="preserve">    </w:t>
      </w:r>
      <w:r>
        <w:rPr>
          <w:rFonts w:hint="eastAsia" w:cs="宋体" w:asciiTheme="majorEastAsia" w:hAnsiTheme="majorEastAsia" w:eastAsiaTheme="majorEastAsia"/>
          <w:bCs/>
          <w:sz w:val="22"/>
          <w:szCs w:val="22"/>
          <w:lang w:val="zh-CN"/>
        </w:rPr>
        <w:t xml:space="preserve">  </w:t>
      </w:r>
      <w:r>
        <w:rPr>
          <w:rFonts w:hint="eastAsia" w:cs="宋体" w:asciiTheme="majorEastAsia" w:hAnsiTheme="majorEastAsia" w:eastAsiaTheme="majorEastAsia"/>
          <w:sz w:val="22"/>
          <w:szCs w:val="22"/>
          <w:lang w:val="zh-CN"/>
        </w:rPr>
        <w:t xml:space="preserve">                                                 </w:t>
      </w:r>
    </w:p>
    <w:bookmarkEnd w:id="5"/>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bookmarkStart w:id="14" w:name="_Toc19959"/>
      <w:bookmarkStart w:id="15" w:name="_Toc2353"/>
      <w:r>
        <w:rPr>
          <w:rFonts w:hint="eastAsia" w:asciiTheme="majorEastAsia" w:hAnsiTheme="majorEastAsia" w:eastAsiaTheme="majorEastAsia"/>
          <w:sz w:val="22"/>
          <w:szCs w:val="22"/>
        </w:rPr>
        <w:t>比选人：高速管家（重庆）实业有限公司</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地  址：</w:t>
      </w:r>
      <w:r>
        <w:rPr>
          <w:rFonts w:asciiTheme="majorEastAsia" w:hAnsiTheme="majorEastAsia" w:eastAsiaTheme="majorEastAsia"/>
          <w:sz w:val="22"/>
          <w:szCs w:val="22"/>
        </w:rPr>
        <w:t xml:space="preserve"> </w:t>
      </w:r>
      <w:r>
        <w:rPr>
          <w:rFonts w:hint="eastAsia" w:cs="MingLiU" w:asciiTheme="majorEastAsia" w:hAnsiTheme="majorEastAsia" w:eastAsiaTheme="majorEastAsia"/>
          <w:snapToGrid w:val="0"/>
          <w:kern w:val="0"/>
          <w:sz w:val="22"/>
          <w:szCs w:val="22"/>
        </w:rPr>
        <w:t>渝北区人和香锦路4号</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联系人：王老师</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电  话：18523996320、023-89186705</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p>
    <w:p>
      <w:pPr>
        <w:pStyle w:val="3"/>
        <w:ind w:left="0" w:firstLine="0"/>
        <w:rPr>
          <w:rFonts w:asciiTheme="majorEastAsia" w:hAnsiTheme="majorEastAsia" w:eastAsiaTheme="majorEastAsia"/>
          <w:b/>
          <w:kern w:val="0"/>
          <w:sz w:val="36"/>
          <w:szCs w:val="36"/>
        </w:rPr>
      </w:pPr>
      <w:r>
        <w:rPr>
          <w:rFonts w:asciiTheme="majorEastAsia" w:hAnsiTheme="majorEastAsia" w:eastAsiaTheme="majorEastAsia"/>
          <w:b/>
          <w:kern w:val="0"/>
        </w:rPr>
        <w:br w:type="page"/>
      </w:r>
      <w:bookmarkStart w:id="16" w:name="_Toc28097765"/>
      <w:bookmarkStart w:id="17" w:name="_Toc3889"/>
      <w:r>
        <w:rPr>
          <w:rFonts w:asciiTheme="majorEastAsia" w:hAnsiTheme="majorEastAsia" w:eastAsiaTheme="majorEastAsia"/>
          <w:b/>
          <w:kern w:val="0"/>
          <w:sz w:val="36"/>
          <w:szCs w:val="36"/>
        </w:rPr>
        <w:t>第二章</w:t>
      </w:r>
      <w:r>
        <w:rPr>
          <w:rFonts w:hint="eastAsia" w:asciiTheme="majorEastAsia" w:hAnsiTheme="majorEastAsia" w:eastAsiaTheme="majorEastAsia"/>
          <w:b/>
          <w:kern w:val="0"/>
          <w:sz w:val="36"/>
          <w:szCs w:val="36"/>
        </w:rPr>
        <w:t xml:space="preserve"> 比选申请</w:t>
      </w:r>
      <w:r>
        <w:rPr>
          <w:rFonts w:asciiTheme="majorEastAsia" w:hAnsiTheme="majorEastAsia" w:eastAsiaTheme="majorEastAsia"/>
          <w:b/>
          <w:kern w:val="0"/>
          <w:sz w:val="36"/>
          <w:szCs w:val="36"/>
        </w:rPr>
        <w:t>人须知</w:t>
      </w:r>
      <w:bookmarkEnd w:id="14"/>
      <w:bookmarkEnd w:id="15"/>
      <w:bookmarkEnd w:id="16"/>
      <w:bookmarkEnd w:id="17"/>
    </w:p>
    <w:p>
      <w:pPr>
        <w:pStyle w:val="4"/>
        <w:rPr>
          <w:rFonts w:asciiTheme="majorEastAsia" w:hAnsiTheme="majorEastAsia" w:eastAsiaTheme="majorEastAsia"/>
          <w:sz w:val="24"/>
          <w:szCs w:val="24"/>
        </w:rPr>
      </w:pPr>
      <w:bookmarkStart w:id="18" w:name="_Toc22095"/>
      <w:bookmarkStart w:id="19" w:name="_Toc26244"/>
      <w:bookmarkStart w:id="20" w:name="_Toc11814"/>
      <w:r>
        <w:rPr>
          <w:rFonts w:hint="eastAsia" w:asciiTheme="majorEastAsia" w:hAnsiTheme="majorEastAsia" w:eastAsiaTheme="majorEastAsia"/>
          <w:sz w:val="24"/>
          <w:szCs w:val="24"/>
        </w:rPr>
        <w:t>比选申请人</w:t>
      </w:r>
      <w:r>
        <w:rPr>
          <w:rFonts w:asciiTheme="majorEastAsia" w:hAnsiTheme="majorEastAsia" w:eastAsiaTheme="majorEastAsia"/>
          <w:sz w:val="24"/>
          <w:szCs w:val="24"/>
        </w:rPr>
        <w:t>须知前附表</w:t>
      </w:r>
      <w:bookmarkEnd w:id="18"/>
      <w:bookmarkEnd w:id="19"/>
      <w:bookmarkEnd w:id="20"/>
    </w:p>
    <w:tbl>
      <w:tblPr>
        <w:tblStyle w:val="57"/>
        <w:tblW w:w="9640" w:type="dxa"/>
        <w:jc w:val="center"/>
        <w:tblInd w:w="0" w:type="dxa"/>
        <w:tblLayout w:type="fixed"/>
        <w:tblCellMar>
          <w:top w:w="0" w:type="dxa"/>
          <w:left w:w="108" w:type="dxa"/>
          <w:bottom w:w="0" w:type="dxa"/>
          <w:right w:w="108" w:type="dxa"/>
        </w:tblCellMar>
      </w:tblPr>
      <w:tblGrid>
        <w:gridCol w:w="1205"/>
        <w:gridCol w:w="1844"/>
        <w:gridCol w:w="48"/>
        <w:gridCol w:w="6543"/>
      </w:tblGrid>
      <w:tr>
        <w:tblPrEx>
          <w:tblLayout w:type="fixed"/>
          <w:tblCellMar>
            <w:top w:w="0" w:type="dxa"/>
            <w:left w:w="108" w:type="dxa"/>
            <w:bottom w:w="0" w:type="dxa"/>
            <w:right w:w="108" w:type="dxa"/>
          </w:tblCellMar>
        </w:tblPrEx>
        <w:trPr>
          <w:trHeight w:val="448"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b/>
                <w:sz w:val="22"/>
                <w:szCs w:val="22"/>
              </w:rPr>
            </w:pPr>
            <w:r>
              <w:rPr>
                <w:rFonts w:hint="eastAsia" w:cs="宋体" w:asciiTheme="majorEastAsia" w:hAnsiTheme="majorEastAsia" w:eastAsiaTheme="majorEastAsia"/>
                <w:b/>
                <w:sz w:val="22"/>
                <w:szCs w:val="22"/>
                <w:lang w:bidi="ar"/>
              </w:rPr>
              <w:t>条款号</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b/>
                <w:sz w:val="22"/>
                <w:szCs w:val="22"/>
              </w:rPr>
            </w:pPr>
            <w:r>
              <w:rPr>
                <w:rFonts w:hint="eastAsia" w:cs="宋体" w:asciiTheme="majorEastAsia" w:hAnsiTheme="majorEastAsia" w:eastAsiaTheme="majorEastAsia"/>
                <w:b/>
                <w:sz w:val="22"/>
                <w:szCs w:val="22"/>
                <w:lang w:bidi="ar"/>
              </w:rPr>
              <w:t>条款名称</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2"/>
              <w:jc w:val="center"/>
              <w:rPr>
                <w:rFonts w:asciiTheme="majorEastAsia" w:hAnsiTheme="majorEastAsia" w:eastAsiaTheme="majorEastAsia"/>
                <w:b/>
                <w:sz w:val="22"/>
                <w:szCs w:val="22"/>
              </w:rPr>
            </w:pPr>
            <w:r>
              <w:rPr>
                <w:rFonts w:hint="eastAsia" w:cs="宋体" w:asciiTheme="majorEastAsia" w:hAnsiTheme="majorEastAsia" w:eastAsiaTheme="majorEastAsia"/>
                <w:b/>
                <w:sz w:val="22"/>
                <w:szCs w:val="22"/>
                <w:lang w:bidi="ar"/>
              </w:rPr>
              <w:t>编</w:t>
            </w:r>
            <w:r>
              <w:rPr>
                <w:rFonts w:asciiTheme="majorEastAsia" w:hAnsiTheme="majorEastAsia" w:eastAsiaTheme="majorEastAsia"/>
                <w:b/>
                <w:sz w:val="22"/>
                <w:szCs w:val="22"/>
                <w:lang w:bidi="ar"/>
              </w:rPr>
              <w:t xml:space="preserve">  </w:t>
            </w:r>
            <w:r>
              <w:rPr>
                <w:rFonts w:hint="eastAsia" w:cs="宋体" w:asciiTheme="majorEastAsia" w:hAnsiTheme="majorEastAsia" w:eastAsiaTheme="majorEastAsia"/>
                <w:b/>
                <w:sz w:val="22"/>
                <w:szCs w:val="22"/>
                <w:lang w:bidi="ar"/>
              </w:rPr>
              <w:t>列</w:t>
            </w:r>
            <w:r>
              <w:rPr>
                <w:rFonts w:asciiTheme="majorEastAsia" w:hAnsiTheme="majorEastAsia" w:eastAsiaTheme="majorEastAsia"/>
                <w:b/>
                <w:sz w:val="22"/>
                <w:szCs w:val="22"/>
                <w:lang w:bidi="ar"/>
              </w:rPr>
              <w:t xml:space="preserve">  </w:t>
            </w:r>
            <w:r>
              <w:rPr>
                <w:rFonts w:hint="eastAsia" w:cs="宋体" w:asciiTheme="majorEastAsia" w:hAnsiTheme="majorEastAsia" w:eastAsiaTheme="majorEastAsia"/>
                <w:b/>
                <w:sz w:val="22"/>
                <w:szCs w:val="22"/>
                <w:lang w:bidi="ar"/>
              </w:rPr>
              <w:t>内</w:t>
            </w:r>
            <w:r>
              <w:rPr>
                <w:rFonts w:asciiTheme="majorEastAsia" w:hAnsiTheme="majorEastAsia" w:eastAsiaTheme="majorEastAsia"/>
                <w:b/>
                <w:sz w:val="22"/>
                <w:szCs w:val="22"/>
                <w:lang w:bidi="ar"/>
              </w:rPr>
              <w:t xml:space="preserve">  </w:t>
            </w:r>
            <w:r>
              <w:rPr>
                <w:rFonts w:hint="eastAsia" w:cs="宋体" w:asciiTheme="majorEastAsia" w:hAnsiTheme="majorEastAsia" w:eastAsiaTheme="majorEastAsia"/>
                <w:b/>
                <w:sz w:val="22"/>
                <w:szCs w:val="22"/>
                <w:lang w:bidi="ar"/>
              </w:rPr>
              <w:t>容</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1.1.</w:t>
            </w:r>
            <w:r>
              <w:rPr>
                <w:rFonts w:hint="eastAsia" w:asciiTheme="majorEastAsia" w:hAnsiTheme="majorEastAsia" w:eastAsiaTheme="majorEastAsia"/>
                <w:sz w:val="22"/>
                <w:szCs w:val="22"/>
                <w:lang w:bidi="ar"/>
              </w:rPr>
              <w:t>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比选人</w:t>
            </w:r>
          </w:p>
        </w:tc>
        <w:tc>
          <w:tcPr>
            <w:tcW w:w="6591" w:type="dxa"/>
            <w:gridSpan w:val="2"/>
            <w:tcBorders>
              <w:top w:val="single" w:color="auto" w:sz="4" w:space="0"/>
              <w:left w:val="nil"/>
              <w:bottom w:val="single" w:color="auto" w:sz="4" w:space="0"/>
              <w:right w:val="single" w:color="auto" w:sz="4" w:space="0"/>
            </w:tcBorders>
            <w:vAlign w:val="center"/>
          </w:tcPr>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比选人：高速管家（重庆）实业有限公司</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地  址：</w:t>
            </w:r>
            <w:r>
              <w:rPr>
                <w:rFonts w:hint="eastAsia" w:cs="MingLiU" w:asciiTheme="majorEastAsia" w:hAnsiTheme="majorEastAsia" w:eastAsiaTheme="majorEastAsia"/>
                <w:snapToGrid w:val="0"/>
                <w:kern w:val="0"/>
                <w:sz w:val="22"/>
                <w:szCs w:val="22"/>
              </w:rPr>
              <w:t>渝北区人和香锦路4号6层</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联系人：王老师</w:t>
            </w:r>
          </w:p>
          <w:p>
            <w:pPr>
              <w:pStyle w:val="2"/>
              <w:tabs>
                <w:tab w:val="left" w:pos="1343"/>
                <w:tab w:val="left" w:pos="2697"/>
                <w:tab w:val="left" w:pos="3264"/>
                <w:tab w:val="left" w:pos="4896"/>
                <w:tab w:val="left" w:pos="6005"/>
                <w:tab w:val="left" w:pos="7085"/>
                <w:tab w:val="left" w:pos="7498"/>
              </w:tabs>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电  话：18523996320、023-89186705</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1.1.</w:t>
            </w:r>
            <w:r>
              <w:rPr>
                <w:rFonts w:hint="eastAsia" w:asciiTheme="majorEastAsia" w:hAnsiTheme="majorEastAsia" w:eastAsiaTheme="majorEastAsia"/>
                <w:sz w:val="22"/>
                <w:szCs w:val="22"/>
                <w:lang w:bidi="ar"/>
              </w:rPr>
              <w:t>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项目名称</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sz w:val="22"/>
                <w:szCs w:val="22"/>
                <w:lang w:bidi="ar"/>
              </w:rPr>
            </w:pPr>
            <w:r>
              <w:rPr>
                <w:rFonts w:hint="eastAsia" w:asciiTheme="majorEastAsia" w:hAnsiTheme="majorEastAsia" w:eastAsiaTheme="majorEastAsia"/>
                <w:sz w:val="22"/>
                <w:szCs w:val="22"/>
              </w:rPr>
              <w:t>高升服务区室内装修工程施工项目。</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1.1.</w:t>
            </w:r>
            <w:r>
              <w:rPr>
                <w:rFonts w:hint="eastAsia" w:asciiTheme="majorEastAsia" w:hAnsiTheme="majorEastAsia" w:eastAsiaTheme="majorEastAsia"/>
                <w:sz w:val="22"/>
                <w:szCs w:val="22"/>
                <w:lang w:bidi="ar"/>
              </w:rPr>
              <w:t>3</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color w:val="FF0000"/>
                <w:sz w:val="22"/>
                <w:szCs w:val="22"/>
              </w:rPr>
            </w:pPr>
            <w:r>
              <w:rPr>
                <w:rFonts w:hint="eastAsia" w:cs="宋体" w:asciiTheme="majorEastAsia" w:hAnsiTheme="majorEastAsia" w:eastAsiaTheme="majorEastAsia"/>
                <w:color w:val="auto"/>
                <w:sz w:val="22"/>
                <w:szCs w:val="22"/>
                <w:lang w:bidi="ar"/>
              </w:rPr>
              <w:t>建设地点</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color w:val="FF0000"/>
                <w:sz w:val="22"/>
                <w:szCs w:val="22"/>
              </w:rPr>
            </w:pPr>
            <w:r>
              <w:rPr>
                <w:rFonts w:hint="eastAsia" w:cs="宋体" w:asciiTheme="majorEastAsia" w:hAnsiTheme="majorEastAsia" w:eastAsiaTheme="majorEastAsia"/>
                <w:color w:val="auto"/>
                <w:sz w:val="22"/>
                <w:szCs w:val="22"/>
              </w:rPr>
              <w:t>大足区高升镇G5013渝蓉高速公路省界收费站（出城侧）高升服务区。</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lang w:bidi="ar"/>
              </w:rPr>
            </w:pPr>
            <w:r>
              <w:rPr>
                <w:rFonts w:hint="eastAsia" w:asciiTheme="majorEastAsia" w:hAnsiTheme="majorEastAsia" w:eastAsiaTheme="majorEastAsia"/>
                <w:sz w:val="22"/>
                <w:szCs w:val="22"/>
                <w:lang w:bidi="ar"/>
              </w:rPr>
              <w:t>1.1.4</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建设规模</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高升服务区单侧商业面积约929m</w:t>
            </w:r>
            <w:r>
              <w:rPr>
                <w:rFonts w:hint="eastAsia" w:cs="宋体" w:asciiTheme="majorEastAsia" w:hAnsiTheme="majorEastAsia" w:eastAsiaTheme="majorEastAsia"/>
                <w:sz w:val="22"/>
                <w:szCs w:val="22"/>
                <w:vertAlign w:val="superscript"/>
              </w:rPr>
              <w:t>2</w:t>
            </w:r>
            <w:r>
              <w:rPr>
                <w:rFonts w:hint="eastAsia" w:cs="宋体" w:asciiTheme="majorEastAsia" w:hAnsiTheme="majorEastAsia" w:eastAsiaTheme="majorEastAsia"/>
                <w:sz w:val="22"/>
                <w:szCs w:val="22"/>
              </w:rPr>
              <w:t>，室内面积611m</w:t>
            </w:r>
            <w:r>
              <w:rPr>
                <w:rFonts w:hint="eastAsia" w:cs="宋体" w:asciiTheme="majorEastAsia" w:hAnsiTheme="majorEastAsia" w:eastAsiaTheme="majorEastAsia"/>
                <w:sz w:val="22"/>
                <w:szCs w:val="22"/>
                <w:vertAlign w:val="superscript"/>
              </w:rPr>
              <w:t>2</w:t>
            </w:r>
            <w:r>
              <w:rPr>
                <w:rFonts w:hint="eastAsia" w:cs="宋体" w:asciiTheme="majorEastAsia" w:hAnsiTheme="majorEastAsia" w:eastAsiaTheme="majorEastAsia"/>
                <w:sz w:val="22"/>
                <w:szCs w:val="22"/>
              </w:rPr>
              <w:t>，架空走廊318m</w:t>
            </w:r>
            <w:r>
              <w:rPr>
                <w:rFonts w:hint="eastAsia" w:cs="宋体" w:asciiTheme="majorEastAsia" w:hAnsiTheme="majorEastAsia" w:eastAsiaTheme="majorEastAsia"/>
                <w:sz w:val="22"/>
                <w:szCs w:val="22"/>
                <w:vertAlign w:val="superscript"/>
              </w:rPr>
              <w:t>2</w:t>
            </w:r>
            <w:r>
              <w:rPr>
                <w:rFonts w:hint="eastAsia" w:cs="宋体" w:asciiTheme="majorEastAsia" w:hAnsiTheme="majorEastAsia" w:eastAsiaTheme="majorEastAsia"/>
                <w:sz w:val="22"/>
                <w:szCs w:val="22"/>
              </w:rPr>
              <w:t>。</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1.2.1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资金来源</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业主自筹。</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1.2.2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出资比例</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lang w:bidi="ar"/>
              </w:rPr>
              <w:t>100%</w:t>
            </w:r>
            <w:r>
              <w:rPr>
                <w:rFonts w:hint="eastAsia" w:asciiTheme="majorEastAsia" w:hAnsiTheme="majorEastAsia" w:eastAsiaTheme="majorEastAsia"/>
                <w:sz w:val="22"/>
                <w:szCs w:val="22"/>
                <w:lang w:bidi="ar"/>
              </w:rPr>
              <w:t>。</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1.2.3</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资金落实情况</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已落实。</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1.3.1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比选范围</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本项目施工设计图纸上所示的全部工作内容，具体以比选人发出的施工图纸及工程量清单为准。</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1.3.2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计划工期</w:t>
            </w:r>
          </w:p>
        </w:tc>
        <w:tc>
          <w:tcPr>
            <w:tcW w:w="6591" w:type="dxa"/>
            <w:gridSpan w:val="2"/>
            <w:tcBorders>
              <w:top w:val="single" w:color="auto" w:sz="4" w:space="0"/>
              <w:left w:val="nil"/>
              <w:bottom w:val="single" w:color="auto" w:sz="4" w:space="0"/>
              <w:right w:val="single" w:color="auto" w:sz="4" w:space="0"/>
            </w:tcBorders>
            <w:vAlign w:val="center"/>
          </w:tcPr>
          <w:p>
            <w:pPr>
              <w:snapToGrid w:val="0"/>
              <w:spacing w:line="360" w:lineRule="auto"/>
              <w:ind w:firstLine="440" w:firstLineChars="200"/>
              <w:rPr>
                <w:rFonts w:asciiTheme="majorEastAsia" w:hAnsiTheme="majorEastAsia" w:eastAsiaTheme="majorEastAsia"/>
                <w:color w:val="FF0000"/>
                <w:sz w:val="22"/>
                <w:szCs w:val="22"/>
              </w:rPr>
            </w:pPr>
            <w:r>
              <w:rPr>
                <w:rFonts w:hint="eastAsia" w:cs="宋体" w:asciiTheme="majorEastAsia" w:hAnsiTheme="majorEastAsia" w:eastAsiaTheme="majorEastAsia"/>
                <w:color w:val="auto"/>
                <w:sz w:val="22"/>
                <w:szCs w:val="22"/>
                <w:highlight w:val="none"/>
              </w:rPr>
              <w:t>40日历天。</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1.3.3</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质量要求</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施工</w:t>
            </w:r>
            <w:r>
              <w:rPr>
                <w:rFonts w:cs="宋体" w:asciiTheme="majorEastAsia" w:hAnsiTheme="majorEastAsia" w:eastAsiaTheme="majorEastAsia"/>
                <w:sz w:val="22"/>
                <w:szCs w:val="22"/>
                <w:lang w:bidi="ar"/>
              </w:rPr>
              <w:t>质量</w:t>
            </w:r>
            <w:r>
              <w:rPr>
                <w:rFonts w:hint="eastAsia" w:cs="宋体" w:asciiTheme="majorEastAsia" w:hAnsiTheme="majorEastAsia" w:eastAsiaTheme="majorEastAsia"/>
                <w:sz w:val="22"/>
                <w:szCs w:val="22"/>
                <w:lang w:bidi="ar"/>
              </w:rPr>
              <w:t>达到国家现行有关施工质量验收规范要求，并验收合格。</w:t>
            </w:r>
          </w:p>
        </w:tc>
      </w:tr>
      <w:tr>
        <w:tblPrEx>
          <w:tblLayout w:type="fixed"/>
          <w:tblCellMar>
            <w:top w:w="0" w:type="dxa"/>
            <w:left w:w="108" w:type="dxa"/>
            <w:bottom w:w="0" w:type="dxa"/>
            <w:right w:w="108" w:type="dxa"/>
          </w:tblCellMar>
        </w:tblPrEx>
        <w:trPr>
          <w:trHeight w:val="204"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1.4.1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比选申请人资格条件</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20"/>
              <w:rPr>
                <w:rFonts w:cs="黑体" w:asciiTheme="majorEastAsia" w:hAnsiTheme="majorEastAsia" w:eastAsiaTheme="majorEastAsia"/>
                <w:sz w:val="22"/>
                <w:szCs w:val="22"/>
              </w:rPr>
            </w:pPr>
            <w:r>
              <w:rPr>
                <w:rFonts w:hint="eastAsia" w:cs="宋体" w:asciiTheme="majorEastAsia" w:hAnsiTheme="majorEastAsia" w:eastAsiaTheme="majorEastAsia"/>
                <w:sz w:val="22"/>
                <w:szCs w:val="22"/>
                <w:lang w:bidi="ar"/>
              </w:rPr>
              <w:t>本项目比选实行资格后审，</w:t>
            </w:r>
            <w:r>
              <w:rPr>
                <w:rFonts w:hint="eastAsia" w:cs="宋体" w:asciiTheme="majorEastAsia" w:hAnsiTheme="majorEastAsia" w:eastAsiaTheme="majorEastAsia"/>
                <w:kern w:val="0"/>
                <w:sz w:val="22"/>
                <w:szCs w:val="22"/>
                <w:lang w:bidi="ar"/>
              </w:rPr>
              <w:t>比选申请人应具备以下资格条件：</w:t>
            </w:r>
          </w:p>
          <w:p>
            <w:pPr>
              <w:spacing w:line="360" w:lineRule="auto"/>
              <w:ind w:firstLine="422"/>
              <w:rPr>
                <w:rFonts w:cs="方正小标宋简体" w:asciiTheme="majorEastAsia" w:hAnsiTheme="majorEastAsia" w:eastAsiaTheme="majorEastAsia"/>
                <w:b/>
                <w:sz w:val="22"/>
                <w:szCs w:val="22"/>
              </w:rPr>
            </w:pPr>
            <w:r>
              <w:rPr>
                <w:rFonts w:cs="方正小标宋简体" w:asciiTheme="majorEastAsia" w:hAnsiTheme="majorEastAsia" w:eastAsiaTheme="majorEastAsia"/>
                <w:b/>
                <w:sz w:val="22"/>
                <w:szCs w:val="22"/>
                <w:lang w:bidi="ar"/>
              </w:rPr>
              <w:t>1.</w:t>
            </w:r>
            <w:r>
              <w:rPr>
                <w:rFonts w:hint="eastAsia" w:cs="宋体" w:asciiTheme="majorEastAsia" w:hAnsiTheme="majorEastAsia" w:eastAsiaTheme="majorEastAsia"/>
                <w:b/>
                <w:sz w:val="22"/>
                <w:szCs w:val="22"/>
                <w:lang w:bidi="ar"/>
              </w:rPr>
              <w:t>营业执照、资质条件及安全生产条件</w:t>
            </w:r>
          </w:p>
          <w:p>
            <w:pPr>
              <w:spacing w:line="360" w:lineRule="auto"/>
              <w:ind w:firstLine="420"/>
              <w:rPr>
                <w:rFonts w:cs="宋体" w:asciiTheme="majorEastAsia" w:hAnsiTheme="majorEastAsia" w:eastAsiaTheme="majorEastAsia"/>
                <w:b/>
                <w:sz w:val="22"/>
                <w:szCs w:val="22"/>
                <w:lang w:bidi="ar"/>
              </w:rPr>
            </w:pPr>
            <w:r>
              <w:rPr>
                <w:rFonts w:hint="eastAsia" w:cs="宋体" w:asciiTheme="majorEastAsia" w:hAnsiTheme="majorEastAsia" w:eastAsiaTheme="majorEastAsia"/>
                <w:b/>
                <w:sz w:val="22"/>
                <w:szCs w:val="22"/>
                <w:lang w:bidi="ar"/>
              </w:rPr>
              <w:t>（1）营业执照</w:t>
            </w:r>
          </w:p>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具有有效的营业执照。</w:t>
            </w:r>
          </w:p>
          <w:p>
            <w:pPr>
              <w:spacing w:line="360" w:lineRule="auto"/>
              <w:ind w:firstLine="422"/>
              <w:rPr>
                <w:rFonts w:cs="方正小标宋简体" w:asciiTheme="majorEastAsia" w:hAnsiTheme="majorEastAsia" w:eastAsiaTheme="majorEastAsia"/>
                <w:b/>
                <w:sz w:val="22"/>
                <w:szCs w:val="22"/>
                <w:lang w:bidi="ar"/>
              </w:rPr>
            </w:pPr>
            <w:r>
              <w:rPr>
                <w:rFonts w:hint="eastAsia" w:cs="宋体" w:asciiTheme="majorEastAsia" w:hAnsiTheme="majorEastAsia" w:eastAsiaTheme="majorEastAsia"/>
                <w:b/>
                <w:kern w:val="0"/>
                <w:sz w:val="22"/>
                <w:szCs w:val="22"/>
                <w:lang w:bidi="ar"/>
              </w:rPr>
              <w:t>【</w:t>
            </w:r>
            <w:r>
              <w:rPr>
                <w:rFonts w:hint="eastAsia" w:cs="宋体" w:asciiTheme="majorEastAsia" w:hAnsiTheme="majorEastAsia" w:eastAsiaTheme="majorEastAsia"/>
                <w:b/>
                <w:sz w:val="22"/>
                <w:szCs w:val="22"/>
                <w:lang w:bidi="ar"/>
              </w:rPr>
              <w:t>须</w:t>
            </w:r>
            <w:r>
              <w:rPr>
                <w:rFonts w:hint="eastAsia" w:cs="宋体" w:asciiTheme="majorEastAsia" w:hAnsiTheme="majorEastAsia" w:eastAsiaTheme="majorEastAsia"/>
                <w:b/>
                <w:kern w:val="0"/>
                <w:sz w:val="22"/>
                <w:szCs w:val="22"/>
                <w:lang w:bidi="ar"/>
              </w:rPr>
              <w:t>提供有效的带二维码标识的营业执照复印件并加盖比选申请人单位公章。】</w:t>
            </w:r>
          </w:p>
          <w:p>
            <w:pPr>
              <w:spacing w:line="360" w:lineRule="auto"/>
              <w:ind w:firstLine="422"/>
              <w:rPr>
                <w:rFonts w:cs="方正小标宋简体" w:asciiTheme="majorEastAsia" w:hAnsiTheme="majorEastAsia" w:eastAsiaTheme="majorEastAsia"/>
                <w:b/>
                <w:sz w:val="22"/>
                <w:szCs w:val="22"/>
              </w:rPr>
            </w:pPr>
            <w:r>
              <w:rPr>
                <w:rFonts w:hint="eastAsia" w:cs="方正小标宋简体" w:asciiTheme="majorEastAsia" w:hAnsiTheme="majorEastAsia" w:eastAsiaTheme="majorEastAsia"/>
                <w:b/>
                <w:sz w:val="22"/>
                <w:szCs w:val="22"/>
                <w:lang w:bidi="ar"/>
              </w:rPr>
              <w:t>（2）</w:t>
            </w:r>
            <w:r>
              <w:rPr>
                <w:rFonts w:hint="eastAsia" w:cs="宋体" w:asciiTheme="majorEastAsia" w:hAnsiTheme="majorEastAsia" w:eastAsiaTheme="majorEastAsia"/>
                <w:b/>
                <w:sz w:val="22"/>
                <w:szCs w:val="22"/>
                <w:lang w:bidi="ar"/>
              </w:rPr>
              <w:t>资质条件</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须具备建设行政主管部门颁发的有效的</w:t>
            </w:r>
            <w:r>
              <w:rPr>
                <w:rFonts w:hint="eastAsia" w:asciiTheme="majorEastAsia" w:hAnsiTheme="majorEastAsia" w:eastAsiaTheme="majorEastAsia"/>
                <w:b/>
                <w:sz w:val="22"/>
                <w:szCs w:val="22"/>
                <w:u w:val="single"/>
              </w:rPr>
              <w:t>建筑工程施工总承包叁级及以上资质</w:t>
            </w:r>
            <w:r>
              <w:rPr>
                <w:rFonts w:hint="eastAsia"/>
              </w:rPr>
              <w:t>或</w:t>
            </w:r>
            <w:r>
              <w:rPr>
                <w:rFonts w:hint="eastAsia" w:asciiTheme="majorEastAsia" w:hAnsiTheme="majorEastAsia" w:eastAsiaTheme="majorEastAsia"/>
                <w:b/>
                <w:sz w:val="22"/>
                <w:szCs w:val="22"/>
                <w:u w:val="single"/>
              </w:rPr>
              <w:t>建筑装修装饰工程专业承包贰级及以上资质</w:t>
            </w:r>
            <w:r>
              <w:rPr>
                <w:rFonts w:hint="eastAsia" w:asciiTheme="majorEastAsia" w:hAnsiTheme="majorEastAsia" w:eastAsiaTheme="majorEastAsia"/>
                <w:sz w:val="22"/>
                <w:szCs w:val="22"/>
              </w:rPr>
              <w:t>；</w:t>
            </w:r>
          </w:p>
          <w:p>
            <w:pPr>
              <w:spacing w:line="360" w:lineRule="auto"/>
              <w:ind w:firstLine="422"/>
              <w:rPr>
                <w:rFonts w:cs="方正小标宋简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lang w:bidi="ar"/>
              </w:rPr>
              <w:t>【</w:t>
            </w:r>
            <w:r>
              <w:rPr>
                <w:rFonts w:hint="eastAsia" w:cs="宋体" w:asciiTheme="majorEastAsia" w:hAnsiTheme="majorEastAsia" w:eastAsiaTheme="majorEastAsia"/>
                <w:b/>
                <w:sz w:val="22"/>
                <w:szCs w:val="22"/>
                <w:lang w:bidi="ar"/>
              </w:rPr>
              <w:t>须</w:t>
            </w:r>
            <w:r>
              <w:rPr>
                <w:rFonts w:hint="eastAsia" w:cs="宋体" w:asciiTheme="majorEastAsia" w:hAnsiTheme="majorEastAsia" w:eastAsiaTheme="majorEastAsia"/>
                <w:b/>
                <w:kern w:val="0"/>
                <w:sz w:val="22"/>
                <w:szCs w:val="22"/>
                <w:lang w:bidi="ar"/>
              </w:rPr>
              <w:t>提供有效的带二维码标识资质证书复印件并加盖比选申请人单位公章。】</w:t>
            </w:r>
          </w:p>
          <w:p>
            <w:pPr>
              <w:spacing w:line="360" w:lineRule="auto"/>
              <w:ind w:firstLine="422"/>
              <w:rPr>
                <w:rFonts w:cs="黑体" w:asciiTheme="majorEastAsia" w:hAnsiTheme="majorEastAsia" w:eastAsiaTheme="majorEastAsia"/>
                <w:b/>
                <w:sz w:val="22"/>
                <w:szCs w:val="22"/>
              </w:rPr>
            </w:pPr>
            <w:r>
              <w:rPr>
                <w:rFonts w:hint="eastAsia" w:cs="方正小标宋简体" w:asciiTheme="majorEastAsia" w:hAnsiTheme="majorEastAsia" w:eastAsiaTheme="majorEastAsia"/>
                <w:b/>
                <w:sz w:val="22"/>
                <w:szCs w:val="22"/>
                <w:lang w:bidi="ar"/>
              </w:rPr>
              <w:t>（3）</w:t>
            </w:r>
            <w:r>
              <w:rPr>
                <w:rFonts w:hint="eastAsia" w:cs="宋体" w:asciiTheme="majorEastAsia" w:hAnsiTheme="majorEastAsia" w:eastAsiaTheme="majorEastAsia"/>
                <w:b/>
                <w:sz w:val="22"/>
                <w:szCs w:val="22"/>
                <w:lang w:bidi="ar"/>
              </w:rPr>
              <w:t>安全生产条件</w:t>
            </w:r>
          </w:p>
          <w:p>
            <w:pPr>
              <w:spacing w:line="360" w:lineRule="auto"/>
              <w:ind w:firstLine="420"/>
              <w:rPr>
                <w:rFonts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sz w:val="22"/>
                <w:szCs w:val="22"/>
                <w:lang w:bidi="ar"/>
              </w:rPr>
              <w:t>具备建设行政主管部门颁发的有效安全生产许可证，企业负责人、拟担任该项目负责人（项目经理）和专职安全生产管理人员（即“三类人员”）须具备相应的有效的建设行政主管部门颁发的安全生产考核合格证书。</w:t>
            </w:r>
          </w:p>
          <w:p>
            <w:pPr>
              <w:spacing w:line="360" w:lineRule="auto"/>
              <w:ind w:firstLine="422"/>
              <w:rPr>
                <w:rFonts w:cs="方正小标宋简体" w:asciiTheme="majorEastAsia" w:hAnsiTheme="majorEastAsia" w:eastAsiaTheme="majorEastAsia"/>
                <w:b/>
                <w:sz w:val="22"/>
                <w:szCs w:val="22"/>
              </w:rPr>
            </w:pPr>
            <w:r>
              <w:rPr>
                <w:rFonts w:hint="eastAsia" w:cs="宋体" w:asciiTheme="majorEastAsia" w:hAnsiTheme="majorEastAsia" w:eastAsiaTheme="majorEastAsia"/>
                <w:b/>
                <w:sz w:val="22"/>
                <w:szCs w:val="22"/>
                <w:lang w:bidi="ar"/>
              </w:rPr>
              <w:t>【须提供有效的安全生产许可证</w:t>
            </w:r>
            <w:r>
              <w:rPr>
                <w:rFonts w:hint="eastAsia" w:asciiTheme="majorEastAsia" w:hAnsiTheme="majorEastAsia" w:eastAsiaTheme="majorEastAsia"/>
                <w:b/>
                <w:sz w:val="22"/>
                <w:szCs w:val="22"/>
              </w:rPr>
              <w:t>、</w:t>
            </w:r>
            <w:r>
              <w:rPr>
                <w:rFonts w:hint="eastAsia" w:cs="宋体" w:asciiTheme="majorEastAsia" w:hAnsiTheme="majorEastAsia" w:eastAsiaTheme="majorEastAsia"/>
                <w:b/>
                <w:sz w:val="22"/>
                <w:szCs w:val="22"/>
                <w:lang w:bidi="ar"/>
              </w:rPr>
              <w:t>“三类人员”安全生产考核合格证书复印件且均需加盖比选申请人单位公章。】</w:t>
            </w:r>
          </w:p>
          <w:p>
            <w:pPr>
              <w:spacing w:line="360" w:lineRule="auto"/>
              <w:ind w:firstLine="422"/>
              <w:rPr>
                <w:rFonts w:cs="方正小标宋简体" w:asciiTheme="majorEastAsia" w:hAnsiTheme="majorEastAsia" w:eastAsiaTheme="majorEastAsia"/>
                <w:b/>
                <w:sz w:val="22"/>
                <w:szCs w:val="22"/>
                <w:highlight w:val="none"/>
                <w:lang w:bidi="ar"/>
              </w:rPr>
            </w:pPr>
            <w:r>
              <w:rPr>
                <w:rFonts w:hint="eastAsia" w:cs="方正小标宋简体" w:asciiTheme="majorEastAsia" w:hAnsiTheme="majorEastAsia" w:eastAsiaTheme="majorEastAsia"/>
                <w:b/>
                <w:sz w:val="22"/>
                <w:szCs w:val="22"/>
                <w:highlight w:val="none"/>
                <w:lang w:bidi="ar"/>
              </w:rPr>
              <w:t>2.财务要求</w:t>
            </w:r>
          </w:p>
          <w:p>
            <w:pPr>
              <w:spacing w:line="360" w:lineRule="auto"/>
              <w:ind w:firstLine="422"/>
              <w:rPr>
                <w:rFonts w:asciiTheme="minorEastAsia" w:hAnsiTheme="minorEastAsia" w:eastAsiaTheme="minorEastAsia" w:cstheme="minorEastAsia"/>
                <w:bCs/>
                <w:sz w:val="22"/>
                <w:szCs w:val="22"/>
                <w:lang w:bidi="ar"/>
              </w:rPr>
            </w:pPr>
            <w:r>
              <w:rPr>
                <w:rFonts w:hint="eastAsia" w:asciiTheme="minorEastAsia" w:hAnsiTheme="minorEastAsia" w:eastAsiaTheme="minorEastAsia" w:cstheme="minorEastAsia"/>
                <w:bCs/>
                <w:sz w:val="22"/>
                <w:szCs w:val="22"/>
                <w:lang w:bidi="ar"/>
              </w:rPr>
              <w:t>2020年度财务状况均良好，无亏损。</w:t>
            </w:r>
          </w:p>
          <w:p>
            <w:pPr>
              <w:spacing w:line="360" w:lineRule="auto"/>
              <w:ind w:firstLine="422"/>
              <w:rPr>
                <w:rFonts w:asciiTheme="minorEastAsia" w:hAnsiTheme="minorEastAsia" w:eastAsiaTheme="minorEastAsia" w:cstheme="minorEastAsia"/>
                <w:bCs/>
                <w:sz w:val="22"/>
                <w:szCs w:val="22"/>
                <w:lang w:bidi="ar"/>
              </w:rPr>
            </w:pPr>
            <w:r>
              <w:rPr>
                <w:rFonts w:hint="eastAsia" w:asciiTheme="minorEastAsia" w:hAnsiTheme="minorEastAsia" w:eastAsiaTheme="minorEastAsia" w:cstheme="minorEastAsia"/>
                <w:bCs/>
                <w:sz w:val="22"/>
                <w:szCs w:val="22"/>
                <w:lang w:bidi="ar"/>
              </w:rPr>
              <w:t>比选申请人须在投标文件资格审查资料提供经会计师事务所或审计机构审计的财务审计报告及财务报表复印件，财务报表须至少包括现金流量表、资产负债表、利润表。且以上审计报告、财务报表签字盖章应齐全。</w:t>
            </w:r>
          </w:p>
          <w:p>
            <w:pPr>
              <w:spacing w:line="360" w:lineRule="auto"/>
              <w:ind w:firstLine="422"/>
              <w:rPr>
                <w:rFonts w:cs="方正小标宋简体" w:asciiTheme="majorEastAsia" w:hAnsiTheme="majorEastAsia" w:eastAsiaTheme="majorEastAsia"/>
                <w:b/>
                <w:sz w:val="22"/>
                <w:szCs w:val="22"/>
                <w:highlight w:val="none"/>
                <w:lang w:bidi="ar"/>
              </w:rPr>
            </w:pPr>
            <w:r>
              <w:rPr>
                <w:rFonts w:hint="eastAsia" w:cs="方正小标宋简体" w:asciiTheme="majorEastAsia" w:hAnsiTheme="majorEastAsia" w:eastAsiaTheme="majorEastAsia"/>
                <w:b/>
                <w:sz w:val="22"/>
                <w:szCs w:val="22"/>
                <w:highlight w:val="none"/>
                <w:lang w:bidi="ar"/>
              </w:rPr>
              <w:t>3.业绩要求</w:t>
            </w:r>
          </w:p>
          <w:p>
            <w:pPr>
              <w:spacing w:line="360" w:lineRule="auto"/>
              <w:ind w:firstLine="422"/>
              <w:rPr>
                <w:rFonts w:asciiTheme="minorEastAsia" w:hAnsiTheme="minorEastAsia" w:eastAsiaTheme="minorEastAsia" w:cstheme="minorEastAsia"/>
                <w:bCs/>
                <w:color w:val="auto"/>
                <w:sz w:val="22"/>
                <w:szCs w:val="22"/>
                <w:highlight w:val="none"/>
                <w:lang w:bidi="ar"/>
              </w:rPr>
            </w:pPr>
            <w:r>
              <w:rPr>
                <w:rFonts w:hint="eastAsia" w:asciiTheme="minorEastAsia" w:hAnsiTheme="minorEastAsia" w:eastAsiaTheme="minorEastAsia" w:cstheme="minorEastAsia"/>
                <w:bCs/>
                <w:color w:val="auto"/>
                <w:sz w:val="22"/>
                <w:szCs w:val="22"/>
                <w:highlight w:val="none"/>
                <w:lang w:bidi="ar"/>
              </w:rPr>
              <w:t>2019年1月1日至今，比选申请人须</w:t>
            </w:r>
            <w:r>
              <w:rPr>
                <w:rFonts w:hint="eastAsia" w:asciiTheme="minorEastAsia" w:hAnsiTheme="minorEastAsia" w:eastAsiaTheme="minorEastAsia" w:cstheme="minorEastAsia"/>
                <w:bCs/>
                <w:color w:val="auto"/>
                <w:sz w:val="22"/>
                <w:szCs w:val="22"/>
                <w:highlight w:val="none"/>
                <w:lang w:val="en-US" w:eastAsia="zh-CN" w:bidi="ar"/>
              </w:rPr>
              <w:t>具</w:t>
            </w:r>
            <w:r>
              <w:rPr>
                <w:rFonts w:hint="eastAsia" w:asciiTheme="minorEastAsia" w:hAnsiTheme="minorEastAsia" w:eastAsiaTheme="minorEastAsia" w:cstheme="minorEastAsia"/>
                <w:bCs/>
                <w:color w:val="auto"/>
                <w:sz w:val="22"/>
                <w:szCs w:val="22"/>
                <w:highlight w:val="none"/>
                <w:lang w:bidi="ar"/>
              </w:rPr>
              <w:t>有100万及以上公共建筑装修工程（服务区、商</w:t>
            </w:r>
            <w:r>
              <w:rPr>
                <w:rFonts w:hint="eastAsia" w:asciiTheme="minorEastAsia" w:hAnsiTheme="minorEastAsia" w:eastAsiaTheme="minorEastAsia" w:cstheme="minorEastAsia"/>
                <w:bCs/>
                <w:color w:val="auto"/>
                <w:sz w:val="22"/>
                <w:szCs w:val="22"/>
                <w:highlight w:val="none"/>
                <w:lang w:val="en-US" w:eastAsia="zh-CN" w:bidi="ar"/>
              </w:rPr>
              <w:t>场</w:t>
            </w:r>
            <w:r>
              <w:rPr>
                <w:rFonts w:hint="eastAsia" w:asciiTheme="minorEastAsia" w:hAnsiTheme="minorEastAsia" w:eastAsiaTheme="minorEastAsia" w:cstheme="minorEastAsia"/>
                <w:bCs/>
                <w:color w:val="auto"/>
                <w:sz w:val="22"/>
                <w:szCs w:val="22"/>
                <w:highlight w:val="none"/>
                <w:lang w:bidi="ar"/>
              </w:rPr>
              <w:t>、</w:t>
            </w:r>
            <w:r>
              <w:rPr>
                <w:rFonts w:hint="eastAsia" w:asciiTheme="minorEastAsia" w:hAnsiTheme="minorEastAsia" w:eastAsiaTheme="minorEastAsia" w:cstheme="minorEastAsia"/>
                <w:bCs/>
                <w:color w:val="auto"/>
                <w:sz w:val="22"/>
                <w:szCs w:val="22"/>
                <w:highlight w:val="none"/>
                <w:lang w:val="en-US" w:eastAsia="zh-CN" w:bidi="ar"/>
              </w:rPr>
              <w:t>写字楼</w:t>
            </w:r>
            <w:r>
              <w:rPr>
                <w:rFonts w:hint="eastAsia" w:asciiTheme="minorEastAsia" w:hAnsiTheme="minorEastAsia" w:eastAsiaTheme="minorEastAsia" w:cstheme="minorEastAsia"/>
                <w:bCs/>
                <w:color w:val="auto"/>
                <w:sz w:val="22"/>
                <w:szCs w:val="22"/>
                <w:highlight w:val="none"/>
                <w:lang w:bidi="ar"/>
              </w:rPr>
              <w:t>、</w:t>
            </w:r>
            <w:r>
              <w:rPr>
                <w:rFonts w:hint="eastAsia" w:asciiTheme="minorEastAsia" w:hAnsiTheme="minorEastAsia" w:eastAsiaTheme="minorEastAsia" w:cstheme="minorEastAsia"/>
                <w:bCs/>
                <w:color w:val="auto"/>
                <w:sz w:val="22"/>
                <w:szCs w:val="22"/>
                <w:highlight w:val="none"/>
                <w:lang w:val="en-US" w:eastAsia="zh-CN" w:bidi="ar"/>
              </w:rPr>
              <w:t>酒店、娱乐场所、机场、火车站等</w:t>
            </w:r>
            <w:r>
              <w:rPr>
                <w:rFonts w:hint="eastAsia" w:asciiTheme="minorEastAsia" w:hAnsiTheme="minorEastAsia" w:eastAsiaTheme="minorEastAsia" w:cstheme="minorEastAsia"/>
                <w:bCs/>
                <w:color w:val="auto"/>
                <w:sz w:val="22"/>
                <w:szCs w:val="22"/>
                <w:highlight w:val="none"/>
                <w:lang w:bidi="ar"/>
              </w:rPr>
              <w:t>）业绩，以合同签订时间为准。</w:t>
            </w:r>
          </w:p>
          <w:p>
            <w:pPr>
              <w:spacing w:line="360" w:lineRule="auto"/>
              <w:ind w:firstLine="442"/>
              <w:rPr>
                <w:rFonts w:cs="方正小标宋简体" w:asciiTheme="majorEastAsia" w:hAnsiTheme="majorEastAsia" w:eastAsiaTheme="majorEastAsia"/>
                <w:b/>
                <w:sz w:val="22"/>
                <w:szCs w:val="22"/>
                <w:highlight w:val="none"/>
                <w:lang w:bidi="ar"/>
              </w:rPr>
            </w:pPr>
            <w:r>
              <w:rPr>
                <w:rFonts w:hint="eastAsia" w:asciiTheme="majorEastAsia" w:hAnsiTheme="majorEastAsia" w:eastAsiaTheme="majorEastAsia"/>
                <w:b/>
                <w:sz w:val="22"/>
                <w:szCs w:val="22"/>
                <w:highlight w:val="none"/>
              </w:rPr>
              <w:t>【须</w:t>
            </w:r>
            <w:r>
              <w:rPr>
                <w:rFonts w:hint="eastAsia" w:cs="方正小标宋简体" w:asciiTheme="majorEastAsia" w:hAnsiTheme="majorEastAsia" w:eastAsiaTheme="majorEastAsia"/>
                <w:b/>
                <w:kern w:val="0"/>
                <w:sz w:val="22"/>
                <w:szCs w:val="22"/>
                <w:highlight w:val="none"/>
              </w:rPr>
              <w:t>提供至少1个</w:t>
            </w:r>
            <w:r>
              <w:rPr>
                <w:rFonts w:hint="eastAsia" w:cs="方正小标宋简体" w:asciiTheme="majorEastAsia" w:hAnsiTheme="majorEastAsia" w:eastAsiaTheme="majorEastAsia"/>
                <w:b/>
                <w:kern w:val="0"/>
                <w:sz w:val="22"/>
                <w:szCs w:val="22"/>
                <w:highlight w:val="none"/>
                <w:lang w:val="en-US" w:eastAsia="zh-CN"/>
              </w:rPr>
              <w:t>公共建筑装修工程</w:t>
            </w:r>
            <w:r>
              <w:rPr>
                <w:rFonts w:hint="eastAsia" w:cs="方正小标宋简体" w:asciiTheme="majorEastAsia" w:hAnsiTheme="majorEastAsia" w:eastAsiaTheme="majorEastAsia"/>
                <w:b/>
                <w:kern w:val="0"/>
                <w:sz w:val="22"/>
                <w:szCs w:val="22"/>
                <w:highlight w:val="none"/>
              </w:rPr>
              <w:t>业绩的中标通知书或合同协议书</w:t>
            </w:r>
            <w:r>
              <w:rPr>
                <w:rFonts w:hint="eastAsia" w:asciiTheme="majorEastAsia" w:hAnsiTheme="majorEastAsia" w:eastAsiaTheme="majorEastAsia"/>
                <w:b/>
                <w:sz w:val="22"/>
                <w:szCs w:val="22"/>
                <w:highlight w:val="none"/>
              </w:rPr>
              <w:t>复印件并加盖比选申请人单位公章。】</w:t>
            </w:r>
          </w:p>
          <w:p>
            <w:pPr>
              <w:spacing w:line="360" w:lineRule="auto"/>
              <w:ind w:firstLine="422"/>
              <w:rPr>
                <w:rFonts w:cs="方正小标宋简体" w:asciiTheme="majorEastAsia" w:hAnsiTheme="majorEastAsia" w:eastAsiaTheme="majorEastAsia"/>
                <w:b/>
                <w:sz w:val="22"/>
                <w:szCs w:val="22"/>
              </w:rPr>
            </w:pPr>
            <w:r>
              <w:rPr>
                <w:rFonts w:hint="eastAsia" w:cs="方正小标宋简体" w:asciiTheme="majorEastAsia" w:hAnsiTheme="majorEastAsia" w:eastAsiaTheme="majorEastAsia"/>
                <w:b/>
                <w:sz w:val="22"/>
                <w:szCs w:val="22"/>
                <w:lang w:bidi="ar"/>
              </w:rPr>
              <w:t>4</w:t>
            </w:r>
            <w:r>
              <w:rPr>
                <w:rFonts w:cs="方正小标宋简体" w:asciiTheme="majorEastAsia" w:hAnsiTheme="majorEastAsia" w:eastAsiaTheme="majorEastAsia"/>
                <w:b/>
                <w:sz w:val="22"/>
                <w:szCs w:val="22"/>
                <w:lang w:bidi="ar"/>
              </w:rPr>
              <w:t>.</w:t>
            </w:r>
            <w:r>
              <w:rPr>
                <w:rFonts w:hint="eastAsia" w:cs="宋体" w:asciiTheme="majorEastAsia" w:hAnsiTheme="majorEastAsia" w:eastAsiaTheme="majorEastAsia"/>
                <w:b/>
                <w:sz w:val="22"/>
                <w:szCs w:val="22"/>
                <w:lang w:bidi="ar"/>
              </w:rPr>
              <w:t>项目经理资格要求</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具有建设行政主管部门颁发的</w:t>
            </w:r>
            <w:r>
              <w:rPr>
                <w:rFonts w:hint="eastAsia" w:asciiTheme="majorEastAsia" w:hAnsiTheme="majorEastAsia" w:eastAsiaTheme="majorEastAsia"/>
                <w:b/>
                <w:sz w:val="22"/>
                <w:szCs w:val="22"/>
                <w:u w:val="single"/>
              </w:rPr>
              <w:t>建筑工程贰级及以上</w:t>
            </w:r>
            <w:r>
              <w:rPr>
                <w:rFonts w:hint="eastAsia" w:asciiTheme="majorEastAsia" w:hAnsiTheme="majorEastAsia" w:eastAsiaTheme="majorEastAsia"/>
                <w:sz w:val="22"/>
                <w:szCs w:val="22"/>
              </w:rPr>
              <w:t>注册建造师执业资格，且必须在比选申请人单位注册</w:t>
            </w:r>
            <w:r>
              <w:rPr>
                <w:rFonts w:hint="eastAsia" w:asciiTheme="majorEastAsia" w:hAnsiTheme="majorEastAsia" w:eastAsiaTheme="majorEastAsia"/>
                <w:sz w:val="22"/>
                <w:szCs w:val="22"/>
                <w:lang w:val="en-US" w:eastAsia="zh-CN"/>
              </w:rPr>
              <w:t>和</w:t>
            </w:r>
            <w:r>
              <w:rPr>
                <w:rFonts w:hint="eastAsia" w:asciiTheme="majorEastAsia" w:hAnsiTheme="majorEastAsia" w:eastAsiaTheme="majorEastAsia"/>
                <w:sz w:val="22"/>
                <w:szCs w:val="22"/>
              </w:rPr>
              <w:t>未被禁止参与投标</w:t>
            </w:r>
            <w:r>
              <w:rPr>
                <w:rFonts w:hint="eastAsia" w:asciiTheme="majorEastAsia" w:hAnsiTheme="majorEastAsia" w:eastAsiaTheme="majorEastAsia"/>
                <w:sz w:val="22"/>
                <w:szCs w:val="22"/>
                <w:lang w:eastAsia="zh-CN"/>
              </w:rPr>
              <w:t>。</w:t>
            </w:r>
          </w:p>
          <w:p>
            <w:pPr>
              <w:spacing w:line="360" w:lineRule="auto"/>
              <w:ind w:firstLine="442"/>
              <w:rPr>
                <w:rFonts w:asciiTheme="majorEastAsia" w:hAnsiTheme="majorEastAsia" w:eastAsiaTheme="majorEastAsia"/>
                <w:b/>
                <w:sz w:val="22"/>
                <w:szCs w:val="22"/>
              </w:rPr>
            </w:pPr>
            <w:r>
              <w:rPr>
                <w:rFonts w:hint="eastAsia" w:asciiTheme="majorEastAsia" w:hAnsiTheme="majorEastAsia" w:eastAsiaTheme="majorEastAsia"/>
                <w:b/>
                <w:sz w:val="22"/>
                <w:szCs w:val="22"/>
              </w:rPr>
              <w:t>【须</w:t>
            </w:r>
            <w:r>
              <w:rPr>
                <w:rFonts w:hint="eastAsia" w:cs="方正小标宋简体" w:asciiTheme="majorEastAsia" w:hAnsiTheme="majorEastAsia" w:eastAsiaTheme="majorEastAsia"/>
                <w:b/>
                <w:kern w:val="0"/>
                <w:sz w:val="22"/>
                <w:szCs w:val="22"/>
              </w:rPr>
              <w:t>提供项目经理的建造师</w:t>
            </w:r>
            <w:r>
              <w:rPr>
                <w:rFonts w:hint="eastAsia" w:asciiTheme="majorEastAsia" w:hAnsiTheme="majorEastAsia" w:eastAsiaTheme="majorEastAsia"/>
                <w:b/>
                <w:sz w:val="22"/>
                <w:szCs w:val="22"/>
              </w:rPr>
              <w:t>注册证书、比选申请人为其缴纳的</w:t>
            </w:r>
            <w:r>
              <w:rPr>
                <w:rFonts w:hint="eastAsia" w:cs="方正小标宋简体" w:asciiTheme="majorEastAsia" w:hAnsiTheme="majorEastAsia" w:eastAsiaTheme="majorEastAsia"/>
                <w:b/>
                <w:sz w:val="22"/>
                <w:szCs w:val="22"/>
              </w:rPr>
              <w:t>202</w:t>
            </w:r>
            <w:r>
              <w:rPr>
                <w:rFonts w:cs="方正小标宋简体" w:asciiTheme="majorEastAsia" w:hAnsiTheme="majorEastAsia" w:eastAsiaTheme="majorEastAsia"/>
                <w:b/>
                <w:sz w:val="22"/>
                <w:szCs w:val="22"/>
              </w:rPr>
              <w:t>1</w:t>
            </w:r>
            <w:r>
              <w:rPr>
                <w:rFonts w:hint="eastAsia" w:asciiTheme="majorEastAsia" w:hAnsiTheme="majorEastAsia" w:eastAsiaTheme="majorEastAsia"/>
                <w:b/>
                <w:sz w:val="22"/>
                <w:szCs w:val="22"/>
              </w:rPr>
              <w:t>年8月至</w:t>
            </w:r>
            <w:r>
              <w:rPr>
                <w:rFonts w:hint="eastAsia" w:cs="方正小标宋简体" w:asciiTheme="majorEastAsia" w:hAnsiTheme="majorEastAsia" w:eastAsiaTheme="majorEastAsia"/>
                <w:b/>
                <w:sz w:val="22"/>
                <w:szCs w:val="22"/>
              </w:rPr>
              <w:t>2022</w:t>
            </w:r>
            <w:r>
              <w:rPr>
                <w:rFonts w:hint="eastAsia" w:asciiTheme="majorEastAsia" w:hAnsiTheme="majorEastAsia" w:eastAsiaTheme="majorEastAsia"/>
                <w:b/>
                <w:sz w:val="22"/>
                <w:szCs w:val="22"/>
              </w:rPr>
              <w:t>年1月的社会保险参保证明材料复印件并加盖比选申请人单位公章。】</w:t>
            </w:r>
          </w:p>
          <w:p>
            <w:pPr>
              <w:spacing w:line="360" w:lineRule="auto"/>
              <w:ind w:firstLine="442" w:firstLineChars="200"/>
              <w:rPr>
                <w:rFonts w:cs="宋体" w:asciiTheme="majorEastAsia" w:hAnsiTheme="majorEastAsia" w:eastAsiaTheme="majorEastAsia"/>
                <w:b/>
                <w:sz w:val="22"/>
                <w:szCs w:val="22"/>
                <w:lang w:bidi="ar"/>
              </w:rPr>
            </w:pPr>
            <w:r>
              <w:rPr>
                <w:rFonts w:hint="eastAsia" w:cs="宋体" w:asciiTheme="majorEastAsia" w:hAnsiTheme="majorEastAsia" w:eastAsiaTheme="majorEastAsia"/>
                <w:b/>
                <w:sz w:val="22"/>
                <w:szCs w:val="22"/>
                <w:lang w:bidi="ar"/>
              </w:rPr>
              <w:t>5.技术负责人</w:t>
            </w:r>
          </w:p>
          <w:p>
            <w:pPr>
              <w:pStyle w:val="2"/>
              <w:spacing w:line="360" w:lineRule="auto"/>
              <w:ind w:firstLine="440" w:firstLineChars="200"/>
              <w:rPr>
                <w:rFonts w:asciiTheme="majorEastAsia" w:hAnsiTheme="majorEastAsia" w:eastAsiaTheme="majorEastAsia"/>
                <w:bCs/>
                <w:sz w:val="22"/>
                <w:szCs w:val="22"/>
              </w:rPr>
            </w:pPr>
            <w:r>
              <w:rPr>
                <w:rFonts w:hint="eastAsia" w:cs="宋体" w:asciiTheme="majorEastAsia" w:hAnsiTheme="majorEastAsia" w:eastAsiaTheme="majorEastAsia"/>
                <w:kern w:val="0"/>
                <w:sz w:val="22"/>
                <w:szCs w:val="22"/>
                <w:lang w:bidi="ar"/>
              </w:rPr>
              <w:t>应具有</w:t>
            </w:r>
            <w:r>
              <w:rPr>
                <w:rFonts w:hint="eastAsia" w:asciiTheme="majorEastAsia" w:hAnsiTheme="majorEastAsia" w:eastAsiaTheme="majorEastAsia"/>
                <w:b/>
                <w:sz w:val="22"/>
                <w:szCs w:val="22"/>
                <w:u w:val="single"/>
              </w:rPr>
              <w:t>工程类中级及以上</w:t>
            </w:r>
            <w:r>
              <w:rPr>
                <w:rFonts w:hint="eastAsia" w:asciiTheme="majorEastAsia" w:hAnsiTheme="majorEastAsia" w:eastAsiaTheme="majorEastAsia"/>
                <w:bCs/>
                <w:sz w:val="22"/>
                <w:szCs w:val="22"/>
              </w:rPr>
              <w:t>技术职称。</w:t>
            </w:r>
          </w:p>
          <w:p>
            <w:pPr>
              <w:pStyle w:val="2"/>
              <w:spacing w:line="360" w:lineRule="auto"/>
              <w:ind w:firstLine="442" w:firstLineChars="200"/>
              <w:rPr>
                <w:rFonts w:cs="宋体" w:asciiTheme="majorEastAsia" w:hAnsiTheme="majorEastAsia" w:eastAsiaTheme="majorEastAsia"/>
                <w:b/>
                <w:sz w:val="22"/>
                <w:szCs w:val="22"/>
                <w:lang w:bidi="ar"/>
              </w:rPr>
            </w:pPr>
            <w:r>
              <w:rPr>
                <w:rFonts w:hint="eastAsia" w:asciiTheme="majorEastAsia" w:hAnsiTheme="majorEastAsia" w:eastAsiaTheme="majorEastAsia"/>
                <w:b/>
                <w:sz w:val="22"/>
                <w:szCs w:val="22"/>
              </w:rPr>
              <w:t>【须</w:t>
            </w:r>
            <w:r>
              <w:rPr>
                <w:rFonts w:hint="eastAsia" w:cs="方正小标宋简体" w:asciiTheme="majorEastAsia" w:hAnsiTheme="majorEastAsia" w:eastAsiaTheme="majorEastAsia"/>
                <w:b/>
                <w:kern w:val="0"/>
                <w:sz w:val="22"/>
                <w:szCs w:val="22"/>
              </w:rPr>
              <w:t>提供技术负责人的职称证</w:t>
            </w:r>
            <w:r>
              <w:rPr>
                <w:rFonts w:hint="eastAsia" w:asciiTheme="majorEastAsia" w:hAnsiTheme="majorEastAsia" w:eastAsiaTheme="majorEastAsia"/>
                <w:b/>
                <w:sz w:val="22"/>
                <w:szCs w:val="22"/>
              </w:rPr>
              <w:t>、比选申请人为其缴纳的</w:t>
            </w:r>
            <w:r>
              <w:rPr>
                <w:rFonts w:hint="eastAsia" w:cs="方正小标宋简体" w:asciiTheme="majorEastAsia" w:hAnsiTheme="majorEastAsia" w:eastAsiaTheme="majorEastAsia"/>
                <w:b/>
                <w:sz w:val="22"/>
                <w:szCs w:val="22"/>
              </w:rPr>
              <w:t>202</w:t>
            </w:r>
            <w:r>
              <w:rPr>
                <w:rFonts w:cs="方正小标宋简体" w:asciiTheme="majorEastAsia" w:hAnsiTheme="majorEastAsia" w:eastAsiaTheme="majorEastAsia"/>
                <w:b/>
                <w:sz w:val="22"/>
                <w:szCs w:val="22"/>
              </w:rPr>
              <w:t>1</w:t>
            </w:r>
            <w:r>
              <w:rPr>
                <w:rFonts w:hint="eastAsia" w:asciiTheme="majorEastAsia" w:hAnsiTheme="majorEastAsia" w:eastAsiaTheme="majorEastAsia"/>
                <w:b/>
                <w:sz w:val="22"/>
                <w:szCs w:val="22"/>
              </w:rPr>
              <w:t>年8月至</w:t>
            </w:r>
            <w:r>
              <w:rPr>
                <w:rFonts w:hint="eastAsia" w:cs="方正小标宋简体" w:asciiTheme="majorEastAsia" w:hAnsiTheme="majorEastAsia" w:eastAsiaTheme="majorEastAsia"/>
                <w:b/>
                <w:sz w:val="22"/>
                <w:szCs w:val="22"/>
              </w:rPr>
              <w:t>2022</w:t>
            </w:r>
            <w:r>
              <w:rPr>
                <w:rFonts w:hint="eastAsia" w:asciiTheme="majorEastAsia" w:hAnsiTheme="majorEastAsia" w:eastAsiaTheme="majorEastAsia"/>
                <w:b/>
                <w:sz w:val="22"/>
                <w:szCs w:val="22"/>
              </w:rPr>
              <w:t>年1月的社会保险参保证明材料复印件并加盖比选申请人单位公章。】</w:t>
            </w:r>
          </w:p>
          <w:p>
            <w:pPr>
              <w:spacing w:line="360" w:lineRule="auto"/>
              <w:ind w:firstLine="422"/>
              <w:rPr>
                <w:rFonts w:cs="宋体" w:asciiTheme="majorEastAsia" w:hAnsiTheme="majorEastAsia" w:eastAsiaTheme="majorEastAsia"/>
                <w:b/>
                <w:sz w:val="22"/>
                <w:szCs w:val="22"/>
                <w:lang w:bidi="ar"/>
              </w:rPr>
            </w:pPr>
            <w:r>
              <w:rPr>
                <w:rFonts w:hint="eastAsia" w:cs="宋体" w:asciiTheme="majorEastAsia" w:hAnsiTheme="majorEastAsia" w:eastAsiaTheme="majorEastAsia"/>
                <w:b/>
                <w:sz w:val="22"/>
                <w:szCs w:val="22"/>
                <w:lang w:bidi="ar"/>
              </w:rPr>
              <w:t>6.主要管理人员</w:t>
            </w:r>
          </w:p>
          <w:p>
            <w:pPr>
              <w:pStyle w:val="2"/>
              <w:spacing w:line="360" w:lineRule="auto"/>
              <w:ind w:firstLine="440" w:firstLineChars="200"/>
              <w:rPr>
                <w:rFonts w:cs="宋体" w:asciiTheme="majorEastAsia" w:hAnsiTheme="majorEastAsia" w:eastAsiaTheme="majorEastAsia"/>
                <w:kern w:val="0"/>
                <w:sz w:val="22"/>
                <w:szCs w:val="22"/>
                <w:lang w:bidi="ar"/>
              </w:rPr>
            </w:pPr>
            <w:r>
              <w:rPr>
                <w:rFonts w:hint="eastAsia" w:asciiTheme="majorEastAsia" w:hAnsiTheme="majorEastAsia" w:eastAsiaTheme="majorEastAsia"/>
                <w:b/>
                <w:bCs/>
                <w:sz w:val="22"/>
                <w:szCs w:val="22"/>
              </w:rPr>
              <w:t>比选申请人</w:t>
            </w:r>
            <w:r>
              <w:rPr>
                <w:rFonts w:hint="eastAsia" w:cs="宋体" w:asciiTheme="majorEastAsia" w:hAnsiTheme="majorEastAsia" w:eastAsiaTheme="majorEastAsia"/>
                <w:b/>
                <w:bCs/>
                <w:kern w:val="0"/>
                <w:sz w:val="22"/>
                <w:szCs w:val="22"/>
                <w:lang w:bidi="ar"/>
              </w:rPr>
              <w:t>自行承诺</w:t>
            </w:r>
            <w:r>
              <w:rPr>
                <w:rFonts w:hint="eastAsia" w:cs="宋体" w:asciiTheme="majorEastAsia" w:hAnsiTheme="majorEastAsia" w:eastAsiaTheme="majorEastAsia"/>
                <w:kern w:val="0"/>
                <w:sz w:val="22"/>
                <w:szCs w:val="22"/>
                <w:lang w:bidi="ar"/>
              </w:rPr>
              <w:t>中标后在签订合同之前，须按照建设行政主管部门的要求组建设计</w:t>
            </w:r>
            <w:r>
              <w:rPr>
                <w:rFonts w:cs="宋体" w:asciiTheme="majorEastAsia" w:hAnsiTheme="majorEastAsia" w:eastAsiaTheme="majorEastAsia"/>
                <w:kern w:val="0"/>
                <w:sz w:val="22"/>
                <w:szCs w:val="22"/>
                <w:lang w:bidi="ar"/>
              </w:rPr>
              <w:t>及</w:t>
            </w:r>
            <w:r>
              <w:rPr>
                <w:rFonts w:hint="eastAsia" w:cs="宋体" w:asciiTheme="majorEastAsia" w:hAnsiTheme="majorEastAsia" w:eastAsiaTheme="majorEastAsia"/>
                <w:kern w:val="0"/>
                <w:sz w:val="22"/>
                <w:szCs w:val="22"/>
                <w:lang w:bidi="ar"/>
              </w:rPr>
              <w:t>施工项目团队，配置项目管理班子，出具任命文件。任命文件应当明确设计</w:t>
            </w:r>
            <w:r>
              <w:rPr>
                <w:rFonts w:cs="宋体" w:asciiTheme="majorEastAsia" w:hAnsiTheme="majorEastAsia" w:eastAsiaTheme="majorEastAsia"/>
                <w:kern w:val="0"/>
                <w:sz w:val="22"/>
                <w:szCs w:val="22"/>
                <w:lang w:bidi="ar"/>
              </w:rPr>
              <w:t>及</w:t>
            </w:r>
            <w:r>
              <w:rPr>
                <w:rFonts w:hint="eastAsia" w:cs="宋体" w:asciiTheme="majorEastAsia" w:hAnsiTheme="majorEastAsia" w:eastAsiaTheme="majorEastAsia"/>
                <w:kern w:val="0"/>
                <w:sz w:val="22"/>
                <w:szCs w:val="22"/>
                <w:lang w:bidi="ar"/>
              </w:rPr>
              <w:t>施工项目团队的职责、岗位设置、人员配备，并书面通知比选人。相关岗位管理人员应持有建设行政主管部门要求的岗位证书，并提供投标人为其缴纳的养老保险证明材料。中标后不能满足该要求的，取消其中标资格，给招标人造成损失的，投标人依法承担违约赔偿责任。</w:t>
            </w:r>
          </w:p>
          <w:p>
            <w:pPr>
              <w:pStyle w:val="2"/>
              <w:spacing w:line="360" w:lineRule="auto"/>
              <w:ind w:firstLine="442" w:firstLineChars="200"/>
              <w:rPr>
                <w:rFonts w:cs="宋体" w:asciiTheme="majorEastAsia" w:hAnsiTheme="majorEastAsia" w:eastAsiaTheme="majorEastAsia"/>
                <w:b/>
                <w:sz w:val="22"/>
                <w:szCs w:val="22"/>
                <w:lang w:bidi="ar"/>
              </w:rPr>
            </w:pPr>
            <w:r>
              <w:rPr>
                <w:rFonts w:hint="eastAsia" w:asciiTheme="majorEastAsia" w:hAnsiTheme="majorEastAsia" w:eastAsiaTheme="majorEastAsia"/>
                <w:b/>
                <w:sz w:val="22"/>
                <w:szCs w:val="22"/>
              </w:rPr>
              <w:t>【须</w:t>
            </w:r>
            <w:r>
              <w:rPr>
                <w:rFonts w:hint="eastAsia" w:cs="方正小标宋简体" w:asciiTheme="majorEastAsia" w:hAnsiTheme="majorEastAsia" w:eastAsiaTheme="majorEastAsia"/>
                <w:b/>
                <w:kern w:val="0"/>
                <w:sz w:val="22"/>
                <w:szCs w:val="22"/>
              </w:rPr>
              <w:t>提供承诺函（格式自拟）</w:t>
            </w:r>
            <w:r>
              <w:rPr>
                <w:rFonts w:hint="eastAsia" w:asciiTheme="majorEastAsia" w:hAnsiTheme="majorEastAsia" w:eastAsiaTheme="majorEastAsia"/>
                <w:b/>
                <w:sz w:val="22"/>
                <w:szCs w:val="22"/>
              </w:rPr>
              <w:t>】</w:t>
            </w:r>
          </w:p>
          <w:p>
            <w:pPr>
              <w:spacing w:line="360" w:lineRule="auto"/>
              <w:ind w:firstLine="442"/>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7. 信誉要求</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比选申请人自行承诺（格式自拟）不得存在下列情形之一：</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（1）被最高人民法院在“信用中国”网站（www.creditchina.gov.cn）列入失信被执行人名单；</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（2）被列入《重庆市工程建设领域招标投标信用管理暂行办法》规定的重点关注名单且记分达到12分；</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（3）被列入《重庆市工程建设领域招标投标信用管理暂行办法》规定的黑名单；</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（4）被国家、重庆市（含市或任意区县）有关行政部门处以暂停投标资格行政处罚，且在处罚期限内；</w:t>
            </w:r>
          </w:p>
          <w:p>
            <w:pPr>
              <w:spacing w:line="360" w:lineRule="auto"/>
              <w:ind w:firstLine="442"/>
              <w:rPr>
                <w:rFonts w:asciiTheme="majorEastAsia" w:hAnsiTheme="majorEastAsia" w:eastAsiaTheme="majorEastAsia"/>
                <w:sz w:val="22"/>
                <w:szCs w:val="22"/>
              </w:rPr>
            </w:pPr>
            <w:r>
              <w:rPr>
                <w:rFonts w:hint="eastAsia" w:asciiTheme="majorEastAsia" w:hAnsiTheme="majorEastAsia" w:eastAsiaTheme="majorEastAsia"/>
                <w:sz w:val="22"/>
                <w:szCs w:val="22"/>
              </w:rPr>
              <w:t>（5）被重庆市住房和城乡建设主管部门暂停在渝承揽新业务。</w:t>
            </w:r>
          </w:p>
          <w:p>
            <w:pPr>
              <w:spacing w:line="360" w:lineRule="auto"/>
              <w:ind w:firstLine="442"/>
              <w:rPr>
                <w:rFonts w:asciiTheme="majorEastAsia" w:hAnsiTheme="majorEastAsia" w:eastAsiaTheme="majorEastAsia"/>
                <w:b/>
                <w:sz w:val="22"/>
                <w:szCs w:val="22"/>
              </w:rPr>
            </w:pPr>
            <w:r>
              <w:rPr>
                <w:rFonts w:hint="eastAsia" w:asciiTheme="majorEastAsia" w:hAnsiTheme="majorEastAsia" w:eastAsiaTheme="majorEastAsia"/>
                <w:b/>
                <w:sz w:val="22"/>
                <w:szCs w:val="22"/>
              </w:rPr>
              <w:t>【由比选申请人自行</w:t>
            </w:r>
            <w:r>
              <w:rPr>
                <w:rFonts w:hint="eastAsia" w:asciiTheme="majorEastAsia" w:hAnsiTheme="majorEastAsia" w:eastAsiaTheme="majorEastAsia"/>
                <w:b/>
                <w:sz w:val="22"/>
                <w:szCs w:val="22"/>
                <w:highlight w:val="none"/>
              </w:rPr>
              <w:t>承诺</w:t>
            </w:r>
            <w:r>
              <w:rPr>
                <w:rFonts w:hint="eastAsia" w:asciiTheme="majorEastAsia" w:hAnsiTheme="majorEastAsia" w:eastAsiaTheme="majorEastAsia"/>
                <w:b/>
                <w:sz w:val="22"/>
                <w:szCs w:val="22"/>
                <w:highlight w:val="none"/>
                <w:lang w:val="en-US" w:eastAsia="zh-CN"/>
              </w:rPr>
              <w:t>并</w:t>
            </w:r>
            <w:r>
              <w:rPr>
                <w:rFonts w:hint="eastAsia" w:asciiTheme="majorEastAsia" w:hAnsiTheme="majorEastAsia" w:eastAsiaTheme="majorEastAsia"/>
                <w:b/>
                <w:sz w:val="22"/>
                <w:szCs w:val="22"/>
                <w:highlight w:val="none"/>
              </w:rPr>
              <w:t>提供网站截图，</w:t>
            </w:r>
            <w:r>
              <w:rPr>
                <w:rFonts w:hint="eastAsia" w:asciiTheme="majorEastAsia" w:hAnsiTheme="majorEastAsia" w:eastAsiaTheme="majorEastAsia"/>
                <w:b/>
                <w:sz w:val="22"/>
                <w:szCs w:val="22"/>
              </w:rPr>
              <w:t>格式自拟；若承诺与实际不符，将被取消竞标或中选资格，其投标保证金不予退还。】</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1.4.2</w:t>
            </w:r>
          </w:p>
        </w:tc>
        <w:tc>
          <w:tcPr>
            <w:tcW w:w="1844" w:type="dxa"/>
            <w:tcBorders>
              <w:top w:val="single" w:color="auto" w:sz="4" w:space="0"/>
              <w:left w:val="nil"/>
              <w:bottom w:val="single" w:color="auto" w:sz="4" w:space="0"/>
              <w:right w:val="single" w:color="auto" w:sz="4" w:space="0"/>
            </w:tcBorders>
            <w:vAlign w:val="center"/>
          </w:tcPr>
          <w:p>
            <w:pPr>
              <w:autoSpaceDE w:val="0"/>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是否接受联合体竞选</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不接收联合体投标</w:t>
            </w:r>
            <w:r>
              <w:rPr>
                <w:rFonts w:cs="宋体" w:asciiTheme="majorEastAsia" w:hAnsiTheme="majorEastAsia" w:eastAsiaTheme="majorEastAsia"/>
                <w:sz w:val="22"/>
                <w:szCs w:val="22"/>
                <w:lang w:bidi="ar"/>
              </w:rPr>
              <w:t>。</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w:t>
            </w:r>
            <w:r>
              <w:rPr>
                <w:rFonts w:hint="eastAsia" w:asciiTheme="majorEastAsia" w:hAnsiTheme="majorEastAsia" w:eastAsiaTheme="majorEastAsia"/>
                <w:sz w:val="22"/>
                <w:szCs w:val="22"/>
                <w:lang w:bidi="ar"/>
              </w:rPr>
              <w:t>5</w:t>
            </w:r>
            <w:r>
              <w:rPr>
                <w:rFonts w:asciiTheme="majorEastAsia" w:hAnsiTheme="majorEastAsia" w:eastAsiaTheme="majorEastAsia"/>
                <w:sz w:val="22"/>
                <w:szCs w:val="22"/>
                <w:lang w:bidi="ar"/>
              </w:rPr>
              <w:t>.1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踏勘现场</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比选人不组织踏勘现场，比选申请人根据自身需要自行进行现场踏勘。</w:t>
            </w:r>
          </w:p>
        </w:tc>
      </w:tr>
      <w:tr>
        <w:tblPrEx>
          <w:tblLayout w:type="fixed"/>
          <w:tblCellMar>
            <w:top w:w="0" w:type="dxa"/>
            <w:left w:w="108" w:type="dxa"/>
            <w:bottom w:w="0" w:type="dxa"/>
            <w:right w:w="108" w:type="dxa"/>
          </w:tblCellMar>
        </w:tblPrEx>
        <w:trPr>
          <w:trHeight w:val="90"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w:t>
            </w:r>
            <w:r>
              <w:rPr>
                <w:rFonts w:hint="eastAsia" w:asciiTheme="majorEastAsia" w:hAnsiTheme="majorEastAsia" w:eastAsiaTheme="majorEastAsia"/>
                <w:sz w:val="22"/>
                <w:szCs w:val="22"/>
                <w:lang w:bidi="ar"/>
              </w:rPr>
              <w:t>6</w:t>
            </w:r>
            <w:r>
              <w:rPr>
                <w:rFonts w:asciiTheme="majorEastAsia" w:hAnsiTheme="majorEastAsia" w:eastAsiaTheme="majorEastAsia"/>
                <w:sz w:val="22"/>
                <w:szCs w:val="22"/>
                <w:lang w:bidi="ar"/>
              </w:rPr>
              <w:t>.1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比选申请预备会</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不召开。</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1.</w:t>
            </w:r>
            <w:r>
              <w:rPr>
                <w:rFonts w:hint="eastAsia" w:asciiTheme="majorEastAsia" w:hAnsiTheme="majorEastAsia" w:eastAsiaTheme="majorEastAsia"/>
                <w:sz w:val="22"/>
                <w:szCs w:val="22"/>
                <w:lang w:bidi="ar"/>
              </w:rPr>
              <w:t>7</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分包</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不允许。</w:t>
            </w:r>
          </w:p>
        </w:tc>
      </w:tr>
      <w:tr>
        <w:tblPrEx>
          <w:tblLayout w:type="fixed"/>
          <w:tblCellMar>
            <w:top w:w="0" w:type="dxa"/>
            <w:left w:w="108" w:type="dxa"/>
            <w:bottom w:w="0" w:type="dxa"/>
            <w:right w:w="108" w:type="dxa"/>
          </w:tblCellMar>
        </w:tblPrEx>
        <w:trPr>
          <w:trHeight w:val="72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2.1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构成比选文件的其他材料</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比选人发出的答疑及补遗文件。</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构成比选申请文件的其他材料</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比选申请人的书面澄清、说明和补正（但不得改变比选申请文件的实质性内容）。</w:t>
            </w:r>
          </w:p>
        </w:tc>
      </w:tr>
      <w:tr>
        <w:tblPrEx>
          <w:tblLayout w:type="fixed"/>
          <w:tblCellMar>
            <w:top w:w="0" w:type="dxa"/>
            <w:left w:w="108" w:type="dxa"/>
            <w:bottom w:w="0" w:type="dxa"/>
            <w:right w:w="108" w:type="dxa"/>
          </w:tblCellMar>
        </w:tblPrEx>
        <w:trPr>
          <w:trHeight w:val="9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比选申请报价</w:t>
            </w:r>
          </w:p>
        </w:tc>
        <w:tc>
          <w:tcPr>
            <w:tcW w:w="6591" w:type="dxa"/>
            <w:gridSpan w:val="2"/>
            <w:tcBorders>
              <w:top w:val="single" w:color="auto" w:sz="4" w:space="0"/>
              <w:left w:val="nil"/>
              <w:bottom w:val="single" w:color="auto" w:sz="4" w:space="0"/>
              <w:right w:val="single" w:color="auto" w:sz="4" w:space="0"/>
            </w:tcBorders>
            <w:vAlign w:val="center"/>
          </w:tcPr>
          <w:p>
            <w:pPr>
              <w:snapToGrid w:val="0"/>
              <w:spacing w:line="360" w:lineRule="auto"/>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1.工程量清单应采用综合单价计价。</w:t>
            </w:r>
          </w:p>
          <w:p>
            <w:pPr>
              <w:snapToGrid w:val="0"/>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比选申请人应按《建设工程工程量清单计价规范》（GB50500-2013）及重庆市相关工程量清单计价规则的要求填写相应清单表格。比选申请人应按本须知、《重庆市建设工程费用定额》（CQFYDE-2018）、《重庆市城乡建设委员会关于适用增值税新税率调整建设工程计价依据的通知》（渝建[2019]143号）和本竞争性比选文件“工程量清单”的要求填写相应清单表格。比选申请人的投标报价应是本工程招标范围内的全部工程的投标报价，并以比选申请人在工程量清单中提出的单价或总价为依据。</w:t>
            </w:r>
          </w:p>
          <w:p>
            <w:pPr>
              <w:pStyle w:val="2"/>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比选申请人应认真填写工程量清单中所列的本合同各工程子目的单价或总价。比选申请人没有填入单价或总价的工程子目，比选人将认为该子目的价款已包括在工程量清单其他子目的单价和总价中。比选申请人必须按招标工程量清单填报价格。项目编码、项目名称、项目特征、计量单位、工程量必须与招标工程量清单一致。</w:t>
            </w:r>
          </w:p>
          <w:p>
            <w:pPr>
              <w:pStyle w:val="2"/>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4.比选申请函的总报价必须与已标价工程量清单总报价一致。</w:t>
            </w:r>
          </w:p>
          <w:p>
            <w:pPr>
              <w:pStyle w:val="2"/>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5.（1）在合同实施期间，单价和总价按专用合同条款第11条的规定执行，比选申请人应确认基准日期前工程造价管理机构发布的信息价格。</w:t>
            </w:r>
          </w:p>
          <w:p>
            <w:pPr>
              <w:pStyle w:val="2"/>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（2）增值税计税方法由招标人依据国家税法规定选择：</w:t>
            </w:r>
          </w:p>
          <w:p>
            <w:pPr>
              <w:pStyle w:val="2"/>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■一般计税法</w:t>
            </w:r>
          </w:p>
          <w:p>
            <w:pPr>
              <w:pStyle w:val="2"/>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□简易计税法</w:t>
            </w:r>
          </w:p>
          <w:p>
            <w:pPr>
              <w:pStyle w:val="2"/>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6.如发现工程量清单中的数量与图纸中数量不一致，应于本须知</w:t>
            </w:r>
            <w:r>
              <w:rPr>
                <w:rFonts w:hint="eastAsia" w:asciiTheme="minorEastAsia" w:hAnsiTheme="minorEastAsia" w:eastAsiaTheme="minorEastAsia" w:cstheme="minorEastAsia"/>
                <w:sz w:val="22"/>
                <w:szCs w:val="22"/>
                <w:lang w:bidi="ar"/>
              </w:rPr>
              <w:t>1.6.2</w:t>
            </w:r>
            <w:r>
              <w:rPr>
                <w:rFonts w:hint="eastAsia" w:asciiTheme="minorEastAsia" w:hAnsiTheme="minorEastAsia" w:eastAsiaTheme="minorEastAsia" w:cstheme="minorEastAsia"/>
                <w:kern w:val="0"/>
                <w:sz w:val="22"/>
                <w:szCs w:val="22"/>
              </w:rPr>
              <w:t>项中规定的时间前书面通知比选申请人核查，除非比选人以补遗书的形式予以更正，否则，应以工程量清单中列出的数量为准。</w:t>
            </w:r>
          </w:p>
          <w:p>
            <w:pPr>
              <w:pStyle w:val="2"/>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7.比选人在工程量清单中所列出的暂列金额、暂估价、安全文明施工费，比选申请人不得修改。</w:t>
            </w:r>
          </w:p>
          <w:p>
            <w:pPr>
              <w:spacing w:line="360" w:lineRule="auto"/>
              <w:ind w:firstLine="442" w:firstLineChars="200"/>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8.本工程招标设置投标总报价最高限价，比选申请人的投标总报价不得超过其最高限价，否则作否决投标处理。</w:t>
            </w:r>
          </w:p>
          <w:p>
            <w:pPr>
              <w:spacing w:line="360" w:lineRule="auto"/>
              <w:ind w:firstLine="442" w:firstLineChars="200"/>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本工程招标将设置全部工程量清单综合单价最高限价，比选申请人的每项工程量清单综合单价报价不得超过其对应清单综合单价最高限价。</w:t>
            </w:r>
          </w:p>
          <w:p>
            <w:pPr>
              <w:spacing w:line="360" w:lineRule="auto"/>
              <w:ind w:firstLine="440" w:firstLineChars="200"/>
              <w:rPr>
                <w:rFonts w:hint="eastAsia" w:asciiTheme="minorEastAsia" w:hAnsiTheme="minorEastAsia" w:eastAsiaTheme="minorEastAsia" w:cstheme="minorEastAsia"/>
                <w:bCs/>
                <w:kern w:val="0"/>
                <w:sz w:val="22"/>
                <w:szCs w:val="22"/>
              </w:rPr>
            </w:pPr>
            <w:r>
              <w:rPr>
                <w:rFonts w:hint="eastAsia" w:asciiTheme="minorEastAsia" w:hAnsiTheme="minorEastAsia" w:eastAsiaTheme="minorEastAsia" w:cstheme="minorEastAsia"/>
                <w:bCs/>
                <w:kern w:val="0"/>
                <w:sz w:val="22"/>
                <w:szCs w:val="22"/>
                <w:lang w:val="en-US" w:eastAsia="zh-CN"/>
              </w:rPr>
              <w:t>比选</w:t>
            </w:r>
            <w:r>
              <w:rPr>
                <w:rFonts w:hint="eastAsia" w:asciiTheme="minorEastAsia" w:hAnsiTheme="minorEastAsia" w:eastAsiaTheme="minorEastAsia" w:cstheme="minorEastAsia"/>
                <w:bCs/>
                <w:kern w:val="0"/>
                <w:sz w:val="22"/>
                <w:szCs w:val="22"/>
              </w:rPr>
              <w:t>人在合同签订前将对中标人已标价工程量清单进行清标。若发现中标人的工程量清单综合单价报价超过招标时给出的工程量清单综合单价最高限价的，在工程结算时</w:t>
            </w:r>
            <w:r>
              <w:rPr>
                <w:rFonts w:hint="eastAsia" w:asciiTheme="minorEastAsia" w:hAnsiTheme="minorEastAsia" w:eastAsiaTheme="minorEastAsia" w:cstheme="minorEastAsia"/>
                <w:bCs/>
                <w:kern w:val="0"/>
                <w:sz w:val="22"/>
                <w:szCs w:val="22"/>
                <w:lang w:val="en-US" w:eastAsia="zh-CN"/>
              </w:rPr>
              <w:t>比选</w:t>
            </w:r>
            <w:r>
              <w:rPr>
                <w:rFonts w:hint="eastAsia" w:asciiTheme="minorEastAsia" w:hAnsiTheme="minorEastAsia" w:eastAsiaTheme="minorEastAsia" w:cstheme="minorEastAsia"/>
                <w:bCs/>
                <w:kern w:val="0"/>
                <w:sz w:val="22"/>
                <w:szCs w:val="22"/>
              </w:rPr>
              <w:t>人将以发出的工程量清单综合单价最高限价为基础，按照中标人的中标总报价与本工程的总价最高限价的下浮比例进行同比例下调，中标人必须无条件接受，否则按中标人违约处理。</w:t>
            </w:r>
          </w:p>
          <w:p>
            <w:pPr>
              <w:spacing w:line="360" w:lineRule="auto"/>
              <w:ind w:firstLine="440" w:firstLineChars="200"/>
              <w:rPr>
                <w:rFonts w:asciiTheme="minorEastAsia" w:hAnsiTheme="minorEastAsia" w:eastAsiaTheme="minorEastAsia" w:cstheme="minorEastAsia"/>
                <w:bCs/>
                <w:kern w:val="0"/>
                <w:sz w:val="22"/>
                <w:szCs w:val="22"/>
              </w:rPr>
            </w:pPr>
            <w:r>
              <w:rPr>
                <w:rFonts w:hint="eastAsia" w:asciiTheme="minorEastAsia" w:hAnsiTheme="minorEastAsia" w:eastAsiaTheme="minorEastAsia" w:cstheme="minorEastAsia"/>
                <w:bCs/>
                <w:kern w:val="0"/>
                <w:sz w:val="22"/>
                <w:szCs w:val="22"/>
              </w:rPr>
              <w:t>9.安全文明施工费：</w:t>
            </w:r>
          </w:p>
          <w:p>
            <w:pPr>
              <w:spacing w:line="360" w:lineRule="auto"/>
              <w:ind w:firstLine="440" w:firstLineChars="200"/>
              <w:rPr>
                <w:rFonts w:asciiTheme="minorEastAsia" w:hAnsiTheme="minorEastAsia" w:eastAsiaTheme="minorEastAsia" w:cstheme="minorEastAsia"/>
                <w:bCs/>
                <w:kern w:val="0"/>
                <w:sz w:val="22"/>
                <w:szCs w:val="22"/>
              </w:rPr>
            </w:pPr>
            <w:r>
              <w:rPr>
                <w:rFonts w:hint="eastAsia" w:asciiTheme="minorEastAsia" w:hAnsiTheme="minorEastAsia" w:eastAsiaTheme="minorEastAsia" w:cstheme="minorEastAsia"/>
                <w:bCs/>
                <w:kern w:val="0"/>
                <w:sz w:val="22"/>
                <w:szCs w:val="22"/>
              </w:rPr>
              <w:t>9.1根据《关于印发&lt;重庆市建设工程安全文明施工费计取及使用管理规定&gt;的通知》（渝建发〔2014〕25号）规定，安全文明施工费由安全施工费、文明施工费、环境保护费及临时设施费组成。</w:t>
            </w:r>
          </w:p>
          <w:p>
            <w:pPr>
              <w:spacing w:line="360" w:lineRule="auto"/>
              <w:ind w:firstLine="440" w:firstLineChars="200"/>
              <w:rPr>
                <w:rFonts w:asciiTheme="minorEastAsia" w:hAnsiTheme="minorEastAsia" w:eastAsiaTheme="minorEastAsia" w:cstheme="minorEastAsia"/>
                <w:bCs/>
                <w:kern w:val="0"/>
                <w:sz w:val="22"/>
                <w:szCs w:val="22"/>
              </w:rPr>
            </w:pPr>
            <w:r>
              <w:rPr>
                <w:rFonts w:hint="eastAsia" w:asciiTheme="minorEastAsia" w:hAnsiTheme="minorEastAsia" w:eastAsiaTheme="minorEastAsia" w:cstheme="minorEastAsia"/>
                <w:bCs/>
                <w:kern w:val="0"/>
                <w:sz w:val="22"/>
                <w:szCs w:val="22"/>
              </w:rPr>
              <w:t>9.2本工程安全文明施工费由比选人根据《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的相关规定和费用标准单列计算，安全文明施工费为暂定金额。《比选申请函》及工程量清单报价中的安全文明施工费必须按照比选人给出的暂定金额填报，否则视为对竞争性比选文件不作实质性响应，其投标文件将作否决投标处理。</w:t>
            </w:r>
          </w:p>
          <w:p>
            <w:pPr>
              <w:spacing w:line="360" w:lineRule="auto"/>
              <w:ind w:firstLine="440" w:firstLineChars="200"/>
              <w:rPr>
                <w:rFonts w:asciiTheme="minorEastAsia" w:hAnsiTheme="minorEastAsia" w:eastAsiaTheme="minorEastAsia" w:cstheme="minorEastAsia"/>
                <w:bCs/>
                <w:kern w:val="0"/>
                <w:sz w:val="22"/>
                <w:szCs w:val="22"/>
              </w:rPr>
            </w:pPr>
            <w:r>
              <w:rPr>
                <w:rFonts w:hint="eastAsia" w:asciiTheme="minorEastAsia" w:hAnsiTheme="minorEastAsia" w:eastAsiaTheme="minorEastAsia" w:cstheme="minorEastAsia"/>
                <w:bCs/>
                <w:kern w:val="0"/>
                <w:sz w:val="22"/>
                <w:szCs w:val="22"/>
              </w:rPr>
              <w:t>10.本工程所需材料（含设备）价格由比选申请人参照重庆市建设工程造价管理总站发布的《重庆工程造价信息》或工程造价管理机构发布的工程造价信息（造价信息引用时限为招标公告发布日期前一期），并结合市场行情及自身实力进行自主报价。</w:t>
            </w:r>
          </w:p>
          <w:p>
            <w:pPr>
              <w:spacing w:line="360" w:lineRule="auto"/>
              <w:ind w:firstLine="440" w:firstLineChars="200"/>
              <w:rPr>
                <w:rFonts w:asciiTheme="minorEastAsia" w:hAnsiTheme="minorEastAsia" w:eastAsiaTheme="minorEastAsia" w:cstheme="minorEastAsia"/>
                <w:bCs/>
                <w:kern w:val="0"/>
                <w:sz w:val="22"/>
                <w:szCs w:val="22"/>
                <w:u w:val="single"/>
              </w:rPr>
            </w:pPr>
            <w:r>
              <w:rPr>
                <w:rFonts w:hint="eastAsia" w:asciiTheme="minorEastAsia" w:hAnsiTheme="minorEastAsia" w:eastAsiaTheme="minorEastAsia" w:cstheme="minorEastAsia"/>
                <w:bCs/>
                <w:kern w:val="0"/>
                <w:sz w:val="22"/>
                <w:szCs w:val="22"/>
              </w:rPr>
              <w:t>11.本项目建筑安装材料价格风险按照《重庆市城乡建设委员会关于进一步加强建筑安装材料价格风险管控的指导意见》（渝建〔2018〕61号）执行。 本项目主要材料及设备价格风险内容、范围及调整方法为：</w:t>
            </w:r>
            <w:r>
              <w:rPr>
                <w:rFonts w:hint="eastAsia" w:asciiTheme="minorEastAsia" w:hAnsiTheme="minorEastAsia" w:eastAsiaTheme="minorEastAsia" w:cstheme="minorEastAsia"/>
                <w:bCs/>
                <w:kern w:val="0"/>
                <w:sz w:val="22"/>
                <w:szCs w:val="22"/>
                <w:u w:val="single"/>
                <w:lang w:val="en-US" w:eastAsia="zh-CN"/>
              </w:rPr>
              <w:t>详见《专用合同条款》</w:t>
            </w:r>
            <w:r>
              <w:rPr>
                <w:rFonts w:hint="eastAsia" w:asciiTheme="minorEastAsia" w:hAnsiTheme="minorEastAsia" w:eastAsiaTheme="minorEastAsia" w:cstheme="minorEastAsia"/>
                <w:bCs/>
                <w:kern w:val="0"/>
                <w:sz w:val="22"/>
                <w:szCs w:val="22"/>
                <w:lang w:val="en-US" w:eastAsia="zh-CN"/>
              </w:rPr>
              <w:t>。</w:t>
            </w:r>
          </w:p>
          <w:p>
            <w:pPr>
              <w:spacing w:line="360" w:lineRule="auto"/>
              <w:ind w:firstLine="440" w:firstLineChars="200"/>
              <w:rPr>
                <w:rFonts w:asciiTheme="minorEastAsia" w:hAnsiTheme="minorEastAsia" w:eastAsiaTheme="minorEastAsia" w:cstheme="minorEastAsia"/>
                <w:bCs/>
                <w:kern w:val="0"/>
                <w:sz w:val="22"/>
                <w:szCs w:val="22"/>
              </w:rPr>
            </w:pPr>
            <w:r>
              <w:rPr>
                <w:rFonts w:hint="eastAsia" w:asciiTheme="minorEastAsia" w:hAnsiTheme="minorEastAsia" w:eastAsiaTheme="minorEastAsia" w:cstheme="minorEastAsia"/>
                <w:bCs/>
                <w:kern w:val="0"/>
                <w:sz w:val="22"/>
                <w:szCs w:val="22"/>
              </w:rPr>
              <w:t>12.本项目所采用技术、工艺和产品等必须执行重庆市住房和城乡建设委员会关于发布《重庆市建设领域禁止、限制使用落后技术通告（2019年版）（渝建发〔2019〕25号）的规定。</w:t>
            </w:r>
          </w:p>
          <w:p>
            <w:pPr>
              <w:spacing w:line="360" w:lineRule="auto"/>
              <w:ind w:firstLine="440" w:firstLineChars="200"/>
              <w:rPr>
                <w:rFonts w:asciiTheme="minorEastAsia" w:hAnsiTheme="minorEastAsia" w:eastAsiaTheme="minorEastAsia" w:cstheme="minorEastAsia"/>
                <w:bCs/>
                <w:kern w:val="0"/>
                <w:sz w:val="22"/>
                <w:szCs w:val="22"/>
              </w:rPr>
            </w:pPr>
            <w:r>
              <w:rPr>
                <w:rFonts w:hint="eastAsia" w:asciiTheme="minorEastAsia" w:hAnsiTheme="minorEastAsia" w:eastAsiaTheme="minorEastAsia" w:cstheme="minorEastAsia"/>
                <w:bCs/>
                <w:kern w:val="0"/>
                <w:sz w:val="22"/>
                <w:szCs w:val="22"/>
              </w:rPr>
              <w:t>13.本工程主体结构若需混凝土，则必须使用商品混凝土，不得自建搅拌站。</w:t>
            </w:r>
          </w:p>
          <w:p>
            <w:pPr>
              <w:spacing w:line="360" w:lineRule="auto"/>
              <w:ind w:firstLine="440" w:firstLineChars="200"/>
              <w:rPr>
                <w:rFonts w:asciiTheme="majorEastAsia" w:hAnsiTheme="majorEastAsia" w:eastAsiaTheme="majorEastAsia"/>
                <w:sz w:val="22"/>
                <w:szCs w:val="22"/>
              </w:rPr>
            </w:pPr>
            <w:r>
              <w:rPr>
                <w:rFonts w:hint="eastAsia" w:asciiTheme="minorEastAsia" w:hAnsiTheme="minorEastAsia" w:eastAsiaTheme="minorEastAsia" w:cstheme="minorEastAsia"/>
                <w:bCs/>
                <w:kern w:val="0"/>
                <w:sz w:val="22"/>
                <w:szCs w:val="22"/>
              </w:rPr>
              <w:t>14.本项目施工地点在高速服务区，比选申请人应综合考虑高速路通行费，材料及设备转运费等各项费用。</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3.3</w:t>
            </w:r>
          </w:p>
        </w:tc>
        <w:tc>
          <w:tcPr>
            <w:tcW w:w="1844" w:type="dxa"/>
            <w:tcBorders>
              <w:top w:val="single" w:color="auto" w:sz="4" w:space="0"/>
              <w:left w:val="nil"/>
              <w:bottom w:val="single" w:color="auto" w:sz="4" w:space="0"/>
              <w:right w:val="single" w:color="auto" w:sz="4" w:space="0"/>
            </w:tcBorders>
            <w:vAlign w:val="center"/>
          </w:tcPr>
          <w:p>
            <w:pPr>
              <w:snapToGrid w:val="0"/>
              <w:spacing w:line="360" w:lineRule="auto"/>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投标文件的组成</w:t>
            </w:r>
          </w:p>
        </w:tc>
        <w:tc>
          <w:tcPr>
            <w:tcW w:w="6591" w:type="dxa"/>
            <w:gridSpan w:val="2"/>
            <w:tcBorders>
              <w:top w:val="single" w:color="auto" w:sz="4" w:space="0"/>
              <w:left w:val="nil"/>
              <w:bottom w:val="single" w:color="auto" w:sz="4" w:space="0"/>
              <w:right w:val="single" w:color="auto" w:sz="4" w:space="0"/>
            </w:tcBorders>
            <w:vAlign w:val="center"/>
          </w:tcPr>
          <w:p>
            <w:pPr>
              <w:snapToGrid w:val="0"/>
              <w:spacing w:line="360" w:lineRule="auto"/>
              <w:ind w:firstLine="440" w:firstLineChars="200"/>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比选申请函、资格审查资料。</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lang w:bidi="ar"/>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4</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比选申请有效期</w:t>
            </w:r>
          </w:p>
        </w:tc>
        <w:tc>
          <w:tcPr>
            <w:tcW w:w="6591" w:type="dxa"/>
            <w:gridSpan w:val="2"/>
            <w:tcBorders>
              <w:top w:val="single" w:color="auto" w:sz="4" w:space="0"/>
              <w:left w:val="nil"/>
              <w:bottom w:val="single" w:color="auto" w:sz="4" w:space="0"/>
              <w:right w:val="single" w:color="auto" w:sz="4" w:space="0"/>
            </w:tcBorders>
            <w:vAlign w:val="center"/>
          </w:tcPr>
          <w:p>
            <w:pPr>
              <w:snapToGrid w:val="0"/>
              <w:spacing w:line="360" w:lineRule="auto"/>
              <w:ind w:firstLine="440"/>
              <w:rPr>
                <w:rFonts w:cs="方正小标宋简体" w:asciiTheme="majorEastAsia" w:hAnsiTheme="majorEastAsia" w:eastAsiaTheme="majorEastAsia"/>
                <w:sz w:val="22"/>
                <w:szCs w:val="22"/>
                <w:lang w:bidi="ar"/>
              </w:rPr>
            </w:pPr>
            <w:r>
              <w:rPr>
                <w:rFonts w:hint="eastAsia" w:cs="方正小标宋简体" w:asciiTheme="majorEastAsia" w:hAnsiTheme="majorEastAsia" w:eastAsiaTheme="majorEastAsia"/>
                <w:sz w:val="22"/>
                <w:szCs w:val="22"/>
                <w:lang w:bidi="ar"/>
              </w:rPr>
              <w:t>90</w:t>
            </w:r>
            <w:r>
              <w:rPr>
                <w:rFonts w:hint="eastAsia" w:cs="宋体" w:asciiTheme="majorEastAsia" w:hAnsiTheme="majorEastAsia" w:eastAsiaTheme="majorEastAsia"/>
                <w:sz w:val="22"/>
                <w:szCs w:val="22"/>
                <w:lang w:bidi="ar"/>
              </w:rPr>
              <w:t>日历天（从提交比选申请文件截止时间起计算）。</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5</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投标保证金</w:t>
            </w:r>
          </w:p>
        </w:tc>
        <w:tc>
          <w:tcPr>
            <w:tcW w:w="6591"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40" w:firstLineChars="200"/>
              <w:rPr>
                <w:rFonts w:ascii="宋体" w:hAnsi="宋体"/>
                <w:sz w:val="22"/>
                <w:szCs w:val="24"/>
              </w:rPr>
            </w:pPr>
            <w:r>
              <w:rPr>
                <w:rFonts w:hint="eastAsia" w:ascii="宋体" w:hAnsi="宋体"/>
                <w:sz w:val="22"/>
                <w:szCs w:val="24"/>
              </w:rPr>
              <w:t>一、投标保证金的交纳</w:t>
            </w:r>
          </w:p>
          <w:p>
            <w:pPr>
              <w:adjustRightInd w:val="0"/>
              <w:snapToGrid w:val="0"/>
              <w:spacing w:line="360" w:lineRule="auto"/>
              <w:ind w:firstLine="440" w:firstLineChars="200"/>
              <w:rPr>
                <w:rFonts w:ascii="宋体" w:hAnsi="宋体"/>
                <w:sz w:val="22"/>
                <w:szCs w:val="24"/>
              </w:rPr>
            </w:pPr>
            <w:r>
              <w:rPr>
                <w:rFonts w:hint="eastAsia" w:ascii="宋体" w:hAnsi="宋体"/>
                <w:sz w:val="22"/>
                <w:szCs w:val="24"/>
              </w:rPr>
              <w:t>1.投标保证金交款形式及要求：投标保证金采用现金转账形式，比选申请人从企业的基本账户（开户行）在比选申请截止时间前通过转账方式直接划付至下面指定的投标保证金账户，否则，投标保证金无效。比选申请人自行考虑转账时间风险，如同城转账、异地转账、跨行转账的时间要求。</w:t>
            </w:r>
          </w:p>
          <w:p>
            <w:pPr>
              <w:adjustRightInd w:val="0"/>
              <w:snapToGrid w:val="0"/>
              <w:spacing w:line="360" w:lineRule="auto"/>
              <w:ind w:firstLine="440" w:firstLineChars="200"/>
              <w:rPr>
                <w:rFonts w:ascii="宋体" w:hAnsi="宋体"/>
                <w:sz w:val="22"/>
                <w:szCs w:val="24"/>
              </w:rPr>
            </w:pPr>
            <w:r>
              <w:rPr>
                <w:rFonts w:hint="eastAsia" w:ascii="宋体" w:hAnsi="宋体"/>
                <w:sz w:val="22"/>
                <w:szCs w:val="24"/>
              </w:rPr>
              <w:t>2.投标保证金的金</w:t>
            </w:r>
            <w:r>
              <w:rPr>
                <w:rFonts w:hint="eastAsia" w:ascii="宋体" w:hAnsi="宋体"/>
                <w:sz w:val="22"/>
                <w:szCs w:val="24"/>
                <w:highlight w:val="none"/>
              </w:rPr>
              <w:t>额：</w:t>
            </w:r>
            <w:r>
              <w:rPr>
                <w:rFonts w:hint="eastAsia" w:ascii="宋体" w:hAnsi="宋体"/>
                <w:b/>
                <w:bCs/>
                <w:sz w:val="22"/>
                <w:szCs w:val="24"/>
                <w:highlight w:val="none"/>
                <w:lang w:val="en-US" w:eastAsia="zh-CN"/>
              </w:rPr>
              <w:t>2</w:t>
            </w:r>
            <w:r>
              <w:rPr>
                <w:rFonts w:hint="eastAsia" w:ascii="宋体" w:hAnsi="宋体"/>
                <w:b/>
                <w:bCs/>
                <w:sz w:val="22"/>
                <w:szCs w:val="24"/>
                <w:highlight w:val="none"/>
              </w:rPr>
              <w:t>万元整（人民币）</w:t>
            </w:r>
          </w:p>
          <w:p>
            <w:pPr>
              <w:adjustRightInd w:val="0"/>
              <w:snapToGrid w:val="0"/>
              <w:spacing w:line="360" w:lineRule="auto"/>
              <w:ind w:firstLine="440" w:firstLineChars="200"/>
              <w:rPr>
                <w:rFonts w:ascii="宋体" w:hAnsi="宋体"/>
                <w:sz w:val="22"/>
                <w:szCs w:val="24"/>
              </w:rPr>
            </w:pPr>
            <w:r>
              <w:rPr>
                <w:rFonts w:hint="eastAsia" w:ascii="宋体" w:hAnsi="宋体"/>
                <w:sz w:val="22"/>
                <w:szCs w:val="24"/>
              </w:rPr>
              <w:t>3.投标保证金账户及账号：</w:t>
            </w:r>
          </w:p>
          <w:p>
            <w:pPr>
              <w:adjustRightInd w:val="0"/>
              <w:snapToGrid w:val="0"/>
              <w:spacing w:line="360" w:lineRule="auto"/>
              <w:ind w:firstLine="442" w:firstLineChars="200"/>
              <w:rPr>
                <w:rFonts w:ascii="宋体" w:hAnsi="宋体"/>
                <w:b/>
                <w:bCs/>
                <w:sz w:val="22"/>
                <w:szCs w:val="24"/>
              </w:rPr>
            </w:pPr>
            <w:r>
              <w:rPr>
                <w:rFonts w:hint="eastAsia" w:ascii="宋体" w:hAnsi="宋体"/>
                <w:b/>
                <w:bCs/>
                <w:sz w:val="22"/>
                <w:szCs w:val="24"/>
              </w:rPr>
              <w:t>公司名称：</w:t>
            </w:r>
            <w:r>
              <w:rPr>
                <w:rFonts w:hint="eastAsia" w:ascii="宋体" w:hAnsi="宋体"/>
                <w:b/>
                <w:bCs/>
                <w:sz w:val="22"/>
                <w:szCs w:val="24"/>
                <w:u w:val="single"/>
              </w:rPr>
              <w:t>高速管家（重庆）实业有限公司</w:t>
            </w:r>
          </w:p>
          <w:p>
            <w:pPr>
              <w:adjustRightInd w:val="0"/>
              <w:snapToGrid w:val="0"/>
              <w:spacing w:line="360" w:lineRule="auto"/>
              <w:ind w:firstLine="442" w:firstLineChars="200"/>
              <w:rPr>
                <w:rFonts w:ascii="宋体" w:hAnsi="宋体"/>
                <w:b/>
                <w:bCs/>
                <w:sz w:val="22"/>
                <w:szCs w:val="24"/>
              </w:rPr>
            </w:pPr>
            <w:r>
              <w:rPr>
                <w:rFonts w:hint="eastAsia" w:ascii="宋体" w:hAnsi="宋体"/>
                <w:b/>
                <w:bCs/>
                <w:sz w:val="22"/>
                <w:szCs w:val="24"/>
              </w:rPr>
              <w:t>开户银行：</w:t>
            </w:r>
            <w:r>
              <w:rPr>
                <w:rFonts w:hint="eastAsia" w:ascii="宋体" w:hAnsi="宋体"/>
                <w:b/>
                <w:bCs/>
                <w:sz w:val="22"/>
                <w:szCs w:val="24"/>
                <w:u w:val="single"/>
              </w:rPr>
              <w:t>工商银行渝北人和支行</w:t>
            </w:r>
          </w:p>
          <w:p>
            <w:pPr>
              <w:adjustRightInd w:val="0"/>
              <w:snapToGrid w:val="0"/>
              <w:spacing w:line="360" w:lineRule="auto"/>
              <w:ind w:firstLine="442" w:firstLineChars="200"/>
              <w:rPr>
                <w:rFonts w:ascii="宋体" w:hAnsi="宋体"/>
                <w:b/>
                <w:bCs/>
                <w:sz w:val="22"/>
                <w:szCs w:val="24"/>
              </w:rPr>
            </w:pPr>
            <w:r>
              <w:rPr>
                <w:rFonts w:hint="eastAsia" w:ascii="宋体" w:hAnsi="宋体"/>
                <w:b/>
                <w:bCs/>
                <w:sz w:val="22"/>
                <w:szCs w:val="24"/>
              </w:rPr>
              <w:t>账户：</w:t>
            </w:r>
            <w:r>
              <w:rPr>
                <w:rFonts w:hint="eastAsia" w:ascii="宋体" w:hAnsi="宋体"/>
                <w:b/>
                <w:bCs/>
                <w:sz w:val="22"/>
                <w:szCs w:val="24"/>
                <w:u w:val="single"/>
              </w:rPr>
              <w:t xml:space="preserve">3100 0869 1920 0013 972 </w:t>
            </w:r>
          </w:p>
          <w:p>
            <w:pPr>
              <w:adjustRightInd w:val="0"/>
              <w:snapToGrid w:val="0"/>
              <w:spacing w:line="360" w:lineRule="auto"/>
              <w:ind w:firstLine="440" w:firstLineChars="200"/>
              <w:rPr>
                <w:rFonts w:ascii="宋体" w:hAnsi="宋体"/>
                <w:sz w:val="22"/>
                <w:szCs w:val="24"/>
              </w:rPr>
            </w:pPr>
            <w:r>
              <w:rPr>
                <w:rFonts w:hint="eastAsia" w:ascii="宋体" w:hAnsi="宋体"/>
                <w:sz w:val="22"/>
                <w:szCs w:val="24"/>
              </w:rPr>
              <w:t>4.比选申请人必须在付款凭证备注栏中注明是“高升服务区室内装修工程项目投标保证金”。</w:t>
            </w:r>
          </w:p>
          <w:p>
            <w:pPr>
              <w:adjustRightInd w:val="0"/>
              <w:snapToGrid w:val="0"/>
              <w:spacing w:line="360" w:lineRule="auto"/>
              <w:ind w:firstLine="440" w:firstLineChars="200"/>
              <w:rPr>
                <w:rFonts w:ascii="宋体" w:hAnsi="宋体"/>
                <w:sz w:val="22"/>
                <w:szCs w:val="24"/>
              </w:rPr>
            </w:pPr>
            <w:r>
              <w:rPr>
                <w:rFonts w:hint="eastAsia" w:ascii="宋体" w:hAnsi="宋体"/>
                <w:sz w:val="22"/>
                <w:szCs w:val="24"/>
              </w:rPr>
              <w:t>5.投标保证金有效期与投标有效期一致。</w:t>
            </w:r>
          </w:p>
          <w:p>
            <w:pPr>
              <w:adjustRightInd w:val="0"/>
              <w:snapToGrid w:val="0"/>
              <w:spacing w:line="360" w:lineRule="auto"/>
              <w:ind w:firstLine="440" w:firstLineChars="200"/>
              <w:rPr>
                <w:rFonts w:ascii="宋体" w:hAnsi="宋体"/>
                <w:sz w:val="22"/>
                <w:szCs w:val="24"/>
              </w:rPr>
            </w:pPr>
            <w:r>
              <w:rPr>
                <w:rFonts w:hint="eastAsia" w:ascii="宋体" w:hAnsi="宋体"/>
                <w:sz w:val="22"/>
                <w:szCs w:val="24"/>
              </w:rPr>
              <w:t>二、投标保证金的退还</w:t>
            </w:r>
          </w:p>
          <w:p>
            <w:pPr>
              <w:adjustRightInd w:val="0"/>
              <w:snapToGrid w:val="0"/>
              <w:spacing w:line="360" w:lineRule="auto"/>
              <w:ind w:firstLine="440" w:firstLineChars="200"/>
              <w:rPr>
                <w:rFonts w:ascii="宋体" w:hAnsi="宋体"/>
                <w:sz w:val="22"/>
                <w:szCs w:val="24"/>
              </w:rPr>
            </w:pPr>
            <w:r>
              <w:rPr>
                <w:rFonts w:hint="eastAsia" w:ascii="宋体" w:hAnsi="宋体"/>
                <w:sz w:val="22"/>
                <w:szCs w:val="24"/>
              </w:rPr>
              <w:t>比选人应当在法定时间内确定中标人。未中标单位的投标保证金，自收到退保申请之日起10个工作日内无息退还。中标单位的投标保证金在签订合同后，自收到退保申请之日起10个工作日内无息退还。</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6</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资格审查资料</w:t>
            </w:r>
          </w:p>
        </w:tc>
        <w:tc>
          <w:tcPr>
            <w:tcW w:w="65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详见本表第1.4.1项。</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7</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是否允许递交备选投标方案</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不允许。</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8</w:t>
            </w:r>
            <w:r>
              <w:rPr>
                <w:rFonts w:asciiTheme="majorEastAsia" w:hAnsiTheme="majorEastAsia" w:eastAsiaTheme="majorEastAsia"/>
                <w:sz w:val="22"/>
                <w:szCs w:val="22"/>
                <w:lang w:bidi="ar"/>
              </w:rPr>
              <w:t>.</w:t>
            </w:r>
            <w:r>
              <w:rPr>
                <w:rFonts w:hint="eastAsia" w:asciiTheme="majorEastAsia" w:hAnsiTheme="majorEastAsia" w:eastAsiaTheme="majorEastAsia"/>
                <w:sz w:val="22"/>
                <w:szCs w:val="22"/>
                <w:lang w:bidi="ar"/>
              </w:rPr>
              <w:t>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比选申请文件的副本份数</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1.比选申请函部分：正本一份，副本一份；</w:t>
            </w:r>
          </w:p>
          <w:p>
            <w:pPr>
              <w:spacing w:line="360" w:lineRule="auto"/>
              <w:ind w:firstLine="440"/>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2.资格审查资料：正本一份，副本一份；</w:t>
            </w:r>
          </w:p>
          <w:p>
            <w:pPr>
              <w:spacing w:line="360" w:lineRule="auto"/>
              <w:ind w:firstLine="440"/>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3.商务部分：正本一份，副本一份；</w:t>
            </w:r>
          </w:p>
          <w:p>
            <w:pPr>
              <w:spacing w:line="360" w:lineRule="auto"/>
              <w:ind w:firstLine="440"/>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4.技术部分（《施工组织设计》）：一式二份，不分正副本；</w:t>
            </w:r>
          </w:p>
          <w:p>
            <w:pPr>
              <w:spacing w:line="360" w:lineRule="auto"/>
              <w:ind w:firstLine="440"/>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5.含所有电子版形式投标文件的U盘：2份。电子版形式（U盘）中的商务部分：应包含商务部分软件版已标价工程量清单和全部excel格式预算表格，</w:t>
            </w:r>
            <w:r>
              <w:rPr>
                <w:rFonts w:hint="eastAsia" w:cs="宋体" w:asciiTheme="majorEastAsia" w:hAnsiTheme="majorEastAsia" w:eastAsiaTheme="majorEastAsia"/>
                <w:b/>
                <w:kern w:val="0"/>
                <w:sz w:val="22"/>
                <w:szCs w:val="22"/>
              </w:rPr>
              <w:t>工程量清单综合单价分析表无须装订入投标文件纸质版中</w:t>
            </w:r>
            <w:r>
              <w:rPr>
                <w:rFonts w:hint="eastAsia" w:cs="宋体" w:asciiTheme="majorEastAsia" w:hAnsiTheme="majorEastAsia" w:eastAsiaTheme="majorEastAsia"/>
                <w:bCs/>
                <w:kern w:val="0"/>
                <w:sz w:val="22"/>
                <w:szCs w:val="22"/>
              </w:rPr>
              <w:t>，但清单项目的综合单价分析表（excel格式）必须放入电子版（U盘）中。</w:t>
            </w:r>
          </w:p>
          <w:p>
            <w:pPr>
              <w:spacing w:line="360" w:lineRule="auto"/>
              <w:ind w:firstLine="440"/>
              <w:rPr>
                <w:rFonts w:cs="宋体" w:asciiTheme="majorEastAsia" w:hAnsiTheme="majorEastAsia" w:eastAsiaTheme="majorEastAsia"/>
                <w:b/>
                <w:sz w:val="22"/>
                <w:szCs w:val="22"/>
                <w:lang w:bidi="ar"/>
              </w:rPr>
            </w:pPr>
            <w:r>
              <w:rPr>
                <w:rFonts w:hint="eastAsia" w:cs="宋体" w:asciiTheme="majorEastAsia" w:hAnsiTheme="majorEastAsia" w:eastAsiaTheme="majorEastAsia"/>
                <w:bCs/>
                <w:kern w:val="0"/>
                <w:sz w:val="22"/>
                <w:szCs w:val="22"/>
              </w:rPr>
              <w:t>注：当副本和正本不一致时，以正本为准。</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3.</w:t>
            </w:r>
            <w:r>
              <w:rPr>
                <w:rFonts w:hint="eastAsia" w:asciiTheme="majorEastAsia" w:hAnsiTheme="majorEastAsia" w:eastAsiaTheme="majorEastAsia"/>
                <w:sz w:val="22"/>
                <w:szCs w:val="22"/>
                <w:lang w:bidi="ar"/>
              </w:rPr>
              <w:t>8</w:t>
            </w:r>
            <w:r>
              <w:rPr>
                <w:rFonts w:asciiTheme="majorEastAsia" w:hAnsiTheme="majorEastAsia" w:eastAsiaTheme="majorEastAsia"/>
                <w:sz w:val="22"/>
                <w:szCs w:val="22"/>
                <w:lang w:bidi="ar"/>
              </w:rPr>
              <w:t>.</w:t>
            </w:r>
            <w:r>
              <w:rPr>
                <w:rFonts w:hint="eastAsia" w:asciiTheme="majorEastAsia" w:hAnsiTheme="majorEastAsia" w:eastAsiaTheme="majorEastAsia"/>
                <w:sz w:val="22"/>
                <w:szCs w:val="22"/>
                <w:lang w:bidi="ar"/>
              </w:rPr>
              <w:t>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装订要求</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1、比选申请人应将比选申请函部分、商务部分、资格审查资料、技术部分</w:t>
            </w:r>
            <w:r>
              <w:rPr>
                <w:rFonts w:hint="eastAsia" w:cs="宋体" w:asciiTheme="majorEastAsia" w:hAnsiTheme="majorEastAsia" w:eastAsiaTheme="majorEastAsia"/>
                <w:bCs/>
                <w:kern w:val="0"/>
                <w:sz w:val="22"/>
                <w:szCs w:val="22"/>
              </w:rPr>
              <w:t>（《施工组织设计》）</w:t>
            </w:r>
            <w:r>
              <w:rPr>
                <w:rFonts w:hint="eastAsia" w:asciiTheme="majorEastAsia" w:hAnsiTheme="majorEastAsia" w:eastAsiaTheme="majorEastAsia"/>
                <w:sz w:val="22"/>
                <w:szCs w:val="22"/>
              </w:rPr>
              <w:t>各自分别装订成册。必须保证比选申请文件装订牢固，否则，比选人对由于比选申请文件装订松散而造成的丢失或其他后果不承担任何责任。</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2、装订</w:t>
            </w:r>
          </w:p>
          <w:p>
            <w:pPr>
              <w:spacing w:line="360" w:lineRule="auto"/>
              <w:ind w:firstLine="440"/>
              <w:rPr>
                <w:rFonts w:asciiTheme="majorEastAsia" w:hAnsiTheme="majorEastAsia" w:eastAsiaTheme="majorEastAsia"/>
                <w:b/>
                <w:sz w:val="22"/>
                <w:szCs w:val="22"/>
              </w:rPr>
            </w:pPr>
            <w:r>
              <w:rPr>
                <w:rFonts w:hint="eastAsia" w:asciiTheme="majorEastAsia" w:hAnsiTheme="majorEastAsia" w:eastAsiaTheme="majorEastAsia"/>
                <w:sz w:val="22"/>
                <w:szCs w:val="22"/>
              </w:rPr>
              <w:t>应按照第八章规定格式装订成册，并应编制目录。</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4.1.1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比选申请文件的密封</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比选申请文件（含电子版）使用牛皮纸或投标文件袋密封并在袋上加盖比选申请人单位公章，同时文件袋封面应按本表4.1.2项的规定写明相应内容。</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4.1.2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封套上写明</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22"/>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应在比选申请文件袋封套上写明如下内容：</w:t>
            </w:r>
          </w:p>
          <w:p>
            <w:pPr>
              <w:spacing w:line="360" w:lineRule="auto"/>
              <w:ind w:firstLine="420"/>
              <w:rPr>
                <w:rFonts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比选人的名称</w:t>
            </w:r>
            <w:r>
              <w:rPr>
                <w:rFonts w:hint="eastAsia" w:asciiTheme="majorEastAsia" w:hAnsiTheme="majorEastAsia" w:eastAsiaTheme="majorEastAsia"/>
                <w:sz w:val="22"/>
                <w:szCs w:val="22"/>
                <w:lang w:bidi="ar"/>
              </w:rPr>
              <w:t>：</w:t>
            </w:r>
            <w:r>
              <w:rPr>
                <w:rFonts w:asciiTheme="majorEastAsia" w:hAnsiTheme="majorEastAsia" w:eastAsiaTheme="majorEastAsia"/>
                <w:sz w:val="22"/>
                <w:szCs w:val="22"/>
                <w:u w:val="single"/>
                <w:lang w:bidi="ar"/>
              </w:rPr>
              <w:t xml:space="preserve">                      </w:t>
            </w:r>
            <w:r>
              <w:rPr>
                <w:rFonts w:hint="eastAsia"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lang w:bidi="ar"/>
              </w:rPr>
              <w:t> </w:t>
            </w:r>
          </w:p>
          <w:p>
            <w:pPr>
              <w:spacing w:line="360" w:lineRule="auto"/>
              <w:ind w:firstLine="420"/>
              <w:rPr>
                <w:rFonts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比选申请人名称（盖公章）：</w:t>
            </w:r>
            <w:r>
              <w:rPr>
                <w:rFonts w:asciiTheme="majorEastAsia" w:hAnsiTheme="majorEastAsia" w:eastAsiaTheme="majorEastAsia"/>
                <w:sz w:val="22"/>
                <w:szCs w:val="22"/>
                <w:u w:val="single"/>
                <w:lang w:bidi="ar"/>
              </w:rPr>
              <w:t xml:space="preserve">          </w:t>
            </w:r>
            <w:r>
              <w:rPr>
                <w:rFonts w:hint="eastAsia"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u w:val="single"/>
                <w:lang w:bidi="ar"/>
              </w:rPr>
              <w:t xml:space="preserve">    </w:t>
            </w:r>
            <w:r>
              <w:rPr>
                <w:rFonts w:hint="eastAsia"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lang w:bidi="ar"/>
              </w:rPr>
              <w:t> </w:t>
            </w:r>
          </w:p>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比选申请人的地址：</w:t>
            </w:r>
            <w:r>
              <w:rPr>
                <w:rFonts w:asciiTheme="majorEastAsia" w:hAnsiTheme="majorEastAsia" w:eastAsiaTheme="majorEastAsia"/>
                <w:sz w:val="22"/>
                <w:szCs w:val="22"/>
                <w:u w:val="single"/>
                <w:lang w:bidi="ar"/>
              </w:rPr>
              <w:t xml:space="preserve">                        </w:t>
            </w:r>
            <w:r>
              <w:rPr>
                <w:rFonts w:hint="eastAsia"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u w:val="single"/>
                <w:lang w:bidi="ar"/>
              </w:rPr>
              <w:t xml:space="preserve">       </w:t>
            </w:r>
            <w:r>
              <w:rPr>
                <w:rFonts w:asciiTheme="majorEastAsia" w:hAnsiTheme="majorEastAsia" w:eastAsiaTheme="majorEastAsia"/>
                <w:sz w:val="22"/>
                <w:szCs w:val="22"/>
                <w:lang w:bidi="ar"/>
              </w:rPr>
              <w:t> </w:t>
            </w:r>
          </w:p>
          <w:p>
            <w:pPr>
              <w:spacing w:line="360" w:lineRule="auto"/>
              <w:ind w:firstLine="420"/>
              <w:rPr>
                <w:rFonts w:asciiTheme="majorEastAsia" w:hAnsiTheme="majorEastAsia" w:eastAsiaTheme="majorEastAsia"/>
                <w:sz w:val="22"/>
                <w:szCs w:val="22"/>
              </w:rPr>
            </w:pPr>
            <w:r>
              <w:rPr>
                <w:rFonts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u w:val="single"/>
                <w:lang w:bidi="ar"/>
              </w:rPr>
              <w:t>（项目名称）</w:t>
            </w:r>
            <w:r>
              <w:rPr>
                <w:rFonts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比选申请文件</w:t>
            </w:r>
          </w:p>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年</w:t>
            </w:r>
            <w:r>
              <w:rPr>
                <w:rFonts w:hint="eastAsia" w:cs="宋体"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月</w:t>
            </w:r>
            <w:r>
              <w:rPr>
                <w:rFonts w:hint="eastAsia" w:cs="宋体"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日</w:t>
            </w:r>
            <w:r>
              <w:rPr>
                <w:rFonts w:hint="eastAsia"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时</w:t>
            </w:r>
            <w:r>
              <w:rPr>
                <w:rFonts w:hint="eastAsia" w:cs="宋体" w:asciiTheme="majorEastAsia" w:hAnsiTheme="majorEastAsia" w:eastAsiaTheme="majorEastAsia"/>
                <w:sz w:val="22"/>
                <w:szCs w:val="22"/>
                <w:u w:val="single"/>
                <w:lang w:bidi="ar"/>
              </w:rPr>
              <w:t xml:space="preserve">    </w:t>
            </w:r>
            <w:r>
              <w:rPr>
                <w:rFonts w:hint="eastAsia" w:cs="宋体" w:asciiTheme="majorEastAsia" w:hAnsiTheme="majorEastAsia" w:eastAsiaTheme="majorEastAsia"/>
                <w:sz w:val="22"/>
                <w:szCs w:val="22"/>
                <w:lang w:bidi="ar"/>
              </w:rPr>
              <w:t>分前不得开启</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lang w:bidi="ar"/>
              </w:rPr>
            </w:pPr>
            <w:r>
              <w:rPr>
                <w:rFonts w:hint="eastAsia" w:asciiTheme="majorEastAsia" w:hAnsiTheme="majorEastAsia" w:eastAsiaTheme="majorEastAsia"/>
                <w:sz w:val="22"/>
                <w:szCs w:val="22"/>
                <w:lang w:bidi="ar"/>
              </w:rPr>
              <w:t>4.2.1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比选申请截止时间</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宋体" w:asciiTheme="majorEastAsia" w:hAnsiTheme="majorEastAsia" w:eastAsiaTheme="majorEastAsia"/>
                <w:b/>
                <w:color w:val="FF0000"/>
                <w:sz w:val="22"/>
                <w:szCs w:val="22"/>
                <w:u w:val="single"/>
                <w:lang w:bidi="ar"/>
              </w:rPr>
            </w:pPr>
            <w:r>
              <w:rPr>
                <w:rFonts w:hint="eastAsia" w:cs="宋体" w:asciiTheme="majorEastAsia" w:hAnsiTheme="majorEastAsia" w:eastAsiaTheme="majorEastAsia"/>
                <w:b/>
                <w:sz w:val="22"/>
                <w:szCs w:val="22"/>
                <w:highlight w:val="none"/>
                <w:u w:val="single"/>
                <w:lang w:bidi="ar"/>
              </w:rPr>
              <w:t>2022</w:t>
            </w:r>
            <w:r>
              <w:rPr>
                <w:rFonts w:hint="eastAsia" w:cs="宋体" w:asciiTheme="majorEastAsia" w:hAnsiTheme="majorEastAsia" w:eastAsiaTheme="majorEastAsia"/>
                <w:b/>
                <w:sz w:val="22"/>
                <w:szCs w:val="22"/>
                <w:highlight w:val="none"/>
                <w:lang w:bidi="ar"/>
              </w:rPr>
              <w:t>年</w:t>
            </w:r>
            <w:r>
              <w:rPr>
                <w:rFonts w:hint="eastAsia" w:cs="宋体" w:asciiTheme="majorEastAsia" w:hAnsiTheme="majorEastAsia" w:eastAsiaTheme="majorEastAsia"/>
                <w:b/>
                <w:sz w:val="22"/>
                <w:szCs w:val="22"/>
                <w:highlight w:val="none"/>
                <w:u w:val="single"/>
                <w:lang w:bidi="ar"/>
              </w:rPr>
              <w:t>3</w:t>
            </w:r>
            <w:r>
              <w:rPr>
                <w:rFonts w:hint="eastAsia" w:cs="宋体" w:asciiTheme="majorEastAsia" w:hAnsiTheme="majorEastAsia" w:eastAsiaTheme="majorEastAsia"/>
                <w:b/>
                <w:sz w:val="22"/>
                <w:szCs w:val="22"/>
                <w:highlight w:val="none"/>
                <w:lang w:bidi="ar"/>
              </w:rPr>
              <w:t>月</w:t>
            </w:r>
            <w:r>
              <w:rPr>
                <w:rFonts w:hint="eastAsia" w:cs="宋体" w:asciiTheme="majorEastAsia" w:hAnsiTheme="majorEastAsia" w:eastAsiaTheme="majorEastAsia"/>
                <w:b/>
                <w:sz w:val="22"/>
                <w:szCs w:val="22"/>
                <w:highlight w:val="none"/>
                <w:u w:val="single"/>
                <w:lang w:val="en-US" w:eastAsia="zh-CN" w:bidi="ar"/>
              </w:rPr>
              <w:t>16</w:t>
            </w:r>
            <w:r>
              <w:rPr>
                <w:rFonts w:hint="eastAsia" w:cs="宋体" w:asciiTheme="majorEastAsia" w:hAnsiTheme="majorEastAsia" w:eastAsiaTheme="majorEastAsia"/>
                <w:b/>
                <w:sz w:val="22"/>
                <w:szCs w:val="22"/>
                <w:highlight w:val="none"/>
                <w:lang w:bidi="ar"/>
              </w:rPr>
              <w:t>日</w:t>
            </w:r>
            <w:r>
              <w:rPr>
                <w:rFonts w:hint="eastAsia" w:asciiTheme="majorEastAsia" w:hAnsiTheme="majorEastAsia" w:eastAsiaTheme="majorEastAsia"/>
                <w:b/>
                <w:sz w:val="22"/>
                <w:szCs w:val="22"/>
                <w:highlight w:val="none"/>
                <w:u w:val="single"/>
                <w:lang w:val="en-US" w:eastAsia="zh-CN" w:bidi="ar"/>
              </w:rPr>
              <w:t>16</w:t>
            </w:r>
            <w:r>
              <w:rPr>
                <w:rFonts w:hint="eastAsia" w:cs="宋体" w:asciiTheme="majorEastAsia" w:hAnsiTheme="majorEastAsia" w:eastAsiaTheme="majorEastAsia"/>
                <w:b/>
                <w:sz w:val="22"/>
                <w:szCs w:val="22"/>
                <w:highlight w:val="none"/>
                <w:lang w:bidi="ar"/>
              </w:rPr>
              <w:t>时</w:t>
            </w:r>
            <w:r>
              <w:rPr>
                <w:rFonts w:hint="eastAsia" w:cs="宋体" w:asciiTheme="majorEastAsia" w:hAnsiTheme="majorEastAsia" w:eastAsiaTheme="majorEastAsia"/>
                <w:b/>
                <w:sz w:val="22"/>
                <w:szCs w:val="22"/>
                <w:highlight w:val="none"/>
                <w:u w:val="single"/>
                <w:lang w:bidi="ar"/>
              </w:rPr>
              <w:t>00</w:t>
            </w:r>
            <w:r>
              <w:rPr>
                <w:rFonts w:hint="eastAsia" w:cs="宋体" w:asciiTheme="majorEastAsia" w:hAnsiTheme="majorEastAsia" w:eastAsiaTheme="majorEastAsia"/>
                <w:b/>
                <w:sz w:val="22"/>
                <w:szCs w:val="22"/>
                <w:highlight w:val="none"/>
                <w:lang w:bidi="ar"/>
              </w:rPr>
              <w:t>分。</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4.2.2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递交比选申请文件地点</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cs="方正小标宋简体" w:asciiTheme="majorEastAsia" w:hAnsiTheme="majorEastAsia" w:eastAsiaTheme="majorEastAsia"/>
                <w:sz w:val="22"/>
                <w:szCs w:val="22"/>
              </w:rPr>
            </w:pPr>
            <w:r>
              <w:rPr>
                <w:rFonts w:hint="eastAsia" w:cs="方正小标宋简体" w:asciiTheme="majorEastAsia" w:hAnsiTheme="majorEastAsia" w:eastAsiaTheme="majorEastAsia"/>
                <w:sz w:val="22"/>
                <w:szCs w:val="22"/>
              </w:rPr>
              <w:t>重庆市渝北区人和香锦路4号7层</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4.2.3</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是否退还比选申请文件</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否。</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5.1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开标时间</w:t>
            </w:r>
          </w:p>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和地点</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开标时间：</w:t>
            </w:r>
            <w:r>
              <w:rPr>
                <w:rFonts w:asciiTheme="majorEastAsia" w:hAnsiTheme="majorEastAsia" w:eastAsiaTheme="majorEastAsia"/>
                <w:sz w:val="22"/>
                <w:szCs w:val="22"/>
              </w:rPr>
              <w:t xml:space="preserve"> </w:t>
            </w:r>
            <w:r>
              <w:rPr>
                <w:rFonts w:hint="eastAsia" w:cs="宋体" w:asciiTheme="majorEastAsia" w:hAnsiTheme="majorEastAsia" w:eastAsiaTheme="majorEastAsia"/>
                <w:b/>
                <w:sz w:val="22"/>
                <w:szCs w:val="22"/>
                <w:u w:val="single"/>
                <w:lang w:bidi="ar"/>
              </w:rPr>
              <w:t>同比选申请截止时间</w:t>
            </w:r>
            <w:r>
              <w:rPr>
                <w:rFonts w:hint="eastAsia" w:cs="宋体" w:asciiTheme="majorEastAsia" w:hAnsiTheme="majorEastAsia" w:eastAsiaTheme="majorEastAsia"/>
                <w:b/>
                <w:sz w:val="22"/>
                <w:szCs w:val="22"/>
                <w:lang w:bidi="ar"/>
              </w:rPr>
              <w:t>。</w:t>
            </w:r>
          </w:p>
          <w:p>
            <w:pPr>
              <w:spacing w:line="360" w:lineRule="auto"/>
              <w:ind w:firstLine="440"/>
              <w:rPr>
                <w:rFonts w:asciiTheme="majorEastAsia" w:hAnsiTheme="majorEastAsia" w:eastAsiaTheme="majorEastAsia"/>
                <w:sz w:val="22"/>
                <w:szCs w:val="22"/>
                <w:u w:val="single"/>
              </w:rPr>
            </w:pPr>
            <w:r>
              <w:rPr>
                <w:rFonts w:hint="eastAsia" w:cs="宋体" w:asciiTheme="majorEastAsia" w:hAnsiTheme="majorEastAsia" w:eastAsiaTheme="majorEastAsia"/>
                <w:sz w:val="22"/>
                <w:szCs w:val="22"/>
                <w:lang w:bidi="ar"/>
              </w:rPr>
              <w:t>开标地点：</w:t>
            </w:r>
            <w:r>
              <w:rPr>
                <w:rFonts w:hint="eastAsia" w:cs="方正小标宋简体" w:asciiTheme="majorEastAsia" w:hAnsiTheme="majorEastAsia" w:eastAsiaTheme="majorEastAsia"/>
                <w:sz w:val="22"/>
                <w:szCs w:val="22"/>
              </w:rPr>
              <w:t>重庆市渝北区人和香锦路4号7层</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5.2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比选程序</w:t>
            </w:r>
          </w:p>
        </w:tc>
        <w:tc>
          <w:tcPr>
            <w:tcW w:w="659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rPr>
              <w:t>1.宣布比选纪律。</w:t>
            </w:r>
          </w:p>
          <w:p>
            <w:pPr>
              <w:adjustRightInd w:val="0"/>
              <w:snapToGrid w:val="0"/>
              <w:spacing w:line="360" w:lineRule="auto"/>
              <w:ind w:firstLine="440" w:firstLineChars="200"/>
              <w:rPr>
                <w:rFonts w:ascii="宋体" w:hAnsi="宋体"/>
                <w:sz w:val="22"/>
                <w:szCs w:val="24"/>
              </w:rPr>
            </w:pPr>
            <w:r>
              <w:rPr>
                <w:rFonts w:hint="eastAsia" w:asciiTheme="majorEastAsia" w:hAnsiTheme="majorEastAsia" w:eastAsiaTheme="majorEastAsia"/>
                <w:sz w:val="22"/>
                <w:szCs w:val="22"/>
              </w:rPr>
              <w:t>2.</w:t>
            </w:r>
            <w:r>
              <w:rPr>
                <w:rFonts w:hint="eastAsia" w:cs="宋体" w:asciiTheme="majorEastAsia" w:hAnsiTheme="majorEastAsia" w:eastAsiaTheme="majorEastAsia"/>
                <w:sz w:val="22"/>
                <w:szCs w:val="22"/>
              </w:rPr>
              <w:t>公布在比选申请截止时间前递交比选申请文件的比选申请人名称并点名确认比选申请人是否派人到场，核查比选申请人代表身份材料：</w:t>
            </w:r>
            <w:r>
              <w:rPr>
                <w:rFonts w:hint="eastAsia" w:ascii="宋体" w:hAnsi="宋体"/>
                <w:sz w:val="22"/>
                <w:szCs w:val="24"/>
              </w:rPr>
              <w:t>如法定代表人参加开标会的，</w:t>
            </w:r>
            <w:r>
              <w:rPr>
                <w:rFonts w:ascii="宋体" w:hAnsi="宋体"/>
                <w:sz w:val="22"/>
                <w:szCs w:val="24"/>
              </w:rPr>
              <w:t>核验法定代表人</w:t>
            </w:r>
            <w:r>
              <w:rPr>
                <w:rFonts w:hint="eastAsia" w:ascii="宋体" w:hAnsi="宋体"/>
                <w:sz w:val="22"/>
                <w:szCs w:val="24"/>
              </w:rPr>
              <w:t>本人</w:t>
            </w:r>
            <w:r>
              <w:rPr>
                <w:rFonts w:ascii="宋体" w:hAnsi="宋体"/>
                <w:sz w:val="22"/>
                <w:szCs w:val="24"/>
              </w:rPr>
              <w:t>身份证（原件）</w:t>
            </w:r>
            <w:r>
              <w:rPr>
                <w:rFonts w:hint="eastAsia" w:ascii="宋体" w:hAnsi="宋体"/>
                <w:sz w:val="22"/>
                <w:szCs w:val="24"/>
              </w:rPr>
              <w:t>及法定代表人身份证明（原件）</w:t>
            </w:r>
            <w:r>
              <w:rPr>
                <w:rFonts w:ascii="宋体" w:hAnsi="宋体"/>
                <w:sz w:val="22"/>
                <w:szCs w:val="24"/>
              </w:rPr>
              <w:t>；如委托代理人</w:t>
            </w:r>
            <w:r>
              <w:rPr>
                <w:rFonts w:hint="eastAsia" w:ascii="宋体" w:hAnsi="宋体"/>
                <w:sz w:val="22"/>
                <w:szCs w:val="24"/>
              </w:rPr>
              <w:t>参加开标会的，</w:t>
            </w:r>
            <w:r>
              <w:rPr>
                <w:rFonts w:ascii="宋体" w:hAnsi="宋体"/>
                <w:sz w:val="22"/>
                <w:szCs w:val="24"/>
              </w:rPr>
              <w:t>核验委托代理人本人身份证</w:t>
            </w:r>
            <w:r>
              <w:rPr>
                <w:rFonts w:hint="eastAsia" w:ascii="宋体" w:hAnsi="宋体"/>
                <w:sz w:val="22"/>
                <w:szCs w:val="24"/>
              </w:rPr>
              <w:t>（原件）</w:t>
            </w:r>
            <w:r>
              <w:rPr>
                <w:rFonts w:ascii="宋体" w:hAnsi="宋体"/>
                <w:sz w:val="22"/>
                <w:szCs w:val="24"/>
              </w:rPr>
              <w:t>、</w:t>
            </w:r>
            <w:r>
              <w:rPr>
                <w:rFonts w:hint="eastAsia" w:ascii="宋体" w:hAnsi="宋体"/>
                <w:sz w:val="22"/>
                <w:szCs w:val="24"/>
              </w:rPr>
              <w:t>法定代表人身份证明及授权委托书（</w:t>
            </w:r>
            <w:r>
              <w:rPr>
                <w:rFonts w:ascii="宋体" w:hAnsi="宋体"/>
                <w:sz w:val="22"/>
                <w:szCs w:val="24"/>
              </w:rPr>
              <w:t>原件）</w:t>
            </w:r>
            <w:r>
              <w:rPr>
                <w:rFonts w:hint="eastAsia" w:ascii="宋体" w:hAnsi="宋体"/>
                <w:sz w:val="22"/>
                <w:szCs w:val="24"/>
              </w:rPr>
              <w:t>；</w:t>
            </w:r>
          </w:p>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rPr>
              <w:t>3.密封情况检查：比选申请人或者其推选的代表检查比选申请</w:t>
            </w:r>
          </w:p>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rPr>
              <w:t>4.汇总投标保证金缴纳情况，未在规定时间将投标保证金打入指定账户的，将作否决投标处理。</w:t>
            </w:r>
          </w:p>
          <w:p>
            <w:pPr>
              <w:autoSpaceDE w:val="0"/>
              <w:autoSpaceDN w:val="0"/>
              <w:adjustRightInd w:val="0"/>
              <w:snapToGrid w:val="0"/>
              <w:spacing w:line="360" w:lineRule="auto"/>
              <w:ind w:firstLine="440"/>
              <w:rPr>
                <w:rFonts w:cs="宋体" w:asciiTheme="majorEastAsia" w:hAnsiTheme="majorEastAsia" w:eastAsiaTheme="majorEastAsia"/>
                <w:b/>
                <w:sz w:val="22"/>
                <w:szCs w:val="22"/>
              </w:rPr>
            </w:pPr>
            <w:r>
              <w:rPr>
                <w:rFonts w:hint="eastAsia" w:cs="宋体" w:asciiTheme="majorEastAsia" w:hAnsiTheme="majorEastAsia" w:eastAsiaTheme="majorEastAsia"/>
                <w:snapToGrid w:val="0"/>
                <w:kern w:val="0"/>
                <w:sz w:val="22"/>
                <w:szCs w:val="22"/>
              </w:rPr>
              <w:t>5.公布最高限价。</w:t>
            </w:r>
          </w:p>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rPr>
              <w:t>6.开启</w:t>
            </w:r>
            <w:r>
              <w:rPr>
                <w:rFonts w:hint="eastAsia" w:cs="宋体" w:asciiTheme="majorEastAsia" w:hAnsiTheme="majorEastAsia" w:eastAsiaTheme="majorEastAsia"/>
                <w:sz w:val="22"/>
                <w:szCs w:val="22"/>
              </w:rPr>
              <w:t>比选申请</w:t>
            </w:r>
            <w:r>
              <w:rPr>
                <w:rFonts w:hint="eastAsia" w:cs="宋体" w:asciiTheme="majorEastAsia" w:hAnsiTheme="majorEastAsia" w:eastAsiaTheme="majorEastAsia"/>
                <w:snapToGrid w:val="0"/>
                <w:kern w:val="0"/>
                <w:sz w:val="22"/>
                <w:szCs w:val="22"/>
              </w:rPr>
              <w:t>文件顺序：随机开启。</w:t>
            </w:r>
          </w:p>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rPr>
              <w:t>7.按照宣布的比选顺序当众比选，公布</w:t>
            </w:r>
            <w:r>
              <w:rPr>
                <w:rFonts w:hint="eastAsia" w:cs="宋体" w:asciiTheme="majorEastAsia" w:hAnsiTheme="majorEastAsia" w:eastAsiaTheme="majorEastAsia"/>
                <w:sz w:val="22"/>
                <w:szCs w:val="22"/>
              </w:rPr>
              <w:t>比选申请</w:t>
            </w:r>
            <w:r>
              <w:rPr>
                <w:rFonts w:hint="eastAsia" w:cs="宋体" w:asciiTheme="majorEastAsia" w:hAnsiTheme="majorEastAsia" w:eastAsiaTheme="majorEastAsia"/>
                <w:snapToGrid w:val="0"/>
                <w:kern w:val="0"/>
                <w:sz w:val="22"/>
                <w:szCs w:val="22"/>
              </w:rPr>
              <w:t>人名称、</w:t>
            </w:r>
            <w:r>
              <w:rPr>
                <w:rFonts w:hint="eastAsia" w:cs="宋体" w:asciiTheme="majorEastAsia" w:hAnsiTheme="majorEastAsia" w:eastAsiaTheme="majorEastAsia"/>
                <w:sz w:val="22"/>
                <w:szCs w:val="22"/>
              </w:rPr>
              <w:t>比选申请</w:t>
            </w:r>
            <w:r>
              <w:rPr>
                <w:rFonts w:hint="eastAsia" w:cs="宋体" w:asciiTheme="majorEastAsia" w:hAnsiTheme="majorEastAsia" w:eastAsiaTheme="majorEastAsia"/>
                <w:snapToGrid w:val="0"/>
                <w:kern w:val="0"/>
                <w:sz w:val="22"/>
                <w:szCs w:val="22"/>
              </w:rPr>
              <w:t>报价及其他内容，并记录在案；若</w:t>
            </w:r>
            <w:r>
              <w:rPr>
                <w:rFonts w:hint="eastAsia" w:cs="宋体" w:asciiTheme="majorEastAsia" w:hAnsiTheme="majorEastAsia" w:eastAsiaTheme="majorEastAsia"/>
                <w:sz w:val="22"/>
                <w:szCs w:val="22"/>
              </w:rPr>
              <w:t>比选申请</w:t>
            </w:r>
            <w:r>
              <w:rPr>
                <w:rFonts w:hint="eastAsia" w:cs="宋体" w:asciiTheme="majorEastAsia" w:hAnsiTheme="majorEastAsia" w:eastAsiaTheme="majorEastAsia"/>
                <w:kern w:val="0"/>
                <w:sz w:val="22"/>
                <w:szCs w:val="22"/>
              </w:rPr>
              <w:t>人对比选有异议的，应当在比选现场提出，比选人应当当场作出答复，并如实记录。</w:t>
            </w:r>
          </w:p>
          <w:p>
            <w:pPr>
              <w:autoSpaceDE w:val="0"/>
              <w:autoSpaceDN w:val="0"/>
              <w:adjustRightInd w:val="0"/>
              <w:snapToGrid w:val="0"/>
              <w:spacing w:line="360" w:lineRule="auto"/>
              <w:ind w:firstLine="440"/>
              <w:rPr>
                <w:rFonts w:cs="宋体" w:asciiTheme="majorEastAsia" w:hAnsiTheme="majorEastAsia" w:eastAsiaTheme="majorEastAsia"/>
                <w:snapToGrid w:val="0"/>
                <w:kern w:val="0"/>
                <w:sz w:val="22"/>
                <w:szCs w:val="22"/>
              </w:rPr>
            </w:pPr>
            <w:r>
              <w:rPr>
                <w:rFonts w:hint="eastAsia" w:cs="宋体" w:asciiTheme="majorEastAsia" w:hAnsiTheme="majorEastAsia" w:eastAsiaTheme="majorEastAsia"/>
                <w:snapToGrid w:val="0"/>
                <w:kern w:val="0"/>
                <w:sz w:val="22"/>
                <w:szCs w:val="22"/>
              </w:rPr>
              <w:t>8.</w:t>
            </w:r>
            <w:r>
              <w:rPr>
                <w:rFonts w:hint="eastAsia" w:cs="宋体" w:asciiTheme="majorEastAsia" w:hAnsiTheme="majorEastAsia" w:eastAsiaTheme="majorEastAsia"/>
                <w:sz w:val="22"/>
                <w:szCs w:val="22"/>
              </w:rPr>
              <w:t>比选申请</w:t>
            </w:r>
            <w:r>
              <w:rPr>
                <w:rFonts w:hint="eastAsia" w:cs="宋体" w:asciiTheme="majorEastAsia" w:hAnsiTheme="majorEastAsia" w:eastAsiaTheme="majorEastAsia"/>
                <w:snapToGrid w:val="0"/>
                <w:kern w:val="0"/>
                <w:sz w:val="22"/>
                <w:szCs w:val="22"/>
              </w:rPr>
              <w:t>人代表、比选人代表、监督人、记录人等有关人员在比选记录上签字确认。</w:t>
            </w:r>
          </w:p>
          <w:p>
            <w:pPr>
              <w:autoSpaceDE w:val="0"/>
              <w:autoSpaceDN w:val="0"/>
              <w:adjustRightInd w:val="0"/>
              <w:snapToGrid w:val="0"/>
              <w:spacing w:line="360" w:lineRule="auto"/>
              <w:ind w:firstLine="44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 xml:space="preserve">9.比选结束。 </w:t>
            </w:r>
          </w:p>
        </w:tc>
      </w:tr>
      <w:tr>
        <w:tblPrEx>
          <w:tblLayout w:type="fixed"/>
          <w:tblCellMar>
            <w:top w:w="0" w:type="dxa"/>
            <w:left w:w="108" w:type="dxa"/>
            <w:bottom w:w="0" w:type="dxa"/>
            <w:right w:w="108" w:type="dxa"/>
          </w:tblCellMar>
        </w:tblPrEx>
        <w:trPr>
          <w:trHeight w:val="620"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6.1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评审委员会</w:t>
            </w:r>
          </w:p>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的组建</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由比选人自行组建。</w:t>
            </w:r>
          </w:p>
        </w:tc>
      </w:tr>
      <w:tr>
        <w:tblPrEx>
          <w:tblLayout w:type="fixed"/>
          <w:tblCellMar>
            <w:top w:w="0" w:type="dxa"/>
            <w:left w:w="108" w:type="dxa"/>
            <w:bottom w:w="0" w:type="dxa"/>
            <w:right w:w="108" w:type="dxa"/>
          </w:tblCellMar>
        </w:tblPrEx>
        <w:trPr>
          <w:trHeight w:val="590"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7.1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是否授权评审委员会确定中选人</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否，评审委员会按照经评审的投标报价由低到高的顺序推荐中标候选人。</w:t>
            </w:r>
          </w:p>
        </w:tc>
      </w:tr>
      <w:tr>
        <w:tblPrEx>
          <w:tblLayout w:type="fixed"/>
          <w:tblCellMar>
            <w:top w:w="0" w:type="dxa"/>
            <w:left w:w="108" w:type="dxa"/>
            <w:bottom w:w="0" w:type="dxa"/>
            <w:right w:w="108" w:type="dxa"/>
          </w:tblCellMar>
        </w:tblPrEx>
        <w:trPr>
          <w:trHeight w:val="9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lang w:bidi="ar"/>
              </w:rPr>
              <w:t>7.</w:t>
            </w:r>
            <w:r>
              <w:rPr>
                <w:rFonts w:hint="eastAsia" w:asciiTheme="majorEastAsia" w:hAnsiTheme="majorEastAsia" w:eastAsiaTheme="majorEastAsia"/>
                <w:sz w:val="22"/>
                <w:szCs w:val="22"/>
                <w:lang w:bidi="ar"/>
              </w:rPr>
              <w:t>2</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履约担保</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（1）担保形式：履约保证金（银行转账）；</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）担保金额：中标金额的</w:t>
            </w:r>
            <w:r>
              <w:rPr>
                <w:rFonts w:asciiTheme="majorEastAsia" w:hAnsiTheme="majorEastAsia" w:eastAsiaTheme="majorEastAsia"/>
                <w:sz w:val="22"/>
                <w:szCs w:val="22"/>
              </w:rPr>
              <w:t>10%</w:t>
            </w:r>
            <w:r>
              <w:rPr>
                <w:rFonts w:hint="eastAsia" w:asciiTheme="majorEastAsia" w:hAnsiTheme="majorEastAsia" w:eastAsiaTheme="majorEastAsia"/>
                <w:sz w:val="22"/>
                <w:szCs w:val="22"/>
              </w:rPr>
              <w:t>；</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）缴纳时间：比选人发出中选通知书后七日内，合同签订之前，中标人向比选人缴纳（未在规定时间内提交履约担保的，比选人有权取消其中选资格）；</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（4）退还期限及方式：本合同工程竣工验收合格后无息退还。</w:t>
            </w:r>
          </w:p>
        </w:tc>
      </w:tr>
      <w:tr>
        <w:tblPrEx>
          <w:tblLayout w:type="fixed"/>
          <w:tblCellMar>
            <w:top w:w="0" w:type="dxa"/>
            <w:left w:w="108" w:type="dxa"/>
            <w:bottom w:w="0" w:type="dxa"/>
            <w:right w:w="108" w:type="dxa"/>
          </w:tblCellMar>
        </w:tblPrEx>
        <w:trPr>
          <w:trHeight w:val="1048"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highlight w:val="none"/>
              </w:rPr>
            </w:pPr>
            <w:r>
              <w:rPr>
                <w:rFonts w:asciiTheme="majorEastAsia" w:hAnsiTheme="majorEastAsia" w:eastAsiaTheme="majorEastAsia"/>
                <w:sz w:val="22"/>
                <w:szCs w:val="22"/>
                <w:highlight w:val="none"/>
                <w:lang w:bidi="ar"/>
              </w:rPr>
              <w:t>8.1</w:t>
            </w:r>
          </w:p>
        </w:tc>
        <w:tc>
          <w:tcPr>
            <w:tcW w:w="184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ajorEastAsia" w:hAnsiTheme="majorEastAsia" w:eastAsiaTheme="majorEastAsia"/>
                <w:sz w:val="22"/>
                <w:szCs w:val="22"/>
                <w:highlight w:val="none"/>
              </w:rPr>
            </w:pPr>
            <w:r>
              <w:rPr>
                <w:rFonts w:hint="eastAsia" w:cs="宋体" w:asciiTheme="majorEastAsia" w:hAnsiTheme="majorEastAsia" w:eastAsiaTheme="majorEastAsia"/>
                <w:sz w:val="22"/>
                <w:szCs w:val="22"/>
                <w:highlight w:val="none"/>
                <w:lang w:bidi="ar"/>
              </w:rPr>
              <w:t>重新</w:t>
            </w:r>
            <w:r>
              <w:rPr>
                <w:rFonts w:hint="eastAsia" w:cs="宋体" w:asciiTheme="majorEastAsia" w:hAnsiTheme="majorEastAsia" w:eastAsiaTheme="majorEastAsia"/>
                <w:sz w:val="22"/>
                <w:szCs w:val="22"/>
                <w:highlight w:val="none"/>
                <w:lang w:val="en-US" w:eastAsia="zh-CN" w:bidi="ar"/>
              </w:rPr>
              <w:t>竞</w:t>
            </w:r>
            <w:r>
              <w:rPr>
                <w:rFonts w:hint="eastAsia" w:cs="宋体" w:asciiTheme="majorEastAsia" w:hAnsiTheme="majorEastAsia" w:eastAsiaTheme="majorEastAsia"/>
                <w:sz w:val="22"/>
                <w:szCs w:val="22"/>
                <w:highlight w:val="none"/>
                <w:lang w:bidi="ar"/>
              </w:rPr>
              <w:t>选</w:t>
            </w:r>
          </w:p>
        </w:tc>
        <w:tc>
          <w:tcPr>
            <w:tcW w:w="6591" w:type="dxa"/>
            <w:gridSpan w:val="2"/>
            <w:tcBorders>
              <w:top w:val="single" w:color="auto" w:sz="4" w:space="0"/>
              <w:left w:val="nil"/>
              <w:bottom w:val="single" w:color="auto" w:sz="4" w:space="0"/>
              <w:right w:val="single" w:color="auto" w:sz="4" w:space="0"/>
            </w:tcBorders>
            <w:vAlign w:val="center"/>
          </w:tcPr>
          <w:p>
            <w:pPr>
              <w:spacing w:line="360" w:lineRule="auto"/>
              <w:ind w:firstLine="440"/>
              <w:rPr>
                <w:rFonts w:hint="eastAsia" w:cs="宋体" w:asciiTheme="majorEastAsia" w:hAnsiTheme="majorEastAsia" w:eastAsiaTheme="majorEastAsia"/>
                <w:sz w:val="22"/>
                <w:szCs w:val="22"/>
                <w:highlight w:val="none"/>
                <w:lang w:bidi="ar"/>
              </w:rPr>
            </w:pPr>
            <w:r>
              <w:rPr>
                <w:rFonts w:hint="eastAsia" w:cs="宋体" w:asciiTheme="majorEastAsia" w:hAnsiTheme="majorEastAsia" w:eastAsiaTheme="majorEastAsia"/>
                <w:sz w:val="22"/>
                <w:szCs w:val="22"/>
                <w:highlight w:val="none"/>
                <w:lang w:bidi="ar"/>
              </w:rPr>
              <w:t>有下列情形之一的，比选人将重新组织竞选：</w:t>
            </w:r>
          </w:p>
          <w:p>
            <w:pPr>
              <w:spacing w:line="360" w:lineRule="auto"/>
              <w:ind w:firstLine="440"/>
              <w:rPr>
                <w:rFonts w:hint="eastAsia" w:cs="宋体" w:asciiTheme="majorEastAsia" w:hAnsiTheme="majorEastAsia" w:eastAsiaTheme="majorEastAsia"/>
                <w:sz w:val="22"/>
                <w:szCs w:val="22"/>
                <w:highlight w:val="none"/>
                <w:lang w:bidi="ar"/>
              </w:rPr>
            </w:pPr>
            <w:r>
              <w:rPr>
                <w:rFonts w:hint="eastAsia" w:cs="宋体" w:asciiTheme="majorEastAsia" w:hAnsiTheme="majorEastAsia" w:eastAsiaTheme="majorEastAsia"/>
                <w:sz w:val="22"/>
                <w:szCs w:val="22"/>
                <w:highlight w:val="none"/>
                <w:lang w:bidi="ar"/>
              </w:rPr>
              <w:t>（1）比选申请截止时间止，比选申请人少于3个的；</w:t>
            </w:r>
          </w:p>
          <w:p>
            <w:pPr>
              <w:spacing w:line="360" w:lineRule="auto"/>
              <w:ind w:firstLine="440"/>
              <w:rPr>
                <w:rFonts w:asciiTheme="majorEastAsia" w:hAnsiTheme="majorEastAsia" w:eastAsiaTheme="majorEastAsia"/>
                <w:sz w:val="22"/>
                <w:szCs w:val="22"/>
                <w:highlight w:val="none"/>
              </w:rPr>
            </w:pPr>
            <w:r>
              <w:rPr>
                <w:rFonts w:hint="eastAsia" w:cs="宋体" w:asciiTheme="majorEastAsia" w:hAnsiTheme="majorEastAsia" w:eastAsiaTheme="majorEastAsia"/>
                <w:sz w:val="22"/>
                <w:szCs w:val="22"/>
                <w:highlight w:val="none"/>
                <w:lang w:bidi="ar"/>
              </w:rPr>
              <w:t>（2）经评审委员会评审后，有效的比选申请人少于3个的。</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b/>
                <w:sz w:val="22"/>
                <w:szCs w:val="22"/>
              </w:rPr>
            </w:pPr>
            <w:r>
              <w:rPr>
                <w:rFonts w:hint="eastAsia" w:asciiTheme="majorEastAsia" w:hAnsiTheme="majorEastAsia" w:eastAsiaTheme="majorEastAsia"/>
                <w:b/>
                <w:sz w:val="22"/>
                <w:szCs w:val="22"/>
                <w:lang w:bidi="ar"/>
              </w:rPr>
              <w:t>9</w:t>
            </w:r>
          </w:p>
        </w:tc>
        <w:tc>
          <w:tcPr>
            <w:tcW w:w="8435" w:type="dxa"/>
            <w:gridSpan w:val="3"/>
            <w:tcBorders>
              <w:top w:val="single" w:color="auto" w:sz="4" w:space="0"/>
              <w:left w:val="nil"/>
              <w:bottom w:val="single" w:color="auto" w:sz="4" w:space="0"/>
              <w:right w:val="single" w:color="auto" w:sz="4" w:space="0"/>
            </w:tcBorders>
            <w:vAlign w:val="center"/>
          </w:tcPr>
          <w:p>
            <w:pPr>
              <w:spacing w:line="360" w:lineRule="auto"/>
              <w:ind w:firstLine="442"/>
              <w:jc w:val="center"/>
              <w:rPr>
                <w:rFonts w:cs="华文细黑" w:asciiTheme="majorEastAsia" w:hAnsiTheme="majorEastAsia" w:eastAsiaTheme="majorEastAsia"/>
                <w:b/>
                <w:sz w:val="22"/>
                <w:szCs w:val="22"/>
              </w:rPr>
            </w:pPr>
            <w:r>
              <w:rPr>
                <w:rFonts w:hint="eastAsia" w:cs="宋体" w:asciiTheme="majorEastAsia" w:hAnsiTheme="majorEastAsia" w:eastAsiaTheme="majorEastAsia"/>
                <w:b/>
                <w:sz w:val="22"/>
                <w:szCs w:val="22"/>
                <w:lang w:bidi="ar"/>
              </w:rPr>
              <w:t>需要补充的其他内容</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b/>
                <w:sz w:val="22"/>
                <w:szCs w:val="22"/>
                <w:lang w:bidi="ar"/>
              </w:rPr>
            </w:pPr>
            <w:r>
              <w:rPr>
                <w:rFonts w:hint="eastAsia" w:asciiTheme="majorEastAsia" w:hAnsiTheme="majorEastAsia" w:eastAsiaTheme="majorEastAsia"/>
                <w:sz w:val="22"/>
                <w:szCs w:val="22"/>
                <w:lang w:bidi="ar"/>
              </w:rPr>
              <w:t>9.1</w:t>
            </w:r>
          </w:p>
        </w:tc>
        <w:tc>
          <w:tcPr>
            <w:tcW w:w="1892" w:type="dxa"/>
            <w:gridSpan w:val="2"/>
            <w:tcBorders>
              <w:top w:val="single" w:color="auto" w:sz="4" w:space="0"/>
              <w:left w:val="nil"/>
              <w:bottom w:val="single" w:color="auto" w:sz="4" w:space="0"/>
              <w:right w:val="single" w:color="auto" w:sz="4" w:space="0"/>
            </w:tcBorders>
            <w:vAlign w:val="center"/>
          </w:tcPr>
          <w:p>
            <w:pPr>
              <w:spacing w:line="360" w:lineRule="auto"/>
              <w:ind w:firstLine="198" w:firstLineChars="90"/>
              <w:jc w:val="center"/>
              <w:rPr>
                <w:rFonts w:cs="宋体" w:asciiTheme="majorEastAsia" w:hAnsiTheme="majorEastAsia" w:eastAsiaTheme="majorEastAsia"/>
                <w:sz w:val="22"/>
                <w:szCs w:val="22"/>
                <w:lang w:bidi="ar"/>
              </w:rPr>
            </w:pPr>
            <w:r>
              <w:rPr>
                <w:rFonts w:hint="eastAsia" w:ascii="宋体" w:hAnsi="宋体"/>
                <w:sz w:val="22"/>
                <w:szCs w:val="22"/>
              </w:rPr>
              <w:t>低价风险担保</w:t>
            </w:r>
          </w:p>
        </w:tc>
        <w:tc>
          <w:tcPr>
            <w:tcW w:w="6543" w:type="dxa"/>
            <w:tcBorders>
              <w:top w:val="single" w:color="auto" w:sz="4" w:space="0"/>
              <w:left w:val="nil"/>
              <w:bottom w:val="single" w:color="auto" w:sz="4" w:space="0"/>
              <w:right w:val="single" w:color="auto" w:sz="4" w:space="0"/>
            </w:tcBorders>
            <w:vAlign w:val="center"/>
          </w:tcPr>
          <w:p>
            <w:pPr>
              <w:spacing w:line="440" w:lineRule="exact"/>
              <w:ind w:firstLine="372" w:firstLineChars="169"/>
              <w:rPr>
                <w:rFonts w:ascii="宋体" w:hAnsi="宋体"/>
                <w:sz w:val="22"/>
                <w:szCs w:val="22"/>
              </w:rPr>
            </w:pPr>
            <w:r>
              <w:rPr>
                <w:rFonts w:hint="eastAsia" w:ascii="宋体" w:hAnsi="宋体"/>
                <w:sz w:val="22"/>
                <w:szCs w:val="22"/>
              </w:rPr>
              <w:t>1.低价风险担保：中标价低于最高限价的85%时提供，如不按时足额提供，视为中标人放弃中标，比选人有权不退还其投标保证金。</w:t>
            </w:r>
          </w:p>
          <w:p>
            <w:pPr>
              <w:spacing w:line="440" w:lineRule="exact"/>
              <w:ind w:firstLine="372" w:firstLineChars="169"/>
              <w:rPr>
                <w:rFonts w:ascii="宋体" w:hAnsi="宋体"/>
                <w:sz w:val="22"/>
                <w:szCs w:val="22"/>
              </w:rPr>
            </w:pPr>
            <w:r>
              <w:rPr>
                <w:rFonts w:hint="eastAsia" w:ascii="宋体" w:hAnsi="宋体"/>
                <w:sz w:val="22"/>
                <w:szCs w:val="22"/>
              </w:rPr>
              <w:t>2.中标人提供低价风险担保的形式、金额及期限：</w:t>
            </w:r>
          </w:p>
          <w:p>
            <w:pPr>
              <w:spacing w:line="440" w:lineRule="exact"/>
              <w:ind w:firstLine="372" w:firstLineChars="169"/>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）低价风险担保的形式：现金</w:t>
            </w:r>
            <w:r>
              <w:rPr>
                <w:rFonts w:hint="eastAsia" w:ascii="宋体" w:hAnsi="宋体"/>
                <w:sz w:val="22"/>
                <w:szCs w:val="22"/>
                <w:lang w:eastAsia="zh-CN"/>
              </w:rPr>
              <w:t>（</w:t>
            </w:r>
            <w:r>
              <w:rPr>
                <w:rFonts w:hint="eastAsia" w:ascii="宋体" w:hAnsi="宋体"/>
                <w:sz w:val="22"/>
                <w:szCs w:val="22"/>
                <w:lang w:val="en-US" w:eastAsia="zh-CN"/>
              </w:rPr>
              <w:t>转账</w:t>
            </w:r>
            <w:r>
              <w:rPr>
                <w:rFonts w:hint="eastAsia" w:ascii="宋体" w:hAnsi="宋体"/>
                <w:sz w:val="22"/>
                <w:szCs w:val="22"/>
                <w:lang w:eastAsia="zh-CN"/>
              </w:rPr>
              <w:t>）</w:t>
            </w:r>
            <w:r>
              <w:rPr>
                <w:rFonts w:hint="eastAsia" w:ascii="宋体" w:hAnsi="宋体"/>
                <w:sz w:val="22"/>
                <w:szCs w:val="22"/>
              </w:rPr>
              <w:t>；</w:t>
            </w:r>
          </w:p>
          <w:p>
            <w:pPr>
              <w:spacing w:line="440" w:lineRule="exact"/>
              <w:ind w:firstLine="372" w:firstLineChars="169"/>
              <w:rPr>
                <w:rFonts w:ascii="宋体" w:hAns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）低价风险担保的金额：（最高限价×</w:t>
            </w:r>
            <w:r>
              <w:rPr>
                <w:rFonts w:ascii="宋体" w:hAnsi="宋体"/>
                <w:sz w:val="22"/>
                <w:szCs w:val="22"/>
              </w:rPr>
              <w:t>85%-</w:t>
            </w:r>
            <w:r>
              <w:rPr>
                <w:rFonts w:hint="eastAsia" w:ascii="宋体" w:hAnsi="宋体"/>
                <w:sz w:val="22"/>
                <w:szCs w:val="22"/>
              </w:rPr>
              <w:t>中标价）×3）；</w:t>
            </w:r>
          </w:p>
          <w:p>
            <w:pPr>
              <w:spacing w:line="440" w:lineRule="exact"/>
              <w:ind w:firstLine="372" w:firstLineChars="169"/>
              <w:rPr>
                <w:rFonts w:ascii="宋体" w:hAnsi="宋体"/>
                <w:sz w:val="22"/>
                <w:szCs w:val="22"/>
              </w:rPr>
            </w:pPr>
            <w:r>
              <w:rPr>
                <w:rFonts w:hint="eastAsia" w:ascii="宋体" w:hAnsi="宋体"/>
                <w:sz w:val="22"/>
                <w:szCs w:val="22"/>
              </w:rPr>
              <w:t>（</w:t>
            </w:r>
            <w:r>
              <w:rPr>
                <w:rFonts w:ascii="宋体" w:hAnsi="宋体"/>
                <w:sz w:val="22"/>
                <w:szCs w:val="22"/>
              </w:rPr>
              <w:t>3</w:t>
            </w:r>
            <w:r>
              <w:rPr>
                <w:rFonts w:hint="eastAsia" w:ascii="宋体" w:hAnsi="宋体"/>
                <w:sz w:val="22"/>
                <w:szCs w:val="22"/>
              </w:rPr>
              <w:t>）低价风险担保的提交时间：中标候选人公示结束后3个工作日内，中标人按担保金额向</w:t>
            </w:r>
            <w:r>
              <w:rPr>
                <w:rFonts w:hint="eastAsia" w:ascii="宋体" w:hAnsi="宋体"/>
                <w:sz w:val="22"/>
                <w:szCs w:val="22"/>
                <w:lang w:val="en-US" w:eastAsia="zh-CN"/>
              </w:rPr>
              <w:t>比选</w:t>
            </w:r>
            <w:r>
              <w:rPr>
                <w:rFonts w:hint="eastAsia" w:ascii="宋体" w:hAnsi="宋体"/>
                <w:sz w:val="22"/>
                <w:szCs w:val="22"/>
              </w:rPr>
              <w:t>人提交低价风险担保；</w:t>
            </w:r>
          </w:p>
          <w:p>
            <w:pPr>
              <w:spacing w:line="440" w:lineRule="exact"/>
              <w:ind w:firstLine="372" w:firstLineChars="169"/>
              <w:rPr>
                <w:rFonts w:ascii="宋体" w:hAnsi="宋体"/>
                <w:sz w:val="22"/>
                <w:szCs w:val="22"/>
              </w:rPr>
            </w:pPr>
            <w:r>
              <w:rPr>
                <w:rFonts w:hint="eastAsia" w:ascii="宋体" w:hAnsi="宋体"/>
                <w:sz w:val="22"/>
                <w:szCs w:val="22"/>
              </w:rPr>
              <w:t>（4）中标人因自身原因未按中标通知书规定的时限与比选人签订合同的，比选人有权扣除其低价风险担保并取消中标资格。</w:t>
            </w:r>
          </w:p>
          <w:p>
            <w:pPr>
              <w:spacing w:line="440" w:lineRule="exact"/>
              <w:ind w:firstLine="372" w:firstLineChars="169"/>
              <w:rPr>
                <w:rFonts w:ascii="宋体" w:hAnsi="宋体"/>
                <w:sz w:val="22"/>
                <w:szCs w:val="22"/>
              </w:rPr>
            </w:pPr>
            <w:r>
              <w:rPr>
                <w:rFonts w:hint="eastAsia" w:ascii="宋体" w:hAnsi="宋体"/>
                <w:sz w:val="22"/>
                <w:szCs w:val="22"/>
              </w:rPr>
              <w:t>（5）低价风险担保的期限：自提交低价风险担保之日起至竣工验收合格之日止。</w:t>
            </w:r>
          </w:p>
          <w:p>
            <w:pPr>
              <w:spacing w:line="360" w:lineRule="auto"/>
              <w:ind w:firstLine="440"/>
              <w:rPr>
                <w:rFonts w:cs="宋体" w:asciiTheme="majorEastAsia" w:hAnsiTheme="majorEastAsia" w:eastAsiaTheme="majorEastAsia"/>
                <w:sz w:val="22"/>
                <w:szCs w:val="22"/>
                <w:lang w:bidi="ar"/>
              </w:rPr>
            </w:pPr>
            <w:r>
              <w:rPr>
                <w:rFonts w:hint="eastAsia" w:ascii="宋体" w:hAnsi="宋体"/>
                <w:sz w:val="22"/>
                <w:szCs w:val="22"/>
              </w:rPr>
              <w:t>3.低价风险担保的退还时间：见专用合同条款。</w:t>
            </w:r>
          </w:p>
        </w:tc>
      </w:tr>
      <w:tr>
        <w:tblPrEx>
          <w:tblLayout w:type="fixed"/>
          <w:tblCellMar>
            <w:top w:w="0" w:type="dxa"/>
            <w:left w:w="108" w:type="dxa"/>
            <w:bottom w:w="0" w:type="dxa"/>
            <w:right w:w="108" w:type="dxa"/>
          </w:tblCellMar>
        </w:tblPrEx>
        <w:trPr>
          <w:trHeight w:val="2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 w:val="22"/>
                <w:szCs w:val="22"/>
                <w:lang w:bidi="ar"/>
              </w:rPr>
            </w:pPr>
            <w:r>
              <w:rPr>
                <w:rFonts w:hint="eastAsia" w:asciiTheme="majorEastAsia" w:hAnsiTheme="majorEastAsia" w:eastAsiaTheme="majorEastAsia"/>
                <w:sz w:val="22"/>
                <w:szCs w:val="22"/>
                <w:lang w:bidi="ar"/>
              </w:rPr>
              <w:t>9.2</w:t>
            </w:r>
          </w:p>
        </w:tc>
        <w:tc>
          <w:tcPr>
            <w:tcW w:w="1892" w:type="dxa"/>
            <w:gridSpan w:val="2"/>
            <w:tcBorders>
              <w:top w:val="single" w:color="auto" w:sz="4" w:space="0"/>
              <w:left w:val="nil"/>
              <w:bottom w:val="single" w:color="auto" w:sz="4" w:space="0"/>
              <w:right w:val="single" w:color="auto" w:sz="4" w:space="0"/>
            </w:tcBorders>
            <w:vAlign w:val="center"/>
          </w:tcPr>
          <w:p>
            <w:pPr>
              <w:spacing w:line="360" w:lineRule="auto"/>
              <w:ind w:firstLine="198" w:firstLineChars="90"/>
              <w:jc w:val="center"/>
              <w:rPr>
                <w:rFonts w:cs="宋体" w:asciiTheme="majorEastAsia" w:hAnsiTheme="majorEastAsia" w:eastAsiaTheme="majorEastAsia"/>
                <w:sz w:val="22"/>
                <w:szCs w:val="22"/>
                <w:lang w:bidi="ar"/>
              </w:rPr>
            </w:pPr>
            <w:r>
              <w:rPr>
                <w:rFonts w:hint="eastAsia" w:cs="宋体" w:asciiTheme="majorEastAsia" w:hAnsiTheme="majorEastAsia" w:eastAsiaTheme="majorEastAsia"/>
                <w:sz w:val="22"/>
                <w:szCs w:val="22"/>
                <w:lang w:bidi="ar"/>
              </w:rPr>
              <w:t>付款方式</w:t>
            </w:r>
          </w:p>
        </w:tc>
        <w:tc>
          <w:tcPr>
            <w:tcW w:w="6543" w:type="dxa"/>
            <w:tcBorders>
              <w:top w:val="single" w:color="auto" w:sz="4" w:space="0"/>
              <w:left w:val="nil"/>
              <w:bottom w:val="single" w:color="auto" w:sz="4" w:space="0"/>
              <w:right w:val="single" w:color="auto" w:sz="4" w:space="0"/>
            </w:tcBorders>
            <w:vAlign w:val="center"/>
          </w:tcPr>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本工程进度款按月支付，每月25日提交进度款申请报告，经监理、招标人审核完成后按照已完合格工程量的70%支付进度款，审核完成且中标人提供发票后15日内支付。</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工期每延误一天，承包人按</w:t>
            </w:r>
            <w:r>
              <w:rPr>
                <w:rFonts w:hint="eastAsia" w:asciiTheme="majorEastAsia" w:hAnsiTheme="majorEastAsia" w:eastAsiaTheme="majorEastAsia"/>
                <w:b/>
                <w:bCs/>
                <w:sz w:val="22"/>
                <w:szCs w:val="22"/>
                <w:lang w:val="en-US" w:eastAsia="zh-CN"/>
              </w:rPr>
              <w:t>1</w:t>
            </w:r>
            <w:r>
              <w:rPr>
                <w:rFonts w:hint="eastAsia" w:asciiTheme="majorEastAsia" w:hAnsiTheme="majorEastAsia" w:eastAsiaTheme="majorEastAsia"/>
                <w:b/>
                <w:bCs/>
                <w:sz w:val="22"/>
                <w:szCs w:val="22"/>
              </w:rPr>
              <w:t>0000</w:t>
            </w:r>
            <w:r>
              <w:rPr>
                <w:rFonts w:hint="eastAsia" w:asciiTheme="majorEastAsia" w:hAnsiTheme="majorEastAsia" w:eastAsiaTheme="majorEastAsia"/>
                <w:sz w:val="22"/>
                <w:szCs w:val="22"/>
              </w:rPr>
              <w:t>元/天计算逾期竣工违约金，累计违约金上限不超过签约合同价。</w:t>
            </w:r>
          </w:p>
          <w:p>
            <w:pPr>
              <w:spacing w:line="360" w:lineRule="auto"/>
              <w:ind w:firstLine="440"/>
              <w:rPr>
                <w:rFonts w:cs="宋体" w:asciiTheme="majorEastAsia" w:hAnsiTheme="majorEastAsia" w:eastAsiaTheme="majorEastAsia"/>
                <w:sz w:val="22"/>
                <w:szCs w:val="22"/>
              </w:rPr>
            </w:pPr>
            <w:r>
              <w:rPr>
                <w:rFonts w:hint="eastAsia" w:cs="宋体" w:asciiTheme="majorEastAsia" w:hAnsiTheme="majorEastAsia" w:eastAsiaTheme="majorEastAsia"/>
                <w:sz w:val="22"/>
                <w:szCs w:val="22"/>
              </w:rPr>
              <w:t>竣工验收合格后支付至合同总额的</w:t>
            </w:r>
            <w:r>
              <w:rPr>
                <w:rFonts w:cs="宋体" w:asciiTheme="majorEastAsia" w:hAnsiTheme="majorEastAsia" w:eastAsiaTheme="majorEastAsia"/>
                <w:sz w:val="22"/>
                <w:szCs w:val="22"/>
              </w:rPr>
              <w:t>85</w:t>
            </w:r>
            <w:r>
              <w:rPr>
                <w:rFonts w:hint="eastAsia" w:cs="宋体" w:asciiTheme="majorEastAsia" w:hAnsiTheme="majorEastAsia" w:eastAsiaTheme="majorEastAsia"/>
                <w:sz w:val="22"/>
                <w:szCs w:val="22"/>
              </w:rPr>
              <w:t>%；审计结束后支付至审定金额的97%，剩余审定金额的3%作为质保金，待缺陷责任期</w:t>
            </w:r>
            <w:r>
              <w:rPr>
                <w:rFonts w:hint="eastAsia" w:cs="宋体" w:asciiTheme="majorEastAsia" w:hAnsiTheme="majorEastAsia" w:eastAsiaTheme="majorEastAsia"/>
                <w:b/>
                <w:sz w:val="22"/>
                <w:szCs w:val="22"/>
              </w:rPr>
              <w:t>（两年）</w:t>
            </w:r>
            <w:r>
              <w:rPr>
                <w:rFonts w:hint="eastAsia" w:cs="宋体" w:asciiTheme="majorEastAsia" w:hAnsiTheme="majorEastAsia" w:eastAsiaTheme="majorEastAsia"/>
                <w:sz w:val="22"/>
                <w:szCs w:val="22"/>
              </w:rPr>
              <w:t>满后不计息支付。</w:t>
            </w:r>
          </w:p>
        </w:tc>
      </w:tr>
    </w:tbl>
    <w:p>
      <w:pPr>
        <w:rPr>
          <w:rFonts w:asciiTheme="majorEastAsia" w:hAnsiTheme="majorEastAsia" w:eastAsiaTheme="majorEastAsia"/>
        </w:rPr>
      </w:pPr>
    </w:p>
    <w:p>
      <w:pPr>
        <w:spacing w:line="360" w:lineRule="auto"/>
        <w:jc w:val="left"/>
        <w:rPr>
          <w:rFonts w:asciiTheme="majorEastAsia" w:hAnsiTheme="majorEastAsia" w:eastAsiaTheme="majorEastAsia"/>
          <w:b/>
          <w:kern w:val="0"/>
        </w:rPr>
      </w:pPr>
      <w:bookmarkStart w:id="21" w:name="_Toc17345"/>
      <w:bookmarkStart w:id="22" w:name="_Toc5295"/>
      <w:bookmarkStart w:id="23" w:name="_Toc200513126"/>
      <w:r>
        <w:rPr>
          <w:rFonts w:hint="eastAsia" w:asciiTheme="majorEastAsia" w:hAnsiTheme="majorEastAsia" w:eastAsiaTheme="majorEastAsia"/>
          <w:b/>
          <w:kern w:val="0"/>
        </w:rPr>
        <w:t>注：比选申请人须知前附表与正文有不同的，以比选申请人须知前附表为准。</w:t>
      </w:r>
    </w:p>
    <w:p>
      <w:pPr>
        <w:spacing w:line="360" w:lineRule="auto"/>
        <w:jc w:val="left"/>
        <w:rPr>
          <w:rFonts w:asciiTheme="majorEastAsia" w:hAnsiTheme="majorEastAsia" w:eastAsiaTheme="majorEastAsia"/>
          <w:b/>
        </w:rPr>
      </w:pPr>
      <w:r>
        <w:rPr>
          <w:rFonts w:asciiTheme="majorEastAsia" w:hAnsiTheme="majorEastAsia" w:eastAsiaTheme="majorEastAsia"/>
          <w:b/>
        </w:rPr>
        <w:br w:type="page"/>
      </w:r>
    </w:p>
    <w:bookmarkEnd w:id="21"/>
    <w:bookmarkEnd w:id="22"/>
    <w:bookmarkEnd w:id="23"/>
    <w:p>
      <w:pPr>
        <w:pStyle w:val="4"/>
        <w:rPr>
          <w:rFonts w:cs="宋体" w:asciiTheme="majorEastAsia" w:hAnsiTheme="majorEastAsia" w:eastAsiaTheme="majorEastAsia"/>
          <w:spacing w:val="0"/>
          <w:w w:val="100"/>
          <w:sz w:val="22"/>
          <w:szCs w:val="22"/>
        </w:rPr>
      </w:pPr>
      <w:bookmarkStart w:id="24" w:name="_Toc4151"/>
      <w:bookmarkStart w:id="25" w:name="_Toc2083213"/>
      <w:bookmarkStart w:id="26" w:name="_Toc12727412"/>
      <w:bookmarkStart w:id="27" w:name="_Toc44433298"/>
      <w:bookmarkStart w:id="28" w:name="_Toc44420101"/>
      <w:bookmarkStart w:id="29" w:name="_Toc12731219"/>
      <w:bookmarkStart w:id="30" w:name="_Toc14524559"/>
      <w:bookmarkStart w:id="31" w:name="_Toc12731756"/>
      <w:bookmarkStart w:id="32" w:name="_Toc200513198"/>
      <w:r>
        <w:rPr>
          <w:rFonts w:hint="eastAsia" w:cs="宋体" w:asciiTheme="majorEastAsia" w:hAnsiTheme="majorEastAsia" w:eastAsiaTheme="majorEastAsia"/>
          <w:spacing w:val="0"/>
          <w:w w:val="100"/>
          <w:sz w:val="22"/>
          <w:szCs w:val="22"/>
        </w:rPr>
        <w:t>1.总则</w:t>
      </w:r>
      <w:bookmarkEnd w:id="24"/>
      <w:bookmarkEnd w:id="25"/>
      <w:bookmarkEnd w:id="26"/>
      <w:bookmarkEnd w:id="27"/>
      <w:bookmarkEnd w:id="28"/>
      <w:bookmarkEnd w:id="29"/>
      <w:bookmarkEnd w:id="30"/>
      <w:bookmarkEnd w:id="31"/>
    </w:p>
    <w:p>
      <w:pPr>
        <w:pStyle w:val="5"/>
        <w:spacing w:before="0" w:line="360" w:lineRule="auto"/>
        <w:rPr>
          <w:rFonts w:asciiTheme="majorEastAsia" w:hAnsiTheme="majorEastAsia" w:eastAsiaTheme="majorEastAsia"/>
          <w:sz w:val="22"/>
          <w:szCs w:val="22"/>
        </w:rPr>
      </w:pPr>
      <w:bookmarkStart w:id="33" w:name="_Toc7207"/>
      <w:bookmarkStart w:id="34" w:name="_Toc44420102"/>
      <w:bookmarkStart w:id="35" w:name="_Toc44433299"/>
      <w:r>
        <w:rPr>
          <w:rFonts w:asciiTheme="majorEastAsia" w:hAnsiTheme="majorEastAsia" w:eastAsiaTheme="majorEastAsia"/>
          <w:sz w:val="22"/>
          <w:szCs w:val="22"/>
        </w:rPr>
        <w:t xml:space="preserve">1.1  </w:t>
      </w:r>
      <w:r>
        <w:rPr>
          <w:rFonts w:hint="eastAsia" w:cs="宋体" w:asciiTheme="majorEastAsia" w:hAnsiTheme="majorEastAsia" w:eastAsiaTheme="majorEastAsia"/>
          <w:sz w:val="22"/>
          <w:szCs w:val="22"/>
        </w:rPr>
        <w:t>项目概况</w:t>
      </w:r>
      <w:bookmarkEnd w:id="33"/>
      <w:bookmarkEnd w:id="34"/>
      <w:bookmarkEnd w:id="35"/>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1.1.1  </w:t>
      </w:r>
      <w:r>
        <w:rPr>
          <w:rFonts w:hint="eastAsia" w:asciiTheme="majorEastAsia" w:hAnsiTheme="majorEastAsia" w:eastAsiaTheme="majorEastAsia"/>
          <w:sz w:val="22"/>
          <w:szCs w:val="22"/>
        </w:rPr>
        <w:t>参照《中华人民共和国招标投标法》等有关法律、法规和规章的规定，本比选项目已具备比选条件，现对本项目进行比选。</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1.1.2  </w:t>
      </w:r>
      <w:r>
        <w:rPr>
          <w:rFonts w:hint="eastAsia" w:asciiTheme="majorEastAsia" w:hAnsiTheme="majorEastAsia" w:eastAsiaTheme="majorEastAsia"/>
          <w:sz w:val="22"/>
          <w:szCs w:val="22"/>
        </w:rPr>
        <w:t>本比选项目比选人：见比选申请人须知前附表。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1.1.3  </w:t>
      </w:r>
      <w:r>
        <w:rPr>
          <w:rFonts w:hint="eastAsia" w:asciiTheme="majorEastAsia" w:hAnsiTheme="majorEastAsia" w:eastAsiaTheme="majorEastAsia"/>
          <w:sz w:val="22"/>
          <w:szCs w:val="22"/>
        </w:rPr>
        <w:t>本比选项目招标代理机构：见比选申请人须知前附表。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1.1.4  </w:t>
      </w:r>
      <w:r>
        <w:rPr>
          <w:rFonts w:hint="eastAsia" w:asciiTheme="majorEastAsia" w:hAnsiTheme="majorEastAsia" w:eastAsiaTheme="majorEastAsia"/>
          <w:sz w:val="22"/>
          <w:szCs w:val="22"/>
        </w:rPr>
        <w:t>本比选项目名称：见比选申请人须知前附表。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1.1.5  </w:t>
      </w:r>
      <w:r>
        <w:rPr>
          <w:rFonts w:hint="eastAsia" w:asciiTheme="majorEastAsia" w:hAnsiTheme="majorEastAsia" w:eastAsiaTheme="majorEastAsia"/>
          <w:sz w:val="22"/>
          <w:szCs w:val="22"/>
        </w:rPr>
        <w:t>本比选项目建设地点：见比选申请人须知前附表。</w:t>
      </w:r>
    </w:p>
    <w:p>
      <w:pPr>
        <w:pStyle w:val="5"/>
        <w:spacing w:before="0" w:line="360" w:lineRule="auto"/>
        <w:rPr>
          <w:rFonts w:cs="Calibri" w:asciiTheme="majorEastAsia" w:hAnsiTheme="majorEastAsia" w:eastAsiaTheme="majorEastAsia"/>
          <w:sz w:val="22"/>
          <w:szCs w:val="22"/>
        </w:rPr>
      </w:pPr>
      <w:bookmarkStart w:id="36" w:name="_Toc44420103"/>
      <w:bookmarkStart w:id="37" w:name="_Toc21791"/>
      <w:bookmarkStart w:id="38" w:name="_Toc44433300"/>
      <w:r>
        <w:rPr>
          <w:rFonts w:asciiTheme="majorEastAsia" w:hAnsiTheme="majorEastAsia" w:eastAsiaTheme="majorEastAsia"/>
          <w:sz w:val="22"/>
          <w:szCs w:val="22"/>
        </w:rPr>
        <w:t xml:space="preserve">1.2  </w:t>
      </w:r>
      <w:r>
        <w:rPr>
          <w:rFonts w:hint="eastAsia" w:cs="宋体" w:asciiTheme="majorEastAsia" w:hAnsiTheme="majorEastAsia" w:eastAsiaTheme="majorEastAsia"/>
          <w:sz w:val="22"/>
          <w:szCs w:val="22"/>
        </w:rPr>
        <w:t>资金来源和落实情况</w:t>
      </w:r>
      <w:bookmarkEnd w:id="36"/>
      <w:bookmarkEnd w:id="37"/>
      <w:bookmarkEnd w:id="38"/>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1.2.1  </w:t>
      </w:r>
      <w:r>
        <w:rPr>
          <w:rFonts w:hint="eastAsia" w:asciiTheme="majorEastAsia" w:hAnsiTheme="majorEastAsia" w:eastAsiaTheme="majorEastAsia"/>
          <w:sz w:val="22"/>
          <w:szCs w:val="22"/>
        </w:rPr>
        <w:t>本比选项目的资金来源：见比选申请人须知前附表。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1.2.2  </w:t>
      </w:r>
      <w:r>
        <w:rPr>
          <w:rFonts w:hint="eastAsia" w:asciiTheme="majorEastAsia" w:hAnsiTheme="majorEastAsia" w:eastAsiaTheme="majorEastAsia"/>
          <w:sz w:val="22"/>
          <w:szCs w:val="22"/>
        </w:rPr>
        <w:t>本比选项目的出资比例：见比选申请人须知前附表。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1.2.3  </w:t>
      </w:r>
      <w:r>
        <w:rPr>
          <w:rFonts w:hint="eastAsia" w:asciiTheme="majorEastAsia" w:hAnsiTheme="majorEastAsia" w:eastAsiaTheme="majorEastAsia"/>
          <w:sz w:val="22"/>
          <w:szCs w:val="22"/>
        </w:rPr>
        <w:t>本比选项目的资金落实情况：见比选申请人须知前附表。</w:t>
      </w:r>
    </w:p>
    <w:p>
      <w:pPr>
        <w:pStyle w:val="5"/>
        <w:spacing w:before="0" w:line="360" w:lineRule="auto"/>
        <w:rPr>
          <w:rFonts w:asciiTheme="majorEastAsia" w:hAnsiTheme="majorEastAsia" w:eastAsiaTheme="majorEastAsia"/>
          <w:sz w:val="22"/>
          <w:szCs w:val="22"/>
        </w:rPr>
      </w:pPr>
      <w:bookmarkStart w:id="39" w:name="_Toc31313"/>
      <w:bookmarkStart w:id="40" w:name="_Toc44433301"/>
      <w:bookmarkStart w:id="41" w:name="_Toc44420104"/>
      <w:r>
        <w:rPr>
          <w:rFonts w:asciiTheme="majorEastAsia" w:hAnsiTheme="majorEastAsia" w:eastAsiaTheme="majorEastAsia"/>
          <w:sz w:val="22"/>
          <w:szCs w:val="22"/>
        </w:rPr>
        <w:t xml:space="preserve">1.3  </w:t>
      </w:r>
      <w:r>
        <w:rPr>
          <w:rFonts w:hint="eastAsia" w:cs="宋体" w:asciiTheme="majorEastAsia" w:hAnsiTheme="majorEastAsia" w:eastAsiaTheme="majorEastAsia"/>
          <w:sz w:val="22"/>
          <w:szCs w:val="22"/>
        </w:rPr>
        <w:t>比选范围、计划工期和质量要求</w:t>
      </w:r>
      <w:bookmarkEnd w:id="39"/>
      <w:bookmarkEnd w:id="40"/>
      <w:bookmarkEnd w:id="41"/>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1.3.1  </w:t>
      </w:r>
      <w:r>
        <w:rPr>
          <w:rFonts w:hint="eastAsia" w:asciiTheme="majorEastAsia" w:hAnsiTheme="majorEastAsia" w:eastAsiaTheme="majorEastAsia"/>
          <w:sz w:val="22"/>
          <w:szCs w:val="22"/>
        </w:rPr>
        <w:t>本次比选范围：见比选申请人须知前附表。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1.3.2  </w:t>
      </w:r>
      <w:r>
        <w:rPr>
          <w:rFonts w:hint="eastAsia" w:asciiTheme="majorEastAsia" w:hAnsiTheme="majorEastAsia" w:eastAsiaTheme="majorEastAsia"/>
          <w:sz w:val="22"/>
          <w:szCs w:val="22"/>
        </w:rPr>
        <w:t>本比选项目的计划工期：见比选申请人须知前附表。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1.3.3  </w:t>
      </w:r>
      <w:r>
        <w:rPr>
          <w:rFonts w:hint="eastAsia" w:asciiTheme="majorEastAsia" w:hAnsiTheme="majorEastAsia" w:eastAsiaTheme="majorEastAsia"/>
          <w:sz w:val="22"/>
          <w:szCs w:val="22"/>
        </w:rPr>
        <w:t>本比选项目的质量要求：见比选申请人须知前附表。</w:t>
      </w:r>
    </w:p>
    <w:p>
      <w:pPr>
        <w:pStyle w:val="5"/>
        <w:spacing w:before="0" w:line="360" w:lineRule="auto"/>
        <w:rPr>
          <w:rFonts w:asciiTheme="majorEastAsia" w:hAnsiTheme="majorEastAsia" w:eastAsiaTheme="majorEastAsia"/>
          <w:sz w:val="22"/>
          <w:szCs w:val="22"/>
        </w:rPr>
      </w:pPr>
      <w:bookmarkStart w:id="42" w:name="_Toc44433302"/>
      <w:bookmarkStart w:id="43" w:name="_Toc10010"/>
      <w:bookmarkStart w:id="44" w:name="_Toc44420105"/>
      <w:r>
        <w:rPr>
          <w:rFonts w:asciiTheme="majorEastAsia" w:hAnsiTheme="majorEastAsia" w:eastAsiaTheme="majorEastAsia"/>
          <w:sz w:val="22"/>
          <w:szCs w:val="22"/>
        </w:rPr>
        <w:t xml:space="preserve">1.4  </w:t>
      </w:r>
      <w:r>
        <w:rPr>
          <w:rFonts w:hint="eastAsia" w:cs="宋体" w:asciiTheme="majorEastAsia" w:hAnsiTheme="majorEastAsia" w:eastAsiaTheme="majorEastAsia"/>
          <w:sz w:val="22"/>
          <w:szCs w:val="22"/>
        </w:rPr>
        <w:t>比选申请人资格要求</w:t>
      </w:r>
      <w:bookmarkEnd w:id="42"/>
      <w:bookmarkEnd w:id="43"/>
      <w:bookmarkEnd w:id="44"/>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1.4.1 </w:t>
      </w:r>
      <w:r>
        <w:rPr>
          <w:rFonts w:hint="eastAsia" w:asciiTheme="majorEastAsia" w:hAnsiTheme="majorEastAsia" w:eastAsiaTheme="majorEastAsia"/>
          <w:sz w:val="22"/>
          <w:szCs w:val="22"/>
        </w:rPr>
        <w:t>比选申请人应具备承担本比选项目的资质条件、能力和信誉：见比选申请人须知前附表；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1.4.2 </w:t>
      </w:r>
      <w:r>
        <w:rPr>
          <w:rFonts w:hint="eastAsia" w:asciiTheme="majorEastAsia" w:hAnsiTheme="majorEastAsia" w:eastAsiaTheme="majorEastAsia"/>
          <w:sz w:val="22"/>
          <w:szCs w:val="22"/>
        </w:rPr>
        <w:t>比选申请人须知前附表规定接受联合体竞选的，除应符合本章第</w:t>
      </w:r>
      <w:r>
        <w:rPr>
          <w:rFonts w:asciiTheme="majorEastAsia" w:hAnsiTheme="majorEastAsia" w:eastAsiaTheme="majorEastAsia"/>
          <w:sz w:val="22"/>
          <w:szCs w:val="22"/>
        </w:rPr>
        <w:t>1.4.1</w:t>
      </w:r>
      <w:r>
        <w:rPr>
          <w:rFonts w:hint="eastAsia" w:asciiTheme="majorEastAsia" w:hAnsiTheme="majorEastAsia" w:eastAsiaTheme="majorEastAsia"/>
          <w:sz w:val="22"/>
          <w:szCs w:val="22"/>
        </w:rPr>
        <w:t>项和比选申请人须知前附表的要求外，还应遵守以下规定：</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）联合体各方应按比选文件提供的格式签订联合体协议书，明确联合体牵头人和各方权利义务；</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）由同一专业的单位组成的联合体，按照资质等级较低的单位确定资质等级；</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）联合体各方不得再以自己名义单独或参加其他联合体在同一标段中竞选。</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1.4.3  </w:t>
      </w:r>
      <w:r>
        <w:rPr>
          <w:rFonts w:hint="eastAsia" w:asciiTheme="majorEastAsia" w:hAnsiTheme="majorEastAsia" w:eastAsiaTheme="majorEastAsia"/>
          <w:sz w:val="22"/>
          <w:szCs w:val="22"/>
        </w:rPr>
        <w:t>比选申请人不得存在下列情形之一：</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）与比选人存在利害关系可能影响招标公正性的法人、其他组织或者个人；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）为本标段前期准备提供设计或咨询服务的，但设计施工总承包的除外；</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）为本标段的监理人；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）为本标段的代建人；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5</w:t>
      </w:r>
      <w:r>
        <w:rPr>
          <w:rFonts w:hint="eastAsia" w:asciiTheme="majorEastAsia" w:hAnsiTheme="majorEastAsia" w:eastAsiaTheme="majorEastAsia"/>
          <w:sz w:val="22"/>
          <w:szCs w:val="22"/>
        </w:rPr>
        <w:t>）为本标段提供招标代理服务的；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6</w:t>
      </w:r>
      <w:r>
        <w:rPr>
          <w:rFonts w:hint="eastAsia" w:asciiTheme="majorEastAsia" w:hAnsiTheme="majorEastAsia" w:eastAsiaTheme="majorEastAsia"/>
          <w:sz w:val="22"/>
          <w:szCs w:val="22"/>
        </w:rPr>
        <w:t>）与本标段的监理人或代建人或招标代理机构同为一个法定代表人的；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7</w:t>
      </w:r>
      <w:r>
        <w:rPr>
          <w:rFonts w:hint="eastAsia" w:asciiTheme="majorEastAsia" w:hAnsiTheme="majorEastAsia" w:eastAsiaTheme="majorEastAsia"/>
          <w:sz w:val="22"/>
          <w:szCs w:val="22"/>
        </w:rPr>
        <w:t>）与本标段的监理人或代建人或招标代理机构相互控股或参股的；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8</w:t>
      </w:r>
      <w:r>
        <w:rPr>
          <w:rFonts w:hint="eastAsia" w:asciiTheme="majorEastAsia" w:hAnsiTheme="majorEastAsia" w:eastAsiaTheme="majorEastAsia"/>
          <w:sz w:val="22"/>
          <w:szCs w:val="22"/>
        </w:rPr>
        <w:t>）与本标段的监理人或代建人或招标代理机构相互任职或工作的；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9</w:t>
      </w:r>
      <w:r>
        <w:rPr>
          <w:rFonts w:hint="eastAsia" w:asciiTheme="majorEastAsia" w:hAnsiTheme="majorEastAsia" w:eastAsiaTheme="majorEastAsia"/>
          <w:sz w:val="22"/>
          <w:szCs w:val="22"/>
        </w:rPr>
        <w:t>）被责令停业的；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10</w:t>
      </w:r>
      <w:r>
        <w:rPr>
          <w:rFonts w:hint="eastAsia" w:asciiTheme="majorEastAsia" w:hAnsiTheme="majorEastAsia" w:eastAsiaTheme="majorEastAsia"/>
          <w:sz w:val="22"/>
          <w:szCs w:val="22"/>
        </w:rPr>
        <w:t>）被暂停或取消投标资格的；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11</w:t>
      </w:r>
      <w:r>
        <w:rPr>
          <w:rFonts w:hint="eastAsia" w:asciiTheme="majorEastAsia" w:hAnsiTheme="majorEastAsia" w:eastAsiaTheme="majorEastAsia"/>
          <w:sz w:val="22"/>
          <w:szCs w:val="22"/>
        </w:rPr>
        <w:t>）财产被接管或冻结的；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12</w:t>
      </w:r>
      <w:r>
        <w:rPr>
          <w:rFonts w:hint="eastAsia" w:asciiTheme="majorEastAsia" w:hAnsiTheme="majorEastAsia" w:eastAsiaTheme="majorEastAsia"/>
          <w:sz w:val="22"/>
          <w:szCs w:val="22"/>
        </w:rPr>
        <w:t>）单位负责人为同一人或者存在控股、管理关系的不同单位，在同一标段中同时竞选。</w:t>
      </w:r>
    </w:p>
    <w:p>
      <w:pPr>
        <w:pStyle w:val="5"/>
        <w:spacing w:before="0" w:line="360" w:lineRule="auto"/>
        <w:rPr>
          <w:rFonts w:asciiTheme="majorEastAsia" w:hAnsiTheme="majorEastAsia" w:eastAsiaTheme="majorEastAsia"/>
          <w:sz w:val="22"/>
          <w:szCs w:val="22"/>
        </w:rPr>
      </w:pPr>
      <w:bookmarkStart w:id="45" w:name="_Toc44420106"/>
      <w:bookmarkStart w:id="46" w:name="_Toc44433303"/>
      <w:bookmarkStart w:id="47" w:name="_Toc26006"/>
      <w:r>
        <w:rPr>
          <w:rFonts w:asciiTheme="majorEastAsia" w:hAnsiTheme="majorEastAsia" w:eastAsiaTheme="majorEastAsia"/>
          <w:sz w:val="22"/>
          <w:szCs w:val="22"/>
        </w:rPr>
        <w:t xml:space="preserve">1.5  </w:t>
      </w:r>
      <w:r>
        <w:rPr>
          <w:rFonts w:hint="eastAsia" w:cs="宋体" w:asciiTheme="majorEastAsia" w:hAnsiTheme="majorEastAsia" w:eastAsiaTheme="majorEastAsia"/>
          <w:sz w:val="22"/>
          <w:szCs w:val="22"/>
        </w:rPr>
        <w:t>费用承担</w:t>
      </w:r>
      <w:bookmarkEnd w:id="45"/>
      <w:bookmarkEnd w:id="46"/>
      <w:bookmarkEnd w:id="47"/>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比选申请人准备和参加竞选活动发生的费用自理。</w:t>
      </w:r>
    </w:p>
    <w:p>
      <w:pPr>
        <w:pStyle w:val="5"/>
        <w:spacing w:before="0" w:line="360" w:lineRule="auto"/>
        <w:rPr>
          <w:rFonts w:asciiTheme="majorEastAsia" w:hAnsiTheme="majorEastAsia" w:eastAsiaTheme="majorEastAsia"/>
          <w:sz w:val="22"/>
          <w:szCs w:val="22"/>
        </w:rPr>
      </w:pPr>
      <w:bookmarkStart w:id="48" w:name="_Toc44433304"/>
      <w:bookmarkStart w:id="49" w:name="_Toc44420107"/>
      <w:bookmarkStart w:id="50" w:name="_Toc19917"/>
      <w:r>
        <w:rPr>
          <w:rFonts w:asciiTheme="majorEastAsia" w:hAnsiTheme="majorEastAsia" w:eastAsiaTheme="majorEastAsia"/>
          <w:sz w:val="22"/>
          <w:szCs w:val="22"/>
        </w:rPr>
        <w:t xml:space="preserve">1.6  </w:t>
      </w:r>
      <w:r>
        <w:rPr>
          <w:rFonts w:hint="eastAsia" w:cs="宋体" w:asciiTheme="majorEastAsia" w:hAnsiTheme="majorEastAsia" w:eastAsiaTheme="majorEastAsia"/>
          <w:sz w:val="22"/>
          <w:szCs w:val="22"/>
        </w:rPr>
        <w:t>保密</w:t>
      </w:r>
      <w:bookmarkEnd w:id="48"/>
      <w:bookmarkEnd w:id="49"/>
      <w:bookmarkEnd w:id="50"/>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参与竞选活动的各方应对比选文件和比选申请文件中的商业和技术等秘密保密，违者应对由此造成的后果承担法律责任。</w:t>
      </w:r>
    </w:p>
    <w:p>
      <w:pPr>
        <w:pStyle w:val="5"/>
        <w:spacing w:before="0" w:line="360" w:lineRule="auto"/>
        <w:rPr>
          <w:rFonts w:asciiTheme="majorEastAsia" w:hAnsiTheme="majorEastAsia" w:eastAsiaTheme="majorEastAsia"/>
          <w:sz w:val="22"/>
          <w:szCs w:val="22"/>
        </w:rPr>
      </w:pPr>
      <w:bookmarkStart w:id="51" w:name="_Toc5014"/>
      <w:bookmarkStart w:id="52" w:name="_Toc44420108"/>
      <w:bookmarkStart w:id="53" w:name="_Toc44433305"/>
      <w:r>
        <w:rPr>
          <w:rFonts w:asciiTheme="majorEastAsia" w:hAnsiTheme="majorEastAsia" w:eastAsiaTheme="majorEastAsia"/>
          <w:sz w:val="22"/>
          <w:szCs w:val="22"/>
        </w:rPr>
        <w:t xml:space="preserve">1.7  </w:t>
      </w:r>
      <w:r>
        <w:rPr>
          <w:rFonts w:hint="eastAsia" w:cs="宋体" w:asciiTheme="majorEastAsia" w:hAnsiTheme="majorEastAsia" w:eastAsiaTheme="majorEastAsia"/>
          <w:sz w:val="22"/>
          <w:szCs w:val="22"/>
        </w:rPr>
        <w:t>语言文字</w:t>
      </w:r>
      <w:bookmarkEnd w:id="51"/>
      <w:bookmarkEnd w:id="52"/>
      <w:bookmarkEnd w:id="53"/>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除专用术语外，与招标投标有关的语言均使用中文。必要时专用术语应附有中文注释。</w:t>
      </w:r>
    </w:p>
    <w:p>
      <w:pPr>
        <w:pStyle w:val="5"/>
        <w:spacing w:before="0" w:line="360" w:lineRule="auto"/>
        <w:rPr>
          <w:rFonts w:asciiTheme="majorEastAsia" w:hAnsiTheme="majorEastAsia" w:eastAsiaTheme="majorEastAsia"/>
          <w:sz w:val="22"/>
          <w:szCs w:val="22"/>
        </w:rPr>
      </w:pPr>
      <w:bookmarkStart w:id="54" w:name="_Toc19106"/>
      <w:bookmarkStart w:id="55" w:name="_Toc44420109"/>
      <w:bookmarkStart w:id="56" w:name="_Toc44433306"/>
      <w:r>
        <w:rPr>
          <w:rFonts w:asciiTheme="majorEastAsia" w:hAnsiTheme="majorEastAsia" w:eastAsiaTheme="majorEastAsia"/>
          <w:sz w:val="22"/>
          <w:szCs w:val="22"/>
        </w:rPr>
        <w:t xml:space="preserve">1.8  </w:t>
      </w:r>
      <w:r>
        <w:rPr>
          <w:rFonts w:hint="eastAsia" w:cs="宋体" w:asciiTheme="majorEastAsia" w:hAnsiTheme="majorEastAsia" w:eastAsiaTheme="majorEastAsia"/>
          <w:sz w:val="22"/>
          <w:szCs w:val="22"/>
        </w:rPr>
        <w:t>计量单位</w:t>
      </w:r>
      <w:bookmarkEnd w:id="54"/>
      <w:bookmarkEnd w:id="55"/>
      <w:bookmarkEnd w:id="56"/>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所有计量均采用中华人民共和国法定计量单位。</w:t>
      </w:r>
    </w:p>
    <w:p>
      <w:pPr>
        <w:pStyle w:val="5"/>
        <w:spacing w:before="0" w:line="360" w:lineRule="auto"/>
        <w:rPr>
          <w:rFonts w:asciiTheme="majorEastAsia" w:hAnsiTheme="majorEastAsia" w:eastAsiaTheme="majorEastAsia"/>
          <w:sz w:val="22"/>
          <w:szCs w:val="22"/>
        </w:rPr>
      </w:pPr>
      <w:bookmarkStart w:id="57" w:name="_Toc16694"/>
      <w:bookmarkStart w:id="58" w:name="_Toc44420110"/>
      <w:bookmarkStart w:id="59" w:name="_Toc44433307"/>
      <w:r>
        <w:rPr>
          <w:rFonts w:asciiTheme="majorEastAsia" w:hAnsiTheme="majorEastAsia" w:eastAsiaTheme="majorEastAsia"/>
          <w:sz w:val="22"/>
          <w:szCs w:val="22"/>
        </w:rPr>
        <w:t xml:space="preserve">1.9  </w:t>
      </w:r>
      <w:r>
        <w:rPr>
          <w:rFonts w:hint="eastAsia" w:cs="宋体" w:asciiTheme="majorEastAsia" w:hAnsiTheme="majorEastAsia" w:eastAsiaTheme="majorEastAsia"/>
          <w:sz w:val="22"/>
          <w:szCs w:val="22"/>
        </w:rPr>
        <w:t>踏勘现场</w:t>
      </w:r>
      <w:bookmarkEnd w:id="57"/>
      <w:bookmarkEnd w:id="58"/>
      <w:bookmarkEnd w:id="59"/>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1.9.1  </w:t>
      </w:r>
      <w:r>
        <w:rPr>
          <w:rFonts w:hint="eastAsia" w:asciiTheme="majorEastAsia" w:hAnsiTheme="majorEastAsia" w:eastAsiaTheme="majorEastAsia"/>
          <w:sz w:val="22"/>
          <w:szCs w:val="22"/>
        </w:rPr>
        <w:t>比选申请人须知前附表规定组织踏勘现场的，比选人按比选申请人须知前附表规定的时间、</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地点组织比选申请人踏勘项目现场。</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1.9.2  </w:t>
      </w:r>
      <w:r>
        <w:rPr>
          <w:rFonts w:hint="eastAsia" w:asciiTheme="majorEastAsia" w:hAnsiTheme="majorEastAsia" w:eastAsiaTheme="majorEastAsia"/>
          <w:sz w:val="22"/>
          <w:szCs w:val="22"/>
        </w:rPr>
        <w:t>比选申请人踏勘现场发生的费用自理。</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1.9.3  </w:t>
      </w:r>
      <w:r>
        <w:rPr>
          <w:rFonts w:hint="eastAsia" w:asciiTheme="majorEastAsia" w:hAnsiTheme="majorEastAsia" w:eastAsiaTheme="majorEastAsia"/>
          <w:sz w:val="22"/>
          <w:szCs w:val="22"/>
        </w:rPr>
        <w:t>除比选人的原因外，比选申请人自行负责在踏勘现场中所发生的人员伤亡和财产损失。</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1.9.4  </w:t>
      </w:r>
      <w:r>
        <w:rPr>
          <w:rFonts w:hint="eastAsia" w:asciiTheme="majorEastAsia" w:hAnsiTheme="majorEastAsia" w:eastAsiaTheme="majorEastAsia"/>
          <w:sz w:val="22"/>
          <w:szCs w:val="22"/>
        </w:rPr>
        <w:t>比选人在踏勘现场中介绍的工程场地和相关的周边环境情况，供比选申请人在编制投</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标文件时参考，比选人不对比选申请人据此做出的判断和决策负责。</w:t>
      </w:r>
    </w:p>
    <w:p>
      <w:pPr>
        <w:pStyle w:val="5"/>
        <w:spacing w:before="0" w:line="360" w:lineRule="auto"/>
        <w:rPr>
          <w:rFonts w:asciiTheme="majorEastAsia" w:hAnsiTheme="majorEastAsia" w:eastAsiaTheme="majorEastAsia"/>
          <w:sz w:val="22"/>
          <w:szCs w:val="22"/>
        </w:rPr>
      </w:pPr>
      <w:bookmarkStart w:id="60" w:name="_Toc11142"/>
      <w:bookmarkStart w:id="61" w:name="_Toc44433308"/>
      <w:bookmarkStart w:id="62" w:name="_Toc44420111"/>
      <w:r>
        <w:rPr>
          <w:rFonts w:asciiTheme="majorEastAsia" w:hAnsiTheme="majorEastAsia" w:eastAsiaTheme="majorEastAsia"/>
          <w:sz w:val="22"/>
          <w:szCs w:val="22"/>
        </w:rPr>
        <w:t xml:space="preserve">1.10  </w:t>
      </w:r>
      <w:r>
        <w:rPr>
          <w:rFonts w:hint="eastAsia" w:cs="宋体" w:asciiTheme="majorEastAsia" w:hAnsiTheme="majorEastAsia" w:eastAsiaTheme="majorEastAsia"/>
          <w:sz w:val="22"/>
          <w:szCs w:val="22"/>
        </w:rPr>
        <w:t>比选申请预备会</w:t>
      </w:r>
      <w:bookmarkEnd w:id="60"/>
      <w:bookmarkEnd w:id="61"/>
      <w:bookmarkEnd w:id="62"/>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1.10.1  </w:t>
      </w:r>
      <w:r>
        <w:rPr>
          <w:rFonts w:hint="eastAsia" w:asciiTheme="majorEastAsia" w:hAnsiTheme="majorEastAsia" w:eastAsiaTheme="majorEastAsia"/>
          <w:sz w:val="22"/>
          <w:szCs w:val="22"/>
        </w:rPr>
        <w:t>比选申请人须知前附表规定召开比选申请预备会的，比选人按比选申请人须知前附表规定的时间和地点召开比选申请预备会，澄清比选申请人提出的问题。</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1.10.2  </w:t>
      </w:r>
      <w:r>
        <w:rPr>
          <w:rFonts w:hint="eastAsia" w:asciiTheme="majorEastAsia" w:hAnsiTheme="majorEastAsia" w:eastAsiaTheme="majorEastAsia"/>
          <w:sz w:val="22"/>
          <w:szCs w:val="22"/>
        </w:rPr>
        <w:t>比选申请人应在比选申请人须知前附表规定的时间前，以书面形式将提出的问题送达比选人，以便比选人在会议期间澄清。</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1.10.3  </w:t>
      </w:r>
      <w:r>
        <w:rPr>
          <w:rFonts w:hint="eastAsia" w:asciiTheme="majorEastAsia" w:hAnsiTheme="majorEastAsia" w:eastAsiaTheme="majorEastAsia"/>
          <w:sz w:val="22"/>
          <w:szCs w:val="22"/>
        </w:rPr>
        <w:t>比选申请预备会后，比选人在比选申请人须知前附表规定的时间内，将对比选申请人所提问题的澄清，以书面方式通知所有购买比选文件的比选申请人。该澄清内容为比选文件的组成部分。</w:t>
      </w:r>
    </w:p>
    <w:p>
      <w:pPr>
        <w:pStyle w:val="5"/>
        <w:spacing w:before="0" w:line="360" w:lineRule="auto"/>
        <w:rPr>
          <w:rFonts w:asciiTheme="majorEastAsia" w:hAnsiTheme="majorEastAsia" w:eastAsiaTheme="majorEastAsia"/>
          <w:sz w:val="22"/>
          <w:szCs w:val="22"/>
        </w:rPr>
      </w:pPr>
      <w:bookmarkStart w:id="63" w:name="_Toc44433309"/>
      <w:bookmarkStart w:id="64" w:name="_Toc24288"/>
      <w:bookmarkStart w:id="65" w:name="_Toc44420112"/>
      <w:r>
        <w:rPr>
          <w:rFonts w:asciiTheme="majorEastAsia" w:hAnsiTheme="majorEastAsia" w:eastAsiaTheme="majorEastAsia"/>
          <w:sz w:val="22"/>
          <w:szCs w:val="22"/>
        </w:rPr>
        <w:t xml:space="preserve">1.11  </w:t>
      </w:r>
      <w:r>
        <w:rPr>
          <w:rFonts w:hint="eastAsia" w:cs="宋体" w:asciiTheme="majorEastAsia" w:hAnsiTheme="majorEastAsia" w:eastAsiaTheme="majorEastAsia"/>
          <w:sz w:val="22"/>
          <w:szCs w:val="22"/>
        </w:rPr>
        <w:t>分包</w:t>
      </w:r>
      <w:bookmarkEnd w:id="63"/>
      <w:bookmarkEnd w:id="64"/>
      <w:bookmarkEnd w:id="65"/>
    </w:p>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比选申请人拟在中选后将中选项目的部分非主体、非关键性工作进行分包的，应符合比选申请人须知前附表规定的分包内容、分包金额和接受分包的第三人资质要求等限制性条件。</w:t>
      </w:r>
    </w:p>
    <w:p>
      <w:pPr>
        <w:pStyle w:val="5"/>
        <w:spacing w:before="0" w:line="360" w:lineRule="auto"/>
        <w:rPr>
          <w:rFonts w:asciiTheme="majorEastAsia" w:hAnsiTheme="majorEastAsia" w:eastAsiaTheme="majorEastAsia"/>
          <w:sz w:val="22"/>
          <w:szCs w:val="22"/>
        </w:rPr>
      </w:pPr>
      <w:bookmarkStart w:id="66" w:name="_Toc6306"/>
      <w:bookmarkStart w:id="67" w:name="_Toc44420113"/>
      <w:bookmarkStart w:id="68" w:name="_Toc44433310"/>
      <w:r>
        <w:rPr>
          <w:rFonts w:asciiTheme="majorEastAsia" w:hAnsiTheme="majorEastAsia" w:eastAsiaTheme="majorEastAsia"/>
          <w:sz w:val="22"/>
          <w:szCs w:val="22"/>
        </w:rPr>
        <w:t xml:space="preserve">1.12  </w:t>
      </w:r>
      <w:r>
        <w:rPr>
          <w:rFonts w:hint="eastAsia" w:cs="宋体" w:asciiTheme="majorEastAsia" w:hAnsiTheme="majorEastAsia" w:eastAsiaTheme="majorEastAsia"/>
          <w:sz w:val="22"/>
          <w:szCs w:val="22"/>
        </w:rPr>
        <w:t>偏离</w:t>
      </w:r>
      <w:bookmarkEnd w:id="66"/>
      <w:bookmarkEnd w:id="67"/>
      <w:bookmarkEnd w:id="68"/>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比选申请人须知前附表允许比选申请文件偏离比选文件某些要求的，偏离应当符合比选文件规定</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的偏离范围和幅度。</w:t>
      </w:r>
    </w:p>
    <w:p>
      <w:pPr>
        <w:pStyle w:val="4"/>
        <w:rPr>
          <w:rFonts w:cs="宋体" w:asciiTheme="majorEastAsia" w:hAnsiTheme="majorEastAsia" w:eastAsiaTheme="majorEastAsia"/>
          <w:spacing w:val="0"/>
          <w:w w:val="100"/>
          <w:sz w:val="22"/>
          <w:szCs w:val="22"/>
        </w:rPr>
      </w:pPr>
      <w:bookmarkStart w:id="69" w:name="_Toc13248"/>
      <w:bookmarkEnd w:id="69"/>
      <w:bookmarkStart w:id="70" w:name="_Toc44420114"/>
      <w:bookmarkStart w:id="71" w:name="_Toc12731220"/>
      <w:bookmarkStart w:id="72" w:name="_Toc12727413"/>
      <w:bookmarkStart w:id="73" w:name="_Toc2083214"/>
      <w:bookmarkStart w:id="74" w:name="_Toc12255"/>
      <w:bookmarkStart w:id="75" w:name="_Toc44433311"/>
      <w:bookmarkStart w:id="76" w:name="_Toc12731757"/>
      <w:bookmarkStart w:id="77" w:name="_Toc14524560"/>
      <w:r>
        <w:rPr>
          <w:rFonts w:hint="eastAsia" w:cs="宋体" w:asciiTheme="majorEastAsia" w:hAnsiTheme="majorEastAsia" w:eastAsiaTheme="majorEastAsia"/>
          <w:spacing w:val="0"/>
          <w:w w:val="100"/>
          <w:sz w:val="22"/>
          <w:szCs w:val="22"/>
        </w:rPr>
        <w:t>2.  比选文件</w:t>
      </w:r>
      <w:bookmarkEnd w:id="70"/>
      <w:bookmarkEnd w:id="71"/>
      <w:bookmarkEnd w:id="72"/>
      <w:bookmarkEnd w:id="73"/>
      <w:bookmarkEnd w:id="74"/>
      <w:bookmarkEnd w:id="75"/>
      <w:bookmarkEnd w:id="76"/>
      <w:bookmarkEnd w:id="77"/>
    </w:p>
    <w:p>
      <w:pPr>
        <w:pStyle w:val="5"/>
        <w:spacing w:before="0" w:line="360" w:lineRule="auto"/>
        <w:rPr>
          <w:rFonts w:asciiTheme="majorEastAsia" w:hAnsiTheme="majorEastAsia" w:eastAsiaTheme="majorEastAsia"/>
          <w:sz w:val="22"/>
          <w:szCs w:val="22"/>
        </w:rPr>
      </w:pPr>
      <w:bookmarkStart w:id="78" w:name="_Toc7377"/>
      <w:bookmarkStart w:id="79" w:name="_Toc44433312"/>
      <w:bookmarkStart w:id="80" w:name="_Toc44420115"/>
      <w:r>
        <w:rPr>
          <w:rFonts w:asciiTheme="majorEastAsia" w:hAnsiTheme="majorEastAsia" w:eastAsiaTheme="majorEastAsia"/>
          <w:sz w:val="22"/>
          <w:szCs w:val="22"/>
        </w:rPr>
        <w:t xml:space="preserve">2.1  </w:t>
      </w:r>
      <w:r>
        <w:rPr>
          <w:rFonts w:hint="eastAsia" w:cs="宋体" w:asciiTheme="majorEastAsia" w:hAnsiTheme="majorEastAsia" w:eastAsiaTheme="majorEastAsia"/>
          <w:sz w:val="22"/>
          <w:szCs w:val="22"/>
        </w:rPr>
        <w:t>比选文件的组成</w:t>
      </w:r>
      <w:bookmarkEnd w:id="78"/>
      <w:bookmarkEnd w:id="79"/>
      <w:bookmarkEnd w:id="80"/>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本比选文件包括：</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）比选公告（或比选申请邀请函）；</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）比选申请人须知；</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）评审办法；</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）合同条款及格式；</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5</w:t>
      </w:r>
      <w:r>
        <w:rPr>
          <w:rFonts w:hint="eastAsia" w:asciiTheme="majorEastAsia" w:hAnsiTheme="majorEastAsia" w:eastAsiaTheme="majorEastAsia"/>
          <w:sz w:val="22"/>
          <w:szCs w:val="22"/>
        </w:rPr>
        <w:t>）工程量清单（无）；</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6</w:t>
      </w:r>
      <w:r>
        <w:rPr>
          <w:rFonts w:hint="eastAsia" w:asciiTheme="majorEastAsia" w:hAnsiTheme="majorEastAsia" w:eastAsiaTheme="majorEastAsia"/>
          <w:sz w:val="22"/>
          <w:szCs w:val="22"/>
        </w:rPr>
        <w:t>）图纸；</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7</w:t>
      </w:r>
      <w:r>
        <w:rPr>
          <w:rFonts w:hint="eastAsia" w:asciiTheme="majorEastAsia" w:hAnsiTheme="majorEastAsia" w:eastAsiaTheme="majorEastAsia"/>
          <w:sz w:val="22"/>
          <w:szCs w:val="22"/>
        </w:rPr>
        <w:t>）技术标准和要求；</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8</w:t>
      </w:r>
      <w:r>
        <w:rPr>
          <w:rFonts w:hint="eastAsia" w:asciiTheme="majorEastAsia" w:hAnsiTheme="majorEastAsia" w:eastAsiaTheme="majorEastAsia"/>
          <w:sz w:val="22"/>
          <w:szCs w:val="22"/>
        </w:rPr>
        <w:t>）比选申请文件格式；</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9</w:t>
      </w:r>
      <w:r>
        <w:rPr>
          <w:rFonts w:hint="eastAsia" w:asciiTheme="majorEastAsia" w:hAnsiTheme="majorEastAsia" w:eastAsiaTheme="majorEastAsia"/>
          <w:sz w:val="22"/>
          <w:szCs w:val="22"/>
        </w:rPr>
        <w:t>）比选申请人须知前附表规定的其他材料。</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根据本章第</w:t>
      </w:r>
      <w:r>
        <w:rPr>
          <w:rFonts w:asciiTheme="majorEastAsia" w:hAnsiTheme="majorEastAsia" w:eastAsiaTheme="majorEastAsia"/>
          <w:sz w:val="22"/>
          <w:szCs w:val="22"/>
        </w:rPr>
        <w:t>1.10</w:t>
      </w:r>
      <w:r>
        <w:rPr>
          <w:rFonts w:hint="eastAsia" w:asciiTheme="majorEastAsia" w:hAnsiTheme="majorEastAsia" w:eastAsiaTheme="majorEastAsia"/>
          <w:sz w:val="22"/>
          <w:szCs w:val="22"/>
        </w:rPr>
        <w:t>款、第</w:t>
      </w:r>
      <w:r>
        <w:rPr>
          <w:rFonts w:asciiTheme="majorEastAsia" w:hAnsiTheme="majorEastAsia" w:eastAsiaTheme="majorEastAsia"/>
          <w:sz w:val="22"/>
          <w:szCs w:val="22"/>
        </w:rPr>
        <w:t>2.2</w:t>
      </w:r>
      <w:r>
        <w:rPr>
          <w:rFonts w:hint="eastAsia" w:asciiTheme="majorEastAsia" w:hAnsiTheme="majorEastAsia" w:eastAsiaTheme="majorEastAsia"/>
          <w:sz w:val="22"/>
          <w:szCs w:val="22"/>
        </w:rPr>
        <w:t>款和第</w:t>
      </w:r>
      <w:r>
        <w:rPr>
          <w:rFonts w:asciiTheme="majorEastAsia" w:hAnsiTheme="majorEastAsia" w:eastAsiaTheme="majorEastAsia"/>
          <w:sz w:val="22"/>
          <w:szCs w:val="22"/>
        </w:rPr>
        <w:t>2.3</w:t>
      </w:r>
      <w:r>
        <w:rPr>
          <w:rFonts w:hint="eastAsia" w:asciiTheme="majorEastAsia" w:hAnsiTheme="majorEastAsia" w:eastAsiaTheme="majorEastAsia"/>
          <w:sz w:val="22"/>
          <w:szCs w:val="22"/>
        </w:rPr>
        <w:t>款对比选文件所作的澄清、修改，构成比选文件的组成部分。</w:t>
      </w:r>
    </w:p>
    <w:p>
      <w:pPr>
        <w:pStyle w:val="5"/>
        <w:spacing w:before="0" w:line="360" w:lineRule="auto"/>
        <w:rPr>
          <w:rFonts w:asciiTheme="majorEastAsia" w:hAnsiTheme="majorEastAsia" w:eastAsiaTheme="majorEastAsia"/>
          <w:sz w:val="22"/>
          <w:szCs w:val="22"/>
        </w:rPr>
      </w:pPr>
      <w:bookmarkStart w:id="81" w:name="_Toc44420116"/>
      <w:bookmarkStart w:id="82" w:name="_Toc44433313"/>
      <w:bookmarkStart w:id="83" w:name="_Toc32111"/>
      <w:r>
        <w:rPr>
          <w:rFonts w:asciiTheme="majorEastAsia" w:hAnsiTheme="majorEastAsia" w:eastAsiaTheme="majorEastAsia"/>
          <w:sz w:val="22"/>
          <w:szCs w:val="22"/>
        </w:rPr>
        <w:t xml:space="preserve">2.2  </w:t>
      </w:r>
      <w:r>
        <w:rPr>
          <w:rFonts w:hint="eastAsia" w:cs="宋体" w:asciiTheme="majorEastAsia" w:hAnsiTheme="majorEastAsia" w:eastAsiaTheme="majorEastAsia"/>
          <w:sz w:val="22"/>
          <w:szCs w:val="22"/>
        </w:rPr>
        <w:t>比选文件的澄清</w:t>
      </w:r>
      <w:bookmarkEnd w:id="81"/>
      <w:bookmarkEnd w:id="82"/>
      <w:bookmarkEnd w:id="83"/>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2.2.1  </w:t>
      </w:r>
      <w:r>
        <w:rPr>
          <w:rFonts w:hint="eastAsia" w:asciiTheme="majorEastAsia" w:hAnsiTheme="majorEastAsia" w:eastAsiaTheme="majorEastAsia"/>
          <w:sz w:val="22"/>
          <w:szCs w:val="22"/>
        </w:rPr>
        <w:t>比选申请人应仔细阅读和检查比选文件的全部内容。如发现缺页或附件不全，应及时向比选人提出，以便补齐。如有疑问，应在比选申请人须知前附表规定的时间前以书面形式（包括信函、电报、传真等可以有形地表现所载内容的形式，下同），要求比选人对比选文件予以澄清。</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2.2.2  </w:t>
      </w:r>
      <w:r>
        <w:rPr>
          <w:rFonts w:hint="eastAsia" w:asciiTheme="majorEastAsia" w:hAnsiTheme="majorEastAsia" w:eastAsiaTheme="majorEastAsia"/>
          <w:sz w:val="22"/>
          <w:szCs w:val="22"/>
        </w:rPr>
        <w:t>比选文件的澄清将在比选申请人须知前附表规定的比选申请截止时间前在比选公告发布的网站发布，但不指明澄清问题的来源。</w:t>
      </w:r>
    </w:p>
    <w:p>
      <w:pPr>
        <w:pStyle w:val="5"/>
        <w:spacing w:before="0" w:line="360" w:lineRule="auto"/>
        <w:rPr>
          <w:rFonts w:asciiTheme="majorEastAsia" w:hAnsiTheme="majorEastAsia" w:eastAsiaTheme="majorEastAsia"/>
          <w:sz w:val="22"/>
          <w:szCs w:val="22"/>
        </w:rPr>
      </w:pPr>
      <w:bookmarkStart w:id="84" w:name="_Toc26342"/>
      <w:bookmarkStart w:id="85" w:name="_Toc44433314"/>
      <w:bookmarkStart w:id="86" w:name="_Toc44420117"/>
      <w:r>
        <w:rPr>
          <w:rFonts w:asciiTheme="majorEastAsia" w:hAnsiTheme="majorEastAsia" w:eastAsiaTheme="majorEastAsia"/>
          <w:sz w:val="22"/>
          <w:szCs w:val="22"/>
        </w:rPr>
        <w:t xml:space="preserve">2.3  </w:t>
      </w:r>
      <w:r>
        <w:rPr>
          <w:rFonts w:hint="eastAsia" w:cs="宋体" w:asciiTheme="majorEastAsia" w:hAnsiTheme="majorEastAsia" w:eastAsiaTheme="majorEastAsia"/>
          <w:sz w:val="22"/>
          <w:szCs w:val="22"/>
        </w:rPr>
        <w:t>比选文件的修改</w:t>
      </w:r>
      <w:bookmarkEnd w:id="84"/>
      <w:bookmarkEnd w:id="85"/>
      <w:bookmarkEnd w:id="86"/>
    </w:p>
    <w:p>
      <w:pPr>
        <w:spacing w:line="360" w:lineRule="auto"/>
        <w:ind w:firstLine="440"/>
        <w:rPr>
          <w:rFonts w:asciiTheme="majorEastAsia" w:hAnsiTheme="majorEastAsia" w:eastAsiaTheme="majorEastAsia"/>
          <w:sz w:val="22"/>
          <w:szCs w:val="22"/>
        </w:rPr>
      </w:pPr>
      <w:bookmarkStart w:id="87" w:name="_Toc2452"/>
      <w:bookmarkEnd w:id="87"/>
      <w:bookmarkStart w:id="88" w:name="_Toc17275"/>
      <w:bookmarkStart w:id="89" w:name="_Toc12731758"/>
      <w:bookmarkStart w:id="90" w:name="_Toc2083215"/>
      <w:bookmarkStart w:id="91" w:name="_Toc14524561"/>
      <w:bookmarkStart w:id="92" w:name="_Toc44420118"/>
      <w:bookmarkStart w:id="93" w:name="_Toc44433315"/>
      <w:bookmarkStart w:id="94" w:name="_Toc12731221"/>
      <w:bookmarkStart w:id="95" w:name="_Toc12727414"/>
      <w:r>
        <w:rPr>
          <w:rFonts w:hint="eastAsia" w:asciiTheme="majorEastAsia" w:hAnsiTheme="majorEastAsia" w:eastAsiaTheme="majorEastAsia"/>
          <w:sz w:val="22"/>
          <w:szCs w:val="22"/>
        </w:rPr>
        <w:t>按照本章2.2.2比选文件的澄清相关内容及方式执行。</w:t>
      </w:r>
    </w:p>
    <w:p>
      <w:pPr>
        <w:pStyle w:val="4"/>
        <w:rPr>
          <w:rFonts w:cs="宋体" w:asciiTheme="majorEastAsia" w:hAnsiTheme="majorEastAsia" w:eastAsiaTheme="majorEastAsia"/>
          <w:spacing w:val="0"/>
          <w:w w:val="100"/>
          <w:sz w:val="22"/>
          <w:szCs w:val="22"/>
        </w:rPr>
      </w:pPr>
      <w:r>
        <w:rPr>
          <w:rFonts w:hint="eastAsia" w:cs="宋体" w:asciiTheme="majorEastAsia" w:hAnsiTheme="majorEastAsia" w:eastAsiaTheme="majorEastAsia"/>
          <w:spacing w:val="0"/>
          <w:w w:val="100"/>
          <w:sz w:val="22"/>
          <w:szCs w:val="22"/>
        </w:rPr>
        <w:t>3.  比选申请文件</w:t>
      </w:r>
      <w:bookmarkEnd w:id="88"/>
      <w:bookmarkEnd w:id="89"/>
      <w:bookmarkEnd w:id="90"/>
      <w:bookmarkEnd w:id="91"/>
      <w:bookmarkEnd w:id="92"/>
      <w:bookmarkEnd w:id="93"/>
      <w:bookmarkEnd w:id="94"/>
      <w:bookmarkEnd w:id="95"/>
    </w:p>
    <w:p>
      <w:pPr>
        <w:pStyle w:val="5"/>
        <w:spacing w:before="0" w:line="360" w:lineRule="auto"/>
        <w:rPr>
          <w:rFonts w:asciiTheme="majorEastAsia" w:hAnsiTheme="majorEastAsia" w:eastAsiaTheme="majorEastAsia"/>
          <w:sz w:val="22"/>
          <w:szCs w:val="22"/>
        </w:rPr>
      </w:pPr>
      <w:bookmarkStart w:id="96" w:name="_Toc44433316"/>
      <w:bookmarkStart w:id="97" w:name="_Toc44420119"/>
      <w:bookmarkStart w:id="98" w:name="_Toc29182"/>
      <w:r>
        <w:rPr>
          <w:rFonts w:asciiTheme="majorEastAsia" w:hAnsiTheme="majorEastAsia" w:eastAsiaTheme="majorEastAsia"/>
          <w:sz w:val="22"/>
          <w:szCs w:val="22"/>
        </w:rPr>
        <w:t xml:space="preserve">3.1  </w:t>
      </w:r>
      <w:r>
        <w:rPr>
          <w:rFonts w:hint="eastAsia" w:cs="宋体" w:asciiTheme="majorEastAsia" w:hAnsiTheme="majorEastAsia" w:eastAsiaTheme="majorEastAsia"/>
          <w:sz w:val="22"/>
          <w:szCs w:val="22"/>
        </w:rPr>
        <w:t>比选申请文件的组成</w:t>
      </w:r>
      <w:bookmarkEnd w:id="96"/>
      <w:bookmarkEnd w:id="97"/>
      <w:bookmarkEnd w:id="98"/>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3.1.1 </w:t>
      </w:r>
      <w:r>
        <w:rPr>
          <w:rFonts w:hint="eastAsia" w:asciiTheme="majorEastAsia" w:hAnsiTheme="majorEastAsia" w:eastAsiaTheme="majorEastAsia"/>
          <w:sz w:val="22"/>
          <w:szCs w:val="22"/>
        </w:rPr>
        <w:t>比选申请文件应包括下列内容：详见“比选申请文件格式”中的内容。</w:t>
      </w:r>
    </w:p>
    <w:p>
      <w:pPr>
        <w:pStyle w:val="5"/>
        <w:spacing w:before="0" w:line="360" w:lineRule="auto"/>
        <w:rPr>
          <w:rFonts w:asciiTheme="majorEastAsia" w:hAnsiTheme="majorEastAsia" w:eastAsiaTheme="majorEastAsia"/>
          <w:sz w:val="22"/>
          <w:szCs w:val="22"/>
        </w:rPr>
      </w:pPr>
      <w:bookmarkStart w:id="99" w:name="_Toc44420120"/>
      <w:bookmarkStart w:id="100" w:name="_Toc11296"/>
      <w:bookmarkStart w:id="101" w:name="_Toc44433317"/>
      <w:r>
        <w:rPr>
          <w:rFonts w:asciiTheme="majorEastAsia" w:hAnsiTheme="majorEastAsia" w:eastAsiaTheme="majorEastAsia"/>
          <w:sz w:val="22"/>
          <w:szCs w:val="22"/>
        </w:rPr>
        <w:t xml:space="preserve">3.2  </w:t>
      </w:r>
      <w:r>
        <w:rPr>
          <w:rFonts w:hint="eastAsia" w:cs="宋体" w:asciiTheme="majorEastAsia" w:hAnsiTheme="majorEastAsia" w:eastAsiaTheme="majorEastAsia"/>
          <w:sz w:val="22"/>
          <w:szCs w:val="22"/>
        </w:rPr>
        <w:t>比选申请报价</w:t>
      </w:r>
      <w:bookmarkEnd w:id="99"/>
      <w:bookmarkEnd w:id="100"/>
      <w:bookmarkEnd w:id="101"/>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3.2.</w:t>
      </w:r>
      <w:r>
        <w:rPr>
          <w:rFonts w:hint="eastAsia" w:asciiTheme="majorEastAsia" w:hAnsiTheme="majorEastAsia" w:eastAsiaTheme="majorEastAsia"/>
          <w:sz w:val="22"/>
          <w:szCs w:val="22"/>
        </w:rPr>
        <w:t>1</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比选申请人在比选申请截止时间前修改比选申请函中的比选申请总报价。此修改须符合本章第</w:t>
      </w:r>
      <w:r>
        <w:rPr>
          <w:rFonts w:asciiTheme="majorEastAsia" w:hAnsiTheme="majorEastAsia" w:eastAsiaTheme="majorEastAsia"/>
          <w:sz w:val="22"/>
          <w:szCs w:val="22"/>
        </w:rPr>
        <w:t xml:space="preserve"> 4.3 </w:t>
      </w:r>
      <w:r>
        <w:rPr>
          <w:rFonts w:hint="eastAsia" w:asciiTheme="majorEastAsia" w:hAnsiTheme="majorEastAsia" w:eastAsiaTheme="majorEastAsia"/>
          <w:sz w:val="22"/>
          <w:szCs w:val="22"/>
        </w:rPr>
        <w:t>款的有关要求。</w:t>
      </w:r>
    </w:p>
    <w:p>
      <w:pPr>
        <w:pStyle w:val="5"/>
        <w:spacing w:before="0" w:line="360" w:lineRule="auto"/>
        <w:rPr>
          <w:rFonts w:asciiTheme="majorEastAsia" w:hAnsiTheme="majorEastAsia" w:eastAsiaTheme="majorEastAsia"/>
          <w:sz w:val="22"/>
          <w:szCs w:val="22"/>
        </w:rPr>
      </w:pPr>
      <w:bookmarkStart w:id="102" w:name="_Toc44420121"/>
      <w:bookmarkStart w:id="103" w:name="_Toc44433318"/>
      <w:bookmarkStart w:id="104" w:name="_Toc13674"/>
      <w:r>
        <w:rPr>
          <w:rFonts w:asciiTheme="majorEastAsia" w:hAnsiTheme="majorEastAsia" w:eastAsiaTheme="majorEastAsia"/>
          <w:sz w:val="22"/>
          <w:szCs w:val="22"/>
        </w:rPr>
        <w:t xml:space="preserve">3.3  </w:t>
      </w:r>
      <w:r>
        <w:rPr>
          <w:rFonts w:hint="eastAsia" w:cs="宋体" w:asciiTheme="majorEastAsia" w:hAnsiTheme="majorEastAsia" w:eastAsiaTheme="majorEastAsia"/>
          <w:sz w:val="22"/>
          <w:szCs w:val="22"/>
        </w:rPr>
        <w:t>比选申请有效期</w:t>
      </w:r>
      <w:bookmarkEnd w:id="102"/>
      <w:bookmarkEnd w:id="103"/>
      <w:bookmarkEnd w:id="104"/>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3.3.1  </w:t>
      </w:r>
      <w:r>
        <w:rPr>
          <w:rFonts w:hint="eastAsia" w:asciiTheme="majorEastAsia" w:hAnsiTheme="majorEastAsia" w:eastAsiaTheme="majorEastAsia"/>
          <w:sz w:val="22"/>
          <w:szCs w:val="22"/>
        </w:rPr>
        <w:t>在比选申请人须知前附表规定的比选申请有效期内，比选申请人不得要求撤销或修改其比选申请文件。</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3.3.2  </w:t>
      </w:r>
      <w:r>
        <w:rPr>
          <w:rFonts w:hint="eastAsia" w:asciiTheme="majorEastAsia" w:hAnsiTheme="majorEastAsia" w:eastAsiaTheme="majorEastAsia"/>
          <w:sz w:val="22"/>
          <w:szCs w:val="22"/>
        </w:rPr>
        <w:t>出现特殊情况需要延长比选申请有效期的，比选人以书面形式通知所有比选申请人延长比选申请有效期。比选申请人同意延长的，应相应延长其投标保证金的有效期，但不得要求或被允许修改或撤销其比选申请文件；比选申请人拒绝延长的，其投标失效，但比选申请人有权收回其投标保证金。</w:t>
      </w:r>
    </w:p>
    <w:p>
      <w:pPr>
        <w:pStyle w:val="5"/>
        <w:spacing w:before="0" w:line="360" w:lineRule="auto"/>
        <w:rPr>
          <w:rFonts w:asciiTheme="majorEastAsia" w:hAnsiTheme="majorEastAsia" w:eastAsiaTheme="majorEastAsia"/>
          <w:sz w:val="22"/>
          <w:szCs w:val="22"/>
        </w:rPr>
      </w:pPr>
      <w:bookmarkStart w:id="105" w:name="_Toc6251"/>
      <w:bookmarkStart w:id="106" w:name="_Toc44420122"/>
      <w:bookmarkStart w:id="107" w:name="_Toc44433319"/>
      <w:r>
        <w:rPr>
          <w:rFonts w:asciiTheme="majorEastAsia" w:hAnsiTheme="majorEastAsia" w:eastAsiaTheme="majorEastAsia"/>
          <w:sz w:val="22"/>
          <w:szCs w:val="22"/>
        </w:rPr>
        <w:t xml:space="preserve">3.4  </w:t>
      </w:r>
      <w:r>
        <w:rPr>
          <w:rFonts w:hint="eastAsia" w:cs="宋体" w:asciiTheme="majorEastAsia" w:hAnsiTheme="majorEastAsia" w:eastAsiaTheme="majorEastAsia"/>
          <w:sz w:val="22"/>
          <w:szCs w:val="22"/>
        </w:rPr>
        <w:t>投标保证金</w:t>
      </w:r>
      <w:bookmarkEnd w:id="105"/>
      <w:bookmarkEnd w:id="106"/>
      <w:bookmarkEnd w:id="107"/>
    </w:p>
    <w:p>
      <w:pPr>
        <w:pStyle w:val="5"/>
        <w:spacing w:before="0" w:line="360" w:lineRule="auto"/>
        <w:ind w:firstLine="440" w:firstLineChars="200"/>
        <w:rPr>
          <w:rFonts w:asciiTheme="majorEastAsia" w:hAnsiTheme="majorEastAsia" w:eastAsiaTheme="majorEastAsia"/>
          <w:b w:val="0"/>
          <w:kern w:val="2"/>
          <w:sz w:val="22"/>
          <w:szCs w:val="22"/>
        </w:rPr>
      </w:pPr>
      <w:bookmarkStart w:id="108" w:name="_Toc44420123"/>
      <w:bookmarkStart w:id="109" w:name="_Toc44433320"/>
      <w:bookmarkStart w:id="110" w:name="_Toc16639"/>
      <w:r>
        <w:rPr>
          <w:rFonts w:hint="eastAsia" w:asciiTheme="majorEastAsia" w:hAnsiTheme="majorEastAsia" w:eastAsiaTheme="majorEastAsia"/>
          <w:b w:val="0"/>
          <w:kern w:val="2"/>
          <w:sz w:val="22"/>
          <w:szCs w:val="22"/>
        </w:rPr>
        <w:t>3.4.1 比选申请人在递交比选申请文件的同时，应按比选申请人须知前附表规定的投标保证金金额、缴纳形式递交投标保证金，并作为其比选申请文件的组成部分。</w:t>
      </w:r>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3.4.2  比选申请人不按本章第 3.4.1 项要求提交投标保证金的，将作否决投标处理。</w:t>
      </w:r>
    </w:p>
    <w:p>
      <w:pPr>
        <w:pStyle w:val="5"/>
        <w:spacing w:before="0" w:line="360" w:lineRule="auto"/>
        <w:ind w:firstLine="440" w:firstLineChars="200"/>
        <w:rPr>
          <w:rFonts w:asciiTheme="majorEastAsia" w:hAnsiTheme="majorEastAsia" w:eastAsiaTheme="majorEastAsia"/>
          <w:b w:val="0"/>
          <w:kern w:val="2"/>
          <w:sz w:val="22"/>
          <w:szCs w:val="22"/>
        </w:rPr>
      </w:pPr>
      <w:r>
        <w:rPr>
          <w:rFonts w:hint="eastAsia" w:asciiTheme="majorEastAsia" w:hAnsiTheme="majorEastAsia" w:eastAsiaTheme="majorEastAsia"/>
          <w:b w:val="0"/>
          <w:kern w:val="2"/>
          <w:sz w:val="22"/>
          <w:szCs w:val="22"/>
        </w:rPr>
        <w:t>3.4.3  投标保证金退还：见比选申请人须知前附表。</w:t>
      </w:r>
    </w:p>
    <w:p>
      <w:pPr>
        <w:pStyle w:val="5"/>
        <w:spacing w:before="0" w:line="360" w:lineRule="auto"/>
        <w:ind w:firstLine="440" w:firstLineChars="200"/>
        <w:rPr>
          <w:rFonts w:asciiTheme="majorEastAsia" w:hAnsiTheme="majorEastAsia" w:eastAsiaTheme="majorEastAsia"/>
          <w:b w:val="0"/>
          <w:kern w:val="2"/>
          <w:sz w:val="22"/>
          <w:szCs w:val="22"/>
        </w:rPr>
      </w:pPr>
      <w:r>
        <w:rPr>
          <w:rFonts w:hint="eastAsia" w:asciiTheme="majorEastAsia" w:hAnsiTheme="majorEastAsia" w:eastAsiaTheme="majorEastAsia"/>
          <w:b w:val="0"/>
          <w:kern w:val="2"/>
          <w:sz w:val="22"/>
          <w:szCs w:val="22"/>
        </w:rPr>
        <w:t>3.4.4  有下列情形之一的，投标保证金将不予退还：</w:t>
      </w:r>
    </w:p>
    <w:p>
      <w:pPr>
        <w:pStyle w:val="5"/>
        <w:spacing w:before="0" w:line="360" w:lineRule="auto"/>
        <w:ind w:firstLine="440" w:firstLineChars="200"/>
        <w:rPr>
          <w:rFonts w:asciiTheme="majorEastAsia" w:hAnsiTheme="majorEastAsia" w:eastAsiaTheme="majorEastAsia"/>
          <w:b w:val="0"/>
          <w:kern w:val="2"/>
          <w:sz w:val="22"/>
          <w:szCs w:val="22"/>
        </w:rPr>
      </w:pPr>
      <w:r>
        <w:rPr>
          <w:rFonts w:hint="eastAsia" w:asciiTheme="majorEastAsia" w:hAnsiTheme="majorEastAsia" w:eastAsiaTheme="majorEastAsia"/>
          <w:b w:val="0"/>
          <w:kern w:val="2"/>
          <w:sz w:val="22"/>
          <w:szCs w:val="22"/>
        </w:rPr>
        <w:t>（1）比选申请人在规定的比选申请有效期内撤销或修改其比选申请文件；</w:t>
      </w:r>
    </w:p>
    <w:p>
      <w:pPr>
        <w:pStyle w:val="5"/>
        <w:spacing w:before="0" w:line="360" w:lineRule="auto"/>
        <w:ind w:firstLine="440" w:firstLineChars="200"/>
        <w:rPr>
          <w:rFonts w:asciiTheme="majorEastAsia" w:hAnsiTheme="majorEastAsia" w:eastAsiaTheme="majorEastAsia"/>
          <w:b w:val="0"/>
          <w:kern w:val="2"/>
          <w:sz w:val="22"/>
          <w:szCs w:val="22"/>
        </w:rPr>
      </w:pPr>
      <w:r>
        <w:rPr>
          <w:rFonts w:hint="eastAsia" w:asciiTheme="majorEastAsia" w:hAnsiTheme="majorEastAsia" w:eastAsiaTheme="majorEastAsia"/>
          <w:b w:val="0"/>
          <w:kern w:val="2"/>
          <w:sz w:val="22"/>
          <w:szCs w:val="22"/>
        </w:rPr>
        <w:t>（2）中标人在收到中标通知书后，无正当理由拒签合同协议书或未按比选文件规定提交履约担保；</w:t>
      </w:r>
    </w:p>
    <w:p>
      <w:pPr>
        <w:pStyle w:val="5"/>
        <w:spacing w:before="0" w:line="360" w:lineRule="auto"/>
        <w:ind w:firstLine="440" w:firstLineChars="200"/>
        <w:rPr>
          <w:rFonts w:asciiTheme="majorEastAsia" w:hAnsiTheme="majorEastAsia" w:eastAsiaTheme="majorEastAsia"/>
          <w:b w:val="0"/>
          <w:kern w:val="2"/>
          <w:sz w:val="22"/>
          <w:szCs w:val="22"/>
        </w:rPr>
      </w:pPr>
      <w:r>
        <w:rPr>
          <w:rFonts w:hint="eastAsia" w:asciiTheme="majorEastAsia" w:hAnsiTheme="majorEastAsia" w:eastAsiaTheme="majorEastAsia"/>
          <w:b w:val="0"/>
          <w:kern w:val="2"/>
          <w:sz w:val="22"/>
          <w:szCs w:val="22"/>
        </w:rPr>
        <w:t>（3）违反本章9.2条对比选申请人的纪律要求的；</w:t>
      </w:r>
    </w:p>
    <w:p>
      <w:pPr>
        <w:pStyle w:val="5"/>
        <w:spacing w:before="0" w:line="360" w:lineRule="auto"/>
        <w:ind w:firstLine="440" w:firstLineChars="200"/>
        <w:rPr>
          <w:rFonts w:asciiTheme="majorEastAsia" w:hAnsiTheme="majorEastAsia" w:eastAsiaTheme="majorEastAsia"/>
          <w:b w:val="0"/>
          <w:kern w:val="2"/>
          <w:sz w:val="22"/>
          <w:szCs w:val="22"/>
        </w:rPr>
      </w:pPr>
      <w:r>
        <w:rPr>
          <w:rFonts w:hint="eastAsia" w:asciiTheme="majorEastAsia" w:hAnsiTheme="majorEastAsia" w:eastAsiaTheme="majorEastAsia"/>
          <w:b w:val="0"/>
          <w:kern w:val="2"/>
          <w:sz w:val="22"/>
          <w:szCs w:val="22"/>
        </w:rPr>
        <w:t>（4）法律法规和本比选文件规定的其他情形。</w:t>
      </w:r>
    </w:p>
    <w:p>
      <w:pPr>
        <w:pStyle w:val="5"/>
        <w:spacing w:before="0" w:line="360" w:lineRule="auto"/>
        <w:rPr>
          <w:rFonts w:asciiTheme="majorEastAsia" w:hAnsiTheme="majorEastAsia" w:eastAsiaTheme="majorEastAsia"/>
          <w:sz w:val="22"/>
          <w:szCs w:val="22"/>
        </w:rPr>
      </w:pPr>
      <w:r>
        <w:rPr>
          <w:rFonts w:asciiTheme="majorEastAsia" w:hAnsiTheme="majorEastAsia" w:eastAsiaTheme="majorEastAsia"/>
          <w:sz w:val="22"/>
          <w:szCs w:val="22"/>
        </w:rPr>
        <w:t xml:space="preserve">3.5  </w:t>
      </w:r>
      <w:r>
        <w:rPr>
          <w:rFonts w:hint="eastAsia" w:cs="宋体" w:asciiTheme="majorEastAsia" w:hAnsiTheme="majorEastAsia" w:eastAsiaTheme="majorEastAsia"/>
          <w:sz w:val="22"/>
          <w:szCs w:val="22"/>
        </w:rPr>
        <w:t>资格审查资料</w:t>
      </w:r>
      <w:bookmarkEnd w:id="108"/>
      <w:bookmarkEnd w:id="109"/>
      <w:bookmarkEnd w:id="110"/>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见比选申请人须知前附表第1.4.1款。</w:t>
      </w:r>
    </w:p>
    <w:p>
      <w:pPr>
        <w:pStyle w:val="5"/>
        <w:spacing w:before="0" w:line="360" w:lineRule="auto"/>
        <w:rPr>
          <w:rFonts w:asciiTheme="majorEastAsia" w:hAnsiTheme="majorEastAsia" w:eastAsiaTheme="majorEastAsia"/>
          <w:sz w:val="22"/>
          <w:szCs w:val="22"/>
        </w:rPr>
      </w:pPr>
      <w:bookmarkStart w:id="111" w:name="_Toc44433321"/>
      <w:bookmarkStart w:id="112" w:name="_Toc10223"/>
      <w:bookmarkStart w:id="113" w:name="_Toc44420124"/>
      <w:r>
        <w:rPr>
          <w:rFonts w:asciiTheme="majorEastAsia" w:hAnsiTheme="majorEastAsia" w:eastAsiaTheme="majorEastAsia"/>
          <w:sz w:val="22"/>
          <w:szCs w:val="22"/>
        </w:rPr>
        <w:t xml:space="preserve">3.6  </w:t>
      </w:r>
      <w:r>
        <w:rPr>
          <w:rFonts w:hint="eastAsia" w:cs="宋体" w:asciiTheme="majorEastAsia" w:hAnsiTheme="majorEastAsia" w:eastAsiaTheme="majorEastAsia"/>
          <w:sz w:val="22"/>
          <w:szCs w:val="22"/>
        </w:rPr>
        <w:t>备选竞选方案</w:t>
      </w:r>
      <w:bookmarkEnd w:id="111"/>
      <w:bookmarkEnd w:id="112"/>
      <w:bookmarkEnd w:id="113"/>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除比选申请人须知前附表另有规定外，比选申请人不得递交备选竞选方案。允许比选申请人递交备选竞选方案的，只有中选人所递交的备选竞选方案方可予以考虑。评审委员会认为中选人的备选竞选方案优于其按照比选文件要求编制的竞选方案的，比选人可以接受该备选竞选方案。</w:t>
      </w:r>
    </w:p>
    <w:p>
      <w:pPr>
        <w:pStyle w:val="5"/>
        <w:spacing w:before="0" w:line="360" w:lineRule="auto"/>
        <w:rPr>
          <w:rFonts w:asciiTheme="majorEastAsia" w:hAnsiTheme="majorEastAsia" w:eastAsiaTheme="majorEastAsia"/>
          <w:sz w:val="22"/>
          <w:szCs w:val="22"/>
        </w:rPr>
      </w:pPr>
      <w:bookmarkStart w:id="114" w:name="_Toc44420125"/>
      <w:bookmarkStart w:id="115" w:name="_Toc44433322"/>
      <w:bookmarkStart w:id="116" w:name="_Toc4298"/>
      <w:r>
        <w:rPr>
          <w:rFonts w:asciiTheme="majorEastAsia" w:hAnsiTheme="majorEastAsia" w:eastAsiaTheme="majorEastAsia"/>
          <w:sz w:val="22"/>
          <w:szCs w:val="22"/>
        </w:rPr>
        <w:t xml:space="preserve">3.7  </w:t>
      </w:r>
      <w:r>
        <w:rPr>
          <w:rFonts w:hint="eastAsia" w:asciiTheme="majorEastAsia" w:hAnsiTheme="majorEastAsia" w:eastAsiaTheme="majorEastAsia"/>
          <w:sz w:val="22"/>
          <w:szCs w:val="22"/>
        </w:rPr>
        <w:t>比选申请文件的编制</w:t>
      </w:r>
      <w:bookmarkEnd w:id="114"/>
      <w:bookmarkEnd w:id="115"/>
      <w:bookmarkEnd w:id="116"/>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3.7.1  </w:t>
      </w:r>
      <w:r>
        <w:rPr>
          <w:rFonts w:hint="eastAsia" w:asciiTheme="majorEastAsia" w:hAnsiTheme="majorEastAsia" w:eastAsiaTheme="majorEastAsia"/>
          <w:sz w:val="22"/>
          <w:szCs w:val="22"/>
        </w:rPr>
        <w:t>比选申请文件应按第八章“比选申请文件格式”进行编写，如有必要，可以增加附页，作为比选申请文件的组成部分。其中，比选申请函附录在满足比选文件实质性要求的基础上，可以提出比比选文件要求更有利于比选人的承诺。</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3.7.2  </w:t>
      </w:r>
      <w:r>
        <w:rPr>
          <w:rFonts w:hint="eastAsia" w:asciiTheme="majorEastAsia" w:hAnsiTheme="majorEastAsia" w:eastAsiaTheme="majorEastAsia"/>
          <w:sz w:val="22"/>
          <w:szCs w:val="22"/>
        </w:rPr>
        <w:t>比选申请文件应当对比选文件有关工期、比选申请有效期、质量要求、技术标准和要求、</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比选范围等实质性内容做出响应。</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3.7.3  </w:t>
      </w:r>
      <w:r>
        <w:rPr>
          <w:rFonts w:hint="eastAsia" w:asciiTheme="majorEastAsia" w:hAnsiTheme="majorEastAsia" w:eastAsiaTheme="majorEastAsia"/>
          <w:sz w:val="22"/>
          <w:szCs w:val="22"/>
        </w:rPr>
        <w:t>比选申请文件应用不褪色的材料书写或打印，并由比选申请人的法定代表人或其委托代理人签字、盖单位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签字或盖章的具体要求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3.7.4  </w:t>
      </w:r>
      <w:r>
        <w:rPr>
          <w:rFonts w:hint="eastAsia" w:asciiTheme="majorEastAsia" w:hAnsiTheme="majorEastAsia" w:eastAsiaTheme="majorEastAsia"/>
          <w:sz w:val="22"/>
          <w:szCs w:val="22"/>
        </w:rPr>
        <w:t>比选申请文件正本，副本份数见比选申请人须知前附表。正本和副本的封面上应清楚地标记“正本”或“副本”的字样，正本和副本封面均须加盖单位公章（鲜章）。当副本和正本不一致时，以正本为准。</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3.7.5  </w:t>
      </w:r>
      <w:r>
        <w:rPr>
          <w:rFonts w:hint="eastAsia" w:asciiTheme="majorEastAsia" w:hAnsiTheme="majorEastAsia" w:eastAsiaTheme="majorEastAsia"/>
          <w:sz w:val="22"/>
          <w:szCs w:val="22"/>
        </w:rPr>
        <w:t>比选申请文件的正本与副本应分别装订成册，并编制目录，具体装订要求见比选申请人须知前附表规定。</w:t>
      </w:r>
    </w:p>
    <w:p>
      <w:pPr>
        <w:pStyle w:val="4"/>
        <w:rPr>
          <w:rFonts w:asciiTheme="majorEastAsia" w:hAnsiTheme="majorEastAsia" w:eastAsiaTheme="majorEastAsia"/>
          <w:spacing w:val="0"/>
          <w:w w:val="100"/>
          <w:sz w:val="22"/>
          <w:szCs w:val="22"/>
        </w:rPr>
      </w:pPr>
      <w:bookmarkStart w:id="117" w:name="_Toc26139"/>
      <w:bookmarkEnd w:id="117"/>
      <w:bookmarkStart w:id="118" w:name="_Toc12731222"/>
      <w:bookmarkStart w:id="119" w:name="_Toc14524562"/>
      <w:bookmarkStart w:id="120" w:name="_Toc2083216"/>
      <w:bookmarkStart w:id="121" w:name="_Toc12727415"/>
      <w:bookmarkStart w:id="122" w:name="_Toc32294"/>
      <w:bookmarkStart w:id="123" w:name="_Toc12731759"/>
      <w:bookmarkStart w:id="124" w:name="_Toc44420126"/>
      <w:bookmarkStart w:id="125" w:name="_Toc44433323"/>
      <w:r>
        <w:rPr>
          <w:rFonts w:asciiTheme="majorEastAsia" w:hAnsiTheme="majorEastAsia" w:eastAsiaTheme="majorEastAsia"/>
          <w:spacing w:val="0"/>
          <w:w w:val="100"/>
          <w:sz w:val="22"/>
          <w:szCs w:val="22"/>
        </w:rPr>
        <w:t xml:space="preserve">4.  </w:t>
      </w:r>
      <w:r>
        <w:rPr>
          <w:rFonts w:hint="eastAsia" w:asciiTheme="majorEastAsia" w:hAnsiTheme="majorEastAsia" w:eastAsiaTheme="majorEastAsia"/>
          <w:spacing w:val="0"/>
          <w:w w:val="100"/>
          <w:sz w:val="22"/>
          <w:szCs w:val="22"/>
        </w:rPr>
        <w:t>比选申请</w:t>
      </w:r>
      <w:bookmarkEnd w:id="118"/>
      <w:bookmarkEnd w:id="119"/>
      <w:bookmarkEnd w:id="120"/>
      <w:bookmarkEnd w:id="121"/>
      <w:bookmarkEnd w:id="122"/>
      <w:bookmarkEnd w:id="123"/>
      <w:bookmarkEnd w:id="124"/>
      <w:bookmarkEnd w:id="125"/>
    </w:p>
    <w:p>
      <w:pPr>
        <w:pStyle w:val="5"/>
        <w:spacing w:before="0" w:line="360" w:lineRule="auto"/>
        <w:rPr>
          <w:rFonts w:asciiTheme="majorEastAsia" w:hAnsiTheme="majorEastAsia" w:eastAsiaTheme="majorEastAsia"/>
          <w:sz w:val="22"/>
          <w:szCs w:val="22"/>
        </w:rPr>
      </w:pPr>
      <w:bookmarkStart w:id="126" w:name="_Toc44433324"/>
      <w:bookmarkStart w:id="127" w:name="_Toc44420127"/>
      <w:bookmarkStart w:id="128" w:name="_Toc31609"/>
      <w:r>
        <w:rPr>
          <w:rFonts w:asciiTheme="majorEastAsia" w:hAnsiTheme="majorEastAsia" w:eastAsiaTheme="majorEastAsia"/>
          <w:sz w:val="22"/>
          <w:szCs w:val="22"/>
        </w:rPr>
        <w:t xml:space="preserve">4.1  </w:t>
      </w:r>
      <w:r>
        <w:rPr>
          <w:rFonts w:hint="eastAsia" w:cs="宋体" w:asciiTheme="majorEastAsia" w:hAnsiTheme="majorEastAsia" w:eastAsiaTheme="majorEastAsia"/>
          <w:sz w:val="22"/>
          <w:szCs w:val="22"/>
        </w:rPr>
        <w:t>比选申请文件的密封和标记</w:t>
      </w:r>
      <w:bookmarkEnd w:id="126"/>
      <w:bookmarkEnd w:id="127"/>
      <w:bookmarkEnd w:id="128"/>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4.1.1  </w:t>
      </w:r>
      <w:r>
        <w:rPr>
          <w:rFonts w:hint="eastAsia" w:asciiTheme="majorEastAsia" w:hAnsiTheme="majorEastAsia" w:eastAsiaTheme="majorEastAsia"/>
          <w:sz w:val="22"/>
          <w:szCs w:val="22"/>
        </w:rPr>
        <w:t>比选申请文件的正本与副本密封见比选申请人须知前附表。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4.1.2  </w:t>
      </w:r>
      <w:r>
        <w:rPr>
          <w:rFonts w:hint="eastAsia" w:asciiTheme="majorEastAsia" w:hAnsiTheme="majorEastAsia" w:eastAsiaTheme="majorEastAsia"/>
          <w:sz w:val="22"/>
          <w:szCs w:val="22"/>
        </w:rPr>
        <w:t>比选申请文件的封套上应写明的内容见比选申请人须知前附表。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4.1.3  </w:t>
      </w:r>
      <w:r>
        <w:rPr>
          <w:rFonts w:hint="eastAsia" w:asciiTheme="majorEastAsia" w:hAnsiTheme="majorEastAsia" w:eastAsiaTheme="majorEastAsia"/>
          <w:sz w:val="22"/>
          <w:szCs w:val="22"/>
        </w:rPr>
        <w:t>未按本章第</w:t>
      </w:r>
      <w:r>
        <w:rPr>
          <w:rFonts w:asciiTheme="majorEastAsia" w:hAnsiTheme="majorEastAsia" w:eastAsiaTheme="majorEastAsia"/>
          <w:sz w:val="22"/>
          <w:szCs w:val="22"/>
        </w:rPr>
        <w:t xml:space="preserve"> 4.1.1 </w:t>
      </w:r>
      <w:r>
        <w:rPr>
          <w:rFonts w:hint="eastAsia" w:asciiTheme="majorEastAsia" w:hAnsiTheme="majorEastAsia" w:eastAsiaTheme="majorEastAsia"/>
          <w:sz w:val="22"/>
          <w:szCs w:val="22"/>
        </w:rPr>
        <w:t>项或第</w:t>
      </w:r>
      <w:r>
        <w:rPr>
          <w:rFonts w:asciiTheme="majorEastAsia" w:hAnsiTheme="majorEastAsia" w:eastAsiaTheme="majorEastAsia"/>
          <w:sz w:val="22"/>
          <w:szCs w:val="22"/>
        </w:rPr>
        <w:t xml:space="preserve"> 4.1.2 </w:t>
      </w:r>
      <w:r>
        <w:rPr>
          <w:rFonts w:hint="eastAsia" w:asciiTheme="majorEastAsia" w:hAnsiTheme="majorEastAsia" w:eastAsiaTheme="majorEastAsia"/>
          <w:sz w:val="22"/>
          <w:szCs w:val="22"/>
        </w:rPr>
        <w:t>项要求密封和加写标记的比选申请文件，比选人不予受理。</w:t>
      </w:r>
    </w:p>
    <w:p>
      <w:pPr>
        <w:pStyle w:val="5"/>
        <w:spacing w:before="0" w:line="360" w:lineRule="auto"/>
        <w:rPr>
          <w:rFonts w:asciiTheme="majorEastAsia" w:hAnsiTheme="majorEastAsia" w:eastAsiaTheme="majorEastAsia"/>
          <w:sz w:val="22"/>
          <w:szCs w:val="22"/>
        </w:rPr>
      </w:pPr>
      <w:bookmarkStart w:id="129" w:name="_Toc15290"/>
      <w:bookmarkStart w:id="130" w:name="_Toc44420128"/>
      <w:bookmarkStart w:id="131" w:name="_Toc44433325"/>
      <w:r>
        <w:rPr>
          <w:rFonts w:asciiTheme="majorEastAsia" w:hAnsiTheme="majorEastAsia" w:eastAsiaTheme="majorEastAsia"/>
          <w:sz w:val="22"/>
          <w:szCs w:val="22"/>
        </w:rPr>
        <w:t xml:space="preserve">4.2  </w:t>
      </w:r>
      <w:r>
        <w:rPr>
          <w:rFonts w:hint="eastAsia" w:cs="宋体" w:asciiTheme="majorEastAsia" w:hAnsiTheme="majorEastAsia" w:eastAsiaTheme="majorEastAsia"/>
          <w:sz w:val="22"/>
          <w:szCs w:val="22"/>
        </w:rPr>
        <w:t>比选申请文件的递交</w:t>
      </w:r>
      <w:bookmarkEnd w:id="129"/>
      <w:bookmarkEnd w:id="130"/>
      <w:bookmarkEnd w:id="131"/>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4.2.1  </w:t>
      </w:r>
      <w:r>
        <w:rPr>
          <w:rFonts w:hint="eastAsia" w:asciiTheme="majorEastAsia" w:hAnsiTheme="majorEastAsia" w:eastAsiaTheme="majorEastAsia"/>
          <w:sz w:val="22"/>
          <w:szCs w:val="22"/>
        </w:rPr>
        <w:t>比选申请人应在比选申请人须知前附表规定的比选申请截止时间前递交比选申请文件。</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4.2.2  </w:t>
      </w:r>
      <w:r>
        <w:rPr>
          <w:rFonts w:hint="eastAsia" w:asciiTheme="majorEastAsia" w:hAnsiTheme="majorEastAsia" w:eastAsiaTheme="majorEastAsia"/>
          <w:sz w:val="22"/>
          <w:szCs w:val="22"/>
        </w:rPr>
        <w:t>比选申请人递交比选申请文件的地点：见比选申请人须知前附表。</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4.2.3  </w:t>
      </w:r>
      <w:r>
        <w:rPr>
          <w:rFonts w:hint="eastAsia" w:asciiTheme="majorEastAsia" w:hAnsiTheme="majorEastAsia" w:eastAsiaTheme="majorEastAsia"/>
          <w:sz w:val="22"/>
          <w:szCs w:val="22"/>
        </w:rPr>
        <w:t>除比选申请人须知前附表另有规定外，比选申请人所递交的比选申请文件不予退还。</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4.2.</w:t>
      </w:r>
      <w:r>
        <w:rPr>
          <w:rFonts w:hint="eastAsia" w:asciiTheme="majorEastAsia" w:hAnsiTheme="majorEastAsia" w:eastAsiaTheme="majorEastAsia"/>
          <w:sz w:val="22"/>
          <w:szCs w:val="22"/>
        </w:rPr>
        <w:t>4</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逾期送达的或者未送达指定地点的比选申请文件，比选人不予受理。</w:t>
      </w:r>
    </w:p>
    <w:p>
      <w:pPr>
        <w:pStyle w:val="5"/>
        <w:spacing w:before="0" w:line="360" w:lineRule="auto"/>
        <w:rPr>
          <w:rFonts w:asciiTheme="majorEastAsia" w:hAnsiTheme="majorEastAsia" w:eastAsiaTheme="majorEastAsia"/>
          <w:sz w:val="22"/>
          <w:szCs w:val="22"/>
        </w:rPr>
      </w:pPr>
      <w:bookmarkStart w:id="132" w:name="_Toc44433326"/>
      <w:bookmarkStart w:id="133" w:name="_Toc44420129"/>
      <w:bookmarkStart w:id="134" w:name="_Toc30970"/>
      <w:r>
        <w:rPr>
          <w:rFonts w:asciiTheme="majorEastAsia" w:hAnsiTheme="majorEastAsia" w:eastAsiaTheme="majorEastAsia"/>
          <w:sz w:val="22"/>
          <w:szCs w:val="22"/>
        </w:rPr>
        <w:t xml:space="preserve">4.3  </w:t>
      </w:r>
      <w:r>
        <w:rPr>
          <w:rFonts w:hint="eastAsia" w:cs="宋体" w:asciiTheme="majorEastAsia" w:hAnsiTheme="majorEastAsia" w:eastAsiaTheme="majorEastAsia"/>
          <w:sz w:val="22"/>
          <w:szCs w:val="22"/>
        </w:rPr>
        <w:t>比选申请文件的修改与撤回</w:t>
      </w:r>
      <w:bookmarkEnd w:id="132"/>
      <w:bookmarkEnd w:id="133"/>
      <w:bookmarkEnd w:id="134"/>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4.3.1  </w:t>
      </w:r>
      <w:r>
        <w:rPr>
          <w:rFonts w:hint="eastAsia" w:asciiTheme="majorEastAsia" w:hAnsiTheme="majorEastAsia" w:eastAsiaTheme="majorEastAsia"/>
          <w:sz w:val="22"/>
          <w:szCs w:val="22"/>
        </w:rPr>
        <w:t>在本章第4.</w:t>
      </w:r>
      <w:r>
        <w:rPr>
          <w:rFonts w:asciiTheme="majorEastAsia" w:hAnsiTheme="majorEastAsia" w:eastAsiaTheme="majorEastAsia"/>
          <w:sz w:val="22"/>
          <w:szCs w:val="22"/>
        </w:rPr>
        <w:t>2.</w:t>
      </w:r>
      <w:r>
        <w:rPr>
          <w:rFonts w:hint="eastAsia" w:asciiTheme="majorEastAsia" w:hAnsiTheme="majorEastAsia" w:eastAsiaTheme="majorEastAsia"/>
          <w:sz w:val="22"/>
          <w:szCs w:val="22"/>
        </w:rPr>
        <w:t>1项规定的比选申请截止时间前，比选申请人可以修改或撤回已递交的比选申请文件，但应以书面形式通知比选人。</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4.3.2  </w:t>
      </w:r>
      <w:r>
        <w:rPr>
          <w:rFonts w:hint="eastAsia" w:asciiTheme="majorEastAsia" w:hAnsiTheme="majorEastAsia" w:eastAsiaTheme="majorEastAsia"/>
          <w:sz w:val="22"/>
          <w:szCs w:val="22"/>
        </w:rPr>
        <w:t>比选申请人修改或撤回已递交比选申请文件的书面通知应按照本章第</w:t>
      </w:r>
      <w:r>
        <w:rPr>
          <w:rFonts w:asciiTheme="majorEastAsia" w:hAnsiTheme="majorEastAsia" w:eastAsiaTheme="majorEastAsia"/>
          <w:sz w:val="22"/>
          <w:szCs w:val="22"/>
        </w:rPr>
        <w:t>3.7.3</w:t>
      </w:r>
      <w:r>
        <w:rPr>
          <w:rFonts w:hint="eastAsia" w:asciiTheme="majorEastAsia" w:hAnsiTheme="majorEastAsia" w:eastAsiaTheme="majorEastAsia"/>
          <w:sz w:val="22"/>
          <w:szCs w:val="22"/>
        </w:rPr>
        <w:t>项的要求签字或盖章。比选人收到书面通知后，向比选申请人出具签收凭证。</w:t>
      </w:r>
    </w:p>
    <w:p>
      <w:pPr>
        <w:spacing w:line="360" w:lineRule="auto"/>
        <w:ind w:firstLine="440"/>
        <w:rPr>
          <w:rFonts w:asciiTheme="majorEastAsia" w:hAnsiTheme="majorEastAsia" w:eastAsiaTheme="majorEastAsia"/>
          <w:sz w:val="22"/>
          <w:szCs w:val="22"/>
        </w:rPr>
      </w:pPr>
      <w:r>
        <w:rPr>
          <w:rFonts w:asciiTheme="majorEastAsia" w:hAnsiTheme="majorEastAsia" w:eastAsiaTheme="majorEastAsia"/>
          <w:sz w:val="22"/>
          <w:szCs w:val="22"/>
        </w:rPr>
        <w:t xml:space="preserve">4.3.3  </w:t>
      </w:r>
      <w:r>
        <w:rPr>
          <w:rFonts w:hint="eastAsia" w:asciiTheme="majorEastAsia" w:hAnsiTheme="majorEastAsia" w:eastAsiaTheme="majorEastAsia"/>
          <w:sz w:val="22"/>
          <w:szCs w:val="22"/>
        </w:rPr>
        <w:t>修改的内容为比选申请文件的组成部分。修改的比选申请文件应按照本章第</w:t>
      </w:r>
      <w:r>
        <w:rPr>
          <w:rFonts w:asciiTheme="majorEastAsia" w:hAnsiTheme="majorEastAsia" w:eastAsiaTheme="majorEastAsia"/>
          <w:sz w:val="22"/>
          <w:szCs w:val="22"/>
        </w:rPr>
        <w:t>3</w:t>
      </w:r>
      <w:r>
        <w:rPr>
          <w:rFonts w:hint="eastAsia" w:asciiTheme="majorEastAsia" w:hAnsiTheme="majorEastAsia" w:eastAsiaTheme="majorEastAsia"/>
          <w:sz w:val="22"/>
          <w:szCs w:val="22"/>
        </w:rPr>
        <w:t>条、第</w:t>
      </w:r>
      <w:r>
        <w:rPr>
          <w:rFonts w:asciiTheme="majorEastAsia" w:hAnsiTheme="majorEastAsia" w:eastAsiaTheme="majorEastAsia"/>
          <w:sz w:val="22"/>
          <w:szCs w:val="22"/>
        </w:rPr>
        <w:t>4</w:t>
      </w:r>
      <w:r>
        <w:rPr>
          <w:rFonts w:hint="eastAsia" w:asciiTheme="majorEastAsia" w:hAnsiTheme="majorEastAsia" w:eastAsiaTheme="majorEastAsia"/>
          <w:sz w:val="22"/>
          <w:szCs w:val="22"/>
        </w:rPr>
        <w:t>条规定进行编制、密封、标记和递交，并标明“修改”字样。</w:t>
      </w:r>
    </w:p>
    <w:p>
      <w:pPr>
        <w:pStyle w:val="4"/>
        <w:rPr>
          <w:rFonts w:asciiTheme="majorEastAsia" w:hAnsiTheme="majorEastAsia" w:eastAsiaTheme="majorEastAsia"/>
          <w:spacing w:val="0"/>
          <w:w w:val="100"/>
          <w:sz w:val="22"/>
          <w:szCs w:val="22"/>
          <w:highlight w:val="none"/>
        </w:rPr>
      </w:pPr>
      <w:bookmarkStart w:id="135" w:name="_Toc2083218"/>
      <w:bookmarkStart w:id="136" w:name="_Toc44420133"/>
      <w:bookmarkStart w:id="137" w:name="_Toc12731761"/>
      <w:bookmarkStart w:id="138" w:name="_Toc8247"/>
      <w:bookmarkStart w:id="139" w:name="_Toc12727417"/>
      <w:bookmarkStart w:id="140" w:name="_Toc14524564"/>
      <w:bookmarkStart w:id="141" w:name="_Toc12731224"/>
      <w:bookmarkStart w:id="142" w:name="_Toc44433330"/>
      <w:r>
        <w:rPr>
          <w:rFonts w:hint="eastAsia" w:asciiTheme="majorEastAsia" w:hAnsiTheme="majorEastAsia" w:eastAsiaTheme="majorEastAsia"/>
          <w:spacing w:val="0"/>
          <w:w w:val="100"/>
          <w:sz w:val="22"/>
          <w:szCs w:val="22"/>
          <w:highlight w:val="none"/>
        </w:rPr>
        <w:t>5</w:t>
      </w:r>
      <w:r>
        <w:rPr>
          <w:rFonts w:asciiTheme="majorEastAsia" w:hAnsiTheme="majorEastAsia" w:eastAsiaTheme="majorEastAsia"/>
          <w:spacing w:val="0"/>
          <w:w w:val="100"/>
          <w:sz w:val="22"/>
          <w:szCs w:val="22"/>
          <w:highlight w:val="none"/>
        </w:rPr>
        <w:t xml:space="preserve">.  </w:t>
      </w:r>
      <w:r>
        <w:rPr>
          <w:rFonts w:hint="eastAsia" w:asciiTheme="majorEastAsia" w:hAnsiTheme="majorEastAsia" w:eastAsiaTheme="majorEastAsia"/>
          <w:spacing w:val="0"/>
          <w:w w:val="100"/>
          <w:sz w:val="22"/>
          <w:szCs w:val="22"/>
          <w:highlight w:val="none"/>
        </w:rPr>
        <w:t>评审</w:t>
      </w:r>
      <w:bookmarkEnd w:id="135"/>
      <w:bookmarkEnd w:id="136"/>
      <w:bookmarkEnd w:id="137"/>
      <w:bookmarkEnd w:id="138"/>
      <w:bookmarkEnd w:id="139"/>
      <w:bookmarkEnd w:id="140"/>
      <w:bookmarkEnd w:id="141"/>
      <w:bookmarkEnd w:id="142"/>
    </w:p>
    <w:p>
      <w:pPr>
        <w:pStyle w:val="5"/>
        <w:spacing w:before="0" w:line="360" w:lineRule="auto"/>
        <w:rPr>
          <w:rFonts w:asciiTheme="majorEastAsia" w:hAnsiTheme="majorEastAsia" w:eastAsiaTheme="majorEastAsia"/>
          <w:sz w:val="22"/>
          <w:szCs w:val="22"/>
        </w:rPr>
      </w:pPr>
      <w:bookmarkStart w:id="143" w:name="_Toc44433331"/>
      <w:bookmarkStart w:id="144" w:name="_Toc22522"/>
      <w:bookmarkStart w:id="145" w:name="_Toc44420134"/>
      <w:r>
        <w:rPr>
          <w:rFonts w:hint="eastAsia" w:asciiTheme="majorEastAsia" w:hAnsiTheme="majorEastAsia" w:eastAsiaTheme="majorEastAsia"/>
          <w:sz w:val="22"/>
          <w:szCs w:val="22"/>
        </w:rPr>
        <w:t>5</w:t>
      </w:r>
      <w:r>
        <w:rPr>
          <w:rFonts w:asciiTheme="majorEastAsia" w:hAnsiTheme="majorEastAsia" w:eastAsiaTheme="majorEastAsia"/>
          <w:sz w:val="22"/>
          <w:szCs w:val="22"/>
        </w:rPr>
        <w:t xml:space="preserve">.1  </w:t>
      </w:r>
      <w:r>
        <w:rPr>
          <w:rFonts w:hint="eastAsia" w:cs="宋体" w:asciiTheme="majorEastAsia" w:hAnsiTheme="majorEastAsia" w:eastAsiaTheme="majorEastAsia"/>
          <w:sz w:val="22"/>
          <w:szCs w:val="22"/>
        </w:rPr>
        <w:t>评审委员会</w:t>
      </w:r>
      <w:bookmarkEnd w:id="143"/>
      <w:bookmarkEnd w:id="144"/>
      <w:bookmarkEnd w:id="145"/>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5</w:t>
      </w:r>
      <w:r>
        <w:rPr>
          <w:rFonts w:asciiTheme="majorEastAsia" w:hAnsiTheme="majorEastAsia" w:eastAsiaTheme="majorEastAsia"/>
          <w:sz w:val="22"/>
          <w:szCs w:val="22"/>
        </w:rPr>
        <w:t xml:space="preserve">.1.1  </w:t>
      </w:r>
      <w:r>
        <w:rPr>
          <w:rFonts w:hint="eastAsia" w:asciiTheme="majorEastAsia" w:hAnsiTheme="majorEastAsia" w:eastAsiaTheme="majorEastAsia"/>
          <w:sz w:val="22"/>
          <w:szCs w:val="22"/>
        </w:rPr>
        <w:t>评审由比选人自行组建的评审委员会负责。</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5</w:t>
      </w:r>
      <w:r>
        <w:rPr>
          <w:rFonts w:asciiTheme="majorEastAsia" w:hAnsiTheme="majorEastAsia" w:eastAsiaTheme="majorEastAsia"/>
          <w:sz w:val="22"/>
          <w:szCs w:val="22"/>
        </w:rPr>
        <w:t xml:space="preserve">.1.2  </w:t>
      </w:r>
      <w:r>
        <w:rPr>
          <w:rFonts w:hint="eastAsia" w:asciiTheme="majorEastAsia" w:hAnsiTheme="majorEastAsia" w:eastAsiaTheme="majorEastAsia"/>
          <w:sz w:val="22"/>
          <w:szCs w:val="22"/>
        </w:rPr>
        <w:t>评审委员会成员有下列情形之一的，应当回避：</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）比选人或比选申请人的主要负责人的近亲属；</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（2）与比选申请人有利害关系，可能影响对投标公正评审的；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（3）曾因在招标、评标以及其他与招标投标有关活动中从事违法行为而受过行政处罚或刑事处罚的。</w:t>
      </w:r>
    </w:p>
    <w:p>
      <w:pPr>
        <w:pStyle w:val="5"/>
        <w:spacing w:before="0" w:line="360" w:lineRule="auto"/>
        <w:rPr>
          <w:rFonts w:asciiTheme="majorEastAsia" w:hAnsiTheme="majorEastAsia" w:eastAsiaTheme="majorEastAsia"/>
          <w:sz w:val="22"/>
          <w:szCs w:val="22"/>
        </w:rPr>
      </w:pPr>
      <w:bookmarkStart w:id="146" w:name="_Toc18479"/>
      <w:bookmarkStart w:id="147" w:name="_Toc44420135"/>
      <w:bookmarkStart w:id="148" w:name="_Toc44433332"/>
      <w:r>
        <w:rPr>
          <w:rFonts w:hint="eastAsia" w:asciiTheme="majorEastAsia" w:hAnsiTheme="majorEastAsia" w:eastAsiaTheme="majorEastAsia"/>
          <w:sz w:val="22"/>
          <w:szCs w:val="22"/>
        </w:rPr>
        <w:t>5</w:t>
      </w:r>
      <w:r>
        <w:rPr>
          <w:rFonts w:asciiTheme="majorEastAsia" w:hAnsiTheme="majorEastAsia" w:eastAsiaTheme="majorEastAsia"/>
          <w:sz w:val="22"/>
          <w:szCs w:val="22"/>
        </w:rPr>
        <w:t xml:space="preserve">.2  </w:t>
      </w:r>
      <w:r>
        <w:rPr>
          <w:rFonts w:hint="eastAsia" w:cs="宋体" w:asciiTheme="majorEastAsia" w:hAnsiTheme="majorEastAsia" w:eastAsiaTheme="majorEastAsia"/>
          <w:sz w:val="22"/>
          <w:szCs w:val="22"/>
        </w:rPr>
        <w:t>评审原则</w:t>
      </w:r>
      <w:bookmarkEnd w:id="146"/>
      <w:bookmarkEnd w:id="147"/>
      <w:bookmarkEnd w:id="148"/>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评审活动遵循公平、公正、科学和择优的原则。</w:t>
      </w:r>
    </w:p>
    <w:p>
      <w:pPr>
        <w:pStyle w:val="5"/>
        <w:spacing w:before="0" w:line="360" w:lineRule="auto"/>
        <w:rPr>
          <w:rFonts w:asciiTheme="majorEastAsia" w:hAnsiTheme="majorEastAsia" w:eastAsiaTheme="majorEastAsia"/>
          <w:sz w:val="22"/>
          <w:szCs w:val="22"/>
        </w:rPr>
      </w:pPr>
      <w:bookmarkStart w:id="149" w:name="_Toc44420136"/>
      <w:bookmarkStart w:id="150" w:name="_Toc44433333"/>
      <w:bookmarkStart w:id="151" w:name="_Toc28553"/>
      <w:r>
        <w:rPr>
          <w:rFonts w:hint="eastAsia" w:asciiTheme="majorEastAsia" w:hAnsiTheme="majorEastAsia" w:eastAsiaTheme="majorEastAsia"/>
          <w:sz w:val="22"/>
          <w:szCs w:val="22"/>
        </w:rPr>
        <w:t>5</w:t>
      </w:r>
      <w:r>
        <w:rPr>
          <w:rFonts w:asciiTheme="majorEastAsia" w:hAnsiTheme="majorEastAsia" w:eastAsiaTheme="majorEastAsia"/>
          <w:sz w:val="22"/>
          <w:szCs w:val="22"/>
        </w:rPr>
        <w:t xml:space="preserve">.3  </w:t>
      </w:r>
      <w:r>
        <w:rPr>
          <w:rFonts w:hint="eastAsia" w:cs="宋体" w:asciiTheme="majorEastAsia" w:hAnsiTheme="majorEastAsia" w:eastAsiaTheme="majorEastAsia"/>
          <w:sz w:val="22"/>
          <w:szCs w:val="22"/>
        </w:rPr>
        <w:t>评审</w:t>
      </w:r>
      <w:bookmarkEnd w:id="149"/>
      <w:bookmarkEnd w:id="150"/>
      <w:bookmarkEnd w:id="151"/>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评审委员会按照第三章“评审办法”规定的方法、评审因素、标准和程序对比选申请文件进行评审。第三章“评审办法”没有规定的方法、评审因素和标准，不得作为评审依据。</w:t>
      </w:r>
    </w:p>
    <w:p>
      <w:pPr>
        <w:pStyle w:val="5"/>
        <w:spacing w:before="0" w:line="360" w:lineRule="auto"/>
        <w:rPr>
          <w:rFonts w:asciiTheme="majorEastAsia" w:hAnsiTheme="majorEastAsia" w:eastAsiaTheme="majorEastAsia"/>
          <w:sz w:val="22"/>
          <w:szCs w:val="22"/>
          <w:highlight w:val="none"/>
        </w:rPr>
      </w:pPr>
      <w:bookmarkStart w:id="152" w:name="_Toc15692"/>
      <w:bookmarkEnd w:id="152"/>
      <w:bookmarkStart w:id="153" w:name="_Toc14524565"/>
      <w:bookmarkStart w:id="154" w:name="_Toc12731225"/>
      <w:bookmarkStart w:id="155" w:name="_Toc2083219"/>
      <w:bookmarkStart w:id="156" w:name="_Toc44433334"/>
      <w:bookmarkStart w:id="157" w:name="_Toc5693"/>
      <w:bookmarkStart w:id="158" w:name="_Toc12731762"/>
      <w:bookmarkStart w:id="159" w:name="_Toc44420137"/>
      <w:bookmarkStart w:id="160" w:name="_Toc12727418"/>
      <w:r>
        <w:rPr>
          <w:rFonts w:hint="eastAsia" w:asciiTheme="majorEastAsia" w:hAnsiTheme="majorEastAsia" w:eastAsiaTheme="majorEastAsia"/>
          <w:sz w:val="22"/>
          <w:szCs w:val="22"/>
          <w:highlight w:val="none"/>
        </w:rPr>
        <w:t>6</w:t>
      </w:r>
      <w:r>
        <w:rPr>
          <w:rFonts w:asciiTheme="majorEastAsia" w:hAnsiTheme="majorEastAsia" w:eastAsiaTheme="majorEastAsia"/>
          <w:sz w:val="22"/>
          <w:szCs w:val="22"/>
          <w:highlight w:val="none"/>
        </w:rPr>
        <w:t xml:space="preserve">.  </w:t>
      </w:r>
      <w:r>
        <w:rPr>
          <w:rFonts w:hint="eastAsia" w:asciiTheme="majorEastAsia" w:hAnsiTheme="majorEastAsia" w:eastAsiaTheme="majorEastAsia"/>
          <w:sz w:val="22"/>
          <w:szCs w:val="22"/>
          <w:highlight w:val="none"/>
        </w:rPr>
        <w:t>合同授予</w:t>
      </w:r>
      <w:bookmarkEnd w:id="153"/>
      <w:bookmarkEnd w:id="154"/>
      <w:bookmarkEnd w:id="155"/>
      <w:bookmarkEnd w:id="156"/>
      <w:bookmarkEnd w:id="157"/>
      <w:bookmarkEnd w:id="158"/>
      <w:bookmarkEnd w:id="159"/>
      <w:bookmarkEnd w:id="160"/>
    </w:p>
    <w:p>
      <w:pPr>
        <w:pStyle w:val="5"/>
        <w:spacing w:before="0" w:line="360" w:lineRule="auto"/>
        <w:rPr>
          <w:rFonts w:asciiTheme="majorEastAsia" w:hAnsiTheme="majorEastAsia" w:eastAsiaTheme="majorEastAsia"/>
          <w:sz w:val="22"/>
          <w:szCs w:val="22"/>
        </w:rPr>
      </w:pPr>
      <w:bookmarkStart w:id="161" w:name="_Toc32198"/>
      <w:bookmarkStart w:id="162" w:name="_Toc44433335"/>
      <w:bookmarkStart w:id="163" w:name="_Toc44420138"/>
      <w:r>
        <w:rPr>
          <w:rFonts w:hint="eastAsia" w:asciiTheme="majorEastAsia" w:hAnsiTheme="majorEastAsia" w:eastAsiaTheme="majorEastAsia"/>
          <w:sz w:val="22"/>
          <w:szCs w:val="22"/>
        </w:rPr>
        <w:t>6</w:t>
      </w:r>
      <w:r>
        <w:rPr>
          <w:rFonts w:asciiTheme="majorEastAsia" w:hAnsiTheme="majorEastAsia" w:eastAsiaTheme="majorEastAsia"/>
          <w:sz w:val="22"/>
          <w:szCs w:val="22"/>
        </w:rPr>
        <w:t xml:space="preserve">.1  </w:t>
      </w:r>
      <w:r>
        <w:rPr>
          <w:rFonts w:hint="eastAsia" w:cs="宋体" w:asciiTheme="majorEastAsia" w:hAnsiTheme="majorEastAsia" w:eastAsiaTheme="majorEastAsia"/>
          <w:sz w:val="22"/>
          <w:szCs w:val="22"/>
        </w:rPr>
        <w:t>定标方式</w:t>
      </w:r>
      <w:bookmarkEnd w:id="161"/>
      <w:bookmarkEnd w:id="162"/>
      <w:bookmarkEnd w:id="163"/>
    </w:p>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除比选申请人须知前附表规定评审委员会直接确定中选人外，比选人依据评审委员会推荐的中选候选人确定中选人，评审委员会推荐中选候选人的人数见比选申请人须知前附表。</w:t>
      </w:r>
    </w:p>
    <w:p>
      <w:pPr>
        <w:pStyle w:val="5"/>
        <w:spacing w:before="0" w:line="360" w:lineRule="auto"/>
        <w:rPr>
          <w:rFonts w:asciiTheme="majorEastAsia" w:hAnsiTheme="majorEastAsia" w:eastAsiaTheme="majorEastAsia"/>
          <w:sz w:val="22"/>
          <w:szCs w:val="22"/>
        </w:rPr>
      </w:pPr>
      <w:bookmarkStart w:id="164" w:name="_Toc44420139"/>
      <w:bookmarkStart w:id="165" w:name="_Toc44433336"/>
      <w:bookmarkStart w:id="166" w:name="_Toc24174"/>
      <w:r>
        <w:rPr>
          <w:rFonts w:hint="eastAsia" w:asciiTheme="majorEastAsia" w:hAnsiTheme="majorEastAsia" w:eastAsiaTheme="majorEastAsia"/>
          <w:sz w:val="22"/>
          <w:szCs w:val="22"/>
        </w:rPr>
        <w:t>6</w:t>
      </w:r>
      <w:r>
        <w:rPr>
          <w:rFonts w:asciiTheme="majorEastAsia" w:hAnsiTheme="majorEastAsia" w:eastAsiaTheme="majorEastAsia"/>
          <w:sz w:val="22"/>
          <w:szCs w:val="22"/>
        </w:rPr>
        <w:t xml:space="preserve">.2  </w:t>
      </w:r>
      <w:r>
        <w:rPr>
          <w:rFonts w:hint="eastAsia" w:cs="宋体" w:asciiTheme="majorEastAsia" w:hAnsiTheme="majorEastAsia" w:eastAsiaTheme="majorEastAsia"/>
          <w:sz w:val="22"/>
          <w:szCs w:val="22"/>
        </w:rPr>
        <w:t>中标通知</w:t>
      </w:r>
      <w:bookmarkEnd w:id="164"/>
      <w:bookmarkEnd w:id="165"/>
      <w:bookmarkEnd w:id="166"/>
    </w:p>
    <w:p>
      <w:pPr>
        <w:spacing w:line="360" w:lineRule="auto"/>
        <w:ind w:firstLine="420"/>
        <w:rPr>
          <w:rFonts w:asciiTheme="majorEastAsia" w:hAnsiTheme="majorEastAsia" w:eastAsiaTheme="majorEastAsia"/>
          <w:sz w:val="22"/>
          <w:szCs w:val="22"/>
        </w:rPr>
      </w:pPr>
      <w:r>
        <w:rPr>
          <w:rFonts w:hint="eastAsia" w:cs="宋体" w:asciiTheme="majorEastAsia" w:hAnsiTheme="majorEastAsia" w:eastAsiaTheme="majorEastAsia"/>
          <w:sz w:val="22"/>
          <w:szCs w:val="22"/>
          <w:lang w:bidi="ar"/>
        </w:rPr>
        <w:t>在本章第</w:t>
      </w:r>
      <w:r>
        <w:rPr>
          <w:rFonts w:asciiTheme="majorEastAsia" w:hAnsiTheme="majorEastAsia" w:eastAsiaTheme="majorEastAsia"/>
          <w:sz w:val="22"/>
          <w:szCs w:val="22"/>
          <w:lang w:bidi="ar"/>
        </w:rPr>
        <w:t xml:space="preserve"> 3.3 </w:t>
      </w:r>
      <w:r>
        <w:rPr>
          <w:rFonts w:hint="eastAsia" w:cs="宋体" w:asciiTheme="majorEastAsia" w:hAnsiTheme="majorEastAsia" w:eastAsiaTheme="majorEastAsia"/>
          <w:sz w:val="22"/>
          <w:szCs w:val="22"/>
          <w:lang w:bidi="ar"/>
        </w:rPr>
        <w:t>款规定的比选申请有效期内，将中标结果公示在比选公告发布的网站，同时比选人以书面形式向中选人发出中选通知书。</w:t>
      </w:r>
    </w:p>
    <w:p>
      <w:pPr>
        <w:pStyle w:val="5"/>
        <w:spacing w:before="0" w:line="360" w:lineRule="auto"/>
        <w:rPr>
          <w:rFonts w:asciiTheme="majorEastAsia" w:hAnsiTheme="majorEastAsia" w:eastAsiaTheme="majorEastAsia"/>
          <w:sz w:val="22"/>
          <w:szCs w:val="22"/>
        </w:rPr>
      </w:pPr>
      <w:bookmarkStart w:id="167" w:name="_Toc44433337"/>
      <w:bookmarkStart w:id="168" w:name="_Toc14367"/>
      <w:bookmarkStart w:id="169" w:name="_Toc44420140"/>
      <w:r>
        <w:rPr>
          <w:rFonts w:hint="eastAsia" w:asciiTheme="majorEastAsia" w:hAnsiTheme="majorEastAsia" w:eastAsiaTheme="majorEastAsia"/>
          <w:sz w:val="22"/>
          <w:szCs w:val="22"/>
        </w:rPr>
        <w:t>6</w:t>
      </w:r>
      <w:r>
        <w:rPr>
          <w:rFonts w:asciiTheme="majorEastAsia" w:hAnsiTheme="majorEastAsia" w:eastAsiaTheme="majorEastAsia"/>
          <w:sz w:val="22"/>
          <w:szCs w:val="22"/>
        </w:rPr>
        <w:t xml:space="preserve">.3  </w:t>
      </w:r>
      <w:r>
        <w:rPr>
          <w:rFonts w:hint="eastAsia" w:cs="宋体" w:asciiTheme="majorEastAsia" w:hAnsiTheme="majorEastAsia" w:eastAsiaTheme="majorEastAsia"/>
          <w:sz w:val="22"/>
          <w:szCs w:val="22"/>
        </w:rPr>
        <w:t>履约担保</w:t>
      </w:r>
      <w:bookmarkEnd w:id="167"/>
      <w:bookmarkEnd w:id="168"/>
      <w:bookmarkEnd w:id="169"/>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6</w:t>
      </w:r>
      <w:r>
        <w:rPr>
          <w:rFonts w:asciiTheme="majorEastAsia" w:hAnsiTheme="majorEastAsia" w:eastAsiaTheme="majorEastAsia"/>
          <w:sz w:val="22"/>
          <w:szCs w:val="22"/>
        </w:rPr>
        <w:t xml:space="preserve">.3.1  </w:t>
      </w:r>
      <w:r>
        <w:rPr>
          <w:rFonts w:hint="eastAsia" w:asciiTheme="majorEastAsia" w:hAnsiTheme="majorEastAsia" w:eastAsiaTheme="majorEastAsia"/>
          <w:sz w:val="22"/>
          <w:szCs w:val="22"/>
        </w:rPr>
        <w:t>在签订合同前，中选人应按比选申请人须知前附表规定的金额、担保形式和比选文件第四章“合同条款及格式”规定的履约担保格式向比选人提交履约担保。联合体中选的，其履约担保由牵头人递交，并应符合比选申请人须知前附表规定的金额、担保形式和比选文件第四章“合同条款及格式”规定的履约担保格式要求。</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6</w:t>
      </w:r>
      <w:r>
        <w:rPr>
          <w:rFonts w:asciiTheme="majorEastAsia" w:hAnsiTheme="majorEastAsia" w:eastAsiaTheme="majorEastAsia"/>
          <w:sz w:val="22"/>
          <w:szCs w:val="22"/>
        </w:rPr>
        <w:t xml:space="preserve">.3.2  </w:t>
      </w:r>
      <w:r>
        <w:rPr>
          <w:rFonts w:hint="eastAsia" w:asciiTheme="majorEastAsia" w:hAnsiTheme="majorEastAsia" w:eastAsiaTheme="majorEastAsia"/>
          <w:sz w:val="22"/>
          <w:szCs w:val="22"/>
        </w:rPr>
        <w:t>中选人不能按本章第</w:t>
      </w:r>
      <w:r>
        <w:rPr>
          <w:rFonts w:asciiTheme="majorEastAsia" w:hAnsiTheme="majorEastAsia" w:eastAsiaTheme="majorEastAsia"/>
          <w:sz w:val="22"/>
          <w:szCs w:val="22"/>
        </w:rPr>
        <w:t xml:space="preserve"> 7.3.1 </w:t>
      </w:r>
      <w:r>
        <w:rPr>
          <w:rFonts w:hint="eastAsia" w:asciiTheme="majorEastAsia" w:hAnsiTheme="majorEastAsia" w:eastAsiaTheme="majorEastAsia"/>
          <w:sz w:val="22"/>
          <w:szCs w:val="22"/>
        </w:rPr>
        <w:t>项要求提交履约担保的，视为放弃中选，其投标保证金不予退还，给比选人造成的损失超过投标保证金数额的，中选人还应当对超过部分予以赔偿。</w:t>
      </w:r>
    </w:p>
    <w:p>
      <w:pPr>
        <w:pStyle w:val="5"/>
        <w:spacing w:before="0" w:line="360" w:lineRule="auto"/>
        <w:rPr>
          <w:rFonts w:asciiTheme="majorEastAsia" w:hAnsiTheme="majorEastAsia" w:eastAsiaTheme="majorEastAsia"/>
          <w:sz w:val="22"/>
          <w:szCs w:val="22"/>
        </w:rPr>
      </w:pPr>
      <w:bookmarkStart w:id="170" w:name="_Toc44433338"/>
      <w:bookmarkStart w:id="171" w:name="_Toc13243"/>
      <w:bookmarkStart w:id="172" w:name="_Toc44420141"/>
      <w:r>
        <w:rPr>
          <w:rFonts w:hint="eastAsia" w:asciiTheme="majorEastAsia" w:hAnsiTheme="majorEastAsia" w:eastAsiaTheme="majorEastAsia"/>
          <w:sz w:val="22"/>
          <w:szCs w:val="22"/>
        </w:rPr>
        <w:t>6</w:t>
      </w:r>
      <w:r>
        <w:rPr>
          <w:rFonts w:asciiTheme="majorEastAsia" w:hAnsiTheme="majorEastAsia" w:eastAsiaTheme="majorEastAsia"/>
          <w:sz w:val="22"/>
          <w:szCs w:val="22"/>
        </w:rPr>
        <w:t xml:space="preserve">.4  </w:t>
      </w:r>
      <w:r>
        <w:rPr>
          <w:rFonts w:hint="eastAsia" w:cs="宋体" w:asciiTheme="majorEastAsia" w:hAnsiTheme="majorEastAsia" w:eastAsiaTheme="majorEastAsia"/>
          <w:sz w:val="22"/>
          <w:szCs w:val="22"/>
        </w:rPr>
        <w:t>签订合同</w:t>
      </w:r>
      <w:bookmarkEnd w:id="170"/>
      <w:bookmarkEnd w:id="171"/>
      <w:bookmarkEnd w:id="172"/>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6</w:t>
      </w:r>
      <w:r>
        <w:rPr>
          <w:rFonts w:asciiTheme="majorEastAsia" w:hAnsiTheme="majorEastAsia" w:eastAsiaTheme="majorEastAsia"/>
          <w:sz w:val="22"/>
          <w:szCs w:val="22"/>
        </w:rPr>
        <w:t xml:space="preserve">.4.1 </w:t>
      </w:r>
      <w:r>
        <w:rPr>
          <w:rFonts w:hint="eastAsia" w:asciiTheme="majorEastAsia" w:hAnsiTheme="majorEastAsia" w:eastAsiaTheme="majorEastAsia"/>
          <w:sz w:val="22"/>
          <w:szCs w:val="22"/>
        </w:rPr>
        <w:t>比选人和中选人应当自中选通知书发出之日起30天内，根据比选文件和中选人的比选申请文件订立书面合同。中选人无正当理由拒签合同的，比选人取消其中选资格，其投标保证金不予退还；给比选人造成的损失超过投标保证金数额的，中选人还应当对超过部分予以赔偿。</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6</w:t>
      </w:r>
      <w:r>
        <w:rPr>
          <w:rFonts w:asciiTheme="majorEastAsia" w:hAnsiTheme="majorEastAsia" w:eastAsiaTheme="majorEastAsia"/>
          <w:sz w:val="22"/>
          <w:szCs w:val="22"/>
        </w:rPr>
        <w:t xml:space="preserve">.4.2 </w:t>
      </w:r>
      <w:r>
        <w:rPr>
          <w:rFonts w:hint="eastAsia" w:asciiTheme="majorEastAsia" w:hAnsiTheme="majorEastAsia" w:eastAsiaTheme="majorEastAsia"/>
          <w:sz w:val="22"/>
          <w:szCs w:val="22"/>
        </w:rPr>
        <w:t>发出中选通知书后，比选人无正当理由拒签合同的，比选人向中选人退还投标保证金；给中选人造成损失的，还应当赔偿损失。</w:t>
      </w:r>
    </w:p>
    <w:p>
      <w:pPr>
        <w:pStyle w:val="5"/>
        <w:spacing w:before="0" w:line="360" w:lineRule="auto"/>
        <w:rPr>
          <w:rFonts w:asciiTheme="majorEastAsia" w:hAnsiTheme="majorEastAsia" w:eastAsiaTheme="majorEastAsia"/>
          <w:sz w:val="22"/>
          <w:szCs w:val="22"/>
        </w:rPr>
      </w:pPr>
      <w:bookmarkStart w:id="173" w:name="_Toc17189"/>
      <w:bookmarkEnd w:id="173"/>
      <w:bookmarkStart w:id="174" w:name="_Toc44433339"/>
      <w:bookmarkStart w:id="175" w:name="_Toc12731763"/>
      <w:bookmarkStart w:id="176" w:name="_Toc12727419"/>
      <w:bookmarkStart w:id="177" w:name="_Toc29645"/>
      <w:bookmarkStart w:id="178" w:name="_Toc12731226"/>
      <w:bookmarkStart w:id="179" w:name="_Toc14524566"/>
      <w:bookmarkStart w:id="180" w:name="_Toc2083220"/>
      <w:bookmarkStart w:id="181" w:name="_Toc44420142"/>
      <w:r>
        <w:rPr>
          <w:rFonts w:hint="eastAsia" w:asciiTheme="majorEastAsia" w:hAnsiTheme="majorEastAsia" w:eastAsiaTheme="majorEastAsia"/>
          <w:sz w:val="22"/>
          <w:szCs w:val="22"/>
        </w:rPr>
        <w:t>7</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重新竞选</w:t>
      </w:r>
      <w:bookmarkEnd w:id="174"/>
      <w:bookmarkEnd w:id="175"/>
      <w:bookmarkEnd w:id="176"/>
      <w:bookmarkEnd w:id="177"/>
      <w:bookmarkEnd w:id="178"/>
      <w:bookmarkEnd w:id="179"/>
      <w:bookmarkEnd w:id="180"/>
      <w:bookmarkEnd w:id="181"/>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有下列情形之一的，比选人将重新组织竞选：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）比选申请截止时间止，比选申请人少于</w:t>
      </w:r>
      <w:r>
        <w:rPr>
          <w:rFonts w:asciiTheme="majorEastAsia" w:hAnsiTheme="majorEastAsia" w:eastAsiaTheme="majorEastAsia"/>
          <w:sz w:val="22"/>
          <w:szCs w:val="22"/>
        </w:rPr>
        <w:t>3</w:t>
      </w:r>
      <w:r>
        <w:rPr>
          <w:rFonts w:hint="eastAsia" w:asciiTheme="majorEastAsia" w:hAnsiTheme="majorEastAsia" w:eastAsiaTheme="majorEastAsia"/>
          <w:sz w:val="22"/>
          <w:szCs w:val="22"/>
        </w:rPr>
        <w:t>个的；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）经评审委员会评审后，有效的比选申请人少于3个的。</w:t>
      </w:r>
    </w:p>
    <w:p>
      <w:pPr>
        <w:pStyle w:val="5"/>
        <w:spacing w:before="0" w:line="360" w:lineRule="auto"/>
        <w:rPr>
          <w:rFonts w:asciiTheme="majorEastAsia" w:hAnsiTheme="majorEastAsia" w:eastAsiaTheme="majorEastAsia"/>
          <w:sz w:val="22"/>
          <w:szCs w:val="22"/>
        </w:rPr>
      </w:pPr>
      <w:bookmarkStart w:id="182" w:name="_Toc20476"/>
      <w:bookmarkEnd w:id="182"/>
      <w:bookmarkStart w:id="183" w:name="_Toc44433340"/>
      <w:bookmarkStart w:id="184" w:name="_Toc44420143"/>
      <w:bookmarkStart w:id="185" w:name="_Toc2083221"/>
      <w:bookmarkStart w:id="186" w:name="_Toc12731227"/>
      <w:bookmarkStart w:id="187" w:name="_Toc12727420"/>
      <w:bookmarkStart w:id="188" w:name="_Toc12731764"/>
      <w:bookmarkStart w:id="189" w:name="_Toc14524567"/>
      <w:bookmarkStart w:id="190" w:name="_Toc29721"/>
      <w:r>
        <w:rPr>
          <w:rFonts w:hint="eastAsia" w:asciiTheme="majorEastAsia" w:hAnsiTheme="majorEastAsia" w:eastAsiaTheme="majorEastAsia"/>
          <w:sz w:val="22"/>
          <w:szCs w:val="22"/>
        </w:rPr>
        <w:t>8</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纪律和监督</w:t>
      </w:r>
      <w:bookmarkEnd w:id="183"/>
      <w:bookmarkEnd w:id="184"/>
      <w:bookmarkEnd w:id="185"/>
      <w:bookmarkEnd w:id="186"/>
      <w:bookmarkEnd w:id="187"/>
      <w:bookmarkEnd w:id="188"/>
      <w:bookmarkEnd w:id="189"/>
      <w:bookmarkEnd w:id="190"/>
    </w:p>
    <w:p>
      <w:pPr>
        <w:pStyle w:val="5"/>
        <w:spacing w:before="0" w:line="360" w:lineRule="auto"/>
        <w:rPr>
          <w:rFonts w:asciiTheme="majorEastAsia" w:hAnsiTheme="majorEastAsia" w:eastAsiaTheme="majorEastAsia"/>
          <w:sz w:val="22"/>
          <w:szCs w:val="22"/>
        </w:rPr>
      </w:pPr>
      <w:bookmarkStart w:id="191" w:name="_Toc26142"/>
      <w:bookmarkStart w:id="192" w:name="_Toc44433341"/>
      <w:bookmarkStart w:id="193" w:name="_Toc44420144"/>
      <w:r>
        <w:rPr>
          <w:rFonts w:hint="eastAsia" w:asciiTheme="majorEastAsia" w:hAnsiTheme="majorEastAsia" w:eastAsiaTheme="majorEastAsia"/>
          <w:sz w:val="22"/>
          <w:szCs w:val="22"/>
        </w:rPr>
        <w:t>8</w:t>
      </w:r>
      <w:r>
        <w:rPr>
          <w:rFonts w:asciiTheme="majorEastAsia" w:hAnsiTheme="majorEastAsia" w:eastAsiaTheme="majorEastAsia"/>
          <w:sz w:val="22"/>
          <w:szCs w:val="22"/>
        </w:rPr>
        <w:t xml:space="preserve">.1  </w:t>
      </w:r>
      <w:r>
        <w:rPr>
          <w:rFonts w:hint="eastAsia" w:cs="宋体" w:asciiTheme="majorEastAsia" w:hAnsiTheme="majorEastAsia" w:eastAsiaTheme="majorEastAsia"/>
          <w:sz w:val="22"/>
          <w:szCs w:val="22"/>
        </w:rPr>
        <w:t>对比选人的纪律要求</w:t>
      </w:r>
      <w:bookmarkEnd w:id="191"/>
      <w:bookmarkEnd w:id="192"/>
      <w:bookmarkEnd w:id="193"/>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比选人不得泄漏竞选活动中应当保密的情况和资料，不得与比选申请人串通损害国家利</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益、社会公共利益或者他人合法权益，禁止比选人与比选申请人串通竞选。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有下列情形之一的，属于比选人与比选申请人串通竞选：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）比选人在竞选前开启比选申请文件并将有关信息泄露给其他比选申请人；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）比选人直接或者间接向比选申请人泄露标底、评审委员会成员等信息；</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）比选人明示或者暗示比选申请人压低或者抬高比选申请报价；</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）比选人授意比选申请人撤换、修改比选申请文件；</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5</w:t>
      </w:r>
      <w:r>
        <w:rPr>
          <w:rFonts w:hint="eastAsia" w:asciiTheme="majorEastAsia" w:hAnsiTheme="majorEastAsia" w:eastAsiaTheme="majorEastAsia"/>
          <w:sz w:val="22"/>
          <w:szCs w:val="22"/>
        </w:rPr>
        <w:t>）比选人明示或者暗示比选申请人为特定比选申请人中选提供方便；</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6</w:t>
      </w:r>
      <w:r>
        <w:rPr>
          <w:rFonts w:hint="eastAsia" w:asciiTheme="majorEastAsia" w:hAnsiTheme="majorEastAsia" w:eastAsiaTheme="majorEastAsia"/>
          <w:sz w:val="22"/>
          <w:szCs w:val="22"/>
        </w:rPr>
        <w:t>）比选人与比选申请人为谋求特定比选申请人中选而采取的其他串通行为。</w:t>
      </w:r>
    </w:p>
    <w:p>
      <w:pPr>
        <w:pStyle w:val="5"/>
        <w:spacing w:before="0" w:line="360" w:lineRule="auto"/>
        <w:rPr>
          <w:rFonts w:cs="Calibri" w:asciiTheme="majorEastAsia" w:hAnsiTheme="majorEastAsia" w:eastAsiaTheme="majorEastAsia"/>
          <w:sz w:val="22"/>
          <w:szCs w:val="22"/>
        </w:rPr>
      </w:pPr>
      <w:bookmarkStart w:id="194" w:name="_Toc44433342"/>
      <w:bookmarkStart w:id="195" w:name="_Toc23044"/>
      <w:bookmarkStart w:id="196" w:name="_Toc44420145"/>
      <w:r>
        <w:rPr>
          <w:rFonts w:hint="eastAsia" w:asciiTheme="majorEastAsia" w:hAnsiTheme="majorEastAsia" w:eastAsiaTheme="majorEastAsia"/>
          <w:sz w:val="22"/>
          <w:szCs w:val="22"/>
        </w:rPr>
        <w:t>8</w:t>
      </w:r>
      <w:r>
        <w:rPr>
          <w:rFonts w:asciiTheme="majorEastAsia" w:hAnsiTheme="majorEastAsia" w:eastAsiaTheme="majorEastAsia"/>
          <w:sz w:val="22"/>
          <w:szCs w:val="22"/>
        </w:rPr>
        <w:t xml:space="preserve">.2  </w:t>
      </w:r>
      <w:r>
        <w:rPr>
          <w:rFonts w:hint="eastAsia" w:cs="宋体" w:asciiTheme="majorEastAsia" w:hAnsiTheme="majorEastAsia" w:eastAsiaTheme="majorEastAsia"/>
          <w:sz w:val="22"/>
          <w:szCs w:val="22"/>
        </w:rPr>
        <w:t>对比选申请人的纪律要求</w:t>
      </w:r>
      <w:bookmarkEnd w:id="194"/>
      <w:bookmarkEnd w:id="195"/>
      <w:bookmarkEnd w:id="196"/>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比选申请人不得相互串通竞选或者与比选人串通竞选，不得向比选人或者评审委员会成员行贿谋取中选，不得以他人名义竞选或者以其他方式弄虚作假骗取中选；比选申请人不得以任何方式干扰、影响评审工作。</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有下列情形之一的，属于比选申请人相互串通竞选：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）比选申请人之间协商比选申请报价等比选申请文件的实质性内容；</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）比选申请人之间约定中选人；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）比选申请人之间约定部分比选申请人放弃竞选或者中选；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）属于同一集团、协会、商会等组织成员的比选申请人按照该组织要求协同竞选；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5</w:t>
      </w:r>
      <w:r>
        <w:rPr>
          <w:rFonts w:hint="eastAsia" w:asciiTheme="majorEastAsia" w:hAnsiTheme="majorEastAsia" w:eastAsiaTheme="majorEastAsia"/>
          <w:sz w:val="22"/>
          <w:szCs w:val="22"/>
        </w:rPr>
        <w:t>）比选申请人之间为谋取中选或者排斥特定比选申请人而采取的其他联合行动。</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有下列情形之一的，视为比选申请人相互串通竞选：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r>
        <w:rPr>
          <w:rFonts w:hint="eastAsia" w:asciiTheme="majorEastAsia" w:hAnsiTheme="majorEastAsia" w:eastAsiaTheme="majorEastAsia"/>
          <w:sz w:val="22"/>
          <w:szCs w:val="22"/>
        </w:rPr>
        <w:t>）不同比选申请人的比选申请文件由同一单位或者个人编制；</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2</w:t>
      </w:r>
      <w:r>
        <w:rPr>
          <w:rFonts w:hint="eastAsia" w:asciiTheme="majorEastAsia" w:hAnsiTheme="majorEastAsia" w:eastAsiaTheme="majorEastAsia"/>
          <w:sz w:val="22"/>
          <w:szCs w:val="22"/>
        </w:rPr>
        <w:t>）不同比选申请人委托同一单位或者个人办理竞选事宜；</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3</w:t>
      </w:r>
      <w:r>
        <w:rPr>
          <w:rFonts w:hint="eastAsia" w:asciiTheme="majorEastAsia" w:hAnsiTheme="majorEastAsia" w:eastAsiaTheme="majorEastAsia"/>
          <w:sz w:val="22"/>
          <w:szCs w:val="22"/>
        </w:rPr>
        <w:t>）不同比选申请人的比选申请文件载明的项目管理成员为同一人；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4</w:t>
      </w:r>
      <w:r>
        <w:rPr>
          <w:rFonts w:hint="eastAsia" w:asciiTheme="majorEastAsia" w:hAnsiTheme="majorEastAsia" w:eastAsiaTheme="majorEastAsia"/>
          <w:sz w:val="22"/>
          <w:szCs w:val="22"/>
        </w:rPr>
        <w:t>）不同比选申请人的比选申请文件异常一致或者比选申请报价呈规律性差异；</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5</w:t>
      </w:r>
      <w:r>
        <w:rPr>
          <w:rFonts w:hint="eastAsia" w:asciiTheme="majorEastAsia" w:hAnsiTheme="majorEastAsia" w:eastAsiaTheme="majorEastAsia"/>
          <w:sz w:val="22"/>
          <w:szCs w:val="22"/>
        </w:rPr>
        <w:t>）不同比选申请人的比选申请文件相互混装；</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w:t>
      </w:r>
      <w:r>
        <w:rPr>
          <w:rFonts w:asciiTheme="majorEastAsia" w:hAnsiTheme="majorEastAsia" w:eastAsiaTheme="majorEastAsia"/>
          <w:sz w:val="22"/>
          <w:szCs w:val="22"/>
        </w:rPr>
        <w:t>6</w:t>
      </w:r>
      <w:r>
        <w:rPr>
          <w:rFonts w:hint="eastAsia" w:asciiTheme="majorEastAsia" w:hAnsiTheme="majorEastAsia" w:eastAsiaTheme="majorEastAsia"/>
          <w:sz w:val="22"/>
          <w:szCs w:val="22"/>
        </w:rPr>
        <w:t>）不同比选申请人的投标保证金从同一单位或者个人的账户转出。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使用通过受让或者租借等方式获取的资格、资质证书竞选的，属于以他人名义竞选。</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比选申请人有下列情形之一的，属于以其他方式弄虚作假的行为：</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（一）使用伪造、变造的许可证件；</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（二）提供虚假的财务状况或者业绩；</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（三）提供虚假的项目负责人或者主要技术人员简历、劳动关系证明；</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（四）提供虚假的信用状况；</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（五）其他弄虚作假的行为。</w:t>
      </w:r>
    </w:p>
    <w:p>
      <w:pPr>
        <w:pStyle w:val="5"/>
        <w:spacing w:before="0" w:line="360" w:lineRule="auto"/>
        <w:rPr>
          <w:rFonts w:cs="Calibri" w:asciiTheme="majorEastAsia" w:hAnsiTheme="majorEastAsia" w:eastAsiaTheme="majorEastAsia"/>
          <w:sz w:val="22"/>
          <w:szCs w:val="22"/>
        </w:rPr>
      </w:pPr>
      <w:bookmarkStart w:id="197" w:name="_Toc44420146"/>
      <w:bookmarkStart w:id="198" w:name="_Toc44433343"/>
      <w:bookmarkStart w:id="199" w:name="_Toc30819"/>
      <w:r>
        <w:rPr>
          <w:rFonts w:hint="eastAsia" w:asciiTheme="majorEastAsia" w:hAnsiTheme="majorEastAsia" w:eastAsiaTheme="majorEastAsia"/>
          <w:sz w:val="22"/>
          <w:szCs w:val="22"/>
        </w:rPr>
        <w:t>8.</w:t>
      </w:r>
      <w:r>
        <w:rPr>
          <w:rFonts w:asciiTheme="majorEastAsia" w:hAnsiTheme="majorEastAsia" w:eastAsiaTheme="majorEastAsia"/>
          <w:sz w:val="22"/>
          <w:szCs w:val="22"/>
        </w:rPr>
        <w:t xml:space="preserve">3  </w:t>
      </w:r>
      <w:r>
        <w:rPr>
          <w:rFonts w:hint="eastAsia" w:cs="宋体" w:asciiTheme="majorEastAsia" w:hAnsiTheme="majorEastAsia" w:eastAsiaTheme="majorEastAsia"/>
          <w:sz w:val="22"/>
          <w:szCs w:val="22"/>
        </w:rPr>
        <w:t>对评审委员会成员的纪律要求</w:t>
      </w:r>
      <w:bookmarkEnd w:id="197"/>
      <w:bookmarkEnd w:id="198"/>
      <w:bookmarkEnd w:id="199"/>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评审委员会成员不得收受他人的财物或者其他好处，不得向他人透漏对比选申请文件的评审和比较、中选候选人的推荐情况以及评标有关的其他情况。在评审活动中，评审委员会成员不得擅离职守，影响评审程序正常进行，不得使用第三章“评审办法”没有规定的评审因素和标准进行评审。</w:t>
      </w:r>
    </w:p>
    <w:p>
      <w:pPr>
        <w:pStyle w:val="5"/>
        <w:spacing w:before="0" w:line="360" w:lineRule="auto"/>
        <w:rPr>
          <w:rFonts w:asciiTheme="majorEastAsia" w:hAnsiTheme="majorEastAsia" w:eastAsiaTheme="majorEastAsia"/>
          <w:sz w:val="22"/>
          <w:szCs w:val="22"/>
        </w:rPr>
      </w:pPr>
      <w:bookmarkStart w:id="200" w:name="_Toc26437"/>
      <w:bookmarkStart w:id="201" w:name="_Toc44420147"/>
      <w:bookmarkStart w:id="202" w:name="_Toc44433344"/>
      <w:r>
        <w:rPr>
          <w:rFonts w:hint="eastAsia" w:asciiTheme="majorEastAsia" w:hAnsiTheme="majorEastAsia" w:eastAsiaTheme="majorEastAsia"/>
          <w:sz w:val="22"/>
          <w:szCs w:val="22"/>
        </w:rPr>
        <w:t>8</w:t>
      </w:r>
      <w:r>
        <w:rPr>
          <w:rFonts w:asciiTheme="majorEastAsia" w:hAnsiTheme="majorEastAsia" w:eastAsiaTheme="majorEastAsia"/>
          <w:sz w:val="22"/>
          <w:szCs w:val="22"/>
        </w:rPr>
        <w:t xml:space="preserve">.4  </w:t>
      </w:r>
      <w:r>
        <w:rPr>
          <w:rFonts w:hint="eastAsia" w:cs="宋体" w:asciiTheme="majorEastAsia" w:hAnsiTheme="majorEastAsia" w:eastAsiaTheme="majorEastAsia"/>
          <w:sz w:val="22"/>
          <w:szCs w:val="22"/>
        </w:rPr>
        <w:t>对与评审活动有关的工作人员的纪律要求</w:t>
      </w:r>
      <w:bookmarkEnd w:id="200"/>
      <w:bookmarkEnd w:id="201"/>
      <w:bookmarkEnd w:id="202"/>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与评审活动有关的工作人员不得收受他人的财物或者其他好处，不得向他人透漏对比选申请文件的评审和比较、中选候选人的推荐情况以及与评审有关的其他情况。在评审活动中，与评审活动有关的工作人员不得擅离职守，影响评审程序正常进行。</w:t>
      </w:r>
    </w:p>
    <w:p>
      <w:pPr>
        <w:pStyle w:val="5"/>
        <w:spacing w:before="0" w:line="360" w:lineRule="auto"/>
        <w:rPr>
          <w:rFonts w:cs="Calibri" w:asciiTheme="majorEastAsia" w:hAnsiTheme="majorEastAsia" w:eastAsiaTheme="majorEastAsia"/>
          <w:sz w:val="22"/>
          <w:szCs w:val="22"/>
        </w:rPr>
      </w:pPr>
      <w:bookmarkStart w:id="203" w:name="_Toc44433345"/>
      <w:bookmarkStart w:id="204" w:name="_Toc21520"/>
      <w:bookmarkStart w:id="205" w:name="_Toc44420148"/>
      <w:r>
        <w:rPr>
          <w:rFonts w:hint="eastAsia" w:asciiTheme="majorEastAsia" w:hAnsiTheme="majorEastAsia" w:eastAsiaTheme="majorEastAsia"/>
          <w:sz w:val="22"/>
          <w:szCs w:val="22"/>
        </w:rPr>
        <w:t>8</w:t>
      </w:r>
      <w:r>
        <w:rPr>
          <w:rFonts w:asciiTheme="majorEastAsia" w:hAnsiTheme="majorEastAsia" w:eastAsiaTheme="majorEastAsia"/>
          <w:sz w:val="22"/>
          <w:szCs w:val="22"/>
        </w:rPr>
        <w:t xml:space="preserve">.5  </w:t>
      </w:r>
      <w:r>
        <w:rPr>
          <w:rFonts w:hint="eastAsia" w:cs="宋体" w:asciiTheme="majorEastAsia" w:hAnsiTheme="majorEastAsia" w:eastAsiaTheme="majorEastAsia"/>
          <w:sz w:val="22"/>
          <w:szCs w:val="22"/>
        </w:rPr>
        <w:t>投诉</w:t>
      </w:r>
      <w:bookmarkEnd w:id="203"/>
      <w:bookmarkEnd w:id="204"/>
      <w:bookmarkEnd w:id="205"/>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比选申请人和其他利害关系人认为本次竞选活动违反法律、法规和规章规定的，有权向比选人监督部门投诉。</w:t>
      </w:r>
    </w:p>
    <w:p>
      <w:pPr>
        <w:pStyle w:val="5"/>
        <w:spacing w:before="0" w:line="360" w:lineRule="auto"/>
        <w:rPr>
          <w:rFonts w:asciiTheme="majorEastAsia" w:hAnsiTheme="majorEastAsia" w:eastAsiaTheme="majorEastAsia"/>
          <w:sz w:val="22"/>
          <w:szCs w:val="22"/>
        </w:rPr>
      </w:pPr>
      <w:bookmarkStart w:id="206" w:name="_Toc2691"/>
      <w:bookmarkEnd w:id="206"/>
      <w:bookmarkStart w:id="207" w:name="_Toc12731765"/>
      <w:bookmarkStart w:id="208" w:name="_Toc44420149"/>
      <w:bookmarkStart w:id="209" w:name="_Toc23303"/>
      <w:bookmarkStart w:id="210" w:name="_Toc14524568"/>
      <w:bookmarkStart w:id="211" w:name="_Toc2083222"/>
      <w:bookmarkStart w:id="212" w:name="_Toc12731228"/>
      <w:bookmarkStart w:id="213" w:name="_Toc44433346"/>
      <w:bookmarkStart w:id="214" w:name="_Toc12727421"/>
      <w:r>
        <w:rPr>
          <w:rFonts w:hint="eastAsia" w:asciiTheme="majorEastAsia" w:hAnsiTheme="majorEastAsia" w:eastAsiaTheme="majorEastAsia"/>
          <w:sz w:val="22"/>
          <w:szCs w:val="22"/>
        </w:rPr>
        <w:t>9</w:t>
      </w:r>
      <w:r>
        <w:rPr>
          <w:rFonts w:asciiTheme="majorEastAsia" w:hAnsiTheme="majorEastAsia" w:eastAsiaTheme="majorEastAsia"/>
          <w:sz w:val="22"/>
          <w:szCs w:val="22"/>
        </w:rPr>
        <w:t xml:space="preserve">. </w:t>
      </w:r>
      <w:r>
        <w:rPr>
          <w:rFonts w:hint="eastAsia" w:asciiTheme="majorEastAsia" w:hAnsiTheme="majorEastAsia" w:eastAsiaTheme="majorEastAsia"/>
          <w:sz w:val="22"/>
          <w:szCs w:val="22"/>
        </w:rPr>
        <w:t>需要补充的其他内容</w:t>
      </w:r>
      <w:bookmarkEnd w:id="207"/>
      <w:bookmarkEnd w:id="208"/>
      <w:bookmarkEnd w:id="209"/>
      <w:bookmarkEnd w:id="210"/>
      <w:bookmarkEnd w:id="211"/>
      <w:bookmarkEnd w:id="212"/>
      <w:bookmarkEnd w:id="213"/>
      <w:bookmarkEnd w:id="214"/>
    </w:p>
    <w:p>
      <w:pPr>
        <w:spacing w:line="360" w:lineRule="auto"/>
        <w:ind w:firstLine="440"/>
        <w:rPr>
          <w:rFonts w:asciiTheme="majorEastAsia" w:hAnsiTheme="majorEastAsia" w:eastAsiaTheme="majorEastAsia"/>
          <w:sz w:val="22"/>
          <w:szCs w:val="22"/>
        </w:rPr>
      </w:pPr>
      <w:bookmarkStart w:id="215" w:name="_Toc44420150"/>
      <w:r>
        <w:rPr>
          <w:rFonts w:hint="eastAsia" w:asciiTheme="majorEastAsia" w:hAnsiTheme="majorEastAsia" w:eastAsiaTheme="majorEastAsia"/>
          <w:sz w:val="22"/>
          <w:szCs w:val="22"/>
        </w:rPr>
        <w:t>需要补充的其他内容：见比选申请人须知前附表。</w:t>
      </w:r>
      <w:bookmarkEnd w:id="215"/>
    </w:p>
    <w:p>
      <w:pPr>
        <w:spacing w:line="360" w:lineRule="auto"/>
        <w:ind w:firstLine="440"/>
        <w:rPr>
          <w:rFonts w:asciiTheme="majorEastAsia" w:hAnsiTheme="majorEastAsia" w:eastAsiaTheme="majorEastAsia"/>
          <w:sz w:val="22"/>
          <w:szCs w:val="22"/>
        </w:rPr>
      </w:pPr>
    </w:p>
    <w:p>
      <w:pPr>
        <w:autoSpaceDE w:val="0"/>
        <w:autoSpaceDN w:val="0"/>
        <w:adjustRightInd w:val="0"/>
        <w:snapToGrid w:val="0"/>
        <w:spacing w:line="360" w:lineRule="auto"/>
        <w:ind w:firstLine="420" w:firstLineChars="200"/>
        <w:jc w:val="left"/>
        <w:rPr>
          <w:rFonts w:asciiTheme="majorEastAsia" w:hAnsiTheme="majorEastAsia" w:eastAsiaTheme="majorEastAsia"/>
          <w:snapToGrid w:val="0"/>
          <w:kern w:val="0"/>
          <w:szCs w:val="21"/>
        </w:rPr>
      </w:pPr>
      <w:r>
        <w:rPr>
          <w:rFonts w:asciiTheme="majorEastAsia" w:hAnsiTheme="majorEastAsia" w:eastAsiaTheme="majorEastAsia"/>
          <w:snapToGrid w:val="0"/>
          <w:kern w:val="0"/>
          <w:szCs w:val="21"/>
        </w:rPr>
        <w:br w:type="page"/>
      </w:r>
    </w:p>
    <w:bookmarkEnd w:id="32"/>
    <w:p>
      <w:pPr>
        <w:pStyle w:val="3"/>
        <w:ind w:left="0" w:firstLine="0"/>
        <w:rPr>
          <w:rFonts w:asciiTheme="majorEastAsia" w:hAnsiTheme="majorEastAsia" w:eastAsiaTheme="majorEastAsia"/>
          <w:kern w:val="0"/>
          <w:sz w:val="36"/>
          <w:szCs w:val="36"/>
        </w:rPr>
      </w:pPr>
      <w:bookmarkStart w:id="216" w:name="_Toc28097766"/>
      <w:bookmarkStart w:id="217" w:name="_Toc12555"/>
      <w:r>
        <w:rPr>
          <w:rFonts w:hint="eastAsia" w:asciiTheme="majorEastAsia" w:hAnsiTheme="majorEastAsia" w:eastAsiaTheme="majorEastAsia"/>
          <w:b/>
          <w:kern w:val="0"/>
          <w:sz w:val="36"/>
          <w:szCs w:val="36"/>
        </w:rPr>
        <w:t>第三章</w:t>
      </w:r>
      <w:bookmarkStart w:id="218" w:name="_Toc29175"/>
      <w:bookmarkStart w:id="219" w:name="_Toc262469204"/>
      <w:bookmarkStart w:id="220" w:name="_Toc27815"/>
      <w:bookmarkStart w:id="221" w:name="_Toc260312556"/>
      <w:r>
        <w:rPr>
          <w:rFonts w:hint="eastAsia" w:asciiTheme="majorEastAsia" w:hAnsiTheme="majorEastAsia" w:eastAsiaTheme="majorEastAsia"/>
          <w:b/>
          <w:kern w:val="0"/>
          <w:sz w:val="36"/>
          <w:szCs w:val="36"/>
        </w:rPr>
        <w:t xml:space="preserve"> 评审</w:t>
      </w:r>
      <w:r>
        <w:rPr>
          <w:rFonts w:asciiTheme="majorEastAsia" w:hAnsiTheme="majorEastAsia" w:eastAsiaTheme="majorEastAsia"/>
          <w:b/>
          <w:kern w:val="0"/>
          <w:sz w:val="36"/>
          <w:szCs w:val="36"/>
        </w:rPr>
        <w:t>办法</w:t>
      </w:r>
      <w:bookmarkEnd w:id="216"/>
      <w:bookmarkEnd w:id="218"/>
      <w:bookmarkEnd w:id="219"/>
      <w:bookmarkEnd w:id="220"/>
      <w:bookmarkEnd w:id="221"/>
      <w:r>
        <w:rPr>
          <w:rFonts w:hint="eastAsia" w:asciiTheme="majorEastAsia" w:hAnsiTheme="majorEastAsia" w:eastAsiaTheme="majorEastAsia"/>
          <w:b/>
          <w:kern w:val="0"/>
          <w:sz w:val="36"/>
          <w:szCs w:val="36"/>
        </w:rPr>
        <w:t>（经评审的最低投标价</w:t>
      </w:r>
      <w:r>
        <w:rPr>
          <w:rFonts w:asciiTheme="majorEastAsia" w:hAnsiTheme="majorEastAsia" w:eastAsiaTheme="majorEastAsia"/>
          <w:b/>
          <w:kern w:val="0"/>
          <w:sz w:val="36"/>
          <w:szCs w:val="36"/>
        </w:rPr>
        <w:t>法</w:t>
      </w:r>
      <w:r>
        <w:rPr>
          <w:rFonts w:hint="eastAsia" w:asciiTheme="majorEastAsia" w:hAnsiTheme="majorEastAsia" w:eastAsiaTheme="majorEastAsia"/>
          <w:b/>
          <w:kern w:val="0"/>
          <w:sz w:val="36"/>
          <w:szCs w:val="36"/>
        </w:rPr>
        <w:t>）</w:t>
      </w:r>
      <w:bookmarkEnd w:id="217"/>
    </w:p>
    <w:p>
      <w:pPr>
        <w:keepNext/>
        <w:keepLines/>
        <w:spacing w:line="360" w:lineRule="auto"/>
        <w:outlineLvl w:val="1"/>
        <w:rPr>
          <w:rFonts w:asciiTheme="majorEastAsia" w:hAnsiTheme="majorEastAsia" w:eastAsiaTheme="majorEastAsia"/>
          <w:b/>
          <w:bCs/>
          <w:sz w:val="24"/>
          <w:szCs w:val="28"/>
        </w:rPr>
      </w:pPr>
      <w:bookmarkStart w:id="222" w:name="_Toc447114685"/>
      <w:bookmarkStart w:id="223" w:name="_Toc432115588"/>
      <w:bookmarkStart w:id="224" w:name="_Toc507402417"/>
      <w:bookmarkStart w:id="225" w:name="_Toc13687"/>
      <w:bookmarkStart w:id="226" w:name="_Toc30110"/>
      <w:bookmarkStart w:id="227" w:name="_Toc260312558"/>
      <w:bookmarkStart w:id="228" w:name="_Toc9623"/>
      <w:r>
        <w:rPr>
          <w:rFonts w:hint="eastAsia" w:asciiTheme="majorEastAsia" w:hAnsiTheme="majorEastAsia" w:eastAsiaTheme="majorEastAsia"/>
          <w:b/>
          <w:bCs/>
          <w:sz w:val="24"/>
          <w:szCs w:val="28"/>
        </w:rPr>
        <w:t>评审办法前附表</w:t>
      </w:r>
      <w:bookmarkEnd w:id="222"/>
      <w:bookmarkEnd w:id="223"/>
      <w:bookmarkEnd w:id="224"/>
      <w:bookmarkEnd w:id="225"/>
      <w:bookmarkEnd w:id="226"/>
      <w:bookmarkEnd w:id="227"/>
      <w:bookmarkEnd w:id="228"/>
    </w:p>
    <w:tbl>
      <w:tblPr>
        <w:tblStyle w:val="57"/>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051"/>
        <w:gridCol w:w="1985"/>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blHeader/>
          <w:jc w:val="center"/>
        </w:trPr>
        <w:tc>
          <w:tcPr>
            <w:tcW w:w="1965" w:type="dxa"/>
            <w:gridSpan w:val="2"/>
            <w:vAlign w:val="center"/>
          </w:tcPr>
          <w:p>
            <w:pPr>
              <w:spacing w:line="400" w:lineRule="exact"/>
              <w:jc w:val="center"/>
              <w:rPr>
                <w:rFonts w:cs="宋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rPr>
              <w:t>条款号</w:t>
            </w:r>
          </w:p>
        </w:tc>
        <w:tc>
          <w:tcPr>
            <w:tcW w:w="1985" w:type="dxa"/>
            <w:vAlign w:val="center"/>
          </w:tcPr>
          <w:p>
            <w:pPr>
              <w:spacing w:line="400" w:lineRule="exact"/>
              <w:jc w:val="center"/>
              <w:rPr>
                <w:rFonts w:cs="宋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rPr>
              <w:t>评审因素</w:t>
            </w:r>
          </w:p>
        </w:tc>
        <w:tc>
          <w:tcPr>
            <w:tcW w:w="5650" w:type="dxa"/>
            <w:vAlign w:val="center"/>
          </w:tcPr>
          <w:p>
            <w:pPr>
              <w:spacing w:line="400" w:lineRule="exact"/>
              <w:jc w:val="center"/>
              <w:rPr>
                <w:rFonts w:cs="宋体" w:asciiTheme="majorEastAsia" w:hAnsiTheme="majorEastAsia" w:eastAsiaTheme="majorEastAsia"/>
                <w:b/>
                <w:kern w:val="0"/>
                <w:sz w:val="22"/>
                <w:szCs w:val="22"/>
              </w:rPr>
            </w:pPr>
            <w:r>
              <w:rPr>
                <w:rFonts w:hint="eastAsia" w:cs="宋体" w:asciiTheme="majorEastAsia" w:hAnsiTheme="majorEastAsia" w:eastAsiaTheme="majorEastAsia"/>
                <w:b/>
                <w:kern w:val="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vMerge w:val="restart"/>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1.1</w:t>
            </w:r>
          </w:p>
        </w:tc>
        <w:tc>
          <w:tcPr>
            <w:tcW w:w="1051" w:type="dxa"/>
            <w:vMerge w:val="restart"/>
            <w:textDirection w:val="tbRlV"/>
            <w:vAlign w:val="center"/>
          </w:tcPr>
          <w:p>
            <w:pPr>
              <w:spacing w:line="400" w:lineRule="exact"/>
              <w:jc w:val="center"/>
              <w:rPr>
                <w:rFonts w:cs="宋体" w:asciiTheme="majorEastAsia" w:hAnsiTheme="majorEastAsia" w:eastAsiaTheme="majorEastAsia"/>
                <w:b/>
                <w:kern w:val="0"/>
                <w:sz w:val="22"/>
                <w:szCs w:val="22"/>
              </w:rPr>
            </w:pPr>
            <w:r>
              <w:rPr>
                <w:rFonts w:hint="eastAsia" w:cs="宋体" w:asciiTheme="majorEastAsia" w:hAnsiTheme="majorEastAsia" w:eastAsiaTheme="majorEastAsia"/>
                <w:bCs/>
                <w:kern w:val="0"/>
                <w:sz w:val="22"/>
                <w:szCs w:val="22"/>
              </w:rPr>
              <w:t>形式评审标准</w:t>
            </w: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比选申请人名称</w:t>
            </w:r>
          </w:p>
        </w:tc>
        <w:tc>
          <w:tcPr>
            <w:tcW w:w="5650" w:type="dxa"/>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与营业执照、资质证书、安全生产许可证等一致。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b/>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比选申请函签字盖章</w:t>
            </w:r>
          </w:p>
        </w:tc>
        <w:tc>
          <w:tcPr>
            <w:tcW w:w="5650" w:type="dxa"/>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9"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b/>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比选申请文件格式</w:t>
            </w:r>
          </w:p>
        </w:tc>
        <w:tc>
          <w:tcPr>
            <w:tcW w:w="5650" w:type="dxa"/>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符合第八章“比选申请文件格式”的要求，同时字迹清晰可辨。</w:t>
            </w:r>
          </w:p>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1.比选申请函应符合比选文件的规定；</w:t>
            </w:r>
          </w:p>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2.比选申请文件内容均按比选文件规定填写；</w:t>
            </w:r>
          </w:p>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3.比选申请文件正本、副本数量符合比选文件要求；</w:t>
            </w:r>
          </w:p>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4.比选申请文件的编制符合第二章“比选申请人须知”3.8项的规定。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b/>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报价唯一</w:t>
            </w:r>
          </w:p>
        </w:tc>
        <w:tc>
          <w:tcPr>
            <w:tcW w:w="5650" w:type="dxa"/>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b/>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比选申请文件的签署</w:t>
            </w:r>
          </w:p>
        </w:tc>
        <w:tc>
          <w:tcPr>
            <w:tcW w:w="5650" w:type="dxa"/>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比选申请文件上法定代表人或其授权代理人的签字齐全。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3"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b/>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委托代理人</w:t>
            </w:r>
          </w:p>
        </w:tc>
        <w:tc>
          <w:tcPr>
            <w:tcW w:w="5650" w:type="dxa"/>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14" w:type="dxa"/>
            <w:vMerge w:val="restart"/>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1.2</w:t>
            </w:r>
          </w:p>
        </w:tc>
        <w:tc>
          <w:tcPr>
            <w:tcW w:w="1051" w:type="dxa"/>
            <w:vMerge w:val="restart"/>
            <w:textDirection w:val="tbRlV"/>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资格评审标准</w:t>
            </w:r>
          </w:p>
        </w:tc>
        <w:tc>
          <w:tcPr>
            <w:tcW w:w="1985" w:type="dxa"/>
            <w:tcBorders>
              <w:right w:val="single" w:color="auto" w:sz="6" w:space="0"/>
            </w:tcBorders>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营业执照</w:t>
            </w:r>
          </w:p>
        </w:tc>
        <w:tc>
          <w:tcPr>
            <w:tcW w:w="5650" w:type="dxa"/>
            <w:tcBorders>
              <w:left w:val="single" w:color="auto" w:sz="6" w:space="0"/>
            </w:tcBorders>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14" w:type="dxa"/>
            <w:vMerge w:val="continue"/>
            <w:vAlign w:val="center"/>
          </w:tcPr>
          <w:p>
            <w:pPr>
              <w:spacing w:line="400" w:lineRule="exact"/>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400" w:lineRule="exact"/>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资质要求</w:t>
            </w:r>
          </w:p>
        </w:tc>
        <w:tc>
          <w:tcPr>
            <w:tcW w:w="5650" w:type="dxa"/>
            <w:tcBorders>
              <w:left w:val="single" w:color="auto" w:sz="6" w:space="0"/>
            </w:tcBorders>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14" w:type="dxa"/>
            <w:vMerge w:val="continue"/>
            <w:vAlign w:val="center"/>
          </w:tcPr>
          <w:p>
            <w:pPr>
              <w:spacing w:line="400" w:lineRule="exact"/>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400" w:lineRule="exact"/>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安全生产条件</w:t>
            </w:r>
          </w:p>
        </w:tc>
        <w:tc>
          <w:tcPr>
            <w:tcW w:w="5650" w:type="dxa"/>
            <w:tcBorders>
              <w:left w:val="single" w:color="auto" w:sz="6" w:space="0"/>
            </w:tcBorders>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14" w:type="dxa"/>
            <w:vMerge w:val="continue"/>
            <w:vAlign w:val="center"/>
          </w:tcPr>
          <w:p>
            <w:pPr>
              <w:spacing w:line="400" w:lineRule="exact"/>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400" w:lineRule="exact"/>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财务要求</w:t>
            </w:r>
          </w:p>
        </w:tc>
        <w:tc>
          <w:tcPr>
            <w:tcW w:w="5650" w:type="dxa"/>
            <w:tcBorders>
              <w:left w:val="single" w:color="auto" w:sz="6" w:space="0"/>
            </w:tcBorders>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14" w:type="dxa"/>
            <w:vMerge w:val="continue"/>
            <w:vAlign w:val="center"/>
          </w:tcPr>
          <w:p>
            <w:pPr>
              <w:spacing w:line="400" w:lineRule="exact"/>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400" w:lineRule="exact"/>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业绩要求</w:t>
            </w:r>
          </w:p>
        </w:tc>
        <w:tc>
          <w:tcPr>
            <w:tcW w:w="5650" w:type="dxa"/>
            <w:tcBorders>
              <w:left w:val="single" w:color="auto" w:sz="6" w:space="0"/>
            </w:tcBorders>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914" w:type="dxa"/>
            <w:vMerge w:val="continue"/>
            <w:vAlign w:val="center"/>
          </w:tcPr>
          <w:p>
            <w:pPr>
              <w:spacing w:line="400" w:lineRule="exact"/>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400" w:lineRule="exact"/>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项目经理资格要求</w:t>
            </w:r>
          </w:p>
        </w:tc>
        <w:tc>
          <w:tcPr>
            <w:tcW w:w="5650" w:type="dxa"/>
            <w:tcBorders>
              <w:left w:val="single" w:color="auto" w:sz="6" w:space="0"/>
            </w:tcBorders>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914" w:type="dxa"/>
            <w:vMerge w:val="continue"/>
            <w:vAlign w:val="center"/>
          </w:tcPr>
          <w:p>
            <w:pPr>
              <w:spacing w:line="400" w:lineRule="exact"/>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400" w:lineRule="exact"/>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技术负责人资格要求</w:t>
            </w:r>
          </w:p>
        </w:tc>
        <w:tc>
          <w:tcPr>
            <w:tcW w:w="5650" w:type="dxa"/>
            <w:tcBorders>
              <w:left w:val="single" w:color="auto" w:sz="6" w:space="0"/>
            </w:tcBorders>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14" w:type="dxa"/>
            <w:vMerge w:val="continue"/>
            <w:vAlign w:val="center"/>
          </w:tcPr>
          <w:p>
            <w:pPr>
              <w:spacing w:line="400" w:lineRule="exact"/>
              <w:jc w:val="center"/>
              <w:rPr>
                <w:rFonts w:cs="宋体" w:asciiTheme="majorEastAsia" w:hAnsiTheme="majorEastAsia" w:eastAsiaTheme="majorEastAsia"/>
                <w:kern w:val="0"/>
                <w:sz w:val="22"/>
                <w:szCs w:val="22"/>
              </w:rPr>
            </w:pPr>
          </w:p>
        </w:tc>
        <w:tc>
          <w:tcPr>
            <w:tcW w:w="1051" w:type="dxa"/>
            <w:vMerge w:val="continue"/>
            <w:textDirection w:val="tbRlV"/>
            <w:vAlign w:val="center"/>
          </w:tcPr>
          <w:p>
            <w:pPr>
              <w:spacing w:line="400" w:lineRule="exact"/>
              <w:jc w:val="center"/>
              <w:rPr>
                <w:rFonts w:cs="宋体" w:asciiTheme="majorEastAsia" w:hAnsiTheme="majorEastAsia" w:eastAsiaTheme="majorEastAsia"/>
                <w:kern w:val="0"/>
                <w:sz w:val="22"/>
                <w:szCs w:val="22"/>
              </w:rPr>
            </w:pPr>
          </w:p>
        </w:tc>
        <w:tc>
          <w:tcPr>
            <w:tcW w:w="1985" w:type="dxa"/>
            <w:tcBorders>
              <w:right w:val="single" w:color="auto" w:sz="6" w:space="0"/>
            </w:tcBorders>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主要管理人员要求</w:t>
            </w:r>
          </w:p>
        </w:tc>
        <w:tc>
          <w:tcPr>
            <w:tcW w:w="5650" w:type="dxa"/>
            <w:tcBorders>
              <w:left w:val="single" w:color="auto" w:sz="6" w:space="0"/>
            </w:tcBorders>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14" w:type="dxa"/>
            <w:vMerge w:val="continue"/>
            <w:vAlign w:val="center"/>
          </w:tcPr>
          <w:p>
            <w:pPr>
              <w:spacing w:line="400" w:lineRule="exact"/>
              <w:ind w:firstLine="440"/>
              <w:rPr>
                <w:rFonts w:asciiTheme="majorEastAsia" w:hAnsiTheme="majorEastAsia" w:eastAsiaTheme="majorEastAsia"/>
                <w:sz w:val="22"/>
                <w:szCs w:val="22"/>
              </w:rPr>
            </w:pPr>
          </w:p>
        </w:tc>
        <w:tc>
          <w:tcPr>
            <w:tcW w:w="1051" w:type="dxa"/>
            <w:vMerge w:val="continue"/>
            <w:textDirection w:val="tbRlV"/>
            <w:vAlign w:val="center"/>
          </w:tcPr>
          <w:p>
            <w:pPr>
              <w:spacing w:line="400" w:lineRule="exact"/>
              <w:ind w:firstLine="440"/>
              <w:rPr>
                <w:rFonts w:asciiTheme="majorEastAsia" w:hAnsiTheme="majorEastAsia" w:eastAsiaTheme="majorEastAsia"/>
                <w:sz w:val="22"/>
                <w:szCs w:val="22"/>
              </w:rPr>
            </w:pPr>
          </w:p>
        </w:tc>
        <w:tc>
          <w:tcPr>
            <w:tcW w:w="1985" w:type="dxa"/>
            <w:tcBorders>
              <w:right w:val="single" w:color="auto" w:sz="6" w:space="0"/>
            </w:tcBorders>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信誉要求</w:t>
            </w:r>
          </w:p>
        </w:tc>
        <w:tc>
          <w:tcPr>
            <w:tcW w:w="5650" w:type="dxa"/>
            <w:tcBorders>
              <w:left w:val="single" w:color="auto" w:sz="6" w:space="0"/>
            </w:tcBorders>
            <w:vAlign w:val="center"/>
          </w:tcPr>
          <w:p>
            <w:pPr>
              <w:spacing w:line="400" w:lineRule="exact"/>
              <w:ind w:firstLine="440"/>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914" w:type="dxa"/>
            <w:vMerge w:val="continue"/>
            <w:vAlign w:val="center"/>
          </w:tcPr>
          <w:p>
            <w:pPr>
              <w:spacing w:line="400" w:lineRule="exact"/>
              <w:ind w:firstLine="440"/>
              <w:rPr>
                <w:rFonts w:asciiTheme="majorEastAsia" w:hAnsiTheme="majorEastAsia" w:eastAsiaTheme="majorEastAsia"/>
                <w:sz w:val="22"/>
                <w:szCs w:val="22"/>
              </w:rPr>
            </w:pPr>
          </w:p>
        </w:tc>
        <w:tc>
          <w:tcPr>
            <w:tcW w:w="1051" w:type="dxa"/>
            <w:vMerge w:val="continue"/>
            <w:textDirection w:val="tbRlV"/>
            <w:vAlign w:val="center"/>
          </w:tcPr>
          <w:p>
            <w:pPr>
              <w:spacing w:line="400" w:lineRule="exact"/>
              <w:ind w:firstLine="440"/>
              <w:rPr>
                <w:rFonts w:asciiTheme="majorEastAsia" w:hAnsiTheme="majorEastAsia" w:eastAsiaTheme="majorEastAsia"/>
                <w:sz w:val="22"/>
                <w:szCs w:val="22"/>
              </w:rPr>
            </w:pPr>
          </w:p>
        </w:tc>
        <w:tc>
          <w:tcPr>
            <w:tcW w:w="1985" w:type="dxa"/>
            <w:tcBorders>
              <w:right w:val="single" w:color="auto" w:sz="6" w:space="0"/>
            </w:tcBorders>
            <w:vAlign w:val="center"/>
          </w:tcPr>
          <w:p>
            <w:pPr>
              <w:spacing w:line="400" w:lineRule="exact"/>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其他要求</w:t>
            </w:r>
          </w:p>
        </w:tc>
        <w:tc>
          <w:tcPr>
            <w:tcW w:w="5650" w:type="dxa"/>
            <w:tcBorders>
              <w:left w:val="single" w:color="auto" w:sz="6" w:space="0"/>
            </w:tcBorders>
            <w:vAlign w:val="center"/>
          </w:tcPr>
          <w:p>
            <w:pPr>
              <w:spacing w:line="400" w:lineRule="exact"/>
              <w:ind w:firstLine="440"/>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符合第二章“比选申请人须知前附表”第1.4.1项的规定。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vMerge w:val="restart"/>
            <w:vAlign w:val="center"/>
          </w:tcPr>
          <w:p>
            <w:pPr>
              <w:spacing w:line="400" w:lineRule="exact"/>
              <w:jc w:val="center"/>
              <w:rPr>
                <w:rFonts w:cs="宋体" w:asciiTheme="majorEastAsia" w:hAnsiTheme="majorEastAsia" w:eastAsiaTheme="majorEastAsia"/>
                <w:sz w:val="22"/>
                <w:szCs w:val="22"/>
              </w:rPr>
            </w:pPr>
            <w:r>
              <w:rPr>
                <w:rFonts w:hint="eastAsia" w:cs="宋体" w:asciiTheme="majorEastAsia" w:hAnsiTheme="majorEastAsia" w:eastAsiaTheme="majorEastAsia"/>
                <w:kern w:val="0"/>
                <w:sz w:val="22"/>
                <w:szCs w:val="22"/>
              </w:rPr>
              <w:t>1.3</w:t>
            </w:r>
          </w:p>
        </w:tc>
        <w:tc>
          <w:tcPr>
            <w:tcW w:w="1051" w:type="dxa"/>
            <w:vMerge w:val="restart"/>
            <w:textDirection w:val="tbRlV"/>
            <w:vAlign w:val="center"/>
          </w:tcPr>
          <w:p>
            <w:pPr>
              <w:spacing w:line="400" w:lineRule="exact"/>
              <w:jc w:val="center"/>
              <w:rPr>
                <w:rFonts w:cs="宋体" w:asciiTheme="majorEastAsia" w:hAnsiTheme="majorEastAsia" w:eastAsiaTheme="majorEastAsia"/>
                <w:sz w:val="22"/>
                <w:szCs w:val="22"/>
              </w:rPr>
            </w:pPr>
            <w:r>
              <w:rPr>
                <w:rFonts w:hint="eastAsia" w:cs="宋体" w:asciiTheme="majorEastAsia" w:hAnsiTheme="majorEastAsia" w:eastAsiaTheme="majorEastAsia"/>
                <w:kern w:val="0"/>
                <w:sz w:val="22"/>
                <w:szCs w:val="22"/>
              </w:rPr>
              <w:t>响应性评审标准</w:t>
            </w: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比选申请总报价</w:t>
            </w:r>
          </w:p>
        </w:tc>
        <w:tc>
          <w:tcPr>
            <w:tcW w:w="5650" w:type="dxa"/>
            <w:vAlign w:val="center"/>
          </w:tcPr>
          <w:p>
            <w:pPr>
              <w:spacing w:line="400" w:lineRule="exact"/>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比选申请总报价不得高于比选人公布的最高限价。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比选申请内容</w:t>
            </w:r>
          </w:p>
        </w:tc>
        <w:tc>
          <w:tcPr>
            <w:tcW w:w="5650" w:type="dxa"/>
            <w:vAlign w:val="center"/>
          </w:tcPr>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w:t>
            </w:r>
            <w:r>
              <w:rPr>
                <w:rFonts w:asciiTheme="majorEastAsia" w:hAnsiTheme="majorEastAsia" w:eastAsiaTheme="majorEastAsia"/>
                <w:sz w:val="22"/>
                <w:szCs w:val="22"/>
              </w:rPr>
              <w:t>1.3.1</w:t>
            </w:r>
            <w:r>
              <w:rPr>
                <w:rFonts w:hint="eastAsia" w:asciiTheme="majorEastAsia" w:hAnsiTheme="majorEastAsia" w:eastAsiaTheme="majorEastAsia"/>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工期</w:t>
            </w:r>
          </w:p>
        </w:tc>
        <w:tc>
          <w:tcPr>
            <w:tcW w:w="5650" w:type="dxa"/>
            <w:vAlign w:val="center"/>
          </w:tcPr>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w:t>
            </w:r>
            <w:r>
              <w:rPr>
                <w:rFonts w:asciiTheme="majorEastAsia" w:hAnsiTheme="majorEastAsia" w:eastAsiaTheme="majorEastAsia"/>
                <w:sz w:val="22"/>
                <w:szCs w:val="22"/>
              </w:rPr>
              <w:t>1.3.2</w:t>
            </w:r>
            <w:r>
              <w:rPr>
                <w:rFonts w:hint="eastAsia" w:asciiTheme="majorEastAsia" w:hAnsiTheme="majorEastAsia" w:eastAsiaTheme="majorEastAsia"/>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工程质量</w:t>
            </w:r>
          </w:p>
        </w:tc>
        <w:tc>
          <w:tcPr>
            <w:tcW w:w="5650" w:type="dxa"/>
            <w:vAlign w:val="center"/>
          </w:tcPr>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w:t>
            </w:r>
            <w:r>
              <w:rPr>
                <w:rFonts w:asciiTheme="majorEastAsia" w:hAnsiTheme="majorEastAsia" w:eastAsiaTheme="majorEastAsia"/>
                <w:sz w:val="22"/>
                <w:szCs w:val="22"/>
              </w:rPr>
              <w:t>1.3.3</w:t>
            </w:r>
            <w:r>
              <w:rPr>
                <w:rFonts w:hint="eastAsia" w:asciiTheme="majorEastAsia" w:hAnsiTheme="majorEastAsia" w:eastAsiaTheme="majorEastAsia"/>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比选申请有效期</w:t>
            </w:r>
          </w:p>
        </w:tc>
        <w:tc>
          <w:tcPr>
            <w:tcW w:w="5650" w:type="dxa"/>
            <w:vAlign w:val="center"/>
          </w:tcPr>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w:t>
            </w:r>
            <w:r>
              <w:rPr>
                <w:rFonts w:asciiTheme="majorEastAsia" w:hAnsiTheme="majorEastAsia" w:eastAsiaTheme="majorEastAsia"/>
                <w:sz w:val="22"/>
                <w:szCs w:val="22"/>
              </w:rPr>
              <w:t>3.</w:t>
            </w:r>
            <w:r>
              <w:rPr>
                <w:rFonts w:hint="eastAsia" w:asciiTheme="majorEastAsia" w:hAnsiTheme="majorEastAsia" w:eastAsiaTheme="majorEastAsia"/>
                <w:sz w:val="22"/>
                <w:szCs w:val="22"/>
              </w:rPr>
              <w:t>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投标保证金</w:t>
            </w:r>
          </w:p>
        </w:tc>
        <w:tc>
          <w:tcPr>
            <w:tcW w:w="5650" w:type="dxa"/>
            <w:vAlign w:val="center"/>
          </w:tcPr>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符合第二章“比选申请人须知前附表”第</w:t>
            </w:r>
            <w:r>
              <w:rPr>
                <w:rFonts w:asciiTheme="majorEastAsia" w:hAnsiTheme="majorEastAsia" w:eastAsiaTheme="majorEastAsia"/>
                <w:sz w:val="22"/>
                <w:szCs w:val="22"/>
              </w:rPr>
              <w:t>3.</w:t>
            </w:r>
            <w:r>
              <w:rPr>
                <w:rFonts w:hint="eastAsia" w:asciiTheme="majorEastAsia" w:hAnsiTheme="majorEastAsia" w:eastAsiaTheme="majorEastAsia"/>
                <w:sz w:val="22"/>
                <w:szCs w:val="22"/>
              </w:rPr>
              <w:t>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权利义务</w:t>
            </w:r>
          </w:p>
        </w:tc>
        <w:tc>
          <w:tcPr>
            <w:tcW w:w="5650" w:type="dxa"/>
            <w:vAlign w:val="center"/>
          </w:tcPr>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符合第四章“合同条款及格式”规定，比选申请文件不应附有比选人不能接受的条件。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sz w:val="22"/>
                <w:szCs w:val="22"/>
              </w:rPr>
            </w:pPr>
          </w:p>
        </w:tc>
        <w:tc>
          <w:tcPr>
            <w:tcW w:w="1985" w:type="dxa"/>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已标价工程量清单</w:t>
            </w:r>
          </w:p>
        </w:tc>
        <w:tc>
          <w:tcPr>
            <w:tcW w:w="5650" w:type="dxa"/>
            <w:vAlign w:val="center"/>
          </w:tcPr>
          <w:p>
            <w:pPr>
              <w:spacing w:line="400" w:lineRule="exact"/>
              <w:ind w:firstLine="406" w:firstLineChars="184"/>
              <w:rPr>
                <w:rFonts w:asciiTheme="majorEastAsia" w:hAnsiTheme="majorEastAsia" w:eastAsiaTheme="majorEastAsia"/>
                <w:sz w:val="22"/>
                <w:szCs w:val="22"/>
              </w:rPr>
            </w:pPr>
            <w:r>
              <w:rPr>
                <w:rFonts w:hint="eastAsia" w:asciiTheme="majorEastAsia" w:hAnsiTheme="majorEastAsia" w:eastAsiaTheme="majorEastAsia"/>
                <w:b/>
                <w:bCs/>
                <w:sz w:val="22"/>
                <w:szCs w:val="22"/>
              </w:rPr>
              <w:t>比选申请人承诺（格式自拟）</w:t>
            </w:r>
            <w:r>
              <w:rPr>
                <w:rFonts w:hint="eastAsia" w:asciiTheme="majorEastAsia" w:hAnsiTheme="majorEastAsia" w:eastAsiaTheme="majorEastAsia"/>
                <w:sz w:val="22"/>
                <w:szCs w:val="22"/>
              </w:rPr>
              <w:t>满足以下内容：</w:t>
            </w:r>
          </w:p>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1.符合第五章“工程量清单”给出的范围及数量。</w:t>
            </w:r>
          </w:p>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2.竞争性比选文件中规定工程量清单不允许修改的内容不得修改。</w:t>
            </w:r>
          </w:p>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3.每项工程量清单综合单价报价不得高于对应工程量清单综合单价最高限价。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sz w:val="22"/>
                <w:szCs w:val="22"/>
              </w:rPr>
            </w:pPr>
          </w:p>
        </w:tc>
        <w:tc>
          <w:tcPr>
            <w:tcW w:w="1985" w:type="dxa"/>
            <w:vAlign w:val="center"/>
          </w:tcPr>
          <w:p>
            <w:pPr>
              <w:spacing w:line="400" w:lineRule="exact"/>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技术标准和要求</w:t>
            </w:r>
          </w:p>
        </w:tc>
        <w:tc>
          <w:tcPr>
            <w:tcW w:w="5650" w:type="dxa"/>
            <w:vAlign w:val="center"/>
          </w:tcPr>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符合第七章“技术标准和要求”规定，且比选申请文件中载明的主要施工技术和方法及质量检验标准符合国家规范、规程和强制性标准。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sz w:val="22"/>
                <w:szCs w:val="22"/>
              </w:rPr>
            </w:pPr>
          </w:p>
        </w:tc>
        <w:tc>
          <w:tcPr>
            <w:tcW w:w="1985" w:type="dxa"/>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投标报价算术错误修正</w:t>
            </w:r>
          </w:p>
        </w:tc>
        <w:tc>
          <w:tcPr>
            <w:tcW w:w="5650" w:type="dxa"/>
            <w:vAlign w:val="center"/>
          </w:tcPr>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914" w:type="dxa"/>
            <w:vMerge w:val="continue"/>
          </w:tcPr>
          <w:p>
            <w:pPr>
              <w:spacing w:line="400" w:lineRule="exact"/>
              <w:jc w:val="center"/>
              <w:rPr>
                <w:rFonts w:cs="宋体" w:asciiTheme="majorEastAsia" w:hAnsiTheme="majorEastAsia" w:eastAsiaTheme="majorEastAsia"/>
                <w:sz w:val="22"/>
                <w:szCs w:val="22"/>
              </w:rPr>
            </w:pPr>
          </w:p>
        </w:tc>
        <w:tc>
          <w:tcPr>
            <w:tcW w:w="1051" w:type="dxa"/>
            <w:vMerge w:val="continue"/>
          </w:tcPr>
          <w:p>
            <w:pPr>
              <w:spacing w:line="400" w:lineRule="exact"/>
              <w:jc w:val="center"/>
              <w:rPr>
                <w:rFonts w:cs="宋体" w:asciiTheme="majorEastAsia" w:hAnsiTheme="majorEastAsia" w:eastAsiaTheme="majorEastAsia"/>
                <w:sz w:val="22"/>
                <w:szCs w:val="22"/>
              </w:rPr>
            </w:pPr>
          </w:p>
        </w:tc>
        <w:tc>
          <w:tcPr>
            <w:tcW w:w="1985" w:type="dxa"/>
            <w:vAlign w:val="center"/>
          </w:tcPr>
          <w:p>
            <w:pPr>
              <w:spacing w:line="400" w:lineRule="exact"/>
              <w:ind w:firstLine="440"/>
              <w:jc w:val="center"/>
              <w:rPr>
                <w:rFonts w:cs="宋体" w:asciiTheme="majorEastAsia" w:hAnsiTheme="majorEastAsia" w:eastAsiaTheme="majorEastAsia"/>
                <w:kern w:val="0"/>
                <w:sz w:val="22"/>
                <w:szCs w:val="22"/>
              </w:rPr>
            </w:pPr>
            <w:r>
              <w:rPr>
                <w:rFonts w:hint="eastAsia" w:asciiTheme="majorEastAsia" w:hAnsiTheme="majorEastAsia" w:eastAsiaTheme="majorEastAsia"/>
                <w:sz w:val="22"/>
                <w:szCs w:val="22"/>
              </w:rPr>
              <w:t>实质性要求</w:t>
            </w:r>
          </w:p>
        </w:tc>
        <w:tc>
          <w:tcPr>
            <w:tcW w:w="5650" w:type="dxa"/>
            <w:vAlign w:val="center"/>
          </w:tcPr>
          <w:p>
            <w:pPr>
              <w:spacing w:line="400" w:lineRule="exact"/>
              <w:ind w:firstLine="405" w:firstLineChars="184"/>
              <w:rPr>
                <w:rFonts w:asciiTheme="majorEastAsia" w:hAnsiTheme="majorEastAsia" w:eastAsiaTheme="majorEastAsia"/>
                <w:sz w:val="22"/>
                <w:szCs w:val="22"/>
              </w:rPr>
            </w:pPr>
            <w:r>
              <w:rPr>
                <w:rFonts w:hint="eastAsia" w:asciiTheme="majorEastAsia" w:hAnsiTheme="majorEastAsia" w:eastAsiaTheme="majorEastAsia"/>
                <w:sz w:val="22"/>
                <w:szCs w:val="22"/>
              </w:rPr>
              <w:t>符合比选文件中规定的其他实质性要求。</w:t>
            </w:r>
          </w:p>
        </w:tc>
      </w:tr>
    </w:tbl>
    <w:p>
      <w:pPr>
        <w:pStyle w:val="4"/>
        <w:rPr>
          <w:rFonts w:cs="MingLiU" w:asciiTheme="majorEastAsia" w:hAnsiTheme="majorEastAsia" w:eastAsiaTheme="majorEastAsia"/>
          <w:szCs w:val="21"/>
        </w:rPr>
      </w:pPr>
      <w:r>
        <w:rPr>
          <w:rFonts w:cs="MingLiU" w:asciiTheme="majorEastAsia" w:hAnsiTheme="majorEastAsia" w:eastAsiaTheme="majorEastAsia"/>
          <w:szCs w:val="21"/>
        </w:rPr>
        <w:br w:type="page"/>
      </w:r>
    </w:p>
    <w:p>
      <w:pPr>
        <w:pStyle w:val="4"/>
        <w:widowControl/>
        <w:rPr>
          <w:rFonts w:cs="宋体" w:asciiTheme="majorEastAsia" w:hAnsiTheme="majorEastAsia" w:eastAsiaTheme="majorEastAsia"/>
          <w:snapToGrid w:val="0"/>
          <w:spacing w:val="0"/>
          <w:w w:val="100"/>
          <w:sz w:val="22"/>
          <w:szCs w:val="22"/>
        </w:rPr>
      </w:pPr>
      <w:bookmarkStart w:id="229" w:name="_Toc32573"/>
      <w:bookmarkStart w:id="230" w:name="_Toc14524571"/>
      <w:bookmarkStart w:id="231" w:name="_Toc27543"/>
      <w:bookmarkStart w:id="232" w:name="_Toc20854"/>
      <w:bookmarkStart w:id="233" w:name="_Toc14530358"/>
      <w:r>
        <w:rPr>
          <w:rFonts w:hint="eastAsia" w:cs="宋体" w:asciiTheme="majorEastAsia" w:hAnsiTheme="majorEastAsia" w:eastAsiaTheme="majorEastAsia"/>
          <w:snapToGrid w:val="0"/>
          <w:spacing w:val="0"/>
          <w:w w:val="100"/>
          <w:sz w:val="22"/>
          <w:szCs w:val="22"/>
        </w:rPr>
        <w:t>1. 评审方法</w:t>
      </w:r>
      <w:bookmarkEnd w:id="229"/>
      <w:bookmarkEnd w:id="230"/>
      <w:bookmarkEnd w:id="231"/>
      <w:bookmarkEnd w:id="232"/>
      <w:bookmarkEnd w:id="233"/>
    </w:p>
    <w:p>
      <w:pPr>
        <w:spacing w:line="360" w:lineRule="auto"/>
        <w:ind w:firstLine="440"/>
        <w:rPr>
          <w:rFonts w:cs="宋体" w:asciiTheme="majorEastAsia" w:hAnsiTheme="majorEastAsia" w:eastAsiaTheme="majorEastAsia"/>
          <w:bCs/>
          <w:snapToGrid w:val="0"/>
          <w:kern w:val="0"/>
          <w:sz w:val="22"/>
          <w:szCs w:val="22"/>
        </w:rPr>
      </w:pPr>
      <w:r>
        <w:rPr>
          <w:rFonts w:hint="eastAsia" w:cs="宋体" w:asciiTheme="majorEastAsia" w:hAnsiTheme="majorEastAsia" w:eastAsiaTheme="majorEastAsia"/>
          <w:kern w:val="0"/>
          <w:sz w:val="22"/>
          <w:szCs w:val="22"/>
        </w:rPr>
        <w:t>本次评标采用经评审的最低投标价法。评标委员会按照经评审的投标报价由低到高的顺序推荐中标候选人。投标报价相等的，以“投标人在红名单中优先”的原则排序（投标人是否属于红名单以开标当天查询“重庆市公共资源交易监督网”信用信息版块“红名单信息”为准；投标人均在红名单中或均不在红名单中的，按照投标人投标业绩金额由高到低原则排序。</w:t>
      </w:r>
    </w:p>
    <w:p>
      <w:pPr>
        <w:pStyle w:val="4"/>
        <w:widowControl/>
        <w:rPr>
          <w:rFonts w:cs="宋体" w:asciiTheme="majorEastAsia" w:hAnsiTheme="majorEastAsia" w:eastAsiaTheme="majorEastAsia"/>
          <w:snapToGrid w:val="0"/>
          <w:spacing w:val="0"/>
          <w:w w:val="100"/>
          <w:sz w:val="22"/>
          <w:szCs w:val="22"/>
        </w:rPr>
      </w:pPr>
      <w:bookmarkStart w:id="234" w:name="_Toc7553"/>
      <w:bookmarkStart w:id="235" w:name="_Toc14530359"/>
      <w:bookmarkStart w:id="236" w:name="_Toc14524572"/>
      <w:bookmarkStart w:id="237" w:name="_Toc27970"/>
      <w:bookmarkStart w:id="238" w:name="_Toc224103385"/>
      <w:bookmarkStart w:id="239" w:name="_Toc200513199"/>
      <w:bookmarkStart w:id="240" w:name="_Toc31535"/>
      <w:bookmarkStart w:id="241" w:name="_Toc376891016"/>
      <w:r>
        <w:rPr>
          <w:rFonts w:hint="eastAsia" w:cs="宋体" w:asciiTheme="majorEastAsia" w:hAnsiTheme="majorEastAsia" w:eastAsiaTheme="majorEastAsia"/>
          <w:snapToGrid w:val="0"/>
          <w:spacing w:val="0"/>
          <w:w w:val="100"/>
          <w:sz w:val="22"/>
          <w:szCs w:val="22"/>
        </w:rPr>
        <w:t>2. 评审标准</w:t>
      </w:r>
      <w:bookmarkEnd w:id="234"/>
      <w:bookmarkEnd w:id="235"/>
      <w:bookmarkEnd w:id="236"/>
      <w:bookmarkEnd w:id="237"/>
      <w:bookmarkEnd w:id="238"/>
      <w:bookmarkEnd w:id="239"/>
      <w:bookmarkEnd w:id="240"/>
      <w:bookmarkEnd w:id="241"/>
    </w:p>
    <w:p>
      <w:pPr>
        <w:pStyle w:val="5"/>
        <w:widowControl/>
        <w:snapToGrid w:val="0"/>
        <w:spacing w:before="0" w:line="360" w:lineRule="auto"/>
        <w:rPr>
          <w:rFonts w:cs="宋体" w:asciiTheme="majorEastAsia" w:hAnsiTheme="majorEastAsia" w:eastAsiaTheme="majorEastAsia"/>
          <w:snapToGrid w:val="0"/>
          <w:sz w:val="22"/>
          <w:szCs w:val="22"/>
        </w:rPr>
      </w:pPr>
      <w:bookmarkStart w:id="242" w:name="_Toc224103386"/>
      <w:bookmarkStart w:id="243" w:name="_Toc200513200"/>
      <w:bookmarkStart w:id="244" w:name="_Toc44433351"/>
      <w:bookmarkStart w:id="245" w:name="_Toc376891017"/>
      <w:bookmarkStart w:id="246" w:name="_Toc3552"/>
      <w:r>
        <w:rPr>
          <w:rFonts w:hint="eastAsia" w:cs="宋体" w:asciiTheme="majorEastAsia" w:hAnsiTheme="majorEastAsia" w:eastAsiaTheme="majorEastAsia"/>
          <w:snapToGrid w:val="0"/>
          <w:sz w:val="22"/>
          <w:szCs w:val="22"/>
        </w:rPr>
        <w:t>2.1  初步评审标准</w:t>
      </w:r>
      <w:bookmarkEnd w:id="242"/>
      <w:bookmarkEnd w:id="243"/>
      <w:bookmarkEnd w:id="244"/>
      <w:bookmarkEnd w:id="245"/>
      <w:bookmarkEnd w:id="246"/>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2.1.1  形式评审标准：见评审办法前附表。</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2.1.2  资格评审标准：见评审办法前附表。</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2.1.3  响应性评审标准：见评审办法前附表。</w:t>
      </w:r>
    </w:p>
    <w:p>
      <w:pPr>
        <w:pStyle w:val="5"/>
        <w:widowControl/>
        <w:snapToGrid w:val="0"/>
        <w:spacing w:before="0" w:line="360" w:lineRule="auto"/>
        <w:rPr>
          <w:rFonts w:cs="宋体" w:asciiTheme="majorEastAsia" w:hAnsiTheme="majorEastAsia" w:eastAsiaTheme="majorEastAsia"/>
          <w:snapToGrid w:val="0"/>
          <w:sz w:val="22"/>
          <w:szCs w:val="22"/>
        </w:rPr>
      </w:pPr>
      <w:bookmarkStart w:id="247" w:name="_Toc376891018"/>
      <w:bookmarkStart w:id="248" w:name="_Toc200513201"/>
      <w:bookmarkStart w:id="249" w:name="_Toc224103387"/>
      <w:bookmarkStart w:id="250" w:name="_Toc24944"/>
      <w:bookmarkStart w:id="251" w:name="_Toc44433352"/>
      <w:r>
        <w:rPr>
          <w:rFonts w:hint="eastAsia" w:cs="宋体" w:asciiTheme="majorEastAsia" w:hAnsiTheme="majorEastAsia" w:eastAsiaTheme="majorEastAsia"/>
          <w:snapToGrid w:val="0"/>
          <w:sz w:val="22"/>
          <w:szCs w:val="22"/>
        </w:rPr>
        <w:t xml:space="preserve">2.2  </w:t>
      </w:r>
      <w:bookmarkEnd w:id="247"/>
      <w:bookmarkEnd w:id="248"/>
      <w:bookmarkEnd w:id="249"/>
      <w:r>
        <w:rPr>
          <w:rFonts w:hint="eastAsia" w:cs="宋体" w:asciiTheme="majorEastAsia" w:hAnsiTheme="majorEastAsia" w:eastAsiaTheme="majorEastAsia"/>
          <w:snapToGrid w:val="0"/>
          <w:sz w:val="22"/>
          <w:szCs w:val="22"/>
        </w:rPr>
        <w:t>详细评审标准</w:t>
      </w:r>
      <w:bookmarkEnd w:id="250"/>
      <w:bookmarkEnd w:id="251"/>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详细评审标准：见评审办法前附表。</w:t>
      </w:r>
    </w:p>
    <w:p>
      <w:pPr>
        <w:pStyle w:val="4"/>
        <w:widowControl/>
        <w:rPr>
          <w:rFonts w:cs="宋体" w:asciiTheme="majorEastAsia" w:hAnsiTheme="majorEastAsia" w:eastAsiaTheme="majorEastAsia"/>
          <w:sz w:val="22"/>
          <w:szCs w:val="22"/>
        </w:rPr>
      </w:pPr>
      <w:bookmarkStart w:id="252" w:name="_Toc9769"/>
      <w:bookmarkStart w:id="253" w:name="_Toc200513202"/>
      <w:bookmarkStart w:id="254" w:name="_Toc224103388"/>
      <w:bookmarkStart w:id="255" w:name="_Toc23628"/>
      <w:bookmarkStart w:id="256" w:name="_Toc14524573"/>
      <w:bookmarkStart w:id="257" w:name="_Toc14530360"/>
      <w:bookmarkStart w:id="258" w:name="_Toc18530"/>
      <w:bookmarkStart w:id="259" w:name="_Toc376891019"/>
      <w:r>
        <w:rPr>
          <w:rFonts w:hint="eastAsia" w:cs="宋体" w:asciiTheme="majorEastAsia" w:hAnsiTheme="majorEastAsia" w:eastAsiaTheme="majorEastAsia"/>
          <w:sz w:val="22"/>
          <w:szCs w:val="22"/>
        </w:rPr>
        <w:t>3. 评审程序</w:t>
      </w:r>
      <w:bookmarkEnd w:id="252"/>
      <w:bookmarkEnd w:id="253"/>
      <w:bookmarkEnd w:id="254"/>
      <w:bookmarkEnd w:id="255"/>
      <w:bookmarkEnd w:id="256"/>
      <w:bookmarkEnd w:id="257"/>
      <w:bookmarkEnd w:id="258"/>
      <w:bookmarkEnd w:id="259"/>
    </w:p>
    <w:p>
      <w:pPr>
        <w:pStyle w:val="5"/>
        <w:widowControl/>
        <w:snapToGrid w:val="0"/>
        <w:spacing w:before="0" w:line="360" w:lineRule="auto"/>
        <w:rPr>
          <w:rFonts w:cs="宋体" w:asciiTheme="majorEastAsia" w:hAnsiTheme="majorEastAsia" w:eastAsiaTheme="majorEastAsia"/>
          <w:snapToGrid w:val="0"/>
          <w:sz w:val="22"/>
          <w:szCs w:val="22"/>
        </w:rPr>
      </w:pPr>
      <w:bookmarkStart w:id="260" w:name="_Toc200513203"/>
      <w:bookmarkStart w:id="261" w:name="_Toc224103389"/>
      <w:bookmarkStart w:id="262" w:name="_Toc376891020"/>
      <w:bookmarkStart w:id="263" w:name="_Toc44433354"/>
      <w:bookmarkStart w:id="264" w:name="_Toc20849"/>
      <w:r>
        <w:rPr>
          <w:rFonts w:hint="eastAsia" w:cs="宋体" w:asciiTheme="majorEastAsia" w:hAnsiTheme="majorEastAsia" w:eastAsiaTheme="majorEastAsia"/>
          <w:snapToGrid w:val="0"/>
          <w:sz w:val="22"/>
          <w:szCs w:val="22"/>
        </w:rPr>
        <w:t>3.1  初步评审</w:t>
      </w:r>
      <w:bookmarkEnd w:id="260"/>
      <w:bookmarkEnd w:id="261"/>
      <w:bookmarkEnd w:id="262"/>
      <w:bookmarkEnd w:id="263"/>
      <w:bookmarkEnd w:id="264"/>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3.1.1  评审委员会可以要求比选申请人提交第二章“比选申请人须知”规定的有关证明和证件的原件，以便核验。评审委员会依据本章第 2.1 款规定的标准对比选申请文件进行初步评审。有一项不符合评审标准的，其竞选被否决。</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3.1.2  比选申请人有以下情形之一的，其竞选被否决：</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（1）第二章“比选申请人须知”第 1.4.3 项规定的任何一种情形的；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（2）串通竞选或弄虚作假或有其他违法行为的；</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（3）不按评审委员会要求澄清、说明或补正的。</w:t>
      </w:r>
    </w:p>
    <w:p>
      <w:pPr>
        <w:pStyle w:val="5"/>
        <w:widowControl/>
        <w:snapToGrid w:val="0"/>
        <w:spacing w:before="0" w:line="360" w:lineRule="auto"/>
        <w:rPr>
          <w:rFonts w:cs="宋体" w:asciiTheme="majorEastAsia" w:hAnsiTheme="majorEastAsia" w:eastAsiaTheme="majorEastAsia"/>
          <w:snapToGrid w:val="0"/>
          <w:sz w:val="22"/>
          <w:szCs w:val="22"/>
        </w:rPr>
      </w:pPr>
      <w:bookmarkStart w:id="265" w:name="_Toc31795"/>
      <w:bookmarkStart w:id="266" w:name="_Toc224103390"/>
      <w:bookmarkStart w:id="267" w:name="_Toc200513204"/>
      <w:bookmarkStart w:id="268" w:name="_Toc44433355"/>
      <w:bookmarkStart w:id="269" w:name="_Toc376891021"/>
      <w:r>
        <w:rPr>
          <w:rFonts w:hint="eastAsia" w:cs="宋体" w:asciiTheme="majorEastAsia" w:hAnsiTheme="majorEastAsia" w:eastAsiaTheme="majorEastAsia"/>
          <w:snapToGrid w:val="0"/>
          <w:sz w:val="22"/>
          <w:szCs w:val="22"/>
        </w:rPr>
        <w:t>3.2 详细评审</w:t>
      </w:r>
      <w:bookmarkEnd w:id="265"/>
      <w:bookmarkEnd w:id="266"/>
      <w:bookmarkEnd w:id="267"/>
      <w:bookmarkEnd w:id="268"/>
      <w:bookmarkEnd w:id="269"/>
    </w:p>
    <w:p>
      <w:pPr>
        <w:spacing w:line="360" w:lineRule="auto"/>
        <w:ind w:firstLine="440"/>
        <w:rPr>
          <w:rFonts w:asciiTheme="majorEastAsia" w:hAnsiTheme="majorEastAsia" w:eastAsiaTheme="majorEastAsia"/>
          <w:sz w:val="22"/>
          <w:szCs w:val="22"/>
        </w:rPr>
      </w:pPr>
      <w:bookmarkStart w:id="270" w:name="_Toc200513205"/>
      <w:bookmarkStart w:id="271" w:name="_Toc224103391"/>
      <w:bookmarkStart w:id="272" w:name="_Toc27466"/>
      <w:bookmarkStart w:id="273" w:name="_Toc376891022"/>
      <w:bookmarkStart w:id="274" w:name="_Toc44433356"/>
      <w:r>
        <w:rPr>
          <w:rFonts w:hint="eastAsia" w:asciiTheme="majorEastAsia" w:hAnsiTheme="majorEastAsia" w:eastAsiaTheme="majorEastAsia"/>
          <w:sz w:val="22"/>
          <w:szCs w:val="22"/>
        </w:rPr>
        <w:t>3.2.1  比选申请报价有算术错误的，评审委员会按以下原则对比选申请报价进行修正，修正的价格经比选申请人书面确认后具有约束力。比选申请人不接受修正价格的，其竞选被否决。</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（1）比选申请文件中的大写金额与小写金额不一致的，以大写金额为准；</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（2）总价金额与依据单价计算出的结果不一致的，以单价金额为准修正总价，但单价金额小数点有明显错误的除外。</w:t>
      </w:r>
    </w:p>
    <w:p>
      <w:pPr>
        <w:pStyle w:val="2"/>
        <w:spacing w:line="360" w:lineRule="auto"/>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（3）比选申请函中的总报价必须与已标价工程量清单总报价一致，否则作否决投标处理。</w:t>
      </w:r>
    </w:p>
    <w:p>
      <w:pPr>
        <w:pStyle w:val="2"/>
        <w:spacing w:line="360" w:lineRule="auto"/>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（4）比选申请函及工程量清单报价中的安全文明施工费、暂估价、暂列金必须按照比选人给出的金额填报，否则视为对竞争性比选文件不作实质性响应，其</w:t>
      </w:r>
      <w:r>
        <w:rPr>
          <w:rFonts w:hint="eastAsia" w:asciiTheme="majorEastAsia" w:hAnsiTheme="majorEastAsia" w:eastAsiaTheme="majorEastAsia"/>
          <w:sz w:val="22"/>
          <w:szCs w:val="22"/>
        </w:rPr>
        <w:t>比选申请</w:t>
      </w:r>
      <w:r>
        <w:rPr>
          <w:rFonts w:hint="eastAsia" w:asciiTheme="minorEastAsia" w:hAnsiTheme="minorEastAsia" w:eastAsiaTheme="minorEastAsia" w:cstheme="minorEastAsia"/>
          <w:sz w:val="22"/>
          <w:szCs w:val="22"/>
        </w:rPr>
        <w:t>文件作否决投标处理。</w:t>
      </w:r>
    </w:p>
    <w:p>
      <w:pPr>
        <w:pStyle w:val="5"/>
        <w:widowControl/>
        <w:snapToGrid w:val="0"/>
        <w:spacing w:before="0" w:line="360" w:lineRule="auto"/>
        <w:rPr>
          <w:rFonts w:cs="宋体" w:asciiTheme="majorEastAsia" w:hAnsiTheme="majorEastAsia" w:eastAsiaTheme="majorEastAsia"/>
          <w:snapToGrid w:val="0"/>
          <w:sz w:val="22"/>
          <w:szCs w:val="22"/>
        </w:rPr>
      </w:pPr>
      <w:r>
        <w:rPr>
          <w:rFonts w:hint="eastAsia" w:cs="宋体" w:asciiTheme="majorEastAsia" w:hAnsiTheme="majorEastAsia" w:eastAsiaTheme="majorEastAsia"/>
          <w:snapToGrid w:val="0"/>
          <w:sz w:val="22"/>
          <w:szCs w:val="22"/>
        </w:rPr>
        <w:t>3.3 比选申请文件的澄清和补正</w:t>
      </w:r>
      <w:bookmarkEnd w:id="270"/>
      <w:bookmarkEnd w:id="271"/>
      <w:bookmarkEnd w:id="272"/>
      <w:bookmarkEnd w:id="273"/>
      <w:bookmarkEnd w:id="274"/>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3.3.1  在评审过程中，评审委员会可以书面形式要求比选申请人对所提交比选申请文件中不明确的内容进行书面澄清或说明，或者对细微偏差进行补正。评审委员会不接受比选申请人主动提出的澄清、说明或补正。</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3.3.2  澄清、说明和补正不得改变比选申请文件的实质性内容（算术性错误修正的除外）。比选申请人的书面澄清、说明和补正属于比选申请文件的组成部分。</w:t>
      </w:r>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3.3.3  评审委员会对比选申请人提交的澄清、说明或补正有疑问的，可以要求比选申请人进一步澄清、说明或补正，直至满足评审委员会的要求。</w:t>
      </w:r>
    </w:p>
    <w:p>
      <w:pPr>
        <w:pStyle w:val="5"/>
        <w:widowControl/>
        <w:snapToGrid w:val="0"/>
        <w:spacing w:before="0" w:line="360" w:lineRule="auto"/>
        <w:rPr>
          <w:rFonts w:cs="宋体" w:asciiTheme="majorEastAsia" w:hAnsiTheme="majorEastAsia" w:eastAsiaTheme="majorEastAsia"/>
          <w:snapToGrid w:val="0"/>
          <w:sz w:val="22"/>
          <w:szCs w:val="22"/>
        </w:rPr>
      </w:pPr>
      <w:bookmarkStart w:id="275" w:name="_Toc376891023"/>
      <w:bookmarkStart w:id="276" w:name="_Toc12381"/>
      <w:bookmarkStart w:id="277" w:name="_Toc44433357"/>
      <w:bookmarkStart w:id="278" w:name="_Toc224103392"/>
      <w:bookmarkStart w:id="279" w:name="_Toc200513206"/>
      <w:r>
        <w:rPr>
          <w:rFonts w:hint="eastAsia" w:asciiTheme="majorEastAsia" w:hAnsiTheme="majorEastAsia" w:eastAsiaTheme="majorEastAsia"/>
          <w:sz w:val="22"/>
          <w:szCs w:val="22"/>
        </w:rPr>
        <w:t>3.4 评审结果</w:t>
      </w:r>
      <w:bookmarkEnd w:id="275"/>
      <w:bookmarkEnd w:id="276"/>
      <w:bookmarkEnd w:id="277"/>
      <w:bookmarkEnd w:id="278"/>
      <w:bookmarkEnd w:id="279"/>
    </w:p>
    <w:p>
      <w:pPr>
        <w:spacing w:line="360" w:lineRule="auto"/>
        <w:ind w:firstLine="440"/>
        <w:rPr>
          <w:rFonts w:asciiTheme="majorEastAsia" w:hAnsiTheme="majorEastAsia" w:eastAsiaTheme="majorEastAsia"/>
          <w:sz w:val="22"/>
          <w:szCs w:val="22"/>
        </w:rPr>
      </w:pPr>
      <w:r>
        <w:rPr>
          <w:rFonts w:hint="eastAsia" w:asciiTheme="majorEastAsia" w:hAnsiTheme="majorEastAsia" w:eastAsiaTheme="majorEastAsia"/>
          <w:sz w:val="22"/>
          <w:szCs w:val="22"/>
        </w:rPr>
        <w:t>3.4.1  除第二章比选申请人须知前附表授权直接确定中选人外，</w:t>
      </w:r>
      <w:r>
        <w:rPr>
          <w:rFonts w:ascii="宋体" w:hAnsi="宋体"/>
          <w:kern w:val="0"/>
          <w:sz w:val="22"/>
          <w:szCs w:val="22"/>
        </w:rPr>
        <w:t>评标</w:t>
      </w:r>
      <w:r>
        <w:rPr>
          <w:rFonts w:ascii="宋体" w:hAnsi="宋体"/>
          <w:spacing w:val="1"/>
          <w:kern w:val="0"/>
          <w:sz w:val="22"/>
          <w:szCs w:val="22"/>
        </w:rPr>
        <w:t>委</w:t>
      </w:r>
      <w:r>
        <w:rPr>
          <w:rFonts w:ascii="宋体" w:hAnsi="宋体"/>
          <w:kern w:val="0"/>
          <w:sz w:val="22"/>
          <w:szCs w:val="22"/>
        </w:rPr>
        <w:t>员会按照</w:t>
      </w:r>
      <w:r>
        <w:rPr>
          <w:rFonts w:hint="eastAsia" w:ascii="宋体" w:hAnsi="宋体"/>
          <w:spacing w:val="1"/>
          <w:kern w:val="0"/>
          <w:sz w:val="22"/>
          <w:szCs w:val="22"/>
        </w:rPr>
        <w:t>经评审的投标报价由低到高顺序推荐中标候选人</w:t>
      </w:r>
      <w:r>
        <w:rPr>
          <w:rFonts w:ascii="宋体" w:hAnsi="宋体"/>
          <w:kern w:val="0"/>
          <w:sz w:val="22"/>
          <w:szCs w:val="22"/>
        </w:rPr>
        <w:t>。</w:t>
      </w:r>
    </w:p>
    <w:p>
      <w:pPr>
        <w:spacing w:line="360" w:lineRule="auto"/>
        <w:ind w:firstLine="440"/>
        <w:rPr>
          <w:rFonts w:hint="eastAsia" w:asciiTheme="majorEastAsia" w:hAnsiTheme="majorEastAsia" w:eastAsiaTheme="majorEastAsia"/>
          <w:sz w:val="22"/>
          <w:szCs w:val="22"/>
        </w:rPr>
        <w:sectPr>
          <w:headerReference r:id="rId5" w:type="default"/>
          <w:footerReference r:id="rId6" w:type="default"/>
          <w:pgSz w:w="11906" w:h="16838"/>
          <w:pgMar w:top="993" w:right="1133" w:bottom="1135" w:left="1134" w:header="993" w:footer="873" w:gutter="0"/>
          <w:pgNumType w:fmt="decimal"/>
          <w:cols w:space="720" w:num="1"/>
          <w:docGrid w:linePitch="312" w:charSpace="0"/>
        </w:sectPr>
      </w:pPr>
      <w:r>
        <w:rPr>
          <w:rFonts w:hint="eastAsia" w:asciiTheme="majorEastAsia" w:hAnsiTheme="majorEastAsia" w:eastAsiaTheme="majorEastAsia"/>
          <w:sz w:val="22"/>
          <w:szCs w:val="22"/>
        </w:rPr>
        <w:t>3.4.2  评审委员会完成评审后，应当向比选人提交书面评审报告。</w:t>
      </w:r>
    </w:p>
    <w:p>
      <w:pPr>
        <w:pStyle w:val="39"/>
        <w:spacing w:line="360" w:lineRule="auto"/>
        <w:rPr>
          <w:rFonts w:ascii="宋体" w:hAnsi="宋体"/>
          <w:b/>
          <w:sz w:val="28"/>
          <w:szCs w:val="28"/>
          <w:u w:val="none"/>
          <w:lang w:eastAsia="zh-CN"/>
        </w:rPr>
      </w:pP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9"/>
        <w:spacing w:line="360" w:lineRule="auto"/>
        <w:ind w:firstLine="420" w:firstLineChars="200"/>
        <w:jc w:val="both"/>
        <w:rPr>
          <w:rFonts w:ascii="宋体" w:hAnsi="宋体"/>
          <w:sz w:val="22"/>
          <w:szCs w:val="22"/>
          <w:u w:val="none"/>
          <w:lang w:eastAsia="zh-CN"/>
        </w:rPr>
      </w:pPr>
      <w:r>
        <w:rPr>
          <w:rFonts w:hint="eastAsia" w:ascii="宋体" w:hAnsi="宋体"/>
          <w:sz w:val="22"/>
          <w:szCs w:val="22"/>
          <w:u w:val="none"/>
          <w:lang w:val="en-US" w:eastAsia="zh-CN"/>
        </w:rPr>
        <w:t>比选申请人的投标</w:t>
      </w:r>
      <w:r>
        <w:rPr>
          <w:rFonts w:hint="eastAsia" w:ascii="宋体" w:hAnsi="宋体"/>
          <w:sz w:val="22"/>
          <w:szCs w:val="22"/>
          <w:u w:val="none"/>
          <w:lang w:eastAsia="zh-CN"/>
        </w:rPr>
        <w:t>文件存在本一览表下列情形之一的，投标文件视为重大偏差并作否决投标处理，否则，评</w:t>
      </w:r>
      <w:r>
        <w:rPr>
          <w:rFonts w:hint="eastAsia" w:ascii="宋体" w:hAnsi="宋体"/>
          <w:sz w:val="22"/>
          <w:szCs w:val="22"/>
          <w:u w:val="none"/>
          <w:lang w:val="en-US" w:eastAsia="zh-CN"/>
        </w:rPr>
        <w:t>审</w:t>
      </w:r>
      <w:r>
        <w:rPr>
          <w:rFonts w:hint="eastAsia" w:ascii="宋体" w:hAnsi="宋体"/>
          <w:sz w:val="22"/>
          <w:szCs w:val="22"/>
          <w:u w:val="none"/>
          <w:lang w:eastAsia="zh-CN"/>
        </w:rPr>
        <w:t>委员会不得视为重大偏差而否决</w:t>
      </w:r>
      <w:r>
        <w:rPr>
          <w:rFonts w:hint="eastAsia" w:ascii="宋体" w:hAnsi="宋体"/>
          <w:sz w:val="22"/>
          <w:szCs w:val="22"/>
          <w:u w:val="none"/>
          <w:lang w:val="en-US" w:eastAsia="zh-CN"/>
        </w:rPr>
        <w:t>比选申请</w:t>
      </w:r>
      <w:r>
        <w:rPr>
          <w:rFonts w:hint="eastAsia" w:ascii="宋体" w:hAnsi="宋体"/>
          <w:sz w:val="22"/>
          <w:szCs w:val="22"/>
          <w:u w:val="none"/>
          <w:lang w:eastAsia="zh-CN"/>
        </w:rPr>
        <w:t>人的投标文件</w:t>
      </w:r>
      <w:r>
        <w:rPr>
          <w:rFonts w:ascii="宋体" w:hAnsi="宋体"/>
          <w:sz w:val="22"/>
          <w:szCs w:val="22"/>
          <w:u w:val="none"/>
          <w:lang w:eastAsia="zh-CN"/>
        </w:rPr>
        <w:t>。</w:t>
      </w:r>
    </w:p>
    <w:tbl>
      <w:tblPr>
        <w:tblStyle w:val="57"/>
        <w:tblW w:w="9381" w:type="dxa"/>
        <w:jc w:val="center"/>
        <w:tblInd w:w="-1149"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604"/>
        <w:gridCol w:w="777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4" w:type="dxa"/>
            <w:vAlign w:val="center"/>
          </w:tcPr>
          <w:p>
            <w:pPr>
              <w:spacing w:line="400" w:lineRule="exact"/>
              <w:jc w:val="center"/>
              <w:rPr>
                <w:rFonts w:ascii="宋体" w:hAnsi="宋体"/>
                <w:b/>
                <w:sz w:val="22"/>
                <w:szCs w:val="22"/>
              </w:rPr>
            </w:pPr>
            <w:r>
              <w:rPr>
                <w:rFonts w:ascii="宋体" w:hAnsi="宋体"/>
                <w:b/>
                <w:sz w:val="22"/>
                <w:szCs w:val="22"/>
              </w:rPr>
              <w:t>条款名称</w:t>
            </w:r>
          </w:p>
        </w:tc>
        <w:tc>
          <w:tcPr>
            <w:tcW w:w="7777" w:type="dxa"/>
            <w:vAlign w:val="center"/>
          </w:tcPr>
          <w:p>
            <w:pPr>
              <w:spacing w:line="400" w:lineRule="exact"/>
              <w:jc w:val="center"/>
              <w:rPr>
                <w:rFonts w:ascii="宋体" w:hAnsi="宋体"/>
                <w:b/>
                <w:sz w:val="22"/>
                <w:szCs w:val="22"/>
              </w:rPr>
            </w:pPr>
            <w:r>
              <w:rPr>
                <w:rFonts w:ascii="宋体" w:hAnsi="宋体"/>
                <w:b/>
                <w:sz w:val="22"/>
                <w:szCs w:val="22"/>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604" w:type="dxa"/>
            <w:vMerge w:val="restart"/>
            <w:vAlign w:val="center"/>
          </w:tcPr>
          <w:p>
            <w:pPr>
              <w:spacing w:line="400" w:lineRule="exact"/>
              <w:jc w:val="center"/>
              <w:rPr>
                <w:rFonts w:ascii="宋体" w:hAnsi="宋体"/>
                <w:sz w:val="22"/>
                <w:szCs w:val="22"/>
              </w:rPr>
            </w:pPr>
            <w:r>
              <w:rPr>
                <w:rFonts w:hint="eastAsia" w:ascii="宋体" w:hAnsi="宋体"/>
                <w:sz w:val="22"/>
                <w:szCs w:val="22"/>
              </w:rPr>
              <w:t>资格评审</w:t>
            </w:r>
          </w:p>
        </w:tc>
        <w:tc>
          <w:tcPr>
            <w:tcW w:w="7777" w:type="dxa"/>
            <w:vAlign w:val="center"/>
          </w:tcPr>
          <w:p>
            <w:pPr>
              <w:spacing w:line="400" w:lineRule="exact"/>
              <w:ind w:firstLine="420" w:firstLineChars="200"/>
              <w:rPr>
                <w:rFonts w:ascii="宋体" w:hAnsi="宋体"/>
                <w:sz w:val="22"/>
                <w:szCs w:val="22"/>
              </w:rPr>
            </w:pPr>
            <w:r>
              <w:rPr>
                <w:rFonts w:hint="eastAsia" w:ascii="宋体" w:hAnsi="宋体"/>
                <w:sz w:val="22"/>
                <w:szCs w:val="22"/>
                <w:u w:val="none"/>
                <w:lang w:val="en-US" w:eastAsia="zh-CN"/>
              </w:rPr>
              <w:t>比选申请人</w:t>
            </w:r>
            <w:r>
              <w:rPr>
                <w:rFonts w:hint="eastAsia" w:ascii="宋体" w:hAnsi="宋体"/>
                <w:sz w:val="22"/>
                <w:szCs w:val="22"/>
              </w:rPr>
              <w:t>的资质条件、营业执照及安全生产条件须满足</w:t>
            </w:r>
            <w:r>
              <w:rPr>
                <w:rFonts w:hint="eastAsia" w:ascii="宋体" w:hAnsi="宋体"/>
                <w:sz w:val="22"/>
                <w:szCs w:val="22"/>
                <w:u w:val="none"/>
                <w:lang w:val="en-US" w:eastAsia="zh-CN"/>
              </w:rPr>
              <w:t>比选申请人</w:t>
            </w:r>
            <w:r>
              <w:rPr>
                <w:rFonts w:hint="eastAsia" w:ascii="宋体" w:hAnsi="宋体"/>
                <w:sz w:val="22"/>
                <w:szCs w:val="22"/>
              </w:rPr>
              <w:t>须知前附表第1.4.1项第1条的要求，否则作否决投标处理。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604" w:type="dxa"/>
            <w:vMerge w:val="continue"/>
            <w:vAlign w:val="center"/>
          </w:tcPr>
          <w:p>
            <w:pPr>
              <w:spacing w:line="400" w:lineRule="exact"/>
              <w:jc w:val="center"/>
              <w:rPr>
                <w:rFonts w:ascii="宋体" w:hAnsi="宋体"/>
                <w:sz w:val="22"/>
                <w:szCs w:val="22"/>
              </w:rPr>
            </w:pPr>
          </w:p>
        </w:tc>
        <w:tc>
          <w:tcPr>
            <w:tcW w:w="7777" w:type="dxa"/>
            <w:vAlign w:val="center"/>
          </w:tcPr>
          <w:p>
            <w:pPr>
              <w:spacing w:line="400" w:lineRule="exact"/>
              <w:ind w:firstLine="420" w:firstLineChars="200"/>
              <w:rPr>
                <w:rFonts w:ascii="宋体" w:hAnsi="宋体"/>
                <w:sz w:val="22"/>
                <w:szCs w:val="22"/>
              </w:rPr>
            </w:pPr>
            <w:r>
              <w:rPr>
                <w:rFonts w:hint="eastAsia" w:ascii="宋体" w:hAnsi="宋体"/>
                <w:sz w:val="22"/>
                <w:szCs w:val="22"/>
                <w:u w:val="none"/>
                <w:lang w:val="en-US" w:eastAsia="zh-CN"/>
              </w:rPr>
              <w:t>比选申请人</w:t>
            </w:r>
            <w:r>
              <w:rPr>
                <w:rFonts w:hint="eastAsia" w:ascii="宋体" w:hAnsi="宋体"/>
                <w:sz w:val="22"/>
                <w:szCs w:val="22"/>
              </w:rPr>
              <w:t>的财务须满足</w:t>
            </w:r>
            <w:r>
              <w:rPr>
                <w:rFonts w:hint="eastAsia" w:ascii="宋体" w:hAnsi="宋体"/>
                <w:sz w:val="22"/>
                <w:szCs w:val="22"/>
                <w:u w:val="none"/>
                <w:lang w:val="en-US" w:eastAsia="zh-CN"/>
              </w:rPr>
              <w:t>比选申请人</w:t>
            </w:r>
            <w:r>
              <w:rPr>
                <w:rFonts w:hint="eastAsia" w:ascii="宋体" w:hAnsi="宋体"/>
                <w:sz w:val="22"/>
                <w:szCs w:val="22"/>
              </w:rPr>
              <w:t>须知前附表第1.4.1项第2条的要求，否则作否决投标处理。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604" w:type="dxa"/>
            <w:vMerge w:val="continue"/>
            <w:vAlign w:val="center"/>
          </w:tcPr>
          <w:p>
            <w:pPr>
              <w:spacing w:line="400" w:lineRule="exact"/>
              <w:jc w:val="center"/>
              <w:rPr>
                <w:rFonts w:ascii="宋体" w:hAnsi="宋体"/>
                <w:sz w:val="22"/>
                <w:szCs w:val="22"/>
              </w:rPr>
            </w:pPr>
          </w:p>
        </w:tc>
        <w:tc>
          <w:tcPr>
            <w:tcW w:w="7777" w:type="dxa"/>
            <w:vAlign w:val="center"/>
          </w:tcPr>
          <w:p>
            <w:pPr>
              <w:spacing w:line="400" w:lineRule="exact"/>
              <w:ind w:firstLine="420" w:firstLineChars="200"/>
              <w:rPr>
                <w:rFonts w:ascii="宋体" w:hAnsi="宋体"/>
                <w:sz w:val="22"/>
                <w:szCs w:val="22"/>
              </w:rPr>
            </w:pPr>
            <w:r>
              <w:rPr>
                <w:rFonts w:hint="eastAsia" w:ascii="宋体" w:hAnsi="宋体"/>
                <w:sz w:val="22"/>
                <w:szCs w:val="22"/>
                <w:u w:val="none"/>
                <w:lang w:val="en-US" w:eastAsia="zh-CN"/>
              </w:rPr>
              <w:t>比选申请人</w:t>
            </w:r>
            <w:r>
              <w:rPr>
                <w:rFonts w:hint="eastAsia" w:ascii="宋体" w:hAnsi="宋体"/>
                <w:sz w:val="22"/>
                <w:szCs w:val="22"/>
              </w:rPr>
              <w:t>的业绩须满足</w:t>
            </w:r>
            <w:r>
              <w:rPr>
                <w:rFonts w:hint="eastAsia" w:ascii="宋体" w:hAnsi="宋体"/>
                <w:sz w:val="22"/>
                <w:szCs w:val="22"/>
                <w:u w:val="none"/>
                <w:lang w:val="en-US" w:eastAsia="zh-CN"/>
              </w:rPr>
              <w:t>比选申请</w:t>
            </w:r>
            <w:r>
              <w:rPr>
                <w:rFonts w:hint="eastAsia" w:ascii="宋体" w:hAnsi="宋体"/>
                <w:sz w:val="22"/>
                <w:szCs w:val="22"/>
              </w:rPr>
              <w:t>人须知前附表第1.4.1项第3条的要求，否则作否决投标处理。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604" w:type="dxa"/>
            <w:vMerge w:val="continue"/>
            <w:vAlign w:val="center"/>
          </w:tcPr>
          <w:p>
            <w:pPr>
              <w:spacing w:line="400" w:lineRule="exact"/>
              <w:jc w:val="center"/>
              <w:rPr>
                <w:rFonts w:ascii="宋体" w:hAnsi="宋体"/>
                <w:sz w:val="22"/>
                <w:szCs w:val="22"/>
              </w:rPr>
            </w:pPr>
          </w:p>
        </w:tc>
        <w:tc>
          <w:tcPr>
            <w:tcW w:w="7777" w:type="dxa"/>
            <w:vAlign w:val="center"/>
          </w:tcPr>
          <w:p>
            <w:pPr>
              <w:spacing w:line="400" w:lineRule="exact"/>
              <w:ind w:firstLine="420" w:firstLineChars="200"/>
              <w:rPr>
                <w:rFonts w:hint="eastAsia" w:ascii="宋体" w:hAnsi="宋体"/>
                <w:sz w:val="22"/>
                <w:szCs w:val="22"/>
                <w:u w:val="none"/>
                <w:lang w:val="en-US" w:eastAsia="zh-CN"/>
              </w:rPr>
            </w:pPr>
            <w:r>
              <w:rPr>
                <w:rFonts w:hint="eastAsia" w:ascii="宋体" w:hAnsi="宋体"/>
                <w:sz w:val="22"/>
                <w:szCs w:val="22"/>
                <w:u w:val="none"/>
                <w:lang w:val="en-US" w:eastAsia="zh-CN"/>
              </w:rPr>
              <w:t>比选申请人</w:t>
            </w:r>
            <w:r>
              <w:rPr>
                <w:rFonts w:hint="eastAsia" w:ascii="宋体" w:hAnsi="宋体"/>
                <w:sz w:val="22"/>
                <w:szCs w:val="22"/>
              </w:rPr>
              <w:t>的项目经理资格须满足</w:t>
            </w:r>
            <w:r>
              <w:rPr>
                <w:rFonts w:hint="eastAsia" w:ascii="宋体" w:hAnsi="宋体"/>
                <w:sz w:val="22"/>
                <w:szCs w:val="22"/>
                <w:u w:val="none"/>
                <w:lang w:val="en-US" w:eastAsia="zh-CN"/>
              </w:rPr>
              <w:t>比选申请人</w:t>
            </w:r>
            <w:r>
              <w:rPr>
                <w:rFonts w:hint="eastAsia" w:ascii="宋体" w:hAnsi="宋体"/>
                <w:sz w:val="22"/>
                <w:szCs w:val="22"/>
              </w:rPr>
              <w:t>须知前附表第1.4.1项第</w:t>
            </w:r>
            <w:r>
              <w:rPr>
                <w:rFonts w:hint="eastAsia" w:ascii="宋体" w:hAnsi="宋体"/>
                <w:sz w:val="22"/>
                <w:szCs w:val="22"/>
                <w:lang w:val="en-US" w:eastAsia="zh-CN"/>
              </w:rPr>
              <w:t>4</w:t>
            </w:r>
            <w:r>
              <w:rPr>
                <w:rFonts w:hint="eastAsia" w:ascii="宋体" w:hAnsi="宋体"/>
                <w:sz w:val="22"/>
                <w:szCs w:val="22"/>
              </w:rPr>
              <w:t>条的要求，否则作否决投标处理。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604" w:type="dxa"/>
            <w:vMerge w:val="continue"/>
            <w:vAlign w:val="center"/>
          </w:tcPr>
          <w:p>
            <w:pPr>
              <w:spacing w:line="400" w:lineRule="exact"/>
              <w:jc w:val="center"/>
              <w:rPr>
                <w:rFonts w:ascii="宋体" w:hAnsi="宋体"/>
                <w:sz w:val="22"/>
                <w:szCs w:val="22"/>
              </w:rPr>
            </w:pPr>
          </w:p>
        </w:tc>
        <w:tc>
          <w:tcPr>
            <w:tcW w:w="7777" w:type="dxa"/>
            <w:vAlign w:val="center"/>
          </w:tcPr>
          <w:p>
            <w:pPr>
              <w:spacing w:line="400" w:lineRule="exact"/>
              <w:ind w:firstLine="420" w:firstLineChars="200"/>
              <w:rPr>
                <w:rFonts w:ascii="宋体" w:hAnsi="宋体"/>
                <w:sz w:val="22"/>
                <w:szCs w:val="22"/>
              </w:rPr>
            </w:pPr>
            <w:r>
              <w:rPr>
                <w:rFonts w:hint="eastAsia" w:ascii="宋体" w:hAnsi="宋体"/>
                <w:sz w:val="22"/>
                <w:szCs w:val="22"/>
                <w:u w:val="none"/>
                <w:lang w:val="en-US" w:eastAsia="zh-CN"/>
              </w:rPr>
              <w:t>比选申请人</w:t>
            </w:r>
            <w:r>
              <w:rPr>
                <w:rFonts w:hint="eastAsia" w:ascii="宋体" w:hAnsi="宋体"/>
                <w:sz w:val="22"/>
                <w:szCs w:val="22"/>
              </w:rPr>
              <w:t>的</w:t>
            </w:r>
            <w:r>
              <w:rPr>
                <w:rFonts w:hint="eastAsia" w:ascii="宋体" w:hAnsi="宋体"/>
                <w:sz w:val="22"/>
                <w:szCs w:val="22"/>
                <w:lang w:val="en-US" w:eastAsia="zh-CN"/>
              </w:rPr>
              <w:t>技术负责人</w:t>
            </w:r>
            <w:r>
              <w:rPr>
                <w:rFonts w:hint="eastAsia" w:ascii="宋体" w:hAnsi="宋体"/>
                <w:sz w:val="22"/>
                <w:szCs w:val="22"/>
              </w:rPr>
              <w:t>资格须满足</w:t>
            </w:r>
            <w:r>
              <w:rPr>
                <w:rFonts w:hint="eastAsia" w:ascii="宋体" w:hAnsi="宋体"/>
                <w:sz w:val="22"/>
                <w:szCs w:val="22"/>
                <w:u w:val="none"/>
                <w:lang w:val="en-US" w:eastAsia="zh-CN"/>
              </w:rPr>
              <w:t>比选申请人</w:t>
            </w:r>
            <w:r>
              <w:rPr>
                <w:rFonts w:hint="eastAsia" w:ascii="宋体" w:hAnsi="宋体"/>
                <w:sz w:val="22"/>
                <w:szCs w:val="22"/>
              </w:rPr>
              <w:t>须知前附表第1.4.1项第</w:t>
            </w:r>
            <w:r>
              <w:rPr>
                <w:rFonts w:hint="eastAsia" w:ascii="宋体" w:hAnsi="宋体"/>
                <w:sz w:val="22"/>
                <w:szCs w:val="22"/>
                <w:lang w:val="en-US" w:eastAsia="zh-CN"/>
              </w:rPr>
              <w:t>5</w:t>
            </w:r>
            <w:r>
              <w:rPr>
                <w:rFonts w:hint="eastAsia" w:ascii="宋体" w:hAnsi="宋体"/>
                <w:sz w:val="22"/>
                <w:szCs w:val="22"/>
              </w:rPr>
              <w:t>条的要求，否则作否决投标处理。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604" w:type="dxa"/>
            <w:vMerge w:val="continue"/>
            <w:vAlign w:val="center"/>
          </w:tcPr>
          <w:p>
            <w:pPr>
              <w:spacing w:line="400" w:lineRule="exact"/>
              <w:jc w:val="center"/>
              <w:rPr>
                <w:rFonts w:ascii="宋体" w:hAnsi="宋体"/>
                <w:sz w:val="22"/>
                <w:szCs w:val="22"/>
              </w:rPr>
            </w:pPr>
          </w:p>
        </w:tc>
        <w:tc>
          <w:tcPr>
            <w:tcW w:w="7777" w:type="dxa"/>
            <w:vAlign w:val="center"/>
          </w:tcPr>
          <w:p>
            <w:pPr>
              <w:spacing w:line="400" w:lineRule="exact"/>
              <w:ind w:firstLine="420" w:firstLineChars="200"/>
              <w:rPr>
                <w:rFonts w:ascii="宋体" w:hAnsi="宋体"/>
                <w:sz w:val="22"/>
                <w:szCs w:val="22"/>
              </w:rPr>
            </w:pPr>
            <w:r>
              <w:rPr>
                <w:rFonts w:hint="eastAsia" w:ascii="宋体" w:hAnsi="宋体"/>
                <w:sz w:val="22"/>
                <w:szCs w:val="22"/>
                <w:u w:val="none"/>
                <w:lang w:val="en-US" w:eastAsia="zh-CN"/>
              </w:rPr>
              <w:t>比选申请人</w:t>
            </w:r>
            <w:r>
              <w:rPr>
                <w:rFonts w:hint="eastAsia" w:ascii="宋体" w:hAnsi="宋体"/>
                <w:sz w:val="22"/>
                <w:szCs w:val="22"/>
              </w:rPr>
              <w:t>的</w:t>
            </w:r>
            <w:r>
              <w:rPr>
                <w:rFonts w:hint="eastAsia" w:ascii="宋体" w:hAnsi="宋体"/>
                <w:sz w:val="22"/>
                <w:szCs w:val="22"/>
                <w:lang w:val="en-US" w:eastAsia="zh-CN"/>
              </w:rPr>
              <w:t>信誉要求</w:t>
            </w:r>
            <w:r>
              <w:rPr>
                <w:rFonts w:hint="eastAsia" w:ascii="宋体" w:hAnsi="宋体"/>
                <w:sz w:val="22"/>
                <w:szCs w:val="22"/>
              </w:rPr>
              <w:t>须满足</w:t>
            </w:r>
            <w:r>
              <w:rPr>
                <w:rFonts w:hint="eastAsia" w:ascii="宋体" w:hAnsi="宋体"/>
                <w:sz w:val="22"/>
                <w:szCs w:val="22"/>
                <w:u w:val="none"/>
                <w:lang w:val="en-US" w:eastAsia="zh-CN"/>
              </w:rPr>
              <w:t>比选申请人</w:t>
            </w:r>
            <w:r>
              <w:rPr>
                <w:rFonts w:hint="eastAsia" w:ascii="宋体" w:hAnsi="宋体"/>
                <w:sz w:val="22"/>
                <w:szCs w:val="22"/>
              </w:rPr>
              <w:t>须知前附表1.4.1项第</w:t>
            </w:r>
            <w:r>
              <w:rPr>
                <w:rFonts w:hint="eastAsia" w:ascii="宋体" w:hAnsi="宋体"/>
                <w:sz w:val="22"/>
                <w:szCs w:val="22"/>
                <w:lang w:val="en-US" w:eastAsia="zh-CN"/>
              </w:rPr>
              <w:t>7</w:t>
            </w:r>
            <w:r>
              <w:rPr>
                <w:rFonts w:hint="eastAsia" w:ascii="宋体" w:hAnsi="宋体"/>
                <w:sz w:val="22"/>
                <w:szCs w:val="22"/>
              </w:rPr>
              <w:t>条的要求，否则作否决投标处理。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4" w:type="dxa"/>
            <w:vMerge w:val="restart"/>
            <w:vAlign w:val="center"/>
          </w:tcPr>
          <w:p>
            <w:pPr>
              <w:spacing w:line="400" w:lineRule="exact"/>
              <w:jc w:val="center"/>
              <w:rPr>
                <w:rFonts w:ascii="宋体" w:hAnsi="宋体"/>
                <w:sz w:val="22"/>
                <w:szCs w:val="22"/>
              </w:rPr>
            </w:pPr>
            <w:r>
              <w:rPr>
                <w:rFonts w:hint="eastAsia" w:ascii="宋体" w:hAnsi="宋体"/>
                <w:sz w:val="22"/>
                <w:szCs w:val="22"/>
              </w:rPr>
              <w:t>形式评审</w:t>
            </w:r>
          </w:p>
        </w:tc>
        <w:tc>
          <w:tcPr>
            <w:tcW w:w="7777" w:type="dxa"/>
          </w:tcPr>
          <w:p>
            <w:pPr>
              <w:spacing w:line="400" w:lineRule="exact"/>
              <w:ind w:firstLine="420" w:firstLineChars="200"/>
              <w:rPr>
                <w:rFonts w:ascii="宋体" w:hAnsi="宋体"/>
                <w:sz w:val="22"/>
                <w:szCs w:val="22"/>
              </w:rPr>
            </w:pPr>
            <w:r>
              <w:rPr>
                <w:rFonts w:hint="eastAsia" w:ascii="宋体" w:hAnsi="宋体"/>
                <w:sz w:val="22"/>
                <w:szCs w:val="22"/>
                <w:u w:val="none"/>
                <w:lang w:val="en-US" w:eastAsia="zh-CN"/>
              </w:rPr>
              <w:t>比选申请人</w:t>
            </w:r>
            <w:r>
              <w:rPr>
                <w:rFonts w:hint="eastAsia" w:ascii="宋体" w:hAnsi="宋体"/>
                <w:sz w:val="22"/>
                <w:szCs w:val="22"/>
              </w:rPr>
              <w:t>名称必须与营业执照、资质证书、安全生产许可证一致，依法变更名称的应提交相应证明材料，</w:t>
            </w:r>
            <w:r>
              <w:rPr>
                <w:rFonts w:ascii="宋体" w:hAnsi="宋体"/>
                <w:sz w:val="22"/>
                <w:szCs w:val="22"/>
              </w:rPr>
              <w:t>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4" w:type="dxa"/>
            <w:vMerge w:val="continue"/>
            <w:vAlign w:val="center"/>
          </w:tcPr>
          <w:p>
            <w:pPr>
              <w:spacing w:line="400" w:lineRule="exact"/>
              <w:jc w:val="center"/>
              <w:rPr>
                <w:rFonts w:ascii="宋体" w:hAnsi="宋体"/>
                <w:sz w:val="22"/>
                <w:szCs w:val="22"/>
              </w:rPr>
            </w:pPr>
          </w:p>
        </w:tc>
        <w:tc>
          <w:tcPr>
            <w:tcW w:w="7777" w:type="dxa"/>
          </w:tcPr>
          <w:p>
            <w:pPr>
              <w:autoSpaceDE w:val="0"/>
              <w:autoSpaceDN w:val="0"/>
              <w:adjustRightInd w:val="0"/>
              <w:snapToGrid w:val="0"/>
              <w:spacing w:line="400" w:lineRule="exact"/>
              <w:ind w:firstLine="420" w:firstLineChars="200"/>
              <w:rPr>
                <w:rFonts w:ascii="宋体" w:hAnsi="宋体"/>
                <w:sz w:val="22"/>
                <w:szCs w:val="22"/>
              </w:rPr>
            </w:pPr>
            <w:r>
              <w:rPr>
                <w:rFonts w:hint="eastAsia" w:ascii="宋体" w:hAnsi="宋体" w:cs="宋体"/>
                <w:kern w:val="0"/>
                <w:sz w:val="22"/>
                <w:szCs w:val="22"/>
              </w:rPr>
              <w:t xml:space="preserve">第八章 </w:t>
            </w:r>
            <w:r>
              <w:rPr>
                <w:rFonts w:hint="eastAsia" w:ascii="宋体" w:hAnsi="宋体" w:cs="宋体"/>
                <w:kern w:val="0"/>
                <w:sz w:val="22"/>
                <w:szCs w:val="22"/>
                <w:lang w:val="en-US" w:eastAsia="zh-CN"/>
              </w:rPr>
              <w:t>比选申请</w:t>
            </w:r>
            <w:r>
              <w:rPr>
                <w:rFonts w:hint="eastAsia" w:ascii="宋体" w:hAnsi="宋体" w:cs="宋体"/>
                <w:kern w:val="0"/>
                <w:sz w:val="22"/>
                <w:szCs w:val="22"/>
              </w:rPr>
              <w:t>文件格式要求法定代表人或其委托代理人签名（或盖章）的须齐全</w:t>
            </w:r>
            <w:r>
              <w:rPr>
                <w:rFonts w:hint="eastAsia" w:ascii="宋体" w:hAnsi="宋体" w:cs="宋体"/>
                <w:kern w:val="0"/>
                <w:sz w:val="22"/>
                <w:szCs w:val="22"/>
                <w:lang w:eastAsia="zh-CN"/>
              </w:rPr>
              <w:t>，</w:t>
            </w:r>
            <w:r>
              <w:rPr>
                <w:rFonts w:hint="eastAsia" w:ascii="宋体" w:hAnsi="宋体"/>
                <w:sz w:val="22"/>
                <w:szCs w:val="22"/>
              </w:rPr>
              <w:t>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4" w:type="dxa"/>
            <w:vMerge w:val="restart"/>
            <w:vAlign w:val="center"/>
          </w:tcPr>
          <w:p>
            <w:pPr>
              <w:spacing w:line="400" w:lineRule="exact"/>
              <w:jc w:val="center"/>
              <w:rPr>
                <w:rFonts w:ascii="宋体" w:hAnsi="宋体"/>
                <w:sz w:val="22"/>
                <w:szCs w:val="22"/>
              </w:rPr>
            </w:pPr>
            <w:r>
              <w:rPr>
                <w:rFonts w:hint="eastAsia" w:ascii="宋体" w:hAnsi="宋体"/>
                <w:sz w:val="22"/>
                <w:szCs w:val="22"/>
              </w:rPr>
              <w:t>响应性评审</w:t>
            </w:r>
          </w:p>
        </w:tc>
        <w:tc>
          <w:tcPr>
            <w:tcW w:w="7777" w:type="dxa"/>
            <w:vAlign w:val="center"/>
          </w:tcPr>
          <w:p>
            <w:pPr>
              <w:spacing w:line="400" w:lineRule="exact"/>
              <w:ind w:firstLine="420" w:firstLineChars="200"/>
              <w:rPr>
                <w:rFonts w:ascii="宋体" w:hAnsi="宋体"/>
                <w:sz w:val="22"/>
                <w:szCs w:val="22"/>
                <w:highlight w:val="none"/>
              </w:rPr>
            </w:pPr>
            <w:r>
              <w:rPr>
                <w:rFonts w:hint="eastAsia" w:ascii="宋体" w:hAnsi="宋体" w:cs="宋体"/>
                <w:sz w:val="22"/>
                <w:szCs w:val="22"/>
                <w:highlight w:val="none"/>
              </w:rPr>
              <w:t>比选申请函中的总报价必须与已标价工程量清单总报价一致，否则作否决投标处理。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4" w:type="dxa"/>
            <w:vMerge w:val="continue"/>
            <w:vAlign w:val="center"/>
          </w:tcPr>
          <w:p>
            <w:pPr>
              <w:spacing w:line="400" w:lineRule="exact"/>
              <w:jc w:val="center"/>
              <w:rPr>
                <w:rFonts w:ascii="宋体" w:hAnsi="宋体"/>
                <w:sz w:val="22"/>
                <w:szCs w:val="22"/>
              </w:rPr>
            </w:pPr>
          </w:p>
        </w:tc>
        <w:tc>
          <w:tcPr>
            <w:tcW w:w="7777" w:type="dxa"/>
            <w:vAlign w:val="center"/>
          </w:tcPr>
          <w:p>
            <w:pPr>
              <w:spacing w:line="400" w:lineRule="exact"/>
              <w:ind w:firstLine="420" w:firstLineChars="200"/>
              <w:rPr>
                <w:rFonts w:ascii="宋体" w:hAnsi="宋体"/>
                <w:sz w:val="22"/>
                <w:szCs w:val="22"/>
                <w:highlight w:val="none"/>
              </w:rPr>
            </w:pPr>
            <w:r>
              <w:rPr>
                <w:rFonts w:hint="eastAsia" w:ascii="宋体" w:hAnsi="宋体"/>
                <w:sz w:val="22"/>
                <w:szCs w:val="22"/>
                <w:highlight w:val="none"/>
                <w:lang w:val="en-US" w:eastAsia="zh-CN"/>
              </w:rPr>
              <w:t>比选申请人的</w:t>
            </w:r>
            <w:r>
              <w:rPr>
                <w:rFonts w:hint="eastAsia" w:ascii="宋体" w:hAnsi="宋体"/>
                <w:sz w:val="22"/>
                <w:szCs w:val="22"/>
                <w:highlight w:val="none"/>
              </w:rPr>
              <w:t>投标总报价不得高于</w:t>
            </w:r>
            <w:r>
              <w:rPr>
                <w:rFonts w:hint="eastAsia" w:ascii="宋体" w:hAnsi="宋体"/>
                <w:sz w:val="22"/>
                <w:szCs w:val="22"/>
                <w:highlight w:val="none"/>
                <w:lang w:val="en-US" w:eastAsia="zh-CN"/>
              </w:rPr>
              <w:t>比选</w:t>
            </w:r>
            <w:r>
              <w:rPr>
                <w:rFonts w:hint="eastAsia" w:ascii="宋体" w:hAnsi="宋体"/>
                <w:sz w:val="22"/>
                <w:szCs w:val="22"/>
                <w:highlight w:val="none"/>
              </w:rPr>
              <w:t>人公布的投标总报价最高限价，否则作否决投标处理。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4" w:type="dxa"/>
            <w:vMerge w:val="continue"/>
            <w:vAlign w:val="center"/>
          </w:tcPr>
          <w:p>
            <w:pPr>
              <w:spacing w:line="400" w:lineRule="exact"/>
              <w:jc w:val="center"/>
              <w:rPr>
                <w:rFonts w:ascii="宋体" w:hAnsi="宋体"/>
                <w:sz w:val="22"/>
                <w:szCs w:val="22"/>
              </w:rPr>
            </w:pPr>
          </w:p>
        </w:tc>
        <w:tc>
          <w:tcPr>
            <w:tcW w:w="7777" w:type="dxa"/>
            <w:vAlign w:val="center"/>
          </w:tcPr>
          <w:p>
            <w:pPr>
              <w:spacing w:line="400" w:lineRule="exact"/>
              <w:ind w:firstLine="420" w:firstLineChars="200"/>
              <w:rPr>
                <w:rFonts w:ascii="宋体" w:hAnsi="宋体"/>
                <w:sz w:val="22"/>
                <w:szCs w:val="22"/>
                <w:highlight w:val="none"/>
              </w:rPr>
            </w:pPr>
            <w:r>
              <w:rPr>
                <w:rFonts w:hint="eastAsia" w:ascii="宋体" w:hAnsi="宋体"/>
                <w:sz w:val="22"/>
                <w:szCs w:val="22"/>
                <w:highlight w:val="none"/>
              </w:rPr>
              <w:t>投标总报价低于最高限价85%的，</w:t>
            </w:r>
            <w:r>
              <w:rPr>
                <w:rFonts w:hint="eastAsia" w:ascii="宋体" w:hAnsi="宋体"/>
                <w:sz w:val="22"/>
                <w:szCs w:val="22"/>
                <w:highlight w:val="none"/>
                <w:lang w:val="en-US" w:eastAsia="zh-CN"/>
              </w:rPr>
              <w:t>比选申请</w:t>
            </w:r>
            <w:r>
              <w:rPr>
                <w:rFonts w:hint="eastAsia" w:ascii="宋体" w:hAnsi="宋体"/>
                <w:sz w:val="22"/>
                <w:szCs w:val="22"/>
                <w:highlight w:val="none"/>
              </w:rPr>
              <w:t>人应在编制</w:t>
            </w:r>
            <w:r>
              <w:rPr>
                <w:rFonts w:hint="eastAsia" w:ascii="宋体" w:hAnsi="宋体"/>
                <w:sz w:val="22"/>
                <w:szCs w:val="22"/>
                <w:highlight w:val="none"/>
                <w:lang w:val="en-US" w:eastAsia="zh-CN"/>
              </w:rPr>
              <w:t>比选申请</w:t>
            </w:r>
            <w:r>
              <w:rPr>
                <w:rFonts w:hint="eastAsia" w:ascii="宋体" w:hAnsi="宋体"/>
                <w:sz w:val="22"/>
                <w:szCs w:val="22"/>
                <w:highlight w:val="none"/>
              </w:rPr>
              <w:t>文件时，在</w:t>
            </w:r>
            <w:r>
              <w:rPr>
                <w:rFonts w:hint="eastAsia" w:ascii="宋体" w:hAnsi="宋体"/>
                <w:sz w:val="22"/>
                <w:szCs w:val="22"/>
                <w:highlight w:val="none"/>
                <w:lang w:val="en-US" w:eastAsia="zh-CN"/>
              </w:rPr>
              <w:t>比选申请</w:t>
            </w:r>
            <w:r>
              <w:rPr>
                <w:rFonts w:hint="eastAsia" w:ascii="宋体" w:hAnsi="宋体"/>
                <w:sz w:val="22"/>
                <w:szCs w:val="22"/>
                <w:highlight w:val="none"/>
              </w:rPr>
              <w:t>函部分中递交低价风险担保缴纳承诺书</w:t>
            </w:r>
            <w:r>
              <w:rPr>
                <w:rFonts w:hint="eastAsia" w:ascii="宋体" w:hAnsi="宋体"/>
                <w:sz w:val="22"/>
                <w:szCs w:val="22"/>
                <w:highlight w:val="none"/>
                <w:lang w:eastAsia="zh-CN"/>
              </w:rPr>
              <w:t>，</w:t>
            </w:r>
            <w:r>
              <w:rPr>
                <w:rFonts w:hint="eastAsia" w:ascii="宋体" w:hAnsi="宋体"/>
                <w:sz w:val="22"/>
                <w:szCs w:val="22"/>
                <w:highlight w:val="none"/>
              </w:rPr>
              <w:t>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4" w:type="dxa"/>
            <w:vMerge w:val="continue"/>
            <w:vAlign w:val="center"/>
          </w:tcPr>
          <w:p>
            <w:pPr>
              <w:spacing w:line="400" w:lineRule="exact"/>
              <w:jc w:val="center"/>
              <w:rPr>
                <w:rFonts w:ascii="宋体" w:hAnsi="宋体"/>
                <w:sz w:val="22"/>
                <w:szCs w:val="22"/>
              </w:rPr>
            </w:pPr>
          </w:p>
        </w:tc>
        <w:tc>
          <w:tcPr>
            <w:tcW w:w="7777" w:type="dxa"/>
            <w:vAlign w:val="center"/>
          </w:tcPr>
          <w:p>
            <w:pPr>
              <w:spacing w:line="400" w:lineRule="exact"/>
              <w:ind w:firstLine="420" w:firstLineChars="200"/>
              <w:rPr>
                <w:rFonts w:ascii="宋体" w:hAnsi="宋体"/>
                <w:sz w:val="22"/>
                <w:szCs w:val="22"/>
                <w:highlight w:val="none"/>
              </w:rPr>
            </w:pPr>
            <w:r>
              <w:rPr>
                <w:rFonts w:hint="eastAsia" w:ascii="宋体" w:hAnsi="宋体"/>
                <w:sz w:val="22"/>
                <w:szCs w:val="22"/>
                <w:highlight w:val="none"/>
              </w:rPr>
              <w:t>暂列金额、暂估价、安全文明施工费等暂定金额必须按照</w:t>
            </w:r>
            <w:r>
              <w:rPr>
                <w:rFonts w:hint="eastAsia" w:ascii="宋体" w:hAnsi="宋体"/>
                <w:sz w:val="22"/>
                <w:szCs w:val="22"/>
                <w:highlight w:val="none"/>
                <w:lang w:val="en-US" w:eastAsia="zh-CN"/>
              </w:rPr>
              <w:t>比选</w:t>
            </w:r>
            <w:r>
              <w:rPr>
                <w:rFonts w:hint="eastAsia" w:ascii="宋体" w:hAnsi="宋体"/>
                <w:sz w:val="22"/>
                <w:szCs w:val="22"/>
                <w:highlight w:val="none"/>
              </w:rPr>
              <w:t>文件给定的金额填报，否则作否决投标处理。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4" w:type="dxa"/>
            <w:vMerge w:val="continue"/>
            <w:vAlign w:val="center"/>
          </w:tcPr>
          <w:p>
            <w:pPr>
              <w:spacing w:line="400" w:lineRule="exact"/>
              <w:jc w:val="center"/>
              <w:rPr>
                <w:rFonts w:ascii="宋体" w:hAnsi="宋体"/>
                <w:sz w:val="22"/>
                <w:szCs w:val="22"/>
              </w:rPr>
            </w:pPr>
          </w:p>
        </w:tc>
        <w:tc>
          <w:tcPr>
            <w:tcW w:w="7777" w:type="dxa"/>
            <w:vAlign w:val="center"/>
          </w:tcPr>
          <w:p>
            <w:pPr>
              <w:spacing w:line="400" w:lineRule="exact"/>
              <w:ind w:firstLine="420" w:firstLineChars="200"/>
              <w:rPr>
                <w:rFonts w:hint="eastAsia" w:ascii="宋体" w:hAnsi="宋体"/>
                <w:sz w:val="22"/>
                <w:szCs w:val="22"/>
                <w:highlight w:val="none"/>
              </w:rPr>
            </w:pPr>
            <w:r>
              <w:rPr>
                <w:rFonts w:hint="eastAsia" w:ascii="宋体" w:hAnsi="宋体"/>
                <w:sz w:val="22"/>
                <w:szCs w:val="22"/>
                <w:highlight w:val="none"/>
              </w:rPr>
              <w:t>比选申请报价有算术错误的，按照第三章“评</w:t>
            </w:r>
            <w:r>
              <w:rPr>
                <w:rFonts w:hint="eastAsia" w:ascii="宋体" w:hAnsi="宋体"/>
                <w:sz w:val="22"/>
                <w:szCs w:val="22"/>
                <w:highlight w:val="none"/>
                <w:lang w:val="en-US" w:eastAsia="zh-CN"/>
              </w:rPr>
              <w:t>审</w:t>
            </w:r>
            <w:r>
              <w:rPr>
                <w:rFonts w:hint="eastAsia" w:ascii="宋体" w:hAnsi="宋体"/>
                <w:sz w:val="22"/>
                <w:szCs w:val="22"/>
                <w:highlight w:val="none"/>
              </w:rPr>
              <w:t>办法”第3.2</w:t>
            </w:r>
            <w:r>
              <w:rPr>
                <w:rFonts w:hint="eastAsia" w:ascii="宋体" w:hAnsi="宋体"/>
                <w:sz w:val="22"/>
                <w:szCs w:val="22"/>
                <w:highlight w:val="none"/>
                <w:lang w:val="en-US" w:eastAsia="zh-CN"/>
              </w:rPr>
              <w:t>.1</w:t>
            </w:r>
            <w:r>
              <w:rPr>
                <w:rFonts w:hint="eastAsia" w:ascii="宋体" w:hAnsi="宋体"/>
                <w:sz w:val="22"/>
                <w:szCs w:val="22"/>
                <w:highlight w:val="none"/>
              </w:rPr>
              <w:t>项规定执行，否则作否决投标处理。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4" w:type="dxa"/>
            <w:vMerge w:val="continue"/>
            <w:vAlign w:val="center"/>
          </w:tcPr>
          <w:p>
            <w:pPr>
              <w:spacing w:line="400" w:lineRule="exact"/>
              <w:jc w:val="center"/>
              <w:rPr>
                <w:rFonts w:ascii="宋体" w:hAnsi="宋体"/>
                <w:sz w:val="22"/>
                <w:szCs w:val="22"/>
              </w:rPr>
            </w:pPr>
          </w:p>
        </w:tc>
        <w:tc>
          <w:tcPr>
            <w:tcW w:w="7777" w:type="dxa"/>
            <w:vAlign w:val="center"/>
          </w:tcPr>
          <w:p>
            <w:pPr>
              <w:spacing w:line="400" w:lineRule="exact"/>
              <w:ind w:firstLine="420" w:firstLineChars="200"/>
              <w:rPr>
                <w:rFonts w:ascii="宋体" w:hAnsi="宋体"/>
                <w:sz w:val="22"/>
                <w:szCs w:val="22"/>
                <w:highlight w:val="none"/>
              </w:rPr>
            </w:pPr>
            <w:r>
              <w:rPr>
                <w:rFonts w:hint="eastAsia" w:ascii="宋体" w:hAnsi="宋体"/>
                <w:sz w:val="22"/>
                <w:szCs w:val="22"/>
                <w:highlight w:val="none"/>
                <w:u w:val="none"/>
                <w:lang w:val="en-US" w:eastAsia="zh-CN"/>
              </w:rPr>
              <w:t>比选申请人</w:t>
            </w:r>
            <w:r>
              <w:rPr>
                <w:rFonts w:ascii="宋体" w:hAnsi="宋体"/>
                <w:sz w:val="22"/>
                <w:szCs w:val="22"/>
                <w:highlight w:val="none"/>
              </w:rPr>
              <w:t>应按</w:t>
            </w:r>
            <w:r>
              <w:rPr>
                <w:rFonts w:hint="eastAsia" w:ascii="宋体" w:hAnsi="宋体"/>
                <w:sz w:val="22"/>
                <w:szCs w:val="22"/>
                <w:highlight w:val="none"/>
                <w:lang w:val="en-US" w:eastAsia="zh-CN"/>
              </w:rPr>
              <w:t>比选申请</w:t>
            </w:r>
            <w:r>
              <w:rPr>
                <w:rFonts w:ascii="宋体" w:hAnsi="宋体"/>
                <w:sz w:val="22"/>
                <w:szCs w:val="22"/>
                <w:highlight w:val="none"/>
              </w:rPr>
              <w:t>人须知前附表</w:t>
            </w:r>
            <w:r>
              <w:rPr>
                <w:rFonts w:hint="eastAsia" w:ascii="宋体" w:hAnsi="宋体"/>
                <w:sz w:val="22"/>
                <w:szCs w:val="22"/>
                <w:highlight w:val="none"/>
              </w:rPr>
              <w:t>第3.</w:t>
            </w:r>
            <w:r>
              <w:rPr>
                <w:rFonts w:hint="eastAsia" w:ascii="宋体" w:hAnsi="宋体"/>
                <w:sz w:val="22"/>
                <w:szCs w:val="22"/>
                <w:highlight w:val="none"/>
                <w:lang w:val="en-US" w:eastAsia="zh-CN"/>
              </w:rPr>
              <w:t>5</w:t>
            </w:r>
            <w:r>
              <w:rPr>
                <w:rFonts w:hint="eastAsia" w:ascii="宋体" w:hAnsi="宋体"/>
                <w:sz w:val="22"/>
                <w:szCs w:val="22"/>
                <w:highlight w:val="none"/>
              </w:rPr>
              <w:t>款的</w:t>
            </w:r>
            <w:r>
              <w:rPr>
                <w:rFonts w:ascii="宋体" w:hAnsi="宋体"/>
                <w:sz w:val="22"/>
                <w:szCs w:val="22"/>
                <w:highlight w:val="none"/>
              </w:rPr>
              <w:t>规定递交投标保证金，并作为其</w:t>
            </w:r>
            <w:r>
              <w:rPr>
                <w:rFonts w:hint="eastAsia" w:ascii="宋体" w:hAnsi="宋体"/>
                <w:sz w:val="22"/>
                <w:szCs w:val="22"/>
                <w:highlight w:val="none"/>
                <w:lang w:val="en-US" w:eastAsia="zh-CN"/>
              </w:rPr>
              <w:t>比选申请</w:t>
            </w:r>
            <w:r>
              <w:rPr>
                <w:rFonts w:ascii="宋体" w:hAnsi="宋体"/>
                <w:sz w:val="22"/>
                <w:szCs w:val="22"/>
                <w:highlight w:val="none"/>
              </w:rPr>
              <w:t>文件的组成部分</w:t>
            </w:r>
            <w:r>
              <w:rPr>
                <w:rFonts w:hint="eastAsia" w:ascii="宋体" w:hAnsi="宋体"/>
                <w:sz w:val="22"/>
                <w:szCs w:val="22"/>
                <w:highlight w:val="none"/>
              </w:rPr>
              <w:t>，</w:t>
            </w:r>
            <w:r>
              <w:rPr>
                <w:rFonts w:ascii="宋体" w:hAnsi="宋体"/>
                <w:sz w:val="22"/>
                <w:szCs w:val="22"/>
                <w:highlight w:val="none"/>
              </w:rPr>
              <w:t>否则作否决投标处理。</w:t>
            </w:r>
          </w:p>
        </w:tc>
      </w:tr>
    </w:tbl>
    <w:p>
      <w:pPr>
        <w:pStyle w:val="3"/>
        <w:ind w:left="0" w:firstLine="0"/>
        <w:jc w:val="center"/>
        <w:rPr>
          <w:rFonts w:asciiTheme="majorEastAsia" w:hAnsiTheme="majorEastAsia" w:eastAsiaTheme="majorEastAsia"/>
          <w:kern w:val="1"/>
        </w:rPr>
      </w:pPr>
      <w:r>
        <w:rPr>
          <w:rFonts w:asciiTheme="majorEastAsia" w:hAnsiTheme="majorEastAsia" w:eastAsiaTheme="majorEastAsia"/>
        </w:rPr>
        <w:br w:type="page"/>
      </w:r>
      <w:bookmarkStart w:id="280" w:name="_Toc424824382"/>
      <w:bookmarkStart w:id="281" w:name="_Toc451292158"/>
      <w:bookmarkStart w:id="282" w:name="_Toc18637"/>
      <w:bookmarkStart w:id="283" w:name="_Toc28097767"/>
      <w:r>
        <w:rPr>
          <w:rFonts w:asciiTheme="majorEastAsia" w:hAnsiTheme="majorEastAsia" w:eastAsiaTheme="majorEastAsia"/>
          <w:b/>
          <w:kern w:val="0"/>
          <w:sz w:val="36"/>
          <w:szCs w:val="36"/>
        </w:rPr>
        <w:t>第四章 合同条款及格式</w:t>
      </w:r>
      <w:bookmarkEnd w:id="280"/>
      <w:bookmarkEnd w:id="281"/>
      <w:bookmarkEnd w:id="282"/>
      <w:bookmarkEnd w:id="283"/>
      <w:bookmarkStart w:id="284" w:name="招标文件04章合同条款及格式01"/>
      <w:bookmarkEnd w:id="284"/>
    </w:p>
    <w:p>
      <w:pPr>
        <w:jc w:val="center"/>
        <w:rPr>
          <w:rFonts w:asciiTheme="majorEastAsia" w:hAnsiTheme="majorEastAsia" w:eastAsiaTheme="majorEastAsia"/>
          <w:kern w:val="1"/>
          <w:szCs w:val="22"/>
        </w:rPr>
      </w:pPr>
    </w:p>
    <w:p>
      <w:pPr>
        <w:rPr>
          <w:rFonts w:asciiTheme="majorEastAsia" w:hAnsiTheme="majorEastAsia" w:eastAsiaTheme="majorEastAsia"/>
          <w:b/>
          <w:bCs/>
          <w:kern w:val="44"/>
          <w:sz w:val="44"/>
          <w:szCs w:val="44"/>
          <w:shd w:val="clear" w:color="auto" w:fill="FFFFFF"/>
        </w:rPr>
      </w:pPr>
      <w:r>
        <w:rPr>
          <w:rFonts w:asciiTheme="majorEastAsia" w:hAnsiTheme="majorEastAsia" w:eastAsiaTheme="majorEastAsia"/>
          <w:szCs w:val="21"/>
        </w:rPr>
        <w:br w:type="page"/>
      </w:r>
    </w:p>
    <w:p>
      <w:pPr>
        <w:pStyle w:val="4"/>
        <w:numPr>
          <w:ilvl w:val="0"/>
          <w:numId w:val="1"/>
        </w:numPr>
        <w:spacing w:before="240" w:beforeLines="100" w:after="120" w:afterLines="50" w:line="500" w:lineRule="exact"/>
        <w:jc w:val="center"/>
        <w:rPr>
          <w:rFonts w:asciiTheme="majorEastAsia" w:hAnsiTheme="majorEastAsia" w:eastAsiaTheme="majorEastAsia"/>
          <w:szCs w:val="28"/>
        </w:rPr>
      </w:pPr>
      <w:bookmarkStart w:id="285" w:name="_Toc11382"/>
      <w:bookmarkStart w:id="286" w:name="_Toc26173"/>
      <w:bookmarkStart w:id="287" w:name="_Toc13260"/>
      <w:r>
        <w:rPr>
          <w:rFonts w:hint="eastAsia" w:asciiTheme="majorEastAsia" w:hAnsiTheme="majorEastAsia" w:eastAsiaTheme="majorEastAsia"/>
          <w:szCs w:val="28"/>
        </w:rPr>
        <w:t>合同协议书</w:t>
      </w:r>
      <w:bookmarkEnd w:id="285"/>
    </w:p>
    <w:p>
      <w:pPr>
        <w:rPr>
          <w:rFonts w:asciiTheme="majorEastAsia" w:hAnsiTheme="majorEastAsia" w:eastAsiaTheme="majorEastAsia"/>
        </w:rPr>
      </w:pPr>
    </w:p>
    <w:p>
      <w:pPr>
        <w:spacing w:line="360" w:lineRule="auto"/>
        <w:ind w:firstLine="482" w:firstLineChars="200"/>
        <w:rPr>
          <w:rFonts w:asciiTheme="majorEastAsia" w:hAnsiTheme="majorEastAsia" w:eastAsiaTheme="majorEastAsia"/>
          <w:b/>
          <w:sz w:val="24"/>
          <w:szCs w:val="22"/>
          <w:u w:val="single"/>
        </w:rPr>
      </w:pPr>
      <w:r>
        <w:rPr>
          <w:rFonts w:hint="eastAsia" w:asciiTheme="majorEastAsia" w:hAnsiTheme="majorEastAsia" w:eastAsiaTheme="majorEastAsia"/>
          <w:b/>
          <w:sz w:val="24"/>
          <w:szCs w:val="22"/>
        </w:rPr>
        <w:t>发包人（全称）：</w:t>
      </w:r>
      <w:r>
        <w:rPr>
          <w:rFonts w:hint="eastAsia" w:asciiTheme="majorEastAsia" w:hAnsiTheme="majorEastAsia" w:eastAsiaTheme="majorEastAsia"/>
          <w:b/>
          <w:sz w:val="24"/>
          <w:szCs w:val="22"/>
          <w:u w:val="single"/>
        </w:rPr>
        <w:t>高速管家（重庆）实业有限公司</w:t>
      </w:r>
    </w:p>
    <w:p>
      <w:pPr>
        <w:spacing w:line="360" w:lineRule="auto"/>
        <w:ind w:firstLine="482" w:firstLineChars="200"/>
        <w:rPr>
          <w:rFonts w:asciiTheme="majorEastAsia" w:hAnsiTheme="majorEastAsia" w:eastAsiaTheme="majorEastAsia"/>
          <w:b/>
          <w:sz w:val="24"/>
          <w:szCs w:val="22"/>
          <w:u w:val="single"/>
        </w:rPr>
      </w:pPr>
      <w:r>
        <w:rPr>
          <w:rFonts w:hint="eastAsia" w:asciiTheme="majorEastAsia" w:hAnsiTheme="majorEastAsia" w:eastAsiaTheme="majorEastAsia"/>
          <w:b/>
          <w:sz w:val="24"/>
          <w:szCs w:val="22"/>
        </w:rPr>
        <w:t>承包人（全称）：</w:t>
      </w:r>
      <w:r>
        <w:rPr>
          <w:rFonts w:hint="eastAsia" w:asciiTheme="majorEastAsia" w:hAnsiTheme="majorEastAsia" w:eastAsiaTheme="majorEastAsia"/>
          <w:b/>
          <w:sz w:val="24"/>
          <w:szCs w:val="22"/>
          <w:u w:val="single"/>
        </w:rPr>
        <w:t xml:space="preserve">                             </w:t>
      </w:r>
    </w:p>
    <w:p>
      <w:pPr>
        <w:spacing w:line="360" w:lineRule="auto"/>
        <w:ind w:firstLine="440" w:firstLineChars="200"/>
        <w:rPr>
          <w:rFonts w:cs="MingLiU" w:asciiTheme="majorEastAsia" w:hAnsiTheme="majorEastAsia" w:eastAsiaTheme="majorEastAsia"/>
          <w:snapToGrid w:val="0"/>
          <w:kern w:val="0"/>
          <w:sz w:val="22"/>
          <w:szCs w:val="22"/>
          <w:u w:val="single"/>
        </w:rPr>
      </w:pPr>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依照《中华人民共和国</w:t>
      </w:r>
      <w:r>
        <w:rPr>
          <w:rFonts w:hint="eastAsia" w:asciiTheme="majorEastAsia" w:hAnsiTheme="majorEastAsia" w:eastAsiaTheme="majorEastAsia"/>
          <w:sz w:val="22"/>
          <w:szCs w:val="22"/>
          <w:lang w:val="en-US" w:eastAsia="zh-CN"/>
        </w:rPr>
        <w:t>民法典</w:t>
      </w:r>
      <w:r>
        <w:rPr>
          <w:rFonts w:hint="eastAsia" w:asciiTheme="majorEastAsia" w:hAnsiTheme="majorEastAsia" w:eastAsiaTheme="majorEastAsia"/>
          <w:sz w:val="22"/>
          <w:szCs w:val="22"/>
        </w:rPr>
        <w:t>》、《中华人民共和国建筑法》及其他有关法律、行政法规，遵循平等、自愿、公平和诚实信用的原则，双方就</w:t>
      </w:r>
      <w:r>
        <w:rPr>
          <w:rFonts w:hint="eastAsia" w:asciiTheme="majorEastAsia" w:hAnsiTheme="majorEastAsia" w:eastAsiaTheme="majorEastAsia"/>
          <w:b/>
          <w:sz w:val="22"/>
          <w:szCs w:val="22"/>
          <w:u w:val="single"/>
        </w:rPr>
        <w:t>高升服务区室内装修工程</w:t>
      </w:r>
      <w:r>
        <w:rPr>
          <w:rFonts w:hint="eastAsia" w:asciiTheme="majorEastAsia" w:hAnsiTheme="majorEastAsia" w:eastAsiaTheme="majorEastAsia"/>
          <w:sz w:val="22"/>
          <w:szCs w:val="22"/>
        </w:rPr>
        <w:t>施工事项协商一致，订立本合同。</w:t>
      </w:r>
    </w:p>
    <w:p>
      <w:pPr>
        <w:spacing w:line="360" w:lineRule="auto"/>
        <w:ind w:firstLine="442" w:firstLineChars="200"/>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一、工程概况</w:t>
      </w:r>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工程名称：</w:t>
      </w:r>
      <w:r>
        <w:rPr>
          <w:rFonts w:hint="eastAsia" w:asciiTheme="majorEastAsia" w:hAnsiTheme="majorEastAsia" w:eastAsiaTheme="majorEastAsia"/>
          <w:sz w:val="22"/>
          <w:szCs w:val="22"/>
          <w:u w:val="single"/>
        </w:rPr>
        <w:t>高升服务区室内装修工程</w:t>
      </w:r>
      <w:r>
        <w:rPr>
          <w:rFonts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w:t>
      </w:r>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工程地点：</w:t>
      </w:r>
      <w:r>
        <w:rPr>
          <w:rFonts w:hint="eastAsia" w:asciiTheme="majorEastAsia" w:hAnsiTheme="majorEastAsia" w:eastAsiaTheme="majorEastAsia"/>
          <w:sz w:val="22"/>
          <w:szCs w:val="22"/>
          <w:u w:val="single"/>
        </w:rPr>
        <w:t xml:space="preserve"> </w:t>
      </w:r>
      <w:r>
        <w:rPr>
          <w:rFonts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w:t>
      </w:r>
    </w:p>
    <w:p>
      <w:pPr>
        <w:spacing w:line="360" w:lineRule="auto"/>
        <w:ind w:firstLine="440" w:firstLineChars="200"/>
        <w:rPr>
          <w:rFonts w:asciiTheme="majorEastAsia" w:hAnsiTheme="majorEastAsia" w:eastAsiaTheme="majorEastAsia"/>
          <w:b/>
          <w:sz w:val="22"/>
          <w:szCs w:val="22"/>
        </w:rPr>
      </w:pPr>
      <w:r>
        <w:rPr>
          <w:rFonts w:hint="eastAsia" w:asciiTheme="majorEastAsia" w:hAnsiTheme="majorEastAsia" w:eastAsiaTheme="majorEastAsia"/>
          <w:sz w:val="22"/>
          <w:szCs w:val="22"/>
        </w:rPr>
        <w:t>工程内容：</w:t>
      </w:r>
      <w:r>
        <w:rPr>
          <w:rFonts w:hint="eastAsia" w:asciiTheme="majorEastAsia" w:hAnsiTheme="majorEastAsia" w:eastAsiaTheme="majorEastAsia"/>
          <w:sz w:val="22"/>
          <w:szCs w:val="22"/>
          <w:u w:val="single"/>
        </w:rPr>
        <w:t xml:space="preserve"> </w:t>
      </w:r>
      <w:r>
        <w:rPr>
          <w:rFonts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w:t>
      </w:r>
    </w:p>
    <w:p>
      <w:pPr>
        <w:spacing w:line="360" w:lineRule="auto"/>
        <w:ind w:firstLine="442" w:firstLineChars="200"/>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二、工程承包范围</w:t>
      </w:r>
    </w:p>
    <w:p>
      <w:pPr>
        <w:spacing w:line="360" w:lineRule="auto"/>
        <w:ind w:firstLine="440" w:firstLineChars="200"/>
        <w:rPr>
          <w:rFonts w:asciiTheme="majorEastAsia" w:hAnsiTheme="majorEastAsia" w:eastAsiaTheme="majorEastAsia"/>
          <w:sz w:val="22"/>
          <w:szCs w:val="22"/>
          <w:u w:val="single"/>
        </w:rPr>
      </w:pPr>
      <w:r>
        <w:rPr>
          <w:rFonts w:hint="eastAsia" w:asciiTheme="majorEastAsia" w:hAnsiTheme="majorEastAsia" w:eastAsiaTheme="majorEastAsia"/>
          <w:sz w:val="22"/>
          <w:szCs w:val="22"/>
          <w:u w:val="single"/>
        </w:rPr>
        <w:t xml:space="preserve"> </w:t>
      </w:r>
      <w:r>
        <w:rPr>
          <w:rFonts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w:t>
      </w:r>
    </w:p>
    <w:p>
      <w:pPr>
        <w:spacing w:line="360" w:lineRule="auto"/>
        <w:ind w:firstLine="442" w:firstLineChars="200"/>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三、合同工期</w:t>
      </w:r>
    </w:p>
    <w:p>
      <w:pPr>
        <w:spacing w:line="360" w:lineRule="auto"/>
        <w:ind w:firstLine="440" w:firstLineChars="200"/>
        <w:rPr>
          <w:rFonts w:asciiTheme="majorEastAsia" w:hAnsiTheme="majorEastAsia" w:eastAsiaTheme="majorEastAsia"/>
          <w:bCs/>
          <w:sz w:val="22"/>
          <w:szCs w:val="22"/>
        </w:rPr>
      </w:pPr>
      <w:r>
        <w:rPr>
          <w:rFonts w:hint="eastAsia" w:asciiTheme="majorEastAsia" w:hAnsiTheme="majorEastAsia" w:eastAsiaTheme="majorEastAsia"/>
          <w:sz w:val="22"/>
          <w:szCs w:val="22"/>
        </w:rPr>
        <w:t>计划开工日期：</w:t>
      </w:r>
      <w:r>
        <w:rPr>
          <w:rFonts w:hint="eastAsia" w:asciiTheme="majorEastAsia" w:hAnsiTheme="majorEastAsia" w:eastAsiaTheme="majorEastAsia"/>
          <w:bCs/>
          <w:sz w:val="22"/>
          <w:szCs w:val="22"/>
          <w:u w:val="single"/>
        </w:rPr>
        <w:t xml:space="preserve">     年   月   日</w:t>
      </w:r>
      <w:r>
        <w:rPr>
          <w:rFonts w:hint="eastAsia" w:asciiTheme="majorEastAsia" w:hAnsiTheme="majorEastAsia" w:eastAsiaTheme="majorEastAsia"/>
          <w:bCs/>
          <w:sz w:val="22"/>
          <w:szCs w:val="22"/>
        </w:rPr>
        <w:t>，实际开工日期以监理工程师签发的工程开工通知明确的开工日期为准。</w:t>
      </w:r>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计划竣工日期：</w:t>
      </w:r>
      <w:r>
        <w:rPr>
          <w:rFonts w:hint="eastAsia" w:asciiTheme="majorEastAsia" w:hAnsiTheme="majorEastAsia" w:eastAsiaTheme="majorEastAsia"/>
          <w:bCs/>
          <w:sz w:val="22"/>
          <w:szCs w:val="22"/>
          <w:u w:val="single"/>
        </w:rPr>
        <w:t xml:space="preserve">     年   月   日</w:t>
      </w:r>
      <w:r>
        <w:rPr>
          <w:rFonts w:hint="eastAsia" w:asciiTheme="majorEastAsia" w:hAnsiTheme="majorEastAsia" w:eastAsiaTheme="majorEastAsia"/>
          <w:bCs/>
          <w:sz w:val="22"/>
          <w:szCs w:val="22"/>
        </w:rPr>
        <w:t>，</w:t>
      </w:r>
      <w:r>
        <w:rPr>
          <w:rFonts w:hint="eastAsia" w:ascii="宋体" w:hAnsi="宋体"/>
          <w:bCs/>
          <w:sz w:val="22"/>
          <w:szCs w:val="22"/>
        </w:rPr>
        <w:t>实际竣工日期以工程竣工验收合格之日为准。</w:t>
      </w:r>
    </w:p>
    <w:p>
      <w:pPr>
        <w:spacing w:line="360" w:lineRule="auto"/>
        <w:ind w:firstLine="440" w:firstLineChars="200"/>
        <w:rPr>
          <w:rFonts w:asciiTheme="majorEastAsia" w:hAnsiTheme="majorEastAsia" w:eastAsiaTheme="majorEastAsia"/>
          <w:bCs/>
          <w:sz w:val="22"/>
          <w:szCs w:val="22"/>
        </w:rPr>
      </w:pPr>
      <w:r>
        <w:rPr>
          <w:rFonts w:hint="eastAsia" w:asciiTheme="majorEastAsia" w:hAnsiTheme="majorEastAsia" w:eastAsiaTheme="majorEastAsia"/>
          <w:sz w:val="22"/>
          <w:szCs w:val="22"/>
        </w:rPr>
        <w:t>工期总数：</w:t>
      </w:r>
      <w:r>
        <w:rPr>
          <w:rFonts w:hint="eastAsia" w:asciiTheme="majorEastAsia" w:hAnsiTheme="majorEastAsia" w:eastAsiaTheme="majorEastAsia"/>
          <w:sz w:val="22"/>
          <w:szCs w:val="22"/>
          <w:u w:val="single"/>
        </w:rPr>
        <w:t>40天</w:t>
      </w:r>
      <w:r>
        <w:rPr>
          <w:rFonts w:hint="eastAsia" w:asciiTheme="majorEastAsia" w:hAnsiTheme="majorEastAsia" w:eastAsiaTheme="majorEastAsia"/>
          <w:sz w:val="22"/>
          <w:szCs w:val="22"/>
        </w:rPr>
        <w:t>。工期总日历天数与根据前述计划开竣工日期计算的工期天数不一致的，以工期总日历天数为准。</w:t>
      </w:r>
    </w:p>
    <w:p>
      <w:pPr>
        <w:spacing w:line="360" w:lineRule="auto"/>
        <w:ind w:firstLine="442" w:firstLineChars="200"/>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四、质量标准</w:t>
      </w:r>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工程质量标准：</w:t>
      </w:r>
      <w:r>
        <w:rPr>
          <w:rFonts w:hint="eastAsia" w:asciiTheme="majorEastAsia" w:hAnsiTheme="majorEastAsia" w:eastAsiaTheme="majorEastAsia"/>
          <w:bCs/>
          <w:sz w:val="22"/>
          <w:szCs w:val="22"/>
          <w:u w:val="single"/>
        </w:rPr>
        <w:t>工程质量符合国家有关施工质量验收规范和标准要求，达到合格标准。</w:t>
      </w:r>
    </w:p>
    <w:p>
      <w:pPr>
        <w:spacing w:line="360" w:lineRule="auto"/>
        <w:ind w:firstLine="442" w:firstLineChars="200"/>
        <w:rPr>
          <w:rFonts w:asciiTheme="majorEastAsia" w:hAnsiTheme="majorEastAsia" w:eastAsiaTheme="majorEastAsia"/>
          <w:b/>
          <w:bCs/>
          <w:kern w:val="0"/>
          <w:sz w:val="22"/>
          <w:szCs w:val="22"/>
        </w:rPr>
      </w:pPr>
      <w:r>
        <w:rPr>
          <w:rFonts w:hint="eastAsia" w:asciiTheme="majorEastAsia" w:hAnsiTheme="majorEastAsia" w:eastAsiaTheme="majorEastAsia"/>
          <w:b/>
          <w:bCs/>
          <w:kern w:val="0"/>
          <w:sz w:val="22"/>
          <w:szCs w:val="22"/>
        </w:rPr>
        <w:t>五、合同价款（人民币）</w:t>
      </w:r>
    </w:p>
    <w:p>
      <w:pPr>
        <w:spacing w:line="360" w:lineRule="auto"/>
        <w:ind w:firstLine="440" w:firstLineChars="20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1.签约合同价为：人民币（大写）</w:t>
      </w:r>
      <w:r>
        <w:rPr>
          <w:rFonts w:hint="eastAsia" w:asciiTheme="majorEastAsia" w:hAnsiTheme="majorEastAsia" w:eastAsiaTheme="majorEastAsia"/>
          <w:bCs/>
          <w:kern w:val="0"/>
          <w:sz w:val="22"/>
          <w:szCs w:val="22"/>
          <w:u w:val="single"/>
        </w:rPr>
        <w:t xml:space="preserve">                </w:t>
      </w:r>
      <w:r>
        <w:rPr>
          <w:rFonts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u w:val="single"/>
        </w:rPr>
        <w:t xml:space="preserve"> (¥          元)</w:t>
      </w:r>
      <w:r>
        <w:rPr>
          <w:rFonts w:hint="eastAsia" w:asciiTheme="majorEastAsia" w:hAnsiTheme="majorEastAsia" w:eastAsiaTheme="majorEastAsia"/>
          <w:bCs/>
          <w:kern w:val="0"/>
          <w:sz w:val="22"/>
          <w:szCs w:val="22"/>
        </w:rPr>
        <w:t>；</w:t>
      </w:r>
    </w:p>
    <w:p>
      <w:pPr>
        <w:spacing w:line="360" w:lineRule="auto"/>
        <w:ind w:firstLine="440" w:firstLineChars="20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其中：（1）安全文明施工费：人民币（大写）</w:t>
      </w:r>
      <w:r>
        <w:rPr>
          <w:rFonts w:hint="eastAsia" w:asciiTheme="majorEastAsia" w:hAnsiTheme="majorEastAsia" w:eastAsiaTheme="majorEastAsia"/>
          <w:bCs/>
          <w:kern w:val="0"/>
          <w:sz w:val="22"/>
          <w:szCs w:val="22"/>
          <w:u w:val="single"/>
        </w:rPr>
        <w:t xml:space="preserve">             </w:t>
      </w:r>
      <w:r>
        <w:rPr>
          <w:rFonts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u w:val="single"/>
        </w:rPr>
        <w:t xml:space="preserve">  (¥          元)</w:t>
      </w:r>
      <w:r>
        <w:rPr>
          <w:rFonts w:hint="eastAsia" w:asciiTheme="majorEastAsia" w:hAnsiTheme="majorEastAsia" w:eastAsiaTheme="majorEastAsia"/>
          <w:bCs/>
          <w:kern w:val="0"/>
          <w:sz w:val="22"/>
          <w:szCs w:val="22"/>
        </w:rPr>
        <w:t>；</w:t>
      </w:r>
    </w:p>
    <w:p>
      <w:pPr>
        <w:spacing w:line="360" w:lineRule="auto"/>
        <w:ind w:firstLine="440" w:firstLineChars="20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 xml:space="preserve">      （2）专业工程暂估价：人民币（大写）</w:t>
      </w:r>
      <w:r>
        <w:rPr>
          <w:rFonts w:hint="eastAsia" w:asciiTheme="majorEastAsia" w:hAnsiTheme="majorEastAsia" w:eastAsiaTheme="majorEastAsia"/>
          <w:bCs/>
          <w:kern w:val="0"/>
          <w:sz w:val="22"/>
          <w:szCs w:val="22"/>
          <w:u w:val="single"/>
        </w:rPr>
        <w:t xml:space="preserve">             </w:t>
      </w:r>
      <w:r>
        <w:rPr>
          <w:rFonts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u w:val="single"/>
        </w:rPr>
        <w:t>(¥          元)</w:t>
      </w:r>
      <w:r>
        <w:rPr>
          <w:rFonts w:hint="eastAsia" w:asciiTheme="majorEastAsia" w:hAnsiTheme="majorEastAsia" w:eastAsiaTheme="majorEastAsia"/>
          <w:bCs/>
          <w:kern w:val="0"/>
          <w:sz w:val="22"/>
          <w:szCs w:val="22"/>
        </w:rPr>
        <w:t>；</w:t>
      </w:r>
    </w:p>
    <w:p>
      <w:pPr>
        <w:pStyle w:val="2"/>
        <w:spacing w:line="360" w:lineRule="auto"/>
        <w:ind w:firstLine="440" w:firstLineChars="20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 xml:space="preserve">      （3）暂列金额：人民币（大写）</w:t>
      </w:r>
      <w:r>
        <w:rPr>
          <w:rFonts w:hint="eastAsia" w:asciiTheme="majorEastAsia" w:hAnsiTheme="majorEastAsia" w:eastAsiaTheme="majorEastAsia"/>
          <w:bCs/>
          <w:kern w:val="0"/>
          <w:sz w:val="22"/>
          <w:szCs w:val="22"/>
          <w:u w:val="single"/>
        </w:rPr>
        <w:t xml:space="preserve">             </w:t>
      </w:r>
      <w:r>
        <w:rPr>
          <w:rFonts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u w:val="single"/>
        </w:rPr>
        <w:t>(¥          元)</w:t>
      </w:r>
      <w:r>
        <w:rPr>
          <w:rFonts w:hint="eastAsia" w:asciiTheme="majorEastAsia" w:hAnsiTheme="majorEastAsia" w:eastAsiaTheme="majorEastAsia"/>
          <w:bCs/>
          <w:kern w:val="0"/>
          <w:sz w:val="22"/>
          <w:szCs w:val="22"/>
        </w:rPr>
        <w:t>；</w:t>
      </w:r>
    </w:p>
    <w:p>
      <w:pPr>
        <w:pStyle w:val="2"/>
        <w:spacing w:line="360" w:lineRule="auto"/>
        <w:ind w:firstLine="440" w:firstLineChars="20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 xml:space="preserve">      （4）人工费（工资款）：该项目实行人工费（工资款）与其他工程款分账管理，发包人将应付工程款中的人工费（工资款），以不低于已完成合同价款的</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（不低于25%），农民工工资单独支付至承包人设立的农民工工资专用账户。</w:t>
      </w:r>
    </w:p>
    <w:p>
      <w:pPr>
        <w:spacing w:line="360" w:lineRule="auto"/>
        <w:ind w:firstLine="440" w:firstLineChars="20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2.合同价格形式：</w:t>
      </w:r>
      <w:r>
        <w:rPr>
          <w:rFonts w:hint="eastAsia" w:asciiTheme="majorEastAsia" w:hAnsiTheme="majorEastAsia" w:eastAsiaTheme="majorEastAsia"/>
          <w:bCs/>
          <w:kern w:val="0"/>
          <w:sz w:val="22"/>
          <w:szCs w:val="22"/>
          <w:u w:val="single"/>
        </w:rPr>
        <w:t>单价合同</w:t>
      </w:r>
      <w:r>
        <w:rPr>
          <w:rFonts w:hint="eastAsia" w:asciiTheme="majorEastAsia" w:hAnsiTheme="majorEastAsia" w:eastAsiaTheme="majorEastAsia"/>
          <w:bCs/>
          <w:kern w:val="0"/>
          <w:sz w:val="22"/>
          <w:szCs w:val="22"/>
        </w:rPr>
        <w:t>。</w:t>
      </w:r>
    </w:p>
    <w:p>
      <w:pPr>
        <w:spacing w:line="360" w:lineRule="auto"/>
        <w:ind w:firstLine="442" w:firstLineChars="200"/>
        <w:rPr>
          <w:rFonts w:cs="MingLiU" w:asciiTheme="majorEastAsia" w:hAnsiTheme="majorEastAsia" w:eastAsiaTheme="majorEastAsia"/>
          <w:b/>
          <w:bCs/>
          <w:snapToGrid w:val="0"/>
          <w:kern w:val="0"/>
          <w:sz w:val="22"/>
          <w:szCs w:val="22"/>
        </w:rPr>
      </w:pPr>
      <w:r>
        <w:rPr>
          <w:rFonts w:hint="eastAsia" w:asciiTheme="majorEastAsia" w:hAnsiTheme="majorEastAsia" w:eastAsiaTheme="majorEastAsia"/>
          <w:b/>
          <w:bCs/>
          <w:kern w:val="0"/>
          <w:sz w:val="22"/>
          <w:szCs w:val="22"/>
        </w:rPr>
        <w:t>六、</w:t>
      </w:r>
      <w:r>
        <w:rPr>
          <w:rFonts w:hint="eastAsia" w:cs="MingLiU" w:asciiTheme="majorEastAsia" w:hAnsiTheme="majorEastAsia" w:eastAsiaTheme="majorEastAsia"/>
          <w:b/>
          <w:bCs/>
          <w:snapToGrid w:val="0"/>
          <w:kern w:val="0"/>
          <w:sz w:val="22"/>
          <w:szCs w:val="22"/>
        </w:rPr>
        <w:t>项目经理</w:t>
      </w:r>
      <w:bookmarkStart w:id="288" w:name="_Toc351203486"/>
      <w:r>
        <w:rPr>
          <w:rFonts w:hint="eastAsia" w:cs="MingLiU" w:asciiTheme="majorEastAsia" w:hAnsiTheme="majorEastAsia" w:eastAsiaTheme="majorEastAsia"/>
          <w:b/>
          <w:bCs/>
          <w:snapToGrid w:val="0"/>
          <w:kern w:val="0"/>
          <w:sz w:val="22"/>
          <w:szCs w:val="22"/>
        </w:rPr>
        <w:t>及技术负责人</w:t>
      </w:r>
    </w:p>
    <w:p>
      <w:pPr>
        <w:spacing w:line="360" w:lineRule="auto"/>
        <w:ind w:firstLine="440" w:firstLineChars="200"/>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承包人投标文件中承诺的项目经理：</w:t>
      </w:r>
    </w:p>
    <w:p>
      <w:pPr>
        <w:spacing w:line="360" w:lineRule="auto"/>
        <w:ind w:firstLine="440" w:firstLineChars="200"/>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姓名：</w:t>
      </w:r>
      <w:r>
        <w:rPr>
          <w:rFonts w:hint="eastAsia" w:cs="MingLiU" w:asciiTheme="majorEastAsia" w:hAnsiTheme="majorEastAsia" w:eastAsiaTheme="majorEastAsia"/>
          <w:snapToGrid w:val="0"/>
          <w:kern w:val="0"/>
          <w:sz w:val="22"/>
          <w:szCs w:val="22"/>
          <w:u w:val="single"/>
        </w:rPr>
        <w:t xml:space="preserve">                                </w:t>
      </w:r>
      <w:r>
        <w:rPr>
          <w:rFonts w:hint="eastAsia" w:cs="MingLiU" w:asciiTheme="majorEastAsia" w:hAnsiTheme="majorEastAsia" w:eastAsiaTheme="majorEastAsia"/>
          <w:snapToGrid w:val="0"/>
          <w:kern w:val="0"/>
          <w:sz w:val="22"/>
          <w:szCs w:val="22"/>
        </w:rPr>
        <w:t>，</w:t>
      </w:r>
    </w:p>
    <w:p>
      <w:pPr>
        <w:spacing w:line="360" w:lineRule="auto"/>
        <w:ind w:firstLine="440" w:firstLineChars="200"/>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身份证号码：</w:t>
      </w:r>
      <w:r>
        <w:rPr>
          <w:rFonts w:hint="eastAsia" w:cs="MingLiU" w:asciiTheme="majorEastAsia" w:hAnsiTheme="majorEastAsia" w:eastAsiaTheme="majorEastAsia"/>
          <w:snapToGrid w:val="0"/>
          <w:kern w:val="0"/>
          <w:sz w:val="22"/>
          <w:szCs w:val="22"/>
          <w:u w:val="single"/>
        </w:rPr>
        <w:t xml:space="preserve">                                </w:t>
      </w:r>
      <w:r>
        <w:rPr>
          <w:rFonts w:hint="eastAsia" w:cs="MingLiU" w:asciiTheme="majorEastAsia" w:hAnsiTheme="majorEastAsia" w:eastAsiaTheme="majorEastAsia"/>
          <w:snapToGrid w:val="0"/>
          <w:kern w:val="0"/>
          <w:sz w:val="22"/>
          <w:szCs w:val="22"/>
        </w:rPr>
        <w:t>，</w:t>
      </w:r>
    </w:p>
    <w:p>
      <w:pPr>
        <w:spacing w:line="360" w:lineRule="auto"/>
        <w:ind w:firstLine="440" w:firstLineChars="200"/>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建造师注册证书号：</w:t>
      </w:r>
      <w:r>
        <w:rPr>
          <w:rFonts w:hint="eastAsia" w:cs="MingLiU" w:asciiTheme="majorEastAsia" w:hAnsiTheme="majorEastAsia" w:eastAsiaTheme="majorEastAsia"/>
          <w:snapToGrid w:val="0"/>
          <w:kern w:val="0"/>
          <w:sz w:val="22"/>
          <w:szCs w:val="22"/>
          <w:u w:val="single"/>
        </w:rPr>
        <w:t xml:space="preserve">                              </w:t>
      </w:r>
      <w:r>
        <w:rPr>
          <w:rFonts w:hint="eastAsia" w:cs="MingLiU" w:asciiTheme="majorEastAsia" w:hAnsiTheme="majorEastAsia" w:eastAsiaTheme="majorEastAsia"/>
          <w:snapToGrid w:val="0"/>
          <w:kern w:val="0"/>
          <w:sz w:val="22"/>
          <w:szCs w:val="22"/>
        </w:rPr>
        <w:t xml:space="preserve"> 。</w:t>
      </w:r>
    </w:p>
    <w:p>
      <w:pPr>
        <w:spacing w:line="360" w:lineRule="auto"/>
        <w:ind w:firstLine="440" w:firstLineChars="200"/>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承包人投标文件中承诺的技术负责人：</w:t>
      </w:r>
    </w:p>
    <w:p>
      <w:pPr>
        <w:spacing w:line="360" w:lineRule="auto"/>
        <w:ind w:firstLine="440" w:firstLineChars="200"/>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姓名：</w:t>
      </w:r>
      <w:r>
        <w:rPr>
          <w:rFonts w:hint="eastAsia" w:cs="MingLiU" w:asciiTheme="majorEastAsia" w:hAnsiTheme="majorEastAsia" w:eastAsiaTheme="majorEastAsia"/>
          <w:snapToGrid w:val="0"/>
          <w:kern w:val="0"/>
          <w:sz w:val="22"/>
          <w:szCs w:val="22"/>
          <w:u w:val="single"/>
        </w:rPr>
        <w:t xml:space="preserve">                              </w:t>
      </w:r>
      <w:r>
        <w:rPr>
          <w:rFonts w:hint="eastAsia" w:cs="MingLiU" w:asciiTheme="majorEastAsia" w:hAnsiTheme="majorEastAsia" w:eastAsiaTheme="majorEastAsia"/>
          <w:snapToGrid w:val="0"/>
          <w:kern w:val="0"/>
          <w:sz w:val="22"/>
          <w:szCs w:val="22"/>
        </w:rPr>
        <w:t xml:space="preserve"> ，</w:t>
      </w:r>
    </w:p>
    <w:p>
      <w:pPr>
        <w:spacing w:line="360" w:lineRule="auto"/>
        <w:ind w:firstLine="440" w:firstLineChars="200"/>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身份证号码：</w:t>
      </w:r>
      <w:r>
        <w:rPr>
          <w:rFonts w:hint="eastAsia" w:cs="MingLiU" w:asciiTheme="majorEastAsia" w:hAnsiTheme="majorEastAsia" w:eastAsiaTheme="majorEastAsia"/>
          <w:snapToGrid w:val="0"/>
          <w:kern w:val="0"/>
          <w:sz w:val="22"/>
          <w:szCs w:val="22"/>
          <w:u w:val="single"/>
        </w:rPr>
        <w:t xml:space="preserve">                               </w:t>
      </w:r>
      <w:r>
        <w:rPr>
          <w:rFonts w:hint="eastAsia" w:cs="MingLiU" w:asciiTheme="majorEastAsia" w:hAnsiTheme="majorEastAsia" w:eastAsiaTheme="majorEastAsia"/>
          <w:snapToGrid w:val="0"/>
          <w:kern w:val="0"/>
          <w:sz w:val="22"/>
          <w:szCs w:val="22"/>
        </w:rPr>
        <w:t>。</w:t>
      </w:r>
    </w:p>
    <w:p>
      <w:pPr>
        <w:spacing w:line="360" w:lineRule="auto"/>
        <w:ind w:firstLine="440" w:firstLineChars="200"/>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证书名称及号码：</w:t>
      </w:r>
      <w:r>
        <w:rPr>
          <w:rFonts w:hint="eastAsia" w:cs="MingLiU" w:asciiTheme="majorEastAsia" w:hAnsiTheme="majorEastAsia" w:eastAsiaTheme="majorEastAsia"/>
          <w:snapToGrid w:val="0"/>
          <w:kern w:val="0"/>
          <w:sz w:val="22"/>
          <w:szCs w:val="22"/>
          <w:u w:val="single"/>
        </w:rPr>
        <w:t xml:space="preserve">                                   </w:t>
      </w:r>
      <w:r>
        <w:rPr>
          <w:rFonts w:hint="eastAsia" w:cs="MingLiU" w:asciiTheme="majorEastAsia" w:hAnsiTheme="majorEastAsia" w:eastAsiaTheme="majorEastAsia"/>
          <w:snapToGrid w:val="0"/>
          <w:kern w:val="0"/>
          <w:sz w:val="22"/>
          <w:szCs w:val="22"/>
        </w:rPr>
        <w:t>。</w:t>
      </w:r>
    </w:p>
    <w:p>
      <w:pPr>
        <w:spacing w:line="360" w:lineRule="auto"/>
        <w:ind w:firstLine="442" w:firstLineChars="200"/>
        <w:rPr>
          <w:rFonts w:cs="MingLiU" w:asciiTheme="majorEastAsia" w:hAnsiTheme="majorEastAsia" w:eastAsiaTheme="majorEastAsia"/>
          <w:b/>
          <w:bCs/>
          <w:snapToGrid w:val="0"/>
          <w:kern w:val="0"/>
          <w:sz w:val="22"/>
          <w:szCs w:val="22"/>
        </w:rPr>
      </w:pPr>
      <w:r>
        <w:rPr>
          <w:rFonts w:hint="eastAsia" w:cs="MingLiU" w:asciiTheme="majorEastAsia" w:hAnsiTheme="majorEastAsia" w:eastAsiaTheme="majorEastAsia"/>
          <w:b/>
          <w:bCs/>
          <w:snapToGrid w:val="0"/>
          <w:kern w:val="0"/>
          <w:sz w:val="22"/>
          <w:szCs w:val="22"/>
        </w:rPr>
        <w:t>七</w:t>
      </w:r>
      <w:r>
        <w:rPr>
          <w:rFonts w:cs="MingLiU" w:asciiTheme="majorEastAsia" w:hAnsiTheme="majorEastAsia" w:eastAsiaTheme="majorEastAsia"/>
          <w:b/>
          <w:bCs/>
          <w:snapToGrid w:val="0"/>
          <w:kern w:val="0"/>
          <w:sz w:val="22"/>
          <w:szCs w:val="22"/>
        </w:rPr>
        <w:t>、合同文件构成</w:t>
      </w:r>
      <w:bookmarkEnd w:id="288"/>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本协议书与下列文件一起构成合同文件：</w:t>
      </w:r>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（1）中选通知书；</w:t>
      </w:r>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（2）</w:t>
      </w:r>
      <w:r>
        <w:rPr>
          <w:rFonts w:hint="eastAsia" w:asciiTheme="majorEastAsia" w:hAnsiTheme="majorEastAsia" w:eastAsiaTheme="majorEastAsia"/>
          <w:bCs/>
          <w:kern w:val="0"/>
          <w:sz w:val="22"/>
          <w:szCs w:val="22"/>
        </w:rPr>
        <w:t>比选申请</w:t>
      </w:r>
      <w:r>
        <w:rPr>
          <w:rFonts w:asciiTheme="majorEastAsia" w:hAnsiTheme="majorEastAsia" w:eastAsiaTheme="majorEastAsia"/>
          <w:bCs/>
          <w:kern w:val="0"/>
          <w:sz w:val="22"/>
          <w:szCs w:val="22"/>
        </w:rPr>
        <w:t xml:space="preserve">函及其附录； </w:t>
      </w:r>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（3）专用合同条款及其附件；</w:t>
      </w:r>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（4）通用合同条款；</w:t>
      </w:r>
    </w:p>
    <w:p>
      <w:pPr>
        <w:spacing w:line="360" w:lineRule="auto"/>
        <w:ind w:firstLine="440" w:firstLineChars="20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（5）投标文件；</w:t>
      </w:r>
    </w:p>
    <w:p>
      <w:pPr>
        <w:pStyle w:val="2"/>
        <w:spacing w:line="360" w:lineRule="auto"/>
        <w:ind w:firstLine="440" w:firstLineChars="20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（6）招标文件及补遗文件；</w:t>
      </w:r>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w:t>
      </w:r>
      <w:r>
        <w:rPr>
          <w:rFonts w:hint="eastAsia" w:asciiTheme="majorEastAsia" w:hAnsiTheme="majorEastAsia" w:eastAsiaTheme="majorEastAsia"/>
          <w:bCs/>
          <w:kern w:val="0"/>
          <w:sz w:val="22"/>
          <w:szCs w:val="22"/>
        </w:rPr>
        <w:t>7</w:t>
      </w:r>
      <w:r>
        <w:rPr>
          <w:rFonts w:asciiTheme="majorEastAsia" w:hAnsiTheme="majorEastAsia" w:eastAsiaTheme="majorEastAsia"/>
          <w:bCs/>
          <w:kern w:val="0"/>
          <w:sz w:val="22"/>
          <w:szCs w:val="22"/>
        </w:rPr>
        <w:t>）技术标准和要求；</w:t>
      </w:r>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w:t>
      </w:r>
      <w:r>
        <w:rPr>
          <w:rFonts w:hint="eastAsia" w:asciiTheme="majorEastAsia" w:hAnsiTheme="majorEastAsia" w:eastAsiaTheme="majorEastAsia"/>
          <w:bCs/>
          <w:kern w:val="0"/>
          <w:sz w:val="22"/>
          <w:szCs w:val="22"/>
        </w:rPr>
        <w:t>8</w:t>
      </w:r>
      <w:r>
        <w:rPr>
          <w:rFonts w:asciiTheme="majorEastAsia" w:hAnsiTheme="majorEastAsia" w:eastAsiaTheme="majorEastAsia"/>
          <w:bCs/>
          <w:kern w:val="0"/>
          <w:sz w:val="22"/>
          <w:szCs w:val="22"/>
        </w:rPr>
        <w:t>）图纸；</w:t>
      </w:r>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w:t>
      </w:r>
      <w:r>
        <w:rPr>
          <w:rFonts w:hint="eastAsia" w:asciiTheme="majorEastAsia" w:hAnsiTheme="majorEastAsia" w:eastAsiaTheme="majorEastAsia"/>
          <w:bCs/>
          <w:kern w:val="0"/>
          <w:sz w:val="22"/>
          <w:szCs w:val="22"/>
        </w:rPr>
        <w:t>9</w:t>
      </w:r>
      <w:r>
        <w:rPr>
          <w:rFonts w:asciiTheme="majorEastAsia" w:hAnsiTheme="majorEastAsia" w:eastAsiaTheme="majorEastAsia"/>
          <w:bCs/>
          <w:kern w:val="0"/>
          <w:sz w:val="22"/>
          <w:szCs w:val="22"/>
        </w:rPr>
        <w:t>）已标价工程量清单或预算书；</w:t>
      </w:r>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w:t>
      </w:r>
      <w:r>
        <w:rPr>
          <w:rFonts w:hint="eastAsia" w:asciiTheme="majorEastAsia" w:hAnsiTheme="majorEastAsia" w:eastAsiaTheme="majorEastAsia"/>
          <w:bCs/>
          <w:kern w:val="0"/>
          <w:sz w:val="22"/>
          <w:szCs w:val="22"/>
        </w:rPr>
        <w:t>10</w:t>
      </w:r>
      <w:r>
        <w:rPr>
          <w:rFonts w:asciiTheme="majorEastAsia" w:hAnsiTheme="majorEastAsia" w:eastAsiaTheme="majorEastAsia"/>
          <w:bCs/>
          <w:kern w:val="0"/>
          <w:sz w:val="22"/>
          <w:szCs w:val="22"/>
        </w:rPr>
        <w:t>）其他合同文件。</w:t>
      </w:r>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在合同订立及履行过程中形成的与合同有关的文件均构成合同文件组成部分。</w:t>
      </w:r>
    </w:p>
    <w:p>
      <w:pPr>
        <w:spacing w:line="360" w:lineRule="auto"/>
        <w:ind w:firstLine="440" w:firstLineChars="200"/>
        <w:rPr>
          <w:rFonts w:asciiTheme="majorEastAsia" w:hAnsiTheme="majorEastAsia" w:eastAsiaTheme="majorEastAsia"/>
          <w:bCs/>
          <w:kern w:val="0"/>
          <w:sz w:val="22"/>
          <w:szCs w:val="22"/>
        </w:rPr>
      </w:pPr>
      <w:r>
        <w:rPr>
          <w:rFonts w:asciiTheme="majorEastAsia" w:hAnsiTheme="majorEastAsia" w:eastAsiaTheme="majorEastAsia"/>
          <w:bCs/>
          <w:kern w:val="0"/>
          <w:sz w:val="22"/>
          <w:szCs w:val="22"/>
        </w:rPr>
        <w:t>上述各项合同文件包括合同当事人就该项合同文件所作出的补充和修改，属于同一类内容的文件，应以最新签署的为准。</w:t>
      </w:r>
      <w:r>
        <w:rPr>
          <w:rFonts w:hint="eastAsia" w:asciiTheme="majorEastAsia" w:hAnsiTheme="majorEastAsia" w:eastAsiaTheme="majorEastAsia"/>
          <w:bCs/>
          <w:kern w:val="0"/>
          <w:sz w:val="22"/>
          <w:szCs w:val="22"/>
        </w:rPr>
        <w:t>专用合同条款及其附件须经合同当事人签字</w:t>
      </w:r>
      <w:r>
        <w:rPr>
          <w:rFonts w:hint="eastAsia" w:asciiTheme="majorEastAsia" w:hAnsiTheme="majorEastAsia" w:eastAsiaTheme="majorEastAsia"/>
          <w:bCs/>
          <w:kern w:val="0"/>
          <w:sz w:val="22"/>
          <w:szCs w:val="22"/>
          <w:lang w:val="en-US" w:eastAsia="zh-CN"/>
        </w:rPr>
        <w:t>并</w:t>
      </w:r>
      <w:r>
        <w:rPr>
          <w:rFonts w:hint="eastAsia" w:asciiTheme="majorEastAsia" w:hAnsiTheme="majorEastAsia" w:eastAsiaTheme="majorEastAsia"/>
          <w:bCs/>
          <w:kern w:val="0"/>
          <w:sz w:val="22"/>
          <w:szCs w:val="22"/>
        </w:rPr>
        <w:t>盖章。</w:t>
      </w:r>
    </w:p>
    <w:p>
      <w:pPr>
        <w:autoSpaceDE w:val="0"/>
        <w:autoSpaceDN w:val="0"/>
        <w:adjustRightInd w:val="0"/>
        <w:snapToGrid w:val="0"/>
        <w:spacing w:line="360" w:lineRule="auto"/>
        <w:ind w:firstLine="442" w:firstLineChars="200"/>
        <w:rPr>
          <w:rFonts w:cs="MingLiU" w:asciiTheme="majorEastAsia" w:hAnsiTheme="majorEastAsia" w:eastAsiaTheme="majorEastAsia"/>
          <w:b/>
          <w:bCs/>
          <w:snapToGrid w:val="0"/>
          <w:kern w:val="0"/>
          <w:sz w:val="22"/>
          <w:szCs w:val="22"/>
        </w:rPr>
      </w:pPr>
      <w:r>
        <w:rPr>
          <w:rFonts w:hint="eastAsia" w:asciiTheme="majorEastAsia" w:hAnsiTheme="majorEastAsia" w:eastAsiaTheme="majorEastAsia"/>
          <w:b/>
          <w:bCs/>
          <w:snapToGrid w:val="0"/>
          <w:kern w:val="0"/>
          <w:sz w:val="22"/>
          <w:szCs w:val="22"/>
        </w:rPr>
        <w:t>八、</w:t>
      </w:r>
      <w:r>
        <w:rPr>
          <w:rFonts w:hint="eastAsia" w:cs="MingLiU" w:asciiTheme="majorEastAsia" w:hAnsiTheme="majorEastAsia" w:eastAsiaTheme="majorEastAsia"/>
          <w:b/>
          <w:bCs/>
          <w:snapToGrid w:val="0"/>
          <w:kern w:val="0"/>
          <w:sz w:val="22"/>
          <w:szCs w:val="22"/>
        </w:rPr>
        <w:t>承诺</w:t>
      </w:r>
    </w:p>
    <w:p>
      <w:pPr>
        <w:autoSpaceDE w:val="0"/>
        <w:autoSpaceDN w:val="0"/>
        <w:adjustRightInd w:val="0"/>
        <w:snapToGrid w:val="0"/>
        <w:spacing w:line="360" w:lineRule="auto"/>
        <w:ind w:firstLine="440" w:firstLineChars="200"/>
        <w:rPr>
          <w:rFonts w:asciiTheme="majorEastAsia" w:hAnsiTheme="majorEastAsia" w:eastAsiaTheme="majorEastAsia"/>
          <w:snapToGrid w:val="0"/>
          <w:kern w:val="0"/>
          <w:sz w:val="22"/>
          <w:szCs w:val="22"/>
        </w:rPr>
      </w:pPr>
      <w:r>
        <w:rPr>
          <w:rFonts w:hint="eastAsia" w:asciiTheme="majorEastAsia" w:hAnsiTheme="majorEastAsia" w:eastAsiaTheme="majorEastAsia"/>
          <w:snapToGrid w:val="0"/>
          <w:kern w:val="0"/>
          <w:sz w:val="22"/>
          <w:szCs w:val="22"/>
        </w:rPr>
        <w:t>1.发包人承诺按照法律规定履行项目审批手续、筹集工程建设资金并按照合同约定的期限和方式支付合同价款。</w:t>
      </w:r>
    </w:p>
    <w:p>
      <w:pPr>
        <w:autoSpaceDE w:val="0"/>
        <w:autoSpaceDN w:val="0"/>
        <w:adjustRightInd w:val="0"/>
        <w:snapToGrid w:val="0"/>
        <w:spacing w:line="360" w:lineRule="auto"/>
        <w:ind w:firstLine="440" w:firstLineChars="200"/>
        <w:rPr>
          <w:rFonts w:asciiTheme="majorEastAsia" w:hAnsiTheme="majorEastAsia" w:eastAsiaTheme="majorEastAsia"/>
          <w:snapToGrid w:val="0"/>
          <w:kern w:val="0"/>
          <w:sz w:val="22"/>
          <w:szCs w:val="22"/>
        </w:rPr>
      </w:pPr>
      <w:r>
        <w:rPr>
          <w:rFonts w:hint="eastAsia" w:asciiTheme="majorEastAsia" w:hAnsiTheme="majorEastAsia" w:eastAsiaTheme="majorEastAsia"/>
          <w:snapToGrid w:val="0"/>
          <w:kern w:val="0"/>
          <w:sz w:val="22"/>
          <w:szCs w:val="22"/>
        </w:rPr>
        <w:t>2.承包人承诺按照法律规定及合同约定组织完成工程施工，确保工程质量和安全，不进行转包及违法分包，并在缺陷责任期及保修期内承担相应的工程维修责任。</w:t>
      </w:r>
    </w:p>
    <w:p>
      <w:pPr>
        <w:autoSpaceDE w:val="0"/>
        <w:autoSpaceDN w:val="0"/>
        <w:adjustRightInd w:val="0"/>
        <w:snapToGrid w:val="0"/>
        <w:spacing w:line="360" w:lineRule="auto"/>
        <w:ind w:firstLine="440" w:firstLineChars="200"/>
        <w:rPr>
          <w:rFonts w:asciiTheme="majorEastAsia" w:hAnsiTheme="majorEastAsia" w:eastAsiaTheme="majorEastAsia"/>
          <w:snapToGrid w:val="0"/>
          <w:kern w:val="0"/>
          <w:sz w:val="22"/>
          <w:szCs w:val="22"/>
        </w:rPr>
      </w:pPr>
      <w:r>
        <w:rPr>
          <w:rFonts w:hint="eastAsia" w:asciiTheme="majorEastAsia" w:hAnsiTheme="majorEastAsia" w:eastAsiaTheme="majorEastAsia"/>
          <w:snapToGrid w:val="0"/>
          <w:kern w:val="0"/>
          <w:sz w:val="22"/>
          <w:szCs w:val="22"/>
        </w:rPr>
        <w:t>3.发包人和承包人通过招投标形式签订合同的，双方理解并承诺不再就同一工程另行签订与合同实质性内容相背离的协议。</w:t>
      </w:r>
    </w:p>
    <w:p>
      <w:pPr>
        <w:autoSpaceDE w:val="0"/>
        <w:autoSpaceDN w:val="0"/>
        <w:adjustRightInd w:val="0"/>
        <w:snapToGrid w:val="0"/>
        <w:spacing w:line="360" w:lineRule="auto"/>
        <w:ind w:firstLine="442" w:firstLineChars="200"/>
        <w:rPr>
          <w:rFonts w:asciiTheme="majorEastAsia" w:hAnsiTheme="majorEastAsia" w:eastAsiaTheme="majorEastAsia"/>
          <w:b/>
          <w:bCs/>
          <w:snapToGrid w:val="0"/>
          <w:kern w:val="0"/>
          <w:sz w:val="22"/>
          <w:szCs w:val="22"/>
        </w:rPr>
      </w:pPr>
      <w:r>
        <w:rPr>
          <w:rFonts w:hint="eastAsia" w:asciiTheme="majorEastAsia" w:hAnsiTheme="majorEastAsia" w:eastAsiaTheme="majorEastAsia"/>
          <w:b/>
          <w:bCs/>
          <w:snapToGrid w:val="0"/>
          <w:kern w:val="0"/>
          <w:sz w:val="22"/>
          <w:szCs w:val="22"/>
        </w:rPr>
        <w:t>九、词语含义</w:t>
      </w:r>
    </w:p>
    <w:p>
      <w:pPr>
        <w:autoSpaceDE w:val="0"/>
        <w:autoSpaceDN w:val="0"/>
        <w:adjustRightInd w:val="0"/>
        <w:snapToGrid w:val="0"/>
        <w:spacing w:line="360" w:lineRule="auto"/>
        <w:ind w:firstLine="440" w:firstLineChars="200"/>
        <w:rPr>
          <w:rFonts w:asciiTheme="majorEastAsia" w:hAnsiTheme="majorEastAsia" w:eastAsiaTheme="majorEastAsia"/>
          <w:snapToGrid w:val="0"/>
          <w:kern w:val="0"/>
          <w:sz w:val="22"/>
          <w:szCs w:val="22"/>
        </w:rPr>
      </w:pPr>
      <w:r>
        <w:rPr>
          <w:rFonts w:hint="eastAsia" w:asciiTheme="majorEastAsia" w:hAnsiTheme="majorEastAsia" w:eastAsiaTheme="majorEastAsia"/>
          <w:snapToGrid w:val="0"/>
          <w:kern w:val="0"/>
          <w:sz w:val="22"/>
          <w:szCs w:val="22"/>
        </w:rPr>
        <w:t>本协议书中词语含义与专用合同条款及通用合同条款中赋予的含义相同。</w:t>
      </w:r>
    </w:p>
    <w:p>
      <w:pPr>
        <w:autoSpaceDE w:val="0"/>
        <w:autoSpaceDN w:val="0"/>
        <w:adjustRightInd w:val="0"/>
        <w:snapToGrid w:val="0"/>
        <w:spacing w:line="360" w:lineRule="auto"/>
        <w:ind w:firstLine="442" w:firstLineChars="200"/>
        <w:rPr>
          <w:rFonts w:asciiTheme="majorEastAsia" w:hAnsiTheme="majorEastAsia" w:eastAsiaTheme="majorEastAsia"/>
          <w:b/>
          <w:bCs/>
          <w:snapToGrid w:val="0"/>
          <w:kern w:val="0"/>
          <w:sz w:val="22"/>
          <w:szCs w:val="22"/>
        </w:rPr>
      </w:pPr>
      <w:r>
        <w:rPr>
          <w:rFonts w:hint="eastAsia" w:asciiTheme="majorEastAsia" w:hAnsiTheme="majorEastAsia" w:eastAsiaTheme="majorEastAsia"/>
          <w:b/>
          <w:bCs/>
          <w:snapToGrid w:val="0"/>
          <w:kern w:val="0"/>
          <w:sz w:val="22"/>
          <w:szCs w:val="22"/>
        </w:rPr>
        <w:t>十、签订时间</w:t>
      </w: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合同订立时间：</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年</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月</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日</w:t>
      </w:r>
    </w:p>
    <w:p>
      <w:pPr>
        <w:autoSpaceDE w:val="0"/>
        <w:autoSpaceDN w:val="0"/>
        <w:adjustRightInd w:val="0"/>
        <w:snapToGrid w:val="0"/>
        <w:spacing w:line="360" w:lineRule="auto"/>
        <w:ind w:firstLine="442" w:firstLineChars="200"/>
        <w:rPr>
          <w:rFonts w:asciiTheme="majorEastAsia" w:hAnsiTheme="majorEastAsia" w:eastAsiaTheme="majorEastAsia"/>
          <w:b/>
          <w:bCs/>
          <w:snapToGrid w:val="0"/>
          <w:kern w:val="0"/>
          <w:sz w:val="22"/>
          <w:szCs w:val="22"/>
        </w:rPr>
      </w:pPr>
      <w:r>
        <w:rPr>
          <w:rFonts w:hint="eastAsia" w:asciiTheme="majorEastAsia" w:hAnsiTheme="majorEastAsia" w:eastAsiaTheme="majorEastAsia"/>
          <w:b/>
          <w:bCs/>
          <w:snapToGrid w:val="0"/>
          <w:kern w:val="0"/>
          <w:sz w:val="22"/>
          <w:szCs w:val="22"/>
        </w:rPr>
        <w:t>十一、签订地点</w:t>
      </w: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合同订立地点：</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年</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月</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日</w:t>
      </w:r>
    </w:p>
    <w:p>
      <w:pPr>
        <w:pStyle w:val="2"/>
      </w:pPr>
    </w:p>
    <w:p>
      <w:pPr>
        <w:autoSpaceDE w:val="0"/>
        <w:autoSpaceDN w:val="0"/>
        <w:adjustRightInd w:val="0"/>
        <w:snapToGrid w:val="0"/>
        <w:spacing w:line="360" w:lineRule="auto"/>
        <w:ind w:firstLine="442" w:firstLineChars="200"/>
        <w:rPr>
          <w:rFonts w:asciiTheme="majorEastAsia" w:hAnsiTheme="majorEastAsia" w:eastAsiaTheme="majorEastAsia"/>
          <w:b/>
          <w:bCs/>
          <w:snapToGrid w:val="0"/>
          <w:kern w:val="0"/>
          <w:sz w:val="22"/>
          <w:szCs w:val="22"/>
        </w:rPr>
      </w:pPr>
      <w:r>
        <w:rPr>
          <w:rFonts w:hint="eastAsia" w:asciiTheme="majorEastAsia" w:hAnsiTheme="majorEastAsia" w:eastAsiaTheme="majorEastAsia"/>
          <w:b/>
          <w:bCs/>
          <w:snapToGrid w:val="0"/>
          <w:kern w:val="0"/>
          <w:sz w:val="22"/>
          <w:szCs w:val="22"/>
        </w:rPr>
        <w:t>十二、补充协议</w:t>
      </w:r>
    </w:p>
    <w:p>
      <w:pPr>
        <w:autoSpaceDE w:val="0"/>
        <w:autoSpaceDN w:val="0"/>
        <w:adjustRightInd w:val="0"/>
        <w:snapToGrid w:val="0"/>
        <w:spacing w:line="360" w:lineRule="auto"/>
        <w:ind w:firstLine="440" w:firstLineChars="200"/>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合同未尽事宜，双方另行签订补充协议。补充协议是合同的组成部分。</w:t>
      </w:r>
    </w:p>
    <w:p>
      <w:pPr>
        <w:autoSpaceDE w:val="0"/>
        <w:autoSpaceDN w:val="0"/>
        <w:adjustRightInd w:val="0"/>
        <w:snapToGrid w:val="0"/>
        <w:spacing w:line="360" w:lineRule="auto"/>
        <w:ind w:firstLine="442" w:firstLineChars="200"/>
        <w:rPr>
          <w:rFonts w:cs="MingLiU" w:asciiTheme="majorEastAsia" w:hAnsiTheme="majorEastAsia" w:eastAsiaTheme="majorEastAsia"/>
          <w:b/>
          <w:bCs/>
          <w:snapToGrid w:val="0"/>
          <w:kern w:val="0"/>
          <w:sz w:val="22"/>
          <w:szCs w:val="22"/>
        </w:rPr>
      </w:pPr>
      <w:r>
        <w:rPr>
          <w:rFonts w:hint="eastAsia" w:cs="MingLiU" w:asciiTheme="majorEastAsia" w:hAnsiTheme="majorEastAsia" w:eastAsiaTheme="majorEastAsia"/>
          <w:b/>
          <w:bCs/>
          <w:snapToGrid w:val="0"/>
          <w:kern w:val="0"/>
          <w:sz w:val="22"/>
          <w:szCs w:val="22"/>
        </w:rPr>
        <w:t>十三、合同生效</w:t>
      </w:r>
    </w:p>
    <w:p>
      <w:pPr>
        <w:spacing w:line="360" w:lineRule="auto"/>
        <w:ind w:firstLine="440" w:firstLineChars="20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本合同自</w:t>
      </w:r>
      <w:r>
        <w:rPr>
          <w:rFonts w:hint="eastAsia" w:asciiTheme="majorEastAsia" w:hAnsiTheme="majorEastAsia" w:eastAsiaTheme="majorEastAsia"/>
          <w:bCs/>
          <w:kern w:val="0"/>
          <w:sz w:val="22"/>
          <w:szCs w:val="22"/>
          <w:u w:val="single"/>
        </w:rPr>
        <w:t>双方法定代表人或其委托代理人签字或盖章并加盖公章或合同专用章</w:t>
      </w:r>
      <w:r>
        <w:rPr>
          <w:rFonts w:hint="eastAsia" w:asciiTheme="majorEastAsia" w:hAnsiTheme="majorEastAsia" w:eastAsiaTheme="majorEastAsia"/>
          <w:bCs/>
          <w:kern w:val="0"/>
          <w:sz w:val="22"/>
          <w:szCs w:val="22"/>
        </w:rPr>
        <w:t>生效。</w:t>
      </w:r>
    </w:p>
    <w:p>
      <w:pPr>
        <w:autoSpaceDE w:val="0"/>
        <w:autoSpaceDN w:val="0"/>
        <w:adjustRightInd w:val="0"/>
        <w:snapToGrid w:val="0"/>
        <w:spacing w:line="360" w:lineRule="auto"/>
        <w:ind w:firstLine="442" w:firstLineChars="200"/>
        <w:rPr>
          <w:rFonts w:asciiTheme="majorEastAsia" w:hAnsiTheme="majorEastAsia" w:eastAsiaTheme="majorEastAsia"/>
          <w:b/>
          <w:bCs/>
          <w:snapToGrid w:val="0"/>
          <w:kern w:val="0"/>
          <w:sz w:val="22"/>
          <w:szCs w:val="22"/>
        </w:rPr>
      </w:pPr>
      <w:r>
        <w:rPr>
          <w:rFonts w:hint="eastAsia" w:asciiTheme="majorEastAsia" w:hAnsiTheme="majorEastAsia" w:eastAsiaTheme="majorEastAsia"/>
          <w:b/>
          <w:bCs/>
          <w:snapToGrid w:val="0"/>
          <w:kern w:val="0"/>
          <w:sz w:val="22"/>
          <w:szCs w:val="22"/>
        </w:rPr>
        <w:t>十四、合同份数</w:t>
      </w:r>
    </w:p>
    <w:p>
      <w:pPr>
        <w:autoSpaceDE w:val="0"/>
        <w:autoSpaceDN w:val="0"/>
        <w:adjustRightInd w:val="0"/>
        <w:snapToGrid w:val="0"/>
        <w:spacing w:line="360" w:lineRule="auto"/>
        <w:ind w:firstLine="440" w:firstLineChars="200"/>
        <w:rPr>
          <w:rFonts w:cs="MingLiU" w:asciiTheme="majorEastAsia" w:hAnsiTheme="majorEastAsia" w:eastAsiaTheme="majorEastAsia"/>
          <w:snapToGrid w:val="0"/>
          <w:kern w:val="0"/>
          <w:sz w:val="22"/>
          <w:szCs w:val="22"/>
        </w:rPr>
      </w:pPr>
      <w:r>
        <w:rPr>
          <w:rFonts w:hint="eastAsia" w:cs="MingLiU" w:asciiTheme="majorEastAsia" w:hAnsiTheme="majorEastAsia" w:eastAsiaTheme="majorEastAsia"/>
          <w:snapToGrid w:val="0"/>
          <w:kern w:val="0"/>
          <w:sz w:val="22"/>
          <w:szCs w:val="22"/>
        </w:rPr>
        <w:t>本协议书一式</w:t>
      </w:r>
      <w:r>
        <w:rPr>
          <w:rFonts w:hint="eastAsia" w:cs="MingLiU" w:asciiTheme="majorEastAsia" w:hAnsiTheme="majorEastAsia" w:eastAsiaTheme="majorEastAsia"/>
          <w:snapToGrid w:val="0"/>
          <w:kern w:val="0"/>
          <w:sz w:val="22"/>
          <w:szCs w:val="22"/>
          <w:u w:val="single"/>
        </w:rPr>
        <w:t xml:space="preserve">     </w:t>
      </w:r>
      <w:r>
        <w:rPr>
          <w:rFonts w:hint="eastAsia" w:cs="MingLiU" w:asciiTheme="majorEastAsia" w:hAnsiTheme="majorEastAsia" w:eastAsiaTheme="majorEastAsia"/>
          <w:snapToGrid w:val="0"/>
          <w:kern w:val="0"/>
          <w:sz w:val="22"/>
          <w:szCs w:val="22"/>
        </w:rPr>
        <w:t>份，合同双方各执</w:t>
      </w:r>
      <w:r>
        <w:rPr>
          <w:rFonts w:hint="eastAsia" w:cs="MingLiU" w:asciiTheme="majorEastAsia" w:hAnsiTheme="majorEastAsia" w:eastAsiaTheme="majorEastAsia"/>
          <w:snapToGrid w:val="0"/>
          <w:kern w:val="0"/>
          <w:sz w:val="22"/>
          <w:szCs w:val="22"/>
          <w:u w:val="single"/>
        </w:rPr>
        <w:t xml:space="preserve">     </w:t>
      </w:r>
      <w:r>
        <w:rPr>
          <w:rFonts w:hint="eastAsia" w:cs="MingLiU" w:asciiTheme="majorEastAsia" w:hAnsiTheme="majorEastAsia" w:eastAsiaTheme="majorEastAsia"/>
          <w:snapToGrid w:val="0"/>
          <w:kern w:val="0"/>
          <w:sz w:val="22"/>
          <w:szCs w:val="22"/>
        </w:rPr>
        <w:t>份。</w:t>
      </w:r>
    </w:p>
    <w:p>
      <w:pPr>
        <w:spacing w:line="360" w:lineRule="auto"/>
        <w:ind w:firstLine="440"/>
        <w:rPr>
          <w:rFonts w:asciiTheme="majorEastAsia" w:hAnsiTheme="majorEastAsia" w:eastAsiaTheme="majorEastAsia"/>
          <w:bCs/>
          <w:kern w:val="0"/>
          <w:sz w:val="22"/>
          <w:szCs w:val="22"/>
        </w:rPr>
      </w:pPr>
    </w:p>
    <w:p>
      <w:pPr>
        <w:spacing w:line="360" w:lineRule="auto"/>
        <w:ind w:firstLine="440"/>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（以下无正文）。</w:t>
      </w:r>
    </w:p>
    <w:p>
      <w:pPr>
        <w:spacing w:line="360" w:lineRule="auto"/>
        <w:ind w:firstLine="440"/>
        <w:rPr>
          <w:rFonts w:asciiTheme="majorEastAsia" w:hAnsiTheme="majorEastAsia" w:eastAsiaTheme="majorEastAsia"/>
          <w:bCs/>
          <w:kern w:val="0"/>
          <w:sz w:val="22"/>
          <w:szCs w:val="22"/>
          <w:u w:val="single"/>
        </w:rPr>
      </w:pPr>
    </w:p>
    <w:p>
      <w:pPr>
        <w:spacing w:line="360" w:lineRule="auto"/>
        <w:ind w:firstLine="440"/>
        <w:rPr>
          <w:rFonts w:asciiTheme="majorEastAsia" w:hAnsiTheme="majorEastAsia" w:eastAsiaTheme="majorEastAsia"/>
          <w:bCs/>
          <w:kern w:val="0"/>
          <w:sz w:val="22"/>
          <w:szCs w:val="22"/>
        </w:rPr>
      </w:pPr>
    </w:p>
    <w:p>
      <w:pPr>
        <w:spacing w:line="360" w:lineRule="auto"/>
        <w:rPr>
          <w:rFonts w:asciiTheme="majorEastAsia" w:hAnsiTheme="majorEastAsia" w:eastAsiaTheme="majorEastAsia"/>
          <w:bCs/>
          <w:kern w:val="0"/>
          <w:sz w:val="22"/>
          <w:szCs w:val="22"/>
        </w:rPr>
      </w:pPr>
      <w:bookmarkStart w:id="289" w:name="_Toc263925446"/>
      <w:bookmarkStart w:id="290" w:name="_Toc233044199"/>
      <w:bookmarkStart w:id="291" w:name="_Toc31044"/>
      <w:bookmarkStart w:id="292" w:name="_Toc297280241"/>
      <w:bookmarkStart w:id="293" w:name="_Toc10135"/>
      <w:bookmarkStart w:id="294" w:name="_Toc351203494"/>
      <w:r>
        <w:rPr>
          <w:rFonts w:hint="eastAsia" w:asciiTheme="majorEastAsia" w:hAnsiTheme="majorEastAsia" w:eastAsiaTheme="majorEastAsia"/>
          <w:bCs/>
          <w:kern w:val="0"/>
          <w:sz w:val="22"/>
          <w:szCs w:val="22"/>
        </w:rPr>
        <w:t>发包人：</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（公章）</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法定代表人或其委托代理人：</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（签字或盖章）</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统一社会信用代码：</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                         </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经办人：</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（签字）                             </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地    址：</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                                   </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电    话：</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                                   </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开户银行：</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                                   </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账    号：</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                                   </w:t>
      </w:r>
    </w:p>
    <w:p>
      <w:pPr>
        <w:spacing w:line="360" w:lineRule="auto"/>
        <w:rPr>
          <w:rFonts w:asciiTheme="majorEastAsia" w:hAnsiTheme="majorEastAsia" w:eastAsiaTheme="majorEastAsia"/>
          <w:bCs/>
          <w:kern w:val="0"/>
          <w:sz w:val="22"/>
          <w:szCs w:val="22"/>
        </w:rPr>
      </w:pPr>
    </w:p>
    <w:p>
      <w:pPr>
        <w:pStyle w:val="2"/>
        <w:spacing w:line="360" w:lineRule="auto"/>
      </w:pP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承包人：</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（公章）</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法定代表人或其委托代理人：</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（签字或盖章）</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统一社会信用代码：</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                         </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经办人：</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（签字）                             </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地    址：</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                                   </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电    话：</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                                   </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开户银行：</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                                   </w:t>
      </w:r>
    </w:p>
    <w:p>
      <w:pPr>
        <w:spacing w:line="360" w:lineRule="auto"/>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账    号：</w:t>
      </w:r>
      <w:r>
        <w:rPr>
          <w:rFonts w:hint="eastAsia" w:asciiTheme="majorEastAsia" w:hAnsiTheme="majorEastAsia" w:eastAsiaTheme="majorEastAsia"/>
          <w:bCs/>
          <w:kern w:val="0"/>
          <w:sz w:val="22"/>
          <w:szCs w:val="22"/>
          <w:u w:val="single"/>
        </w:rPr>
        <w:t xml:space="preserve">                             </w:t>
      </w:r>
      <w:r>
        <w:rPr>
          <w:rFonts w:hint="eastAsia" w:asciiTheme="majorEastAsia" w:hAnsiTheme="majorEastAsia" w:eastAsiaTheme="majorEastAsia"/>
          <w:bCs/>
          <w:kern w:val="0"/>
          <w:sz w:val="22"/>
          <w:szCs w:val="22"/>
        </w:rPr>
        <w:t xml:space="preserve">                                   </w:t>
      </w:r>
    </w:p>
    <w:p>
      <w:pPr>
        <w:spacing w:line="360" w:lineRule="auto"/>
        <w:rPr>
          <w:rFonts w:asciiTheme="majorEastAsia" w:hAnsiTheme="majorEastAsia" w:eastAsiaTheme="majorEastAsia"/>
          <w:bCs/>
          <w:kern w:val="0"/>
          <w:sz w:val="22"/>
          <w:szCs w:val="22"/>
        </w:rPr>
      </w:pPr>
    </w:p>
    <w:p>
      <w:pPr>
        <w:pStyle w:val="2"/>
      </w:pPr>
    </w:p>
    <w:p>
      <w:pPr>
        <w:spacing w:line="360" w:lineRule="auto"/>
        <w:jc w:val="right"/>
        <w:rPr>
          <w:rFonts w:asciiTheme="majorEastAsia" w:hAnsiTheme="majorEastAsia" w:eastAsiaTheme="majorEastAsia"/>
          <w:bCs/>
          <w:kern w:val="0"/>
          <w:sz w:val="28"/>
          <w:szCs w:val="28"/>
        </w:rPr>
      </w:pPr>
      <w:r>
        <w:rPr>
          <w:rFonts w:hint="eastAsia" w:asciiTheme="majorEastAsia" w:hAnsiTheme="majorEastAsia" w:eastAsiaTheme="majorEastAsia"/>
          <w:bCs/>
          <w:kern w:val="0"/>
          <w:sz w:val="22"/>
          <w:szCs w:val="22"/>
        </w:rPr>
        <w:t>签约时间：     年     月     日</w:t>
      </w:r>
    </w:p>
    <w:p>
      <w:pPr>
        <w:spacing w:line="360" w:lineRule="auto"/>
        <w:rPr>
          <w:rFonts w:asciiTheme="majorEastAsia" w:hAnsiTheme="majorEastAsia" w:eastAsiaTheme="majorEastAsia"/>
          <w:bCs/>
          <w:kern w:val="0"/>
          <w:sz w:val="28"/>
          <w:szCs w:val="28"/>
        </w:rPr>
      </w:pPr>
      <w:r>
        <w:rPr>
          <w:rFonts w:asciiTheme="majorEastAsia" w:hAnsiTheme="majorEastAsia" w:eastAsiaTheme="majorEastAsia"/>
          <w:bCs/>
          <w:kern w:val="0"/>
          <w:sz w:val="28"/>
          <w:szCs w:val="28"/>
        </w:rPr>
        <w:br w:type="page"/>
      </w:r>
    </w:p>
    <w:p>
      <w:pPr>
        <w:pStyle w:val="4"/>
        <w:numPr>
          <w:ilvl w:val="0"/>
          <w:numId w:val="1"/>
        </w:numPr>
        <w:spacing w:before="240" w:beforeLines="100" w:after="120" w:afterLines="50" w:line="500" w:lineRule="exact"/>
        <w:jc w:val="center"/>
        <w:rPr>
          <w:rFonts w:asciiTheme="majorEastAsia" w:hAnsiTheme="majorEastAsia" w:eastAsiaTheme="majorEastAsia"/>
          <w:szCs w:val="28"/>
        </w:rPr>
      </w:pPr>
      <w:bookmarkStart w:id="295" w:name="_Toc29839"/>
      <w:bookmarkStart w:id="296" w:name="_Toc3780"/>
      <w:bookmarkStart w:id="297" w:name="_Toc14524575"/>
      <w:bookmarkStart w:id="298" w:name="_Toc11413"/>
      <w:r>
        <w:rPr>
          <w:rFonts w:hint="eastAsia" w:asciiTheme="majorEastAsia" w:hAnsiTheme="majorEastAsia" w:eastAsiaTheme="majorEastAsia"/>
          <w:szCs w:val="28"/>
        </w:rPr>
        <w:t>通用合同条款</w:t>
      </w:r>
      <w:bookmarkEnd w:id="295"/>
      <w:bookmarkEnd w:id="296"/>
      <w:bookmarkEnd w:id="297"/>
      <w:bookmarkEnd w:id="298"/>
    </w:p>
    <w:p>
      <w:pPr>
        <w:pStyle w:val="6"/>
        <w:keepNext/>
        <w:keepLines/>
        <w:spacing w:before="120" w:beforeLines="50" w:after="120" w:afterLines="50" w:line="420" w:lineRule="exact"/>
        <w:jc w:val="both"/>
        <w:rPr>
          <w:rFonts w:asciiTheme="minorEastAsia" w:hAnsiTheme="minorEastAsia" w:eastAsiaTheme="minorEastAsia" w:cstheme="minorEastAsia"/>
          <w:sz w:val="22"/>
          <w:szCs w:val="22"/>
        </w:rPr>
      </w:pPr>
      <w:bookmarkStart w:id="299" w:name="_Toc532375587"/>
      <w:bookmarkStart w:id="300" w:name="_Toc532377180"/>
      <w:bookmarkStart w:id="301" w:name="_Toc351203495"/>
      <w:r>
        <w:rPr>
          <w:rFonts w:hint="eastAsia" w:asciiTheme="minorEastAsia" w:hAnsiTheme="minorEastAsia" w:eastAsiaTheme="minorEastAsia" w:cstheme="minorEastAsia"/>
          <w:sz w:val="22"/>
          <w:szCs w:val="22"/>
        </w:rPr>
        <w:t>1.</w:t>
      </w:r>
      <w:bookmarkStart w:id="302" w:name="_Toc303538974"/>
      <w:bookmarkEnd w:id="302"/>
      <w:bookmarkStart w:id="303" w:name="_Toc303538972"/>
      <w:bookmarkEnd w:id="303"/>
      <w:bookmarkStart w:id="304" w:name="_Toc303538976"/>
      <w:bookmarkEnd w:id="304"/>
      <w:bookmarkStart w:id="305" w:name="_Toc303538975"/>
      <w:bookmarkEnd w:id="305"/>
      <w:bookmarkStart w:id="306" w:name="_Toc303538973"/>
      <w:bookmarkEnd w:id="306"/>
      <w:bookmarkStart w:id="307" w:name="_Toc296346528"/>
      <w:bookmarkStart w:id="308" w:name="_Toc296503027"/>
      <w:r>
        <w:rPr>
          <w:rFonts w:hint="eastAsia" w:asciiTheme="minorEastAsia" w:hAnsiTheme="minorEastAsia" w:eastAsiaTheme="minorEastAsia" w:cstheme="minorEastAsia"/>
          <w:sz w:val="22"/>
          <w:szCs w:val="22"/>
        </w:rPr>
        <w:t>一般约定</w:t>
      </w:r>
      <w:bookmarkEnd w:id="299"/>
      <w:bookmarkEnd w:id="300"/>
      <w:bookmarkEnd w:id="301"/>
      <w:bookmarkEnd w:id="307"/>
      <w:bookmarkEnd w:id="308"/>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09" w:name="_Toc337558728"/>
      <w:bookmarkStart w:id="310" w:name="_Toc296503028"/>
      <w:bookmarkStart w:id="311" w:name="_Toc296346529"/>
      <w:bookmarkStart w:id="312" w:name="_Toc351203496"/>
      <w:bookmarkStart w:id="313" w:name="_Toc532377181"/>
      <w:r>
        <w:rPr>
          <w:rFonts w:hint="eastAsia" w:asciiTheme="minorEastAsia" w:hAnsiTheme="minorEastAsia" w:eastAsiaTheme="minorEastAsia" w:cstheme="minorEastAsia"/>
          <w:sz w:val="22"/>
          <w:szCs w:val="22"/>
        </w:rPr>
        <w:t>1.1词语定义</w:t>
      </w:r>
      <w:bookmarkEnd w:id="309"/>
      <w:bookmarkEnd w:id="310"/>
      <w:bookmarkEnd w:id="311"/>
      <w:r>
        <w:rPr>
          <w:rFonts w:hint="eastAsia" w:asciiTheme="minorEastAsia" w:hAnsiTheme="minorEastAsia" w:eastAsiaTheme="minorEastAsia" w:cstheme="minorEastAsia"/>
          <w:sz w:val="22"/>
          <w:szCs w:val="22"/>
        </w:rPr>
        <w:t>与解释</w:t>
      </w:r>
      <w:bookmarkEnd w:id="312"/>
      <w:bookmarkEnd w:id="313"/>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合同协议书、通用合同条款、专用合同条款中的下列词语具有本款所赋予的含义：</w:t>
      </w:r>
    </w:p>
    <w:p>
      <w:pPr>
        <w:pStyle w:val="7"/>
        <w:spacing w:before="0" w:after="0" w:line="420" w:lineRule="exact"/>
        <w:ind w:firstLine="440" w:firstLineChars="200"/>
        <w:rPr>
          <w:rFonts w:asciiTheme="minorEastAsia" w:hAnsiTheme="minorEastAsia" w:eastAsiaTheme="minorEastAsia" w:cstheme="minorEastAsia"/>
          <w:b w:val="0"/>
          <w:bCs w:val="0"/>
          <w:sz w:val="22"/>
          <w:szCs w:val="22"/>
        </w:rPr>
      </w:pPr>
      <w:bookmarkStart w:id="314" w:name="_Toc532377182"/>
      <w:r>
        <w:rPr>
          <w:rFonts w:hint="eastAsia" w:asciiTheme="minorEastAsia" w:hAnsiTheme="minorEastAsia" w:eastAsiaTheme="minorEastAsia" w:cstheme="minorEastAsia"/>
          <w:b w:val="0"/>
          <w:bCs w:val="0"/>
          <w:sz w:val="22"/>
          <w:szCs w:val="22"/>
        </w:rPr>
        <w:t>1.1.1 合同</w:t>
      </w:r>
      <w:bookmarkEnd w:id="314"/>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1.1.1.1 合同：是指根据法律规定和合同当事人约定具有约束力的文件，构成合同的文件包括合同协议书、中标通知书（如有）、投标函及其附录（如有）、专用合同条款</w:t>
      </w:r>
      <w:r>
        <w:rPr>
          <w:rFonts w:hint="eastAsia" w:asciiTheme="minorEastAsia" w:hAnsiTheme="minorEastAsia" w:eastAsiaTheme="minorEastAsia" w:cstheme="minorEastAsia"/>
          <w:sz w:val="22"/>
          <w:szCs w:val="22"/>
        </w:rPr>
        <w:t>及其附件</w:t>
      </w:r>
      <w:r>
        <w:rPr>
          <w:rFonts w:hint="eastAsia" w:asciiTheme="minorEastAsia" w:hAnsiTheme="minorEastAsia" w:eastAsiaTheme="minorEastAsia" w:cstheme="minorEastAsia"/>
          <w:kern w:val="0"/>
          <w:sz w:val="22"/>
          <w:szCs w:val="22"/>
        </w:rPr>
        <w:t>、通用合同条款、技术标准和要求、图纸、已标价工程量清单或预算书以及其他合同文件。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1.1.1.2 合同协议书：是指构成合同的由发包人和承包人共同签署的称为“合同协议书”的书面文件。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1.1.1.3 中标通知书：是指构成合同的由发包人通知承包人中标的书面文件。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1.1.1.4 投标函：是指构成合同的由承包人填写并签署的用于投标的称为“投标函”的文件。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1.1.1.5 投标函附录：是指构成合同的附在投标函后的称为“投标函附录”的文件。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1.1.1.6 技术标准和要求：是指构成合同的施工应当遵守的或指导施工的国家、行业或地方的技术标准和要求，以及合同约定的技术标准和要求。</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1.1.1.8 已标价工程量清单：是指构成合同的由承包人按照规定的格式和要求填写并标明价格的工程量清单，包括说明和表格。</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1.1.1.9 预算书：是指构成合同的由承包人按照发包人规定的格式和要求编制的工程预算文件。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1.1.1.10 其他合同文件：是指经合同当事人约定的与工程施工有关的具有合同约束力的文件或书面协议。合同当事人可以在专用合同条款中进行约定。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 合同当事人及其他相关方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1.1.2.1 合同当事人：是指发包人和（或）承包人。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1.1.2.2 发包人：是指与承包人签订合同协议书的当事人及取得该当事人资格的合法继承人。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1.1.2.3 承包人：是指与发包人签订合同协议书的，具有相应工程施工承包资质的当事人及取得该当事人资格的合法继承人。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1.1.2.4 监理人：是指在专用合同条款中指明的，受发包人委托按照法律规定进行工程监督管理的法人或其他组织。</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1.1.2.5 设计人：是指在专用合同条款中指明的，受发包人委托负责工程设计并具备相应工程设计资质的法人或其他组织。</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1.1.2.6 分包人：</w:t>
      </w:r>
      <w:bookmarkStart w:id="315" w:name="#go5"/>
      <w:bookmarkEnd w:id="315"/>
      <w:r>
        <w:rPr>
          <w:rFonts w:hint="eastAsia" w:asciiTheme="minorEastAsia" w:hAnsiTheme="minorEastAsia" w:eastAsiaTheme="minorEastAsia" w:cstheme="minorEastAsia"/>
          <w:kern w:val="0"/>
          <w:sz w:val="22"/>
          <w:szCs w:val="22"/>
        </w:rPr>
        <w:t>是指按照法律规定和合同约定，分包部分工程或工作，并与承包人签订分包合同的具有相应资质的法人。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1.1.2.7 发包人代表：是指由发包人任命并派驻施工现场在发包人授权范围内行使发包人权利的人。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1.1.2.8 项目经理：是指由承包人任命并派驻施工现场，在承包人授权范围内负责合同履行，且按照法律规定具有相应资格的项目负责人。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1.1.2.9 总监理工程师：是指由监理人任命并派驻施工现场进行工程监理的总负责人。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 工程和设备</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1.1.3.1 工程：是指与合同协议书中工程承包范围对应的永久工程和（或）临时工程。</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1.1.3.2 永久工程：是指按合同约定建造并移交给发包人的工程，包括工程设备。</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1.1.3.3 临时工程：是指为完成合同约定的永久工程所修建的各类临时性工程，不包括施工设备。</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1.1.3.4 单位工程：是指在合同协议书中指明的，具备独立施工条件并能形成独立使用功能的永久工程。</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1.1.3.5 工程设备：是指构成永久工程的机电设备、金属结构设备、仪器及其他类似的设备和装置。</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1.1.3.6 施工设备：是指为完成合同约定的各项工作所需的设备、器具和其他物品，但不包括工程设备、临时工程和材料。</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1.1.3.7 施工现场：是指用于工程施工的场所，以及在专用合同条款中指明作为施工场所组成部分的其他场所，包括永久占地和临时占地。</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1.1.3.8临时设施：是指为完成合同约定的各项工作所服务的临时性生产和生活设施。</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1.1.3.9 永久占地：是指专用合同条款中指明为实施工程需永久占用的土地。</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1.1.3.10 临时占地：是指专用合同条款中指明为实施工程需要临时占用的土地。</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1.1.4 日期和期限</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1.1.4.2 竣工日期：包括计划竣工日期和实际竣工日期。计划竣工日期是指合同协议书约定的竣工日期；实际竣工日期按照第13.2.3项〔竣工日期〕的约定确定。 </w:t>
      </w:r>
    </w:p>
    <w:p>
      <w:pPr>
        <w:spacing w:line="42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1.1.4.3 工期：是指在合同协议书约定的承包人完成工程所需的期限，包括按照合同约定所作的期限变更。</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1.1.4.4 缺陷责任期：是指承包人按照合同约定承担缺陷修复义务，且发包人预留质量保证金（已缴纳履约保证金的除外）的期限，自工程实际竣工日期起计算。</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1.1.4.5 保修期：是指承包人按照合同约定对工程承担保修责任的期限，从工程竣工验收合格之日起计算。</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1.1.4.6 基准日期：招标发包的工程以投标截止日前28天的日期为基准日期，直接发包的工程以合同签订日前28天的日期为基准日期。</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1.1.4.7 天：除特别指明外，均指日历天。合同中按天计算时间的，开始当天不计入，从次日开始计算，期限最后一天的截止时间为当天24:00时。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1.1.5 合同价格和费用</w:t>
      </w:r>
    </w:p>
    <w:p>
      <w:pPr>
        <w:spacing w:line="42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1.1.5.1 签约合同价：是指</w:t>
      </w:r>
      <w:r>
        <w:rPr>
          <w:rFonts w:hint="eastAsia" w:asciiTheme="minorEastAsia" w:hAnsiTheme="minorEastAsia" w:eastAsiaTheme="minorEastAsia" w:cstheme="minorEastAsia"/>
          <w:sz w:val="22"/>
          <w:szCs w:val="22"/>
        </w:rPr>
        <w:t>发包人和承包人在合同协议书中确定的总金额，包括安全文明施工费、暂估价及暂列金额等。</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1.1.5.2 合同价格：是指发包人用于支付承包人按照合同约定完成承包范围内全部工作的金额，包括合同履行过程中按合同约定发生的价格变化。</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1.1.5.3 费用：是指为履行合同所发生的或将要发生的所有必需的开支，包括管理费和应分摊的其他费用，但不包括利润。</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1.1.5.4 暂估价：是指发包人在工程量清单或预算书中提供的用于支付必然发生但暂时不能确定价格的材料、工程设备的单价、专业工程以及服务工作的金额。</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1.1.5.6 计日工：是指合同履行过程中，承包人完成发包人提出的零星工作或需要采用计日工计价的变更工作时，按合同中约定的单价计价的一种方式。</w:t>
      </w:r>
    </w:p>
    <w:p>
      <w:pPr>
        <w:spacing w:line="42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1.1.5.7 质量保证金</w:t>
      </w:r>
      <w:bookmarkStart w:id="316" w:name="#go2"/>
      <w:bookmarkEnd w:id="316"/>
      <w:r>
        <w:rPr>
          <w:rFonts w:hint="eastAsia" w:asciiTheme="minorEastAsia" w:hAnsiTheme="minorEastAsia" w:eastAsiaTheme="minorEastAsia" w:cstheme="minorEastAsia"/>
          <w:kern w:val="0"/>
          <w:sz w:val="22"/>
          <w:szCs w:val="22"/>
        </w:rPr>
        <w:t>：是指按照第15.3款〔质量保证金〕约定承包人用于保证其在缺陷责任期内履行缺陷修补义务的担保</w:t>
      </w:r>
      <w:r>
        <w:rPr>
          <w:rFonts w:hint="eastAsia" w:asciiTheme="minorEastAsia" w:hAnsiTheme="minorEastAsia" w:eastAsiaTheme="minorEastAsia" w:cstheme="minorEastAsia"/>
          <w:sz w:val="22"/>
          <w:szCs w:val="22"/>
        </w:rPr>
        <w:t>。</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1.1.5.8 总价项目：是指在现行国家、行业以及地方的计量规则中无工程量计算规则，在已标价工程量清单或预算书中以总价或以费率形式计算的项目。</w:t>
      </w:r>
    </w:p>
    <w:p>
      <w:pPr>
        <w:spacing w:line="42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1.1.6 其他</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1.1.6.1 书面形式：是指合同文件、信函、电报、传真等可以有形地表现所载内容的形式。</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17" w:name="_Toc532377183"/>
      <w:r>
        <w:rPr>
          <w:rFonts w:hint="eastAsia" w:asciiTheme="minorEastAsia" w:hAnsiTheme="minorEastAsia" w:eastAsiaTheme="minorEastAsia" w:cstheme="minorEastAsia"/>
          <w:sz w:val="22"/>
          <w:szCs w:val="22"/>
        </w:rPr>
        <w:t>1.2 语言文字</w:t>
      </w:r>
      <w:bookmarkEnd w:id="317"/>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合同以中国的汉语简体文字编写、解释和说明。合同当事人在专用合同条款中约定使用两种以上语言时，汉语为优先解释和说明合同的语言。</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18" w:name="_Toc532377184"/>
      <w:bookmarkStart w:id="319" w:name="_Toc337558730"/>
      <w:bookmarkStart w:id="320" w:name="_Toc296503030"/>
      <w:bookmarkStart w:id="321" w:name="_Toc296346531"/>
      <w:bookmarkStart w:id="322" w:name="_Toc351203498"/>
      <w:r>
        <w:rPr>
          <w:rFonts w:hint="eastAsia" w:asciiTheme="minorEastAsia" w:hAnsiTheme="minorEastAsia" w:eastAsiaTheme="minorEastAsia" w:cstheme="minorEastAsia"/>
          <w:sz w:val="22"/>
          <w:szCs w:val="22"/>
        </w:rPr>
        <w:t>1.3法律</w:t>
      </w:r>
      <w:bookmarkEnd w:id="318"/>
      <w:bookmarkEnd w:id="319"/>
      <w:bookmarkEnd w:id="320"/>
      <w:bookmarkEnd w:id="321"/>
      <w:bookmarkEnd w:id="322"/>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合同所称法律是指中华人民共和国法律、行政法规、部门规章，以及工程所在地的地方性法规、自治条例、单行条例和地方政府规章等。</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合同当事人可以在专用合同条款中约定合同适用的其他规范性文件。</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23" w:name="_Toc532377185"/>
      <w:bookmarkStart w:id="324" w:name="_Toc351203499"/>
      <w:r>
        <w:rPr>
          <w:rFonts w:hint="eastAsia" w:asciiTheme="minorEastAsia" w:hAnsiTheme="minorEastAsia" w:eastAsiaTheme="minorEastAsia" w:cstheme="minorEastAsia"/>
          <w:sz w:val="22"/>
          <w:szCs w:val="22"/>
        </w:rPr>
        <w:t>1.4 标准和规范</w:t>
      </w:r>
      <w:bookmarkEnd w:id="323"/>
      <w:bookmarkEnd w:id="324"/>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1.4.1 适用于工程的国家标准、行业标准、工程所在地的地方性标准，以及相应的规范、规程等，合同当事人有特别要求的，应在专用合同条款中约定。</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1.4.2 发包人要求使用国外标准、规范的，发包人负责提供原文版本和中文译本，并在专用合同条款中约定提供标准规范的名称、份数和时间。</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25" w:name="_Toc532377186"/>
      <w:bookmarkStart w:id="326" w:name="_Toc351203500"/>
      <w:r>
        <w:rPr>
          <w:rFonts w:hint="eastAsia" w:asciiTheme="minorEastAsia" w:hAnsiTheme="minorEastAsia" w:eastAsiaTheme="minorEastAsia" w:cstheme="minorEastAsia"/>
          <w:sz w:val="22"/>
          <w:szCs w:val="22"/>
        </w:rPr>
        <w:t>1</w:t>
      </w:r>
      <w:bookmarkStart w:id="327" w:name="_Toc337558731"/>
      <w:bookmarkStart w:id="328" w:name="_Toc296346532"/>
      <w:bookmarkStart w:id="329" w:name="_Toc296503031"/>
      <w:r>
        <w:rPr>
          <w:rFonts w:hint="eastAsia" w:asciiTheme="minorEastAsia" w:hAnsiTheme="minorEastAsia" w:eastAsiaTheme="minorEastAsia" w:cstheme="minorEastAsia"/>
          <w:sz w:val="22"/>
          <w:szCs w:val="22"/>
        </w:rPr>
        <w:t>.5 合同文件的优先顺序</w:t>
      </w:r>
      <w:bookmarkEnd w:id="325"/>
      <w:bookmarkEnd w:id="326"/>
    </w:p>
    <w:bookmarkEnd w:id="327"/>
    <w:bookmarkEnd w:id="328"/>
    <w:bookmarkEnd w:id="329"/>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组成合同的各项文件应互相解释，互为说明。除专用合同条款另有约定外，解释合同文件的优先顺序如下：</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（1）合同协议书；</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（2）中标通知书（如有）；</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（3）投标函及其附录（如有）；</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（4）专用合同条款及其附件；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（5）通用合同条款；</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（6）技术标准和要求；</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（7）图纸；</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（8）已标价工程量清单或预算书；</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（9）其他合同文件。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上述各项合同文件包括合同当事人就该项合同文件所作出的补充和修改，属于同一类内容的文件，应以最新签署的为准。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在合同订立及履行过程中形成的与合同有关的文件均构成合同文件组成部分，并根据其性质确定优先解释顺序。</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30" w:name="_Toc351203501"/>
      <w:bookmarkStart w:id="331" w:name="_Toc532377187"/>
      <w:r>
        <w:rPr>
          <w:rFonts w:hint="eastAsia" w:asciiTheme="minorEastAsia" w:hAnsiTheme="minorEastAsia" w:eastAsiaTheme="minorEastAsia" w:cstheme="minorEastAsia"/>
          <w:sz w:val="22"/>
          <w:szCs w:val="22"/>
        </w:rPr>
        <w:t>1</w:t>
      </w:r>
      <w:bookmarkStart w:id="332" w:name="_Toc296346533"/>
      <w:bookmarkStart w:id="333" w:name="_Toc296503032"/>
      <w:bookmarkStart w:id="334" w:name="_Toc337558732"/>
      <w:r>
        <w:rPr>
          <w:rFonts w:hint="eastAsia" w:asciiTheme="minorEastAsia" w:hAnsiTheme="minorEastAsia" w:eastAsiaTheme="minorEastAsia" w:cstheme="minorEastAsia"/>
          <w:sz w:val="22"/>
          <w:szCs w:val="22"/>
        </w:rPr>
        <w:t>.6图纸和承包人文件</w:t>
      </w:r>
      <w:bookmarkEnd w:id="330"/>
      <w:bookmarkEnd w:id="331"/>
    </w:p>
    <w:bookmarkEnd w:id="332"/>
    <w:bookmarkEnd w:id="333"/>
    <w:bookmarkEnd w:id="334"/>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1.6.1 图纸的提供和交底</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因发包人未按合同约定提供图纸导致承包人费用增加和（或）工期延误的，按照第7.5.1项〔因发包人原因导致工期延误〕约定办理。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1.6.2 图纸的错误</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1.6.3 图纸的修改和补充</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图纸需要修改和补充的，应经图纸原设计人及审批部门同意，并由监理人在工程或工程相应部位施工前将修改后的图纸或补充图纸提交给承包人，承包人应按修改或补充后的图纸施工。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1.6.4 承包人文件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承包人应按照专用合同条款的约定提供应当由其编制的与工程施工有关的文件，并按照专用合同条款约定的期限、数量和形式提交监理人，并由监理人报送发包人。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1.6.5 图纸和承包人文件的保管</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除专用合同条款另有约定外，承包人应在施工现场另外保存一套完整的图纸和承包人文件，供发包人、监理人及有关人员进行工程检查时使用。</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35" w:name="_Toc532377188"/>
      <w:bookmarkStart w:id="336" w:name="_Toc351203502"/>
      <w:r>
        <w:rPr>
          <w:rFonts w:hint="eastAsia" w:asciiTheme="minorEastAsia" w:hAnsiTheme="minorEastAsia" w:eastAsiaTheme="minorEastAsia" w:cstheme="minorEastAsia"/>
          <w:sz w:val="22"/>
          <w:szCs w:val="22"/>
        </w:rPr>
        <w:t>1</w:t>
      </w:r>
      <w:bookmarkStart w:id="337" w:name="_Toc296503033"/>
      <w:bookmarkStart w:id="338" w:name="_Toc337558733"/>
      <w:bookmarkStart w:id="339" w:name="_Toc296346534"/>
      <w:r>
        <w:rPr>
          <w:rFonts w:hint="eastAsia" w:asciiTheme="minorEastAsia" w:hAnsiTheme="minorEastAsia" w:eastAsiaTheme="minorEastAsia" w:cstheme="minorEastAsia"/>
          <w:sz w:val="22"/>
          <w:szCs w:val="22"/>
        </w:rPr>
        <w:t>.7联络</w:t>
      </w:r>
      <w:bookmarkEnd w:id="335"/>
      <w:bookmarkEnd w:id="336"/>
    </w:p>
    <w:bookmarkEnd w:id="337"/>
    <w:bookmarkEnd w:id="338"/>
    <w:bookmarkEnd w:id="339"/>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1.7.1 与合同有关的通知、批准、证明、证书、指示、指令、要求、请求、同意、意见、确定和决定等，均应采用书面形式，并应在合同约定的期限内送达接收人和送达地点。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1.7.3 发包人和承包人应当及时签收另一方送达至送达地点和指定接收人的来往信函。拒不签收的，由此增加的费用和（或）延误的工期由拒绝接收一方承担。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40" w:name="_Toc351203503"/>
      <w:bookmarkStart w:id="341" w:name="_Toc532377189"/>
      <w:r>
        <w:rPr>
          <w:rFonts w:hint="eastAsia" w:asciiTheme="minorEastAsia" w:hAnsiTheme="minorEastAsia" w:eastAsiaTheme="minorEastAsia" w:cstheme="minorEastAsia"/>
          <w:sz w:val="22"/>
          <w:szCs w:val="22"/>
        </w:rPr>
        <w:t>1</w:t>
      </w:r>
      <w:bookmarkStart w:id="342" w:name="_Toc337558734"/>
      <w:bookmarkStart w:id="343" w:name="_Toc296346536"/>
      <w:bookmarkStart w:id="344" w:name="_Toc296503035"/>
      <w:r>
        <w:rPr>
          <w:rFonts w:hint="eastAsia" w:asciiTheme="minorEastAsia" w:hAnsiTheme="minorEastAsia" w:eastAsiaTheme="minorEastAsia" w:cstheme="minorEastAsia"/>
          <w:sz w:val="22"/>
          <w:szCs w:val="22"/>
        </w:rPr>
        <w:t>.8严禁贿赂</w:t>
      </w:r>
      <w:bookmarkEnd w:id="340"/>
      <w:bookmarkEnd w:id="341"/>
    </w:p>
    <w:bookmarkEnd w:id="342"/>
    <w:bookmarkEnd w:id="343"/>
    <w:bookmarkEnd w:id="344"/>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合同当事人不得以贿赂或变相贿赂的方式，谋取非法利益或损害对方权益。因一方合同当事人的贿赂造成对方损失的，应赔偿损失，并承担相应的法律责任。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45" w:name="_Toc532377190"/>
      <w:bookmarkStart w:id="346" w:name="_Toc351203504"/>
      <w:r>
        <w:rPr>
          <w:rFonts w:hint="eastAsia" w:asciiTheme="minorEastAsia" w:hAnsiTheme="minorEastAsia" w:eastAsiaTheme="minorEastAsia" w:cstheme="minorEastAsia"/>
          <w:sz w:val="22"/>
          <w:szCs w:val="22"/>
        </w:rPr>
        <w:t>1</w:t>
      </w:r>
      <w:bookmarkStart w:id="347" w:name="_Toc296346537"/>
      <w:bookmarkStart w:id="348" w:name="_Toc337558735"/>
      <w:bookmarkStart w:id="349" w:name="_Toc296503036"/>
      <w:r>
        <w:rPr>
          <w:rFonts w:hint="eastAsia" w:asciiTheme="minorEastAsia" w:hAnsiTheme="minorEastAsia" w:eastAsiaTheme="minorEastAsia" w:cstheme="minorEastAsia"/>
          <w:sz w:val="22"/>
          <w:szCs w:val="22"/>
        </w:rPr>
        <w:t>.9化石、文物</w:t>
      </w:r>
      <w:bookmarkEnd w:id="345"/>
      <w:bookmarkEnd w:id="346"/>
    </w:p>
    <w:bookmarkEnd w:id="347"/>
    <w:bookmarkEnd w:id="348"/>
    <w:bookmarkEnd w:id="349"/>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发包人、监理人和承包人应按有关政府行政管理部门要求采取妥善的保护措施，由此增加的费用和（或）延误的工期由发包人承担。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承包人发现文物后不及时报告或隐瞒不报，致使文物丢失或损坏的，应赔偿损失，并承担相应的法律责任。</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50" w:name="_Toc351203505"/>
      <w:bookmarkStart w:id="351" w:name="_Toc532377191"/>
      <w:r>
        <w:rPr>
          <w:rFonts w:hint="eastAsia" w:asciiTheme="minorEastAsia" w:hAnsiTheme="minorEastAsia" w:eastAsiaTheme="minorEastAsia" w:cstheme="minorEastAsia"/>
          <w:sz w:val="22"/>
          <w:szCs w:val="22"/>
        </w:rPr>
        <w:t>1</w:t>
      </w:r>
      <w:bookmarkStart w:id="352" w:name="_Toc337558736"/>
      <w:r>
        <w:rPr>
          <w:rFonts w:hint="eastAsia" w:asciiTheme="minorEastAsia" w:hAnsiTheme="minorEastAsia" w:eastAsiaTheme="minorEastAsia" w:cstheme="minorEastAsia"/>
          <w:sz w:val="22"/>
          <w:szCs w:val="22"/>
        </w:rPr>
        <w:t>.10交通运输</w:t>
      </w:r>
      <w:bookmarkEnd w:id="350"/>
      <w:bookmarkEnd w:id="351"/>
    </w:p>
    <w:bookmarkEnd w:id="352"/>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1.10.1 出入现场的权利</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1.10.2 场外交通</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1.10.3场内交通</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场外交通和场内交通的边界由合同当事人在专用合同条款中约定。</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1.10.4 超大件和超重件的运输</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1.10.5 道路和桥梁的损坏责任</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因承包人运输造成施工场地内外公共道路和桥梁损坏的，由承包人承担修复损坏的全部费用和可能引起的赔偿。</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1.10.6 水路和航空运输</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53" w:name="_Toc532377192"/>
      <w:bookmarkStart w:id="354" w:name="_Toc351203506"/>
      <w:r>
        <w:rPr>
          <w:rFonts w:hint="eastAsia" w:asciiTheme="minorEastAsia" w:hAnsiTheme="minorEastAsia" w:eastAsiaTheme="minorEastAsia" w:cstheme="minorEastAsia"/>
          <w:sz w:val="22"/>
          <w:szCs w:val="22"/>
        </w:rPr>
        <w:t>1</w:t>
      </w:r>
      <w:bookmarkStart w:id="355" w:name="_Toc337558737"/>
      <w:bookmarkStart w:id="356" w:name="_Toc296503037"/>
      <w:bookmarkStart w:id="357" w:name="_Toc296346538"/>
      <w:r>
        <w:rPr>
          <w:rFonts w:hint="eastAsia" w:asciiTheme="minorEastAsia" w:hAnsiTheme="minorEastAsia" w:eastAsiaTheme="minorEastAsia" w:cstheme="minorEastAsia"/>
          <w:sz w:val="22"/>
          <w:szCs w:val="22"/>
        </w:rPr>
        <w:t>.11知识产权</w:t>
      </w:r>
      <w:bookmarkEnd w:id="353"/>
      <w:bookmarkEnd w:id="354"/>
      <w:bookmarkEnd w:id="355"/>
    </w:p>
    <w:bookmarkEnd w:id="356"/>
    <w:bookmarkEnd w:id="357"/>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1.11.4 除专用合同条款另有约定外，承包人在合同签订前和签订时已确定采用的专利、专有技术、技术秘密的使用费已包含在签约合同价中。</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58" w:name="_Toc532377193"/>
      <w:bookmarkStart w:id="359" w:name="_Toc351203507"/>
      <w:r>
        <w:rPr>
          <w:rFonts w:hint="eastAsia" w:asciiTheme="minorEastAsia" w:hAnsiTheme="minorEastAsia" w:eastAsiaTheme="minorEastAsia" w:cstheme="minorEastAsia"/>
          <w:sz w:val="22"/>
          <w:szCs w:val="22"/>
        </w:rPr>
        <w:t>1</w:t>
      </w:r>
      <w:bookmarkStart w:id="360" w:name="_Toc337558738"/>
      <w:r>
        <w:rPr>
          <w:rFonts w:hint="eastAsia" w:asciiTheme="minorEastAsia" w:hAnsiTheme="minorEastAsia" w:eastAsiaTheme="minorEastAsia" w:cstheme="minorEastAsia"/>
          <w:sz w:val="22"/>
          <w:szCs w:val="22"/>
        </w:rPr>
        <w:t>.12保密</w:t>
      </w:r>
      <w:bookmarkEnd w:id="358"/>
      <w:bookmarkEnd w:id="359"/>
    </w:p>
    <w:bookmarkEnd w:id="360"/>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除法律规定或合同另有约定外，未经发包人同意，承包人不得将发包人提供的图纸、文件以及声明需要保密的资料信息等商业秘密泄露给第三方。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除法律规定或合同另有约定外，未经承包人同意，发包人不得将承包人提供的技术秘密及声明需要保密的资料信息等商业秘密泄露给第三方。</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61" w:name="_Toc351203508"/>
      <w:bookmarkStart w:id="362" w:name="_Toc532377194"/>
      <w:r>
        <w:rPr>
          <w:rFonts w:hint="eastAsia" w:asciiTheme="minorEastAsia" w:hAnsiTheme="minorEastAsia" w:eastAsiaTheme="minorEastAsia" w:cstheme="minorEastAsia"/>
          <w:sz w:val="22"/>
          <w:szCs w:val="22"/>
        </w:rPr>
        <w:t>1.13工程量清单错误的修正</w:t>
      </w:r>
      <w:bookmarkEnd w:id="361"/>
      <w:bookmarkEnd w:id="362"/>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除专用合同条款另有约定外，发包人提供的工程量清单，应被认为是准确的和完整的。出现下列情形之一时，发包人应予以修正，并相应调整合同价格：</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（1）工程量清单存在缺项、漏项的；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（2）工程量清单偏差超出专用合同条款约定的工程量偏差范围的；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（3）未按照国家现行计量规范强制性规定计量的。</w:t>
      </w:r>
    </w:p>
    <w:p>
      <w:pPr>
        <w:pStyle w:val="6"/>
        <w:keepNext/>
        <w:keepLines/>
        <w:spacing w:before="120" w:beforeLines="50" w:after="120" w:afterLines="50" w:line="420" w:lineRule="exact"/>
        <w:jc w:val="both"/>
        <w:rPr>
          <w:rFonts w:asciiTheme="minorEastAsia" w:hAnsiTheme="minorEastAsia" w:eastAsiaTheme="minorEastAsia" w:cstheme="minorEastAsia"/>
          <w:sz w:val="22"/>
          <w:szCs w:val="22"/>
        </w:rPr>
      </w:pPr>
      <w:bookmarkStart w:id="363" w:name="_Toc532377195"/>
      <w:bookmarkStart w:id="364" w:name="_Toc351203509"/>
      <w:bookmarkStart w:id="365" w:name="_Toc532375588"/>
      <w:r>
        <w:rPr>
          <w:rFonts w:hint="eastAsia" w:asciiTheme="minorEastAsia" w:hAnsiTheme="minorEastAsia" w:eastAsiaTheme="minorEastAsia" w:cstheme="minorEastAsia"/>
          <w:sz w:val="22"/>
          <w:szCs w:val="22"/>
        </w:rPr>
        <w:t>2</w:t>
      </w:r>
      <w:bookmarkStart w:id="366" w:name="_Toc337558739"/>
      <w:bookmarkStart w:id="367" w:name="_Toc296346539"/>
      <w:bookmarkStart w:id="368" w:name="_Toc296503038"/>
      <w:bookmarkStart w:id="369" w:name="OLE_LINK2"/>
      <w:r>
        <w:rPr>
          <w:rFonts w:hint="eastAsia" w:asciiTheme="minorEastAsia" w:hAnsiTheme="minorEastAsia" w:eastAsiaTheme="minorEastAsia" w:cstheme="minorEastAsia"/>
          <w:sz w:val="22"/>
          <w:szCs w:val="22"/>
        </w:rPr>
        <w:t>. 发包人</w:t>
      </w:r>
      <w:bookmarkEnd w:id="363"/>
      <w:bookmarkEnd w:id="364"/>
      <w:bookmarkEnd w:id="365"/>
    </w:p>
    <w:bookmarkEnd w:id="366"/>
    <w:bookmarkEnd w:id="367"/>
    <w:bookmarkEnd w:id="368"/>
    <w:p>
      <w:pPr>
        <w:pStyle w:val="7"/>
        <w:spacing w:before="0" w:after="0" w:line="420" w:lineRule="exact"/>
        <w:ind w:firstLine="442" w:firstLineChars="200"/>
        <w:rPr>
          <w:rFonts w:asciiTheme="minorEastAsia" w:hAnsiTheme="minorEastAsia" w:eastAsiaTheme="minorEastAsia" w:cstheme="minorEastAsia"/>
          <w:sz w:val="22"/>
          <w:szCs w:val="22"/>
        </w:rPr>
      </w:pPr>
      <w:bookmarkStart w:id="370" w:name="_Toc351203510"/>
      <w:bookmarkStart w:id="371" w:name="_Toc532377196"/>
      <w:r>
        <w:rPr>
          <w:rFonts w:hint="eastAsia" w:asciiTheme="minorEastAsia" w:hAnsiTheme="minorEastAsia" w:eastAsiaTheme="minorEastAsia" w:cstheme="minorEastAsia"/>
          <w:sz w:val="22"/>
          <w:szCs w:val="22"/>
        </w:rPr>
        <w:t>2</w:t>
      </w:r>
      <w:bookmarkStart w:id="372" w:name="_Toc296346540"/>
      <w:bookmarkStart w:id="373" w:name="_Toc337558740"/>
      <w:bookmarkStart w:id="374" w:name="_Toc296503039"/>
      <w:r>
        <w:rPr>
          <w:rFonts w:hint="eastAsia" w:asciiTheme="minorEastAsia" w:hAnsiTheme="minorEastAsia" w:eastAsiaTheme="minorEastAsia" w:cstheme="minorEastAsia"/>
          <w:sz w:val="22"/>
          <w:szCs w:val="22"/>
        </w:rPr>
        <w:t>.1 许可或批准</w:t>
      </w:r>
      <w:bookmarkEnd w:id="370"/>
      <w:bookmarkEnd w:id="371"/>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因发包人原因未能及时办理完毕前述许可、批准或备案，由发包人承担由此增加的费用和（或）延误的工期，并支付承包人合理的利润。</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75" w:name="_Toc532377197"/>
      <w:bookmarkStart w:id="376" w:name="_Toc351203511"/>
      <w:r>
        <w:rPr>
          <w:rFonts w:hint="eastAsia" w:asciiTheme="minorEastAsia" w:hAnsiTheme="minorEastAsia" w:eastAsiaTheme="minorEastAsia" w:cstheme="minorEastAsia"/>
          <w:sz w:val="22"/>
          <w:szCs w:val="22"/>
        </w:rPr>
        <w:t>2.2 发包人代表</w:t>
      </w:r>
      <w:bookmarkEnd w:id="375"/>
      <w:bookmarkEnd w:id="376"/>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发包人代表不能按照合同约定履行其职责及义务，并导致合同无法继续正常履行的，承包人可以要求发包人撤换发包人代表。</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不属于法定必须监理的工程，监理人的职权可以由发包人代表或发包人指定的其他人员行使。</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77" w:name="_Toc351203512"/>
      <w:bookmarkStart w:id="378" w:name="_Toc532377198"/>
      <w:r>
        <w:rPr>
          <w:rFonts w:hint="eastAsia" w:asciiTheme="minorEastAsia" w:hAnsiTheme="minorEastAsia" w:eastAsiaTheme="minorEastAsia" w:cstheme="minorEastAsia"/>
          <w:sz w:val="22"/>
          <w:szCs w:val="22"/>
        </w:rPr>
        <w:t>2.3 发包人人员</w:t>
      </w:r>
      <w:bookmarkEnd w:id="377"/>
      <w:bookmarkEnd w:id="378"/>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发包人应要求在施工现场的发包人人员遵守法律及有关安全、质量、环境保护、文明施工等规定，并保障承包人免于承受因发包人人员未遵守上述要求给承包人造成的损失和责任。</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发包人人员包括发包人代表及其他由发包人派驻施工现场的人员。</w:t>
      </w:r>
      <w:bookmarkEnd w:id="372"/>
      <w:bookmarkEnd w:id="373"/>
      <w:bookmarkEnd w:id="374"/>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79" w:name="_Toc351203513"/>
      <w:bookmarkStart w:id="380" w:name="_Toc532377199"/>
      <w:r>
        <w:rPr>
          <w:rFonts w:hint="eastAsia" w:asciiTheme="minorEastAsia" w:hAnsiTheme="minorEastAsia" w:eastAsiaTheme="minorEastAsia" w:cstheme="minorEastAsia"/>
          <w:sz w:val="22"/>
          <w:szCs w:val="22"/>
        </w:rPr>
        <w:t>2</w:t>
      </w:r>
      <w:bookmarkStart w:id="381" w:name="_Toc296503040"/>
      <w:bookmarkStart w:id="382" w:name="_Toc337558741"/>
      <w:bookmarkStart w:id="383" w:name="_Toc296346541"/>
      <w:r>
        <w:rPr>
          <w:rFonts w:hint="eastAsia" w:asciiTheme="minorEastAsia" w:hAnsiTheme="minorEastAsia" w:eastAsiaTheme="minorEastAsia" w:cstheme="minorEastAsia"/>
          <w:sz w:val="22"/>
          <w:szCs w:val="22"/>
        </w:rPr>
        <w:t>.4 施工现场、施工条件和基础资料的提供</w:t>
      </w:r>
      <w:bookmarkEnd w:id="379"/>
      <w:bookmarkEnd w:id="380"/>
      <w:bookmarkEnd w:id="381"/>
      <w:bookmarkEnd w:id="382"/>
      <w:bookmarkEnd w:id="383"/>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2.4.1 提供施工现场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w:t>
      </w:r>
      <w:bookmarkEnd w:id="369"/>
      <w:r>
        <w:rPr>
          <w:rFonts w:hint="eastAsia" w:asciiTheme="minorEastAsia" w:hAnsiTheme="minorEastAsia" w:eastAsiaTheme="minorEastAsia" w:cstheme="minorEastAsia"/>
          <w:kern w:val="0"/>
          <w:sz w:val="22"/>
          <w:szCs w:val="22"/>
        </w:rPr>
        <w:t>专用合同条款另有约定外，发包人应最迟于开工日期7天前向承包人移交施工现场。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2.4.2 提供施工条件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除专用合同条款另有约定外，发包人应负责提供施工所需要的条件，包括：</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（1）将施工用水、电力、通讯线路等施工所必需的条件接至施工现场内；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（2）保证向承包人提供正常施工所需要的进入施工现场的交通条件；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（3）协调处理施工现场周围地下管线和邻近建筑物、构筑物、古树名木的保护工作，并承担相关费用；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（4）按照专用合同条款约定应提供的其他设施和条件。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2.4.3 提供基础资料</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按照法律规定确需在开工后方能提供的基础资料，发包人应尽其努力及时地在相应工程施工前的合理期限内提供，合理期限应以不影响承包人的正常施工为限。</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2.4.4 逾期提供的责任</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因发包人原因未能按合同约定及时向承包人提供施工现场、施工条件、基础资料的，由发包人承担由此增加的费用和（或）延误的工期。</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84" w:name="_Toc532377200"/>
      <w:bookmarkStart w:id="385" w:name="_Toc351203514"/>
      <w:r>
        <w:rPr>
          <w:rFonts w:hint="eastAsia" w:asciiTheme="minorEastAsia" w:hAnsiTheme="minorEastAsia" w:eastAsiaTheme="minorEastAsia" w:cstheme="minorEastAsia"/>
          <w:sz w:val="22"/>
          <w:szCs w:val="22"/>
        </w:rPr>
        <w:t>2</w:t>
      </w:r>
      <w:bookmarkStart w:id="386" w:name="_Toc296346543"/>
      <w:bookmarkStart w:id="387" w:name="_Toc296503042"/>
      <w:bookmarkStart w:id="388" w:name="_Toc337558745"/>
      <w:r>
        <w:rPr>
          <w:rFonts w:hint="eastAsia" w:asciiTheme="minorEastAsia" w:hAnsiTheme="minorEastAsia" w:eastAsiaTheme="minorEastAsia" w:cstheme="minorEastAsia"/>
          <w:sz w:val="22"/>
          <w:szCs w:val="22"/>
        </w:rPr>
        <w:t>.5 资</w:t>
      </w:r>
      <w:bookmarkEnd w:id="386"/>
      <w:bookmarkEnd w:id="387"/>
      <w:bookmarkEnd w:id="388"/>
      <w:r>
        <w:rPr>
          <w:rFonts w:hint="eastAsia" w:asciiTheme="minorEastAsia" w:hAnsiTheme="minorEastAsia" w:eastAsiaTheme="minorEastAsia" w:cstheme="minorEastAsia"/>
          <w:sz w:val="22"/>
          <w:szCs w:val="22"/>
        </w:rPr>
        <w:t>金来源证明及支付担保</w:t>
      </w:r>
      <w:bookmarkEnd w:id="384"/>
      <w:bookmarkEnd w:id="385"/>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除专用合同条款另有约定外，发包人应在收到承包人要求提供资金来源证明的书面通知后28天内，向承包人提供能够按照合同约定支付合同价款的相应资金来源证明。</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89" w:name="_Toc351203515"/>
      <w:bookmarkStart w:id="390" w:name="_Toc532377201"/>
      <w:r>
        <w:rPr>
          <w:rFonts w:hint="eastAsia" w:asciiTheme="minorEastAsia" w:hAnsiTheme="minorEastAsia" w:eastAsiaTheme="minorEastAsia" w:cstheme="minorEastAsia"/>
          <w:sz w:val="22"/>
          <w:szCs w:val="22"/>
        </w:rPr>
        <w:t>2.6 支付合同价款</w:t>
      </w:r>
      <w:bookmarkEnd w:id="389"/>
      <w:bookmarkEnd w:id="390"/>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发包人应按合同约定向承包人及时支付合同价款。</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91" w:name="_Toc532377202"/>
      <w:bookmarkStart w:id="392" w:name="_Toc351203516"/>
      <w:r>
        <w:rPr>
          <w:rFonts w:hint="eastAsia" w:asciiTheme="minorEastAsia" w:hAnsiTheme="minorEastAsia" w:eastAsiaTheme="minorEastAsia" w:cstheme="minorEastAsia"/>
          <w:sz w:val="22"/>
          <w:szCs w:val="22"/>
        </w:rPr>
        <w:t>2.7 组织竣工验收</w:t>
      </w:r>
      <w:bookmarkEnd w:id="391"/>
      <w:bookmarkEnd w:id="392"/>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发包人应按合同约定及时组织竣工验收。</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393" w:name="_Toc351203517"/>
      <w:bookmarkStart w:id="394" w:name="_Toc532377203"/>
      <w:r>
        <w:rPr>
          <w:rFonts w:hint="eastAsia" w:asciiTheme="minorEastAsia" w:hAnsiTheme="minorEastAsia" w:eastAsiaTheme="minorEastAsia" w:cstheme="minorEastAsia"/>
          <w:sz w:val="22"/>
          <w:szCs w:val="22"/>
        </w:rPr>
        <w:t>2.8 现场统一管理协议</w:t>
      </w:r>
      <w:bookmarkEnd w:id="393"/>
      <w:bookmarkEnd w:id="394"/>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发包人应与承包人、由发包人直接发包的专业工程的承包人签订施工现场统一管理协议，明确各方的权利义务。施工现场统一管理协议作为专用合同条款的附件。</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395" w:name="_Toc532377204"/>
      <w:bookmarkStart w:id="396" w:name="_Toc351203518"/>
      <w:bookmarkStart w:id="397" w:name="_Toc532375589"/>
      <w:r>
        <w:rPr>
          <w:rFonts w:hint="eastAsia" w:asciiTheme="minorEastAsia" w:hAnsiTheme="minorEastAsia" w:eastAsiaTheme="minorEastAsia" w:cstheme="minorEastAsia"/>
          <w:b/>
          <w:bCs/>
          <w:sz w:val="22"/>
          <w:szCs w:val="22"/>
        </w:rPr>
        <w:t>3</w:t>
      </w:r>
      <w:bookmarkStart w:id="398" w:name="_Toc337558746"/>
      <w:bookmarkStart w:id="399" w:name="_Toc296503045"/>
      <w:bookmarkStart w:id="400" w:name="_Toc296346546"/>
      <w:r>
        <w:rPr>
          <w:rFonts w:hint="eastAsia" w:asciiTheme="minorEastAsia" w:hAnsiTheme="minorEastAsia" w:eastAsiaTheme="minorEastAsia" w:cstheme="minorEastAsia"/>
          <w:b/>
          <w:bCs/>
          <w:sz w:val="22"/>
          <w:szCs w:val="22"/>
        </w:rPr>
        <w:t>. 承包人</w:t>
      </w:r>
      <w:bookmarkEnd w:id="395"/>
      <w:bookmarkEnd w:id="396"/>
      <w:bookmarkEnd w:id="397"/>
    </w:p>
    <w:bookmarkEnd w:id="398"/>
    <w:bookmarkEnd w:id="399"/>
    <w:bookmarkEnd w:id="400"/>
    <w:p>
      <w:pPr>
        <w:pStyle w:val="7"/>
        <w:spacing w:before="0" w:after="0" w:line="420" w:lineRule="exact"/>
        <w:ind w:firstLine="442" w:firstLineChars="200"/>
        <w:rPr>
          <w:rFonts w:asciiTheme="minorEastAsia" w:hAnsiTheme="minorEastAsia" w:eastAsiaTheme="minorEastAsia" w:cstheme="minorEastAsia"/>
          <w:sz w:val="22"/>
          <w:szCs w:val="22"/>
        </w:rPr>
      </w:pPr>
      <w:bookmarkStart w:id="401" w:name="_Toc351203519"/>
      <w:bookmarkStart w:id="402" w:name="_Toc532377205"/>
      <w:r>
        <w:rPr>
          <w:rFonts w:hint="eastAsia" w:asciiTheme="minorEastAsia" w:hAnsiTheme="minorEastAsia" w:eastAsiaTheme="minorEastAsia" w:cstheme="minorEastAsia"/>
          <w:sz w:val="22"/>
          <w:szCs w:val="22"/>
        </w:rPr>
        <w:t>3</w:t>
      </w:r>
      <w:bookmarkStart w:id="403" w:name="_Toc296503046"/>
      <w:bookmarkStart w:id="404" w:name="_Toc296346547"/>
      <w:bookmarkStart w:id="405" w:name="_Toc337558747"/>
      <w:r>
        <w:rPr>
          <w:rFonts w:hint="eastAsia" w:asciiTheme="minorEastAsia" w:hAnsiTheme="minorEastAsia" w:eastAsiaTheme="minorEastAsia" w:cstheme="minorEastAsia"/>
          <w:sz w:val="22"/>
          <w:szCs w:val="22"/>
        </w:rPr>
        <w:t>.1 承包人的一般义务</w:t>
      </w:r>
      <w:bookmarkEnd w:id="401"/>
      <w:bookmarkEnd w:id="402"/>
    </w:p>
    <w:bookmarkEnd w:id="403"/>
    <w:bookmarkEnd w:id="404"/>
    <w:bookmarkEnd w:id="405"/>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承包人在履行合同过程中应遵守法律和工程建设标准规范，并履行以下义务：</w:t>
      </w:r>
    </w:p>
    <w:p>
      <w:pPr>
        <w:numPr>
          <w:ilvl w:val="0"/>
          <w:numId w:val="2"/>
        </w:num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办理法律规定应由承包人办理的许可和批准，并将办理结果书面报送发包人留存；</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（2）按法律规定和合同约定完成工程，并在保修期内承担保修义务；</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（3）按法律规定和合同约定采取施工安全和环境保护措施，办理工伤保险，确保工程及人员、材料、设备和设施的安全；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（4）按合同约定的工作内容和施工进度要求，编制施工组织设计和施工措施计划，并对所有施工作业和施工方法的完备性和安全可靠性负责；</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（6）按照第6.3款〔环境保护〕约定负责施工场地及其周边环境与生态的保护工作；</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（7）按第6.1款〔安全文明施工〕约定采取施工安全措施，确保工程及其人员、材料、设备和设施的安全，防止因工程施工造成的人身伤害和财产损失；</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（8）将发包人按合同约定支付的各项价款专用于合同工程，且应及时支付其雇用人员工资，并及时向分包人支付合同价款；</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（9）按照法律规定和合同约定编制竣工资料，完成竣工资料立卷及归档，并按专用合同条款约定的竣工资料的套数、内容、时间等要求移交发包人；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（10）应履行的其他义务。</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06" w:name="_Toc351203520"/>
      <w:bookmarkStart w:id="407" w:name="_Toc532377206"/>
      <w:r>
        <w:rPr>
          <w:rFonts w:hint="eastAsia" w:asciiTheme="minorEastAsia" w:hAnsiTheme="minorEastAsia" w:eastAsiaTheme="minorEastAsia" w:cstheme="minorEastAsia"/>
          <w:sz w:val="22"/>
          <w:szCs w:val="22"/>
        </w:rPr>
        <w:t>3</w:t>
      </w:r>
      <w:bookmarkStart w:id="408" w:name="_Toc296346548"/>
      <w:bookmarkStart w:id="409" w:name="_Toc337558748"/>
      <w:bookmarkStart w:id="410" w:name="_Toc296503047"/>
      <w:r>
        <w:rPr>
          <w:rFonts w:hint="eastAsia" w:asciiTheme="minorEastAsia" w:hAnsiTheme="minorEastAsia" w:eastAsiaTheme="minorEastAsia" w:cstheme="minorEastAsia"/>
          <w:sz w:val="22"/>
          <w:szCs w:val="22"/>
        </w:rPr>
        <w:t xml:space="preserve">.2 </w:t>
      </w:r>
      <w:bookmarkEnd w:id="406"/>
      <w:r>
        <w:rPr>
          <w:rFonts w:hint="eastAsia" w:asciiTheme="minorEastAsia" w:hAnsiTheme="minorEastAsia" w:eastAsiaTheme="minorEastAsia" w:cstheme="minorEastAsia"/>
          <w:sz w:val="22"/>
          <w:szCs w:val="22"/>
        </w:rPr>
        <w:t>项目经理</w:t>
      </w:r>
      <w:bookmarkEnd w:id="407"/>
    </w:p>
    <w:bookmarkEnd w:id="408"/>
    <w:bookmarkEnd w:id="409"/>
    <w:bookmarkEnd w:id="410"/>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承包人违反上述约定的，应按照专用合同条款的约定，承担违约责任。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11" w:name="_Toc532377207"/>
      <w:bookmarkStart w:id="412" w:name="_Toc351203521"/>
      <w:r>
        <w:rPr>
          <w:rFonts w:hint="eastAsia" w:asciiTheme="minorEastAsia" w:hAnsiTheme="minorEastAsia" w:eastAsiaTheme="minorEastAsia" w:cstheme="minorEastAsia"/>
          <w:sz w:val="22"/>
          <w:szCs w:val="22"/>
        </w:rPr>
        <w:t>3</w:t>
      </w:r>
      <w:bookmarkStart w:id="413" w:name="_Toc296346549"/>
      <w:bookmarkStart w:id="414" w:name="_Toc296503048"/>
      <w:bookmarkStart w:id="415" w:name="_Toc337558749"/>
      <w:r>
        <w:rPr>
          <w:rFonts w:hint="eastAsia" w:asciiTheme="minorEastAsia" w:hAnsiTheme="minorEastAsia" w:eastAsiaTheme="minorEastAsia" w:cstheme="minorEastAsia"/>
          <w:sz w:val="22"/>
          <w:szCs w:val="22"/>
        </w:rPr>
        <w:t xml:space="preserve">.3 </w:t>
      </w:r>
      <w:bookmarkEnd w:id="413"/>
      <w:bookmarkEnd w:id="414"/>
      <w:r>
        <w:rPr>
          <w:rFonts w:hint="eastAsia" w:asciiTheme="minorEastAsia" w:hAnsiTheme="minorEastAsia" w:eastAsiaTheme="minorEastAsia" w:cstheme="minorEastAsia"/>
          <w:sz w:val="22"/>
          <w:szCs w:val="22"/>
        </w:rPr>
        <w:t>承包人人员</w:t>
      </w:r>
      <w:bookmarkEnd w:id="411"/>
      <w:bookmarkEnd w:id="412"/>
    </w:p>
    <w:bookmarkEnd w:id="415"/>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特殊工种作业人员均应持有相应的资格证明，监理人可以随时检查。</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3.3.5 承包人擅自更换主要施工管理人员，或前述人员未经监理人或发包人同意擅自离开施工现场的，应按照专用合同条款约定承担违约责任。</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16" w:name="_Toc532377208"/>
      <w:bookmarkStart w:id="417" w:name="_Toc351203522"/>
      <w:r>
        <w:rPr>
          <w:rFonts w:hint="eastAsia" w:asciiTheme="minorEastAsia" w:hAnsiTheme="minorEastAsia" w:eastAsiaTheme="minorEastAsia" w:cstheme="minorEastAsia"/>
          <w:sz w:val="22"/>
          <w:szCs w:val="22"/>
        </w:rPr>
        <w:t>3</w:t>
      </w:r>
      <w:bookmarkStart w:id="418" w:name="_Toc296346551"/>
      <w:bookmarkStart w:id="419" w:name="_Toc296503050"/>
      <w:bookmarkStart w:id="420" w:name="_Toc337558750"/>
      <w:r>
        <w:rPr>
          <w:rFonts w:hint="eastAsia" w:asciiTheme="minorEastAsia" w:hAnsiTheme="minorEastAsia" w:eastAsiaTheme="minorEastAsia" w:cstheme="minorEastAsia"/>
          <w:sz w:val="22"/>
          <w:szCs w:val="22"/>
        </w:rPr>
        <w:t>.4 承包人现场查勘</w:t>
      </w:r>
      <w:bookmarkEnd w:id="416"/>
      <w:bookmarkEnd w:id="417"/>
    </w:p>
    <w:bookmarkEnd w:id="418"/>
    <w:bookmarkEnd w:id="419"/>
    <w:bookmarkEnd w:id="420"/>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21" w:name="_Toc532377209"/>
      <w:bookmarkStart w:id="422" w:name="_Toc351203523"/>
      <w:r>
        <w:rPr>
          <w:rFonts w:hint="eastAsia" w:asciiTheme="minorEastAsia" w:hAnsiTheme="minorEastAsia" w:eastAsiaTheme="minorEastAsia" w:cstheme="minorEastAsia"/>
          <w:sz w:val="22"/>
          <w:szCs w:val="22"/>
        </w:rPr>
        <w:t>3</w:t>
      </w:r>
      <w:bookmarkStart w:id="423" w:name="_Toc337558751"/>
      <w:bookmarkStart w:id="424" w:name="_Toc296346552"/>
      <w:bookmarkStart w:id="425" w:name="_Toc296503051"/>
      <w:r>
        <w:rPr>
          <w:rFonts w:hint="eastAsia" w:asciiTheme="minorEastAsia" w:hAnsiTheme="minorEastAsia" w:eastAsiaTheme="minorEastAsia" w:cstheme="minorEastAsia"/>
          <w:sz w:val="22"/>
          <w:szCs w:val="22"/>
        </w:rPr>
        <w:t>.5 分包</w:t>
      </w:r>
      <w:bookmarkEnd w:id="421"/>
      <w:bookmarkEnd w:id="422"/>
    </w:p>
    <w:bookmarkEnd w:id="423"/>
    <w:bookmarkEnd w:id="424"/>
    <w:bookmarkEnd w:id="425"/>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3.5.1 分包的一般约定</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承包人不得以劳务分包的名义转包或违法分包工程。</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3.5.2 分包的确定</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3.5.3 分包管理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承包人应向监理人提交分包人的主要施工管理人员表，并对分包人的施工人员进行实名制管理，包括但不限于进出场管理、登记造册以及各种证照的办理。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3.5.4 分包合同价款</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（1）除本项第（2）目约定的情况或专用合同条款另有约定外，分包合同价款由承包人与分包人结算，未经承包人同意，发包人不得向分包人支付分包工程价款；</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（2）生效法律文书要求发包人向分包人支付分包合同价款的，发包人有权从应付承包人工程款中扣除该部分款项。</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3.5.5 分包合同权益的转让</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426" w:name="_Toc351203524"/>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27" w:name="_Toc532377210"/>
      <w:r>
        <w:rPr>
          <w:rFonts w:hint="eastAsia" w:asciiTheme="minorEastAsia" w:hAnsiTheme="minorEastAsia" w:eastAsiaTheme="minorEastAsia" w:cstheme="minorEastAsia"/>
          <w:sz w:val="22"/>
          <w:szCs w:val="22"/>
        </w:rPr>
        <w:t>3.6 工程照管与成品、半成品保护</w:t>
      </w:r>
      <w:bookmarkEnd w:id="426"/>
      <w:bookmarkEnd w:id="427"/>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（1）除专用合同条款另有约定外，自发包人向承包人移交施工现场之日起，承包人应负责照管工程及工程相关的材料、工程设备，直到颁发工程接收证书之日止。</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（2）在承包人负责照管期间，因承包人原因造成工程、材料、工程设备损坏的，由承包人负责修复或更换，并承担由此增加的费用和（或）延误的工期。</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28" w:name="_Toc532377211"/>
      <w:bookmarkStart w:id="429" w:name="_Toc351203525"/>
      <w:r>
        <w:rPr>
          <w:rFonts w:hint="eastAsia" w:asciiTheme="minorEastAsia" w:hAnsiTheme="minorEastAsia" w:eastAsiaTheme="minorEastAsia" w:cstheme="minorEastAsia"/>
          <w:sz w:val="22"/>
          <w:szCs w:val="22"/>
        </w:rPr>
        <w:t>3</w:t>
      </w:r>
      <w:bookmarkStart w:id="430" w:name="_Toc296503052"/>
      <w:bookmarkStart w:id="431" w:name="_Toc296346553"/>
      <w:bookmarkStart w:id="432" w:name="_Toc337558752"/>
      <w:r>
        <w:rPr>
          <w:rFonts w:hint="eastAsia" w:asciiTheme="minorEastAsia" w:hAnsiTheme="minorEastAsia" w:eastAsiaTheme="minorEastAsia" w:cstheme="minorEastAsia"/>
          <w:sz w:val="22"/>
          <w:szCs w:val="22"/>
        </w:rPr>
        <w:t>.7 履约担保</w:t>
      </w:r>
      <w:bookmarkEnd w:id="428"/>
      <w:bookmarkEnd w:id="429"/>
    </w:p>
    <w:bookmarkEnd w:id="430"/>
    <w:bookmarkEnd w:id="431"/>
    <w:bookmarkEnd w:id="432"/>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因承包人原因导致工期延长的，继续提供履约担保所增加的费用由承包人承担；非因承包人原因导致工期延长的，继续提供履约担保所增加的费用由发包人承担。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33" w:name="_Toc532377212"/>
      <w:bookmarkStart w:id="434" w:name="_Toc351203526"/>
      <w:r>
        <w:rPr>
          <w:rFonts w:hint="eastAsia" w:asciiTheme="minorEastAsia" w:hAnsiTheme="minorEastAsia" w:eastAsiaTheme="minorEastAsia" w:cstheme="minorEastAsia"/>
          <w:sz w:val="22"/>
          <w:szCs w:val="22"/>
        </w:rPr>
        <w:t>3.8 联合体</w:t>
      </w:r>
      <w:bookmarkEnd w:id="433"/>
      <w:bookmarkEnd w:id="434"/>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3.8.1 联合体各方应共同与发包人签订合同协议书。联合体各方应为履行合同向发包人承担连带责任。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3.8.2 联合体协议经发包人确认后作为合同附件。在履行合同过程中，未经发包人同意，不得修改联合体协议。</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3.8.3 联合体牵头人负责与发包人和监理人联系，并接受指示，负责组织联合体各成员全面履行合同。</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435" w:name="_Toc351203527"/>
      <w:bookmarkStart w:id="436" w:name="_Toc532377213"/>
      <w:bookmarkStart w:id="437" w:name="_Toc532375590"/>
      <w:r>
        <w:rPr>
          <w:rFonts w:hint="eastAsia" w:asciiTheme="minorEastAsia" w:hAnsiTheme="minorEastAsia" w:eastAsiaTheme="minorEastAsia" w:cstheme="minorEastAsia"/>
          <w:b/>
          <w:bCs/>
          <w:sz w:val="22"/>
          <w:szCs w:val="22"/>
        </w:rPr>
        <w:t>4</w:t>
      </w:r>
      <w:bookmarkStart w:id="438" w:name="_Toc296346554"/>
      <w:bookmarkStart w:id="439" w:name="_Toc296503053"/>
      <w:bookmarkStart w:id="440" w:name="_Toc337558753"/>
      <w:r>
        <w:rPr>
          <w:rFonts w:hint="eastAsia" w:asciiTheme="minorEastAsia" w:hAnsiTheme="minorEastAsia" w:eastAsiaTheme="minorEastAsia" w:cstheme="minorEastAsia"/>
          <w:b/>
          <w:bCs/>
          <w:sz w:val="22"/>
          <w:szCs w:val="22"/>
        </w:rPr>
        <w:t>. 监</w:t>
      </w:r>
      <w:bookmarkEnd w:id="438"/>
      <w:bookmarkEnd w:id="439"/>
      <w:r>
        <w:rPr>
          <w:rFonts w:hint="eastAsia" w:asciiTheme="minorEastAsia" w:hAnsiTheme="minorEastAsia" w:eastAsiaTheme="minorEastAsia" w:cstheme="minorEastAsia"/>
          <w:b/>
          <w:bCs/>
          <w:sz w:val="22"/>
          <w:szCs w:val="22"/>
        </w:rPr>
        <w:t>理人</w:t>
      </w:r>
      <w:bookmarkEnd w:id="435"/>
      <w:bookmarkEnd w:id="436"/>
      <w:bookmarkEnd w:id="437"/>
    </w:p>
    <w:bookmarkEnd w:id="440"/>
    <w:p>
      <w:pPr>
        <w:pStyle w:val="7"/>
        <w:spacing w:before="0" w:after="0" w:line="420" w:lineRule="exact"/>
        <w:ind w:firstLine="442" w:firstLineChars="200"/>
        <w:rPr>
          <w:rFonts w:asciiTheme="minorEastAsia" w:hAnsiTheme="minorEastAsia" w:eastAsiaTheme="minorEastAsia" w:cstheme="minorEastAsia"/>
          <w:sz w:val="22"/>
          <w:szCs w:val="22"/>
        </w:rPr>
      </w:pPr>
      <w:bookmarkStart w:id="441" w:name="_Toc532377214"/>
      <w:bookmarkStart w:id="442" w:name="_Toc351203528"/>
      <w:r>
        <w:rPr>
          <w:rFonts w:hint="eastAsia" w:asciiTheme="minorEastAsia" w:hAnsiTheme="minorEastAsia" w:eastAsiaTheme="minorEastAsia" w:cstheme="minorEastAsia"/>
          <w:sz w:val="22"/>
          <w:szCs w:val="22"/>
        </w:rPr>
        <w:t>4</w:t>
      </w:r>
      <w:bookmarkStart w:id="443" w:name="_Toc296346555"/>
      <w:bookmarkStart w:id="444" w:name="_Toc296503054"/>
      <w:bookmarkStart w:id="445" w:name="_Toc337558754"/>
      <w:r>
        <w:rPr>
          <w:rFonts w:hint="eastAsia" w:asciiTheme="minorEastAsia" w:hAnsiTheme="minorEastAsia" w:eastAsiaTheme="minorEastAsia" w:cstheme="minorEastAsia"/>
          <w:sz w:val="22"/>
          <w:szCs w:val="22"/>
        </w:rPr>
        <w:t>.1监理人的一般规定</w:t>
      </w:r>
      <w:bookmarkEnd w:id="441"/>
      <w:bookmarkEnd w:id="442"/>
    </w:p>
    <w:bookmarkEnd w:id="443"/>
    <w:bookmarkEnd w:id="444"/>
    <w:bookmarkEnd w:id="445"/>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除专用合同条款另有约定外，监理人在施工现场的办公场所、生活场所由承包人提供，所发生的费用由发包人承担。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46" w:name="_Toc351203529"/>
      <w:bookmarkStart w:id="447" w:name="_Toc532377215"/>
      <w:r>
        <w:rPr>
          <w:rFonts w:hint="eastAsia" w:asciiTheme="minorEastAsia" w:hAnsiTheme="minorEastAsia" w:eastAsiaTheme="minorEastAsia" w:cstheme="minorEastAsia"/>
          <w:sz w:val="22"/>
          <w:szCs w:val="22"/>
        </w:rPr>
        <w:t>4</w:t>
      </w:r>
      <w:bookmarkStart w:id="448" w:name="_Toc337558755"/>
      <w:r>
        <w:rPr>
          <w:rFonts w:hint="eastAsia" w:asciiTheme="minorEastAsia" w:hAnsiTheme="minorEastAsia" w:eastAsiaTheme="minorEastAsia" w:cstheme="minorEastAsia"/>
          <w:sz w:val="22"/>
          <w:szCs w:val="22"/>
        </w:rPr>
        <w:t>.2监理人员</w:t>
      </w:r>
      <w:bookmarkEnd w:id="446"/>
      <w:bookmarkEnd w:id="447"/>
    </w:p>
    <w:bookmarkEnd w:id="448"/>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49" w:name="_Toc351203530"/>
      <w:bookmarkStart w:id="450" w:name="_Toc532377216"/>
      <w:r>
        <w:rPr>
          <w:rFonts w:hint="eastAsia" w:asciiTheme="minorEastAsia" w:hAnsiTheme="minorEastAsia" w:eastAsiaTheme="minorEastAsia" w:cstheme="minorEastAsia"/>
          <w:sz w:val="22"/>
          <w:szCs w:val="22"/>
        </w:rPr>
        <w:t>4</w:t>
      </w:r>
      <w:bookmarkStart w:id="451" w:name="_Toc296503055"/>
      <w:bookmarkStart w:id="452" w:name="_Toc296346556"/>
      <w:bookmarkStart w:id="453" w:name="_Toc337558756"/>
      <w:r>
        <w:rPr>
          <w:rFonts w:hint="eastAsia" w:asciiTheme="minorEastAsia" w:hAnsiTheme="minorEastAsia" w:eastAsiaTheme="minorEastAsia" w:cstheme="minorEastAsia"/>
          <w:sz w:val="22"/>
          <w:szCs w:val="22"/>
        </w:rPr>
        <w:t>.3</w:t>
      </w:r>
      <w:bookmarkEnd w:id="451"/>
      <w:bookmarkEnd w:id="452"/>
      <w:r>
        <w:rPr>
          <w:rFonts w:hint="eastAsia" w:asciiTheme="minorEastAsia" w:hAnsiTheme="minorEastAsia" w:eastAsiaTheme="minorEastAsia" w:cstheme="minorEastAsia"/>
          <w:sz w:val="22"/>
          <w:szCs w:val="22"/>
        </w:rPr>
        <w:t>监理人的指</w:t>
      </w:r>
      <w:bookmarkEnd w:id="453"/>
      <w:r>
        <w:rPr>
          <w:rFonts w:hint="eastAsia" w:asciiTheme="minorEastAsia" w:hAnsiTheme="minorEastAsia" w:eastAsiaTheme="minorEastAsia" w:cstheme="minorEastAsia"/>
          <w:sz w:val="22"/>
          <w:szCs w:val="22"/>
        </w:rPr>
        <w:t>示</w:t>
      </w:r>
      <w:bookmarkEnd w:id="449"/>
      <w:bookmarkEnd w:id="450"/>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54" w:name="_Toc351203531"/>
      <w:bookmarkStart w:id="455" w:name="_Toc532377217"/>
      <w:r>
        <w:rPr>
          <w:rFonts w:hint="eastAsia" w:asciiTheme="minorEastAsia" w:hAnsiTheme="minorEastAsia" w:eastAsiaTheme="minorEastAsia" w:cstheme="minorEastAsia"/>
          <w:sz w:val="22"/>
          <w:szCs w:val="22"/>
        </w:rPr>
        <w:t>4</w:t>
      </w:r>
      <w:bookmarkStart w:id="456" w:name="_Toc337558757"/>
      <w:bookmarkStart w:id="457" w:name="_Toc296503057"/>
      <w:bookmarkStart w:id="458" w:name="_Toc296346558"/>
      <w:r>
        <w:rPr>
          <w:rFonts w:hint="eastAsia" w:asciiTheme="minorEastAsia" w:hAnsiTheme="minorEastAsia" w:eastAsiaTheme="minorEastAsia" w:cstheme="minorEastAsia"/>
          <w:sz w:val="22"/>
          <w:szCs w:val="22"/>
        </w:rPr>
        <w:t>.4 商定或确定</w:t>
      </w:r>
      <w:bookmarkEnd w:id="454"/>
      <w:bookmarkEnd w:id="455"/>
    </w:p>
    <w:bookmarkEnd w:id="456"/>
    <w:bookmarkEnd w:id="457"/>
    <w:bookmarkEnd w:id="458"/>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合同当事人进行商定或确定时，总监理工程师应当会同合同当事人尽量通过协商达成一致，不能达成一致的，由总监理工程师按照合同约定审慎做出公正的确定。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459" w:name="_Toc351203532"/>
      <w:bookmarkStart w:id="460" w:name="_Toc532375591"/>
      <w:bookmarkStart w:id="461" w:name="_Toc532377218"/>
      <w:r>
        <w:rPr>
          <w:rFonts w:hint="eastAsia" w:asciiTheme="minorEastAsia" w:hAnsiTheme="minorEastAsia" w:eastAsiaTheme="minorEastAsia" w:cstheme="minorEastAsia"/>
          <w:b/>
          <w:bCs/>
          <w:sz w:val="22"/>
          <w:szCs w:val="22"/>
        </w:rPr>
        <w:t>5</w:t>
      </w:r>
      <w:bookmarkStart w:id="462" w:name="_Toc337558758"/>
      <w:r>
        <w:rPr>
          <w:rFonts w:hint="eastAsia" w:asciiTheme="minorEastAsia" w:hAnsiTheme="minorEastAsia" w:eastAsiaTheme="minorEastAsia" w:cstheme="minorEastAsia"/>
          <w:b/>
          <w:bCs/>
          <w:sz w:val="22"/>
          <w:szCs w:val="22"/>
        </w:rPr>
        <w:t>. 工程质量</w:t>
      </w:r>
      <w:bookmarkEnd w:id="459"/>
      <w:bookmarkEnd w:id="460"/>
      <w:bookmarkEnd w:id="461"/>
    </w:p>
    <w:bookmarkEnd w:id="462"/>
    <w:p>
      <w:pPr>
        <w:pStyle w:val="7"/>
        <w:spacing w:before="0" w:after="0" w:line="420" w:lineRule="exact"/>
        <w:ind w:firstLine="442" w:firstLineChars="200"/>
        <w:rPr>
          <w:rFonts w:asciiTheme="minorEastAsia" w:hAnsiTheme="minorEastAsia" w:eastAsiaTheme="minorEastAsia" w:cstheme="minorEastAsia"/>
          <w:sz w:val="22"/>
          <w:szCs w:val="22"/>
        </w:rPr>
      </w:pPr>
      <w:bookmarkStart w:id="463" w:name="_Toc532377219"/>
      <w:bookmarkStart w:id="464" w:name="_Toc351203533"/>
      <w:r>
        <w:rPr>
          <w:rFonts w:hint="eastAsia" w:asciiTheme="minorEastAsia" w:hAnsiTheme="minorEastAsia" w:eastAsiaTheme="minorEastAsia" w:cstheme="minorEastAsia"/>
          <w:sz w:val="22"/>
          <w:szCs w:val="22"/>
        </w:rPr>
        <w:t>5</w:t>
      </w:r>
      <w:bookmarkStart w:id="465" w:name="_Toc337558759"/>
      <w:r>
        <w:rPr>
          <w:rFonts w:hint="eastAsia" w:asciiTheme="minorEastAsia" w:hAnsiTheme="minorEastAsia" w:eastAsiaTheme="minorEastAsia" w:cstheme="minorEastAsia"/>
          <w:sz w:val="22"/>
          <w:szCs w:val="22"/>
        </w:rPr>
        <w:t>.1质量要求</w:t>
      </w:r>
      <w:bookmarkEnd w:id="463"/>
      <w:bookmarkEnd w:id="464"/>
    </w:p>
    <w:bookmarkEnd w:id="465"/>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5.1.1 工程质量标准必须符合现行国家有关工程施工质量验收规范和标准的要求。有关工程质量的特殊标准或要求由合同当事人在专用合同条款中约定。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5.1.2 因发包人原因造成工程质量未达到合同约定标准的，由发包人承担由此增加的费用和（或）延误的工期，并支付承包人合理的利润。</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5.1.3 因承包人原因造成工程质量未达到合同约定标准的，发包人有权要求承包人返工直至工程质量达到合同约定的标准为止，并由承包人承担由此增加的费用和（或）延误的工期。</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66" w:name="_Toc532377220"/>
      <w:bookmarkStart w:id="467" w:name="_Toc351203534"/>
      <w:r>
        <w:rPr>
          <w:rFonts w:hint="eastAsia" w:asciiTheme="minorEastAsia" w:hAnsiTheme="minorEastAsia" w:eastAsiaTheme="minorEastAsia" w:cstheme="minorEastAsia"/>
          <w:sz w:val="22"/>
          <w:szCs w:val="22"/>
        </w:rPr>
        <w:t>5</w:t>
      </w:r>
      <w:bookmarkStart w:id="468" w:name="_Toc337558760"/>
      <w:r>
        <w:rPr>
          <w:rFonts w:hint="eastAsia" w:asciiTheme="minorEastAsia" w:hAnsiTheme="minorEastAsia" w:eastAsiaTheme="minorEastAsia" w:cstheme="minorEastAsia"/>
          <w:sz w:val="22"/>
          <w:szCs w:val="22"/>
        </w:rPr>
        <w:t>.2质量保证措施</w:t>
      </w:r>
      <w:bookmarkEnd w:id="466"/>
      <w:bookmarkEnd w:id="467"/>
    </w:p>
    <w:bookmarkEnd w:id="468"/>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5.2.1 发包人的质量管理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发包人应按照法律规定及合同约定完成与工程质量有关的各项工作。</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5.2.2 承包人的质量管理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承包人应对施工人员进行质量教育和技术培训，定期考核施工人员的劳动技能，严格执行施工规范和操作规程。</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5.2.3 监理人的质量检查和检验</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69" w:name="_Toc351203535"/>
      <w:bookmarkStart w:id="470" w:name="_Toc532377221"/>
      <w:r>
        <w:rPr>
          <w:rFonts w:hint="eastAsia" w:asciiTheme="minorEastAsia" w:hAnsiTheme="minorEastAsia" w:eastAsiaTheme="minorEastAsia" w:cstheme="minorEastAsia"/>
          <w:sz w:val="22"/>
          <w:szCs w:val="22"/>
        </w:rPr>
        <w:t>5</w:t>
      </w:r>
      <w:bookmarkStart w:id="471" w:name="_Toc337558761"/>
      <w:r>
        <w:rPr>
          <w:rFonts w:hint="eastAsia" w:asciiTheme="minorEastAsia" w:hAnsiTheme="minorEastAsia" w:eastAsiaTheme="minorEastAsia" w:cstheme="minorEastAsia"/>
          <w:sz w:val="22"/>
          <w:szCs w:val="22"/>
        </w:rPr>
        <w:t>.3 隐蔽工程检查</w:t>
      </w:r>
      <w:bookmarkEnd w:id="469"/>
      <w:bookmarkEnd w:id="470"/>
    </w:p>
    <w:bookmarkEnd w:id="471"/>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5.3.1承包人自检</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承包人应当对工程隐蔽部位进行自检，并经自检确认是否具备覆盖条件。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5.3.2检查程序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5.3.3 重新检查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5.3.4 承包人私自覆盖</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72" w:name="_Toc532377222"/>
      <w:r>
        <w:rPr>
          <w:rFonts w:hint="eastAsia" w:asciiTheme="minorEastAsia" w:hAnsiTheme="minorEastAsia" w:eastAsiaTheme="minorEastAsia" w:cstheme="minorEastAsia"/>
          <w:sz w:val="22"/>
          <w:szCs w:val="22"/>
        </w:rPr>
        <w:t>5.4不合格工程的处理</w:t>
      </w:r>
      <w:bookmarkEnd w:id="472"/>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5.4.2 因发包人原因造成工程不合格的，由此增加的费用和（或）延误的工期由发包人承担，并支付承包人合理的利润。</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73" w:name="_Toc532377223"/>
      <w:bookmarkStart w:id="474" w:name="_Toc351203537"/>
      <w:r>
        <w:rPr>
          <w:rFonts w:hint="eastAsia" w:asciiTheme="minorEastAsia" w:hAnsiTheme="minorEastAsia" w:eastAsiaTheme="minorEastAsia" w:cstheme="minorEastAsia"/>
          <w:sz w:val="22"/>
          <w:szCs w:val="22"/>
        </w:rPr>
        <w:t>5.5 质量争议检测</w:t>
      </w:r>
      <w:bookmarkEnd w:id="473"/>
      <w:bookmarkEnd w:id="474"/>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合同当事人对工程质量有争议的，由双方协商确定的工程质量检测机构鉴定，由此产生的费用及因此造成的损失，由责任方承担。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合同当事人均有责任的，由双方根据其责任分别承担。合同当事人无法达成一致的，按照第4.4款〔商定或确定〕执行。</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475" w:name="_Toc351203538"/>
      <w:bookmarkStart w:id="476" w:name="_Toc532375592"/>
      <w:bookmarkStart w:id="477" w:name="_Toc532377224"/>
      <w:r>
        <w:rPr>
          <w:rFonts w:hint="eastAsia" w:asciiTheme="minorEastAsia" w:hAnsiTheme="minorEastAsia" w:eastAsiaTheme="minorEastAsia" w:cstheme="minorEastAsia"/>
          <w:b/>
          <w:bCs/>
          <w:sz w:val="22"/>
          <w:szCs w:val="22"/>
        </w:rPr>
        <w:t>6</w:t>
      </w:r>
      <w:bookmarkStart w:id="478" w:name="_Toc337558763"/>
      <w:r>
        <w:rPr>
          <w:rFonts w:hint="eastAsia" w:asciiTheme="minorEastAsia" w:hAnsiTheme="minorEastAsia" w:eastAsiaTheme="minorEastAsia" w:cstheme="minorEastAsia"/>
          <w:b/>
          <w:bCs/>
          <w:sz w:val="22"/>
          <w:szCs w:val="22"/>
        </w:rPr>
        <w:t>. 安全文明施工与环境保护</w:t>
      </w:r>
      <w:bookmarkEnd w:id="475"/>
      <w:bookmarkEnd w:id="476"/>
      <w:bookmarkEnd w:id="477"/>
    </w:p>
    <w:bookmarkEnd w:id="478"/>
    <w:p>
      <w:pPr>
        <w:pStyle w:val="7"/>
        <w:spacing w:before="0" w:after="0" w:line="420" w:lineRule="exact"/>
        <w:ind w:firstLine="442" w:firstLineChars="200"/>
        <w:rPr>
          <w:rFonts w:asciiTheme="minorEastAsia" w:hAnsiTheme="minorEastAsia" w:eastAsiaTheme="minorEastAsia" w:cstheme="minorEastAsia"/>
          <w:sz w:val="22"/>
          <w:szCs w:val="22"/>
        </w:rPr>
      </w:pPr>
      <w:bookmarkStart w:id="479" w:name="_Toc532377225"/>
      <w:bookmarkStart w:id="480" w:name="_Toc351203539"/>
      <w:r>
        <w:rPr>
          <w:rFonts w:hint="eastAsia" w:asciiTheme="minorEastAsia" w:hAnsiTheme="minorEastAsia" w:eastAsiaTheme="minorEastAsia" w:cstheme="minorEastAsia"/>
          <w:sz w:val="22"/>
          <w:szCs w:val="22"/>
        </w:rPr>
        <w:t>6</w:t>
      </w:r>
      <w:bookmarkStart w:id="481" w:name="_Toc337558764"/>
      <w:r>
        <w:rPr>
          <w:rFonts w:hint="eastAsia" w:asciiTheme="minorEastAsia" w:hAnsiTheme="minorEastAsia" w:eastAsiaTheme="minorEastAsia" w:cstheme="minorEastAsia"/>
          <w:sz w:val="22"/>
          <w:szCs w:val="22"/>
        </w:rPr>
        <w:t>.1安全文明施工</w:t>
      </w:r>
      <w:bookmarkEnd w:id="479"/>
      <w:bookmarkEnd w:id="480"/>
    </w:p>
    <w:bookmarkEnd w:id="481"/>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6.1.1安全生产要求</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因安全生产需要暂停施工的，按照第7.8款〔暂停施工〕的约定执行。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6.1.2 安全生产保证措施</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6.1.3特别安全生产事项</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承包人在动力设备、输电线路、地下管道、密封防震车间、易燃易爆地段以及临街交通要道附近施工时，施工开始前应向发包人和监理人提出安全防护措施，经发包人认可后实施。 </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需单独编制危险性较大分部分项专项工程施工方案的，及要求进行专家论证的超过一定规模的危险性较大的分部分项工程，承包人应及时编制和组织论证。</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6.1.4 治安保卫</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除专用合同条款另有约定外，发包人应与当地公安部门协商，在现场建立治安管理机构或联防组织，统一管理施工场地的治安保卫事项，履行合同工程的治安保卫职责。</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发包人和承包人除应协助现场治安管理机构或联防组织维护施工场地的社会治安外，还应做好包括生活区在内的各自管辖区的治安保卫工作。</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6.1.5 文明施工</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6.1.6 安全文明施工费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6.1.7 紧急情况处理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6.1.8 事故处理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6.1.9 安全生产责任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6.1.9.1 发包人的安全责任</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发包人应负责赔偿以下各种情况造成的损失：</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（1）工程或工程的任何部分对土地的占用所造成的第三者财产损失；</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（2）由于发包人原因在施工场地及其毗邻地带造成的第三者人身伤亡和财产损失；</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（3）由于发包人原因对承包人、监理人造成的人员人身伤亡和财产损失；</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（4）由于发包人原因造成的发包人自身人员的人身伤害以及财产损失。</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6.1.9.2 承包人的安全责任</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由于承包人原因在施工场地内及其毗邻地带造成的发包人、监理人以及第三者人员伤亡和财产损失，由承包人负责赔偿。</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82" w:name="_Toc532377226"/>
      <w:bookmarkStart w:id="483" w:name="_Toc351203540"/>
      <w:r>
        <w:rPr>
          <w:rFonts w:hint="eastAsia" w:asciiTheme="minorEastAsia" w:hAnsiTheme="minorEastAsia" w:eastAsiaTheme="minorEastAsia" w:cstheme="minorEastAsia"/>
          <w:sz w:val="22"/>
          <w:szCs w:val="22"/>
        </w:rPr>
        <w:t>6</w:t>
      </w:r>
      <w:bookmarkStart w:id="484" w:name="_Toc337558765"/>
      <w:r>
        <w:rPr>
          <w:rFonts w:hint="eastAsia" w:asciiTheme="minorEastAsia" w:hAnsiTheme="minorEastAsia" w:eastAsiaTheme="minorEastAsia" w:cstheme="minorEastAsia"/>
          <w:sz w:val="22"/>
          <w:szCs w:val="22"/>
        </w:rPr>
        <w:t>.2 职业健康</w:t>
      </w:r>
      <w:bookmarkEnd w:id="482"/>
      <w:bookmarkEnd w:id="483"/>
    </w:p>
    <w:bookmarkEnd w:id="484"/>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6.2.1 劳动保护</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6.2.2 生活条件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85" w:name="_Toc532377227"/>
      <w:bookmarkStart w:id="486" w:name="_Toc351203541"/>
      <w:r>
        <w:rPr>
          <w:rFonts w:hint="eastAsia" w:asciiTheme="minorEastAsia" w:hAnsiTheme="minorEastAsia" w:eastAsiaTheme="minorEastAsia" w:cstheme="minorEastAsia"/>
          <w:sz w:val="22"/>
          <w:szCs w:val="22"/>
        </w:rPr>
        <w:t>6</w:t>
      </w:r>
      <w:bookmarkStart w:id="487" w:name="_Toc337558766"/>
      <w:r>
        <w:rPr>
          <w:rFonts w:hint="eastAsia" w:asciiTheme="minorEastAsia" w:hAnsiTheme="minorEastAsia" w:eastAsiaTheme="minorEastAsia" w:cstheme="minorEastAsia"/>
          <w:sz w:val="22"/>
          <w:szCs w:val="22"/>
        </w:rPr>
        <w:t>.3 环境保护</w:t>
      </w:r>
      <w:bookmarkEnd w:id="485"/>
      <w:bookmarkEnd w:id="486"/>
    </w:p>
    <w:bookmarkEnd w:id="487"/>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承包人应当承担因其原因引起的环境污染侵权损害赔偿责任，因上述环境污染引起纠纷而导致暂停施工的，由此增加的费用和（或）延误的工期由承包人承担。</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488" w:name="_Toc532375593"/>
      <w:bookmarkStart w:id="489" w:name="_Toc532377228"/>
      <w:bookmarkStart w:id="490" w:name="_Toc351203542"/>
      <w:r>
        <w:rPr>
          <w:rFonts w:hint="eastAsia" w:asciiTheme="minorEastAsia" w:hAnsiTheme="minorEastAsia" w:eastAsiaTheme="minorEastAsia" w:cstheme="minorEastAsia"/>
          <w:b/>
          <w:bCs/>
          <w:sz w:val="22"/>
          <w:szCs w:val="22"/>
        </w:rPr>
        <w:t>7</w:t>
      </w:r>
      <w:bookmarkStart w:id="491" w:name="_Toc337558767"/>
      <w:r>
        <w:rPr>
          <w:rFonts w:hint="eastAsia" w:asciiTheme="minorEastAsia" w:hAnsiTheme="minorEastAsia" w:eastAsiaTheme="minorEastAsia" w:cstheme="minorEastAsia"/>
          <w:b/>
          <w:bCs/>
          <w:sz w:val="22"/>
          <w:szCs w:val="22"/>
        </w:rPr>
        <w:t>. 工期和进度</w:t>
      </w:r>
      <w:bookmarkEnd w:id="488"/>
      <w:bookmarkEnd w:id="489"/>
      <w:bookmarkEnd w:id="490"/>
    </w:p>
    <w:bookmarkEnd w:id="491"/>
    <w:p>
      <w:pPr>
        <w:pStyle w:val="7"/>
        <w:spacing w:before="0" w:after="0" w:line="420" w:lineRule="exact"/>
        <w:ind w:firstLine="442" w:firstLineChars="200"/>
        <w:rPr>
          <w:rFonts w:asciiTheme="minorEastAsia" w:hAnsiTheme="minorEastAsia" w:eastAsiaTheme="minorEastAsia" w:cstheme="minorEastAsia"/>
          <w:sz w:val="22"/>
          <w:szCs w:val="22"/>
        </w:rPr>
      </w:pPr>
      <w:bookmarkStart w:id="492" w:name="_Toc532377229"/>
      <w:bookmarkStart w:id="493" w:name="_Toc351203543"/>
      <w:r>
        <w:rPr>
          <w:rFonts w:hint="eastAsia" w:asciiTheme="minorEastAsia" w:hAnsiTheme="minorEastAsia" w:eastAsiaTheme="minorEastAsia" w:cstheme="minorEastAsia"/>
          <w:sz w:val="22"/>
          <w:szCs w:val="22"/>
        </w:rPr>
        <w:t>7</w:t>
      </w:r>
      <w:bookmarkStart w:id="494" w:name="_Toc337558768"/>
      <w:bookmarkStart w:id="495" w:name="_Toc296346567"/>
      <w:bookmarkStart w:id="496" w:name="_Toc296503066"/>
      <w:r>
        <w:rPr>
          <w:rFonts w:hint="eastAsia" w:asciiTheme="minorEastAsia" w:hAnsiTheme="minorEastAsia" w:eastAsiaTheme="minorEastAsia" w:cstheme="minorEastAsia"/>
          <w:sz w:val="22"/>
          <w:szCs w:val="22"/>
        </w:rPr>
        <w:t>.1施工组织设计</w:t>
      </w:r>
      <w:bookmarkEnd w:id="492"/>
      <w:bookmarkEnd w:id="493"/>
    </w:p>
    <w:bookmarkEnd w:id="494"/>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7.1.1 施工组织设计的内容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施工组织设计应包含以下内容：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（1）施工方案； </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（2）施工现场平面布置图；</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（3）施工进度计划和保证措施； </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（4）劳动力及材料供应计划；</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（5）施工机械设备的选用；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（6）质量保证体系及措施；</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（7）安全生产、文明施工措施；</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（8）环境保护、成本控制措施；</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（9）合同当事人约定的其他内容。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7.1.2 施工组织设计的提交和修改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施工进度计划的编制和修改按照第7.2款〔施工进度计划〕执行。</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497" w:name="_Toc532377230"/>
      <w:bookmarkStart w:id="498" w:name="_Toc351203544"/>
      <w:r>
        <w:rPr>
          <w:rFonts w:hint="eastAsia" w:asciiTheme="minorEastAsia" w:hAnsiTheme="minorEastAsia" w:eastAsiaTheme="minorEastAsia" w:cstheme="minorEastAsia"/>
          <w:sz w:val="22"/>
          <w:szCs w:val="22"/>
        </w:rPr>
        <w:t>7</w:t>
      </w:r>
      <w:bookmarkStart w:id="499" w:name="_Toc337558769"/>
      <w:r>
        <w:rPr>
          <w:rFonts w:hint="eastAsia" w:asciiTheme="minorEastAsia" w:hAnsiTheme="minorEastAsia" w:eastAsiaTheme="minorEastAsia" w:cstheme="minorEastAsia"/>
          <w:sz w:val="22"/>
          <w:szCs w:val="22"/>
        </w:rPr>
        <w:t>.2 施工进度计划</w:t>
      </w:r>
      <w:bookmarkEnd w:id="497"/>
      <w:bookmarkEnd w:id="498"/>
    </w:p>
    <w:bookmarkEnd w:id="499"/>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7.2.1 施工进度计划的编制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7.2.2 施工进度计划的修订</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00" w:name="_Toc532377231"/>
      <w:bookmarkStart w:id="501" w:name="_Toc351203545"/>
      <w:r>
        <w:rPr>
          <w:rFonts w:hint="eastAsia" w:asciiTheme="minorEastAsia" w:hAnsiTheme="minorEastAsia" w:eastAsiaTheme="minorEastAsia" w:cstheme="minorEastAsia"/>
          <w:sz w:val="22"/>
          <w:szCs w:val="22"/>
        </w:rPr>
        <w:t>7</w:t>
      </w:r>
      <w:bookmarkStart w:id="502" w:name="_Toc337558770"/>
      <w:r>
        <w:rPr>
          <w:rFonts w:hint="eastAsia" w:asciiTheme="minorEastAsia" w:hAnsiTheme="minorEastAsia" w:eastAsiaTheme="minorEastAsia" w:cstheme="minorEastAsia"/>
          <w:sz w:val="22"/>
          <w:szCs w:val="22"/>
        </w:rPr>
        <w:t>.3 开工</w:t>
      </w:r>
      <w:bookmarkEnd w:id="500"/>
      <w:bookmarkEnd w:id="501"/>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7.3.1 开工准备</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除专用合同条款另有约定外，合同当事人应按约定完成开工准备工作。</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7.3.2 开工通知</w:t>
      </w:r>
    </w:p>
    <w:bookmarkEnd w:id="502"/>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03" w:name="_Toc532377232"/>
      <w:bookmarkStart w:id="504" w:name="_Toc351203546"/>
      <w:r>
        <w:rPr>
          <w:rFonts w:hint="eastAsia" w:asciiTheme="minorEastAsia" w:hAnsiTheme="minorEastAsia" w:eastAsiaTheme="minorEastAsia" w:cstheme="minorEastAsia"/>
          <w:sz w:val="22"/>
          <w:szCs w:val="22"/>
        </w:rPr>
        <w:t>7.4测量放线</w:t>
      </w:r>
      <w:bookmarkEnd w:id="503"/>
      <w:bookmarkEnd w:id="504"/>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施工过程中对施工现场内水准点等测量标志物的保护工作由承包人负责。</w:t>
      </w:r>
      <w:bookmarkStart w:id="505" w:name="_Toc351203547"/>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06" w:name="_Toc532377233"/>
      <w:r>
        <w:rPr>
          <w:rFonts w:hint="eastAsia" w:asciiTheme="minorEastAsia" w:hAnsiTheme="minorEastAsia" w:eastAsiaTheme="minorEastAsia" w:cstheme="minorEastAsia"/>
          <w:sz w:val="22"/>
          <w:szCs w:val="22"/>
        </w:rPr>
        <w:t>7</w:t>
      </w:r>
      <w:bookmarkStart w:id="507" w:name="_Toc337558772"/>
      <w:bookmarkStart w:id="508" w:name="_Toc296503073"/>
      <w:bookmarkStart w:id="509" w:name="_Toc296346574"/>
      <w:bookmarkEnd w:id="495"/>
      <w:bookmarkEnd w:id="496"/>
      <w:r>
        <w:rPr>
          <w:rFonts w:hint="eastAsia" w:asciiTheme="minorEastAsia" w:hAnsiTheme="minorEastAsia" w:eastAsiaTheme="minorEastAsia" w:cstheme="minorEastAsia"/>
          <w:sz w:val="22"/>
          <w:szCs w:val="22"/>
        </w:rPr>
        <w:t>.5 工期延误</w:t>
      </w:r>
      <w:bookmarkEnd w:id="505"/>
      <w:bookmarkEnd w:id="506"/>
    </w:p>
    <w:bookmarkEnd w:id="507"/>
    <w:bookmarkEnd w:id="508"/>
    <w:bookmarkEnd w:id="509"/>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7.5.1 因发包人原因导致工期延误</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在合同履行过程中，因下列情况导致工期延误和（或）费用增加的，由发包人承担由此延误的工期和（或）增加的费用，且发包人应支付承包人合理的利润： </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（1）发包人未能按合同约定提供图纸或所提供图纸不符合合同约定的；</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（2）发包人未能按合同约定提供施工现场、施工条件、基础资料、许可、批准等开工条件的；</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（3）发包人提供的测量基准点、基准线和水准点及其书面资料存在错误或疏漏的；</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（4）发包人未能在计划开工日期之日起7天内同意下达开工通知的；</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（5）发包人未能按合同约定日期支付工程预付款、进度款或竣工结算款的；</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（6）监理人未按合同约定发出指示、批准等文件的；</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（7）专用合同条款中约定的其他情形。</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7.5.2 因承包人原因导致工期延误</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bookmarkStart w:id="510" w:name="_Toc296503076"/>
      <w:bookmarkStart w:id="511" w:name="_Toc296346577"/>
      <w:r>
        <w:rPr>
          <w:rFonts w:hint="eastAsia" w:asciiTheme="minorEastAsia" w:hAnsiTheme="minorEastAsia" w:eastAsiaTheme="minorEastAsia" w:cstheme="minorEastAsia"/>
          <w:kern w:val="0"/>
          <w:sz w:val="22"/>
          <w:szCs w:val="22"/>
        </w:rPr>
        <w:t>因</w:t>
      </w:r>
      <w:bookmarkEnd w:id="510"/>
      <w:bookmarkEnd w:id="511"/>
      <w:r>
        <w:rPr>
          <w:rFonts w:hint="eastAsia" w:asciiTheme="minorEastAsia" w:hAnsiTheme="minorEastAsia" w:eastAsiaTheme="minorEastAsia" w:cstheme="minorEastAsia"/>
          <w:kern w:val="0"/>
          <w:sz w:val="22"/>
          <w:szCs w:val="22"/>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12" w:name="_Toc351203548"/>
      <w:bookmarkStart w:id="513" w:name="_Toc532377234"/>
      <w:r>
        <w:rPr>
          <w:rFonts w:hint="eastAsia" w:asciiTheme="minorEastAsia" w:hAnsiTheme="minorEastAsia" w:eastAsiaTheme="minorEastAsia" w:cstheme="minorEastAsia"/>
          <w:sz w:val="22"/>
          <w:szCs w:val="22"/>
        </w:rPr>
        <w:t>7</w:t>
      </w:r>
      <w:bookmarkStart w:id="514" w:name="_Toc296503074"/>
      <w:bookmarkStart w:id="515" w:name="_Toc296346575"/>
      <w:bookmarkStart w:id="516" w:name="_Toc337558773"/>
      <w:bookmarkStart w:id="517" w:name="_Toc296346578"/>
      <w:bookmarkStart w:id="518" w:name="_Toc296503077"/>
      <w:r>
        <w:rPr>
          <w:rFonts w:hint="eastAsia" w:asciiTheme="minorEastAsia" w:hAnsiTheme="minorEastAsia" w:eastAsiaTheme="minorEastAsia" w:cstheme="minorEastAsia"/>
          <w:sz w:val="22"/>
          <w:szCs w:val="22"/>
        </w:rPr>
        <w:t>.6 不利物质条件</w:t>
      </w:r>
      <w:bookmarkEnd w:id="512"/>
      <w:bookmarkEnd w:id="513"/>
    </w:p>
    <w:bookmarkEnd w:id="514"/>
    <w:bookmarkEnd w:id="515"/>
    <w:bookmarkEnd w:id="516"/>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19" w:name="_Toc351203549"/>
      <w:bookmarkStart w:id="520" w:name="_Toc532377235"/>
      <w:r>
        <w:rPr>
          <w:rFonts w:hint="eastAsia" w:asciiTheme="minorEastAsia" w:hAnsiTheme="minorEastAsia" w:eastAsiaTheme="minorEastAsia" w:cstheme="minorEastAsia"/>
          <w:sz w:val="22"/>
          <w:szCs w:val="22"/>
        </w:rPr>
        <w:t>7</w:t>
      </w:r>
      <w:bookmarkStart w:id="521" w:name="_Toc296346576"/>
      <w:bookmarkStart w:id="522" w:name="_Toc296503075"/>
      <w:bookmarkStart w:id="523" w:name="_Toc337558774"/>
      <w:r>
        <w:rPr>
          <w:rFonts w:hint="eastAsia" w:asciiTheme="minorEastAsia" w:hAnsiTheme="minorEastAsia" w:eastAsiaTheme="minorEastAsia" w:cstheme="minorEastAsia"/>
          <w:sz w:val="22"/>
          <w:szCs w:val="22"/>
        </w:rPr>
        <w:t>.7 异常恶劣的气候条件</w:t>
      </w:r>
      <w:bookmarkEnd w:id="519"/>
      <w:bookmarkEnd w:id="520"/>
    </w:p>
    <w:bookmarkEnd w:id="521"/>
    <w:bookmarkEnd w:id="522"/>
    <w:bookmarkEnd w:id="523"/>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524" w:name="_Toc351203550"/>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25" w:name="_Toc532377236"/>
      <w:r>
        <w:rPr>
          <w:rFonts w:hint="eastAsia" w:asciiTheme="minorEastAsia" w:hAnsiTheme="minorEastAsia" w:eastAsiaTheme="minorEastAsia" w:cstheme="minorEastAsia"/>
          <w:sz w:val="22"/>
          <w:szCs w:val="22"/>
        </w:rPr>
        <w:t>7</w:t>
      </w:r>
      <w:bookmarkStart w:id="526" w:name="_Toc337558775"/>
      <w:r>
        <w:rPr>
          <w:rFonts w:hint="eastAsia" w:asciiTheme="minorEastAsia" w:hAnsiTheme="minorEastAsia" w:eastAsiaTheme="minorEastAsia" w:cstheme="minorEastAsia"/>
          <w:sz w:val="22"/>
          <w:szCs w:val="22"/>
        </w:rPr>
        <w:t>.8 暂停施工</w:t>
      </w:r>
      <w:bookmarkEnd w:id="524"/>
      <w:bookmarkEnd w:id="525"/>
    </w:p>
    <w:bookmarkEnd w:id="517"/>
    <w:bookmarkEnd w:id="518"/>
    <w:bookmarkEnd w:id="526"/>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7.8.1发包人原因引起的暂停施工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因发包人原因引起暂停施工的，监理人经发包人同意后，应及时下达暂停施工指示。情况紧急且监理人未及时下达暂停施工指示的，按照第7.8.4项〔紧急情况下的暂停施工〕执行。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因发包人原因引起的暂停施工，发包人应承担由此增加的费用和（或）延误的工期，并支付承包人合理的利润。</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7.8.2 承包人原因引起的暂停施工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7.8.3 指示暂停施工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监理人认为有必要时，并经发包人批准后，可向承包人作出暂停施工的指示，承包人应按监理人指示暂停施工。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7.8.4 紧急情况下的暂停施工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7.8.5 暂停施工后的复工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承包人无故拖延和拒绝复工的，承包人承担由此增加的费用和（或）延误的工期；因发包人原因无法按时复工的，按照第7.5.1项〔因发包人原因导致工期延误〕约定办理。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7.8.6 暂停施工持续56天以上</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7.8.7 暂停施工期间的工程照管</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暂停施工期间，承包人应负责妥善照管工程并提供安全保障，由此增加的费用由责任方承担。</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7.8.8 暂停施工的措施</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暂停施工期间，发包人和承包人均应采取必要的措施确保工程质量及安全，防止因暂停施工扩大损失。</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27" w:name="_Toc532377237"/>
      <w:bookmarkStart w:id="528" w:name="_Toc351203551"/>
      <w:r>
        <w:rPr>
          <w:rFonts w:hint="eastAsia" w:asciiTheme="minorEastAsia" w:hAnsiTheme="minorEastAsia" w:eastAsiaTheme="minorEastAsia" w:cstheme="minorEastAsia"/>
          <w:sz w:val="22"/>
          <w:szCs w:val="22"/>
        </w:rPr>
        <w:t>7.9提前竣工</w:t>
      </w:r>
      <w:bookmarkEnd w:id="527"/>
      <w:bookmarkEnd w:id="528"/>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7.9.2 发包人要求承包人提前竣工，或承包人提出提前竣工的建议能够给发包人带来效益的，合同当事人可以在专用合同条款中约定提前竣工的奖励。</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529" w:name="_Toc351203552"/>
      <w:bookmarkStart w:id="530" w:name="_Toc532375594"/>
      <w:bookmarkStart w:id="531" w:name="_Toc532377238"/>
      <w:r>
        <w:rPr>
          <w:rFonts w:hint="eastAsia" w:asciiTheme="minorEastAsia" w:hAnsiTheme="minorEastAsia" w:eastAsiaTheme="minorEastAsia" w:cstheme="minorEastAsia"/>
          <w:b/>
          <w:bCs/>
          <w:sz w:val="22"/>
          <w:szCs w:val="22"/>
        </w:rPr>
        <w:t>8</w:t>
      </w:r>
      <w:bookmarkStart w:id="532" w:name="_Toc337558776"/>
      <w:bookmarkStart w:id="533" w:name="_Toc296503058"/>
      <w:bookmarkStart w:id="534" w:name="_Toc296346559"/>
      <w:r>
        <w:rPr>
          <w:rFonts w:hint="eastAsia" w:asciiTheme="minorEastAsia" w:hAnsiTheme="minorEastAsia" w:eastAsiaTheme="minorEastAsia" w:cstheme="minorEastAsia"/>
          <w:b/>
          <w:bCs/>
          <w:sz w:val="22"/>
          <w:szCs w:val="22"/>
        </w:rPr>
        <w:t>. 材料与设备</w:t>
      </w:r>
      <w:bookmarkEnd w:id="529"/>
      <w:bookmarkEnd w:id="530"/>
      <w:bookmarkEnd w:id="531"/>
    </w:p>
    <w:bookmarkEnd w:id="532"/>
    <w:bookmarkEnd w:id="533"/>
    <w:bookmarkEnd w:id="534"/>
    <w:p>
      <w:pPr>
        <w:pStyle w:val="7"/>
        <w:spacing w:before="0" w:after="0" w:line="420" w:lineRule="exact"/>
        <w:ind w:firstLine="442" w:firstLineChars="200"/>
        <w:rPr>
          <w:rFonts w:asciiTheme="minorEastAsia" w:hAnsiTheme="minorEastAsia" w:eastAsiaTheme="minorEastAsia" w:cstheme="minorEastAsia"/>
          <w:sz w:val="22"/>
          <w:szCs w:val="22"/>
        </w:rPr>
      </w:pPr>
      <w:bookmarkStart w:id="535" w:name="_Toc351203553"/>
      <w:bookmarkStart w:id="536" w:name="_Toc532377239"/>
      <w:r>
        <w:rPr>
          <w:rFonts w:hint="eastAsia" w:asciiTheme="minorEastAsia" w:hAnsiTheme="minorEastAsia" w:eastAsiaTheme="minorEastAsia" w:cstheme="minorEastAsia"/>
          <w:sz w:val="22"/>
          <w:szCs w:val="22"/>
        </w:rPr>
        <w:t>8</w:t>
      </w:r>
      <w:bookmarkStart w:id="537" w:name="_Toc296346560"/>
      <w:bookmarkStart w:id="538" w:name="_Toc296503059"/>
      <w:bookmarkStart w:id="539" w:name="_Toc337558777"/>
      <w:bookmarkStart w:id="540" w:name="_Toc468936960"/>
      <w:r>
        <w:rPr>
          <w:rFonts w:hint="eastAsia" w:asciiTheme="minorEastAsia" w:hAnsiTheme="minorEastAsia" w:eastAsiaTheme="minorEastAsia" w:cstheme="minorEastAsia"/>
          <w:sz w:val="22"/>
          <w:szCs w:val="22"/>
        </w:rPr>
        <w:t>.1发包人供应材料与工程设备</w:t>
      </w:r>
      <w:bookmarkEnd w:id="535"/>
      <w:bookmarkEnd w:id="536"/>
    </w:p>
    <w:bookmarkEnd w:id="537"/>
    <w:bookmarkEnd w:id="538"/>
    <w:bookmarkEnd w:id="539"/>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41" w:name="_Toc532377240"/>
      <w:r>
        <w:rPr>
          <w:rFonts w:hint="eastAsia" w:asciiTheme="minorEastAsia" w:hAnsiTheme="minorEastAsia" w:eastAsiaTheme="minorEastAsia" w:cstheme="minorEastAsia"/>
          <w:sz w:val="22"/>
          <w:szCs w:val="22"/>
        </w:rPr>
        <w:t>8.2承包人采购材料与工程设备</w:t>
      </w:r>
      <w:bookmarkEnd w:id="541"/>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42" w:name="_Toc351203555"/>
      <w:bookmarkStart w:id="543" w:name="_Toc532377241"/>
      <w:r>
        <w:rPr>
          <w:rFonts w:hint="eastAsia" w:asciiTheme="minorEastAsia" w:hAnsiTheme="minorEastAsia" w:eastAsiaTheme="minorEastAsia" w:cstheme="minorEastAsia"/>
          <w:sz w:val="22"/>
          <w:szCs w:val="22"/>
        </w:rPr>
        <w:t>8</w:t>
      </w:r>
      <w:bookmarkStart w:id="544" w:name="_Toc337558779"/>
      <w:bookmarkStart w:id="545" w:name="_Toc296503061"/>
      <w:bookmarkStart w:id="546" w:name="_Toc296346562"/>
      <w:r>
        <w:rPr>
          <w:rFonts w:hint="eastAsia" w:asciiTheme="minorEastAsia" w:hAnsiTheme="minorEastAsia" w:eastAsiaTheme="minorEastAsia" w:cstheme="minorEastAsia"/>
          <w:sz w:val="22"/>
          <w:szCs w:val="22"/>
        </w:rPr>
        <w:t>.3材料与工程设备的接收与拒收</w:t>
      </w:r>
      <w:bookmarkEnd w:id="542"/>
      <w:bookmarkEnd w:id="543"/>
    </w:p>
    <w:bookmarkEnd w:id="544"/>
    <w:bookmarkEnd w:id="545"/>
    <w:bookmarkEnd w:id="546"/>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8.3.2 承包人采购的材料和工程设备，应保证产品质量合格，承包人应在材料和工程设备到货前24小时通知监理人检验。承</w:t>
      </w:r>
      <w:bookmarkStart w:id="547" w:name="_Toc250655469"/>
      <w:r>
        <w:rPr>
          <w:rFonts w:hint="eastAsia" w:asciiTheme="minorEastAsia" w:hAnsiTheme="minorEastAsia" w:eastAsiaTheme="minorEastAsia" w:cstheme="minorEastAsia"/>
          <w:kern w:val="0"/>
          <w:sz w:val="22"/>
          <w:szCs w:val="22"/>
        </w:rPr>
        <w:t>包人进行永久设备、材料的制造和生产的，应符合相关质量标准，并向监理人提交材料的样本以及有关资料，并应在使用该材料或工程设备之前获得监理人同意。</w:t>
      </w:r>
    </w:p>
    <w:bookmarkEnd w:id="547"/>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48" w:name="_Toc351203556"/>
      <w:bookmarkStart w:id="549" w:name="_Toc532377242"/>
      <w:r>
        <w:rPr>
          <w:rFonts w:hint="eastAsia" w:asciiTheme="minorEastAsia" w:hAnsiTheme="minorEastAsia" w:eastAsiaTheme="minorEastAsia" w:cstheme="minorEastAsia"/>
          <w:sz w:val="22"/>
          <w:szCs w:val="22"/>
        </w:rPr>
        <w:t>8</w:t>
      </w:r>
      <w:bookmarkStart w:id="550" w:name="_Toc296346563"/>
      <w:bookmarkStart w:id="551" w:name="_Toc337558780"/>
      <w:bookmarkStart w:id="552" w:name="_Toc296503062"/>
      <w:r>
        <w:rPr>
          <w:rFonts w:hint="eastAsia" w:asciiTheme="minorEastAsia" w:hAnsiTheme="minorEastAsia" w:eastAsiaTheme="minorEastAsia" w:cstheme="minorEastAsia"/>
          <w:sz w:val="22"/>
          <w:szCs w:val="22"/>
        </w:rPr>
        <w:t>.4材料与工程设备的保管与使用</w:t>
      </w:r>
      <w:bookmarkEnd w:id="548"/>
      <w:bookmarkEnd w:id="549"/>
    </w:p>
    <w:bookmarkEnd w:id="550"/>
    <w:bookmarkEnd w:id="551"/>
    <w:bookmarkEnd w:id="552"/>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8.4.1 发包人供应材料与工程设备的保管与使用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发包人供应的材料和工程设备使用前，由承包人负责检验，检验费用由发包人承担，不合格的不得使用。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8.4.2 承包人采购材料与工程设备的保管与使用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发包人或监理人发现承包人使用不符合设计或有关标准要求的材料和工程设备时，有权要求承包人进行修复、拆除或重新采购，由此增加的费用和（或）延误的工期，由承包人承担。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53" w:name="_Toc532377243"/>
      <w:bookmarkStart w:id="554" w:name="_Toc351203557"/>
      <w:r>
        <w:rPr>
          <w:rFonts w:hint="eastAsia" w:asciiTheme="minorEastAsia" w:hAnsiTheme="minorEastAsia" w:eastAsiaTheme="minorEastAsia" w:cstheme="minorEastAsia"/>
          <w:sz w:val="22"/>
          <w:szCs w:val="22"/>
        </w:rPr>
        <w:t>8.5禁止使用不合格的材料和工程设备</w:t>
      </w:r>
      <w:bookmarkEnd w:id="553"/>
      <w:bookmarkEnd w:id="554"/>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8.5.2 监理人发现承包人使用了不合格的材料和工程设备，承包人应按照监理人的指示立即改正，并禁止在工程中继续使用不合格的材料和工程设备。</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8.5.3 发包人提供的材料或工程设备不符合合同要求的，承包人有权拒绝，并可要求发包人更换，由此增加的费用和（或）延误的工期由发包人承担，并支付承包人合理的利润。</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55" w:name="_Toc532377244"/>
      <w:bookmarkStart w:id="556" w:name="_Toc351203558"/>
      <w:r>
        <w:rPr>
          <w:rFonts w:hint="eastAsia" w:asciiTheme="minorEastAsia" w:hAnsiTheme="minorEastAsia" w:eastAsiaTheme="minorEastAsia" w:cstheme="minorEastAsia"/>
          <w:sz w:val="22"/>
          <w:szCs w:val="22"/>
        </w:rPr>
        <w:t>8.6 样品</w:t>
      </w:r>
      <w:bookmarkEnd w:id="555"/>
      <w:bookmarkEnd w:id="556"/>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8.6.1</w:t>
      </w:r>
      <w:r>
        <w:rPr>
          <w:rFonts w:hint="eastAsia" w:asciiTheme="minorEastAsia" w:hAnsiTheme="minorEastAsia" w:eastAsiaTheme="minorEastAsia" w:cstheme="minorEastAsia"/>
          <w:kern w:val="0"/>
          <w:sz w:val="22"/>
          <w:szCs w:val="22"/>
        </w:rPr>
        <w:tab/>
      </w:r>
      <w:r>
        <w:rPr>
          <w:rFonts w:hint="eastAsia" w:asciiTheme="minorEastAsia" w:hAnsiTheme="minorEastAsia" w:eastAsiaTheme="minorEastAsia" w:cstheme="minorEastAsia"/>
          <w:kern w:val="0"/>
          <w:sz w:val="22"/>
          <w:szCs w:val="22"/>
        </w:rPr>
        <w:t>样品的报送与封存</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需要承包人报送样品的材料或工程设备，样品的种类、名称、规格、数量等要求均应在专用合同条款中约定。样品的报送程序如下：</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8.6.2 样品的保管</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经批准的样品应由监理人负责封存于现场，承包人应在现场为保存样品提供适当和固定的场所并保持适当和良好的存储环境条件。</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57" w:name="_Toc351203559"/>
      <w:bookmarkStart w:id="558" w:name="_Toc532377245"/>
      <w:r>
        <w:rPr>
          <w:rFonts w:hint="eastAsia" w:asciiTheme="minorEastAsia" w:hAnsiTheme="minorEastAsia" w:eastAsiaTheme="minorEastAsia" w:cstheme="minorEastAsia"/>
          <w:sz w:val="22"/>
          <w:szCs w:val="22"/>
        </w:rPr>
        <w:t>8.7材料与工程设备的替代</w:t>
      </w:r>
      <w:bookmarkEnd w:id="557"/>
      <w:bookmarkEnd w:id="558"/>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8.7.1 出现下列情况需要使用替代材料和工程设备的，承包人应按照第8.7.2项约定的程序执行：</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（1）基准日期后生效的法律规定禁止使用的；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（2）发包人要求使用替代品的；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（3）因其他原因必须使用替代品的。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8.7.2 承包人应在使用替代材料和工程设备28天前书面通知监理人，并附下列文件：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（1）被替代的材料和工程设备的名称、数量、规格、型号、品牌、性能、价格及其他相关资料；</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（2）替代品的名称、数量、规格、型号、品牌、性能、价格及其他相关资料；</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（3）替代品与被替代产品之间的差异以及使用替代品可能对工程产生的影响；</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（4）替代品与被替代产品的价格差异；</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（5）使用替代品的理由和原因说明；</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（6）监理人要求的其他文件。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监理人应在收到通知后14天内向承包人发出经发包人签认的书面指示；监理人逾期发出书面指示的，视为发包人和监理人同意使用替代品。</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59" w:name="_Toc532377246"/>
      <w:bookmarkStart w:id="560" w:name="_Toc351203560"/>
      <w:r>
        <w:rPr>
          <w:rFonts w:hint="eastAsia" w:asciiTheme="minorEastAsia" w:hAnsiTheme="minorEastAsia" w:eastAsiaTheme="minorEastAsia" w:cstheme="minorEastAsia"/>
          <w:sz w:val="22"/>
          <w:szCs w:val="22"/>
        </w:rPr>
        <w:t>8.8施工设备和临时设施</w:t>
      </w:r>
      <w:bookmarkEnd w:id="559"/>
      <w:bookmarkEnd w:id="560"/>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8.8.1 承包人提供的施工设备和临时设施</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除专用合同条款另有约定外，承包人应自行承担修建临时设施的费用，需要临时占地的，应由发包人办理申请手续并承担相应费用。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8.8.2发包人提供的施工设备和临时设施</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发包人提供的施工设备或临时设施在专用合同条款中约定。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8.8.3要求承包人增加或更换施工设备</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61" w:name="_Toc351203561"/>
      <w:bookmarkStart w:id="562" w:name="_Toc532377247"/>
      <w:r>
        <w:rPr>
          <w:rFonts w:hint="eastAsia" w:asciiTheme="minorEastAsia" w:hAnsiTheme="minorEastAsia" w:eastAsiaTheme="minorEastAsia" w:cstheme="minorEastAsia"/>
          <w:sz w:val="22"/>
          <w:szCs w:val="22"/>
        </w:rPr>
        <w:t>8</w:t>
      </w:r>
      <w:bookmarkStart w:id="563" w:name="_Toc337558781"/>
      <w:bookmarkStart w:id="564" w:name="_Toc296346564"/>
      <w:bookmarkStart w:id="565" w:name="_Toc296503063"/>
      <w:r>
        <w:rPr>
          <w:rFonts w:hint="eastAsia" w:asciiTheme="minorEastAsia" w:hAnsiTheme="minorEastAsia" w:eastAsiaTheme="minorEastAsia" w:cstheme="minorEastAsia"/>
          <w:sz w:val="22"/>
          <w:szCs w:val="22"/>
        </w:rPr>
        <w:t>.9材料与设备专用</w:t>
      </w:r>
      <w:bookmarkEnd w:id="561"/>
      <w:r>
        <w:rPr>
          <w:rFonts w:hint="eastAsia" w:asciiTheme="minorEastAsia" w:hAnsiTheme="minorEastAsia" w:eastAsiaTheme="minorEastAsia" w:cstheme="minorEastAsia"/>
          <w:sz w:val="22"/>
          <w:szCs w:val="22"/>
        </w:rPr>
        <w:t>要求</w:t>
      </w:r>
      <w:bookmarkEnd w:id="562"/>
    </w:p>
    <w:bookmarkEnd w:id="563"/>
    <w:bookmarkEnd w:id="564"/>
    <w:bookmarkEnd w:id="565"/>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承包人运入施工现场的材料、工程设备、施工设备以及在施工场地建设的临时设施，包括备品备件、安装工具与资料，必须专用于工程。未经发包人批准，承包人不得运出施工现场或挪作他用；</w:t>
      </w:r>
      <w:bookmarkEnd w:id="540"/>
      <w:r>
        <w:rPr>
          <w:rFonts w:hint="eastAsia" w:asciiTheme="minorEastAsia" w:hAnsiTheme="minorEastAsia" w:eastAsiaTheme="minorEastAsia" w:cstheme="minorEastAsia"/>
          <w:kern w:val="0"/>
          <w:sz w:val="22"/>
          <w:szCs w:val="22"/>
        </w:rPr>
        <w:t>经发包人批准，承包人可以根据施工进度计划撤走闲置的施工设备和其他物品。</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566" w:name="_Toc532377248"/>
      <w:bookmarkStart w:id="567" w:name="_Toc532375595"/>
      <w:bookmarkStart w:id="568" w:name="_Toc351203562"/>
      <w:r>
        <w:rPr>
          <w:rFonts w:hint="eastAsia" w:asciiTheme="minorEastAsia" w:hAnsiTheme="minorEastAsia" w:eastAsiaTheme="minorEastAsia" w:cstheme="minorEastAsia"/>
          <w:b/>
          <w:bCs/>
          <w:sz w:val="22"/>
          <w:szCs w:val="22"/>
        </w:rPr>
        <w:t>9</w:t>
      </w:r>
      <w:bookmarkStart w:id="569" w:name="_Toc337558782"/>
      <w:bookmarkStart w:id="570" w:name="_Toc296346584"/>
      <w:bookmarkStart w:id="571" w:name="_Toc296503083"/>
      <w:r>
        <w:rPr>
          <w:rFonts w:hint="eastAsia" w:asciiTheme="minorEastAsia" w:hAnsiTheme="minorEastAsia" w:eastAsiaTheme="minorEastAsia" w:cstheme="minorEastAsia"/>
          <w:b/>
          <w:bCs/>
          <w:sz w:val="22"/>
          <w:szCs w:val="22"/>
        </w:rPr>
        <w:t>. 试验与检验</w:t>
      </w:r>
      <w:bookmarkEnd w:id="566"/>
      <w:bookmarkEnd w:id="567"/>
      <w:bookmarkEnd w:id="568"/>
    </w:p>
    <w:bookmarkEnd w:id="569"/>
    <w:p>
      <w:pPr>
        <w:pStyle w:val="7"/>
        <w:spacing w:before="0" w:after="0" w:line="420" w:lineRule="exact"/>
        <w:ind w:firstLine="442" w:firstLineChars="200"/>
        <w:rPr>
          <w:rFonts w:asciiTheme="minorEastAsia" w:hAnsiTheme="minorEastAsia" w:eastAsiaTheme="minorEastAsia" w:cstheme="minorEastAsia"/>
          <w:sz w:val="22"/>
          <w:szCs w:val="22"/>
        </w:rPr>
      </w:pPr>
      <w:bookmarkStart w:id="572" w:name="_Toc532377249"/>
      <w:bookmarkStart w:id="573" w:name="_Toc351203563"/>
      <w:r>
        <w:rPr>
          <w:rFonts w:hint="eastAsia" w:asciiTheme="minorEastAsia" w:hAnsiTheme="minorEastAsia" w:eastAsiaTheme="minorEastAsia" w:cstheme="minorEastAsia"/>
          <w:sz w:val="22"/>
          <w:szCs w:val="22"/>
        </w:rPr>
        <w:t>9</w:t>
      </w:r>
      <w:bookmarkStart w:id="574" w:name="_Toc337558783"/>
      <w:r>
        <w:rPr>
          <w:rFonts w:hint="eastAsia" w:asciiTheme="minorEastAsia" w:hAnsiTheme="minorEastAsia" w:eastAsiaTheme="minorEastAsia" w:cstheme="minorEastAsia"/>
          <w:sz w:val="22"/>
          <w:szCs w:val="22"/>
        </w:rPr>
        <w:t>.1试验设备与试验人员</w:t>
      </w:r>
      <w:bookmarkEnd w:id="572"/>
      <w:bookmarkEnd w:id="573"/>
    </w:p>
    <w:bookmarkEnd w:id="574"/>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9.1.2 承包人应按专用合同条款的约定提供试验设备、取样装置、试验场所和试验条件，并向监理人提交相应进场计划表。</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承包人配置的试验设备要符合相应试验规程的要求并经过具有资质的检测单位检测，且在正式使用该试验设备前，需要经过监理人与承包人共同校定。</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9.1.3 承包人应向监理人提交试验人员的名单及其岗位、资格等证明资料，试验人员必须能够熟练进行相应的检测试验，承包人对试验人员的试验程序和试验结果的正确性负责。</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75" w:name="_Toc532377250"/>
      <w:bookmarkStart w:id="576" w:name="_Toc351203564"/>
      <w:r>
        <w:rPr>
          <w:rFonts w:hint="eastAsia" w:asciiTheme="minorEastAsia" w:hAnsiTheme="minorEastAsia" w:eastAsiaTheme="minorEastAsia" w:cstheme="minorEastAsia"/>
          <w:sz w:val="22"/>
          <w:szCs w:val="22"/>
        </w:rPr>
        <w:t>9</w:t>
      </w:r>
      <w:bookmarkStart w:id="577" w:name="_Toc337558784"/>
      <w:r>
        <w:rPr>
          <w:rFonts w:hint="eastAsia" w:asciiTheme="minorEastAsia" w:hAnsiTheme="minorEastAsia" w:eastAsiaTheme="minorEastAsia" w:cstheme="minorEastAsia"/>
          <w:sz w:val="22"/>
          <w:szCs w:val="22"/>
        </w:rPr>
        <w:t>.2取样</w:t>
      </w:r>
      <w:bookmarkEnd w:id="575"/>
      <w:bookmarkEnd w:id="576"/>
    </w:p>
    <w:bookmarkEnd w:id="577"/>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试验属于自检性质的，承包人可以单独取样。试验属于监理人抽检性质的，可由监理人取样，也可由承包人的试验人员在监理人的监督下取样。</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78" w:name="_Toc351203565"/>
      <w:bookmarkStart w:id="579" w:name="_Toc532377251"/>
      <w:r>
        <w:rPr>
          <w:rFonts w:hint="eastAsia" w:asciiTheme="minorEastAsia" w:hAnsiTheme="minorEastAsia" w:eastAsiaTheme="minorEastAsia" w:cstheme="minorEastAsia"/>
          <w:sz w:val="22"/>
          <w:szCs w:val="22"/>
        </w:rPr>
        <w:t>9</w:t>
      </w:r>
      <w:bookmarkStart w:id="580" w:name="_Toc337558785"/>
      <w:r>
        <w:rPr>
          <w:rFonts w:hint="eastAsia" w:asciiTheme="minorEastAsia" w:hAnsiTheme="minorEastAsia" w:eastAsiaTheme="minorEastAsia" w:cstheme="minorEastAsia"/>
          <w:sz w:val="22"/>
          <w:szCs w:val="22"/>
        </w:rPr>
        <w:t>.3材料、工程设备和工程的试验和检验</w:t>
      </w:r>
      <w:bookmarkEnd w:id="578"/>
      <w:bookmarkEnd w:id="579"/>
    </w:p>
    <w:bookmarkEnd w:id="580"/>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81" w:name="_Toc532377252"/>
      <w:bookmarkStart w:id="582" w:name="_Toc351203566"/>
      <w:r>
        <w:rPr>
          <w:rFonts w:hint="eastAsia" w:asciiTheme="minorEastAsia" w:hAnsiTheme="minorEastAsia" w:eastAsiaTheme="minorEastAsia" w:cstheme="minorEastAsia"/>
          <w:sz w:val="22"/>
          <w:szCs w:val="22"/>
        </w:rPr>
        <w:t>9</w:t>
      </w:r>
      <w:bookmarkStart w:id="583" w:name="_Toc337558786"/>
      <w:r>
        <w:rPr>
          <w:rFonts w:hint="eastAsia" w:asciiTheme="minorEastAsia" w:hAnsiTheme="minorEastAsia" w:eastAsiaTheme="minorEastAsia" w:cstheme="minorEastAsia"/>
          <w:sz w:val="22"/>
          <w:szCs w:val="22"/>
        </w:rPr>
        <w:t>.4现场工艺试验</w:t>
      </w:r>
      <w:bookmarkEnd w:id="581"/>
      <w:bookmarkEnd w:id="582"/>
    </w:p>
    <w:bookmarkEnd w:id="583"/>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584" w:name="_Toc351203567"/>
      <w:bookmarkStart w:id="585" w:name="_Toc532377253"/>
      <w:bookmarkStart w:id="586" w:name="_Toc532375596"/>
      <w:r>
        <w:rPr>
          <w:rFonts w:hint="eastAsia" w:asciiTheme="minorEastAsia" w:hAnsiTheme="minorEastAsia" w:eastAsiaTheme="minorEastAsia" w:cstheme="minorEastAsia"/>
          <w:b/>
          <w:bCs/>
          <w:sz w:val="22"/>
          <w:szCs w:val="22"/>
        </w:rPr>
        <w:t>1</w:t>
      </w:r>
      <w:bookmarkStart w:id="587" w:name="_Toc337558787"/>
      <w:r>
        <w:rPr>
          <w:rFonts w:hint="eastAsia" w:asciiTheme="minorEastAsia" w:hAnsiTheme="minorEastAsia" w:eastAsiaTheme="minorEastAsia" w:cstheme="minorEastAsia"/>
          <w:b/>
          <w:bCs/>
          <w:sz w:val="22"/>
          <w:szCs w:val="22"/>
        </w:rPr>
        <w:t>0. 变更</w:t>
      </w:r>
      <w:bookmarkEnd w:id="570"/>
      <w:bookmarkEnd w:id="571"/>
      <w:bookmarkEnd w:id="584"/>
      <w:bookmarkEnd w:id="585"/>
      <w:bookmarkEnd w:id="586"/>
    </w:p>
    <w:bookmarkEnd w:id="587"/>
    <w:p>
      <w:pPr>
        <w:pStyle w:val="7"/>
        <w:spacing w:before="0" w:after="0" w:line="420" w:lineRule="exact"/>
        <w:ind w:firstLine="442" w:firstLineChars="200"/>
        <w:rPr>
          <w:rFonts w:asciiTheme="minorEastAsia" w:hAnsiTheme="minorEastAsia" w:eastAsiaTheme="minorEastAsia" w:cstheme="minorEastAsia"/>
          <w:sz w:val="22"/>
          <w:szCs w:val="22"/>
        </w:rPr>
      </w:pPr>
      <w:bookmarkStart w:id="588" w:name="_Toc351203568"/>
      <w:bookmarkStart w:id="589" w:name="_Toc532377254"/>
      <w:r>
        <w:rPr>
          <w:rFonts w:hint="eastAsia" w:asciiTheme="minorEastAsia" w:hAnsiTheme="minorEastAsia" w:eastAsiaTheme="minorEastAsia" w:cstheme="minorEastAsia"/>
          <w:sz w:val="22"/>
          <w:szCs w:val="22"/>
        </w:rPr>
        <w:t>1</w:t>
      </w:r>
      <w:bookmarkStart w:id="590" w:name="_Toc296346585"/>
      <w:bookmarkStart w:id="591" w:name="_Toc337558788"/>
      <w:bookmarkStart w:id="592" w:name="_Toc296503084"/>
      <w:r>
        <w:rPr>
          <w:rFonts w:hint="eastAsia" w:asciiTheme="minorEastAsia" w:hAnsiTheme="minorEastAsia" w:eastAsiaTheme="minorEastAsia" w:cstheme="minorEastAsia"/>
          <w:sz w:val="22"/>
          <w:szCs w:val="22"/>
        </w:rPr>
        <w:t>0.1变更的范围</w:t>
      </w:r>
      <w:bookmarkEnd w:id="588"/>
      <w:bookmarkEnd w:id="589"/>
    </w:p>
    <w:bookmarkEnd w:id="590"/>
    <w:bookmarkEnd w:id="591"/>
    <w:bookmarkEnd w:id="592"/>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除专用合同条款另有约定外，合同履行过程中发生以下情形的，应按照本条约定进行变更：</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（1）增加或减少合同中任何工作，或追加额外的工作；</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（2）取消合同中任何工作，但转由他人实施的工作除外；</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（3）改变合同中任何工作的质量标准或其他特性；</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（4）改变工程的基线、标高、位置和尺寸；</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（5）改变工程的时间安排或实施顺序。</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93" w:name="_Toc532377255"/>
      <w:r>
        <w:rPr>
          <w:rFonts w:hint="eastAsia" w:asciiTheme="minorEastAsia" w:hAnsiTheme="minorEastAsia" w:eastAsiaTheme="minorEastAsia" w:cstheme="minorEastAsia"/>
          <w:sz w:val="22"/>
          <w:szCs w:val="22"/>
        </w:rPr>
        <w:t>10.2变更权</w:t>
      </w:r>
      <w:bookmarkEnd w:id="593"/>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涉及设计变更的，应由设计人提供变更后的图纸和说明。如变更超过原设计标准或批准的建设规模时，发包人应及时办理规划、设计变更等审批手续。</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94" w:name="_Toc532377256"/>
      <w:r>
        <w:rPr>
          <w:rFonts w:hint="eastAsia" w:asciiTheme="minorEastAsia" w:hAnsiTheme="minorEastAsia" w:eastAsiaTheme="minorEastAsia" w:cstheme="minorEastAsia"/>
          <w:sz w:val="22"/>
          <w:szCs w:val="22"/>
        </w:rPr>
        <w:t>10.3变更程序</w:t>
      </w:r>
      <w:bookmarkEnd w:id="594"/>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10.3.1 发包人提出变更</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发包人提出变更的，应通过监理人向承包人发出变更指示，变更指示应说明计划变更的工程范围和变更的内容。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10.3.2 监理人提出变更建议</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10.3.3 变更执行</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595" w:name="_Toc351203571"/>
      <w:bookmarkStart w:id="596" w:name="_Toc532377257"/>
      <w:r>
        <w:rPr>
          <w:rFonts w:hint="eastAsia" w:asciiTheme="minorEastAsia" w:hAnsiTheme="minorEastAsia" w:eastAsiaTheme="minorEastAsia" w:cstheme="minorEastAsia"/>
          <w:sz w:val="22"/>
          <w:szCs w:val="22"/>
        </w:rPr>
        <w:t>1</w:t>
      </w:r>
      <w:bookmarkStart w:id="597" w:name="_Toc296346588"/>
      <w:bookmarkStart w:id="598" w:name="_Toc337558791"/>
      <w:bookmarkStart w:id="599" w:name="_Toc296503087"/>
      <w:r>
        <w:rPr>
          <w:rFonts w:hint="eastAsia" w:asciiTheme="minorEastAsia" w:hAnsiTheme="minorEastAsia" w:eastAsiaTheme="minorEastAsia" w:cstheme="minorEastAsia"/>
          <w:sz w:val="22"/>
          <w:szCs w:val="22"/>
        </w:rPr>
        <w:t>0.4变更估价</w:t>
      </w:r>
      <w:bookmarkEnd w:id="595"/>
      <w:bookmarkEnd w:id="596"/>
    </w:p>
    <w:bookmarkEnd w:id="597"/>
    <w:bookmarkEnd w:id="598"/>
    <w:bookmarkEnd w:id="599"/>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10.4.1 变更估价原则</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除专用合同条款另有约定外，变更估价按照本款约定处理：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（1）已标价工程量清单或预算书有相同项目的，按照相同项目单价认定；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（2）已标价工程量清单或预算书中无相同项目，但有类似项目的，参照类似项目的单价认定；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10.4.2 变更估价程序</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因变更引起的价格调整应计入最近一期的进度款中支付。</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00" w:name="_Toc351203572"/>
      <w:bookmarkStart w:id="601" w:name="_Toc532377258"/>
      <w:r>
        <w:rPr>
          <w:rFonts w:hint="eastAsia" w:asciiTheme="minorEastAsia" w:hAnsiTheme="minorEastAsia" w:eastAsiaTheme="minorEastAsia" w:cstheme="minorEastAsia"/>
          <w:sz w:val="22"/>
          <w:szCs w:val="22"/>
        </w:rPr>
        <w:t>1</w:t>
      </w:r>
      <w:bookmarkStart w:id="602" w:name="_Toc337558792"/>
      <w:bookmarkStart w:id="603" w:name="_Toc296503094"/>
      <w:bookmarkStart w:id="604" w:name="_Toc296346595"/>
      <w:r>
        <w:rPr>
          <w:rFonts w:hint="eastAsia" w:asciiTheme="minorEastAsia" w:hAnsiTheme="minorEastAsia" w:eastAsiaTheme="minorEastAsia" w:cstheme="minorEastAsia"/>
          <w:sz w:val="22"/>
          <w:szCs w:val="22"/>
        </w:rPr>
        <w:t>0.5承包人的合理化建议</w:t>
      </w:r>
      <w:bookmarkEnd w:id="600"/>
      <w:bookmarkEnd w:id="601"/>
    </w:p>
    <w:bookmarkEnd w:id="602"/>
    <w:bookmarkEnd w:id="603"/>
    <w:bookmarkEnd w:id="604"/>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承包人提出合理化建议的，应向监理人提交合理化建议说明，说明建议的内容和理由，以及实施该建议对合同价格和工期的影响。</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合理化建议降低了合同价格或者提高了工程经济效益的，发包人可对承包人给予奖励，奖励的方法和金额在专用合同条款中约定。</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05" w:name="_Toc532377259"/>
      <w:bookmarkStart w:id="606" w:name="_Toc351203573"/>
      <w:r>
        <w:rPr>
          <w:rFonts w:hint="eastAsia" w:asciiTheme="minorEastAsia" w:hAnsiTheme="minorEastAsia" w:eastAsiaTheme="minorEastAsia" w:cstheme="minorEastAsia"/>
          <w:sz w:val="22"/>
          <w:szCs w:val="22"/>
        </w:rPr>
        <w:t>1</w:t>
      </w:r>
      <w:bookmarkStart w:id="607" w:name="_Toc337558793"/>
      <w:r>
        <w:rPr>
          <w:rFonts w:hint="eastAsia" w:asciiTheme="minorEastAsia" w:hAnsiTheme="minorEastAsia" w:eastAsiaTheme="minorEastAsia" w:cstheme="minorEastAsia"/>
          <w:sz w:val="22"/>
          <w:szCs w:val="22"/>
        </w:rPr>
        <w:t>0.6变更引起的工期调整</w:t>
      </w:r>
      <w:bookmarkEnd w:id="605"/>
      <w:bookmarkEnd w:id="606"/>
      <w:bookmarkEnd w:id="607"/>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因变更引起工期变化的，合同当事人均可要求调整合同工期，由合同当事人按照第4.4款〔商定或确定〕并参考工程所在地的工期定额标准确定增减工期天数。</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08" w:name="_Toc532377260"/>
      <w:bookmarkStart w:id="609" w:name="_Toc351203574"/>
      <w:r>
        <w:rPr>
          <w:rFonts w:hint="eastAsia" w:asciiTheme="minorEastAsia" w:hAnsiTheme="minorEastAsia" w:eastAsiaTheme="minorEastAsia" w:cstheme="minorEastAsia"/>
          <w:sz w:val="22"/>
          <w:szCs w:val="22"/>
        </w:rPr>
        <w:t>10.7暂估价</w:t>
      </w:r>
      <w:bookmarkEnd w:id="608"/>
      <w:bookmarkEnd w:id="609"/>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暂估价专业分包工程、服务、材料和工程设备的明细由合同当事人在专用合同条款中约定。</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10.7.1 依法必须招标的暂估价项目</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对于依法必须招标的暂估价项目，采取以下第1种方式确定。合同当事人也可以在专用合同条款中选择其他招标方式。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第1种方式：对于依法必须招标的暂估价项目，由承包人招标，对该暂估价项目的确认和批准按照以下约定执行：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10.7.2不属于依法必须招标的暂估价项目</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除专用合同条款另有约定外，对于不属于依法必须招标的暂估价项目，采取以下第1种方式确定： </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第1种方式：对于不属于依法必须招标的暂估价项目，按本项约定确认和批准：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（2）发包人认为承包人确定的供应商、分包人无法满足工程质量或合同要求的，发包人可以要求承包人重新确定暂估价项目的供应商、分包人;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（3）承包人应当在签订暂估价合同后7天内，将暂估价合同副本报送发包人留存。</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第2种方式：承包人按照第10.7.1项〔依法必须招标的暂估价项目〕约定的第1种方式确定暂估价项目。</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第3种方式：承包人直接实施的暂估价项目</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承包人具备实施暂估价项目的资格和条件的，经发包人和承包人协商一致后，可由承包人自行实施暂估价项目，合同当事人可以在专用合同条款约定具体事项。</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10" w:name="_Toc532377261"/>
      <w:bookmarkStart w:id="611" w:name="_Toc351203575"/>
      <w:r>
        <w:rPr>
          <w:rFonts w:hint="eastAsia" w:asciiTheme="minorEastAsia" w:hAnsiTheme="minorEastAsia" w:eastAsiaTheme="minorEastAsia" w:cstheme="minorEastAsia"/>
          <w:sz w:val="22"/>
          <w:szCs w:val="22"/>
        </w:rPr>
        <w:t>1</w:t>
      </w:r>
      <w:bookmarkStart w:id="612" w:name="_Toc337558794"/>
      <w:bookmarkStart w:id="613" w:name="_Toc322522561"/>
      <w:bookmarkStart w:id="614" w:name="_Toc296503090"/>
      <w:bookmarkStart w:id="615" w:name="_Toc296346591"/>
      <w:r>
        <w:rPr>
          <w:rFonts w:hint="eastAsia" w:asciiTheme="minorEastAsia" w:hAnsiTheme="minorEastAsia" w:eastAsiaTheme="minorEastAsia" w:cstheme="minorEastAsia"/>
          <w:sz w:val="22"/>
          <w:szCs w:val="22"/>
        </w:rPr>
        <w:t>0.8暂列金额</w:t>
      </w:r>
      <w:bookmarkEnd w:id="610"/>
      <w:bookmarkEnd w:id="611"/>
    </w:p>
    <w:bookmarkEnd w:id="612"/>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暂列金额应按照发包人的要求使用，发包人的要求应通过监理人发出。合同当事人可以在专用合同条款中协商确定有关事项。</w:t>
      </w:r>
    </w:p>
    <w:bookmarkEnd w:id="613"/>
    <w:bookmarkEnd w:id="614"/>
    <w:bookmarkEnd w:id="615"/>
    <w:p>
      <w:pPr>
        <w:pStyle w:val="7"/>
        <w:spacing w:before="0" w:after="0" w:line="420" w:lineRule="exact"/>
        <w:ind w:firstLine="442" w:firstLineChars="200"/>
        <w:rPr>
          <w:rFonts w:asciiTheme="minorEastAsia" w:hAnsiTheme="minorEastAsia" w:eastAsiaTheme="minorEastAsia" w:cstheme="minorEastAsia"/>
          <w:sz w:val="22"/>
          <w:szCs w:val="22"/>
        </w:rPr>
      </w:pPr>
      <w:bookmarkStart w:id="616" w:name="_Toc351203576"/>
      <w:bookmarkStart w:id="617" w:name="_Toc532377262"/>
      <w:r>
        <w:rPr>
          <w:rFonts w:hint="eastAsia" w:asciiTheme="minorEastAsia" w:hAnsiTheme="minorEastAsia" w:eastAsiaTheme="minorEastAsia" w:cstheme="minorEastAsia"/>
          <w:sz w:val="22"/>
          <w:szCs w:val="22"/>
        </w:rPr>
        <w:t>1</w:t>
      </w:r>
      <w:bookmarkStart w:id="618" w:name="_Toc337558796"/>
      <w:bookmarkStart w:id="619" w:name="_Toc296503091"/>
      <w:bookmarkStart w:id="620" w:name="_Toc296346592"/>
      <w:r>
        <w:rPr>
          <w:rFonts w:hint="eastAsia" w:asciiTheme="minorEastAsia" w:hAnsiTheme="minorEastAsia" w:eastAsiaTheme="minorEastAsia" w:cstheme="minorEastAsia"/>
          <w:sz w:val="22"/>
          <w:szCs w:val="22"/>
        </w:rPr>
        <w:t>0.9计日工</w:t>
      </w:r>
      <w:bookmarkEnd w:id="616"/>
      <w:bookmarkEnd w:id="617"/>
      <w:bookmarkEnd w:id="618"/>
      <w:bookmarkEnd w:id="619"/>
      <w:bookmarkEnd w:id="620"/>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采用计日工计价的任何一项工作，承包人应在该项工作实施过程中，每天提交以下报表和有关凭证报送监理人审查：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（1）工作名称、内容和数量；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（2）投入该工作的所有人员的姓名、专业、工种、级别和耗用工时；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（3）投入该工作的材料类别和数量；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（4）投入该工作的施工设备型号、台数和耗用台时；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（5）其他有关资料和凭证。</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 计日工由承包人汇总后，列入最近一期进度付款申请单，由监理人审查并经发包人批准后列入进度付款。</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621" w:name="_Toc351203577"/>
      <w:bookmarkStart w:id="622" w:name="_Toc532377263"/>
      <w:bookmarkStart w:id="623" w:name="_Toc532375597"/>
      <w:r>
        <w:rPr>
          <w:rFonts w:hint="eastAsia" w:asciiTheme="minorEastAsia" w:hAnsiTheme="minorEastAsia" w:eastAsiaTheme="minorEastAsia" w:cstheme="minorEastAsia"/>
          <w:b/>
          <w:bCs/>
          <w:sz w:val="22"/>
          <w:szCs w:val="22"/>
        </w:rPr>
        <w:t>11. 价格调整</w:t>
      </w:r>
      <w:bookmarkEnd w:id="621"/>
      <w:bookmarkEnd w:id="622"/>
      <w:bookmarkEnd w:id="623"/>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24" w:name="_Toc351203578"/>
      <w:bookmarkStart w:id="625" w:name="_Toc532377264"/>
      <w:bookmarkStart w:id="626" w:name="_Toc337558797"/>
      <w:bookmarkStart w:id="627" w:name="_Toc296503092"/>
      <w:bookmarkStart w:id="628" w:name="_Toc296346593"/>
      <w:r>
        <w:rPr>
          <w:rFonts w:hint="eastAsia" w:asciiTheme="minorEastAsia" w:hAnsiTheme="minorEastAsia" w:eastAsiaTheme="minorEastAsia" w:cstheme="minorEastAsia"/>
          <w:sz w:val="22"/>
          <w:szCs w:val="22"/>
        </w:rPr>
        <w:t>11.1市场价格波动引起的调整</w:t>
      </w:r>
      <w:bookmarkEnd w:id="624"/>
      <w:bookmarkEnd w:id="625"/>
    </w:p>
    <w:bookmarkEnd w:id="626"/>
    <w:bookmarkEnd w:id="627"/>
    <w:bookmarkEnd w:id="628"/>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除专用合同条款另有约定外，市场价格波动超过合同当事人约定的范围，合同价格应当调整。合同当事人可以在专用合同条款中约定选择以下一种方式对合同价格进行调整：</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第1种方式：采用价格指数进行价格调整。</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（1）价格调整公式</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因人工、材料和设备等价格波动影响合同价格时，根据专用合同条款中约定的数据，按以下公式计算差额并调整合同价格：</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object>
          <v:shape id="_x0000_i1025" o:spt="75" type="#_x0000_t75" style="height:42.6pt;width:36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tabs>
          <w:tab w:val="left" w:pos="0"/>
          <w:tab w:val="left" w:pos="360"/>
          <w:tab w:val="left" w:pos="540"/>
        </w:tabs>
        <w:spacing w:line="420" w:lineRule="exact"/>
        <w:ind w:firstLine="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公式中：ΔP——需调整的价格差额；</w:t>
      </w:r>
    </w:p>
    <w:p>
      <w:pPr>
        <w:tabs>
          <w:tab w:val="left" w:pos="0"/>
          <w:tab w:val="left" w:pos="360"/>
          <w:tab w:val="left" w:pos="540"/>
        </w:tabs>
        <w:spacing w:line="420" w:lineRule="exact"/>
        <w:ind w:firstLine="1320" w:firstLineChars="6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object>
          <v:shape id="_x0000_i1026" o:spt="75" type="#_x0000_t75" style="height:18.6pt;width:18.6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Theme="minorEastAsia" w:hAnsiTheme="minorEastAsia" w:eastAsiaTheme="minorEastAsia" w:cstheme="minorEastAsia"/>
          <w:kern w:val="0"/>
          <w:sz w:val="22"/>
          <w:szCs w:val="22"/>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A——定值权重（即不调部分的权重）；</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object>
          <v:shape id="_x0000_i1027" o:spt="75" type="#_x0000_t75" style="height:21.6pt;width:100.8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Theme="minorEastAsia" w:hAnsiTheme="minorEastAsia" w:eastAsiaTheme="minorEastAsia" w:cstheme="minorEastAsia"/>
          <w:kern w:val="0"/>
          <w:sz w:val="22"/>
          <w:szCs w:val="22"/>
        </w:rPr>
        <w:t>——各可调因子的变值权重（即可调部分的权重），为各可调因子在签约合同价中所占的比例；</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object>
          <v:shape id="_x0000_i1028" o:spt="75" type="#_x0000_t75" style="height:21.6pt;width:102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asciiTheme="minorEastAsia" w:hAnsiTheme="minorEastAsia" w:eastAsiaTheme="minorEastAsia" w:cstheme="minorEastAsia"/>
          <w:kern w:val="0"/>
          <w:sz w:val="22"/>
          <w:szCs w:val="22"/>
        </w:rPr>
        <w:t>——各可调因子的现行价格指数，指约定的付款证书相关周期最后一天的前42天的各可调因子的价格指数；</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object>
          <v:shape id="_x0000_i1029" o:spt="75" type="#_x0000_t75" style="height:21.6pt;width:108.6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asciiTheme="minorEastAsia" w:hAnsiTheme="minorEastAsia" w:eastAsiaTheme="minorEastAsia" w:cstheme="minorEastAsia"/>
          <w:kern w:val="0"/>
          <w:sz w:val="22"/>
          <w:szCs w:val="22"/>
        </w:rPr>
        <w:t>——各可调因子的基本价格指数，指基准日期的各可调因子的价格指数。</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（2）暂时确定调整差额</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在计算调整差额时无现行价格指数的，合同当事人同意暂用前次价格指数计算。实际价格指数有调整的，合同当事人进行相应调整。</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（3）权重的调整</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因变更导致合同约定的权重不合理时，按照第4.4款〔商定或确定〕执行。</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（4）因承包人原因工期延误后的价格调整</w:t>
      </w:r>
    </w:p>
    <w:p>
      <w:pPr>
        <w:tabs>
          <w:tab w:val="left" w:pos="0"/>
          <w:tab w:val="left" w:pos="360"/>
          <w:tab w:val="left" w:pos="540"/>
        </w:tabs>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因承包人原因未按期竣工的，对合同约定的竣工日期后继续施工的工程，在使用价格调整公式时，应采用计划竣工日期与实际竣工日期的两个价格指数中较低的一个作为现行价格指数。</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第2种方式：采用造价信息进行价格调整。</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（2）材料、工程设备价格变化的价款调整按照发包人提供的基准价格，按以下风险范围规定执行: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③承包人在已标价工程量清单或预算书中载明材料单价等于基准价格的：除专用合同条款另有约定外，合同履行期间材料单价涨跌幅以基准价格为基础超过±5%时，其超过部分据实调整。</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前述基准价格是指由发包人在招标文件或专用合同条款中给定的材料、工程设备的价格，该价格原则上应当按照省级或行业建设主管部门或其授权的工程造价管理机构发布的信息价编制。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（3）施工机械台班单价或施工机械使用费发生变化超过省级或行业建设主管部门或其授权的工程造价管理机构规定的范围时，按规定调整合同价格。</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第3种方式：专用合同条款约定的其他方式。</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29" w:name="_Toc351203579"/>
      <w:bookmarkStart w:id="630" w:name="_Toc532377265"/>
      <w:bookmarkStart w:id="631" w:name="_Toc337558798"/>
      <w:bookmarkStart w:id="632" w:name="_Toc296346594"/>
      <w:bookmarkStart w:id="633" w:name="_Toc296503093"/>
      <w:r>
        <w:rPr>
          <w:rFonts w:hint="eastAsia" w:asciiTheme="minorEastAsia" w:hAnsiTheme="minorEastAsia" w:eastAsiaTheme="minorEastAsia" w:cstheme="minorEastAsia"/>
          <w:sz w:val="22"/>
          <w:szCs w:val="22"/>
        </w:rPr>
        <w:t>11.2法律变化引起的调整</w:t>
      </w:r>
      <w:bookmarkEnd w:id="629"/>
      <w:bookmarkEnd w:id="630"/>
    </w:p>
    <w:bookmarkEnd w:id="631"/>
    <w:bookmarkEnd w:id="632"/>
    <w:bookmarkEnd w:id="633"/>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因法律变化引起的合同价格和工期调整，合同当事人无法达成一致的，由总监理工程师按第4.4款〔商定或确定〕的约定处理。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因承包人原因造成工期延误，在工期延误期间出现法律变化的，由此增加的费用和（或）延误的工期由承包人承担。</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634" w:name="_Toc532377266"/>
      <w:bookmarkStart w:id="635" w:name="_Toc351203580"/>
      <w:bookmarkStart w:id="636" w:name="_Toc532375598"/>
      <w:bookmarkStart w:id="637" w:name="_Toc337558799"/>
      <w:bookmarkStart w:id="638" w:name="_Toc296503096"/>
      <w:bookmarkStart w:id="639" w:name="_Toc296346597"/>
      <w:r>
        <w:rPr>
          <w:rFonts w:hint="eastAsia" w:asciiTheme="minorEastAsia" w:hAnsiTheme="minorEastAsia" w:eastAsiaTheme="minorEastAsia" w:cstheme="minorEastAsia"/>
          <w:b/>
          <w:bCs/>
          <w:sz w:val="22"/>
          <w:szCs w:val="22"/>
        </w:rPr>
        <w:t>12. 合同价格、计量与支付</w:t>
      </w:r>
      <w:bookmarkEnd w:id="634"/>
      <w:bookmarkEnd w:id="635"/>
      <w:bookmarkEnd w:id="636"/>
    </w:p>
    <w:bookmarkEnd w:id="637"/>
    <w:p>
      <w:pPr>
        <w:pStyle w:val="7"/>
        <w:spacing w:before="0" w:after="0" w:line="420" w:lineRule="exact"/>
        <w:ind w:firstLine="442" w:firstLineChars="200"/>
        <w:rPr>
          <w:rFonts w:asciiTheme="minorEastAsia" w:hAnsiTheme="minorEastAsia" w:eastAsiaTheme="minorEastAsia" w:cstheme="minorEastAsia"/>
          <w:sz w:val="22"/>
          <w:szCs w:val="22"/>
        </w:rPr>
      </w:pPr>
      <w:bookmarkStart w:id="640" w:name="_Toc532377267"/>
      <w:bookmarkStart w:id="641" w:name="_Toc351203581"/>
      <w:bookmarkStart w:id="642" w:name="_Toc337558800"/>
      <w:r>
        <w:rPr>
          <w:rFonts w:hint="eastAsia" w:asciiTheme="minorEastAsia" w:hAnsiTheme="minorEastAsia" w:eastAsiaTheme="minorEastAsia" w:cstheme="minorEastAsia"/>
          <w:sz w:val="22"/>
          <w:szCs w:val="22"/>
        </w:rPr>
        <w:t>12.1 合同价</w:t>
      </w:r>
      <w:bookmarkEnd w:id="638"/>
      <w:bookmarkEnd w:id="639"/>
      <w:r>
        <w:rPr>
          <w:rFonts w:hint="eastAsia" w:asciiTheme="minorEastAsia" w:hAnsiTheme="minorEastAsia" w:eastAsiaTheme="minorEastAsia" w:cstheme="minorEastAsia"/>
          <w:sz w:val="22"/>
          <w:szCs w:val="22"/>
        </w:rPr>
        <w:t>格形式</w:t>
      </w:r>
      <w:bookmarkEnd w:id="640"/>
      <w:bookmarkEnd w:id="641"/>
    </w:p>
    <w:bookmarkEnd w:id="642"/>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发包人和承包人应在合同协议书中选择下列一种合同价格形式： </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1.单价合同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after="0" w:line="420" w:lineRule="exact"/>
        <w:ind w:firstLine="440" w:firstLineChars="200"/>
        <w:rPr>
          <w:rFonts w:asciiTheme="minorEastAsia" w:hAnsiTheme="minorEastAsia" w:eastAsiaTheme="minorEastAsia" w:cstheme="minorEastAsia"/>
          <w:b w:val="0"/>
          <w:sz w:val="22"/>
          <w:szCs w:val="22"/>
        </w:rPr>
      </w:pPr>
      <w:bookmarkStart w:id="643" w:name="_Toc532377268"/>
      <w:r>
        <w:rPr>
          <w:rFonts w:hint="eastAsia" w:asciiTheme="minorEastAsia" w:hAnsiTheme="minorEastAsia" w:eastAsiaTheme="minorEastAsia" w:cstheme="minorEastAsia"/>
          <w:b w:val="0"/>
          <w:sz w:val="22"/>
          <w:szCs w:val="22"/>
        </w:rPr>
        <w:t>2.总价合同</w:t>
      </w:r>
      <w:bookmarkEnd w:id="643"/>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after="0" w:line="420" w:lineRule="exact"/>
        <w:ind w:firstLine="440" w:firstLineChars="200"/>
        <w:rPr>
          <w:rFonts w:asciiTheme="minorEastAsia" w:hAnsiTheme="minorEastAsia" w:eastAsiaTheme="minorEastAsia" w:cstheme="minorEastAsia"/>
          <w:b w:val="0"/>
          <w:sz w:val="22"/>
          <w:szCs w:val="22"/>
        </w:rPr>
      </w:pPr>
      <w:bookmarkStart w:id="644" w:name="_Toc532377269"/>
      <w:r>
        <w:rPr>
          <w:rFonts w:hint="eastAsia" w:asciiTheme="minorEastAsia" w:hAnsiTheme="minorEastAsia" w:eastAsiaTheme="minorEastAsia" w:cstheme="minorEastAsia"/>
          <w:b w:val="0"/>
          <w:sz w:val="22"/>
          <w:szCs w:val="22"/>
        </w:rPr>
        <w:t>3.其它价格形式</w:t>
      </w:r>
      <w:bookmarkEnd w:id="644"/>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合同当事人可在专用合同条款中约定其他合同价格形式。</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45" w:name="_Toc296346598"/>
      <w:bookmarkStart w:id="646" w:name="_Toc296503097"/>
      <w:bookmarkStart w:id="647" w:name="_Toc351203582"/>
      <w:bookmarkStart w:id="648" w:name="_Toc532377270"/>
      <w:bookmarkStart w:id="649" w:name="_Toc337558801"/>
      <w:r>
        <w:rPr>
          <w:rFonts w:hint="eastAsia" w:asciiTheme="minorEastAsia" w:hAnsiTheme="minorEastAsia" w:eastAsiaTheme="minorEastAsia" w:cstheme="minorEastAsia"/>
          <w:sz w:val="22"/>
          <w:szCs w:val="22"/>
        </w:rPr>
        <w:t>12.2预</w:t>
      </w:r>
      <w:bookmarkStart w:id="650" w:name="_Toc296346601"/>
      <w:bookmarkStart w:id="651" w:name="_Toc296503100"/>
      <w:bookmarkEnd w:id="645"/>
      <w:bookmarkEnd w:id="646"/>
      <w:r>
        <w:rPr>
          <w:rFonts w:hint="eastAsia" w:asciiTheme="minorEastAsia" w:hAnsiTheme="minorEastAsia" w:eastAsiaTheme="minorEastAsia" w:cstheme="minorEastAsia"/>
          <w:sz w:val="22"/>
          <w:szCs w:val="22"/>
        </w:rPr>
        <w:t>付款</w:t>
      </w:r>
      <w:bookmarkEnd w:id="647"/>
      <w:bookmarkEnd w:id="648"/>
    </w:p>
    <w:bookmarkEnd w:id="649"/>
    <w:bookmarkEnd w:id="650"/>
    <w:bookmarkEnd w:id="651"/>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12.2.1预付款的支付</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预付款的支付按照专用合同条款约定执行，但至迟应在开工通知载明的开工日期7天前支付。预付款应当用于材料、工程设备、施工设备的采购及修建临时工程、组织施工队伍进场等。</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除专用合同条款另有约定外，预付款在进度付款中同比例扣回。在颁发工程接收证书前，提前解除合同的，尚未扣完的预付款应与合同价款一并结算。</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发包人逾期支付预付款超过7天的，承包人有权向发包人发出要求预付的催告通知，发包人收到通知后7天内仍未支付的，承包人有权暂停施工，并按第16.1.1项〔发包人违约的情形〕执行。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12.2.2 预付款担保</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发包人在工程款中逐期扣回预付款后，预付款担保额度应相应减少，但剩余的预付款担保金额不得低于未被扣回的预付款金额。</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52" w:name="_Toc351203583"/>
      <w:bookmarkStart w:id="653" w:name="_Toc532377271"/>
      <w:bookmarkStart w:id="654" w:name="_Toc337558802"/>
      <w:r>
        <w:rPr>
          <w:rFonts w:hint="eastAsia" w:asciiTheme="minorEastAsia" w:hAnsiTheme="minorEastAsia" w:eastAsiaTheme="minorEastAsia" w:cstheme="minorEastAsia"/>
          <w:sz w:val="22"/>
          <w:szCs w:val="22"/>
        </w:rPr>
        <w:t>12.3计量</w:t>
      </w:r>
      <w:bookmarkEnd w:id="652"/>
      <w:bookmarkEnd w:id="653"/>
    </w:p>
    <w:bookmarkEnd w:id="654"/>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12.3.1 计量原则</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工程量计量按照合同约定的工程量计算规则、图纸及变更指示等进行计量。工程量计算规则应以相关的国家标准、行业标准等为依据，由合同当事人在专用合同条款中约定。</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12.3.2 计量周期</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除专用合同条款另有约定外，工程量的计量按月进行。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12.3.3 单价合同的计量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除专用合同条款另有约定外，单价合同的计量按照本项约定执行：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（1）承包人应于每月25日向监理人报送上月20日至当月19日已完成的工程量报告，并附具进度付款申请单、已完成工程量报表和有关资料。</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（3）监理人未在收到承包人提交的工程量报表后的7天内完成审核的，承包人报送的工程量报告中的工程量视为承包人实际完成的工程量，据此计算工程价款。</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12.3.4 总价合同的计量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除专用合同条款另有约定外，按月计量支付的总价合同，按照本项约定执行：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（1）承包人应于每月25日向监理人报送上月20日至当月19日已完成的工程量报告，并附具进度付款申请单、已完成工程量报表和有关资料。</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（3）监理人未在收到承包人提交的工程量报表后的7天内完成复核的，承包人提交的工程量报告中的工程量视为承包人实际完成的工程量。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12.3.5 总价合同采用支付分解表计量支付的，可以按照第12.3.4项〔总价合同的计量〕约定进行计量，但合同价款按照支付分解表进行支付。</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12.3.6 其他价格形式合同的计量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合同当事人可在专用合同条款中约定其他价格形式合同的计量方式和程序。</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55" w:name="_Toc296346602"/>
      <w:bookmarkStart w:id="656" w:name="_Toc296503101"/>
      <w:bookmarkStart w:id="657" w:name="_Toc351203584"/>
      <w:bookmarkStart w:id="658" w:name="_Toc532377272"/>
      <w:bookmarkStart w:id="659" w:name="_Toc337558803"/>
      <w:r>
        <w:rPr>
          <w:rFonts w:hint="eastAsia" w:asciiTheme="minorEastAsia" w:hAnsiTheme="minorEastAsia" w:eastAsiaTheme="minorEastAsia" w:cstheme="minorEastAsia"/>
          <w:sz w:val="22"/>
          <w:szCs w:val="22"/>
        </w:rPr>
        <w:t>12.4工程进度款支</w:t>
      </w:r>
      <w:bookmarkEnd w:id="655"/>
      <w:bookmarkEnd w:id="656"/>
      <w:r>
        <w:rPr>
          <w:rFonts w:hint="eastAsia" w:asciiTheme="minorEastAsia" w:hAnsiTheme="minorEastAsia" w:eastAsiaTheme="minorEastAsia" w:cstheme="minorEastAsia"/>
          <w:sz w:val="22"/>
          <w:szCs w:val="22"/>
        </w:rPr>
        <w:t>付</w:t>
      </w:r>
      <w:bookmarkEnd w:id="657"/>
      <w:bookmarkEnd w:id="658"/>
    </w:p>
    <w:bookmarkEnd w:id="659"/>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12.4.1 付款周期</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除专用合同条款另有约定外，付款周期应按照第12.3.2项〔计量周期〕的约定与计量周期保持一致。</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12.4.2 进度付款申请单的编制</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除专用合同条款另有约定外，进度付款申请单应包括下列内容：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（1）截至本次付款周期已完成工作对应的金额；</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（2）根据第10条〔变更〕应增加和扣减的变更金额；</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（3）根据第12.2款〔预付款〕约定应支付的预付款和扣减的返还预付款；</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（4）根据第15.3款〔质量保证金〕约定应扣减的质量保证金；</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（5）根据第19条〔索赔〕应增加和扣减的索赔金额；</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（6）对已签发的进度款支付证书中出现错误的修正，应在本次进度付款中支付或扣除的金额；</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（7）根据合同约定应增加和扣减的其他金额。</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12.4.3 进度付款申请单的提交</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（1）单价合同进度付款申请单的提交</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（2）总价合同进度付款申请单的提交</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总价合同按月计量支付的，承包人按照第12.3.4项〔总价合同的计量〕约定的时间按月向监理人提交进度付款申请单，并附上已完成工程量报表和有关资料。</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总价合同按支付分解表支付的，承包人应按照第12.4.6项〔支付分解表〕及第12.4.2项〔进度付款申请单的编制〕的约定向监理人提交进度付款申请单。</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（3）其他价格形式合同的进度付款申请单的提交</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合同当事人可在专用合同条款中约定其他价格形式合同的进度付款申请单的编制和提交程序。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12.4.4 进度款审核和支付</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（3）发包人签发进度款支付证书或临时进度款支付证书，不表明发包人已同意、批准或接受了承包人完成的相应部分的工作。</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12.4.5 进度付款的修正</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12.4.6 支付分解表</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1.支付分解表的编制要求</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（1）支付分解表中所列的每期付款金额，应为第12.4.2项〔进度付款申请单的编制〕第（1）目的估算金额；</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（2）实际进度与施工进度计划不一致的，合同当事人可按照第4.4款〔商定或确定〕修改支付分解表；</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（3）不采用支付分解表的，承包人应向发包人和监理人提交按季度编制的支付估算分解表，用于支付参考。</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2.总价合同支付分解表的编制与审批</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（2）监理人应在收到支付分解表后7天内完成审核并报送发包人。发包人应在收到经监理人审核的支付分解表后7天内完成审批，经发包人批准的支付分解表为有约束力的支付分解表。</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（3）发包人逾期未完成支付分解表审批的，也未及时要求承包人进行修正和提供补充资料的，则承包人提交的支付分解表视为已经获得发包人批准。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3.单价合同的总价项目支付分解表的编制与审批</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60" w:name="_Toc532377273"/>
      <w:r>
        <w:rPr>
          <w:rFonts w:hint="eastAsia" w:asciiTheme="minorEastAsia" w:hAnsiTheme="minorEastAsia" w:eastAsiaTheme="minorEastAsia" w:cstheme="minorEastAsia"/>
          <w:sz w:val="22"/>
          <w:szCs w:val="22"/>
        </w:rPr>
        <w:t>12.5支付账户</w:t>
      </w:r>
      <w:bookmarkEnd w:id="660"/>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发包人应将合同价款支付至合同协议书中约定的承包人账户。</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661" w:name="_Toc532375599"/>
      <w:bookmarkStart w:id="662" w:name="_Toc351203586"/>
      <w:bookmarkStart w:id="663" w:name="_Toc532377274"/>
      <w:bookmarkStart w:id="664" w:name="_Toc296346607"/>
      <w:bookmarkStart w:id="665" w:name="_Toc337558804"/>
      <w:bookmarkStart w:id="666" w:name="_Toc322522574"/>
      <w:bookmarkStart w:id="667" w:name="_Toc296503106"/>
      <w:r>
        <w:rPr>
          <w:rFonts w:hint="eastAsia" w:asciiTheme="minorEastAsia" w:hAnsiTheme="minorEastAsia" w:eastAsiaTheme="minorEastAsia" w:cstheme="minorEastAsia"/>
          <w:b/>
          <w:bCs/>
          <w:sz w:val="22"/>
          <w:szCs w:val="22"/>
        </w:rPr>
        <w:t>13. 验收和工程试车</w:t>
      </w:r>
      <w:bookmarkEnd w:id="661"/>
      <w:bookmarkEnd w:id="662"/>
      <w:bookmarkEnd w:id="663"/>
    </w:p>
    <w:bookmarkEnd w:id="664"/>
    <w:bookmarkEnd w:id="665"/>
    <w:bookmarkEnd w:id="666"/>
    <w:bookmarkEnd w:id="667"/>
    <w:p>
      <w:pPr>
        <w:pStyle w:val="7"/>
        <w:spacing w:before="0" w:after="0" w:line="420" w:lineRule="exact"/>
        <w:ind w:firstLine="442" w:firstLineChars="200"/>
        <w:rPr>
          <w:rFonts w:asciiTheme="minorEastAsia" w:hAnsiTheme="minorEastAsia" w:eastAsiaTheme="minorEastAsia" w:cstheme="minorEastAsia"/>
          <w:sz w:val="22"/>
          <w:szCs w:val="22"/>
        </w:rPr>
      </w:pPr>
      <w:bookmarkStart w:id="668" w:name="_Toc351203587"/>
      <w:bookmarkStart w:id="669" w:name="_Toc532377275"/>
      <w:bookmarkStart w:id="670" w:name="_Toc337558805"/>
      <w:bookmarkStart w:id="671" w:name="_Toc296346611"/>
      <w:bookmarkStart w:id="672" w:name="_Toc296503110"/>
      <w:r>
        <w:rPr>
          <w:rFonts w:hint="eastAsia" w:asciiTheme="minorEastAsia" w:hAnsiTheme="minorEastAsia" w:eastAsiaTheme="minorEastAsia" w:cstheme="minorEastAsia"/>
          <w:sz w:val="22"/>
          <w:szCs w:val="22"/>
        </w:rPr>
        <w:t>13.1分部分项工程验收</w:t>
      </w:r>
      <w:bookmarkEnd w:id="668"/>
      <w:bookmarkEnd w:id="669"/>
    </w:p>
    <w:bookmarkEnd w:id="670"/>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13.1.1 分部分项工程质量应符合国家有关工程施工验收规范、标准及合同约定，承包人应按照施工组织设计的要求完成分部分项工程施工。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分部分项工程的验收资料应当作为竣工资料的组成部分。</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73" w:name="_Toc351203588"/>
      <w:bookmarkStart w:id="674" w:name="_Toc532377276"/>
      <w:bookmarkStart w:id="675" w:name="_Toc337558806"/>
      <w:r>
        <w:rPr>
          <w:rFonts w:hint="eastAsia" w:asciiTheme="minorEastAsia" w:hAnsiTheme="minorEastAsia" w:eastAsiaTheme="minorEastAsia" w:cstheme="minorEastAsia"/>
          <w:sz w:val="22"/>
          <w:szCs w:val="22"/>
        </w:rPr>
        <w:t>13.2竣工验收</w:t>
      </w:r>
      <w:bookmarkEnd w:id="673"/>
      <w:bookmarkEnd w:id="674"/>
    </w:p>
    <w:bookmarkEnd w:id="671"/>
    <w:bookmarkEnd w:id="672"/>
    <w:bookmarkEnd w:id="675"/>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13.2.1竣工验收条件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工程具备以下条件的，承包人可以申请竣工验收：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（1）除发包人同意的甩项工作和缺陷修补工作外，合同范围内的全部工程以及有关工作，包括合同要求的试验、试运行以及检验均已完成，并符合合同要求；</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（2）已按合同约定编制了甩项工作和缺陷修补工作清单以及相应的施工计划；</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（3）已按合同约定的内容和份数备齐竣工资料。</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13.2.2竣工验收程序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除专用合同条款另有约定外，承包人申请竣工验收的，应当按照以下程序进行：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（3）竣工验收合格的，发包人应在验收合格后14天内向承包人签发工程接收证书。发包人无正当理由逾期不颁发工程接收证书的，自验收合格后第15天起视为已颁发工程接收证书。</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除专用合同条款另有约定外，发包人不按照本项约定组织竣工验收、颁发工程接收证书的，每逾期一天，应以签约合同价为基数，按照中国人民银行发布的同期同类贷款基准利率支付违约金。</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13.2.3竣工日期</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676" w:name="#go14"/>
      <w:bookmarkEnd w:id="676"/>
      <w:r>
        <w:rPr>
          <w:rFonts w:hint="eastAsia" w:asciiTheme="minorEastAsia" w:hAnsiTheme="minorEastAsia" w:eastAsiaTheme="minorEastAsia" w:cstheme="minorEastAsia"/>
          <w:kern w:val="0"/>
          <w:sz w:val="22"/>
          <w:szCs w:val="22"/>
        </w:rPr>
        <w:t>收申请报告的日期为实际竣工日期；工程未经竣工验收，发包人擅自使用的，以转移占有工程之日为实际竣工日期。</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13.2.4 拒绝接收全部或部分工程</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13.2.5 移交、接收全部与部分工程</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除专用合同条款另有约定外，合同当事人应当在颁发工程接收证书后7天内完成工程的移交。</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77" w:name="_Toc351203589"/>
      <w:bookmarkStart w:id="678" w:name="_Toc532377277"/>
      <w:bookmarkStart w:id="679" w:name="_Toc296346612"/>
      <w:bookmarkStart w:id="680" w:name="_Toc296503111"/>
      <w:bookmarkStart w:id="681" w:name="_Toc337558807"/>
      <w:r>
        <w:rPr>
          <w:rFonts w:hint="eastAsia" w:asciiTheme="minorEastAsia" w:hAnsiTheme="minorEastAsia" w:eastAsiaTheme="minorEastAsia" w:cstheme="minorEastAsia"/>
          <w:sz w:val="22"/>
          <w:szCs w:val="22"/>
        </w:rPr>
        <w:t>13.3工程试车</w:t>
      </w:r>
      <w:bookmarkEnd w:id="677"/>
      <w:bookmarkEnd w:id="678"/>
    </w:p>
    <w:bookmarkEnd w:id="679"/>
    <w:bookmarkEnd w:id="680"/>
    <w:bookmarkEnd w:id="681"/>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13.3.1试车程序</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工程需要试车的，除专用合同条款另有约定外，试车内容应与承包人承包范围相一致，试车费用由承包人承担。工程试车应按如下程序进行：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13.3.2 试车中的责任</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13.3.3 投料试车</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如需进行投料试车的，发包人应在工程竣工验收后组织投料试车。发包人要求在工程竣工验收前进行或需要承包人配合时，应征得承包人同意，并在专用合同条款中约定有关事项。</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82" w:name="_Toc532377278"/>
      <w:r>
        <w:rPr>
          <w:rFonts w:hint="eastAsia" w:asciiTheme="minorEastAsia" w:hAnsiTheme="minorEastAsia" w:eastAsiaTheme="minorEastAsia" w:cstheme="minorEastAsia"/>
          <w:sz w:val="22"/>
          <w:szCs w:val="22"/>
        </w:rPr>
        <w:t>13.4提前交付单位工程的验收</w:t>
      </w:r>
      <w:bookmarkEnd w:id="682"/>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13.4.1 发包人需要在工程竣工前使用单位工程的，或承包人提出提前交付已经竣工的单位工程且经发包人同意的，可进行单位工程验收，验收的程序按照第13.2款〔竣工验收〕的约定进行。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13.4.2 发包人要求在工程竣工前交付单位工程，由此导致承包人费用增加和（或）工期延误的，由发包人承担由此增加的费用和（或）延误的工期，并支付承包人合理的利润。</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83" w:name="_Toc351203591"/>
      <w:bookmarkStart w:id="684" w:name="_Toc532377279"/>
      <w:r>
        <w:rPr>
          <w:rFonts w:hint="eastAsia" w:asciiTheme="minorEastAsia" w:hAnsiTheme="minorEastAsia" w:eastAsiaTheme="minorEastAsia" w:cstheme="minorEastAsia"/>
          <w:sz w:val="22"/>
          <w:szCs w:val="22"/>
        </w:rPr>
        <w:t>13.5 施工期运行</w:t>
      </w:r>
      <w:bookmarkEnd w:id="683"/>
      <w:bookmarkEnd w:id="684"/>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13.5.2 在施工期运行中发现工程或工程设备损坏或存在缺陷的，由承包人按第15.2款〔缺陷责任期〕约定进行修复。</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85" w:name="_Toc296503112"/>
      <w:bookmarkStart w:id="686" w:name="_Toc296346613"/>
      <w:bookmarkStart w:id="687" w:name="_Toc351203592"/>
      <w:bookmarkStart w:id="688" w:name="_Toc532377280"/>
      <w:bookmarkStart w:id="689" w:name="_Toc337558809"/>
      <w:r>
        <w:rPr>
          <w:rFonts w:hint="eastAsia" w:asciiTheme="minorEastAsia" w:hAnsiTheme="minorEastAsia" w:eastAsiaTheme="minorEastAsia" w:cstheme="minorEastAsia"/>
          <w:sz w:val="22"/>
          <w:szCs w:val="22"/>
        </w:rPr>
        <w:t>13.6 竣工退</w:t>
      </w:r>
      <w:bookmarkEnd w:id="685"/>
      <w:bookmarkEnd w:id="686"/>
      <w:r>
        <w:rPr>
          <w:rFonts w:hint="eastAsia" w:asciiTheme="minorEastAsia" w:hAnsiTheme="minorEastAsia" w:eastAsiaTheme="minorEastAsia" w:cstheme="minorEastAsia"/>
          <w:sz w:val="22"/>
          <w:szCs w:val="22"/>
        </w:rPr>
        <w:t>场</w:t>
      </w:r>
      <w:bookmarkEnd w:id="687"/>
      <w:bookmarkEnd w:id="688"/>
    </w:p>
    <w:bookmarkEnd w:id="689"/>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13.6.1 竣工退场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颁发工程接收证书后，承包人应按以下要求对施工现场进行清理：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（1）施工现场内残留的垃圾已全部清除出场；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（2）临时工程已拆除，场地已进行清理、平整或复原；</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（3）按合同约定应撤离的人员、承包人施工设备和剩余的材料，包括废弃的施工设备和材料，已按计划撤离施工现场；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（4）施工现场周边及其附近道路、河道的施工堆积物，已全部清理；</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（5）施工现场其他场地清理工作已全部完成。</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13.6.2 地表还原</w:t>
      </w:r>
    </w:p>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690" w:name="_Toc532377281"/>
      <w:bookmarkStart w:id="691" w:name="_Toc351203593"/>
      <w:bookmarkStart w:id="692" w:name="_Toc532375600"/>
      <w:bookmarkStart w:id="693" w:name="_Toc337558810"/>
      <w:bookmarkStart w:id="694" w:name="_Toc296346614"/>
      <w:bookmarkStart w:id="695" w:name="_Toc296503113"/>
      <w:r>
        <w:rPr>
          <w:rFonts w:hint="eastAsia" w:asciiTheme="minorEastAsia" w:hAnsiTheme="minorEastAsia" w:eastAsiaTheme="minorEastAsia" w:cstheme="minorEastAsia"/>
          <w:b/>
          <w:bCs/>
          <w:sz w:val="22"/>
          <w:szCs w:val="22"/>
        </w:rPr>
        <w:t>14. 竣工结算</w:t>
      </w:r>
      <w:bookmarkEnd w:id="690"/>
      <w:bookmarkEnd w:id="691"/>
      <w:bookmarkEnd w:id="692"/>
    </w:p>
    <w:bookmarkEnd w:id="693"/>
    <w:p>
      <w:pPr>
        <w:pStyle w:val="7"/>
        <w:spacing w:before="0" w:after="0" w:line="420" w:lineRule="exact"/>
        <w:ind w:firstLine="442" w:firstLineChars="200"/>
        <w:rPr>
          <w:rFonts w:asciiTheme="minorEastAsia" w:hAnsiTheme="minorEastAsia" w:eastAsiaTheme="minorEastAsia" w:cstheme="minorEastAsia"/>
          <w:sz w:val="22"/>
          <w:szCs w:val="22"/>
        </w:rPr>
      </w:pPr>
      <w:bookmarkStart w:id="696" w:name="_Toc351203594"/>
      <w:bookmarkStart w:id="697" w:name="_Toc532377282"/>
      <w:bookmarkStart w:id="698" w:name="_Toc337558811"/>
      <w:r>
        <w:rPr>
          <w:rFonts w:hint="eastAsia" w:asciiTheme="minorEastAsia" w:hAnsiTheme="minorEastAsia" w:eastAsiaTheme="minorEastAsia" w:cstheme="minorEastAsia"/>
          <w:sz w:val="22"/>
          <w:szCs w:val="22"/>
        </w:rPr>
        <w:t>14.1 竣工结算申请</w:t>
      </w:r>
      <w:bookmarkEnd w:id="696"/>
      <w:bookmarkEnd w:id="697"/>
    </w:p>
    <w:bookmarkEnd w:id="698"/>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除专用合同条款另有约定外，竣工结算申请单应包括以下内容：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（1）竣工结算合同价格；</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（2）发包人已支付承包人的款项；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（3）应扣留的质量保证金。已缴纳履约保证金的或提供其他工程质量担保方式的除外； </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（4）发包人应支付承包人的合同价款。</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699" w:name="_Toc532377283"/>
      <w:bookmarkStart w:id="700" w:name="_Toc351203595"/>
      <w:bookmarkStart w:id="701" w:name="_Toc337558812"/>
      <w:r>
        <w:rPr>
          <w:rFonts w:hint="eastAsia" w:asciiTheme="minorEastAsia" w:hAnsiTheme="minorEastAsia" w:eastAsiaTheme="minorEastAsia" w:cstheme="minorEastAsia"/>
          <w:sz w:val="22"/>
          <w:szCs w:val="22"/>
        </w:rPr>
        <w:t>14.2 竣工结算审核</w:t>
      </w:r>
      <w:bookmarkEnd w:id="699"/>
      <w:bookmarkEnd w:id="700"/>
    </w:p>
    <w:bookmarkEnd w:id="701"/>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02" w:name="_Toc351203596"/>
      <w:bookmarkStart w:id="703" w:name="_Toc532377284"/>
      <w:bookmarkStart w:id="704" w:name="_Toc337558813"/>
      <w:r>
        <w:rPr>
          <w:rFonts w:hint="eastAsia" w:asciiTheme="minorEastAsia" w:hAnsiTheme="minorEastAsia" w:eastAsiaTheme="minorEastAsia" w:cstheme="minorEastAsia"/>
          <w:sz w:val="22"/>
          <w:szCs w:val="22"/>
        </w:rPr>
        <w:t>14.3 甩项竣工协议</w:t>
      </w:r>
      <w:bookmarkEnd w:id="702"/>
      <w:bookmarkEnd w:id="703"/>
    </w:p>
    <w:bookmarkEnd w:id="704"/>
    <w:p>
      <w:pPr>
        <w:autoSpaceDE w:val="0"/>
        <w:autoSpaceDN w:val="0"/>
        <w:spacing w:line="420" w:lineRule="exact"/>
        <w:ind w:firstLine="431" w:firstLineChars="196"/>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05" w:name="_Toc532377285"/>
      <w:bookmarkStart w:id="706" w:name="_Toc351203597"/>
      <w:bookmarkStart w:id="707" w:name="_Toc337558814"/>
      <w:r>
        <w:rPr>
          <w:rFonts w:hint="eastAsia" w:asciiTheme="minorEastAsia" w:hAnsiTheme="minorEastAsia" w:eastAsiaTheme="minorEastAsia" w:cstheme="minorEastAsia"/>
          <w:sz w:val="22"/>
          <w:szCs w:val="22"/>
        </w:rPr>
        <w:t>14.4 最终结清</w:t>
      </w:r>
      <w:bookmarkEnd w:id="705"/>
      <w:bookmarkEnd w:id="706"/>
    </w:p>
    <w:bookmarkEnd w:id="707"/>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14.4.1 最终结清申请单</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（1）除专用合同条款另有约定外，承包人应在缺陷责任期终止证书颁发后7天内，按专用合同条款约定的份数向发包人提交最终结清申请单，并提供相关证明材料。</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除专用合同条款另有约定外，最终结清申请单应列明质量保证金、应扣除的质量保证金、缺陷责任期内发生的增减费用。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（2）发包人对最终结清申请单内容有异议的，有权要求承包人进行修正和提供补充资料，承包人应向发包人提交修正后的最终结清申请单。</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14.4.2 最终结清证书和支付</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（3）承包人对发包人颁发的最终结清证书有异议的，按第20条〔争议解决〕的约定办理。</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708" w:name="_Toc532377286"/>
      <w:bookmarkStart w:id="709" w:name="_Toc532375601"/>
      <w:bookmarkStart w:id="710" w:name="_Toc351203598"/>
      <w:bookmarkStart w:id="711" w:name="_Toc337558815"/>
      <w:r>
        <w:rPr>
          <w:rFonts w:hint="eastAsia" w:asciiTheme="minorEastAsia" w:hAnsiTheme="minorEastAsia" w:eastAsiaTheme="minorEastAsia" w:cstheme="minorEastAsia"/>
          <w:b/>
          <w:bCs/>
          <w:sz w:val="22"/>
          <w:szCs w:val="22"/>
        </w:rPr>
        <w:t>15. 缺陷责任与保修</w:t>
      </w:r>
      <w:bookmarkEnd w:id="708"/>
      <w:bookmarkEnd w:id="709"/>
      <w:bookmarkEnd w:id="710"/>
    </w:p>
    <w:bookmarkEnd w:id="694"/>
    <w:bookmarkEnd w:id="695"/>
    <w:bookmarkEnd w:id="711"/>
    <w:p>
      <w:pPr>
        <w:pStyle w:val="7"/>
        <w:spacing w:before="0" w:after="0" w:line="420" w:lineRule="exact"/>
        <w:ind w:firstLine="442" w:firstLineChars="200"/>
        <w:rPr>
          <w:rFonts w:asciiTheme="minorEastAsia" w:hAnsiTheme="minorEastAsia" w:eastAsiaTheme="minorEastAsia" w:cstheme="minorEastAsia"/>
          <w:sz w:val="22"/>
          <w:szCs w:val="22"/>
        </w:rPr>
      </w:pPr>
      <w:bookmarkStart w:id="712" w:name="_Toc351203599"/>
      <w:bookmarkStart w:id="713" w:name="_Toc532377287"/>
      <w:bookmarkStart w:id="714" w:name="_Toc337558816"/>
      <w:bookmarkStart w:id="715" w:name="_Toc296346615"/>
      <w:bookmarkStart w:id="716" w:name="_Toc296503114"/>
      <w:r>
        <w:rPr>
          <w:rFonts w:hint="eastAsia" w:asciiTheme="minorEastAsia" w:hAnsiTheme="minorEastAsia" w:eastAsiaTheme="minorEastAsia" w:cstheme="minorEastAsia"/>
          <w:sz w:val="22"/>
          <w:szCs w:val="22"/>
        </w:rPr>
        <w:t>15.1 工程保修的原则</w:t>
      </w:r>
      <w:bookmarkEnd w:id="712"/>
      <w:bookmarkEnd w:id="713"/>
    </w:p>
    <w:bookmarkEnd w:id="714"/>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在工程移交发包人后，因承包人原因产生的质量缺陷，承包人应承担质量缺陷责任和保修义务。缺陷责任期届满，承包人仍应按合同约定的工程各部位保修年限承担保修义务。</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17" w:name="_Toc351203600"/>
      <w:bookmarkStart w:id="718" w:name="_Toc532377288"/>
      <w:bookmarkStart w:id="719" w:name="_Toc337558817"/>
      <w:r>
        <w:rPr>
          <w:rFonts w:hint="eastAsia" w:asciiTheme="minorEastAsia" w:hAnsiTheme="minorEastAsia" w:eastAsiaTheme="minorEastAsia" w:cstheme="minorEastAsia"/>
          <w:sz w:val="22"/>
          <w:szCs w:val="22"/>
        </w:rPr>
        <w:t>15.2 缺陷责任期</w:t>
      </w:r>
      <w:bookmarkEnd w:id="715"/>
      <w:bookmarkEnd w:id="716"/>
      <w:bookmarkEnd w:id="717"/>
      <w:bookmarkEnd w:id="718"/>
    </w:p>
    <w:bookmarkEnd w:id="719"/>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15.2.1 缺陷责任期从工程通过竣工验收之日起计算，合同当事人应在专用合同条款约定缺陷责任期的具体期限，但该期限最长不超过24个月。</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由他人原因造成的缺陷，发包人负责组织维修，承包人不承担费用，且发包人不得从保证金中扣除费用。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20" w:name="_Toc351203601"/>
      <w:bookmarkStart w:id="721" w:name="_Toc532377289"/>
      <w:bookmarkStart w:id="722" w:name="_Toc337558818"/>
      <w:bookmarkStart w:id="723" w:name="_Toc296346616"/>
      <w:bookmarkStart w:id="724" w:name="_Toc296503115"/>
      <w:r>
        <w:rPr>
          <w:rFonts w:hint="eastAsia" w:asciiTheme="minorEastAsia" w:hAnsiTheme="minorEastAsia" w:eastAsiaTheme="minorEastAsia" w:cstheme="minorEastAsia"/>
          <w:sz w:val="22"/>
          <w:szCs w:val="22"/>
        </w:rPr>
        <w:t>15.3 质量保证金</w:t>
      </w:r>
      <w:bookmarkEnd w:id="720"/>
      <w:bookmarkEnd w:id="721"/>
    </w:p>
    <w:bookmarkEnd w:id="722"/>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经合同当事人协商一致扣留质量保证金的，应在专用合同条款中予以明确。</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在工程项目竣工前，承包人已经提供履约担保的，发包人不得同时预留工程质量保证金。</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15.3.1 承包人提供质量保证金的方式</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承包人提供质量保证金有以下三种方式：</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（1）质量保证金保函；</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（2）相应比例的工程款；</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（3）双方约定的其他方式。</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除专用合同条款另有约定外，质量保证金原则上采用上述第（1）种方式。</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15.3.2 质量保证金的扣留</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质量保证金的扣留有以下三种方式：</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（1）在支付工程进度款时逐次扣留，在此情形下，质量保证金的计算基数不包括预付款的支付、扣回以及价格调整的金额；</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（2）工</w:t>
      </w:r>
      <w:bookmarkStart w:id="725" w:name="#go6"/>
      <w:bookmarkEnd w:id="725"/>
      <w:r>
        <w:rPr>
          <w:rFonts w:hint="eastAsia" w:asciiTheme="minorEastAsia" w:hAnsiTheme="minorEastAsia" w:eastAsiaTheme="minorEastAsia" w:cstheme="minorEastAsia"/>
          <w:kern w:val="0"/>
          <w:sz w:val="22"/>
          <w:szCs w:val="22"/>
        </w:rPr>
        <w:t>程竣工结算时一次性扣留质量保证金；</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（3）双方约定的其他扣留方式。</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除专用合同条款另有约定外，质量保证金的扣留原则上采用上述第（1）种方式。</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w:t>
      </w:r>
      <w:bookmarkStart w:id="726" w:name="#go4"/>
      <w:bookmarkEnd w:id="726"/>
      <w:r>
        <w:rPr>
          <w:rFonts w:hint="eastAsia" w:asciiTheme="minorEastAsia" w:hAnsiTheme="minorEastAsia" w:eastAsiaTheme="minorEastAsia" w:cstheme="minorEastAsia"/>
          <w:kern w:val="0"/>
          <w:sz w:val="22"/>
          <w:szCs w:val="22"/>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发包人在退还质量保证金的同时按照中国人民银行发布的同期同类贷款基准利率支付利息。</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15.3.3 质量保证金的退还</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缺陷责任期内，承包人认真履行合同约定的责任，到期后，承包人可向发包人申请返还保证金。</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发包人和承包人对保证金预留、返还以及工程维修质量、费用有争议的，按合同第20条约定的争议和纠纷解决程序处理。</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27" w:name="_Toc532377290"/>
      <w:bookmarkStart w:id="728" w:name="_Toc351203602"/>
      <w:bookmarkStart w:id="729" w:name="_Toc337558819"/>
      <w:r>
        <w:rPr>
          <w:rFonts w:hint="eastAsia" w:asciiTheme="minorEastAsia" w:hAnsiTheme="minorEastAsia" w:eastAsiaTheme="minorEastAsia" w:cstheme="minorEastAsia"/>
          <w:sz w:val="22"/>
          <w:szCs w:val="22"/>
        </w:rPr>
        <w:t>15.4 保修</w:t>
      </w:r>
      <w:bookmarkEnd w:id="727"/>
      <w:bookmarkEnd w:id="728"/>
    </w:p>
    <w:bookmarkEnd w:id="723"/>
    <w:bookmarkEnd w:id="724"/>
    <w:bookmarkEnd w:id="729"/>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15.4.1保修责任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发包人未经竣工验收擅自使用工程的，保修期自转移占有之日起算。</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15.4.2 修复费用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保修期内，修复的费用按照以下约定处理：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（1）保修期内，因承包人原因造成工程的缺陷、损坏，承包人应负责修复，并承担修复的费用以及因工程的缺陷、损坏造成的人身伤害和财产损失；</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（2）保修期内，因发包人使用不当造成工程的缺陷、损坏，可以委托承包人修复，但发包人应承担修复的费用，并支付承包人合理利润；</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15.4.3 修复通知</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15.4.4 未能修复</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15.4.5 承包人出入权</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730" w:name="_Toc351203603"/>
      <w:bookmarkStart w:id="731" w:name="_Toc532377291"/>
      <w:bookmarkStart w:id="732" w:name="_Toc532375602"/>
      <w:bookmarkStart w:id="733" w:name="_Toc337558820"/>
      <w:r>
        <w:rPr>
          <w:rFonts w:hint="eastAsia" w:asciiTheme="minorEastAsia" w:hAnsiTheme="minorEastAsia" w:eastAsiaTheme="minorEastAsia" w:cstheme="minorEastAsia"/>
          <w:b/>
          <w:bCs/>
          <w:sz w:val="22"/>
          <w:szCs w:val="22"/>
        </w:rPr>
        <w:t>16. 违约</w:t>
      </w:r>
      <w:bookmarkEnd w:id="730"/>
      <w:bookmarkEnd w:id="731"/>
      <w:bookmarkEnd w:id="732"/>
    </w:p>
    <w:bookmarkEnd w:id="733"/>
    <w:p>
      <w:pPr>
        <w:pStyle w:val="7"/>
        <w:spacing w:before="0" w:after="0" w:line="420" w:lineRule="exact"/>
        <w:ind w:firstLine="442" w:firstLineChars="200"/>
        <w:rPr>
          <w:rFonts w:asciiTheme="minorEastAsia" w:hAnsiTheme="minorEastAsia" w:eastAsiaTheme="minorEastAsia" w:cstheme="minorEastAsia"/>
          <w:sz w:val="22"/>
          <w:szCs w:val="22"/>
        </w:rPr>
      </w:pPr>
      <w:bookmarkStart w:id="734" w:name="_Toc296503129"/>
      <w:bookmarkStart w:id="735" w:name="_Toc296346630"/>
      <w:bookmarkStart w:id="736" w:name="_Toc351203604"/>
      <w:bookmarkStart w:id="737" w:name="_Toc532377292"/>
      <w:bookmarkStart w:id="738" w:name="_Toc337558821"/>
      <w:r>
        <w:rPr>
          <w:rFonts w:hint="eastAsia" w:asciiTheme="minorEastAsia" w:hAnsiTheme="minorEastAsia" w:eastAsiaTheme="minorEastAsia" w:cstheme="minorEastAsia"/>
          <w:sz w:val="22"/>
          <w:szCs w:val="22"/>
        </w:rPr>
        <w:t>16.1 发</w:t>
      </w:r>
      <w:bookmarkEnd w:id="734"/>
      <w:bookmarkEnd w:id="735"/>
      <w:r>
        <w:rPr>
          <w:rFonts w:hint="eastAsia" w:asciiTheme="minorEastAsia" w:hAnsiTheme="minorEastAsia" w:eastAsiaTheme="minorEastAsia" w:cstheme="minorEastAsia"/>
          <w:sz w:val="22"/>
          <w:szCs w:val="22"/>
        </w:rPr>
        <w:t>包人违约</w:t>
      </w:r>
      <w:bookmarkEnd w:id="736"/>
      <w:bookmarkEnd w:id="737"/>
    </w:p>
    <w:bookmarkEnd w:id="738"/>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16.1.1 发包人违约的情形</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在合同履行过程中发生的下列情形，属于发包人违约：</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（1）因发包人原因未能在计划开工日期前7天内下达开工通知的；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（2）因发包人原因未能按合同约定支付合同价款的；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（3）发包人违反第10.1款〔变更的范围〕第（2）项约定，自行实施被取消的工作或转由他人实施的；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（4）发包人提供的材料、工程设备的规格、数量或质量不符合合同约定，或因发包人原因导致交货日期延误或交货地点变更等情况的；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（5）因发包人违反合同约定造成暂停施工的；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（6）发包人无正当理由没有在约定期限内发出复工指示，导致承包人无法复工的；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（7）发包人明确表示或者以其行为表明不履行合同主要义务的；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（8）发包人未能按照合同约定履行其他义务的。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16.1.2 发包人违约的责任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16.1.3 因发包人违约解除合同</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16.1.4 因发包人违约解除合同后的付款</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承包人按照本款约定解除合同的，发包人应在解除合同后28天内支付下列款项，并解除履约担保：</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（1）合同解除前所完成工作的价款；</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（2）承包人为工程施工订购并已付款的材料、工程设备和其他物品的价款；</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（3）承包人撤离施工现场以及遣散承包人人员的款项；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（4）按照合同约定在合同解除前应支付的违约金；</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（5）按照合同约定应当支付给承包人的其他款项；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（6）按照合同约定应退还的质量保证金；</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（7）因解除合同给承包人造成的损失。</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合同当事人未能就解除合同后的结清达成一致的，按照第20条〔争议解决〕的约定处理。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承包人应妥善做好已完工程和与工程有关的已购材料、工程设备的保护和移交工作，并将施工设备和人员撤出施工现场，发包人应为承包人撤出提供必要条件。</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39" w:name="_Toc532377293"/>
      <w:bookmarkStart w:id="740" w:name="_Toc351203605"/>
      <w:bookmarkStart w:id="741" w:name="_Toc296503131"/>
      <w:bookmarkStart w:id="742" w:name="_Toc337558822"/>
      <w:bookmarkStart w:id="743" w:name="_Toc296346632"/>
      <w:r>
        <w:rPr>
          <w:rFonts w:hint="eastAsia" w:asciiTheme="minorEastAsia" w:hAnsiTheme="minorEastAsia" w:eastAsiaTheme="minorEastAsia" w:cstheme="minorEastAsia"/>
          <w:sz w:val="22"/>
          <w:szCs w:val="22"/>
        </w:rPr>
        <w:t>16.2 承包人违约</w:t>
      </w:r>
      <w:bookmarkEnd w:id="739"/>
      <w:bookmarkEnd w:id="740"/>
    </w:p>
    <w:bookmarkEnd w:id="741"/>
    <w:bookmarkEnd w:id="742"/>
    <w:bookmarkEnd w:id="743"/>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16.2.1 承包人违约的情形</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在合同履行过程中发生的下列情形，属于承包人违约：</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（1）承包人违反合同约定进行转包或违法分包的；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（2）承包人违反合同约定采购和使用不合格的材料和工程设备的；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（3）因承包人原因导致工程质量不符合合同要求的； </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（4）承包人违反第8.9款〔材料与设备专用要求〕的约定，未经批准，私自将已按照合同约定进入施工现场的材料或设备撤离施工现场的；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（5）承包人未能按施工进度计划及时完成合同约定的工作，造成工期延误的；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（6）承包人在缺陷责任期及保修期内，未能在合理期限对工程缺陷进行修复，或拒绝按发包人要求进行修复的；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（7）承包人明确表示或者以其行为表明不履行合同主要义务的；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（8）承包人未能按照合同约定履行其他义务的。</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承包人发生除本项第（7）目约定以外的其他违约情况时，监理人可向承包人发出整改通知，要求其在指定的期限内改正。</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16.2.2 承包人违约的责任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承包人应承担因其违约行为而增加的费用和（或）延误的工期。此外，合同当事人可在专用合同条款中另行约定承包人违约责任的承担方式和计算方法。</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16.2.3 因承包人违约解除合同</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16.2.4因承包人违约解除合同后的处理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因承包人原因导致合同解除的，则合同当事人应在合同解除后28天内完成估价、付款和清算，并按以下约定执行：</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（1）合同解除后，按第4.4款〔商定或确定〕商定或确定承包人实际完成工作对应的合同价款，以及承包人已提供的材料、工程设备、施工设备和临时工程等的价值；</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（2）合同解除后，承包人应支付的违约金；</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（3）合同解除后，因解除合同给发包人造成的损失；</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（4）合同解除后，承包人应按照发包人要求和监理人的指示完成现场的清理和撤离；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（5）发包人和承包人应在合同解除后进行清算，出具最终结清付款证书，结清全部款项。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16.2.5采购合同权益转让</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44" w:name="_Toc532377294"/>
      <w:bookmarkStart w:id="745" w:name="_Toc351203606"/>
      <w:r>
        <w:rPr>
          <w:rFonts w:hint="eastAsia" w:asciiTheme="minorEastAsia" w:hAnsiTheme="minorEastAsia" w:eastAsiaTheme="minorEastAsia" w:cstheme="minorEastAsia"/>
          <w:sz w:val="22"/>
          <w:szCs w:val="22"/>
        </w:rPr>
        <w:t>16.3 第三人造成的违约</w:t>
      </w:r>
      <w:bookmarkEnd w:id="744"/>
      <w:bookmarkEnd w:id="745"/>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在履行合同过程中，一方当事人因第三人的原因造成违约的，应当向对方当事人承担违约责任。一方当事人和第三人之间的纠纷，依照法律规定或者按照约定解决。</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746" w:name="_Toc532377295"/>
      <w:bookmarkStart w:id="747" w:name="_Toc351203607"/>
      <w:bookmarkStart w:id="748" w:name="_Toc296346617"/>
      <w:bookmarkStart w:id="749" w:name="_Toc337558823"/>
      <w:bookmarkStart w:id="750" w:name="_Toc532375603"/>
      <w:bookmarkStart w:id="751" w:name="_Toc296503116"/>
      <w:r>
        <w:rPr>
          <w:rFonts w:hint="eastAsia" w:asciiTheme="minorEastAsia" w:hAnsiTheme="minorEastAsia" w:eastAsiaTheme="minorEastAsia" w:cstheme="minorEastAsia"/>
          <w:b/>
          <w:bCs/>
          <w:sz w:val="22"/>
          <w:szCs w:val="22"/>
        </w:rPr>
        <w:t>17. 不可抗力</w:t>
      </w:r>
      <w:bookmarkEnd w:id="746"/>
      <w:bookmarkEnd w:id="747"/>
      <w:bookmarkEnd w:id="748"/>
      <w:bookmarkEnd w:id="749"/>
      <w:bookmarkEnd w:id="750"/>
      <w:bookmarkEnd w:id="751"/>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52" w:name="_Toc351203608"/>
      <w:bookmarkStart w:id="753" w:name="_Toc532377296"/>
      <w:bookmarkStart w:id="754" w:name="_Toc296503117"/>
      <w:bookmarkStart w:id="755" w:name="_Toc337558824"/>
      <w:bookmarkStart w:id="756" w:name="_Toc296346618"/>
      <w:r>
        <w:rPr>
          <w:rFonts w:hint="eastAsia" w:asciiTheme="minorEastAsia" w:hAnsiTheme="minorEastAsia" w:eastAsiaTheme="minorEastAsia" w:cstheme="minorEastAsia"/>
          <w:sz w:val="22"/>
          <w:szCs w:val="22"/>
        </w:rPr>
        <w:t>17.1 不可抗力的确认</w:t>
      </w:r>
      <w:bookmarkEnd w:id="752"/>
      <w:bookmarkEnd w:id="753"/>
    </w:p>
    <w:bookmarkEnd w:id="754"/>
    <w:bookmarkEnd w:id="755"/>
    <w:bookmarkEnd w:id="756"/>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57" w:name="_Toc532377297"/>
      <w:bookmarkStart w:id="758" w:name="_Toc351203609"/>
      <w:bookmarkStart w:id="759" w:name="_Toc337558825"/>
      <w:bookmarkStart w:id="760" w:name="_Toc296346619"/>
      <w:bookmarkStart w:id="761" w:name="_Toc296503118"/>
      <w:r>
        <w:rPr>
          <w:rFonts w:hint="eastAsia" w:asciiTheme="minorEastAsia" w:hAnsiTheme="minorEastAsia" w:eastAsiaTheme="minorEastAsia" w:cstheme="minorEastAsia"/>
          <w:sz w:val="22"/>
          <w:szCs w:val="22"/>
        </w:rPr>
        <w:t>17.2 不可抗力的通知</w:t>
      </w:r>
      <w:bookmarkEnd w:id="757"/>
      <w:bookmarkEnd w:id="758"/>
    </w:p>
    <w:bookmarkEnd w:id="759"/>
    <w:bookmarkEnd w:id="760"/>
    <w:bookmarkEnd w:id="761"/>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62" w:name="_Toc532377298"/>
      <w:r>
        <w:rPr>
          <w:rFonts w:hint="eastAsia" w:asciiTheme="minorEastAsia" w:hAnsiTheme="minorEastAsia" w:eastAsiaTheme="minorEastAsia" w:cstheme="minorEastAsia"/>
          <w:sz w:val="22"/>
          <w:szCs w:val="22"/>
        </w:rPr>
        <w:t>17.3 不可抗力后果的承担</w:t>
      </w:r>
      <w:bookmarkEnd w:id="762"/>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17.3.1 不可抗力引起的后果及造成的损失由合同当事人按照法律规定及合同约定各自承担。不可抗力发生前已完成的工程应当按照合同约定进行计量支付。</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17.3.2 不可抗力导致的人员伤亡、财产损失、费用增加和（或）工期延误等后果，由合同当事人按以下原则承担：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（1）永久工程、已运至施工现场的材料和工程设备的损坏，以及因工程损坏造成的第三人人员伤亡和财产损失由发包人承担；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（2）承包人施工设备的损坏由承包人承担；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（3）发包人和承包人承担各自人员伤亡和财产的损失；</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（5）因不可抗力引起或将引起工期延误，发包人要求赶工的，由此增加的赶工费用由发包人承担；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（6）承包人在停工期间按照发包人要求照管、清理和修复工程的费用由发包人承担。</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不可抗力发生后，合同当事人均应采取措施尽量避免和减少损失的扩大，任何一方当事人没有采取有效措施导致损失扩大的，应对扩大的损失承担责任。</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因合同一方迟延履行合同义务，在迟延履行期间遭遇不可抗力的，不免除其违约责任。</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63" w:name="_Toc351203611"/>
      <w:bookmarkStart w:id="764" w:name="_Toc532377299"/>
      <w:bookmarkStart w:id="765" w:name="_Toc337558827"/>
      <w:r>
        <w:rPr>
          <w:rFonts w:hint="eastAsia" w:asciiTheme="minorEastAsia" w:hAnsiTheme="minorEastAsia" w:eastAsiaTheme="minorEastAsia" w:cstheme="minorEastAsia"/>
          <w:sz w:val="22"/>
          <w:szCs w:val="22"/>
        </w:rPr>
        <w:t>17.4 因不可抗力解除合同</w:t>
      </w:r>
      <w:bookmarkEnd w:id="763"/>
      <w:bookmarkEnd w:id="764"/>
    </w:p>
    <w:bookmarkEnd w:id="765"/>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（1）合同解除前承包人已完成工作的价款；</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（2）承包人为工程订购的并已交付给承包人，或承包人有责任接受交付的材料、工程设备和其他物品的价款；</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（3）发包人要求承包人退货或解除订货合同而产生的费用，或因不能退货或解除合同而产生的损失；</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（4）承包人撤离施工现场以及遣散承包人人员的费用；</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（5）按照合同约定在合同解除前应支付给承包人的其他款项；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（6）扣减承包人按照合同约定应向发包人支付的款项；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（7）双方商定或确定的其他款项。</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除专用合同条款另有约定外，合同解除后，发包人应在商定或确定上述款项后28天内完成上述款项的支付。</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766" w:name="_Toc532375604"/>
      <w:bookmarkStart w:id="767" w:name="_Toc351203612"/>
      <w:bookmarkStart w:id="768" w:name="_Toc532377300"/>
      <w:bookmarkStart w:id="769" w:name="_Toc296503120"/>
      <w:bookmarkStart w:id="770" w:name="_Toc337558828"/>
      <w:bookmarkStart w:id="771" w:name="_Toc296346621"/>
      <w:r>
        <w:rPr>
          <w:rFonts w:hint="eastAsia" w:asciiTheme="minorEastAsia" w:hAnsiTheme="minorEastAsia" w:eastAsiaTheme="minorEastAsia" w:cstheme="minorEastAsia"/>
          <w:b/>
          <w:bCs/>
          <w:sz w:val="22"/>
          <w:szCs w:val="22"/>
        </w:rPr>
        <w:t>18. 保险</w:t>
      </w:r>
      <w:bookmarkEnd w:id="766"/>
      <w:bookmarkEnd w:id="767"/>
      <w:bookmarkEnd w:id="768"/>
    </w:p>
    <w:bookmarkEnd w:id="769"/>
    <w:bookmarkEnd w:id="770"/>
    <w:bookmarkEnd w:id="771"/>
    <w:p>
      <w:pPr>
        <w:pStyle w:val="7"/>
        <w:spacing w:before="0" w:after="0" w:line="420" w:lineRule="exact"/>
        <w:ind w:firstLine="442" w:firstLineChars="200"/>
        <w:rPr>
          <w:rFonts w:asciiTheme="minorEastAsia" w:hAnsiTheme="minorEastAsia" w:eastAsiaTheme="minorEastAsia" w:cstheme="minorEastAsia"/>
          <w:sz w:val="22"/>
          <w:szCs w:val="22"/>
        </w:rPr>
      </w:pPr>
      <w:bookmarkStart w:id="772" w:name="_Toc532377301"/>
      <w:bookmarkStart w:id="773" w:name="_Toc351203613"/>
      <w:bookmarkStart w:id="774" w:name="_Toc296503121"/>
      <w:bookmarkStart w:id="775" w:name="_Toc337558829"/>
      <w:bookmarkStart w:id="776" w:name="_Toc296346622"/>
      <w:r>
        <w:rPr>
          <w:rFonts w:hint="eastAsia" w:asciiTheme="minorEastAsia" w:hAnsiTheme="minorEastAsia" w:eastAsiaTheme="minorEastAsia" w:cstheme="minorEastAsia"/>
          <w:sz w:val="22"/>
          <w:szCs w:val="22"/>
        </w:rPr>
        <w:t>18.1 工程保险</w:t>
      </w:r>
      <w:bookmarkEnd w:id="772"/>
      <w:bookmarkEnd w:id="773"/>
    </w:p>
    <w:bookmarkEnd w:id="774"/>
    <w:bookmarkEnd w:id="775"/>
    <w:bookmarkEnd w:id="776"/>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除专用合同条款另有约定外，发包人应投保建筑工程一切险或安装工程一切险；发包人委托承包人投保的，因投保产生的保险费和其他相关费用由发包人承担。</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77" w:name="_Toc532377302"/>
      <w:bookmarkStart w:id="778" w:name="_Toc351203614"/>
      <w:bookmarkStart w:id="779" w:name="_Toc296346623"/>
      <w:bookmarkStart w:id="780" w:name="_Toc296503122"/>
      <w:bookmarkStart w:id="781" w:name="_Toc337558830"/>
      <w:r>
        <w:rPr>
          <w:rFonts w:hint="eastAsia" w:asciiTheme="minorEastAsia" w:hAnsiTheme="minorEastAsia" w:eastAsiaTheme="minorEastAsia" w:cstheme="minorEastAsia"/>
          <w:sz w:val="22"/>
          <w:szCs w:val="22"/>
        </w:rPr>
        <w:t>18.2 工伤保险</w:t>
      </w:r>
      <w:bookmarkEnd w:id="777"/>
      <w:bookmarkEnd w:id="778"/>
    </w:p>
    <w:bookmarkEnd w:id="779"/>
    <w:bookmarkEnd w:id="780"/>
    <w:bookmarkEnd w:id="781"/>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18.2.2 承包人应依照法律规定参加工伤保险，并为其履行合同的全部员工办理工伤保险，缴纳工伤保险费，并要求分包人及由承包人为履行合同聘请的第三方依法参加工伤保险。</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82" w:name="_Toc532377303"/>
      <w:bookmarkStart w:id="783" w:name="_Toc351203615"/>
      <w:bookmarkStart w:id="784" w:name="_Toc337558831"/>
      <w:bookmarkStart w:id="785" w:name="_Toc296503125"/>
      <w:bookmarkStart w:id="786" w:name="_Toc296346626"/>
      <w:r>
        <w:rPr>
          <w:rFonts w:hint="eastAsia" w:asciiTheme="minorEastAsia" w:hAnsiTheme="minorEastAsia" w:eastAsiaTheme="minorEastAsia" w:cstheme="minorEastAsia"/>
          <w:sz w:val="22"/>
          <w:szCs w:val="22"/>
        </w:rPr>
        <w:t>18.3其他保险</w:t>
      </w:r>
      <w:bookmarkEnd w:id="782"/>
      <w:bookmarkEnd w:id="783"/>
    </w:p>
    <w:bookmarkEnd w:id="784"/>
    <w:bookmarkEnd w:id="785"/>
    <w:bookmarkEnd w:id="786"/>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除专用合同条款另有约定外，承包人应为其施工设备等办理财产保险。</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87" w:name="_Toc532377304"/>
      <w:bookmarkStart w:id="788" w:name="_Toc351203616"/>
      <w:r>
        <w:rPr>
          <w:rFonts w:hint="eastAsia" w:asciiTheme="minorEastAsia" w:hAnsiTheme="minorEastAsia" w:eastAsiaTheme="minorEastAsia" w:cstheme="minorEastAsia"/>
          <w:sz w:val="22"/>
          <w:szCs w:val="22"/>
        </w:rPr>
        <w:t>18.4持续保险</w:t>
      </w:r>
      <w:bookmarkEnd w:id="787"/>
      <w:bookmarkEnd w:id="788"/>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合同当事人应与保险人保持联系，使保险人能够随时了解工程实施中的变动，并确保按保险合同条款要求持续保险。</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89" w:name="_Toc351203617"/>
      <w:bookmarkStart w:id="790" w:name="_Toc532377305"/>
      <w:bookmarkStart w:id="791" w:name="_Toc337558832"/>
      <w:bookmarkStart w:id="792" w:name="_Toc296346627"/>
      <w:bookmarkStart w:id="793" w:name="_Toc296503126"/>
      <w:r>
        <w:rPr>
          <w:rFonts w:hint="eastAsia" w:asciiTheme="minorEastAsia" w:hAnsiTheme="minorEastAsia" w:eastAsiaTheme="minorEastAsia" w:cstheme="minorEastAsia"/>
          <w:sz w:val="22"/>
          <w:szCs w:val="22"/>
        </w:rPr>
        <w:t>18.5 保险凭证</w:t>
      </w:r>
      <w:bookmarkEnd w:id="789"/>
      <w:bookmarkEnd w:id="790"/>
    </w:p>
    <w:bookmarkEnd w:id="791"/>
    <w:bookmarkEnd w:id="792"/>
    <w:bookmarkEnd w:id="793"/>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合同当事人应及时向另一方当事人提交其已投保的各项保险的凭证和保险单复印件。</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94" w:name="_Toc532377306"/>
      <w:bookmarkStart w:id="795" w:name="_Toc351203618"/>
      <w:bookmarkStart w:id="796" w:name="_Toc296346628"/>
      <w:bookmarkStart w:id="797" w:name="_Toc337558833"/>
      <w:bookmarkStart w:id="798" w:name="_Toc296503127"/>
      <w:r>
        <w:rPr>
          <w:rFonts w:hint="eastAsia" w:asciiTheme="minorEastAsia" w:hAnsiTheme="minorEastAsia" w:eastAsiaTheme="minorEastAsia" w:cstheme="minorEastAsia"/>
          <w:sz w:val="22"/>
          <w:szCs w:val="22"/>
        </w:rPr>
        <w:t>18.6 未按约定投保的补救</w:t>
      </w:r>
      <w:bookmarkEnd w:id="794"/>
      <w:bookmarkEnd w:id="795"/>
    </w:p>
    <w:bookmarkEnd w:id="796"/>
    <w:bookmarkEnd w:id="797"/>
    <w:bookmarkEnd w:id="798"/>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799" w:name="_Toc351203619"/>
      <w:bookmarkStart w:id="800" w:name="_Toc532377307"/>
      <w:bookmarkStart w:id="801" w:name="_Toc337558834"/>
      <w:r>
        <w:rPr>
          <w:rFonts w:hint="eastAsia" w:asciiTheme="minorEastAsia" w:hAnsiTheme="minorEastAsia" w:eastAsiaTheme="minorEastAsia" w:cstheme="minorEastAsia"/>
          <w:sz w:val="22"/>
          <w:szCs w:val="22"/>
        </w:rPr>
        <w:t>18.7 通知义务</w:t>
      </w:r>
      <w:bookmarkEnd w:id="799"/>
      <w:bookmarkEnd w:id="800"/>
    </w:p>
    <w:bookmarkEnd w:id="801"/>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保险事故发生时，投保人应按照保险合同规定的条件和期限及时向保险人报告。发包人和承包人应当在知道保险事故发生后及时通知对方。</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802" w:name="_Toc532377308"/>
      <w:bookmarkStart w:id="803" w:name="_Toc532375605"/>
      <w:r>
        <w:rPr>
          <w:rFonts w:hint="eastAsia" w:asciiTheme="minorEastAsia" w:hAnsiTheme="minorEastAsia" w:eastAsiaTheme="minorEastAsia" w:cstheme="minorEastAsia"/>
          <w:b/>
          <w:bCs/>
          <w:sz w:val="22"/>
          <w:szCs w:val="22"/>
        </w:rPr>
        <w:t>19. 索赔</w:t>
      </w:r>
      <w:bookmarkEnd w:id="802"/>
      <w:bookmarkEnd w:id="803"/>
    </w:p>
    <w:p>
      <w:pPr>
        <w:pStyle w:val="7"/>
        <w:spacing w:before="0" w:after="0" w:line="420" w:lineRule="exact"/>
        <w:ind w:firstLine="442" w:firstLineChars="200"/>
        <w:rPr>
          <w:rFonts w:asciiTheme="minorEastAsia" w:hAnsiTheme="minorEastAsia" w:eastAsiaTheme="minorEastAsia" w:cstheme="minorEastAsia"/>
          <w:sz w:val="22"/>
          <w:szCs w:val="22"/>
        </w:rPr>
      </w:pPr>
      <w:bookmarkStart w:id="804" w:name="_Toc532377309"/>
      <w:r>
        <w:rPr>
          <w:rFonts w:hint="eastAsia" w:asciiTheme="minorEastAsia" w:hAnsiTheme="minorEastAsia" w:eastAsiaTheme="minorEastAsia" w:cstheme="minorEastAsia"/>
          <w:sz w:val="22"/>
          <w:szCs w:val="22"/>
        </w:rPr>
        <w:t>19.1承包人的索赔</w:t>
      </w:r>
      <w:bookmarkEnd w:id="804"/>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根据合同约定，承包人认为有权得到追加付款和（或）延长工期的，应按以下程序向发包人提出索赔：</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（3）索赔事件具有持续影响的，承包人应按合理时间间隔继续递交延续索赔通知，说明持续影响的实际情况和记录，列出累计的追加付款金额和（或）工期延长天数；</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（4）在索赔事件影响结束后28天内，承包人应向监理人递交最终索赔报告，说明最终要求索赔的追加付款金额和（或）延长的工期，并附必要的记录和证明材料。</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805" w:name="_Toc532377310"/>
      <w:bookmarkStart w:id="806" w:name="_Toc351203622"/>
      <w:bookmarkStart w:id="807" w:name="_Toc296503142"/>
      <w:bookmarkStart w:id="808" w:name="_Toc337558837"/>
      <w:bookmarkStart w:id="809" w:name="_Toc296346643"/>
      <w:r>
        <w:rPr>
          <w:rFonts w:hint="eastAsia" w:asciiTheme="minorEastAsia" w:hAnsiTheme="minorEastAsia" w:eastAsiaTheme="minorEastAsia" w:cstheme="minorEastAsia"/>
          <w:sz w:val="22"/>
          <w:szCs w:val="22"/>
        </w:rPr>
        <w:t>19.2 对承包人索赔的处理</w:t>
      </w:r>
      <w:bookmarkEnd w:id="805"/>
      <w:bookmarkEnd w:id="806"/>
    </w:p>
    <w:bookmarkEnd w:id="807"/>
    <w:bookmarkEnd w:id="808"/>
    <w:bookmarkEnd w:id="809"/>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对承包人索赔的处理如下：</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（1）监理人应在收到索赔报告后14天内完成审查并报送发包人。监理人对索赔报告存在异议的，有权要求承包人提交全部原始记录副本；</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（3）承包人接受索赔处理结果的，索赔款项在当期进度款中进行支付；承包人不接受索赔处理结果的，按照第20条〔争议解决〕约定处理。</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810" w:name="_Toc351203623"/>
      <w:bookmarkStart w:id="811" w:name="_Toc532377311"/>
      <w:bookmarkStart w:id="812" w:name="_Toc296503143"/>
      <w:bookmarkStart w:id="813" w:name="_Toc296346644"/>
      <w:bookmarkStart w:id="814" w:name="_Toc337558838"/>
      <w:r>
        <w:rPr>
          <w:rFonts w:hint="eastAsia" w:asciiTheme="minorEastAsia" w:hAnsiTheme="minorEastAsia" w:eastAsiaTheme="minorEastAsia" w:cstheme="minorEastAsia"/>
          <w:sz w:val="22"/>
          <w:szCs w:val="22"/>
        </w:rPr>
        <w:t>19.3发包人的索赔</w:t>
      </w:r>
      <w:bookmarkEnd w:id="810"/>
      <w:bookmarkEnd w:id="811"/>
    </w:p>
    <w:bookmarkEnd w:id="812"/>
    <w:bookmarkEnd w:id="813"/>
    <w:bookmarkEnd w:id="814"/>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根据合同约定，发包人认为有权得到赔付金额和（或）延长缺陷责任期的，监理人应向承包人发出通知并附有详细的证明。</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815" w:name="_Toc532377312"/>
      <w:bookmarkStart w:id="816" w:name="_Toc351203624"/>
      <w:bookmarkStart w:id="817" w:name="_Toc337558839"/>
      <w:bookmarkStart w:id="818" w:name="_Toc296346645"/>
      <w:bookmarkStart w:id="819" w:name="_Toc296503144"/>
      <w:r>
        <w:rPr>
          <w:rFonts w:hint="eastAsia" w:asciiTheme="minorEastAsia" w:hAnsiTheme="minorEastAsia" w:eastAsiaTheme="minorEastAsia" w:cstheme="minorEastAsia"/>
          <w:sz w:val="22"/>
          <w:szCs w:val="22"/>
        </w:rPr>
        <w:t>19.4 对发包人索赔的处理</w:t>
      </w:r>
      <w:bookmarkEnd w:id="815"/>
      <w:bookmarkEnd w:id="816"/>
    </w:p>
    <w:bookmarkEnd w:id="817"/>
    <w:bookmarkEnd w:id="818"/>
    <w:bookmarkEnd w:id="819"/>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对发包人索赔的处理如下：</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（1）承包人收到发包人提交的索赔报告后，应及时审查索赔报告的内容、查验发包人证明材料；</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（3）承包人接受索赔处理结果的，发包人可从应支付给承包人的合同价款中扣除赔付的金额或延长缺陷责任期；发包人不接受索赔处理结果的，按第20条〔争议解决〕约定处理。</w:t>
      </w:r>
    </w:p>
    <w:p>
      <w:pPr>
        <w:pStyle w:val="7"/>
        <w:spacing w:before="0" w:after="0" w:line="420" w:lineRule="exact"/>
        <w:ind w:firstLine="440" w:firstLineChars="200"/>
        <w:rPr>
          <w:rFonts w:asciiTheme="minorEastAsia" w:hAnsiTheme="minorEastAsia" w:eastAsiaTheme="minorEastAsia" w:cstheme="minorEastAsia"/>
          <w:b w:val="0"/>
          <w:sz w:val="22"/>
          <w:szCs w:val="22"/>
        </w:rPr>
      </w:pPr>
      <w:bookmarkStart w:id="820" w:name="_Toc351203625"/>
      <w:bookmarkStart w:id="821" w:name="_Toc532377313"/>
      <w:r>
        <w:rPr>
          <w:rFonts w:hint="eastAsia" w:asciiTheme="minorEastAsia" w:hAnsiTheme="minorEastAsia" w:eastAsiaTheme="minorEastAsia" w:cstheme="minorEastAsia"/>
          <w:b w:val="0"/>
          <w:sz w:val="22"/>
          <w:szCs w:val="22"/>
        </w:rPr>
        <w:t>19.5 提出索赔的期限</w:t>
      </w:r>
      <w:bookmarkEnd w:id="820"/>
      <w:bookmarkEnd w:id="821"/>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（1）承包人按第14.2款〔竣工结算审核〕约定接收竣工付款证书后，应被视为已无权再提出在工程接收证书颁发前所发生的任何索赔。</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（2）承包人按第14.4款〔最终结清〕提交的最终结清申请单中，只限于提出工程接收证书颁发后发生的索赔。提出索赔的期限自接受最终结清证书时终止。</w:t>
      </w:r>
    </w:p>
    <w:p>
      <w:pPr>
        <w:pStyle w:val="6"/>
        <w:keepNext/>
        <w:keepLines/>
        <w:spacing w:before="120" w:beforeLines="50" w:after="120" w:afterLines="50" w:line="420" w:lineRule="exact"/>
        <w:jc w:val="both"/>
        <w:rPr>
          <w:rFonts w:asciiTheme="minorEastAsia" w:hAnsiTheme="minorEastAsia" w:eastAsiaTheme="minorEastAsia" w:cstheme="minorEastAsia"/>
          <w:b/>
          <w:bCs/>
          <w:sz w:val="22"/>
          <w:szCs w:val="22"/>
        </w:rPr>
      </w:pPr>
      <w:bookmarkStart w:id="822" w:name="_Toc532375606"/>
      <w:bookmarkStart w:id="823" w:name="_Toc532377314"/>
      <w:bookmarkStart w:id="824" w:name="_Toc351203626"/>
      <w:r>
        <w:rPr>
          <w:rFonts w:hint="eastAsia" w:asciiTheme="minorEastAsia" w:hAnsiTheme="minorEastAsia" w:eastAsiaTheme="minorEastAsia" w:cstheme="minorEastAsia"/>
          <w:b/>
          <w:bCs/>
          <w:sz w:val="22"/>
          <w:szCs w:val="22"/>
        </w:rPr>
        <w:t>20</w:t>
      </w:r>
      <w:bookmarkStart w:id="825" w:name="_Toc296503146"/>
      <w:bookmarkStart w:id="826" w:name="_Toc337558840"/>
      <w:bookmarkStart w:id="827" w:name="_Toc296346647"/>
      <w:r>
        <w:rPr>
          <w:rFonts w:hint="eastAsia" w:asciiTheme="minorEastAsia" w:hAnsiTheme="minorEastAsia" w:eastAsiaTheme="minorEastAsia" w:cstheme="minorEastAsia"/>
          <w:b/>
          <w:bCs/>
          <w:sz w:val="22"/>
          <w:szCs w:val="22"/>
        </w:rPr>
        <w:t>. 争议解决</w:t>
      </w:r>
      <w:bookmarkEnd w:id="822"/>
      <w:bookmarkEnd w:id="823"/>
      <w:bookmarkEnd w:id="824"/>
    </w:p>
    <w:bookmarkEnd w:id="825"/>
    <w:bookmarkEnd w:id="826"/>
    <w:bookmarkEnd w:id="827"/>
    <w:p>
      <w:pPr>
        <w:pStyle w:val="7"/>
        <w:spacing w:before="0" w:after="0" w:line="420" w:lineRule="exact"/>
        <w:ind w:firstLine="442" w:firstLineChars="200"/>
        <w:rPr>
          <w:rFonts w:asciiTheme="minorEastAsia" w:hAnsiTheme="minorEastAsia" w:eastAsiaTheme="minorEastAsia" w:cstheme="minorEastAsia"/>
          <w:sz w:val="22"/>
          <w:szCs w:val="22"/>
        </w:rPr>
      </w:pPr>
      <w:bookmarkStart w:id="828" w:name="_Toc351203627"/>
      <w:bookmarkStart w:id="829" w:name="_Toc532377315"/>
      <w:bookmarkStart w:id="830" w:name="_Toc296503147"/>
      <w:bookmarkStart w:id="831" w:name="_Toc337558841"/>
      <w:bookmarkStart w:id="832" w:name="_Toc296346648"/>
      <w:r>
        <w:rPr>
          <w:rFonts w:hint="eastAsia" w:asciiTheme="minorEastAsia" w:hAnsiTheme="minorEastAsia" w:eastAsiaTheme="minorEastAsia" w:cstheme="minorEastAsia"/>
          <w:sz w:val="22"/>
          <w:szCs w:val="22"/>
        </w:rPr>
        <w:t>20.1和解</w:t>
      </w:r>
      <w:bookmarkEnd w:id="828"/>
      <w:bookmarkEnd w:id="829"/>
    </w:p>
    <w:bookmarkEnd w:id="830"/>
    <w:bookmarkEnd w:id="831"/>
    <w:bookmarkEnd w:id="832"/>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合同当事人可以就争议自行和解，自行和解达成协议的经双方签字并盖章后作为合同补充文件，双方均应遵照执行。</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833" w:name="_Toc532377316"/>
      <w:bookmarkStart w:id="834" w:name="_Toc351203628"/>
      <w:r>
        <w:rPr>
          <w:rFonts w:hint="eastAsia" w:asciiTheme="minorEastAsia" w:hAnsiTheme="minorEastAsia" w:eastAsiaTheme="minorEastAsia" w:cstheme="minorEastAsia"/>
          <w:sz w:val="22"/>
          <w:szCs w:val="22"/>
        </w:rPr>
        <w:t>20</w:t>
      </w:r>
      <w:bookmarkStart w:id="835" w:name="_Toc337558842"/>
      <w:bookmarkStart w:id="836" w:name="_Toc296503148"/>
      <w:bookmarkStart w:id="837" w:name="_Toc296346649"/>
      <w:r>
        <w:rPr>
          <w:rFonts w:hint="eastAsia" w:asciiTheme="minorEastAsia" w:hAnsiTheme="minorEastAsia" w:eastAsiaTheme="minorEastAsia" w:cstheme="minorEastAsia"/>
          <w:sz w:val="22"/>
          <w:szCs w:val="22"/>
        </w:rPr>
        <w:t>.2调解</w:t>
      </w:r>
      <w:bookmarkEnd w:id="833"/>
      <w:bookmarkEnd w:id="834"/>
    </w:p>
    <w:bookmarkEnd w:id="835"/>
    <w:bookmarkEnd w:id="836"/>
    <w:bookmarkEnd w:id="837"/>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合同当事人可以就争议请求建设行政主管部门、行业协会或其他第三方进行调解，调解达成协议的，经双方签字并盖章后作为合同补充文件，双方均应遵照执行。</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838" w:name="_Toc351203629"/>
      <w:bookmarkStart w:id="839" w:name="_Toc532377317"/>
      <w:bookmarkStart w:id="840" w:name="_Toc296503149"/>
      <w:bookmarkStart w:id="841" w:name="_Toc296346650"/>
      <w:bookmarkStart w:id="842" w:name="_Toc337558843"/>
      <w:r>
        <w:rPr>
          <w:rFonts w:hint="eastAsia" w:asciiTheme="minorEastAsia" w:hAnsiTheme="minorEastAsia" w:eastAsiaTheme="minorEastAsia" w:cstheme="minorEastAsia"/>
          <w:sz w:val="22"/>
          <w:szCs w:val="22"/>
        </w:rPr>
        <w:t>20.3争议评审</w:t>
      </w:r>
      <w:bookmarkEnd w:id="838"/>
      <w:bookmarkEnd w:id="839"/>
    </w:p>
    <w:bookmarkEnd w:id="840"/>
    <w:bookmarkEnd w:id="841"/>
    <w:bookmarkEnd w:id="842"/>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合同当事人在专用合同条款中约定采取争议评审方式解决争议以及评审规则，并按下列约定执行： </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20.3.1 争议评审小组的确定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除专用合同条款另有约定外，评审员报酬由发包人和承包人各承担一半。</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20.3.2 争议评审小组的决定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20.3.3 争议评审小组决定的效力</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争议评审小组作出的书面决定经合同当事人签字确认后，对双方具有约束力，双方应遵照执行。</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任何一方当事人不接受争议评审小组决定或不履行争议评审小组决定的，双方可选择采用其他争议解决方式。</w:t>
      </w:r>
    </w:p>
    <w:p>
      <w:pPr>
        <w:pStyle w:val="7"/>
        <w:spacing w:before="0" w:after="0" w:line="420" w:lineRule="exact"/>
        <w:ind w:firstLine="442" w:firstLineChars="200"/>
        <w:rPr>
          <w:rFonts w:asciiTheme="minorEastAsia" w:hAnsiTheme="minorEastAsia" w:eastAsiaTheme="minorEastAsia" w:cstheme="minorEastAsia"/>
          <w:sz w:val="22"/>
          <w:szCs w:val="22"/>
        </w:rPr>
      </w:pPr>
      <w:bookmarkStart w:id="843" w:name="_Toc351203630"/>
      <w:bookmarkStart w:id="844" w:name="_Toc532377318"/>
      <w:bookmarkStart w:id="845" w:name="_Toc337558844"/>
      <w:bookmarkStart w:id="846" w:name="_Toc296346651"/>
      <w:bookmarkStart w:id="847" w:name="_Toc296503150"/>
      <w:r>
        <w:rPr>
          <w:rFonts w:hint="eastAsia" w:asciiTheme="minorEastAsia" w:hAnsiTheme="minorEastAsia" w:eastAsiaTheme="minorEastAsia" w:cstheme="minorEastAsia"/>
          <w:sz w:val="22"/>
          <w:szCs w:val="22"/>
        </w:rPr>
        <w:t>20.4仲裁或诉讼</w:t>
      </w:r>
      <w:bookmarkEnd w:id="843"/>
      <w:bookmarkEnd w:id="844"/>
    </w:p>
    <w:bookmarkEnd w:id="845"/>
    <w:bookmarkEnd w:id="846"/>
    <w:bookmarkEnd w:id="847"/>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因合同及合同有关事项产生的争议，合同当事人可以在专用合同条款中约定以下一种方式解决争议：</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（1）向约定的仲裁委员会申请仲裁；</w:t>
      </w:r>
    </w:p>
    <w:p>
      <w:pPr>
        <w:autoSpaceDE w:val="0"/>
        <w:autoSpaceDN w:val="0"/>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（2）向有管辖权的人民法院起诉。</w:t>
      </w:r>
    </w:p>
    <w:p>
      <w:pPr>
        <w:pStyle w:val="7"/>
        <w:spacing w:before="0" w:after="0" w:line="420" w:lineRule="exact"/>
        <w:ind w:firstLine="442" w:firstLineChars="200"/>
        <w:rPr>
          <w:rFonts w:asciiTheme="minorEastAsia" w:hAnsiTheme="minorEastAsia" w:eastAsiaTheme="minorEastAsia" w:cstheme="minorEastAsia"/>
          <w:bCs w:val="0"/>
          <w:sz w:val="22"/>
          <w:szCs w:val="22"/>
        </w:rPr>
      </w:pPr>
      <w:bookmarkStart w:id="848" w:name="_Toc351203631"/>
      <w:bookmarkStart w:id="849" w:name="_Toc532377319"/>
      <w:bookmarkStart w:id="850" w:name="_Toc296346653"/>
      <w:bookmarkStart w:id="851" w:name="_Toc337558845"/>
      <w:bookmarkStart w:id="852" w:name="_Toc296503152"/>
      <w:r>
        <w:rPr>
          <w:rFonts w:hint="eastAsia" w:asciiTheme="minorEastAsia" w:hAnsiTheme="minorEastAsia" w:eastAsiaTheme="minorEastAsia" w:cstheme="minorEastAsia"/>
          <w:bCs w:val="0"/>
          <w:sz w:val="22"/>
          <w:szCs w:val="22"/>
        </w:rPr>
        <w:t>20.5争议解决条款效力</w:t>
      </w:r>
      <w:bookmarkEnd w:id="848"/>
      <w:bookmarkEnd w:id="849"/>
    </w:p>
    <w:bookmarkEnd w:id="850"/>
    <w:bookmarkEnd w:id="851"/>
    <w:bookmarkEnd w:id="852"/>
    <w:p>
      <w:pPr>
        <w:spacing w:line="42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合同有关争议解决的条款独立存在，合同的变更、解除、终止、无效或者被撤销均不影响其效力。</w:t>
      </w:r>
    </w:p>
    <w:p>
      <w:pPr>
        <w:spacing w:before="312" w:after="156"/>
        <w:ind w:firstLine="565" w:firstLineChars="201"/>
        <w:rPr>
          <w:rFonts w:asciiTheme="majorEastAsia" w:hAnsiTheme="majorEastAsia" w:eastAsiaTheme="majorEastAsia"/>
          <w:b/>
          <w:sz w:val="28"/>
          <w:szCs w:val="28"/>
        </w:rPr>
      </w:pPr>
    </w:p>
    <w:p>
      <w:pPr>
        <w:spacing w:before="312" w:after="156"/>
        <w:ind w:firstLine="565" w:firstLineChars="201"/>
        <w:rPr>
          <w:rFonts w:cs="宋体" w:asciiTheme="majorEastAsia" w:hAnsiTheme="majorEastAsia" w:eastAsiaTheme="majorEastAsia"/>
          <w:sz w:val="28"/>
          <w:szCs w:val="28"/>
        </w:rPr>
      </w:pPr>
      <w:r>
        <w:rPr>
          <w:rFonts w:asciiTheme="majorEastAsia" w:hAnsiTheme="majorEastAsia" w:eastAsiaTheme="majorEastAsia"/>
          <w:b/>
          <w:sz w:val="28"/>
          <w:szCs w:val="28"/>
        </w:rPr>
        <w:br w:type="page"/>
      </w:r>
    </w:p>
    <w:p>
      <w:pPr>
        <w:pStyle w:val="4"/>
        <w:numPr>
          <w:ilvl w:val="0"/>
          <w:numId w:val="1"/>
        </w:numPr>
        <w:spacing w:before="240" w:beforeLines="100" w:after="120" w:afterLines="50" w:line="500" w:lineRule="exact"/>
        <w:jc w:val="center"/>
        <w:rPr>
          <w:rFonts w:cs="宋体" w:asciiTheme="majorEastAsia" w:hAnsiTheme="majorEastAsia" w:eastAsiaTheme="majorEastAsia"/>
          <w:szCs w:val="28"/>
        </w:rPr>
      </w:pPr>
      <w:bookmarkStart w:id="853" w:name="_Toc14524576"/>
      <w:bookmarkStart w:id="854" w:name="_Toc17258"/>
      <w:r>
        <w:rPr>
          <w:rFonts w:hint="eastAsia" w:asciiTheme="majorEastAsia" w:hAnsiTheme="majorEastAsia" w:eastAsiaTheme="majorEastAsia"/>
          <w:szCs w:val="28"/>
        </w:rPr>
        <w:t>专用合同条款</w:t>
      </w:r>
      <w:bookmarkEnd w:id="289"/>
      <w:bookmarkEnd w:id="290"/>
      <w:bookmarkEnd w:id="291"/>
      <w:bookmarkEnd w:id="292"/>
      <w:bookmarkEnd w:id="293"/>
      <w:bookmarkEnd w:id="853"/>
      <w:bookmarkEnd w:id="854"/>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1</w:t>
      </w:r>
      <w:bookmarkStart w:id="855" w:name="_Toc297120456"/>
      <w:bookmarkStart w:id="856" w:name="_Toc296890984"/>
      <w:bookmarkStart w:id="857" w:name="_Toc297048342"/>
      <w:bookmarkStart w:id="858" w:name="_Toc296891196"/>
      <w:bookmarkStart w:id="859" w:name="_Toc292559361"/>
      <w:bookmarkStart w:id="860" w:name="_Toc292559866"/>
      <w:bookmarkStart w:id="861" w:name="_Toc296944495"/>
      <w:bookmarkStart w:id="862" w:name="_Toc296347155"/>
      <w:bookmarkStart w:id="863" w:name="_Toc296503156"/>
      <w:bookmarkStart w:id="864" w:name="_Toc296346657"/>
      <w:r>
        <w:rPr>
          <w:rFonts w:hint="eastAsia" w:asciiTheme="minorEastAsia" w:hAnsiTheme="minorEastAsia" w:eastAsiaTheme="minorEastAsia" w:cstheme="minorEastAsia"/>
          <w:b/>
          <w:bCs/>
          <w:sz w:val="22"/>
          <w:szCs w:val="22"/>
        </w:rPr>
        <w:t>. 一般约定</w:t>
      </w:r>
    </w:p>
    <w:bookmarkEnd w:id="855"/>
    <w:bookmarkEnd w:id="856"/>
    <w:bookmarkEnd w:id="857"/>
    <w:bookmarkEnd w:id="858"/>
    <w:bookmarkEnd w:id="859"/>
    <w:bookmarkEnd w:id="860"/>
    <w:bookmarkEnd w:id="861"/>
    <w:bookmarkEnd w:id="862"/>
    <w:bookmarkEnd w:id="863"/>
    <w:bookmarkEnd w:id="864"/>
    <w:p>
      <w:pPr>
        <w:pStyle w:val="7"/>
        <w:spacing w:before="0" w:after="0" w:line="440" w:lineRule="exact"/>
        <w:ind w:firstLine="442" w:firstLineChars="200"/>
        <w:rPr>
          <w:rFonts w:asciiTheme="minorEastAsia" w:hAnsiTheme="minorEastAsia" w:eastAsiaTheme="minorEastAsia" w:cstheme="minorEastAsia"/>
          <w:sz w:val="22"/>
          <w:szCs w:val="22"/>
        </w:rPr>
      </w:pPr>
      <w:bookmarkStart w:id="865" w:name="_Toc532377322"/>
      <w:r>
        <w:rPr>
          <w:rFonts w:hint="eastAsia" w:asciiTheme="minorEastAsia" w:hAnsiTheme="minorEastAsia" w:eastAsiaTheme="minorEastAsia" w:cstheme="minorEastAsia"/>
          <w:sz w:val="22"/>
          <w:szCs w:val="22"/>
        </w:rPr>
        <w:t>1.1词语定义与解释</w:t>
      </w:r>
      <w:bookmarkEnd w:id="865"/>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 合同</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1.1.1.6技术标准和要求：</w:t>
      </w:r>
      <w:r>
        <w:rPr>
          <w:rFonts w:hint="eastAsia" w:asciiTheme="minorEastAsia" w:hAnsiTheme="minorEastAsia" w:eastAsiaTheme="minorEastAsia" w:cstheme="minorEastAsia"/>
          <w:kern w:val="0"/>
          <w:sz w:val="22"/>
          <w:szCs w:val="22"/>
          <w:u w:val="single"/>
        </w:rPr>
        <w:t>本目中的技术标准和要求是指技术规范，即合同所约定的技术标准和要求，是合同文件的组成部分。通用合同条款中“技术标准和要求”一词具有相同含义，包括合同双方当事人约定对其所作的修改或补充</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1.1.1.8 已标价工程量清单：</w:t>
      </w:r>
      <w:r>
        <w:rPr>
          <w:rFonts w:hint="eastAsia" w:asciiTheme="minorEastAsia" w:hAnsiTheme="minorEastAsia" w:eastAsiaTheme="minorEastAsia" w:cstheme="minorEastAsia"/>
          <w:kern w:val="0"/>
          <w:sz w:val="22"/>
          <w:szCs w:val="22"/>
          <w:u w:val="single"/>
        </w:rPr>
        <w:t>指构成合同的由承包人按照发包人规定的格式和要求填写并标明价格、经算术性错误修订及其他错误修订（如有）且承包人已确认的工程量清单</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1.1.1.10 其他合同文件包括：</w:t>
      </w:r>
      <w:r>
        <w:rPr>
          <w:rFonts w:hint="eastAsia" w:asciiTheme="minorEastAsia" w:hAnsiTheme="minorEastAsia" w:eastAsiaTheme="minorEastAsia" w:cstheme="minorEastAsia"/>
          <w:sz w:val="22"/>
          <w:szCs w:val="22"/>
          <w:u w:val="single"/>
        </w:rPr>
        <w:t>按照合同协议书</w:t>
      </w:r>
      <w:r>
        <w:rPr>
          <w:rFonts w:hint="eastAsia" w:asciiTheme="minorEastAsia" w:hAnsiTheme="minorEastAsia" w:eastAsiaTheme="minorEastAsia" w:cstheme="minorEastAsia"/>
          <w:bCs/>
          <w:sz w:val="22"/>
          <w:szCs w:val="22"/>
          <w:u w:val="single"/>
        </w:rPr>
        <w:t>〔</w:t>
      </w:r>
      <w:r>
        <w:rPr>
          <w:rFonts w:hint="eastAsia" w:asciiTheme="minorEastAsia" w:hAnsiTheme="minorEastAsia" w:eastAsiaTheme="minorEastAsia" w:cstheme="minorEastAsia"/>
          <w:sz w:val="22"/>
          <w:szCs w:val="22"/>
          <w:u w:val="single"/>
        </w:rPr>
        <w:t>第六条</w:t>
      </w:r>
      <w:r>
        <w:rPr>
          <w:rFonts w:hint="eastAsia" w:asciiTheme="minorEastAsia" w:hAnsiTheme="minorEastAsia" w:eastAsiaTheme="minorEastAsia" w:cstheme="minorEastAsia"/>
          <w:bCs/>
          <w:sz w:val="22"/>
          <w:szCs w:val="22"/>
          <w:u w:val="single"/>
        </w:rPr>
        <w:t>〕</w:t>
      </w:r>
      <w:r>
        <w:rPr>
          <w:rFonts w:hint="eastAsia" w:asciiTheme="minorEastAsia" w:hAnsiTheme="minorEastAsia" w:eastAsiaTheme="minorEastAsia" w:cstheme="minorEastAsia"/>
          <w:sz w:val="22"/>
          <w:szCs w:val="22"/>
          <w:u w:val="single"/>
        </w:rPr>
        <w:t>约定执行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本项补充1.1.1.11～1.1.1.16目：</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1.1.1.11 招标文件：</w:t>
      </w:r>
      <w:r>
        <w:rPr>
          <w:rFonts w:hint="eastAsia" w:asciiTheme="minorEastAsia" w:hAnsiTheme="minorEastAsia" w:eastAsiaTheme="minorEastAsia" w:cstheme="minorEastAsia"/>
          <w:kern w:val="0"/>
          <w:sz w:val="22"/>
          <w:szCs w:val="22"/>
          <w:u w:val="single"/>
        </w:rPr>
        <w:t>指本工程的招标文件、图纸、其他技术资料及招标人发出的对招标文件所作的澄清、修改、补遗等资料</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1.1.1.12 工作：</w:t>
      </w:r>
      <w:r>
        <w:rPr>
          <w:rFonts w:hint="eastAsia" w:asciiTheme="minorEastAsia" w:hAnsiTheme="minorEastAsia" w:eastAsiaTheme="minorEastAsia" w:cstheme="minorEastAsia"/>
          <w:kern w:val="0"/>
          <w:sz w:val="22"/>
          <w:szCs w:val="22"/>
          <w:u w:val="single"/>
        </w:rPr>
        <w:t>指根据合同条款规定，或根据合同合理推及的，为本工程（包括永久工程和临时工程）施工与维护所需要的管理、劳务、材料、施工设备和其他物品的提供</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1.1.1.13 重大设计变更：按照规定需要重新报建设行政主管部门批准的设计变更。</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1.1.1.14 公章：专指法定单位名称章。</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1.1.1.15 到岗：指承包人按照到岗履职承诺安排满足办理施工许可手续相关要求的项目主要管理人员实际到施工现场就职履约的行为。</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1.1.1.16 项目法人：指具有民事权利能力和民事行为能力，依法独立享有民事权利和承担民事义务，以建设项目为目的，从事项目管理的机构、单位或组织。</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1.1.2 合同当事人及其他相关方</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1.1.2.4 监理人：</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    称：</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资质类别和等级：</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联系方式：</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1.1.2.5 设计人：</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    称：    ；</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资质类别和等级：；</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联系方式：    。</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 工程和设备</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1.1.3.7 作为施工现场组成部分的其他场所包括：</w:t>
      </w:r>
      <w:r>
        <w:rPr>
          <w:rFonts w:hint="eastAsia" w:asciiTheme="minorEastAsia" w:hAnsiTheme="minorEastAsia" w:eastAsiaTheme="minorEastAsia" w:cstheme="minorEastAsia"/>
          <w:kern w:val="0"/>
          <w:sz w:val="22"/>
          <w:szCs w:val="22"/>
          <w:u w:val="single"/>
        </w:rPr>
        <w:t>永久占地、临时占地以及为修建临时工程而租用、占用的土地</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1.1.3.9 永久占地包括：</w:t>
      </w:r>
      <w:r>
        <w:rPr>
          <w:rFonts w:hint="eastAsia" w:asciiTheme="minorEastAsia" w:hAnsiTheme="minorEastAsia" w:eastAsiaTheme="minorEastAsia" w:cstheme="minorEastAsia"/>
          <w:kern w:val="0"/>
          <w:sz w:val="22"/>
          <w:szCs w:val="22"/>
          <w:u w:val="single"/>
        </w:rPr>
        <w:t>为实施合同工程而需要的一切永久占用的土地，即合同工程</w:t>
      </w:r>
      <w:r>
        <w:rPr>
          <w:rFonts w:hint="eastAsia" w:asciiTheme="minorEastAsia" w:hAnsiTheme="minorEastAsia" w:eastAsiaTheme="minorEastAsia" w:cstheme="minorEastAsia"/>
          <w:sz w:val="22"/>
          <w:szCs w:val="22"/>
          <w:u w:val="single"/>
        </w:rPr>
        <w:t>用地红线范围内的土地</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1.1.3.10 临时占地包括：</w:t>
      </w:r>
      <w:r>
        <w:rPr>
          <w:rFonts w:hint="eastAsia" w:asciiTheme="minorEastAsia" w:hAnsiTheme="minorEastAsia" w:eastAsiaTheme="minorEastAsia" w:cstheme="minorEastAsia"/>
          <w:sz w:val="22"/>
          <w:szCs w:val="22"/>
          <w:u w:val="single"/>
        </w:rPr>
        <w:t>为实施合同工程而需要</w:t>
      </w:r>
      <w:r>
        <w:rPr>
          <w:rFonts w:hint="eastAsia" w:asciiTheme="minorEastAsia" w:hAnsiTheme="minorEastAsia" w:eastAsiaTheme="minorEastAsia" w:cstheme="minorEastAsia"/>
          <w:kern w:val="0"/>
          <w:sz w:val="22"/>
          <w:szCs w:val="22"/>
          <w:u w:val="single"/>
        </w:rPr>
        <w:t>的一切</w:t>
      </w:r>
      <w:r>
        <w:rPr>
          <w:rFonts w:hint="eastAsia" w:asciiTheme="minorEastAsia" w:hAnsiTheme="minorEastAsia" w:eastAsiaTheme="minorEastAsia" w:cstheme="minorEastAsia"/>
          <w:sz w:val="22"/>
          <w:szCs w:val="22"/>
          <w:u w:val="single"/>
        </w:rPr>
        <w:t>临时占用的土地，包括施工所用的临时便道等的临时出入道，以及生产（办公）、生活等临时设施用地</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1.1.6 其他</w:t>
      </w:r>
    </w:p>
    <w:p>
      <w:pPr>
        <w:spacing w:line="440" w:lineRule="exact"/>
        <w:ind w:firstLine="440" w:firstLineChars="200"/>
        <w:jc w:val="left"/>
        <w:rPr>
          <w:rFonts w:asciiTheme="minorEastAsia" w:hAnsiTheme="minorEastAsia" w:eastAsiaTheme="minorEastAsia" w:cstheme="minorEastAsia"/>
          <w:sz w:val="22"/>
          <w:szCs w:val="22"/>
        </w:rPr>
      </w:pPr>
      <w:bookmarkStart w:id="866" w:name="_Hlk528927262"/>
      <w:r>
        <w:rPr>
          <w:rFonts w:hint="eastAsia" w:asciiTheme="minorEastAsia" w:hAnsiTheme="minorEastAsia" w:eastAsiaTheme="minorEastAsia" w:cstheme="minorEastAsia"/>
          <w:sz w:val="22"/>
          <w:szCs w:val="22"/>
        </w:rPr>
        <w:t>本项补充1.1.6.2～1.1.6.3目：</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1.1.6.2 转包、违法分包及挂靠：指符合《住房和城乡建设部关于印发建筑工程施工发包与承包违法行为认定查处管理办法的通知》（建市规〔2019〕1号）规定认定条件的</w:t>
      </w:r>
      <w:r>
        <w:rPr>
          <w:rFonts w:hint="eastAsia" w:asciiTheme="minorEastAsia" w:hAnsiTheme="minorEastAsia" w:eastAsiaTheme="minorEastAsia" w:cstheme="minorEastAsia"/>
          <w:kern w:val="0"/>
          <w:sz w:val="22"/>
          <w:szCs w:val="22"/>
        </w:rPr>
        <w:t>违法行为</w:t>
      </w:r>
      <w:r>
        <w:rPr>
          <w:rFonts w:hint="eastAsia" w:asciiTheme="minorEastAsia" w:hAnsiTheme="minorEastAsia" w:eastAsiaTheme="minorEastAsia" w:cstheme="minorEastAsia"/>
          <w:sz w:val="22"/>
          <w:szCs w:val="22"/>
        </w:rPr>
        <w:t>。</w:t>
      </w:r>
    </w:p>
    <w:bookmarkEnd w:id="866"/>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城乡建设委员会补充的范围为准。</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867" w:name="_Toc532377323"/>
      <w:r>
        <w:rPr>
          <w:rFonts w:hint="eastAsia" w:asciiTheme="minorEastAsia" w:hAnsiTheme="minorEastAsia" w:eastAsiaTheme="minorEastAsia" w:cstheme="minorEastAsia"/>
          <w:sz w:val="22"/>
          <w:szCs w:val="22"/>
        </w:rPr>
        <w:t>1.4 标准和规范</w:t>
      </w:r>
      <w:bookmarkEnd w:id="867"/>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 适用于工程的标准规范包括：</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（1）施工图所涉及的技术标准、规范、规程、图集等；</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（2）国家、行业或重庆市与本工程有关的标准，以及相应的规范、规程等，当这些标准、规范、规程不一致时，以标准、规范、规程要求最高的为准。</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 发包人提供国外标准、规范的名称：</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发包人提供国外标准、规范的份数：</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发包人提供国外标准、规范的名称：</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1.4.3 发包人对工程的技术标准和功能要求的特殊要求：</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868" w:name="_Toc532377324"/>
      <w:r>
        <w:rPr>
          <w:rFonts w:hint="eastAsia" w:asciiTheme="minorEastAsia" w:hAnsiTheme="minorEastAsia" w:eastAsiaTheme="minorEastAsia" w:cstheme="minorEastAsia"/>
          <w:sz w:val="22"/>
          <w:szCs w:val="22"/>
        </w:rPr>
        <w:t>1.5 合同文件的优先顺序</w:t>
      </w:r>
      <w:bookmarkEnd w:id="868"/>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合同文件组成及优先顺序为：</w:t>
      </w:r>
      <w:r>
        <w:rPr>
          <w:rFonts w:hint="eastAsia" w:asciiTheme="minorEastAsia" w:hAnsiTheme="minorEastAsia" w:eastAsiaTheme="minorEastAsia" w:cstheme="minorEastAsia"/>
          <w:sz w:val="22"/>
          <w:szCs w:val="22"/>
          <w:u w:val="single"/>
        </w:rPr>
        <w:t>按照合同协议书</w:t>
      </w:r>
      <w:r>
        <w:rPr>
          <w:rFonts w:hint="eastAsia" w:asciiTheme="minorEastAsia" w:hAnsiTheme="minorEastAsia" w:eastAsiaTheme="minorEastAsia" w:cstheme="minorEastAsia"/>
          <w:bCs/>
          <w:sz w:val="22"/>
          <w:szCs w:val="22"/>
          <w:u w:val="single"/>
        </w:rPr>
        <w:t>〔</w:t>
      </w:r>
      <w:r>
        <w:rPr>
          <w:rFonts w:hint="eastAsia" w:asciiTheme="minorEastAsia" w:hAnsiTheme="minorEastAsia" w:eastAsiaTheme="minorEastAsia" w:cstheme="minorEastAsia"/>
          <w:sz w:val="22"/>
          <w:szCs w:val="22"/>
          <w:u w:val="single"/>
        </w:rPr>
        <w:t>第七条</w:t>
      </w:r>
      <w:r>
        <w:rPr>
          <w:rFonts w:hint="eastAsia" w:asciiTheme="minorEastAsia" w:hAnsiTheme="minorEastAsia" w:eastAsiaTheme="minorEastAsia" w:cstheme="minorEastAsia"/>
          <w:bCs/>
          <w:sz w:val="22"/>
          <w:szCs w:val="22"/>
          <w:u w:val="single"/>
        </w:rPr>
        <w:t>〕</w:t>
      </w:r>
      <w:r>
        <w:rPr>
          <w:rFonts w:hint="eastAsia" w:asciiTheme="minorEastAsia" w:hAnsiTheme="minorEastAsia" w:eastAsiaTheme="minorEastAsia" w:cstheme="minorEastAsia"/>
          <w:sz w:val="22"/>
          <w:szCs w:val="22"/>
          <w:u w:val="single"/>
        </w:rPr>
        <w:t>约定执行</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869" w:name="_Toc532377325"/>
      <w:r>
        <w:rPr>
          <w:rFonts w:hint="eastAsia" w:asciiTheme="minorEastAsia" w:hAnsiTheme="minorEastAsia" w:eastAsiaTheme="minorEastAsia" w:cstheme="minorEastAsia"/>
          <w:sz w:val="22"/>
          <w:szCs w:val="22"/>
        </w:rPr>
        <w:t>1.6 图纸和承包人文件</w:t>
      </w:r>
      <w:bookmarkEnd w:id="869"/>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1.6.1 图纸的提供和交底</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发包人向承包人提供图纸的期限：</w:t>
      </w:r>
      <w:r>
        <w:rPr>
          <w:rFonts w:hint="eastAsia" w:asciiTheme="minorEastAsia" w:hAnsiTheme="minorEastAsia" w:eastAsiaTheme="minorEastAsia" w:cstheme="minorEastAsia"/>
          <w:sz w:val="22"/>
          <w:szCs w:val="22"/>
          <w:u w:val="single"/>
        </w:rPr>
        <w:t>通用合同条款第7.3.2款</w:t>
      </w:r>
      <w:r>
        <w:rPr>
          <w:rFonts w:hint="eastAsia" w:asciiTheme="minorEastAsia" w:hAnsiTheme="minorEastAsia" w:eastAsiaTheme="minorEastAsia" w:cstheme="minorEastAsia"/>
          <w:bCs/>
          <w:sz w:val="22"/>
          <w:szCs w:val="22"/>
          <w:u w:val="single"/>
        </w:rPr>
        <w:t>〔</w:t>
      </w:r>
      <w:r>
        <w:rPr>
          <w:rFonts w:hint="eastAsia" w:asciiTheme="minorEastAsia" w:hAnsiTheme="minorEastAsia" w:eastAsiaTheme="minorEastAsia" w:cstheme="minorEastAsia"/>
          <w:sz w:val="22"/>
          <w:szCs w:val="22"/>
          <w:u w:val="single"/>
        </w:rPr>
        <w:t>开工通知</w:t>
      </w:r>
      <w:r>
        <w:rPr>
          <w:rFonts w:hint="eastAsia" w:asciiTheme="minorEastAsia" w:hAnsiTheme="minorEastAsia" w:eastAsiaTheme="minorEastAsia" w:cstheme="minorEastAsia"/>
          <w:bCs/>
          <w:sz w:val="22"/>
          <w:szCs w:val="22"/>
          <w:u w:val="single"/>
        </w:rPr>
        <w:t>〕</w:t>
      </w:r>
      <w:r>
        <w:rPr>
          <w:rFonts w:hint="eastAsia" w:asciiTheme="minorEastAsia" w:hAnsiTheme="minorEastAsia" w:eastAsiaTheme="minorEastAsia" w:cstheme="minorEastAsia"/>
          <w:sz w:val="22"/>
          <w:szCs w:val="22"/>
          <w:u w:val="single"/>
        </w:rPr>
        <w:t>载明的开工日期前3天</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发包人向承包人提供图纸的数量：</w:t>
      </w:r>
      <w:r>
        <w:rPr>
          <w:rFonts w:hint="eastAsia" w:asciiTheme="minorEastAsia" w:hAnsiTheme="minorEastAsia" w:eastAsiaTheme="minorEastAsia" w:cstheme="minorEastAsia"/>
          <w:sz w:val="22"/>
          <w:szCs w:val="22"/>
          <w:u w:val="single"/>
        </w:rPr>
        <w:t>电子版1套</w:t>
      </w:r>
      <w:r>
        <w:rPr>
          <w:rFonts w:hint="eastAsia" w:asciiTheme="minorEastAsia" w:hAnsiTheme="minorEastAsia" w:eastAsiaTheme="minorEastAsia" w:cstheme="minorEastAsia"/>
          <w:sz w:val="22"/>
          <w:szCs w:val="22"/>
        </w:rPr>
        <w:t xml:space="preserve">； </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发包人向承包人提供图纸的内容：</w:t>
      </w:r>
      <w:r>
        <w:rPr>
          <w:rFonts w:hint="eastAsia" w:asciiTheme="minorEastAsia" w:hAnsiTheme="minorEastAsia" w:eastAsiaTheme="minorEastAsia" w:cstheme="minorEastAsia"/>
          <w:sz w:val="22"/>
          <w:szCs w:val="22"/>
          <w:u w:val="single"/>
        </w:rPr>
        <w:t>工程承包范围内工程的施工图设计文件</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发包人组织承包人、监理人和设计人进行图纸会审和设计交底的时间：</w:t>
      </w:r>
      <w:r>
        <w:rPr>
          <w:rFonts w:hint="eastAsia" w:asciiTheme="minorEastAsia" w:hAnsiTheme="minorEastAsia" w:eastAsiaTheme="minorEastAsia" w:cstheme="minorEastAsia"/>
          <w:sz w:val="22"/>
          <w:szCs w:val="22"/>
          <w:u w:val="single"/>
        </w:rPr>
        <w:t>提供施工图后7天内</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承包人可以书面方式通过监理人向发包人申请进行紧急的设计交底，发包人认为确有必要且条件许可时，应尽快组织实施承包人申请的设计交底。</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1.6.2 图纸的错误</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承包人不得利用图纸的差错、遗漏或缺陷，从中获得不正当的利益。</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1.6.4 承包人文件</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需要由承包人提供的书面文件，包括：</w:t>
      </w:r>
      <w:r>
        <w:rPr>
          <w:rFonts w:hint="eastAsia" w:asciiTheme="minorEastAsia" w:hAnsiTheme="minorEastAsia" w:eastAsiaTheme="minorEastAsia" w:cstheme="minorEastAsia"/>
          <w:sz w:val="22"/>
          <w:szCs w:val="22"/>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承包人提供文件的期限、数量：</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u w:val="single"/>
        </w:rPr>
        <w:t>每月25日前报送月工程进度完成报表</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（3）合同另有约定的，按照其约定。</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Theme="minorEastAsia" w:hAnsiTheme="minorEastAsia" w:eastAsiaTheme="minorEastAsia" w:cstheme="minorEastAsia"/>
          <w:sz w:val="22"/>
          <w:szCs w:val="22"/>
          <w:u w:val="single"/>
        </w:rPr>
        <w:t>收到施工组织设计和工程总体进度计划及当年年度施工进度计划后7天内；合同另有约定的，从其约定</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承包人提供的文件的费用：</w:t>
      </w:r>
      <w:r>
        <w:rPr>
          <w:rFonts w:hint="eastAsia" w:asciiTheme="minorEastAsia" w:hAnsiTheme="minorEastAsia" w:eastAsiaTheme="minorEastAsia" w:cstheme="minorEastAsia"/>
          <w:sz w:val="22"/>
          <w:szCs w:val="22"/>
          <w:u w:val="single"/>
        </w:rPr>
        <w:t>由承包人承担</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发包人审批承包人文件的期限：</w:t>
      </w:r>
      <w:r>
        <w:rPr>
          <w:rFonts w:hint="eastAsia" w:asciiTheme="minorEastAsia" w:hAnsiTheme="minorEastAsia" w:eastAsiaTheme="minorEastAsia" w:cstheme="minorEastAsia"/>
          <w:sz w:val="22"/>
          <w:szCs w:val="22"/>
          <w:u w:val="single"/>
        </w:rPr>
        <w:t>收到后14天内；合同另有约定的，从其约定</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监理人、发包人的修改意见和审批，不免除或减轻承包人对该工作、工程、材料、工程设备等应承担的责任和义务</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870" w:name="_Toc532377326"/>
      <w:r>
        <w:rPr>
          <w:rFonts w:hint="eastAsia" w:asciiTheme="minorEastAsia" w:hAnsiTheme="minorEastAsia" w:eastAsiaTheme="minorEastAsia" w:cstheme="minorEastAsia"/>
          <w:sz w:val="22"/>
          <w:szCs w:val="22"/>
        </w:rPr>
        <w:t>1.7 联络</w:t>
      </w:r>
      <w:bookmarkEnd w:id="870"/>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1.7.1 发包人和承包人应当在</w:t>
      </w:r>
      <w:r>
        <w:rPr>
          <w:rFonts w:hint="eastAsia" w:asciiTheme="minorEastAsia" w:hAnsiTheme="minorEastAsia" w:eastAsiaTheme="minorEastAsia" w:cstheme="minorEastAsia"/>
          <w:sz w:val="22"/>
          <w:szCs w:val="22"/>
          <w:u w:val="single"/>
        </w:rPr>
        <w:t xml:space="preserve"> 1 </w:t>
      </w:r>
      <w:r>
        <w:rPr>
          <w:rFonts w:hint="eastAsia" w:asciiTheme="minorEastAsia" w:hAnsiTheme="minorEastAsia" w:eastAsiaTheme="minorEastAsia" w:cstheme="minorEastAsia"/>
          <w:kern w:val="0"/>
          <w:sz w:val="22"/>
          <w:szCs w:val="22"/>
        </w:rPr>
        <w:t>天内将与合同有关的通知、批准、证明、证书、指示、指令、要求、请求、同意、意见、确定和决定等书面函件送达对方当事人，并办理书面签收手续。</w:t>
      </w:r>
    </w:p>
    <w:p>
      <w:pPr>
        <w:tabs>
          <w:tab w:val="left" w:pos="7513"/>
        </w:tabs>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1.7.2 发包人接收文件地点：</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发包人指定的接收人：</w:t>
      </w:r>
      <w:bookmarkStart w:id="871" w:name="_Hlk528493983"/>
      <w:bookmarkEnd w:id="871"/>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tabs>
          <w:tab w:val="left" w:pos="7513"/>
        </w:tabs>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承包人接收文件地点：</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承包人指定的接收人：</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tabs>
          <w:tab w:val="left" w:pos="7371"/>
        </w:tabs>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监理人接收文件地点：</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监理人指定的接收人：</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872" w:name="_Toc532377327"/>
      <w:r>
        <w:rPr>
          <w:rFonts w:hint="eastAsia" w:asciiTheme="minorEastAsia" w:hAnsiTheme="minorEastAsia" w:eastAsiaTheme="minorEastAsia" w:cstheme="minorEastAsia"/>
          <w:sz w:val="22"/>
          <w:szCs w:val="22"/>
        </w:rPr>
        <w:t>1.8 严禁贿赂</w:t>
      </w:r>
      <w:bookmarkEnd w:id="872"/>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本款补充以下内容：</w:t>
      </w:r>
    </w:p>
    <w:p>
      <w:pPr>
        <w:spacing w:line="440" w:lineRule="exact"/>
        <w:ind w:firstLine="440" w:firstLineChars="200"/>
        <w:jc w:val="left"/>
        <w:rPr>
          <w:rFonts w:asciiTheme="minorEastAsia" w:hAnsiTheme="minorEastAsia" w:eastAsiaTheme="minorEastAsia" w:cstheme="minorEastAsia"/>
          <w:kern w:val="0"/>
          <w:sz w:val="22"/>
          <w:szCs w:val="22"/>
          <w:u w:val="single"/>
        </w:rPr>
      </w:pPr>
      <w:r>
        <w:rPr>
          <w:rFonts w:hint="eastAsia" w:asciiTheme="minorEastAsia" w:hAnsiTheme="minorEastAsia" w:eastAsiaTheme="minorEastAsia" w:cstheme="minorEastAsia"/>
          <w:kern w:val="0"/>
          <w:sz w:val="22"/>
          <w:szCs w:val="22"/>
        </w:rPr>
        <w:t>在合同执行过程中，合同当事人应严格履行附件8《廉洁从业协议》。</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873" w:name="_Toc532377328"/>
      <w:r>
        <w:rPr>
          <w:rFonts w:hint="eastAsia" w:asciiTheme="minorEastAsia" w:hAnsiTheme="minorEastAsia" w:eastAsiaTheme="minorEastAsia" w:cstheme="minorEastAsia"/>
          <w:sz w:val="22"/>
          <w:szCs w:val="22"/>
        </w:rPr>
        <w:t>1.10 交通运输</w:t>
      </w:r>
      <w:bookmarkEnd w:id="873"/>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bookmarkStart w:id="874" w:name="_Toc300934943"/>
      <w:bookmarkStart w:id="875" w:name="_Toc304295521"/>
      <w:bookmarkStart w:id="876" w:name="_Toc312677986"/>
      <w:bookmarkStart w:id="877" w:name="_Toc318581155"/>
      <w:bookmarkStart w:id="878" w:name="_Toc303539100"/>
      <w:r>
        <w:rPr>
          <w:rFonts w:hint="eastAsia" w:asciiTheme="minorEastAsia" w:hAnsiTheme="minorEastAsia" w:eastAsiaTheme="minorEastAsia" w:cstheme="minorEastAsia"/>
          <w:sz w:val="22"/>
          <w:szCs w:val="22"/>
        </w:rPr>
        <w:t>.10.1 出入现场的权利</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关于出入现场的权利的约定：</w:t>
      </w:r>
      <w:r>
        <w:rPr>
          <w:rFonts w:hint="eastAsia" w:asciiTheme="minorEastAsia" w:hAnsiTheme="minorEastAsia" w:eastAsiaTheme="minorEastAsia" w:cstheme="minorEastAsia"/>
          <w:sz w:val="22"/>
          <w:szCs w:val="22"/>
          <w:u w:val="single"/>
        </w:rPr>
        <w:t>承包人按现场土建总包施工单位要求办理</w:t>
      </w:r>
      <w:r>
        <w:rPr>
          <w:rFonts w:hint="eastAsia" w:asciiTheme="minorEastAsia" w:hAnsiTheme="minorEastAsia" w:eastAsiaTheme="minorEastAsia" w:cstheme="minorEastAsia"/>
          <w:sz w:val="22"/>
          <w:szCs w:val="22"/>
        </w:rPr>
        <w:t>。</w:t>
      </w:r>
    </w:p>
    <w:bookmarkEnd w:id="874"/>
    <w:bookmarkEnd w:id="875"/>
    <w:bookmarkEnd w:id="876"/>
    <w:bookmarkEnd w:id="877"/>
    <w:bookmarkEnd w:id="878"/>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1.10.2 场外交通</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承包人应遵守有关交通法规，执行有关道路限速、限行、禁止超载的规定，并配合交通管理部门的监督和检查。场外交通以施工场地移交时的现状为准。</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bookmarkStart w:id="879" w:name="_Toc303539101"/>
      <w:bookmarkStart w:id="880" w:name="_Toc312677987"/>
      <w:bookmarkStart w:id="881" w:name="_Toc318581156"/>
      <w:bookmarkStart w:id="882" w:name="_Toc304295522"/>
      <w:bookmarkStart w:id="883" w:name="_Toc300934944"/>
      <w:r>
        <w:rPr>
          <w:rFonts w:hint="eastAsia" w:asciiTheme="minorEastAsia" w:hAnsiTheme="minorEastAsia" w:eastAsiaTheme="minorEastAsia" w:cstheme="minorEastAsia"/>
          <w:sz w:val="22"/>
          <w:szCs w:val="22"/>
        </w:rPr>
        <w:t>.10.3 场内交通</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kern w:val="0"/>
          <w:sz w:val="22"/>
          <w:szCs w:val="22"/>
        </w:rPr>
        <w:t>关于场外交通和场内交通的边界的约定：</w:t>
      </w:r>
      <w:r>
        <w:rPr>
          <w:rFonts w:hint="eastAsia" w:asciiTheme="minorEastAsia" w:hAnsiTheme="minorEastAsia" w:eastAsiaTheme="minorEastAsia" w:cstheme="minorEastAsia"/>
          <w:sz w:val="22"/>
          <w:szCs w:val="22"/>
          <w:u w:val="single"/>
        </w:rPr>
        <w:t>以合同工程用地红线为界，用地红线外为场外交通，用地红线范围内为场内交通（场外道路穿越场内的除外）</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关于发包人向承包人免费提供满足工程施工需要的场内道路和交通设施的约定：</w:t>
      </w:r>
      <w:r>
        <w:rPr>
          <w:rFonts w:hint="eastAsia" w:asciiTheme="minorEastAsia" w:hAnsiTheme="minorEastAsia" w:eastAsiaTheme="minorEastAsia" w:cstheme="minorEastAsia"/>
          <w:kern w:val="0"/>
          <w:sz w:val="22"/>
          <w:szCs w:val="22"/>
          <w:u w:val="single"/>
        </w:rPr>
        <w:t>以施工场地移交时的现状为准</w:t>
      </w:r>
      <w:r>
        <w:rPr>
          <w:rFonts w:hint="eastAsia" w:asciiTheme="minorEastAsia" w:hAnsiTheme="minorEastAsia" w:eastAsiaTheme="minorEastAsia" w:cstheme="minorEastAsia"/>
          <w:sz w:val="22"/>
          <w:szCs w:val="22"/>
        </w:rPr>
        <w:t>。</w:t>
      </w:r>
    </w:p>
    <w:bookmarkEnd w:id="879"/>
    <w:bookmarkEnd w:id="880"/>
    <w:bookmarkEnd w:id="881"/>
    <w:bookmarkEnd w:id="882"/>
    <w:bookmarkEnd w:id="883"/>
    <w:p>
      <w:pPr>
        <w:spacing w:line="440" w:lineRule="exact"/>
        <w:ind w:firstLine="440" w:firstLineChars="200"/>
        <w:jc w:val="left"/>
        <w:rPr>
          <w:rFonts w:asciiTheme="minorEastAsia" w:hAnsiTheme="minorEastAsia" w:eastAsiaTheme="minorEastAsia" w:cstheme="minorEastAsia"/>
          <w:sz w:val="22"/>
          <w:szCs w:val="22"/>
        </w:rPr>
      </w:pPr>
      <w:bookmarkStart w:id="884" w:name="_Toc318581157"/>
      <w:r>
        <w:rPr>
          <w:rFonts w:hint="eastAsia" w:asciiTheme="minorEastAsia" w:hAnsiTheme="minorEastAsia" w:eastAsiaTheme="minorEastAsia" w:cstheme="minorEastAsia"/>
          <w:sz w:val="22"/>
          <w:szCs w:val="22"/>
        </w:rPr>
        <w:t>1.10.4 超大件和超重件的运输</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运输超大件或超重件所需的道路和桥梁临时加固改造费用和其他有关费用由</w:t>
      </w:r>
      <w:r>
        <w:rPr>
          <w:rFonts w:hint="eastAsia" w:asciiTheme="minorEastAsia" w:hAnsiTheme="minorEastAsia" w:eastAsiaTheme="minorEastAsia" w:cstheme="minorEastAsia"/>
          <w:sz w:val="22"/>
          <w:szCs w:val="22"/>
          <w:u w:val="single"/>
        </w:rPr>
        <w:t>发包人</w:t>
      </w:r>
      <w:r>
        <w:rPr>
          <w:rFonts w:hint="eastAsia" w:asciiTheme="minorEastAsia" w:hAnsiTheme="minorEastAsia" w:eastAsiaTheme="minorEastAsia" w:cstheme="minorEastAsia"/>
          <w:sz w:val="22"/>
          <w:szCs w:val="22"/>
        </w:rPr>
        <w:t>承担。</w:t>
      </w:r>
    </w:p>
    <w:bookmarkEnd w:id="884"/>
    <w:p>
      <w:pPr>
        <w:pStyle w:val="7"/>
        <w:spacing w:before="0" w:after="0" w:line="440" w:lineRule="exact"/>
        <w:ind w:firstLine="442" w:firstLineChars="200"/>
        <w:rPr>
          <w:rFonts w:asciiTheme="minorEastAsia" w:hAnsiTheme="minorEastAsia" w:eastAsiaTheme="minorEastAsia" w:cstheme="minorEastAsia"/>
          <w:sz w:val="22"/>
          <w:szCs w:val="22"/>
        </w:rPr>
      </w:pPr>
      <w:bookmarkStart w:id="885" w:name="_Toc532377329"/>
      <w:r>
        <w:rPr>
          <w:rFonts w:hint="eastAsia" w:asciiTheme="minorEastAsia" w:hAnsiTheme="minorEastAsia" w:eastAsiaTheme="minorEastAsia" w:cstheme="minorEastAsia"/>
          <w:sz w:val="22"/>
          <w:szCs w:val="22"/>
        </w:rPr>
        <w:t>1.11 知识产权</w:t>
      </w:r>
      <w:bookmarkEnd w:id="885"/>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1.11.1 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2"/>
          <w:szCs w:val="22"/>
          <w:u w:val="single"/>
        </w:rPr>
        <w:t>属于发包人</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关于发包人提供的上述文件的使用限制的要求：</w:t>
      </w:r>
      <w:r>
        <w:rPr>
          <w:rFonts w:hint="eastAsia" w:asciiTheme="minorEastAsia" w:hAnsiTheme="minorEastAsia" w:eastAsiaTheme="minorEastAsia" w:cstheme="minorEastAsia"/>
          <w:sz w:val="22"/>
          <w:szCs w:val="22"/>
          <w:u w:val="single"/>
        </w:rPr>
        <w:t>按通用合同条款执行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1.11.4 承包人在施工过程中所采用的专利、专有技术、技术秘密的使用费的承担方式：</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886" w:name="_Toc532377330"/>
      <w:r>
        <w:rPr>
          <w:rFonts w:hint="eastAsia" w:asciiTheme="minorEastAsia" w:hAnsiTheme="minorEastAsia" w:eastAsiaTheme="minorEastAsia" w:cstheme="minorEastAsia"/>
          <w:sz w:val="22"/>
          <w:szCs w:val="22"/>
        </w:rPr>
        <w:t>1.13工程量清单错误的修正</w:t>
      </w:r>
      <w:bookmarkEnd w:id="886"/>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出现工程量清单错误时，责任和权利划分：</w:t>
      </w:r>
      <w:r>
        <w:rPr>
          <w:rFonts w:hint="eastAsia" w:asciiTheme="minorEastAsia" w:hAnsiTheme="minorEastAsia" w:eastAsiaTheme="minorEastAsia" w:cstheme="minorEastAsia"/>
          <w:sz w:val="22"/>
          <w:szCs w:val="22"/>
          <w:u w:val="single"/>
        </w:rPr>
        <w:t>按实结算</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出现工程量清单错误时，是否调整合同价格：</w:t>
      </w:r>
      <w:r>
        <w:rPr>
          <w:rFonts w:hint="eastAsia" w:asciiTheme="minorEastAsia" w:hAnsiTheme="minorEastAsia" w:eastAsiaTheme="minorEastAsia" w:cstheme="minorEastAsia"/>
          <w:sz w:val="22"/>
          <w:szCs w:val="22"/>
          <w:u w:val="single"/>
        </w:rPr>
        <w:t xml:space="preserve">   可调     </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允许调整合同价格的工程量偏差范围：</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887" w:name="_Toc532377331"/>
      <w:bookmarkStart w:id="888" w:name="_Toc351203634"/>
      <w:bookmarkStart w:id="889" w:name="_Toc532375609"/>
      <w:r>
        <w:rPr>
          <w:rFonts w:hint="eastAsia" w:asciiTheme="minorEastAsia" w:hAnsiTheme="minorEastAsia" w:eastAsiaTheme="minorEastAsia" w:cstheme="minorEastAsia"/>
          <w:b/>
          <w:bCs/>
          <w:sz w:val="22"/>
          <w:szCs w:val="22"/>
        </w:rPr>
        <w:t>2</w:t>
      </w:r>
      <w:bookmarkStart w:id="890" w:name="_Toc296346658"/>
      <w:bookmarkStart w:id="891" w:name="_Toc296890985"/>
      <w:bookmarkStart w:id="892" w:name="_Toc296347156"/>
      <w:bookmarkStart w:id="893" w:name="_Toc297120457"/>
      <w:bookmarkStart w:id="894" w:name="_Toc292559362"/>
      <w:bookmarkStart w:id="895" w:name="_Toc296891197"/>
      <w:bookmarkStart w:id="896" w:name="_Toc292559867"/>
      <w:bookmarkStart w:id="897" w:name="_Toc296503157"/>
      <w:bookmarkStart w:id="898" w:name="_Toc297048343"/>
      <w:bookmarkStart w:id="899" w:name="_Toc296944496"/>
      <w:r>
        <w:rPr>
          <w:rFonts w:hint="eastAsia" w:asciiTheme="minorEastAsia" w:hAnsiTheme="minorEastAsia" w:eastAsiaTheme="minorEastAsia" w:cstheme="minorEastAsia"/>
          <w:b/>
          <w:bCs/>
          <w:sz w:val="22"/>
          <w:szCs w:val="22"/>
        </w:rPr>
        <w:t>. 发包人</w:t>
      </w:r>
      <w:bookmarkEnd w:id="887"/>
      <w:bookmarkEnd w:id="888"/>
      <w:bookmarkEnd w:id="889"/>
    </w:p>
    <w:bookmarkEnd w:id="890"/>
    <w:bookmarkEnd w:id="891"/>
    <w:bookmarkEnd w:id="892"/>
    <w:bookmarkEnd w:id="893"/>
    <w:bookmarkEnd w:id="894"/>
    <w:bookmarkEnd w:id="895"/>
    <w:bookmarkEnd w:id="896"/>
    <w:bookmarkEnd w:id="897"/>
    <w:bookmarkEnd w:id="898"/>
    <w:bookmarkEnd w:id="899"/>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2.2.1 发包人代表</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发包人代表：</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    名：</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身份证号：</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    务：</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联系方式：</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邮    编：</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发包人对发包人代表的授权范围如下：</w:t>
      </w:r>
      <w:r>
        <w:rPr>
          <w:rFonts w:hint="eastAsia" w:asciiTheme="minorEastAsia" w:hAnsiTheme="minorEastAsia" w:eastAsiaTheme="minorEastAsia" w:cstheme="minorEastAsia"/>
          <w:sz w:val="22"/>
          <w:szCs w:val="22"/>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900" w:name="_Toc532377332"/>
      <w:r>
        <w:rPr>
          <w:rFonts w:hint="eastAsia" w:asciiTheme="minorEastAsia" w:hAnsiTheme="minorEastAsia" w:eastAsiaTheme="minorEastAsia" w:cstheme="minorEastAsia"/>
          <w:sz w:val="22"/>
          <w:szCs w:val="22"/>
        </w:rPr>
        <w:t>2.4 施工现场、施工条件和基础资料的提供</w:t>
      </w:r>
      <w:bookmarkEnd w:id="900"/>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2.4.1 提供施工现场</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2.4.1.1 提供场地：</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施工场地的提供采用以下第</w:t>
      </w:r>
      <w:r>
        <w:rPr>
          <w:rFonts w:hint="eastAsia" w:asciiTheme="minorEastAsia" w:hAnsiTheme="minorEastAsia" w:eastAsiaTheme="minorEastAsia" w:cstheme="minorEastAsia"/>
          <w:sz w:val="22"/>
          <w:szCs w:val="22"/>
          <w:u w:val="single"/>
        </w:rPr>
        <w:t xml:space="preserve"> （2） </w:t>
      </w:r>
      <w:r>
        <w:rPr>
          <w:rFonts w:hint="eastAsia" w:asciiTheme="minorEastAsia" w:hAnsiTheme="minorEastAsia" w:eastAsiaTheme="minorEastAsia" w:cstheme="minorEastAsia"/>
          <w:sz w:val="22"/>
          <w:szCs w:val="22"/>
        </w:rPr>
        <w:t>种方式：</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（1）一次提供全部施工场地：发包人于</w:t>
      </w:r>
      <w:r>
        <w:rPr>
          <w:rFonts w:hint="eastAsia" w:asciiTheme="minorEastAsia" w:hAnsiTheme="minorEastAsia" w:eastAsiaTheme="minorEastAsia" w:cstheme="minorEastAsia"/>
          <w:sz w:val="22"/>
          <w:szCs w:val="22"/>
          <w:u w:val="single"/>
        </w:rPr>
        <w:t>开工</w:t>
      </w:r>
      <w:r>
        <w:rPr>
          <w:rFonts w:hint="eastAsia" w:asciiTheme="minorEastAsia" w:hAnsiTheme="minorEastAsia" w:eastAsiaTheme="minorEastAsia" w:cstheme="minorEastAsia"/>
          <w:sz w:val="22"/>
          <w:szCs w:val="22"/>
        </w:rPr>
        <w:t>前向承包人提供合同工程用地红线范围内的施工场地。</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（2）分次提供全部施工场地：</w:t>
      </w:r>
      <w:r>
        <w:rPr>
          <w:rFonts w:hint="eastAsia" w:asciiTheme="minorEastAsia" w:hAnsiTheme="minorEastAsia" w:eastAsiaTheme="minorEastAsia" w:cstheme="minorEastAsia"/>
          <w:sz w:val="22"/>
          <w:szCs w:val="22"/>
          <w:u w:val="single"/>
        </w:rPr>
        <w:t>发包人按约定的时间分次向承包人提供合同工程用地红线范围内的施工场地</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承包人编制的施工组织计划已充分考虑了施工场地提供的因素</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2.4.2 提供施工条件</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关于发包人应负责提供施工所需要的条件：</w:t>
      </w:r>
      <w:r>
        <w:rPr>
          <w:rFonts w:hint="eastAsia" w:asciiTheme="minorEastAsia" w:hAnsiTheme="minorEastAsia" w:eastAsiaTheme="minorEastAsia" w:cstheme="minorEastAsia"/>
          <w:sz w:val="22"/>
          <w:szCs w:val="22"/>
          <w:u w:val="single"/>
        </w:rPr>
        <w:t xml:space="preserve"> 根据现场实际情况</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901" w:name="_Toc532377333"/>
      <w:r>
        <w:rPr>
          <w:rFonts w:hint="eastAsia" w:asciiTheme="minorEastAsia" w:hAnsiTheme="minorEastAsia" w:eastAsiaTheme="minorEastAsia" w:cstheme="minorEastAsia"/>
          <w:sz w:val="22"/>
          <w:szCs w:val="22"/>
        </w:rPr>
        <w:t>2.5 资金来源证明及支付担保</w:t>
      </w:r>
      <w:bookmarkEnd w:id="901"/>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发包人提供资金来源证明的期限要求：</w:t>
      </w:r>
      <w:r>
        <w:rPr>
          <w:rFonts w:hint="eastAsia" w:asciiTheme="minorEastAsia" w:hAnsiTheme="minorEastAsia" w:eastAsiaTheme="minorEastAsia" w:cstheme="minorEastAsia"/>
          <w:sz w:val="22"/>
          <w:szCs w:val="22"/>
          <w:u w:val="single"/>
        </w:rPr>
        <w:t>不采用</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发包人是否提供支付担保：</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支付担保的形式：</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支付担保的金额：</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支付担保的时间：</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支付担保的期限：</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支付担保的退还时间：</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902" w:name="_Toc532377334"/>
      <w:bookmarkStart w:id="903" w:name="_Toc532375610"/>
      <w:bookmarkStart w:id="904" w:name="_Toc351203635"/>
      <w:r>
        <w:rPr>
          <w:rFonts w:hint="eastAsia" w:asciiTheme="minorEastAsia" w:hAnsiTheme="minorEastAsia" w:eastAsiaTheme="minorEastAsia" w:cstheme="minorEastAsia"/>
          <w:b/>
          <w:bCs/>
          <w:sz w:val="22"/>
          <w:szCs w:val="22"/>
        </w:rPr>
        <w:t>3</w:t>
      </w:r>
      <w:bookmarkStart w:id="905" w:name="_Toc296346659"/>
      <w:bookmarkStart w:id="906" w:name="_Toc296891198"/>
      <w:bookmarkStart w:id="907" w:name="_Toc296890986"/>
      <w:bookmarkStart w:id="908" w:name="_Toc296944497"/>
      <w:bookmarkStart w:id="909" w:name="_Toc296503158"/>
      <w:bookmarkStart w:id="910" w:name="_Toc292559363"/>
      <w:bookmarkStart w:id="911" w:name="_Toc297120458"/>
      <w:bookmarkStart w:id="912" w:name="_Toc297048344"/>
      <w:bookmarkStart w:id="913" w:name="_Toc292559868"/>
      <w:bookmarkStart w:id="914" w:name="_Toc296347157"/>
      <w:r>
        <w:rPr>
          <w:rFonts w:hint="eastAsia" w:asciiTheme="minorEastAsia" w:hAnsiTheme="minorEastAsia" w:eastAsiaTheme="minorEastAsia" w:cstheme="minorEastAsia"/>
          <w:b/>
          <w:bCs/>
          <w:sz w:val="22"/>
          <w:szCs w:val="22"/>
        </w:rPr>
        <w:t>. 承包人</w:t>
      </w:r>
      <w:bookmarkEnd w:id="902"/>
      <w:bookmarkEnd w:id="903"/>
      <w:bookmarkEnd w:id="904"/>
    </w:p>
    <w:bookmarkEnd w:id="905"/>
    <w:bookmarkEnd w:id="906"/>
    <w:bookmarkEnd w:id="907"/>
    <w:bookmarkEnd w:id="908"/>
    <w:bookmarkEnd w:id="909"/>
    <w:bookmarkEnd w:id="910"/>
    <w:bookmarkEnd w:id="911"/>
    <w:bookmarkEnd w:id="912"/>
    <w:bookmarkEnd w:id="913"/>
    <w:bookmarkEnd w:id="914"/>
    <w:p>
      <w:pPr>
        <w:pStyle w:val="7"/>
        <w:spacing w:before="0" w:after="0" w:line="440" w:lineRule="exact"/>
        <w:ind w:firstLine="442" w:firstLineChars="200"/>
        <w:rPr>
          <w:rFonts w:asciiTheme="minorEastAsia" w:hAnsiTheme="minorEastAsia" w:eastAsiaTheme="minorEastAsia" w:cstheme="minorEastAsia"/>
          <w:sz w:val="22"/>
          <w:szCs w:val="22"/>
        </w:rPr>
      </w:pPr>
      <w:bookmarkStart w:id="915" w:name="_Toc532377335"/>
      <w:r>
        <w:rPr>
          <w:rFonts w:hint="eastAsia" w:asciiTheme="minorEastAsia" w:hAnsiTheme="minorEastAsia" w:eastAsiaTheme="minorEastAsia" w:cstheme="minorEastAsia"/>
          <w:sz w:val="22"/>
          <w:szCs w:val="22"/>
        </w:rPr>
        <w:t>3.1 承包人的一般义务</w:t>
      </w:r>
      <w:bookmarkEnd w:id="915"/>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本款细化为3.1.1～3.1.10项：</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3.1.1办理法律规定和合同约定应由承包人办理的许可和批准，并将办理结果书面报送发包人留存；协助发包人办理施工所需的工程质量监督、安全监督、施工许可证等相关证件及手续。</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3.1.6按照第6.3款〔环境保护〕约定负责施工场地及其周边环境与生态的保护工作。</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3.1.7按照第6.1款〔安全文明施工〕约定采取施工安全措施，确保工程及其人员、材料、设备和设施的安全，防止因工程施工造成的人身伤害和财产损失。</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3.1.8将发包人按合同约定支付的各项价款专用于合同工程，且应及时支付其雇用人员工资，并及时向分包人支付合同价款。</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3.1.9承包人提交的竣工资料的内容：</w:t>
      </w:r>
      <w:r>
        <w:rPr>
          <w:rFonts w:hint="eastAsia" w:asciiTheme="minorEastAsia" w:hAnsiTheme="minorEastAsia" w:eastAsiaTheme="minorEastAsia" w:cstheme="minorEastAsia"/>
          <w:sz w:val="22"/>
          <w:szCs w:val="22"/>
          <w:u w:val="single"/>
        </w:rPr>
        <w:t>工程施工技术资料、工程质量保证资料、工程检验评定资料、竣工图及其他应交资料，应符合《建设工程文件归档整理规范》（GB/T50328-2014）和重庆市有关文件规定</w:t>
      </w:r>
      <w:r>
        <w:rPr>
          <w:rFonts w:hint="eastAsia" w:asciiTheme="minorEastAsia" w:hAnsiTheme="minorEastAsia" w:eastAsiaTheme="minorEastAsia" w:cstheme="minorEastAsia"/>
          <w:sz w:val="22"/>
          <w:szCs w:val="22"/>
        </w:rPr>
        <w:t>。</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承包人需要提交的竣工资料套数：完整竣工资料一式</w:t>
      </w:r>
      <w:r>
        <w:rPr>
          <w:rFonts w:hint="eastAsia" w:asciiTheme="minorEastAsia" w:hAnsiTheme="minorEastAsia" w:eastAsiaTheme="minorEastAsia" w:cstheme="minorEastAsia"/>
          <w:sz w:val="22"/>
          <w:szCs w:val="22"/>
          <w:u w:val="single"/>
        </w:rPr>
        <w:t xml:space="preserve">  肆  </w:t>
      </w:r>
      <w:r>
        <w:rPr>
          <w:rFonts w:hint="eastAsia" w:asciiTheme="minorEastAsia" w:hAnsiTheme="minorEastAsia" w:eastAsiaTheme="minorEastAsia" w:cstheme="minorEastAsia"/>
          <w:sz w:val="22"/>
          <w:szCs w:val="22"/>
        </w:rPr>
        <w:t>套（含电子文档）。</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承包人提交的竣工资料的费用承担：</w:t>
      </w:r>
      <w:r>
        <w:rPr>
          <w:rFonts w:hint="eastAsia" w:asciiTheme="minorEastAsia" w:hAnsiTheme="minorEastAsia" w:eastAsiaTheme="minorEastAsia" w:cstheme="minorEastAsia"/>
          <w:sz w:val="22"/>
          <w:szCs w:val="22"/>
          <w:u w:val="single"/>
        </w:rPr>
        <w:t>由承包人承担</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承包人提交的竣工资料移交时间：</w:t>
      </w:r>
      <w:r>
        <w:rPr>
          <w:rFonts w:hint="eastAsia" w:asciiTheme="minorEastAsia" w:hAnsiTheme="minorEastAsia" w:eastAsiaTheme="minorEastAsia" w:cstheme="minorEastAsia"/>
          <w:sz w:val="22"/>
          <w:szCs w:val="22"/>
          <w:u w:val="single"/>
        </w:rPr>
        <w:t>工程竣工验收合格后  1个月内移交给发包人</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承包人提交的竣工资料形式要求：</w:t>
      </w:r>
      <w:r>
        <w:rPr>
          <w:rFonts w:hint="eastAsia" w:asciiTheme="minorEastAsia" w:hAnsiTheme="minorEastAsia" w:eastAsiaTheme="minorEastAsia" w:cstheme="minorEastAsia"/>
          <w:sz w:val="22"/>
          <w:szCs w:val="22"/>
          <w:u w:val="single"/>
        </w:rPr>
        <w:t>完整的书面文件及电子文档</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3.1.10承包人应履行的其他义务：</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3.1.10.1在开始施工之前，承包人应核查、复测本工程的各种基准标志。承包人应及时将上述基准标志中存在的错误、不完整或其他缺陷通知发包人，以便发包人核实后重新确认。</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3.1.10.4承包人应服从发包人要求的管理模式、工作方式和工作要求，同时接受监理人、跟审单位的管理和全程监督，配合项目结、决算的办理。</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3.1.10.5承包人应为本工程开立专用帐户，接受发包人的监管。</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916" w:name="_Toc532377336"/>
      <w:r>
        <w:rPr>
          <w:rFonts w:hint="eastAsia" w:asciiTheme="minorEastAsia" w:hAnsiTheme="minorEastAsia" w:eastAsiaTheme="minorEastAsia" w:cstheme="minorEastAsia"/>
          <w:sz w:val="22"/>
          <w:szCs w:val="22"/>
        </w:rPr>
        <w:t>3.2 项目经理</w:t>
      </w:r>
      <w:bookmarkEnd w:id="916"/>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 xml:space="preserve">3.2.1 </w:t>
      </w:r>
      <w:r>
        <w:rPr>
          <w:rFonts w:hint="eastAsia" w:asciiTheme="minorEastAsia" w:hAnsiTheme="minorEastAsia" w:eastAsiaTheme="minorEastAsia" w:cstheme="minorEastAsia"/>
          <w:sz w:val="22"/>
          <w:szCs w:val="22"/>
        </w:rPr>
        <w:t>项目经理：</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    名：</w:t>
      </w:r>
      <w:r>
        <w:rPr>
          <w:rFonts w:hint="eastAsia" w:asciiTheme="minorEastAsia" w:hAnsiTheme="minorEastAsia" w:eastAsiaTheme="minorEastAsia" w:cstheme="minorEastAsia"/>
          <w:sz w:val="22"/>
          <w:szCs w:val="22"/>
          <w:u w:val="single"/>
        </w:rPr>
        <w:t xml:space="preserve">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身份证号：</w:t>
      </w:r>
      <w:r>
        <w:rPr>
          <w:rFonts w:hint="eastAsia" w:asciiTheme="minorEastAsia" w:hAnsiTheme="minorEastAsia" w:eastAsiaTheme="minorEastAsia" w:cstheme="minorEastAsia"/>
          <w:sz w:val="22"/>
          <w:szCs w:val="22"/>
          <w:u w:val="single"/>
        </w:rPr>
        <w:t>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建造师执业资格等级：</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建造师注册证书号：</w:t>
      </w:r>
      <w:r>
        <w:rPr>
          <w:rFonts w:hint="eastAsia" w:asciiTheme="minorEastAsia" w:hAnsiTheme="minorEastAsia" w:eastAsiaTheme="minorEastAsia" w:cstheme="minorEastAsia"/>
          <w:sz w:val="22"/>
          <w:szCs w:val="22"/>
          <w:u w:val="single"/>
        </w:rPr>
        <w:t>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建造师执业印章号：</w:t>
      </w:r>
      <w:r>
        <w:rPr>
          <w:rFonts w:hint="eastAsia" w:asciiTheme="minorEastAsia" w:hAnsiTheme="minorEastAsia" w:eastAsiaTheme="minorEastAsia" w:cstheme="minorEastAsia"/>
          <w:sz w:val="22"/>
          <w:szCs w:val="22"/>
          <w:u w:val="single"/>
        </w:rPr>
        <w:t>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安全生产考核合格证书号：</w:t>
      </w:r>
      <w:r>
        <w:rPr>
          <w:rFonts w:hint="eastAsia" w:asciiTheme="minorEastAsia" w:hAnsiTheme="minorEastAsia" w:eastAsiaTheme="minorEastAsia" w:cstheme="minorEastAsia"/>
          <w:sz w:val="22"/>
          <w:szCs w:val="22"/>
          <w:u w:val="single"/>
        </w:rPr>
        <w:t>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联系方式：</w:t>
      </w:r>
      <w:r>
        <w:rPr>
          <w:rFonts w:hint="eastAsia" w:asciiTheme="minorEastAsia" w:hAnsiTheme="minorEastAsia" w:eastAsiaTheme="minorEastAsia" w:cstheme="minorEastAsia"/>
          <w:sz w:val="22"/>
          <w:szCs w:val="22"/>
          <w:u w:val="single"/>
        </w:rPr>
        <w:t>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承包人对项目经理的授权范围如下：</w:t>
      </w:r>
      <w:r>
        <w:rPr>
          <w:rFonts w:hint="eastAsia" w:asciiTheme="minorEastAsia" w:hAnsiTheme="minorEastAsia" w:eastAsiaTheme="minorEastAsia" w:cstheme="minorEastAsia"/>
          <w:sz w:val="22"/>
          <w:szCs w:val="22"/>
          <w:u w:val="single"/>
        </w:rPr>
        <w:t>严格按设计图纸、现行国家施工规范及验收规范组织施工，保证工程质量、进度、安全；及时向监理人、发包人报告现场情况（以承包人书面授权范围为准）</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关于项目经理每月在施工现场的时间要求：</w:t>
      </w:r>
      <w:r>
        <w:rPr>
          <w:rFonts w:hint="eastAsia" w:asciiTheme="minorEastAsia" w:hAnsiTheme="minorEastAsia" w:eastAsiaTheme="minorEastAsia" w:cstheme="minorEastAsia"/>
          <w:sz w:val="22"/>
          <w:szCs w:val="22"/>
          <w:u w:val="single"/>
        </w:rPr>
        <w:t>不少于22天，由监理人负责项目经理的考勤</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3.2.2 技术负责人</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    名：</w:t>
      </w:r>
      <w:r>
        <w:rPr>
          <w:rFonts w:hint="eastAsia" w:asciiTheme="minorEastAsia" w:hAnsiTheme="minorEastAsia" w:eastAsiaTheme="minorEastAsia" w:cstheme="minorEastAsia"/>
          <w:sz w:val="22"/>
          <w:szCs w:val="22"/>
          <w:u w:val="single"/>
        </w:rPr>
        <w:t xml:space="preserve">      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身份证号：</w:t>
      </w:r>
      <w:r>
        <w:rPr>
          <w:rFonts w:hint="eastAsia" w:asciiTheme="minorEastAsia" w:hAnsiTheme="minorEastAsia" w:eastAsiaTheme="minorEastAsia" w:cstheme="minorEastAsia"/>
          <w:sz w:val="22"/>
          <w:szCs w:val="22"/>
          <w:u w:val="single"/>
        </w:rPr>
        <w:t xml:space="preserve">      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联系方式：</w:t>
      </w:r>
      <w:r>
        <w:rPr>
          <w:rFonts w:hint="eastAsia" w:asciiTheme="minorEastAsia" w:hAnsiTheme="minorEastAsia" w:eastAsiaTheme="minorEastAsia" w:cstheme="minorEastAsia"/>
          <w:sz w:val="22"/>
          <w:szCs w:val="22"/>
          <w:u w:val="single"/>
        </w:rPr>
        <w:t xml:space="preserve">      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     业：</w:t>
      </w:r>
      <w:r>
        <w:rPr>
          <w:rFonts w:hint="eastAsia" w:asciiTheme="minorEastAsia" w:hAnsiTheme="minorEastAsia" w:eastAsiaTheme="minorEastAsia" w:cstheme="minorEastAsia"/>
          <w:sz w:val="22"/>
          <w:szCs w:val="22"/>
          <w:u w:val="single"/>
        </w:rPr>
        <w:t xml:space="preserve">      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证书名称及号码：</w:t>
      </w:r>
      <w:r>
        <w:rPr>
          <w:rFonts w:hint="eastAsia" w:asciiTheme="minorEastAsia" w:hAnsiTheme="minorEastAsia" w:eastAsiaTheme="minorEastAsia" w:cstheme="minorEastAsia"/>
          <w:sz w:val="22"/>
          <w:szCs w:val="22"/>
          <w:u w:val="single"/>
        </w:rPr>
        <w:t xml:space="preserve">                         </w:t>
      </w:r>
      <w:r>
        <w:rPr>
          <w:rFonts w:hint="eastAsia" w:asciiTheme="minorEastAsia" w:hAnsiTheme="minorEastAsia" w:eastAsiaTheme="minorEastAsia" w:cstheme="minorEastAsia"/>
          <w:sz w:val="22"/>
          <w:szCs w:val="22"/>
        </w:rPr>
        <w:t>；</w:t>
      </w:r>
    </w:p>
    <w:p>
      <w:pPr>
        <w:pStyle w:val="2"/>
        <w:spacing w:line="44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联系方式：</w:t>
      </w:r>
      <w:r>
        <w:rPr>
          <w:rFonts w:hint="eastAsia" w:asciiTheme="minorEastAsia" w:hAnsiTheme="minorEastAsia" w:eastAsiaTheme="minorEastAsia" w:cstheme="minorEastAsia"/>
          <w:sz w:val="22"/>
          <w:szCs w:val="22"/>
          <w:u w:val="single"/>
        </w:rPr>
        <w:t xml:space="preserve">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关于技</w:t>
      </w:r>
      <w:r>
        <w:rPr>
          <w:rFonts w:hint="eastAsia" w:asciiTheme="minorEastAsia" w:hAnsiTheme="minorEastAsia" w:eastAsiaTheme="minorEastAsia" w:cstheme="minorEastAsia"/>
          <w:sz w:val="22"/>
          <w:szCs w:val="22"/>
        </w:rPr>
        <w:t>术负责人每月在施工现场的时间要求：</w:t>
      </w:r>
      <w:r>
        <w:rPr>
          <w:rFonts w:hint="eastAsia" w:asciiTheme="minorEastAsia" w:hAnsiTheme="minorEastAsia" w:eastAsiaTheme="minorEastAsia" w:cstheme="minorEastAsia"/>
          <w:sz w:val="22"/>
          <w:szCs w:val="22"/>
          <w:u w:val="single"/>
        </w:rPr>
        <w:t>不少于22天，由监理人负责技术负责人的考勤</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Theme="minorEastAsia" w:hAnsiTheme="minorEastAsia" w:eastAsiaTheme="minorEastAsia" w:cstheme="minorEastAsia"/>
          <w:sz w:val="22"/>
          <w:szCs w:val="22"/>
        </w:rPr>
        <w:t>。</w:t>
      </w:r>
      <w:bookmarkStart w:id="917" w:name="_Hlk528927599"/>
    </w:p>
    <w:bookmarkEnd w:id="917"/>
    <w:p>
      <w:pPr>
        <w:spacing w:line="440" w:lineRule="exact"/>
        <w:ind w:firstLine="440" w:firstLineChars="200"/>
        <w:jc w:val="left"/>
        <w:rPr>
          <w:rFonts w:asciiTheme="minorEastAsia" w:hAnsiTheme="minorEastAsia" w:eastAsiaTheme="minorEastAsia" w:cstheme="minorEastAsia"/>
          <w:sz w:val="22"/>
          <w:szCs w:val="22"/>
        </w:rPr>
      </w:pPr>
      <w:bookmarkStart w:id="918" w:name="_Hlk528927718"/>
      <w:r>
        <w:rPr>
          <w:rFonts w:hint="eastAsia" w:asciiTheme="minorEastAsia" w:hAnsiTheme="minorEastAsia" w:eastAsiaTheme="minorEastAsia" w:cstheme="minorEastAsia"/>
          <w:sz w:val="22"/>
          <w:szCs w:val="22"/>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918"/>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若项目经理和技术负责人出现下列情形需更换的，承包人按通用条款第3.2.3项的规定向发包人发出通知，经发包人领导班子集体决策同意后予以批准，并将变更信息推送给行业主管部门：</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1、死亡；</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2、非承包人原因导致工期延长，而致使项目经理和技术负责人达到法定退休年龄且确需退休；</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3、按《职工非因工伤残或因病丧失劳动能力程度鉴定标准（试行）》规定鉴定为完全丧失劳动能力和大部分丧失劳动能力；</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4、非承包人原因导致中标3个月不能开工；</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5、被公安或者司法机关限制人身自由；</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6、被取消职称或者执业资格，不满足项目管理要求；</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7、非承包人原因导致确需变更的其它情形。</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本款补充3.2.6项</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3.2.6 国有投资项目其他主要人员变更参照《重庆市政府投资项目合同变更管理暂行办法》的规定。</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919" w:name="_Toc532377337"/>
      <w:r>
        <w:rPr>
          <w:rFonts w:hint="eastAsia" w:asciiTheme="minorEastAsia" w:hAnsiTheme="minorEastAsia" w:eastAsiaTheme="minorEastAsia" w:cstheme="minorEastAsia"/>
          <w:sz w:val="22"/>
          <w:szCs w:val="22"/>
        </w:rPr>
        <w:t>3.3 承包人人员</w:t>
      </w:r>
      <w:bookmarkEnd w:id="919"/>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3.3.1 承包人应按建设行政主管部门现行规定配备现场施工从业人员。</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3.3.4 承包人主要施工管理人员离开施工现场，指定的临时人员需满足：</w:t>
      </w:r>
      <w:r>
        <w:rPr>
          <w:rFonts w:hint="eastAsia" w:asciiTheme="minorEastAsia" w:hAnsiTheme="minorEastAsia" w:eastAsiaTheme="minorEastAsia" w:cstheme="minorEastAsia"/>
          <w:sz w:val="22"/>
          <w:szCs w:val="22"/>
          <w:u w:val="single"/>
        </w:rPr>
        <w:t>《重庆市房屋建筑与市政基础设施工程现场施工从业人员配备标准》（DBJ50-157-2013）的相应要求</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920" w:name="_Toc532377338"/>
      <w:r>
        <w:rPr>
          <w:rFonts w:hint="eastAsia" w:asciiTheme="minorEastAsia" w:hAnsiTheme="minorEastAsia" w:eastAsiaTheme="minorEastAsia" w:cstheme="minorEastAsia"/>
          <w:sz w:val="22"/>
          <w:szCs w:val="22"/>
        </w:rPr>
        <w:t>3</w:t>
      </w:r>
      <w:bookmarkStart w:id="921" w:name="_Toc297048345"/>
      <w:bookmarkStart w:id="922" w:name="_Toc312677988"/>
      <w:bookmarkStart w:id="923" w:name="_Toc292559364"/>
      <w:bookmarkStart w:id="924" w:name="_Toc296346660"/>
      <w:bookmarkStart w:id="925" w:name="_Toc297123492"/>
      <w:bookmarkStart w:id="926" w:name="_Toc297120459"/>
      <w:bookmarkStart w:id="927" w:name="_Toc300934945"/>
      <w:bookmarkStart w:id="928" w:name="_Toc297216151"/>
      <w:bookmarkStart w:id="929" w:name="_Toc296890987"/>
      <w:bookmarkStart w:id="930" w:name="_Toc304295523"/>
      <w:bookmarkStart w:id="931" w:name="_Toc303539102"/>
      <w:bookmarkStart w:id="932" w:name="_Toc292559869"/>
      <w:bookmarkStart w:id="933" w:name="_Toc296891199"/>
      <w:bookmarkStart w:id="934" w:name="_Toc296503159"/>
      <w:bookmarkStart w:id="935" w:name="_Toc296347158"/>
      <w:bookmarkStart w:id="936" w:name="_Toc296944498"/>
      <w:r>
        <w:rPr>
          <w:rFonts w:hint="eastAsia" w:asciiTheme="minorEastAsia" w:hAnsiTheme="minorEastAsia" w:eastAsiaTheme="minorEastAsia" w:cstheme="minorEastAsia"/>
          <w:sz w:val="22"/>
          <w:szCs w:val="22"/>
        </w:rPr>
        <w:t>.5 分包</w:t>
      </w:r>
      <w:bookmarkEnd w:id="920"/>
    </w:p>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bookmarkStart w:id="937" w:name="_Toc296503160"/>
      <w:bookmarkStart w:id="938" w:name="_Toc296346661"/>
      <w:bookmarkStart w:id="939" w:name="_Toc296347159"/>
      <w:bookmarkStart w:id="940" w:name="_Toc318581158"/>
      <w:bookmarkStart w:id="941" w:name="_Toc304295524"/>
      <w:bookmarkStart w:id="942" w:name="_Toc303539103"/>
      <w:bookmarkStart w:id="943" w:name="_Toc296891200"/>
      <w:bookmarkStart w:id="944" w:name="_Toc297216152"/>
      <w:bookmarkStart w:id="945" w:name="_Toc300934946"/>
      <w:bookmarkStart w:id="946" w:name="_Toc297048346"/>
      <w:bookmarkStart w:id="947" w:name="_Toc292559365"/>
      <w:bookmarkStart w:id="948" w:name="_Toc297120460"/>
      <w:bookmarkStart w:id="949" w:name="_Toc297123493"/>
      <w:bookmarkStart w:id="950" w:name="_Toc296944499"/>
      <w:bookmarkStart w:id="951" w:name="_Toc296890988"/>
      <w:bookmarkStart w:id="952" w:name="_Toc292559870"/>
      <w:bookmarkStart w:id="953" w:name="_Toc312677989"/>
      <w:r>
        <w:rPr>
          <w:rFonts w:hint="eastAsia" w:asciiTheme="minorEastAsia" w:hAnsiTheme="minorEastAsia" w:eastAsiaTheme="minorEastAsia" w:cstheme="minorEastAsia"/>
          <w:sz w:val="22"/>
          <w:szCs w:val="22"/>
        </w:rPr>
        <w:t>.5.1 分包的一般约定</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禁止分包的工程包括：主体结构、关键性工作等国家法律、法规禁止分包的工程。</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主体结构、关键性工作的范围：国家法律、法规、规范、标准等所约束的范围。如房建工程主体结构指混凝土工程、砌体工程、钢结构工程（具体有基础、梁、板、柱、砼墙、楼梯工程等）</w:t>
      </w:r>
      <w:bookmarkStart w:id="954" w:name="_Toc300934947"/>
      <w:bookmarkStart w:id="955" w:name="_Toc296891201"/>
      <w:bookmarkStart w:id="956" w:name="_Toc296890989"/>
      <w:bookmarkStart w:id="957" w:name="_Toc297120461"/>
      <w:bookmarkStart w:id="958" w:name="_Toc296503161"/>
      <w:bookmarkStart w:id="959" w:name="_Toc296347160"/>
      <w:bookmarkStart w:id="960" w:name="_Toc296944500"/>
      <w:bookmarkStart w:id="961" w:name="_Toc297123494"/>
      <w:bookmarkStart w:id="962" w:name="_Toc297048347"/>
      <w:bookmarkStart w:id="963" w:name="_Toc297216153"/>
      <w:bookmarkStart w:id="964" w:name="_Toc304295525"/>
      <w:bookmarkStart w:id="965" w:name="_Toc296346662"/>
      <w:bookmarkStart w:id="966" w:name="_Toc303539104"/>
      <w:r>
        <w:rPr>
          <w:rFonts w:hint="eastAsia" w:asciiTheme="minorEastAsia" w:hAnsiTheme="minorEastAsia" w:eastAsiaTheme="minorEastAsia" w:cstheme="minorEastAsia"/>
          <w:sz w:val="22"/>
          <w:szCs w:val="22"/>
        </w:rPr>
        <w:t>；关键性工作指梁、板、柱等部位。</w:t>
      </w:r>
    </w:p>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bookmarkStart w:id="967" w:name="_Toc318581159"/>
      <w:bookmarkStart w:id="968" w:name="_Toc312677990"/>
      <w:r>
        <w:rPr>
          <w:rFonts w:hint="eastAsia" w:asciiTheme="minorEastAsia" w:hAnsiTheme="minorEastAsia" w:eastAsiaTheme="minorEastAsia" w:cstheme="minorEastAsia"/>
          <w:sz w:val="22"/>
          <w:szCs w:val="22"/>
        </w:rPr>
        <w:t>.5.2分包的确定</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允许分包的专业工程包括：</w:t>
      </w:r>
      <w:r>
        <w:rPr>
          <w:rFonts w:hint="eastAsia" w:asciiTheme="minorEastAsia" w:hAnsiTheme="minorEastAsia" w:eastAsiaTheme="minorEastAsia" w:cstheme="minorEastAsia"/>
          <w:sz w:val="22"/>
          <w:szCs w:val="22"/>
          <w:u w:val="single"/>
        </w:rPr>
        <w:t>符合《中华人民共和国建筑法》和《中华人民共和国招标投标法》的相关规定</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3.5.4 分包合同价款</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关于分包合同价款支付的约定：</w:t>
      </w:r>
      <w:bookmarkEnd w:id="967"/>
      <w:bookmarkEnd w:id="968"/>
      <w:r>
        <w:rPr>
          <w:rFonts w:hint="eastAsia" w:asciiTheme="minorEastAsia" w:hAnsiTheme="minorEastAsia" w:eastAsiaTheme="minorEastAsia" w:cstheme="minorEastAsia"/>
          <w:sz w:val="22"/>
          <w:szCs w:val="22"/>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本款补充3.5.6项：</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3.5.6严禁违法分包</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经查实，承包人的履约担保不予退还，终止合同；同时发包人有权向相关行政监管部门举报，根据《住房和城乡建设部关于印发建筑工程施工发包与承包违法行为认定查处管理办法的通知》（建市规〔2019〕1号）相关规定条执行。</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969" w:name="_Toc532377339"/>
      <w:r>
        <w:rPr>
          <w:rFonts w:hint="eastAsia" w:asciiTheme="minorEastAsia" w:hAnsiTheme="minorEastAsia" w:eastAsiaTheme="minorEastAsia" w:cstheme="minorEastAsia"/>
          <w:sz w:val="22"/>
          <w:szCs w:val="22"/>
        </w:rPr>
        <w:t>3.7 履约担保</w:t>
      </w:r>
      <w:bookmarkEnd w:id="969"/>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3.7.1承包人是否提供履约担保：</w:t>
      </w:r>
      <w:r>
        <w:rPr>
          <w:rFonts w:hint="eastAsia" w:asciiTheme="minorEastAsia" w:hAnsiTheme="minorEastAsia" w:eastAsiaTheme="minorEastAsia" w:cstheme="minorEastAsia"/>
          <w:sz w:val="22"/>
          <w:szCs w:val="22"/>
          <w:u w:val="single"/>
        </w:rPr>
        <w:t>提供</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3.7.2承包人提供履约担保的形式、金额及期限：</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（1）履约担保的形式：</w:t>
      </w:r>
      <w:r>
        <w:rPr>
          <w:rFonts w:hint="eastAsia" w:asciiTheme="minorEastAsia" w:hAnsiTheme="minorEastAsia" w:eastAsiaTheme="minorEastAsia" w:cstheme="minorEastAsia"/>
          <w:sz w:val="22"/>
          <w:szCs w:val="22"/>
          <w:u w:val="single"/>
        </w:rPr>
        <w:t>现金（转账）；</w:t>
      </w:r>
    </w:p>
    <w:p>
      <w:pPr>
        <w:tabs>
          <w:tab w:val="left" w:pos="1134"/>
        </w:tabs>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（2）履约担保的金额：</w:t>
      </w:r>
      <w:r>
        <w:rPr>
          <w:rFonts w:hint="eastAsia" w:asciiTheme="minorEastAsia" w:hAnsiTheme="minorEastAsia" w:eastAsiaTheme="minorEastAsia" w:cstheme="minorEastAsia"/>
          <w:sz w:val="22"/>
          <w:szCs w:val="22"/>
          <w:u w:val="single"/>
        </w:rPr>
        <w:t>中标金额的10% ；</w:t>
      </w:r>
      <w:r>
        <w:rPr>
          <w:rFonts w:hint="eastAsia" w:asciiTheme="minorEastAsia" w:hAnsiTheme="minorEastAsia" w:eastAsiaTheme="minorEastAsia" w:cstheme="minorEastAsia"/>
          <w:sz w:val="22"/>
          <w:szCs w:val="22"/>
        </w:rPr>
        <w:t xml:space="preserve"> </w:t>
      </w:r>
    </w:p>
    <w:p>
      <w:pPr>
        <w:tabs>
          <w:tab w:val="left" w:pos="1134"/>
        </w:tabs>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（3）履约担保的提交时间：</w:t>
      </w:r>
      <w:r>
        <w:rPr>
          <w:rFonts w:hint="eastAsia" w:asciiTheme="minorEastAsia" w:hAnsiTheme="minorEastAsia" w:eastAsiaTheme="minorEastAsia" w:cstheme="minorEastAsia"/>
          <w:sz w:val="22"/>
          <w:szCs w:val="22"/>
          <w:u w:val="single"/>
        </w:rPr>
        <w:t>在合同签订前，承包人按担保金额向发包人提交履约担保</w:t>
      </w:r>
      <w:r>
        <w:rPr>
          <w:rFonts w:hint="eastAsia" w:asciiTheme="minorEastAsia" w:hAnsiTheme="minorEastAsia" w:eastAsiaTheme="minorEastAsia" w:cstheme="minorEastAsia"/>
          <w:sz w:val="22"/>
          <w:szCs w:val="22"/>
        </w:rPr>
        <w:t>。</w:t>
      </w:r>
    </w:p>
    <w:p>
      <w:pPr>
        <w:tabs>
          <w:tab w:val="left" w:pos="1134"/>
        </w:tabs>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（4）履约担保的期限：</w:t>
      </w:r>
      <w:r>
        <w:rPr>
          <w:rFonts w:hint="eastAsia" w:asciiTheme="minorEastAsia" w:hAnsiTheme="minorEastAsia" w:eastAsiaTheme="minorEastAsia" w:cstheme="minorEastAsia"/>
          <w:sz w:val="22"/>
          <w:szCs w:val="22"/>
          <w:u w:val="single"/>
        </w:rPr>
        <w:t>自提交履约担保之日起至竣工验收合格之日止；</w:t>
      </w:r>
    </w:p>
    <w:p>
      <w:pPr>
        <w:tabs>
          <w:tab w:val="left" w:pos="1134"/>
        </w:tabs>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（5）履约担保的退还时间：</w:t>
      </w:r>
      <w:r>
        <w:rPr>
          <w:rFonts w:hint="eastAsia" w:asciiTheme="minorEastAsia" w:hAnsiTheme="minorEastAsia" w:eastAsiaTheme="minorEastAsia" w:cstheme="minorEastAsia"/>
          <w:sz w:val="22"/>
          <w:szCs w:val="22"/>
          <w:u w:val="single"/>
        </w:rPr>
        <w:t>工程竣工验收合格后14天内无息退还。</w:t>
      </w:r>
      <w:r>
        <w:rPr>
          <w:rFonts w:hint="eastAsia" w:asciiTheme="minorEastAsia" w:hAnsiTheme="minorEastAsia" w:eastAsiaTheme="minorEastAsia" w:cstheme="minorEastAsia"/>
          <w:sz w:val="22"/>
          <w:szCs w:val="22"/>
        </w:rPr>
        <w:t xml:space="preserve"> </w:t>
      </w:r>
    </w:p>
    <w:p>
      <w:pPr>
        <w:pStyle w:val="2"/>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3.7.3 低价风险担保</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承包人提供低价风险担保的情形：采用经评审的最低投标价法的项目投标报价低于最高限价85%时。</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承包人是否提供低价风险担保：</w:t>
      </w:r>
      <w:r>
        <w:rPr>
          <w:rFonts w:hint="eastAsia" w:asciiTheme="minorEastAsia" w:hAnsiTheme="minorEastAsia" w:eastAsiaTheme="minorEastAsia" w:cstheme="minorEastAsia"/>
          <w:sz w:val="22"/>
          <w:szCs w:val="22"/>
          <w:u w:val="single"/>
        </w:rPr>
        <w:t>提供</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承包人提供低价风险担保的形式、金额及期限：</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（1）低价风险担保的形式：</w:t>
      </w:r>
      <w:r>
        <w:rPr>
          <w:rFonts w:hint="eastAsia" w:asciiTheme="minorEastAsia" w:hAnsiTheme="minorEastAsia" w:eastAsiaTheme="minorEastAsia" w:cstheme="minorEastAsia"/>
          <w:sz w:val="22"/>
          <w:szCs w:val="22"/>
          <w:u w:val="single"/>
        </w:rPr>
        <w:t>现金（转账）</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（2）低价风险担保的金额：</w:t>
      </w:r>
      <w:r>
        <w:rPr>
          <w:rFonts w:hint="eastAsia" w:asciiTheme="minorEastAsia" w:hAnsiTheme="minorEastAsia" w:eastAsiaTheme="minorEastAsia" w:cstheme="minorEastAsia"/>
          <w:sz w:val="22"/>
          <w:szCs w:val="22"/>
          <w:u w:val="single"/>
        </w:rPr>
        <w:t>按招标文件规定</w:t>
      </w:r>
      <w:r>
        <w:rPr>
          <w:rFonts w:hint="eastAsia" w:asciiTheme="minorEastAsia" w:hAnsiTheme="minorEastAsia" w:eastAsiaTheme="minorEastAsia" w:cstheme="minorEastAsia"/>
          <w:sz w:val="22"/>
          <w:szCs w:val="22"/>
        </w:rPr>
        <w:t xml:space="preserve">； </w:t>
      </w:r>
    </w:p>
    <w:p>
      <w:pPr>
        <w:tabs>
          <w:tab w:val="left" w:pos="1134"/>
        </w:tabs>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（3）低价风险担保的提交时间：</w:t>
      </w:r>
      <w:r>
        <w:rPr>
          <w:rFonts w:hint="eastAsia" w:asciiTheme="minorEastAsia" w:hAnsiTheme="minorEastAsia" w:eastAsiaTheme="minorEastAsia" w:cstheme="minorEastAsia"/>
          <w:sz w:val="22"/>
          <w:szCs w:val="22"/>
          <w:u w:val="single"/>
        </w:rPr>
        <w:t>中标候选人公示结束后3个工作日内，中标人按担保金额向招标人提交低价风险担保；</w:t>
      </w:r>
    </w:p>
    <w:p>
      <w:pPr>
        <w:tabs>
          <w:tab w:val="left" w:pos="1134"/>
        </w:tabs>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（4）低价风险担保的期限：</w:t>
      </w:r>
      <w:r>
        <w:rPr>
          <w:rFonts w:hint="eastAsia" w:asciiTheme="minorEastAsia" w:hAnsiTheme="minorEastAsia" w:eastAsiaTheme="minorEastAsia" w:cstheme="minorEastAsia"/>
          <w:sz w:val="22"/>
          <w:szCs w:val="22"/>
          <w:u w:val="single"/>
        </w:rPr>
        <w:t>自提交低价风险担保之日起至竣工验收合格之日止</w:t>
      </w:r>
      <w:r>
        <w:rPr>
          <w:rFonts w:hint="eastAsia" w:asciiTheme="minorEastAsia" w:hAnsiTheme="minorEastAsia" w:eastAsiaTheme="minorEastAsia" w:cstheme="minorEastAsia"/>
          <w:sz w:val="22"/>
          <w:szCs w:val="22"/>
        </w:rPr>
        <w:t>；</w:t>
      </w:r>
    </w:p>
    <w:p>
      <w:pPr>
        <w:pStyle w:val="2"/>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低价风险担保的退还时间：</w:t>
      </w:r>
      <w:r>
        <w:rPr>
          <w:rFonts w:hint="eastAsia" w:asciiTheme="minorEastAsia" w:hAnsiTheme="minorEastAsia" w:eastAsiaTheme="minorEastAsia" w:cstheme="minorEastAsia"/>
          <w:sz w:val="22"/>
          <w:szCs w:val="22"/>
          <w:u w:val="single"/>
        </w:rPr>
        <w:t>工程竣工验收合格后14天内无息退还</w:t>
      </w:r>
      <w:r>
        <w:rPr>
          <w:rFonts w:hint="eastAsia" w:asciiTheme="minorEastAsia" w:hAnsiTheme="minorEastAsia" w:eastAsiaTheme="minorEastAsia" w:cstheme="minorEastAsia"/>
          <w:sz w:val="22"/>
          <w:szCs w:val="22"/>
        </w:rPr>
        <w:t>；</w:t>
      </w:r>
    </w:p>
    <w:p>
      <w:pPr>
        <w:pStyle w:val="2"/>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（5）低价风险担保的扣减：</w:t>
      </w:r>
      <w:r>
        <w:rPr>
          <w:rFonts w:hint="eastAsia" w:asciiTheme="minorEastAsia" w:hAnsiTheme="minorEastAsia" w:eastAsiaTheme="minorEastAsia" w:cstheme="minorEastAsia"/>
          <w:sz w:val="22"/>
          <w:szCs w:val="22"/>
          <w:u w:val="single"/>
        </w:rPr>
        <w:t>无。</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970" w:name="_Toc532375611"/>
      <w:bookmarkStart w:id="971" w:name="_Toc532377340"/>
      <w:bookmarkStart w:id="972" w:name="_Toc351203636"/>
      <w:r>
        <w:rPr>
          <w:rFonts w:hint="eastAsia" w:asciiTheme="minorEastAsia" w:hAnsiTheme="minorEastAsia" w:eastAsiaTheme="minorEastAsia" w:cstheme="minorEastAsia"/>
          <w:b/>
          <w:bCs/>
          <w:sz w:val="22"/>
          <w:szCs w:val="22"/>
        </w:rPr>
        <w:t>4</w:t>
      </w:r>
      <w:bookmarkStart w:id="973" w:name="_Toc297120462"/>
      <w:bookmarkStart w:id="974" w:name="_Toc296944501"/>
      <w:bookmarkStart w:id="975" w:name="_Toc297048348"/>
      <w:bookmarkStart w:id="976" w:name="_Toc292559871"/>
      <w:bookmarkStart w:id="977" w:name="_Toc296347161"/>
      <w:bookmarkStart w:id="978" w:name="_Toc296891202"/>
      <w:bookmarkStart w:id="979" w:name="_Toc267251413"/>
      <w:bookmarkStart w:id="980" w:name="_Toc296503162"/>
      <w:bookmarkStart w:id="981" w:name="_Toc296890990"/>
      <w:bookmarkStart w:id="982" w:name="_Toc292559366"/>
      <w:bookmarkStart w:id="983" w:name="_Toc296346663"/>
      <w:r>
        <w:rPr>
          <w:rFonts w:hint="eastAsia" w:asciiTheme="minorEastAsia" w:hAnsiTheme="minorEastAsia" w:eastAsiaTheme="minorEastAsia" w:cstheme="minorEastAsia"/>
          <w:b/>
          <w:bCs/>
          <w:sz w:val="22"/>
          <w:szCs w:val="22"/>
        </w:rPr>
        <w:t>. 监</w:t>
      </w:r>
      <w:bookmarkEnd w:id="973"/>
      <w:bookmarkEnd w:id="974"/>
      <w:bookmarkEnd w:id="975"/>
      <w:bookmarkEnd w:id="976"/>
      <w:bookmarkEnd w:id="977"/>
      <w:bookmarkEnd w:id="978"/>
      <w:bookmarkEnd w:id="979"/>
      <w:bookmarkEnd w:id="980"/>
      <w:bookmarkEnd w:id="981"/>
      <w:bookmarkEnd w:id="982"/>
      <w:bookmarkEnd w:id="983"/>
      <w:r>
        <w:rPr>
          <w:rFonts w:hint="eastAsia" w:asciiTheme="minorEastAsia" w:hAnsiTheme="minorEastAsia" w:eastAsiaTheme="minorEastAsia" w:cstheme="minorEastAsia"/>
          <w:b/>
          <w:bCs/>
          <w:sz w:val="22"/>
          <w:szCs w:val="22"/>
        </w:rPr>
        <w:t>理人</w:t>
      </w:r>
      <w:bookmarkEnd w:id="970"/>
      <w:bookmarkEnd w:id="971"/>
      <w:bookmarkEnd w:id="972"/>
    </w:p>
    <w:p>
      <w:pPr>
        <w:pStyle w:val="7"/>
        <w:spacing w:before="0" w:after="0" w:line="440" w:lineRule="exact"/>
        <w:ind w:firstLine="442" w:firstLineChars="200"/>
        <w:rPr>
          <w:rFonts w:asciiTheme="minorEastAsia" w:hAnsiTheme="minorEastAsia" w:eastAsiaTheme="minorEastAsia" w:cstheme="minorEastAsia"/>
          <w:sz w:val="22"/>
          <w:szCs w:val="22"/>
        </w:rPr>
      </w:pPr>
      <w:bookmarkStart w:id="984" w:name="_Toc532377341"/>
      <w:r>
        <w:rPr>
          <w:rFonts w:hint="eastAsia" w:asciiTheme="minorEastAsia" w:hAnsiTheme="minorEastAsia" w:eastAsiaTheme="minorEastAsia" w:cstheme="minorEastAsia"/>
          <w:sz w:val="22"/>
          <w:szCs w:val="22"/>
        </w:rPr>
        <w:t>4.1 监理人的一般规定</w:t>
      </w:r>
      <w:bookmarkEnd w:id="984"/>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关于监理人的监理内容：</w:t>
      </w:r>
      <w:r>
        <w:rPr>
          <w:rFonts w:hint="eastAsia" w:asciiTheme="minorEastAsia" w:hAnsiTheme="minorEastAsia" w:eastAsiaTheme="minorEastAsia" w:cstheme="minorEastAsia"/>
          <w:sz w:val="22"/>
          <w:szCs w:val="22"/>
          <w:u w:val="single"/>
        </w:rPr>
        <w:t>见发包人与监理人就本工程签订的监理合同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关于监理人的监理权限：</w:t>
      </w:r>
      <w:r>
        <w:rPr>
          <w:rFonts w:hint="eastAsia" w:asciiTheme="minorEastAsia" w:hAnsiTheme="minorEastAsia" w:eastAsiaTheme="minorEastAsia" w:cstheme="minorEastAsia"/>
          <w:sz w:val="22"/>
          <w:szCs w:val="22"/>
          <w:u w:val="single"/>
        </w:rPr>
        <w:t>见发包人与监理人就本工程签订的监理合同；任何涉及费用确定和（或）工期调整，或者设计变更，或者变更估价，或者涉及经济责任的事项，监理工程师在发出指令或通知前，须征得发包人同意</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关于监理人在施工现场的办公场所、生活场所的提供和费用承担的约定：</w:t>
      </w:r>
      <w:r>
        <w:rPr>
          <w:rFonts w:hint="eastAsia" w:asciiTheme="minorEastAsia" w:hAnsiTheme="minorEastAsia" w:eastAsiaTheme="minorEastAsia" w:cstheme="minorEastAsia"/>
          <w:sz w:val="22"/>
          <w:szCs w:val="22"/>
          <w:u w:val="single"/>
        </w:rPr>
        <w:t>承包人提供，费用已包含在投标报价中</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985" w:name="_Toc532377342"/>
      <w:r>
        <w:rPr>
          <w:rFonts w:hint="eastAsia" w:asciiTheme="minorEastAsia" w:hAnsiTheme="minorEastAsia" w:eastAsiaTheme="minorEastAsia" w:cstheme="minorEastAsia"/>
          <w:sz w:val="22"/>
          <w:szCs w:val="22"/>
        </w:rPr>
        <w:t>4.2 监理人员</w:t>
      </w:r>
      <w:bookmarkEnd w:id="985"/>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总监理工程师：</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    名：</w:t>
      </w:r>
      <w:r>
        <w:rPr>
          <w:rFonts w:hint="eastAsia" w:asciiTheme="minorEastAsia" w:hAnsiTheme="minorEastAsia" w:eastAsiaTheme="minorEastAsia" w:cstheme="minorEastAsia"/>
          <w:sz w:val="22"/>
          <w:szCs w:val="22"/>
          <w:u w:val="single"/>
        </w:rPr>
        <w:t xml:space="preserve">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    务：</w:t>
      </w:r>
      <w:r>
        <w:rPr>
          <w:rFonts w:hint="eastAsia" w:asciiTheme="minorEastAsia" w:hAnsiTheme="minorEastAsia" w:eastAsiaTheme="minorEastAsia" w:cstheme="minorEastAsia"/>
          <w:sz w:val="22"/>
          <w:szCs w:val="22"/>
          <w:u w:val="single"/>
        </w:rPr>
        <w:t xml:space="preserve">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监理工程师执业资格证书号：</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联系方式：</w:t>
      </w:r>
      <w:r>
        <w:rPr>
          <w:rFonts w:hint="eastAsia" w:asciiTheme="minorEastAsia" w:hAnsiTheme="minorEastAsia" w:eastAsiaTheme="minorEastAsia" w:cstheme="minorEastAsia"/>
          <w:sz w:val="22"/>
          <w:szCs w:val="22"/>
          <w:u w:val="single"/>
        </w:rPr>
        <w:t xml:space="preserve">      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关于监理人的其他约定：</w:t>
      </w:r>
      <w:r>
        <w:rPr>
          <w:rFonts w:hint="eastAsia" w:asciiTheme="minorEastAsia" w:hAnsiTheme="minorEastAsia" w:eastAsiaTheme="minorEastAsia" w:cstheme="minorEastAsia"/>
          <w:sz w:val="22"/>
          <w:szCs w:val="22"/>
          <w:u w:val="single"/>
        </w:rPr>
        <w:t>见发包人与监理人就本工程签订的监理合同</w:t>
      </w:r>
      <w:r>
        <w:rPr>
          <w:rFonts w:hint="eastAsia" w:asciiTheme="minorEastAsia" w:hAnsiTheme="minorEastAsia" w:eastAsiaTheme="minorEastAsia" w:cstheme="minorEastAsia"/>
          <w:sz w:val="22"/>
          <w:szCs w:val="22"/>
        </w:rPr>
        <w:t>。</w:t>
      </w:r>
    </w:p>
    <w:p>
      <w:pPr>
        <w:pStyle w:val="7"/>
        <w:spacing w:before="0" w:after="0" w:line="440" w:lineRule="exact"/>
        <w:ind w:firstLine="440" w:firstLineChars="200"/>
        <w:rPr>
          <w:rFonts w:asciiTheme="minorEastAsia" w:hAnsiTheme="minorEastAsia" w:eastAsiaTheme="minorEastAsia" w:cstheme="minorEastAsia"/>
          <w:b w:val="0"/>
          <w:sz w:val="22"/>
          <w:szCs w:val="22"/>
        </w:rPr>
      </w:pPr>
      <w:bookmarkStart w:id="986" w:name="_Toc532377343"/>
      <w:r>
        <w:rPr>
          <w:rFonts w:hint="eastAsia" w:asciiTheme="minorEastAsia" w:hAnsiTheme="minorEastAsia" w:eastAsiaTheme="minorEastAsia" w:cstheme="minorEastAsia"/>
          <w:b w:val="0"/>
          <w:sz w:val="22"/>
          <w:szCs w:val="22"/>
        </w:rPr>
        <w:t>4.4 商定或确定</w:t>
      </w:r>
      <w:bookmarkEnd w:id="986"/>
    </w:p>
    <w:p>
      <w:pPr>
        <w:spacing w:line="440" w:lineRule="exact"/>
        <w:ind w:firstLine="440" w:firstLineChars="200"/>
        <w:jc w:val="left"/>
        <w:rPr>
          <w:rFonts w:asciiTheme="minorEastAsia" w:hAnsiTheme="minorEastAsia" w:eastAsiaTheme="minorEastAsia" w:cstheme="minorEastAsia"/>
          <w:sz w:val="22"/>
          <w:szCs w:val="22"/>
        </w:rPr>
      </w:pPr>
      <w:bookmarkStart w:id="987" w:name="_Toc267251418"/>
      <w:r>
        <w:rPr>
          <w:rFonts w:hint="eastAsia" w:asciiTheme="minorEastAsia" w:hAnsiTheme="minorEastAsia" w:eastAsiaTheme="minorEastAsia" w:cstheme="minorEastAsia"/>
          <w:sz w:val="22"/>
          <w:szCs w:val="22"/>
        </w:rPr>
        <w:t>在发包人和承包人不能通过协商达成一致意见时，发包人授权监理人对以下事项进行确定：</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 xml:space="preserve">      /                    </w:t>
      </w:r>
      <w:r>
        <w:rPr>
          <w:rFonts w:hint="eastAsia" w:asciiTheme="minorEastAsia" w:hAnsiTheme="minorEastAsia" w:eastAsiaTheme="minorEastAsia" w:cstheme="minorEastAsia"/>
          <w:sz w:val="22"/>
          <w:szCs w:val="22"/>
        </w:rPr>
        <w:t>。</w:t>
      </w:r>
    </w:p>
    <w:p>
      <w:pPr>
        <w:pStyle w:val="6"/>
        <w:keepNext/>
        <w:keepLines/>
        <w:spacing w:before="120" w:beforeLines="50" w:after="120" w:afterLines="50" w:line="440" w:lineRule="exact"/>
        <w:jc w:val="both"/>
        <w:rPr>
          <w:rFonts w:asciiTheme="minorEastAsia" w:hAnsiTheme="minorEastAsia" w:eastAsiaTheme="minorEastAsia" w:cstheme="minorEastAsia"/>
          <w:sz w:val="22"/>
          <w:szCs w:val="22"/>
        </w:rPr>
      </w:pPr>
      <w:bookmarkStart w:id="988" w:name="_Toc532377344"/>
      <w:bookmarkStart w:id="989" w:name="_Toc532375612"/>
      <w:bookmarkStart w:id="990" w:name="_Toc351203637"/>
      <w:r>
        <w:rPr>
          <w:rFonts w:hint="eastAsia" w:asciiTheme="minorEastAsia" w:hAnsiTheme="minorEastAsia" w:eastAsiaTheme="minorEastAsia" w:cstheme="minorEastAsia"/>
          <w:sz w:val="22"/>
          <w:szCs w:val="22"/>
        </w:rPr>
        <w:t>5</w:t>
      </w:r>
      <w:bookmarkStart w:id="991" w:name="_Toc297048349"/>
      <w:bookmarkStart w:id="992" w:name="_Toc296944502"/>
      <w:bookmarkStart w:id="993" w:name="_Toc296346664"/>
      <w:bookmarkStart w:id="994" w:name="_Toc297120463"/>
      <w:bookmarkStart w:id="995" w:name="_Toc292559367"/>
      <w:bookmarkStart w:id="996" w:name="_Toc296347162"/>
      <w:bookmarkStart w:id="997" w:name="_Toc292559872"/>
      <w:bookmarkStart w:id="998" w:name="_Toc296890991"/>
      <w:bookmarkStart w:id="999" w:name="_Toc296503163"/>
      <w:bookmarkStart w:id="1000" w:name="_Toc296891203"/>
      <w:bookmarkEnd w:id="987"/>
      <w:r>
        <w:rPr>
          <w:rFonts w:hint="eastAsia" w:asciiTheme="minorEastAsia" w:hAnsiTheme="minorEastAsia" w:eastAsiaTheme="minorEastAsia" w:cstheme="minorEastAsia"/>
          <w:sz w:val="22"/>
          <w:szCs w:val="22"/>
        </w:rPr>
        <w:t>. 工程质量</w:t>
      </w:r>
      <w:bookmarkEnd w:id="988"/>
      <w:bookmarkEnd w:id="989"/>
      <w:bookmarkEnd w:id="990"/>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01" w:name="_Toc532377345"/>
      <w:r>
        <w:rPr>
          <w:rFonts w:hint="eastAsia" w:asciiTheme="minorEastAsia" w:hAnsiTheme="minorEastAsia" w:eastAsiaTheme="minorEastAsia" w:cstheme="minorEastAsia"/>
          <w:sz w:val="22"/>
          <w:szCs w:val="22"/>
        </w:rPr>
        <w:t>5.1 质量要求</w:t>
      </w:r>
      <w:bookmarkEnd w:id="1001"/>
      <w:bookmarkStart w:id="1002" w:name="_Hlk528909888"/>
      <w:bookmarkStart w:id="1003" w:name="_Toc303539106"/>
      <w:bookmarkStart w:id="1004" w:name="_Toc312677997"/>
      <w:bookmarkStart w:id="1005" w:name="_Toc297216155"/>
      <w:bookmarkStart w:id="1006" w:name="_Toc300934949"/>
      <w:bookmarkStart w:id="1007" w:name="_Toc297123496"/>
      <w:bookmarkStart w:id="1008" w:name="_Toc304295527"/>
      <w:bookmarkStart w:id="1009" w:name="_Toc318581164"/>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工程质量符合强制性质量标准，符合国家和重庆市现行有关施工质量验收规范要求，并达到合格标准</w:t>
      </w:r>
      <w:r>
        <w:rPr>
          <w:rFonts w:hint="eastAsia" w:asciiTheme="minorEastAsia" w:hAnsiTheme="minorEastAsia" w:eastAsiaTheme="minorEastAsia" w:cstheme="minorEastAsia"/>
          <w:sz w:val="22"/>
          <w:szCs w:val="22"/>
        </w:rPr>
        <w:t>。</w:t>
      </w:r>
    </w:p>
    <w:bookmarkEnd w:id="1002"/>
    <w:p>
      <w:pPr>
        <w:pStyle w:val="7"/>
        <w:spacing w:before="0" w:after="0" w:line="440" w:lineRule="exact"/>
        <w:ind w:firstLine="442" w:firstLineChars="200"/>
        <w:rPr>
          <w:rFonts w:asciiTheme="minorEastAsia" w:hAnsiTheme="minorEastAsia" w:eastAsiaTheme="minorEastAsia" w:cstheme="minorEastAsia"/>
          <w:sz w:val="22"/>
          <w:szCs w:val="22"/>
        </w:rPr>
      </w:pPr>
      <w:bookmarkStart w:id="1010" w:name="_Toc532377346"/>
      <w:r>
        <w:rPr>
          <w:rFonts w:hint="eastAsia" w:asciiTheme="minorEastAsia" w:hAnsiTheme="minorEastAsia" w:eastAsiaTheme="minorEastAsia" w:cstheme="minorEastAsia"/>
          <w:sz w:val="22"/>
          <w:szCs w:val="22"/>
        </w:rPr>
        <w:t>5.2 质量保证措施</w:t>
      </w:r>
      <w:bookmarkEnd w:id="1010"/>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本款补充5.2.4项：</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5.2.4 在工程建设中，参建各方应严格执行以下规定（包括但不限于）：</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（1）《建筑工程施工质量验收统一标准》（GB50300-2013）；</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（2）《住房城乡建设部关于印发工程质量安全提升行动方案的通知》（建质〔2017〕57号）；</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（3）《房屋建筑和市政基础设施工程竣工验收规定》（建质〔2013〕171号）；</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（4）《建设部关于贯彻执行建筑工程勘察设计及施工质量验收规范若干问题的通知》（建标〔2002〕212号）；</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（5）《重庆市住房和城乡建设委员会关于印发&lt;重庆市房屋建筑和市政基础设施工程质量常见问题防治要点（2019年版）&gt;的通知》（渝建〔2019〕198号）；</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（6）《关于印发&lt;重庆市房屋建筑和市政基础设施工程预拌商品砂浆应用推进工作方案&gt;的通知》（渝建〔2018〕375号）；</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（7）《重庆市城乡建设委员会关于印发2018年房屋建筑和市政基础设施工程质量要点的通知》（渝建〔2018〕94号）；</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（8）《重庆市城乡建设委员会关于进一步推广应用预拌商品砂浆的通知》（渝建〔2016〕318号）；</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（9）《重庆市建设委员会关于发布&lt;建筑工程施工质量验收规范用表（建筑节能分部工程）&gt;和&lt;建设工程技术用表（建筑节能工程）&gt;的通知》（渝建发〔2008〕76号）；</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（10）国家和本市现行有关建设工程质量验收标准、规范和要求；</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承包人、监理人和发包人在工程建设中，应严格执行国家及重庆市现行标准，如上述标准及规范要求有出入则以较严格者为准。</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11" w:name="_Toc351203536"/>
      <w:bookmarkStart w:id="1012" w:name="_Toc532377347"/>
      <w:bookmarkStart w:id="1013" w:name="_Hlk528927873"/>
      <w:r>
        <w:rPr>
          <w:rFonts w:hint="eastAsia" w:asciiTheme="minorEastAsia" w:hAnsiTheme="minorEastAsia" w:eastAsiaTheme="minorEastAsia" w:cstheme="minorEastAsia"/>
          <w:sz w:val="22"/>
          <w:szCs w:val="22"/>
        </w:rPr>
        <w:t>5.3隐蔽工程检查</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5.3.2检查程序</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工程隐蔽部位经承包人自检确认具备覆盖条件的，承包人应在共同检查前</w:t>
      </w:r>
      <w:r>
        <w:rPr>
          <w:rFonts w:hint="eastAsia" w:asciiTheme="minorEastAsia" w:hAnsiTheme="minorEastAsia" w:eastAsiaTheme="minorEastAsia" w:cstheme="minorEastAsia"/>
          <w:sz w:val="22"/>
          <w:szCs w:val="22"/>
          <w:u w:val="single"/>
        </w:rPr>
        <w:t xml:space="preserve"> 48 </w:t>
      </w:r>
      <w:r>
        <w:rPr>
          <w:rFonts w:hint="eastAsia" w:asciiTheme="minorEastAsia" w:hAnsiTheme="minorEastAsia" w:eastAsiaTheme="minorEastAsia" w:cstheme="minorEastAsia"/>
          <w:sz w:val="22"/>
          <w:szCs w:val="22"/>
        </w:rPr>
        <w:t>小时书面通知监理人检查，通知中应载明隐蔽检查的内容、时间和地点，并应附有自检记录和必要的检查资料。</w:t>
      </w:r>
    </w:p>
    <w:p>
      <w:pPr>
        <w:pStyle w:val="7"/>
        <w:spacing w:before="0" w:after="0" w:line="440" w:lineRule="exact"/>
        <w:ind w:firstLine="442"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bookmarkStart w:id="1014" w:name="_Toc337558762"/>
      <w:r>
        <w:rPr>
          <w:rFonts w:hint="eastAsia" w:asciiTheme="minorEastAsia" w:hAnsiTheme="minorEastAsia" w:eastAsiaTheme="minorEastAsia" w:cstheme="minorEastAsia"/>
          <w:sz w:val="22"/>
          <w:szCs w:val="22"/>
        </w:rPr>
        <w:t>.4 不合格工程的处理</w:t>
      </w:r>
      <w:bookmarkEnd w:id="1011"/>
      <w:bookmarkEnd w:id="1012"/>
    </w:p>
    <w:bookmarkEnd w:id="1014"/>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本款补充5.4.3项：</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5.4.3 承包人在收到监理人发出的《不合格分项报告》或监理通知单后，必须在监理人规定时间内按要求完成整改，未能在限定时间内完成整改的，须承担相应违约责任。</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本条补充5.6款：</w:t>
      </w:r>
    </w:p>
    <w:bookmarkEnd w:id="1013"/>
    <w:p>
      <w:pPr>
        <w:pStyle w:val="7"/>
        <w:spacing w:before="0" w:after="0" w:line="440" w:lineRule="exact"/>
        <w:ind w:firstLine="442" w:firstLineChars="200"/>
        <w:rPr>
          <w:rFonts w:asciiTheme="minorEastAsia" w:hAnsiTheme="minorEastAsia" w:eastAsiaTheme="minorEastAsia" w:cstheme="minorEastAsia"/>
          <w:sz w:val="22"/>
          <w:szCs w:val="22"/>
        </w:rPr>
      </w:pPr>
      <w:bookmarkStart w:id="1015" w:name="_Toc532377348"/>
      <w:r>
        <w:rPr>
          <w:rFonts w:hint="eastAsia" w:asciiTheme="minorEastAsia" w:hAnsiTheme="minorEastAsia" w:eastAsiaTheme="minorEastAsia" w:cstheme="minorEastAsia"/>
          <w:sz w:val="22"/>
          <w:szCs w:val="22"/>
        </w:rPr>
        <w:t>5.6 质量事故的处理</w:t>
      </w:r>
      <w:bookmarkEnd w:id="1015"/>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5.6.1 合同履行过程中，发生工程质量事故的调查处理按照国家及重庆市现行规定处理。</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991"/>
    <w:bookmarkEnd w:id="992"/>
    <w:bookmarkEnd w:id="993"/>
    <w:bookmarkEnd w:id="994"/>
    <w:bookmarkEnd w:id="995"/>
    <w:bookmarkEnd w:id="996"/>
    <w:bookmarkEnd w:id="997"/>
    <w:bookmarkEnd w:id="998"/>
    <w:bookmarkEnd w:id="999"/>
    <w:bookmarkEnd w:id="1000"/>
    <w:bookmarkEnd w:id="1003"/>
    <w:bookmarkEnd w:id="1004"/>
    <w:bookmarkEnd w:id="1005"/>
    <w:bookmarkEnd w:id="1006"/>
    <w:bookmarkEnd w:id="1007"/>
    <w:bookmarkEnd w:id="1008"/>
    <w:bookmarkEnd w:id="1009"/>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016" w:name="_Toc351203638"/>
      <w:bookmarkStart w:id="1017" w:name="_Toc532377349"/>
      <w:bookmarkStart w:id="1018" w:name="_Toc532375613"/>
      <w:bookmarkStart w:id="1019" w:name="_Toc351203642"/>
      <w:bookmarkStart w:id="1020" w:name="_Toc297048359"/>
      <w:bookmarkStart w:id="1021" w:name="_Toc296347172"/>
      <w:bookmarkStart w:id="1022" w:name="_Toc296503173"/>
      <w:bookmarkStart w:id="1023" w:name="_Toc296944512"/>
      <w:bookmarkStart w:id="1024" w:name="_Toc267251428"/>
      <w:bookmarkStart w:id="1025" w:name="_Toc292559883"/>
      <w:bookmarkStart w:id="1026" w:name="_Toc296891001"/>
      <w:bookmarkStart w:id="1027" w:name="_Toc296891213"/>
      <w:bookmarkStart w:id="1028" w:name="_Toc296346674"/>
      <w:bookmarkStart w:id="1029" w:name="_Toc292559378"/>
      <w:bookmarkStart w:id="1030" w:name="_Toc267251427"/>
      <w:bookmarkStart w:id="1031" w:name="_Toc297120473"/>
      <w:r>
        <w:rPr>
          <w:rFonts w:hint="eastAsia" w:asciiTheme="minorEastAsia" w:hAnsiTheme="minorEastAsia" w:eastAsiaTheme="minorEastAsia" w:cstheme="minorEastAsia"/>
          <w:b/>
          <w:bCs/>
          <w:sz w:val="22"/>
          <w:szCs w:val="22"/>
        </w:rPr>
        <w:t>6. 安全文明施工与环境保护</w:t>
      </w:r>
      <w:bookmarkEnd w:id="1016"/>
      <w:bookmarkEnd w:id="1017"/>
      <w:bookmarkEnd w:id="1018"/>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32" w:name="_Toc532375614"/>
      <w:bookmarkStart w:id="1033" w:name="_Toc532377350"/>
      <w:r>
        <w:rPr>
          <w:rFonts w:hint="eastAsia" w:asciiTheme="minorEastAsia" w:hAnsiTheme="minorEastAsia" w:eastAsiaTheme="minorEastAsia" w:cstheme="minorEastAsia"/>
          <w:sz w:val="22"/>
          <w:szCs w:val="22"/>
        </w:rPr>
        <w:t>6.1 安全文明施工</w:t>
      </w:r>
      <w:bookmarkEnd w:id="1032"/>
      <w:bookmarkEnd w:id="1033"/>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承包人必须认真贯彻执行国家安全生产法律、法规、规章和标准，按照重庆市现行的质量、安全文明施工有关规定和发包人安全管理的有关规定，建立完善的质量、安全、文明施工管理制度。</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6.1.1 项目安全生产的达标目标及相应事项的约定：</w:t>
      </w:r>
      <w:r>
        <w:rPr>
          <w:rFonts w:hint="eastAsia" w:asciiTheme="minorEastAsia" w:hAnsiTheme="minorEastAsia" w:eastAsiaTheme="minorEastAsia" w:cstheme="minorEastAsia"/>
          <w:sz w:val="22"/>
          <w:szCs w:val="22"/>
          <w:u w:val="single"/>
        </w:rPr>
        <w:t>达到《建筑施工安全检查标准》（JGJ59-2011）的要求</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（1）按现行安全文明施工费计取及使用管理的政策文件规定及发包人制订的安全管理制度执行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（2）承包人的原因造成事故，由此产生的法律责任和事故责任及费用由承包人全部承担</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（3）承包人向发包人做出安全承诺，并签订《安全生产目标责任书》和《安全承诺书》</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（4）承包人在施工过程中，必须严格执行安全生产法的相关规定，制定切实可靠的安全技术措施</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（5）接受发包人安全监督和管理，在施工中违反安全管理规定和操作规程、违章作业的，承担违约责任</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6.1.4 关于治安保卫的特别约定：</w:t>
      </w:r>
      <w:r>
        <w:rPr>
          <w:rFonts w:hint="eastAsia" w:asciiTheme="minorEastAsia" w:hAnsiTheme="minorEastAsia" w:eastAsiaTheme="minorEastAsia" w:cstheme="minorEastAsia"/>
          <w:sz w:val="22"/>
          <w:szCs w:val="22"/>
          <w:u w:val="single"/>
        </w:rPr>
        <w:t>承包人负责组建施工现场治安管理机构或联防组织；承包人负责编制施工场地治安管理计划和突发治安事件紧急预案</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关于编制施工场地治安管理计划的约定：</w:t>
      </w:r>
      <w:r>
        <w:rPr>
          <w:rFonts w:hint="eastAsia" w:asciiTheme="minorEastAsia" w:hAnsiTheme="minorEastAsia" w:eastAsiaTheme="minorEastAsia" w:cstheme="minorEastAsia"/>
          <w:sz w:val="22"/>
          <w:szCs w:val="22"/>
          <w:u w:val="single"/>
        </w:rPr>
        <w:t>由承包人负责</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6.1.5 文明施工</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合同当事人对文明施工的要求：</w:t>
      </w:r>
      <w:r>
        <w:rPr>
          <w:rFonts w:hint="eastAsia" w:asciiTheme="minorEastAsia" w:hAnsiTheme="minorEastAsia" w:eastAsiaTheme="minorEastAsia" w:cstheme="minorEastAsia"/>
          <w:sz w:val="22"/>
          <w:szCs w:val="22"/>
          <w:u w:val="single"/>
        </w:rPr>
        <w:t>承包人应按照《房屋建筑和市政基础设施工程施工扬尘控制工作方案》（渝建发〔2009〕13号）、《重庆市房屋建筑和市政基础设施工程现场文明施工标准》（渝建发〔2008〕169号）等相关规定履行好施工扬尘控制、文明施工等责任</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6.1.6 关于安全文明施工费支付比例和支付期限的约定：按照行业主管部门相关规定</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b/>
          <w:bCs/>
          <w:sz w:val="22"/>
          <w:szCs w:val="22"/>
          <w:u w:val="single"/>
        </w:rPr>
        <w:t>/</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执行。</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安全文明施工费的要求与内容、提取支付方法以及违反约定造成损失的赔偿等条款，按照现行规范要求执行，做到专款专用</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34" w:name="_Toc532375615"/>
      <w:bookmarkStart w:id="1035" w:name="_Toc532377351"/>
      <w:r>
        <w:rPr>
          <w:rFonts w:hint="eastAsia" w:asciiTheme="minorEastAsia" w:hAnsiTheme="minorEastAsia" w:eastAsiaTheme="minorEastAsia" w:cstheme="minorEastAsia"/>
          <w:sz w:val="22"/>
          <w:szCs w:val="22"/>
        </w:rPr>
        <w:t>6.3 环境保护</w:t>
      </w:r>
      <w:bookmarkEnd w:id="1034"/>
      <w:bookmarkEnd w:id="1035"/>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本款补充6.3.1～6.3.8项：</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6.3.6 承包人应落实固体废物污染防治措施。施工期间，项目产生的弃方不可合理利用的，应运往指定的弃渣场内堆存；建筑垃圾运至指定的建筑垃圾消纳场处置；生活垃圾由当地环卫部门统一处置。</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6.3.7 承包人应认真落实噪声污染防治措施。施工期间，优选低噪声设备，合理安排施工时间，严格控制夜间施工，昼、夜施工场界需满足《建筑施工场界环境噪声排放标准》（GB12523-2011）。</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6.3.8 承包人自行负责办理有关施工场地交通、环卫和施工噪音管理等手续，并应按要求结合自身实际和重庆市相关规定，考虑不低于以上标准的此类工作。</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036" w:name="_Toc532375616"/>
      <w:bookmarkStart w:id="1037" w:name="_Toc532377352"/>
      <w:bookmarkStart w:id="1038" w:name="_Toc351203639"/>
      <w:r>
        <w:rPr>
          <w:rFonts w:hint="eastAsia" w:asciiTheme="minorEastAsia" w:hAnsiTheme="minorEastAsia" w:eastAsiaTheme="minorEastAsia" w:cstheme="minorEastAsia"/>
          <w:b/>
          <w:bCs/>
          <w:sz w:val="22"/>
          <w:szCs w:val="22"/>
        </w:rPr>
        <w:t>7. 工期和进度</w:t>
      </w:r>
      <w:bookmarkEnd w:id="1036"/>
      <w:bookmarkEnd w:id="1037"/>
      <w:bookmarkEnd w:id="1038"/>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39" w:name="_Toc532375617"/>
      <w:bookmarkStart w:id="1040" w:name="_Toc532377353"/>
      <w:r>
        <w:rPr>
          <w:rFonts w:hint="eastAsia" w:asciiTheme="minorEastAsia" w:hAnsiTheme="minorEastAsia" w:eastAsiaTheme="minorEastAsia" w:cstheme="minorEastAsia"/>
          <w:sz w:val="22"/>
          <w:szCs w:val="22"/>
        </w:rPr>
        <w:t>7.1 施工组织设计</w:t>
      </w:r>
      <w:bookmarkEnd w:id="1039"/>
      <w:bookmarkEnd w:id="1040"/>
    </w:p>
    <w:p>
      <w:pPr>
        <w:autoSpaceDE w:val="0"/>
        <w:autoSpaceDN w:val="0"/>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7.1.1 合同当事人约定的施工组织设计应包括的其他内容：</w:t>
      </w:r>
      <w:r>
        <w:rPr>
          <w:rFonts w:hint="eastAsia" w:asciiTheme="minorEastAsia" w:hAnsiTheme="minorEastAsia" w:eastAsiaTheme="minorEastAsia" w:cstheme="minorEastAsia"/>
          <w:sz w:val="22"/>
          <w:szCs w:val="22"/>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Theme="minorEastAsia" w:hAnsiTheme="minorEastAsia" w:eastAsiaTheme="minorEastAsia" w:cstheme="minorEastAsia"/>
          <w:sz w:val="22"/>
          <w:szCs w:val="22"/>
        </w:rPr>
        <w:t>。</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7.1.2 施工组织设计的提交和修改</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承包人提交详细施工组织设计的期限的约定：</w:t>
      </w:r>
      <w:r>
        <w:rPr>
          <w:rFonts w:hint="eastAsia" w:asciiTheme="minorEastAsia" w:hAnsiTheme="minorEastAsia" w:eastAsiaTheme="minorEastAsia" w:cstheme="minorEastAsia"/>
          <w:sz w:val="22"/>
          <w:szCs w:val="22"/>
          <w:u w:val="single"/>
        </w:rPr>
        <w:t>合同签订后7天内，但最迟不得晚于进场后7天</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发包人和监理人在收到详细的施工组织设计后确认或提出修改意见的期限：</w:t>
      </w:r>
      <w:r>
        <w:rPr>
          <w:rFonts w:hint="eastAsia" w:asciiTheme="minorEastAsia" w:hAnsiTheme="minorEastAsia" w:eastAsiaTheme="minorEastAsia" w:cstheme="minorEastAsia"/>
          <w:sz w:val="22"/>
          <w:szCs w:val="22"/>
          <w:u w:val="single"/>
        </w:rPr>
        <w:t>收到施工组织设计后  5天内</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41" w:name="_Toc532375618"/>
      <w:bookmarkStart w:id="1042" w:name="_Toc532377354"/>
      <w:r>
        <w:rPr>
          <w:rFonts w:hint="eastAsia" w:asciiTheme="minorEastAsia" w:hAnsiTheme="minorEastAsia" w:eastAsiaTheme="minorEastAsia" w:cstheme="minorEastAsia"/>
          <w:sz w:val="22"/>
          <w:szCs w:val="22"/>
        </w:rPr>
        <w:t>7.2 施工进度计划</w:t>
      </w:r>
      <w:bookmarkEnd w:id="1041"/>
      <w:bookmarkEnd w:id="1042"/>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7.2.2 施工进度计划的修订</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发包人和监理人在收到修订的施工进度计划后确认或提出修改意见的期限：</w:t>
      </w:r>
      <w:r>
        <w:rPr>
          <w:rFonts w:hint="eastAsia" w:asciiTheme="minorEastAsia" w:hAnsiTheme="minorEastAsia" w:eastAsiaTheme="minorEastAsia" w:cstheme="minorEastAsia"/>
          <w:sz w:val="22"/>
          <w:szCs w:val="22"/>
          <w:u w:val="single"/>
        </w:rPr>
        <w:t>收到修订的施工进度计划后3天内</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43" w:name="_Toc532377355"/>
      <w:bookmarkStart w:id="1044" w:name="_Toc532375619"/>
      <w:bookmarkStart w:id="1045" w:name="_Toc297216173"/>
      <w:bookmarkStart w:id="1046" w:name="_Toc303539123"/>
      <w:bookmarkStart w:id="1047" w:name="_Toc304295541"/>
      <w:bookmarkStart w:id="1048" w:name="_Toc300934966"/>
      <w:bookmarkStart w:id="1049" w:name="_Toc312677479"/>
      <w:bookmarkStart w:id="1050" w:name="_Toc297123514"/>
      <w:bookmarkStart w:id="1051" w:name="_Toc312678005"/>
      <w:r>
        <w:rPr>
          <w:rFonts w:hint="eastAsia" w:asciiTheme="minorEastAsia" w:hAnsiTheme="minorEastAsia" w:eastAsiaTheme="minorEastAsia" w:cstheme="minorEastAsia"/>
          <w:sz w:val="22"/>
          <w:szCs w:val="22"/>
        </w:rPr>
        <w:t>7.3 开工</w:t>
      </w:r>
      <w:bookmarkEnd w:id="1043"/>
      <w:bookmarkEnd w:id="1044"/>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7.3.1 开工准备</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关于承包人提交工程开工报审表的期限：</w:t>
      </w:r>
      <w:r>
        <w:rPr>
          <w:rFonts w:hint="eastAsia" w:asciiTheme="minorEastAsia" w:hAnsiTheme="minorEastAsia" w:eastAsiaTheme="minorEastAsia" w:cstheme="minorEastAsia"/>
          <w:sz w:val="22"/>
          <w:szCs w:val="22"/>
          <w:u w:val="single"/>
        </w:rPr>
        <w:t>不晚于开工前2天</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关于发包人应完成的其他开工准备工作及期限：</w:t>
      </w:r>
      <w:r>
        <w:rPr>
          <w:rFonts w:hint="eastAsia" w:asciiTheme="minorEastAsia" w:hAnsiTheme="minorEastAsia" w:eastAsiaTheme="minorEastAsia" w:cstheme="minorEastAsia"/>
          <w:sz w:val="22"/>
          <w:szCs w:val="22"/>
          <w:u w:val="single"/>
        </w:rPr>
        <w:t>不晚于开工前3天</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关于承包人应完成的其他开工准备工作及期限：</w:t>
      </w:r>
      <w:r>
        <w:rPr>
          <w:rFonts w:hint="eastAsia" w:asciiTheme="minorEastAsia" w:hAnsiTheme="minorEastAsia" w:eastAsiaTheme="minorEastAsia" w:cstheme="minorEastAsia"/>
          <w:sz w:val="22"/>
          <w:szCs w:val="22"/>
          <w:u w:val="single"/>
        </w:rPr>
        <w:t>不晚于开工前3天</w:t>
      </w:r>
      <w:r>
        <w:rPr>
          <w:rFonts w:hint="eastAsia" w:asciiTheme="minorEastAsia" w:hAnsiTheme="minorEastAsia" w:eastAsiaTheme="minorEastAsia" w:cstheme="minorEastAsia"/>
          <w:sz w:val="22"/>
          <w:szCs w:val="22"/>
        </w:rPr>
        <w:t>。</w:t>
      </w:r>
    </w:p>
    <w:bookmarkEnd w:id="1045"/>
    <w:bookmarkEnd w:id="1046"/>
    <w:bookmarkEnd w:id="1047"/>
    <w:bookmarkEnd w:id="1048"/>
    <w:bookmarkEnd w:id="1049"/>
    <w:bookmarkEnd w:id="1050"/>
    <w:bookmarkEnd w:id="1051"/>
    <w:p>
      <w:pPr>
        <w:pStyle w:val="7"/>
        <w:spacing w:before="0" w:after="0" w:line="440" w:lineRule="exact"/>
        <w:ind w:firstLine="442" w:firstLineChars="200"/>
        <w:rPr>
          <w:rFonts w:asciiTheme="minorEastAsia" w:hAnsiTheme="minorEastAsia" w:eastAsiaTheme="minorEastAsia" w:cstheme="minorEastAsia"/>
          <w:sz w:val="22"/>
          <w:szCs w:val="22"/>
        </w:rPr>
      </w:pPr>
      <w:bookmarkStart w:id="1052" w:name="_Toc532377356"/>
      <w:bookmarkStart w:id="1053" w:name="_Toc532375620"/>
      <w:r>
        <w:rPr>
          <w:rFonts w:hint="eastAsia" w:asciiTheme="minorEastAsia" w:hAnsiTheme="minorEastAsia" w:eastAsiaTheme="minorEastAsia" w:cstheme="minorEastAsia"/>
          <w:sz w:val="22"/>
          <w:szCs w:val="22"/>
        </w:rPr>
        <w:t>7.4 测量放线</w:t>
      </w:r>
      <w:bookmarkEnd w:id="1052"/>
      <w:bookmarkEnd w:id="1053"/>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7.4.1 发包人通过监理人向承包人提供测量基准点、基准线和水准点及其书面资料的期限：</w:t>
      </w:r>
      <w:r>
        <w:rPr>
          <w:rFonts w:hint="eastAsia" w:asciiTheme="minorEastAsia" w:hAnsiTheme="minorEastAsia" w:eastAsiaTheme="minorEastAsia" w:cstheme="minorEastAsia"/>
          <w:sz w:val="22"/>
          <w:szCs w:val="22"/>
          <w:u w:val="single"/>
        </w:rPr>
        <w:t>不晚于开工前2天</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承包人报监理人审批施工控制网资料的期限：</w:t>
      </w:r>
      <w:r>
        <w:rPr>
          <w:rFonts w:hint="eastAsia" w:asciiTheme="minorEastAsia" w:hAnsiTheme="minorEastAsia" w:eastAsiaTheme="minorEastAsia" w:cstheme="minorEastAsia"/>
          <w:sz w:val="22"/>
          <w:szCs w:val="22"/>
          <w:u w:val="single"/>
        </w:rPr>
        <w:t>发出开工通知后5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54" w:name="_Toc532377357"/>
      <w:bookmarkStart w:id="1055" w:name="_Toc532375621"/>
      <w:r>
        <w:rPr>
          <w:rFonts w:hint="eastAsia" w:asciiTheme="minorEastAsia" w:hAnsiTheme="minorEastAsia" w:eastAsiaTheme="minorEastAsia" w:cstheme="minorEastAsia"/>
          <w:sz w:val="22"/>
          <w:szCs w:val="22"/>
        </w:rPr>
        <w:t>7</w:t>
      </w:r>
      <w:bookmarkStart w:id="1056" w:name="_Toc297216175"/>
      <w:bookmarkStart w:id="1057" w:name="_Toc312678010"/>
      <w:bookmarkStart w:id="1058" w:name="_Toc297123516"/>
      <w:bookmarkStart w:id="1059" w:name="_Toc303539125"/>
      <w:bookmarkStart w:id="1060" w:name="_Toc312677484"/>
      <w:bookmarkStart w:id="1061" w:name="_Toc300934968"/>
      <w:bookmarkStart w:id="1062" w:name="_Toc304295546"/>
      <w:r>
        <w:rPr>
          <w:rFonts w:hint="eastAsia" w:asciiTheme="minorEastAsia" w:hAnsiTheme="minorEastAsia" w:eastAsiaTheme="minorEastAsia" w:cstheme="minorEastAsia"/>
          <w:sz w:val="22"/>
          <w:szCs w:val="22"/>
        </w:rPr>
        <w:t>.5 工期延误</w:t>
      </w:r>
      <w:bookmarkEnd w:id="1054"/>
      <w:bookmarkEnd w:id="1055"/>
    </w:p>
    <w:bookmarkEnd w:id="1056"/>
    <w:bookmarkEnd w:id="1057"/>
    <w:bookmarkEnd w:id="1058"/>
    <w:bookmarkEnd w:id="1059"/>
    <w:bookmarkEnd w:id="1060"/>
    <w:bookmarkEnd w:id="1061"/>
    <w:bookmarkEnd w:id="1062"/>
    <w:p>
      <w:pPr>
        <w:spacing w:line="440" w:lineRule="exact"/>
        <w:ind w:firstLine="440" w:firstLineChars="200"/>
        <w:jc w:val="left"/>
        <w:rPr>
          <w:rFonts w:asciiTheme="minorEastAsia" w:hAnsiTheme="minorEastAsia" w:eastAsiaTheme="minorEastAsia" w:cstheme="minorEastAsia"/>
          <w:sz w:val="22"/>
          <w:szCs w:val="22"/>
        </w:rPr>
      </w:pPr>
      <w:bookmarkStart w:id="1063" w:name="_Hlk528927940"/>
      <w:r>
        <w:rPr>
          <w:rFonts w:hint="eastAsia" w:asciiTheme="minorEastAsia" w:hAnsiTheme="minorEastAsia" w:eastAsiaTheme="minorEastAsia" w:cstheme="minorEastAsia"/>
          <w:sz w:val="22"/>
          <w:szCs w:val="22"/>
        </w:rPr>
        <w:t>7.5.1 因发包人原因导致工期延误：</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在合同履行过程中，除通用条款约定外，因下列情况导致工期延误和（或）费用增加的，由发包人承担由此延误的工期和（或）增加的费用：</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（1）发包人未能按合同约定提供施工场地，且该未提供开工条件直接影响项目关键线路的；</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（2）发包人提供的测量基准点、基准线和水准点及其书面资料存在错误或疏漏，且该错误或疏漏直接影响项目关键线路的；</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（3）监理人未按合同约定发出指示、批准等文件，且该未按合同约定发出指示、批准直接影响项目关键线路的；</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（4）变更未及时审批，直接影响项目关键线路的；</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（5）实施变更直接影响项目关键线路的；</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（6）因发包人原因导致工程暂停施工、停建、缓建的；</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（7）因征地拆迁、当地群众阻工等情形的；</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u w:val="single"/>
        </w:rPr>
        <w:t>合同约定的其他情形</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7.5.2 因承包人原因导致工期延误</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因承包人原因造成工期延误，逾期竣工按16.2.2（6）目执行。</w:t>
      </w:r>
    </w:p>
    <w:bookmarkEnd w:id="1063"/>
    <w:p>
      <w:pPr>
        <w:pStyle w:val="7"/>
        <w:spacing w:before="0" w:after="0" w:line="440" w:lineRule="exact"/>
        <w:ind w:firstLine="442" w:firstLineChars="200"/>
        <w:rPr>
          <w:rFonts w:asciiTheme="minorEastAsia" w:hAnsiTheme="minorEastAsia" w:eastAsiaTheme="minorEastAsia" w:cstheme="minorEastAsia"/>
          <w:sz w:val="22"/>
          <w:szCs w:val="22"/>
        </w:rPr>
      </w:pPr>
      <w:bookmarkStart w:id="1064" w:name="_Toc532375622"/>
      <w:bookmarkStart w:id="1065" w:name="_Toc532377358"/>
      <w:bookmarkStart w:id="1066" w:name="_Hlk528927997"/>
      <w:r>
        <w:rPr>
          <w:rFonts w:hint="eastAsia" w:asciiTheme="minorEastAsia" w:hAnsiTheme="minorEastAsia" w:eastAsiaTheme="minorEastAsia" w:cstheme="minorEastAsia"/>
          <w:sz w:val="22"/>
          <w:szCs w:val="22"/>
        </w:rPr>
        <w:t>7</w:t>
      </w:r>
      <w:bookmarkStart w:id="1067" w:name="_Toc297216178"/>
      <w:bookmarkStart w:id="1068" w:name="_Toc304295549"/>
      <w:bookmarkStart w:id="1069" w:name="_Toc300934971"/>
      <w:bookmarkStart w:id="1070" w:name="_Toc303539128"/>
      <w:bookmarkStart w:id="1071" w:name="_Toc312678015"/>
      <w:bookmarkStart w:id="1072" w:name="_Toc297123519"/>
      <w:r>
        <w:rPr>
          <w:rFonts w:hint="eastAsia" w:asciiTheme="minorEastAsia" w:hAnsiTheme="minorEastAsia" w:eastAsiaTheme="minorEastAsia" w:cstheme="minorEastAsia"/>
          <w:sz w:val="22"/>
          <w:szCs w:val="22"/>
        </w:rPr>
        <w:t>.6 不</w:t>
      </w:r>
      <w:bookmarkEnd w:id="1067"/>
      <w:bookmarkEnd w:id="1068"/>
      <w:bookmarkEnd w:id="1069"/>
      <w:bookmarkEnd w:id="1070"/>
      <w:bookmarkEnd w:id="1071"/>
      <w:bookmarkEnd w:id="1072"/>
      <w:r>
        <w:rPr>
          <w:rFonts w:hint="eastAsia" w:asciiTheme="minorEastAsia" w:hAnsiTheme="minorEastAsia" w:eastAsiaTheme="minorEastAsia" w:cstheme="minorEastAsia"/>
          <w:sz w:val="22"/>
          <w:szCs w:val="22"/>
        </w:rPr>
        <w:t>利物质条件</w:t>
      </w:r>
      <w:bookmarkEnd w:id="1064"/>
      <w:bookmarkEnd w:id="1065"/>
    </w:p>
    <w:bookmarkEnd w:id="1066"/>
    <w:p>
      <w:pPr>
        <w:spacing w:line="440" w:lineRule="exact"/>
        <w:ind w:firstLine="440" w:firstLineChars="200"/>
        <w:jc w:val="left"/>
        <w:rPr>
          <w:rFonts w:asciiTheme="minorEastAsia" w:hAnsiTheme="minorEastAsia" w:eastAsiaTheme="minorEastAsia" w:cstheme="minorEastAsia"/>
          <w:bCs/>
          <w:sz w:val="22"/>
          <w:szCs w:val="22"/>
        </w:rPr>
      </w:pPr>
      <w:bookmarkStart w:id="1073" w:name="_Toc297123520"/>
      <w:bookmarkStart w:id="1074" w:name="_Toc304295550"/>
      <w:bookmarkStart w:id="1075" w:name="_Toc303539129"/>
      <w:bookmarkStart w:id="1076" w:name="_Toc312678016"/>
      <w:bookmarkStart w:id="1077" w:name="_Toc300934972"/>
      <w:bookmarkStart w:id="1078" w:name="_Toc318581172"/>
      <w:bookmarkStart w:id="1079" w:name="_Toc297216179"/>
      <w:r>
        <w:rPr>
          <w:rFonts w:hint="eastAsia" w:asciiTheme="minorEastAsia" w:hAnsiTheme="minorEastAsia" w:eastAsiaTheme="minorEastAsia" w:cstheme="minorEastAsia"/>
          <w:sz w:val="22"/>
          <w:szCs w:val="22"/>
        </w:rPr>
        <w:t>不利物质条件的其他情形和有关约定：</w:t>
      </w:r>
      <w:bookmarkStart w:id="1080" w:name="_Hlk528910274"/>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bookmarkEnd w:id="1073"/>
    <w:bookmarkEnd w:id="1074"/>
    <w:bookmarkEnd w:id="1075"/>
    <w:bookmarkEnd w:id="1076"/>
    <w:bookmarkEnd w:id="1077"/>
    <w:bookmarkEnd w:id="1078"/>
    <w:bookmarkEnd w:id="1079"/>
    <w:bookmarkEnd w:id="1080"/>
    <w:p>
      <w:pPr>
        <w:pStyle w:val="7"/>
        <w:spacing w:before="0" w:after="0" w:line="440" w:lineRule="exact"/>
        <w:ind w:firstLine="442" w:firstLineChars="200"/>
        <w:rPr>
          <w:rFonts w:asciiTheme="minorEastAsia" w:hAnsiTheme="minorEastAsia" w:eastAsiaTheme="minorEastAsia" w:cstheme="minorEastAsia"/>
          <w:sz w:val="22"/>
          <w:szCs w:val="22"/>
        </w:rPr>
      </w:pPr>
      <w:bookmarkStart w:id="1081" w:name="_Toc532375623"/>
      <w:bookmarkStart w:id="1082" w:name="_Toc532377359"/>
      <w:r>
        <w:rPr>
          <w:rFonts w:hint="eastAsia" w:asciiTheme="minorEastAsia" w:hAnsiTheme="minorEastAsia" w:eastAsiaTheme="minorEastAsia" w:cstheme="minorEastAsia"/>
          <w:sz w:val="22"/>
          <w:szCs w:val="22"/>
        </w:rPr>
        <w:t>7</w:t>
      </w:r>
      <w:bookmarkStart w:id="1083" w:name="_Toc304295551"/>
      <w:bookmarkStart w:id="1084" w:name="_Toc312678017"/>
      <w:bookmarkStart w:id="1085" w:name="_Toc303539130"/>
      <w:bookmarkStart w:id="1086" w:name="_Toc297216180"/>
      <w:bookmarkStart w:id="1087" w:name="_Toc300934973"/>
      <w:bookmarkStart w:id="1088" w:name="_Toc297123521"/>
      <w:r>
        <w:rPr>
          <w:rFonts w:hint="eastAsia" w:asciiTheme="minorEastAsia" w:hAnsiTheme="minorEastAsia" w:eastAsiaTheme="minorEastAsia" w:cstheme="minorEastAsia"/>
          <w:sz w:val="22"/>
          <w:szCs w:val="22"/>
        </w:rPr>
        <w:t>.7异常恶劣的气候条件</w:t>
      </w:r>
      <w:bookmarkEnd w:id="1081"/>
      <w:bookmarkEnd w:id="1082"/>
    </w:p>
    <w:bookmarkEnd w:id="1083"/>
    <w:bookmarkEnd w:id="1084"/>
    <w:bookmarkEnd w:id="1085"/>
    <w:bookmarkEnd w:id="1086"/>
    <w:bookmarkEnd w:id="1087"/>
    <w:bookmarkEnd w:id="1088"/>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发包人和承包人同意以下情形视为异常恶劣的气候条件：</w:t>
      </w:r>
      <w:r>
        <w:rPr>
          <w:rFonts w:hint="eastAsia" w:asciiTheme="minorEastAsia" w:hAnsiTheme="minorEastAsia" w:eastAsiaTheme="minorEastAsia" w:cstheme="minorEastAsia"/>
          <w:sz w:val="22"/>
          <w:szCs w:val="22"/>
          <w:u w:val="single"/>
        </w:rPr>
        <w:t xml:space="preserve">    （异常气候是指项目所在地50年以上一遇的罕见气候现象）</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89" w:name="_Toc532377360"/>
      <w:bookmarkStart w:id="1090" w:name="_Toc532375624"/>
      <w:r>
        <w:rPr>
          <w:rFonts w:hint="eastAsia" w:asciiTheme="minorEastAsia" w:hAnsiTheme="minorEastAsia" w:eastAsiaTheme="minorEastAsia" w:cstheme="minorEastAsia"/>
          <w:sz w:val="22"/>
          <w:szCs w:val="22"/>
        </w:rPr>
        <w:t>7.9 提前竣工</w:t>
      </w:r>
      <w:bookmarkEnd w:id="1089"/>
      <w:bookmarkEnd w:id="1090"/>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7.9.1项细化为：</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（2）发包人不得随意要求承包人提前竣工，承包人也不得随意提出提前竣工的建议。如遇特殊情况，确需将工期提前的，发包人和承包人必须采取有效措施，确保工程质量。</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（3）如果承包人提前竣工，发包人支付奖金的计算方法在合同条款中约定，时间自竣工验收证书中写明的实际竣工日期起至预定的竣工日期止，按天计算。但奖金最高限额不超过项目7.9.2项的限额。</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7.9.2 提前竣工的奖励：</w:t>
      </w:r>
      <w:r>
        <w:rPr>
          <w:rFonts w:hint="eastAsia" w:asciiTheme="minorEastAsia" w:hAnsiTheme="minorEastAsia" w:eastAsiaTheme="minorEastAsia" w:cstheme="minorEastAsia"/>
          <w:sz w:val="22"/>
          <w:szCs w:val="22"/>
          <w:u w:val="single"/>
        </w:rPr>
        <w:t xml:space="preserve"> 无 </w:t>
      </w:r>
      <w:r>
        <w:rPr>
          <w:rFonts w:hint="eastAsia" w:asciiTheme="minorEastAsia" w:hAnsiTheme="minorEastAsia" w:eastAsiaTheme="minorEastAsia" w:cstheme="minorEastAsia"/>
          <w:sz w:val="22"/>
          <w:szCs w:val="22"/>
        </w:rPr>
        <w:t>。</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091" w:name="_Toc532375625"/>
      <w:bookmarkStart w:id="1092" w:name="_Toc532377361"/>
      <w:bookmarkStart w:id="1093" w:name="_Toc351203640"/>
      <w:r>
        <w:rPr>
          <w:rFonts w:hint="eastAsia" w:asciiTheme="minorEastAsia" w:hAnsiTheme="minorEastAsia" w:eastAsiaTheme="minorEastAsia" w:cstheme="minorEastAsia"/>
          <w:b/>
          <w:bCs/>
          <w:sz w:val="22"/>
          <w:szCs w:val="22"/>
        </w:rPr>
        <w:t>8. 材料与设备</w:t>
      </w:r>
      <w:bookmarkEnd w:id="1091"/>
      <w:bookmarkEnd w:id="1092"/>
      <w:bookmarkEnd w:id="1093"/>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94" w:name="_Toc532375626"/>
      <w:bookmarkStart w:id="1095" w:name="_Toc532377362"/>
      <w:r>
        <w:rPr>
          <w:rFonts w:hint="eastAsia" w:asciiTheme="minorEastAsia" w:hAnsiTheme="minorEastAsia" w:eastAsiaTheme="minorEastAsia" w:cstheme="minorEastAsia"/>
          <w:sz w:val="22"/>
          <w:szCs w:val="22"/>
        </w:rPr>
        <w:t>8.1发包人供应材料与工程设备</w:t>
      </w:r>
      <w:bookmarkEnd w:id="1094"/>
      <w:bookmarkEnd w:id="1095"/>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材料的名称、规格、数量和价格：</w:t>
      </w:r>
      <w:r>
        <w:rPr>
          <w:rFonts w:hint="eastAsia" w:asciiTheme="minorEastAsia" w:hAnsiTheme="minorEastAsia" w:eastAsiaTheme="minorEastAsia" w:cstheme="minorEastAsia"/>
          <w:sz w:val="22"/>
          <w:szCs w:val="22"/>
          <w:u w:val="single"/>
        </w:rPr>
        <w:t>发包人应提供甲供材料的明细表，结算时按经监理人、承包人共同确认的供应数量乘以招标时甲供材料暂定价格，在支付工程款时扣除</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096" w:name="_Toc532377363"/>
      <w:bookmarkStart w:id="1097" w:name="_Toc351203554"/>
      <w:bookmarkStart w:id="1098" w:name="_Toc532375627"/>
      <w:r>
        <w:rPr>
          <w:rFonts w:hint="eastAsia" w:asciiTheme="minorEastAsia" w:hAnsiTheme="minorEastAsia" w:eastAsiaTheme="minorEastAsia" w:cstheme="minorEastAsia"/>
          <w:sz w:val="22"/>
          <w:szCs w:val="22"/>
        </w:rPr>
        <w:t>8</w:t>
      </w:r>
      <w:bookmarkStart w:id="1099" w:name="_Toc296346561"/>
      <w:bookmarkStart w:id="1100" w:name="_Toc337558778"/>
      <w:bookmarkStart w:id="1101" w:name="_Toc296503060"/>
      <w:r>
        <w:rPr>
          <w:rFonts w:hint="eastAsia" w:asciiTheme="minorEastAsia" w:hAnsiTheme="minorEastAsia" w:eastAsiaTheme="minorEastAsia" w:cstheme="minorEastAsia"/>
          <w:sz w:val="22"/>
          <w:szCs w:val="22"/>
        </w:rPr>
        <w:t>.2 承包人采购材料与工程设备</w:t>
      </w:r>
      <w:bookmarkEnd w:id="1096"/>
      <w:bookmarkEnd w:id="1097"/>
      <w:bookmarkEnd w:id="1098"/>
    </w:p>
    <w:bookmarkEnd w:id="1099"/>
    <w:bookmarkEnd w:id="1100"/>
    <w:bookmarkEnd w:id="1101"/>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8.2.1承包人负责采购、运输和保管的材料、工程设备：</w:t>
      </w:r>
      <w:r>
        <w:rPr>
          <w:rFonts w:hint="eastAsia" w:asciiTheme="minorEastAsia" w:hAnsiTheme="minorEastAsia" w:eastAsiaTheme="minorEastAsia" w:cstheme="minorEastAsia"/>
          <w:sz w:val="22"/>
          <w:szCs w:val="22"/>
          <w:u w:val="single"/>
        </w:rPr>
        <w:t>由承包人自行采购。承包人采购材料设备必须经监理人和发包人批准，结算时由监理人和发包人按招标文件规定审核的数量和合同约定价格计算</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8.2.2承包人报送监理人审批的时间：</w:t>
      </w:r>
      <w:r>
        <w:rPr>
          <w:rFonts w:hint="eastAsia" w:asciiTheme="minorEastAsia" w:hAnsiTheme="minorEastAsia" w:eastAsiaTheme="minorEastAsia" w:cstheme="minorEastAsia"/>
          <w:sz w:val="22"/>
          <w:szCs w:val="22"/>
          <w:u w:val="single"/>
        </w:rPr>
        <w:t>按发包人及监理单位的相关规定执行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8.2.3承包人选择的生产厂家或供应商满足下列条件：</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A.承包人选择的混凝土供应商应满足下列条件：</w:t>
      </w:r>
      <w:r>
        <w:rPr>
          <w:rFonts w:hint="eastAsia" w:asciiTheme="minorEastAsia" w:hAnsiTheme="minorEastAsia" w:eastAsiaTheme="minorEastAsia" w:cstheme="minorEastAsia"/>
          <w:sz w:val="22"/>
          <w:szCs w:val="22"/>
          <w:u w:val="single"/>
        </w:rPr>
        <w:t xml:space="preserve">  合格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B.承包人选择的钢材供应商应满足下列条件：</w:t>
      </w:r>
      <w:r>
        <w:rPr>
          <w:rFonts w:hint="eastAsia" w:asciiTheme="minorEastAsia" w:hAnsiTheme="minorEastAsia" w:eastAsiaTheme="minorEastAsia" w:cstheme="minorEastAsia"/>
          <w:sz w:val="22"/>
          <w:szCs w:val="22"/>
          <w:u w:val="single"/>
        </w:rPr>
        <w:t xml:space="preserve">    合格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C.承包人选择的水泥供应商应满足下列条件：</w:t>
      </w:r>
      <w:r>
        <w:rPr>
          <w:rFonts w:hint="eastAsia" w:asciiTheme="minorEastAsia" w:hAnsiTheme="minorEastAsia" w:eastAsiaTheme="minorEastAsia" w:cstheme="minorEastAsia"/>
          <w:sz w:val="22"/>
          <w:szCs w:val="22"/>
          <w:u w:val="single"/>
        </w:rPr>
        <w:t xml:space="preserve">    合格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D.承包人采购的材料与设计或标准要求不符时，承包人应按发包人和监理人要求的时间运出施工场地，并重新采购符合要求的产品，并承担由此发生的费用，因此延误的工期不予顺延。</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E.承包人采购的材料在使用前，应按发包人和监理人的要求进行检验或试验，不合格的不得使用。</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102" w:name="_Toc532377364"/>
      <w:bookmarkStart w:id="1103" w:name="_Toc532375628"/>
      <w:r>
        <w:rPr>
          <w:rFonts w:hint="eastAsia" w:asciiTheme="minorEastAsia" w:hAnsiTheme="minorEastAsia" w:eastAsiaTheme="minorEastAsia" w:cstheme="minorEastAsia"/>
          <w:sz w:val="22"/>
          <w:szCs w:val="22"/>
        </w:rPr>
        <w:t>8</w:t>
      </w:r>
      <w:bookmarkStart w:id="1104" w:name="_Toc297120467"/>
      <w:bookmarkStart w:id="1105" w:name="_Toc297048353"/>
      <w:bookmarkStart w:id="1106" w:name="_Toc296346668"/>
      <w:bookmarkStart w:id="1107" w:name="_Toc303539136"/>
      <w:bookmarkStart w:id="1108" w:name="_Toc312678019"/>
      <w:bookmarkStart w:id="1109" w:name="_Toc280868654"/>
      <w:bookmarkStart w:id="1110" w:name="_Toc297123527"/>
      <w:bookmarkStart w:id="1111" w:name="_Toc312677493"/>
      <w:bookmarkStart w:id="1112" w:name="_Toc296944506"/>
      <w:bookmarkStart w:id="1113" w:name="_Toc296891207"/>
      <w:bookmarkStart w:id="1114" w:name="_Toc292559877"/>
      <w:bookmarkStart w:id="1115" w:name="_Toc292559372"/>
      <w:bookmarkStart w:id="1116" w:name="_Toc300934979"/>
      <w:bookmarkStart w:id="1117" w:name="_Toc296503167"/>
      <w:bookmarkStart w:id="1118" w:name="_Toc297216186"/>
      <w:bookmarkStart w:id="1119" w:name="_Toc304295556"/>
      <w:bookmarkStart w:id="1120" w:name="_Toc296347166"/>
      <w:bookmarkStart w:id="1121" w:name="_Toc296890995"/>
      <w:bookmarkStart w:id="1122" w:name="_Toc267251424"/>
      <w:bookmarkStart w:id="1123" w:name="_Toc280868656"/>
      <w:bookmarkStart w:id="1124" w:name="_Toc280868655"/>
      <w:r>
        <w:rPr>
          <w:rFonts w:hint="eastAsia" w:asciiTheme="minorEastAsia" w:hAnsiTheme="minorEastAsia" w:eastAsiaTheme="minorEastAsia" w:cstheme="minorEastAsia"/>
          <w:sz w:val="22"/>
          <w:szCs w:val="22"/>
        </w:rPr>
        <w:t>.4 材料与工程设备的保管与使用</w:t>
      </w:r>
      <w:bookmarkEnd w:id="1102"/>
      <w:bookmarkEnd w:id="1103"/>
    </w:p>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bookmarkStart w:id="1125" w:name="_Toc292559373"/>
      <w:bookmarkStart w:id="1126" w:name="_Toc292559878"/>
      <w:bookmarkStart w:id="1127" w:name="_Toc296891208"/>
      <w:bookmarkStart w:id="1128" w:name="_Toc312678020"/>
      <w:bookmarkStart w:id="1129" w:name="_Toc318581173"/>
      <w:bookmarkStart w:id="1130" w:name="_Toc296346669"/>
      <w:bookmarkStart w:id="1131" w:name="_Toc296890996"/>
      <w:bookmarkStart w:id="1132" w:name="_Toc296347167"/>
      <w:bookmarkStart w:id="1133" w:name="_Toc304295557"/>
      <w:bookmarkStart w:id="1134" w:name="_Toc303539137"/>
      <w:bookmarkStart w:id="1135" w:name="_Toc312677494"/>
      <w:bookmarkStart w:id="1136" w:name="_Toc296944507"/>
      <w:bookmarkStart w:id="1137" w:name="_Toc297216187"/>
      <w:bookmarkStart w:id="1138" w:name="_Toc300934980"/>
      <w:bookmarkStart w:id="1139" w:name="_Toc297123528"/>
      <w:bookmarkStart w:id="1140" w:name="_Toc297120468"/>
      <w:bookmarkStart w:id="1141" w:name="_Toc296503168"/>
      <w:bookmarkStart w:id="1142" w:name="_Toc297048354"/>
      <w:r>
        <w:rPr>
          <w:rFonts w:hint="eastAsia" w:asciiTheme="minorEastAsia" w:hAnsiTheme="minorEastAsia" w:eastAsiaTheme="minorEastAsia" w:cstheme="minorEastAsia"/>
          <w:sz w:val="22"/>
          <w:szCs w:val="22"/>
        </w:rPr>
        <w:t>.4.1 发包人供应的材料设备的保管费用的承担：</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bookmarkEnd w:id="1125"/>
      <w:bookmarkEnd w:id="1126"/>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143" w:name="_Toc532375629"/>
      <w:bookmarkStart w:id="1144" w:name="_Toc532377365"/>
      <w:r>
        <w:rPr>
          <w:rFonts w:hint="eastAsia" w:asciiTheme="minorEastAsia" w:hAnsiTheme="minorEastAsia" w:eastAsiaTheme="minorEastAsia" w:cstheme="minorEastAsia"/>
          <w:sz w:val="22"/>
          <w:szCs w:val="22"/>
        </w:rPr>
        <w:t>8.6 样品</w:t>
      </w:r>
      <w:bookmarkEnd w:id="1143"/>
      <w:bookmarkEnd w:id="1144"/>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8.6.1 样品的报送与封存</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需要承包人报送样品的材料或工程设备，样品的种类、名称、规格、数量要求：</w:t>
      </w:r>
      <w:r>
        <w:rPr>
          <w:rFonts w:hint="eastAsia" w:asciiTheme="minorEastAsia" w:hAnsiTheme="minorEastAsia" w:eastAsiaTheme="minorEastAsia" w:cstheme="minorEastAsia"/>
          <w:sz w:val="22"/>
          <w:szCs w:val="22"/>
          <w:u w:val="single"/>
        </w:rPr>
        <w:t xml:space="preserve"> 按</w:t>
      </w:r>
      <w:r>
        <w:rPr>
          <w:rFonts w:hint="eastAsia" w:asciiTheme="minorEastAsia" w:hAnsiTheme="minorEastAsia" w:eastAsiaTheme="minorEastAsia" w:cstheme="minorEastAsia"/>
          <w:sz w:val="22"/>
          <w:szCs w:val="22"/>
          <w:u w:val="single"/>
          <w:lang w:val="en-US" w:eastAsia="zh-CN"/>
        </w:rPr>
        <w:t>发包人</w:t>
      </w:r>
      <w:r>
        <w:rPr>
          <w:rFonts w:hint="eastAsia" w:asciiTheme="minorEastAsia" w:hAnsiTheme="minorEastAsia" w:eastAsiaTheme="minorEastAsia" w:cstheme="minorEastAsia"/>
          <w:sz w:val="22"/>
          <w:szCs w:val="22"/>
          <w:u w:val="single"/>
        </w:rPr>
        <w:t xml:space="preserve">要求送样  </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145" w:name="_Toc532377366"/>
      <w:bookmarkStart w:id="1146" w:name="_Toc532375630"/>
      <w:r>
        <w:rPr>
          <w:rFonts w:hint="eastAsia" w:asciiTheme="minorEastAsia" w:hAnsiTheme="minorEastAsia" w:eastAsiaTheme="minorEastAsia" w:cstheme="minorEastAsia"/>
          <w:sz w:val="22"/>
          <w:szCs w:val="22"/>
        </w:rPr>
        <w:t>8.8 施工设备和临时设施</w:t>
      </w:r>
      <w:bookmarkEnd w:id="1145"/>
      <w:bookmarkEnd w:id="1146"/>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8.8.1 承包人提供的施工设备和临时设施</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关于修建临时设施费用承担的约定：</w:t>
      </w:r>
      <w:r>
        <w:rPr>
          <w:rFonts w:hint="eastAsia" w:asciiTheme="minorEastAsia" w:hAnsiTheme="minorEastAsia" w:eastAsiaTheme="minorEastAsia" w:cstheme="minorEastAsia"/>
          <w:sz w:val="22"/>
          <w:szCs w:val="22"/>
          <w:u w:val="single"/>
        </w:rPr>
        <w:t>由承包人承担</w:t>
      </w:r>
      <w:r>
        <w:rPr>
          <w:rFonts w:hint="eastAsia" w:asciiTheme="minorEastAsia" w:hAnsiTheme="minorEastAsia" w:eastAsiaTheme="minorEastAsia" w:cstheme="minorEastAsia"/>
          <w:sz w:val="22"/>
          <w:szCs w:val="22"/>
        </w:rPr>
        <w:t>。</w:t>
      </w:r>
    </w:p>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147" w:name="_Toc532377367"/>
      <w:bookmarkStart w:id="1148" w:name="_Toc351203641"/>
      <w:bookmarkStart w:id="1149" w:name="_Toc532375631"/>
      <w:r>
        <w:rPr>
          <w:rFonts w:hint="eastAsia" w:asciiTheme="minorEastAsia" w:hAnsiTheme="minorEastAsia" w:eastAsiaTheme="minorEastAsia" w:cstheme="minorEastAsia"/>
          <w:b/>
          <w:bCs/>
          <w:sz w:val="22"/>
          <w:szCs w:val="22"/>
        </w:rPr>
        <w:t>9</w:t>
      </w:r>
      <w:bookmarkStart w:id="1150" w:name="_Toc297216192"/>
      <w:bookmarkStart w:id="1151" w:name="_Toc312677495"/>
      <w:bookmarkStart w:id="1152" w:name="_Toc304295559"/>
      <w:bookmarkStart w:id="1153" w:name="_Toc303539139"/>
      <w:bookmarkStart w:id="1154" w:name="_Toc300934982"/>
      <w:bookmarkStart w:id="1155" w:name="_Toc312678021"/>
      <w:bookmarkStart w:id="1156" w:name="_Toc297123533"/>
      <w:bookmarkEnd w:id="1122"/>
      <w:bookmarkEnd w:id="1123"/>
      <w:bookmarkEnd w:id="1124"/>
      <w:r>
        <w:rPr>
          <w:rFonts w:hint="eastAsia" w:asciiTheme="minorEastAsia" w:hAnsiTheme="minorEastAsia" w:eastAsiaTheme="minorEastAsia" w:cstheme="minorEastAsia"/>
          <w:b/>
          <w:bCs/>
          <w:sz w:val="22"/>
          <w:szCs w:val="22"/>
        </w:rPr>
        <w:t>. 试验与检验</w:t>
      </w:r>
      <w:bookmarkEnd w:id="1147"/>
      <w:bookmarkEnd w:id="1148"/>
      <w:bookmarkEnd w:id="1149"/>
    </w:p>
    <w:bookmarkEnd w:id="1150"/>
    <w:bookmarkEnd w:id="1151"/>
    <w:bookmarkEnd w:id="1152"/>
    <w:bookmarkEnd w:id="1153"/>
    <w:bookmarkEnd w:id="1154"/>
    <w:bookmarkEnd w:id="1155"/>
    <w:bookmarkEnd w:id="1156"/>
    <w:p>
      <w:pPr>
        <w:pStyle w:val="7"/>
        <w:spacing w:before="0" w:after="0" w:line="440" w:lineRule="exact"/>
        <w:ind w:firstLine="442" w:firstLineChars="200"/>
        <w:rPr>
          <w:rFonts w:asciiTheme="minorEastAsia" w:hAnsiTheme="minorEastAsia" w:eastAsiaTheme="minorEastAsia" w:cstheme="minorEastAsia"/>
          <w:sz w:val="22"/>
          <w:szCs w:val="22"/>
        </w:rPr>
      </w:pPr>
      <w:bookmarkStart w:id="1157" w:name="_Toc532375632"/>
      <w:bookmarkStart w:id="1158" w:name="_Toc532377368"/>
      <w:r>
        <w:rPr>
          <w:rFonts w:hint="eastAsia" w:asciiTheme="minorEastAsia" w:hAnsiTheme="minorEastAsia" w:eastAsiaTheme="minorEastAsia" w:cstheme="minorEastAsia"/>
          <w:sz w:val="22"/>
          <w:szCs w:val="22"/>
        </w:rPr>
        <w:t>9</w:t>
      </w:r>
      <w:bookmarkStart w:id="1159" w:name="_Toc297216193"/>
      <w:bookmarkStart w:id="1160" w:name="_Toc312677496"/>
      <w:bookmarkStart w:id="1161" w:name="_Toc297123534"/>
      <w:bookmarkStart w:id="1162" w:name="_Toc300934983"/>
      <w:bookmarkStart w:id="1163" w:name="_Toc303539140"/>
      <w:bookmarkStart w:id="1164" w:name="_Toc312678022"/>
      <w:bookmarkStart w:id="1165" w:name="_Toc304295560"/>
      <w:r>
        <w:rPr>
          <w:rFonts w:hint="eastAsia" w:asciiTheme="minorEastAsia" w:hAnsiTheme="minorEastAsia" w:eastAsiaTheme="minorEastAsia" w:cstheme="minorEastAsia"/>
          <w:sz w:val="22"/>
          <w:szCs w:val="22"/>
        </w:rPr>
        <w:t>.1 试验设备与试验人员</w:t>
      </w:r>
      <w:bookmarkEnd w:id="1157"/>
      <w:bookmarkEnd w:id="1158"/>
    </w:p>
    <w:bookmarkEnd w:id="1159"/>
    <w:bookmarkEnd w:id="1160"/>
    <w:bookmarkEnd w:id="1161"/>
    <w:bookmarkEnd w:id="1162"/>
    <w:bookmarkEnd w:id="1163"/>
    <w:bookmarkEnd w:id="1164"/>
    <w:bookmarkEnd w:id="1165"/>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w:t>
      </w:r>
      <w:bookmarkStart w:id="1166" w:name="_Toc300934984"/>
      <w:bookmarkStart w:id="1167" w:name="_Toc304295561"/>
      <w:bookmarkStart w:id="1168" w:name="_Toc312678023"/>
      <w:bookmarkStart w:id="1169" w:name="_Toc312677497"/>
      <w:bookmarkStart w:id="1170" w:name="_Toc297123535"/>
      <w:bookmarkStart w:id="1171" w:name="_Toc297216194"/>
      <w:bookmarkStart w:id="1172" w:name="_Toc303539141"/>
      <w:bookmarkStart w:id="1173" w:name="_Toc318581174"/>
      <w:r>
        <w:rPr>
          <w:rFonts w:hint="eastAsia" w:asciiTheme="minorEastAsia" w:hAnsiTheme="minorEastAsia" w:eastAsiaTheme="minorEastAsia" w:cstheme="minorEastAsia"/>
          <w:sz w:val="22"/>
          <w:szCs w:val="22"/>
        </w:rPr>
        <w:t>.1.2 试验设备</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施工现场需要配置的试验场所：</w:t>
      </w:r>
      <w:bookmarkEnd w:id="1166"/>
      <w:bookmarkEnd w:id="1167"/>
      <w:bookmarkEnd w:id="1168"/>
      <w:bookmarkEnd w:id="1169"/>
      <w:bookmarkEnd w:id="1170"/>
      <w:bookmarkEnd w:id="1171"/>
      <w:bookmarkEnd w:id="1172"/>
      <w:bookmarkStart w:id="1174" w:name="_Toc312677498"/>
      <w:bookmarkStart w:id="1175" w:name="_Toc300934985"/>
      <w:bookmarkStart w:id="1176" w:name="_Toc297123536"/>
      <w:bookmarkStart w:id="1177" w:name="_Toc312678024"/>
      <w:bookmarkStart w:id="1178" w:name="_Toc297216195"/>
      <w:bookmarkStart w:id="1179" w:name="_Toc304295562"/>
      <w:bookmarkStart w:id="1180" w:name="_Toc303539142"/>
      <w:r>
        <w:rPr>
          <w:rFonts w:hint="eastAsia" w:asciiTheme="minorEastAsia" w:hAnsiTheme="minorEastAsia" w:eastAsiaTheme="minorEastAsia" w:cstheme="minorEastAsia"/>
          <w:sz w:val="22"/>
          <w:szCs w:val="22"/>
          <w:u w:val="single"/>
        </w:rPr>
        <w:t>满足工程施工的需要</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施工现场需要配备的试验设备：</w:t>
      </w:r>
      <w:r>
        <w:rPr>
          <w:rFonts w:hint="eastAsia" w:asciiTheme="minorEastAsia" w:hAnsiTheme="minorEastAsia" w:eastAsiaTheme="minorEastAsia" w:cstheme="minorEastAsia"/>
          <w:sz w:val="22"/>
          <w:szCs w:val="22"/>
          <w:u w:val="single"/>
        </w:rPr>
        <w:t>满足工程施工的需要</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施工现场需要具备的其他试验条件：</w:t>
      </w:r>
      <w:r>
        <w:rPr>
          <w:rFonts w:hint="eastAsia" w:asciiTheme="minorEastAsia" w:hAnsiTheme="minorEastAsia" w:eastAsiaTheme="minorEastAsia" w:cstheme="minorEastAsia"/>
          <w:sz w:val="22"/>
          <w:szCs w:val="22"/>
          <w:u w:val="single"/>
        </w:rPr>
        <w:t>满足工程施工的需要</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181" w:name="_Toc532375633"/>
      <w:bookmarkStart w:id="1182" w:name="_Toc532377369"/>
      <w:r>
        <w:rPr>
          <w:rFonts w:hint="eastAsia" w:asciiTheme="minorEastAsia" w:hAnsiTheme="minorEastAsia" w:eastAsiaTheme="minorEastAsia" w:cstheme="minorEastAsia"/>
          <w:sz w:val="22"/>
          <w:szCs w:val="22"/>
        </w:rPr>
        <w:t>9.4 现场工艺试验</w:t>
      </w:r>
      <w:bookmarkEnd w:id="1181"/>
      <w:bookmarkEnd w:id="1182"/>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本款补充9.4.1～9.4.5项：</w:t>
      </w:r>
    </w:p>
    <w:bookmarkEnd w:id="1173"/>
    <w:bookmarkEnd w:id="1174"/>
    <w:bookmarkEnd w:id="1175"/>
    <w:bookmarkEnd w:id="1176"/>
    <w:bookmarkEnd w:id="1177"/>
    <w:bookmarkEnd w:id="1178"/>
    <w:bookmarkEnd w:id="1179"/>
    <w:bookmarkEnd w:id="1180"/>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9.4.1一般检验试验：</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9.4.2特殊检验试验：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发包人委托的第三方检测试验机构检测试验的试件所需的材料、取样、送检及相关配合工作由承包人负责完成并承担由此产生的所有相关费用。</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（2）施工措施的检测、试验：因施工措施需要而做的相关检测、试验由承包人负责实施，其费用由承包人承担。</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9.4.3专项检测：</w:t>
      </w:r>
      <w:r>
        <w:rPr>
          <w:rFonts w:hint="eastAsia" w:asciiTheme="minorEastAsia" w:hAnsiTheme="minorEastAsia" w:eastAsiaTheme="minorEastAsia" w:cstheme="minorEastAsia"/>
          <w:sz w:val="22"/>
          <w:szCs w:val="22"/>
          <w:u w:val="single"/>
        </w:rPr>
        <w:t xml:space="preserve"> 同9.4.2  </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9.4.4若因承包人取样、制样、送检及相关配合不及时而导致工程的工期和费用增加，影响的工期不予延长，增加费用由承包人承担。</w:t>
      </w:r>
    </w:p>
    <w:p>
      <w:pPr>
        <w:tabs>
          <w:tab w:val="left" w:pos="711"/>
          <w:tab w:val="left" w:pos="2580"/>
        </w:tabs>
        <w:spacing w:line="440" w:lineRule="exact"/>
        <w:ind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9.4.5检测试验不合格的项目，其缺陷处理和复测费用由承包人承担，工期不予延长。</w:t>
      </w:r>
    </w:p>
    <w:bookmarkEnd w:id="1019"/>
    <w:bookmarkEnd w:id="1020"/>
    <w:bookmarkEnd w:id="1021"/>
    <w:bookmarkEnd w:id="1022"/>
    <w:bookmarkEnd w:id="1023"/>
    <w:bookmarkEnd w:id="1024"/>
    <w:bookmarkEnd w:id="1025"/>
    <w:bookmarkEnd w:id="1026"/>
    <w:bookmarkEnd w:id="1027"/>
    <w:bookmarkEnd w:id="1028"/>
    <w:bookmarkEnd w:id="1029"/>
    <w:bookmarkEnd w:id="1030"/>
    <w:bookmarkEnd w:id="1031"/>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183" w:name="_Toc532377370"/>
      <w:bookmarkStart w:id="1184" w:name="_Toc532375634"/>
      <w:bookmarkStart w:id="1185" w:name="_Toc267251489"/>
      <w:bookmarkStart w:id="1186" w:name="_Toc267251486"/>
      <w:bookmarkStart w:id="1187" w:name="_Toc267251488"/>
      <w:bookmarkStart w:id="1188" w:name="_Toc267251490"/>
      <w:bookmarkStart w:id="1189" w:name="_Toc267251482"/>
      <w:bookmarkStart w:id="1190" w:name="_Toc267251484"/>
      <w:bookmarkStart w:id="1191" w:name="_Toc267251485"/>
      <w:bookmarkStart w:id="1192" w:name="_Hlk524298112"/>
      <w:bookmarkStart w:id="1193" w:name="_Toc267251508"/>
      <w:bookmarkStart w:id="1194" w:name="_Toc267251501"/>
      <w:bookmarkStart w:id="1195" w:name="_Toc267251504"/>
      <w:bookmarkStart w:id="1196" w:name="_Toc267251511"/>
      <w:bookmarkStart w:id="1197" w:name="_Toc267251507"/>
      <w:bookmarkStart w:id="1198" w:name="_Toc267251494"/>
      <w:bookmarkStart w:id="1199" w:name="_Toc267251513"/>
      <w:bookmarkStart w:id="1200" w:name="_Toc267251496"/>
      <w:bookmarkStart w:id="1201" w:name="_Toc267251514"/>
      <w:bookmarkStart w:id="1202" w:name="_Toc267251497"/>
      <w:bookmarkStart w:id="1203" w:name="_Toc267251495"/>
      <w:bookmarkStart w:id="1204" w:name="_Toc267251492"/>
      <w:bookmarkStart w:id="1205" w:name="_Toc267251503"/>
      <w:bookmarkStart w:id="1206" w:name="_Toc267251509"/>
      <w:bookmarkStart w:id="1207" w:name="_Toc267251510"/>
      <w:bookmarkStart w:id="1208" w:name="_Toc267251498"/>
      <w:bookmarkStart w:id="1209" w:name="_Toc267251499"/>
      <w:bookmarkStart w:id="1210" w:name="_Toc267251502"/>
      <w:bookmarkStart w:id="1211" w:name="_Toc267251491"/>
      <w:bookmarkStart w:id="1212" w:name="_Toc267251515"/>
      <w:bookmarkStart w:id="1213" w:name="_Toc267251493"/>
      <w:bookmarkStart w:id="1214" w:name="_Toc267251506"/>
      <w:r>
        <w:rPr>
          <w:rFonts w:hint="eastAsia" w:asciiTheme="minorEastAsia" w:hAnsiTheme="minorEastAsia" w:eastAsiaTheme="minorEastAsia" w:cstheme="minorEastAsia"/>
          <w:b/>
          <w:bCs/>
          <w:sz w:val="22"/>
          <w:szCs w:val="22"/>
        </w:rPr>
        <w:t>1</w:t>
      </w:r>
      <w:bookmarkStart w:id="1215" w:name="_Toc292559398"/>
      <w:bookmarkStart w:id="1216" w:name="_Toc296503193"/>
      <w:bookmarkStart w:id="1217" w:name="_Toc297048379"/>
      <w:bookmarkStart w:id="1218" w:name="_Toc292559903"/>
      <w:bookmarkStart w:id="1219" w:name="_Toc296891233"/>
      <w:bookmarkStart w:id="1220" w:name="_Toc296891021"/>
      <w:bookmarkStart w:id="1221" w:name="_Toc304295566"/>
      <w:bookmarkStart w:id="1222" w:name="_Toc303539146"/>
      <w:bookmarkStart w:id="1223" w:name="_Toc296346694"/>
      <w:bookmarkStart w:id="1224" w:name="_Toc297120493"/>
      <w:bookmarkStart w:id="1225" w:name="_Toc296347192"/>
      <w:bookmarkStart w:id="1226" w:name="_Toc296944532"/>
      <w:bookmarkStart w:id="1227" w:name="_Toc297123540"/>
      <w:bookmarkStart w:id="1228" w:name="_Toc300934989"/>
      <w:bookmarkStart w:id="1229" w:name="_Toc297216199"/>
      <w:bookmarkStart w:id="1230" w:name="_Toc312678025"/>
      <w:bookmarkStart w:id="1231" w:name="_Toc312677499"/>
      <w:bookmarkStart w:id="1232" w:name="_Toc267251433"/>
      <w:bookmarkStart w:id="1233" w:name="_Toc267251440"/>
      <w:bookmarkStart w:id="1234" w:name="_Toc267251439"/>
      <w:bookmarkStart w:id="1235" w:name="_Toc267251437"/>
      <w:bookmarkStart w:id="1236" w:name="_Toc267251435"/>
      <w:bookmarkStart w:id="1237" w:name="_Toc267251441"/>
      <w:r>
        <w:rPr>
          <w:rFonts w:hint="eastAsia" w:asciiTheme="minorEastAsia" w:hAnsiTheme="minorEastAsia" w:eastAsiaTheme="minorEastAsia" w:cstheme="minorEastAsia"/>
          <w:b/>
          <w:bCs/>
          <w:sz w:val="22"/>
          <w:szCs w:val="22"/>
        </w:rPr>
        <w:t>0. 变更</w:t>
      </w:r>
      <w:bookmarkEnd w:id="1183"/>
      <w:bookmarkEnd w:id="118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bookmarkEnd w:id="1230"/>
    <w:bookmarkEnd w:id="1231"/>
    <w:p>
      <w:pPr>
        <w:pStyle w:val="7"/>
        <w:spacing w:before="0" w:after="0" w:line="440" w:lineRule="exact"/>
        <w:ind w:firstLine="442" w:firstLineChars="200"/>
        <w:rPr>
          <w:rFonts w:asciiTheme="minorEastAsia" w:hAnsiTheme="minorEastAsia" w:eastAsiaTheme="minorEastAsia" w:cstheme="minorEastAsia"/>
          <w:sz w:val="22"/>
          <w:szCs w:val="22"/>
        </w:rPr>
      </w:pPr>
      <w:bookmarkStart w:id="1238" w:name="_Toc532375635"/>
      <w:bookmarkStart w:id="1239" w:name="_Toc532377371"/>
      <w:r>
        <w:rPr>
          <w:rFonts w:hint="eastAsia" w:asciiTheme="minorEastAsia" w:hAnsiTheme="minorEastAsia" w:eastAsiaTheme="minorEastAsia" w:cstheme="minorEastAsia"/>
          <w:sz w:val="22"/>
          <w:szCs w:val="22"/>
        </w:rPr>
        <w:t>1</w:t>
      </w:r>
      <w:bookmarkStart w:id="1240" w:name="_Toc304295567"/>
      <w:bookmarkStart w:id="1241" w:name="_Toc296891234"/>
      <w:bookmarkStart w:id="1242" w:name="_Toc292559904"/>
      <w:bookmarkStart w:id="1243" w:name="_Toc303539147"/>
      <w:bookmarkStart w:id="1244" w:name="_Toc292559399"/>
      <w:bookmarkStart w:id="1245" w:name="_Toc296891022"/>
      <w:bookmarkStart w:id="1246" w:name="_Toc312677500"/>
      <w:bookmarkStart w:id="1247" w:name="_Toc296944533"/>
      <w:bookmarkStart w:id="1248" w:name="_Toc296346695"/>
      <w:bookmarkStart w:id="1249" w:name="_Toc312678026"/>
      <w:bookmarkStart w:id="1250" w:name="_Toc297048380"/>
      <w:bookmarkStart w:id="1251" w:name="_Toc297216200"/>
      <w:bookmarkStart w:id="1252" w:name="_Toc297120494"/>
      <w:bookmarkStart w:id="1253" w:name="_Toc300934990"/>
      <w:bookmarkStart w:id="1254" w:name="_Toc296503194"/>
      <w:bookmarkStart w:id="1255" w:name="_Toc296347193"/>
      <w:bookmarkStart w:id="1256" w:name="_Toc297123541"/>
      <w:r>
        <w:rPr>
          <w:rFonts w:hint="eastAsia" w:asciiTheme="minorEastAsia" w:hAnsiTheme="minorEastAsia" w:eastAsiaTheme="minorEastAsia" w:cstheme="minorEastAsia"/>
          <w:sz w:val="22"/>
          <w:szCs w:val="22"/>
        </w:rPr>
        <w:t>0.1变更的范围</w:t>
      </w:r>
      <w:bookmarkEnd w:id="1238"/>
      <w:bookmarkEnd w:id="1239"/>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关于变更范围的约定：</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（1）增加或减少合同中任何工作，或追加额外的工作；</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（2）取消合同中任何工作；</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（3）改变合同中任何工作的质量标准或其他特性；</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（4）改变工程的基线、标高、位置和尺寸；</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（5）适用于工程的标准和（或）规范变化导致需要对工程进行改变，且该改变导致工期和（或）费用变化的。</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（6）勘察设计变更。</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（7）实施内容变更，包括因设计变更和非设计变更引起的实施地点、投资规模、结构型式、采购数量、服务内容等进行的调整，以及因此导致的合同价格、工期变更。</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（8）项目管理人员变更。</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（9）因人工、原材料等价格变化导致的合同总价变更。</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（10）非实施内容变化导致的工期变更</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w:t>
      </w:r>
      <w:r>
        <w:rPr>
          <w:rFonts w:hint="eastAsia" w:asciiTheme="minorEastAsia" w:hAnsiTheme="minorEastAsia" w:eastAsiaTheme="minorEastAsia" w:cstheme="minorEastAsia"/>
          <w:sz w:val="22"/>
          <w:szCs w:val="22"/>
          <w:u w:val="single"/>
        </w:rPr>
        <w:t xml:space="preserve"> 其他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在重庆市信用信息共享平台进行信息公开。项目合同变更未获得通过的，发包人和承包人均不得擅自变更原合同约定事项，且不得就同一理由同一事项再提出变更。</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承包人对其提供的材料、工程设备、施工、无负荷试车、热负荷试车及图纸参数存在的缺陷，自费修正、调整和完善，不属于变更。</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257" w:name="_Toc532377372"/>
      <w:bookmarkStart w:id="1258" w:name="_Toc351203569"/>
      <w:bookmarkStart w:id="1259" w:name="_Toc532375636"/>
      <w:r>
        <w:rPr>
          <w:rFonts w:hint="eastAsia" w:asciiTheme="minorEastAsia" w:hAnsiTheme="minorEastAsia" w:eastAsiaTheme="minorEastAsia" w:cstheme="minorEastAsia"/>
          <w:sz w:val="22"/>
          <w:szCs w:val="22"/>
        </w:rPr>
        <w:t>1</w:t>
      </w:r>
      <w:bookmarkStart w:id="1260" w:name="_Toc296346586"/>
      <w:bookmarkStart w:id="1261" w:name="_Toc337558789"/>
      <w:bookmarkStart w:id="1262" w:name="_Toc296503085"/>
      <w:r>
        <w:rPr>
          <w:rFonts w:hint="eastAsia" w:asciiTheme="minorEastAsia" w:hAnsiTheme="minorEastAsia" w:eastAsiaTheme="minorEastAsia" w:cstheme="minorEastAsia"/>
          <w:sz w:val="22"/>
          <w:szCs w:val="22"/>
        </w:rPr>
        <w:t>0.2变更权</w:t>
      </w:r>
      <w:bookmarkEnd w:id="1257"/>
      <w:bookmarkEnd w:id="1258"/>
      <w:bookmarkEnd w:id="1259"/>
    </w:p>
    <w:bookmarkEnd w:id="1260"/>
    <w:bookmarkEnd w:id="1261"/>
    <w:bookmarkEnd w:id="1262"/>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10.2.1发包人和监理人提出变更</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涉及设计变更的，应由设计人提供变更后的图纸和说明，交由发包人同意后由监理人以书面形式发出。如变更超过原设计标准或批准的建设规模时，由发包人及时办理规划、设计变更等审批手续。</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若出现重大设计变更，变更后的内容超出承包人资质或能力范围的，发包人将另行依法招标选择承包单位，无需征得承包人同意。</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10.2.2 承包人提出变更建议</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Theme="minorEastAsia" w:hAnsiTheme="minorEastAsia" w:eastAsiaTheme="minorEastAsia" w:cstheme="minorEastAsia"/>
          <w:sz w:val="22"/>
          <w:szCs w:val="22"/>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Theme="minorEastAsia" w:hAnsiTheme="minorEastAsia" w:eastAsiaTheme="minorEastAsia" w:cstheme="minorEastAsia"/>
          <w:sz w:val="22"/>
          <w:szCs w:val="22"/>
        </w:rPr>
        <w:t>。</w:t>
      </w:r>
    </w:p>
    <w:p>
      <w:pPr>
        <w:autoSpaceDE w:val="0"/>
        <w:autoSpaceDN w:val="0"/>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如果发包人对承包人已实施的施工项目在发出重大设计变更之前要求承包人提出一份建议，那么，承包人应尽快提出：</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（1）对所提方案和（或）待做工作及其实施计划的说明</w:t>
      </w:r>
      <w:r>
        <w:rPr>
          <w:rFonts w:hint="eastAsia" w:asciiTheme="minorEastAsia" w:hAnsiTheme="minorEastAsia" w:eastAsiaTheme="minorEastAsia" w:cstheme="minorEastAsia"/>
          <w:sz w:val="22"/>
          <w:szCs w:val="22"/>
        </w:rPr>
        <w:t>；</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（2）承包人按照对工程进度计划进行必要修改的建议</w:t>
      </w:r>
      <w:r>
        <w:rPr>
          <w:rFonts w:hint="eastAsia" w:asciiTheme="minorEastAsia" w:hAnsiTheme="minorEastAsia" w:eastAsiaTheme="minorEastAsia" w:cstheme="minorEastAsia"/>
          <w:sz w:val="22"/>
          <w:szCs w:val="22"/>
        </w:rPr>
        <w:t>；</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（3）承包人发生较大返工损失增加费用的建议</w:t>
      </w:r>
      <w:r>
        <w:rPr>
          <w:rFonts w:hint="eastAsia" w:asciiTheme="minorEastAsia" w:hAnsiTheme="minorEastAsia" w:eastAsiaTheme="minorEastAsia" w:cstheme="minorEastAsia"/>
          <w:sz w:val="22"/>
          <w:szCs w:val="22"/>
        </w:rPr>
        <w:t>。</w:t>
      </w:r>
    </w:p>
    <w:p>
      <w:pPr>
        <w:autoSpaceDE w:val="0"/>
        <w:autoSpaceDN w:val="0"/>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发包人在收到上述建议书后，应尽快给予批准、否决或提出意见</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263" w:name="_Toc532375637"/>
      <w:bookmarkStart w:id="1264" w:name="_Toc532377373"/>
      <w:bookmarkStart w:id="1265" w:name="_Hlk528928195"/>
      <w:bookmarkStart w:id="1266" w:name="_Toc351203570"/>
      <w:r>
        <w:rPr>
          <w:rFonts w:hint="eastAsia" w:asciiTheme="minorEastAsia" w:hAnsiTheme="minorEastAsia" w:eastAsiaTheme="minorEastAsia" w:cstheme="minorEastAsia"/>
          <w:sz w:val="22"/>
          <w:szCs w:val="22"/>
        </w:rPr>
        <w:t>1</w:t>
      </w:r>
      <w:bookmarkStart w:id="1267" w:name="_Toc296346587"/>
      <w:bookmarkStart w:id="1268" w:name="_Toc296503086"/>
      <w:bookmarkStart w:id="1269" w:name="_Toc337558790"/>
      <w:r>
        <w:rPr>
          <w:rFonts w:hint="eastAsia" w:asciiTheme="minorEastAsia" w:hAnsiTheme="minorEastAsia" w:eastAsiaTheme="minorEastAsia" w:cstheme="minorEastAsia"/>
          <w:sz w:val="22"/>
          <w:szCs w:val="22"/>
        </w:rPr>
        <w:t>0.3变更程序</w:t>
      </w:r>
      <w:bookmarkEnd w:id="1263"/>
      <w:bookmarkEnd w:id="1264"/>
    </w:p>
    <w:bookmarkEnd w:id="1267"/>
    <w:bookmarkEnd w:id="1268"/>
    <w:bookmarkEnd w:id="1269"/>
    <w:p>
      <w:pPr>
        <w:autoSpaceDE w:val="0"/>
        <w:autoSpaceDN w:val="0"/>
        <w:spacing w:line="440" w:lineRule="exact"/>
        <w:ind w:firstLine="440" w:firstLineChars="200"/>
        <w:jc w:val="left"/>
        <w:rPr>
          <w:rFonts w:asciiTheme="minorEastAsia" w:hAnsiTheme="minorEastAsia" w:eastAsiaTheme="minorEastAsia" w:cstheme="minorEastAsia"/>
          <w:sz w:val="22"/>
          <w:szCs w:val="22"/>
        </w:rPr>
      </w:pPr>
      <w:bookmarkStart w:id="1270" w:name="_Hlk524353972"/>
      <w:r>
        <w:rPr>
          <w:rFonts w:hint="eastAsia" w:asciiTheme="minorEastAsia" w:hAnsiTheme="minorEastAsia" w:eastAsiaTheme="minorEastAsia" w:cstheme="minorEastAsia"/>
          <w:sz w:val="22"/>
          <w:szCs w:val="22"/>
        </w:rPr>
        <w:t>10.3.3 变更执行</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重大设计变更：需经设计人、监理人和发包人三方签字认可并报相关行业部门审查同意后实施。</w:t>
      </w:r>
    </w:p>
    <w:p>
      <w:pPr>
        <w:autoSpaceDE w:val="0"/>
        <w:autoSpaceDN w:val="0"/>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10.3.3 项增加以下内容：</w:t>
      </w:r>
    </w:p>
    <w:p>
      <w:pPr>
        <w:autoSpaceDE w:val="0"/>
        <w:autoSpaceDN w:val="0"/>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项目的勘察设计、实施内容等作较大变更的，应当按照规定的程序报原审批部门审批；变更导致总投资超概的，应当报原投资概算核定部门核定。</w:t>
      </w:r>
    </w:p>
    <w:p>
      <w:pPr>
        <w:autoSpaceDE w:val="0"/>
        <w:autoSpaceDN w:val="0"/>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因人工、原材料市场价格发生大幅度变化导致的合同总价变更，由发包人与承包人按照合同进行变更，并将变更信息推送给行业主管部门。</w:t>
      </w:r>
    </w:p>
    <w:p>
      <w:pPr>
        <w:autoSpaceDE w:val="0"/>
        <w:autoSpaceDN w:val="0"/>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项目合同变更后，增加的实施内容达到依法必须招标的规模标准的，增加的部分应当依法通过招标选择承包单位。</w:t>
      </w:r>
    </w:p>
    <w:bookmarkEnd w:id="1265"/>
    <w:bookmarkEnd w:id="1266"/>
    <w:bookmarkEnd w:id="1270"/>
    <w:p>
      <w:pPr>
        <w:pStyle w:val="7"/>
        <w:spacing w:before="0" w:after="0" w:line="440" w:lineRule="exact"/>
        <w:ind w:firstLine="442" w:firstLineChars="200"/>
        <w:rPr>
          <w:rFonts w:asciiTheme="minorEastAsia" w:hAnsiTheme="minorEastAsia" w:eastAsiaTheme="minorEastAsia" w:cstheme="minorEastAsia"/>
          <w:sz w:val="22"/>
          <w:szCs w:val="22"/>
        </w:rPr>
      </w:pPr>
      <w:bookmarkStart w:id="1271" w:name="_Toc532377374"/>
      <w:bookmarkStart w:id="1272" w:name="_Toc532375638"/>
      <w:r>
        <w:rPr>
          <w:rFonts w:hint="eastAsia" w:asciiTheme="minorEastAsia" w:hAnsiTheme="minorEastAsia" w:eastAsiaTheme="minorEastAsia" w:cstheme="minorEastAsia"/>
          <w:sz w:val="22"/>
          <w:szCs w:val="22"/>
        </w:rPr>
        <w:t>10.4 变更估价</w:t>
      </w:r>
      <w:bookmarkEnd w:id="1271"/>
      <w:bookmarkEnd w:id="1272"/>
    </w:p>
    <w:p>
      <w:pPr>
        <w:spacing w:line="440" w:lineRule="exact"/>
        <w:ind w:firstLine="440" w:firstLineChars="200"/>
        <w:jc w:val="left"/>
        <w:rPr>
          <w:rFonts w:asciiTheme="minorEastAsia" w:hAnsiTheme="minorEastAsia" w:eastAsiaTheme="minorEastAsia" w:cstheme="minorEastAsia"/>
          <w:sz w:val="22"/>
          <w:szCs w:val="22"/>
        </w:rPr>
      </w:pPr>
      <w:bookmarkStart w:id="1273" w:name="_Hlk524296629"/>
      <w:r>
        <w:rPr>
          <w:rFonts w:hint="eastAsia" w:asciiTheme="minorEastAsia" w:hAnsiTheme="minorEastAsia" w:eastAsiaTheme="minorEastAsia" w:cstheme="minorEastAsia"/>
          <w:sz w:val="22"/>
          <w:szCs w:val="22"/>
        </w:rPr>
        <w:t>10.4.1 变更估价原则</w:t>
      </w:r>
    </w:p>
    <w:p>
      <w:pPr>
        <w:pStyle w:val="2"/>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当发生工程变更时，工程量按</w:t>
      </w:r>
      <w:r>
        <w:rPr>
          <w:rFonts w:hint="eastAsia" w:asciiTheme="minorEastAsia" w:hAnsiTheme="minorEastAsia" w:eastAsiaTheme="minorEastAsia" w:cstheme="minorEastAsia"/>
          <w:sz w:val="22"/>
          <w:szCs w:val="22"/>
          <w:u w:val="single"/>
        </w:rPr>
        <w:t>《建设工程工程量清单计价规范》（GB50500-2013）、《重庆市建设工程工程量清单计价规则》（CQJJGZ-2013）、《重庆市建设工程工程量计算规则》</w:t>
      </w:r>
      <w:r>
        <w:rPr>
          <w:rFonts w:hint="eastAsia" w:asciiTheme="minorEastAsia" w:hAnsiTheme="minorEastAsia" w:eastAsiaTheme="minorEastAsia" w:cstheme="minorEastAsia"/>
          <w:sz w:val="22"/>
          <w:szCs w:val="22"/>
        </w:rPr>
        <w:t>规定的计算规则及已标价工程量清单规定的工程量计算规则计量，按以下办法计价：</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10.4.1.1已标价工程量清单中有相同项目的，按照相同项目单价计算；</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10.4.1.2已标价工程量清单中有类似项目的，参考类似项目单价计算；</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10.4.1.3已标价工程量清单中无相同项目亦无类似项目的，按照以下原则执行：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和《重庆市建设工程施工机械台班定额》（CQJXDE-2018）、《重庆市建设工程施工仪器仪表台班定额》（CQYQYBDE-2018）和《重庆市建设工程混凝土及砂浆配合比表》（CQPHBB-2018）及相关配套文件进行组价并按承包人报价浮动率下浮（认质核价的设备和材料不参与浮动），经监理人、跟审单位、发包人审定后执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承包人报价浮动率按下列公式计算：承包人报价浮动率=（1-中标价/最高限价）×100%。</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（1）人工单价：按开标当期《重庆工程造价信息》发布的项目所在地的人工单价执行。</w:t>
      </w:r>
    </w:p>
    <w:p>
      <w:pPr>
        <w:spacing w:line="440" w:lineRule="exact"/>
        <w:ind w:firstLine="440" w:firstLineChars="200"/>
        <w:jc w:val="left"/>
        <w:rPr>
          <w:rFonts w:asciiTheme="minorEastAsia" w:hAnsiTheme="minorEastAsia" w:eastAsiaTheme="minorEastAsia" w:cstheme="minorEastAsia"/>
          <w:sz w:val="22"/>
          <w:szCs w:val="22"/>
        </w:rPr>
      </w:pPr>
      <w:bookmarkStart w:id="1274" w:name="_Hlk529023896"/>
      <w:r>
        <w:rPr>
          <w:rFonts w:hint="eastAsia" w:asciiTheme="minorEastAsia" w:hAnsiTheme="minorEastAsia" w:eastAsiaTheme="minorEastAsia" w:cstheme="minorEastAsia"/>
          <w:sz w:val="22"/>
          <w:szCs w:val="22"/>
        </w:rPr>
        <w:t>（2）材料单价：</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①按</w:t>
      </w:r>
      <w:bookmarkStart w:id="1275" w:name="_Hlk529023354"/>
      <w:r>
        <w:rPr>
          <w:rFonts w:hint="eastAsia" w:asciiTheme="minorEastAsia" w:hAnsiTheme="minorEastAsia" w:eastAsiaTheme="minorEastAsia" w:cstheme="minorEastAsia"/>
          <w:sz w:val="22"/>
          <w:szCs w:val="22"/>
        </w:rPr>
        <w:t>开标当期《重庆工程造价信息》发布的项目所在地的信息价</w:t>
      </w:r>
      <w:bookmarkEnd w:id="1275"/>
      <w:r>
        <w:rPr>
          <w:rFonts w:hint="eastAsia" w:asciiTheme="minorEastAsia" w:hAnsiTheme="minorEastAsia" w:eastAsiaTheme="minorEastAsia" w:cstheme="minorEastAsia"/>
          <w:sz w:val="22"/>
          <w:szCs w:val="22"/>
        </w:rPr>
        <w:t>执行；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②开标当期《重庆工程造价信息》中没有的，承包人投标报价中有的，按承包人投标报价中相同材料单价的最低值执行；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③开标当期《重庆工程造价信息》和承包人投标报价没有的，由承包人申报、监理人会同跟审单位、发包人根据市场行情认质核价确定。</w:t>
      </w:r>
    </w:p>
    <w:bookmarkEnd w:id="1274"/>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（4）规费：按《重庆市建设工程费用定额》（CQFYDE-2018）费用标准进行计算。</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（5）税金：包含增值税、城市维护建设税、教育费附加、地方教育附加以及环境保护税。其中增值税按《重庆市建设工程费用定额》（CQFYDE-2018）规定及配套文件执行。</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项〔变更估价原则〕（3）目约定执行；或参照重庆市场相同工作的市场价格上报监理人，最终价格按承包人、监理人、跟审单位、发包人共同询价确认的价格执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本款补充10.4.3项：</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（1）安全文明施工费应按照实际发生变化的措施项目依据现行安全文明施工费计取及管理政策规定及《重庆市建设工程费用定额》（CQFYDE-2018）规定执行；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（2）按照单价计算的措施项目费，应按照实际发生变化的措施项目，按照第10.4.1项〔变更估价原则〕约定执行；</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（3）按总价（或系数）计算的措施项目费，应按照实际发生变化的措施项目费按承包人报价浮动率下浮后的金额计算；</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（4）如果承包人未事前将拟实施的方案提交给发包人确认，则应视为工程变更不引起措施项目费的调整或承包人放弃调整措施项目费的权利。</w:t>
      </w:r>
    </w:p>
    <w:bookmarkEnd w:id="1273"/>
    <w:p>
      <w:pPr>
        <w:pStyle w:val="7"/>
        <w:spacing w:before="0" w:after="0" w:line="440" w:lineRule="exact"/>
        <w:ind w:firstLine="442" w:firstLineChars="200"/>
        <w:rPr>
          <w:rFonts w:asciiTheme="minorEastAsia" w:hAnsiTheme="minorEastAsia" w:eastAsiaTheme="minorEastAsia" w:cstheme="minorEastAsia"/>
          <w:sz w:val="22"/>
          <w:szCs w:val="22"/>
        </w:rPr>
      </w:pPr>
      <w:bookmarkStart w:id="1276" w:name="_Toc532377375"/>
      <w:bookmarkStart w:id="1277" w:name="_Toc532375639"/>
      <w:r>
        <w:rPr>
          <w:rFonts w:hint="eastAsia" w:asciiTheme="minorEastAsia" w:hAnsiTheme="minorEastAsia" w:eastAsiaTheme="minorEastAsia" w:cstheme="minorEastAsia"/>
          <w:sz w:val="22"/>
          <w:szCs w:val="22"/>
        </w:rPr>
        <w:t>1</w:t>
      </w:r>
      <w:bookmarkStart w:id="1278" w:name="_Toc292559402"/>
      <w:bookmarkStart w:id="1279" w:name="_Toc303539150"/>
      <w:bookmarkStart w:id="1280" w:name="_Toc297123544"/>
      <w:bookmarkStart w:id="1281" w:name="_Toc296503197"/>
      <w:bookmarkStart w:id="1282" w:name="_Toc297048383"/>
      <w:bookmarkStart w:id="1283" w:name="_Toc297120497"/>
      <w:bookmarkStart w:id="1284" w:name="_Toc296891237"/>
      <w:bookmarkStart w:id="1285" w:name="_Toc300934993"/>
      <w:bookmarkStart w:id="1286" w:name="_Toc296346698"/>
      <w:bookmarkStart w:id="1287" w:name="_Toc296944536"/>
      <w:bookmarkStart w:id="1288" w:name="_Toc297216203"/>
      <w:bookmarkStart w:id="1289" w:name="_Toc292559907"/>
      <w:bookmarkStart w:id="1290" w:name="_Toc296347196"/>
      <w:bookmarkStart w:id="1291" w:name="_Toc296891025"/>
      <w:bookmarkStart w:id="1292" w:name="_Toc312677503"/>
      <w:bookmarkStart w:id="1293" w:name="_Toc304295570"/>
      <w:bookmarkStart w:id="1294" w:name="_Toc31267802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Pr>
          <w:rFonts w:hint="eastAsia" w:asciiTheme="minorEastAsia" w:hAnsiTheme="minorEastAsia" w:eastAsiaTheme="minorEastAsia" w:cstheme="minorEastAsia"/>
          <w:sz w:val="22"/>
          <w:szCs w:val="22"/>
        </w:rPr>
        <w:t>0.5承</w:t>
      </w:r>
      <w:bookmarkStart w:id="1295" w:name="_Toc296347202"/>
      <w:bookmarkStart w:id="1296" w:name="_Toc292559913"/>
      <w:bookmarkStart w:id="1297" w:name="_Toc297048389"/>
      <w:bookmarkStart w:id="1298" w:name="_Toc296346704"/>
      <w:bookmarkStart w:id="1299" w:name="_Toc303539151"/>
      <w:bookmarkStart w:id="1300" w:name="_Toc296891243"/>
      <w:bookmarkStart w:id="1301" w:name="_Toc300934994"/>
      <w:bookmarkStart w:id="1302" w:name="_Toc297120503"/>
      <w:bookmarkStart w:id="1303" w:name="_Toc297123545"/>
      <w:bookmarkStart w:id="1304" w:name="_Toc296503203"/>
      <w:bookmarkStart w:id="1305" w:name="_Toc297216204"/>
      <w:bookmarkStart w:id="1306" w:name="_Toc296944542"/>
      <w:bookmarkStart w:id="1307" w:name="_Toc296891031"/>
      <w:bookmarkStart w:id="1308" w:name="_Toc292559408"/>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r>
        <w:rPr>
          <w:rFonts w:hint="eastAsia" w:asciiTheme="minorEastAsia" w:hAnsiTheme="minorEastAsia" w:eastAsiaTheme="minorEastAsia" w:cstheme="minorEastAsia"/>
          <w:sz w:val="22"/>
          <w:szCs w:val="22"/>
        </w:rPr>
        <w:t>包人的合理化建议</w:t>
      </w:r>
      <w:bookmarkEnd w:id="1276"/>
      <w:bookmarkEnd w:id="1277"/>
    </w:p>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承包人提出合理化建议的，应向监理人提交合理化建议说明，说明建议的内容和理由，以及实施该建议对合同价格和（或）工期和（或）工程经济效益的影响。</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监理人审查承包人合理化建议的期限：</w:t>
      </w:r>
      <w:r>
        <w:rPr>
          <w:rFonts w:hint="eastAsia" w:asciiTheme="minorEastAsia" w:hAnsiTheme="minorEastAsia" w:eastAsiaTheme="minorEastAsia" w:cstheme="minorEastAsia"/>
          <w:sz w:val="22"/>
          <w:szCs w:val="22"/>
          <w:u w:val="single"/>
        </w:rPr>
        <w:t>不超过14天</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发包人审批承包人合理化建议的期限：</w:t>
      </w:r>
      <w:r>
        <w:rPr>
          <w:rFonts w:hint="eastAsia" w:asciiTheme="minorEastAsia" w:hAnsiTheme="minorEastAsia" w:eastAsiaTheme="minorEastAsia" w:cstheme="minorEastAsia"/>
          <w:sz w:val="22"/>
          <w:szCs w:val="22"/>
          <w:u w:val="single"/>
        </w:rPr>
        <w:t>不超过14天</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承</w:t>
      </w:r>
      <w:bookmarkStart w:id="1309" w:name="_Toc292559914"/>
      <w:bookmarkStart w:id="1310" w:name="_Toc318581175"/>
      <w:bookmarkStart w:id="1311" w:name="_Toc297048390"/>
      <w:bookmarkStart w:id="1312" w:name="_Toc312678030"/>
      <w:bookmarkStart w:id="1313" w:name="_Toc300934995"/>
      <w:bookmarkStart w:id="1314" w:name="_Toc296891032"/>
      <w:bookmarkStart w:id="1315" w:name="_Toc296891244"/>
      <w:bookmarkStart w:id="1316" w:name="_Toc296346705"/>
      <w:bookmarkStart w:id="1317" w:name="_Toc304295571"/>
      <w:bookmarkStart w:id="1318" w:name="_Toc297120504"/>
      <w:bookmarkStart w:id="1319" w:name="_Toc312677504"/>
      <w:bookmarkStart w:id="1320" w:name="_Toc297216205"/>
      <w:bookmarkStart w:id="1321" w:name="_Toc296944543"/>
      <w:bookmarkStart w:id="1322" w:name="_Toc303539152"/>
      <w:bookmarkStart w:id="1323" w:name="_Toc296503204"/>
      <w:bookmarkStart w:id="1324" w:name="_Toc296347203"/>
      <w:bookmarkStart w:id="1325" w:name="_Toc297123546"/>
      <w:bookmarkStart w:id="1326" w:name="_Toc292559409"/>
      <w:r>
        <w:rPr>
          <w:rFonts w:hint="eastAsia" w:asciiTheme="minorEastAsia" w:hAnsiTheme="minorEastAsia" w:eastAsiaTheme="minorEastAsia" w:cstheme="minorEastAsia"/>
          <w:sz w:val="22"/>
          <w:szCs w:val="22"/>
        </w:rPr>
        <w:t>包人提出的合理化建议降低了合同价格或缩短了工期或者提高了工程经济效益的奖励的方法和金额为：</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w:t>
      </w:r>
    </w:p>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Pr>
        <w:pStyle w:val="7"/>
        <w:spacing w:before="0" w:after="0" w:line="440" w:lineRule="exact"/>
        <w:ind w:firstLine="442" w:firstLineChars="200"/>
        <w:rPr>
          <w:rFonts w:asciiTheme="minorEastAsia" w:hAnsiTheme="minorEastAsia" w:eastAsiaTheme="minorEastAsia" w:cstheme="minorEastAsia"/>
          <w:sz w:val="22"/>
          <w:szCs w:val="22"/>
        </w:rPr>
      </w:pPr>
      <w:bookmarkStart w:id="1327" w:name="_Toc532377376"/>
      <w:bookmarkStart w:id="1328" w:name="_Toc532375640"/>
      <w:r>
        <w:rPr>
          <w:rFonts w:hint="eastAsia" w:asciiTheme="minorEastAsia" w:hAnsiTheme="minorEastAsia" w:eastAsiaTheme="minorEastAsia" w:cstheme="minorEastAsia"/>
          <w:sz w:val="22"/>
          <w:szCs w:val="22"/>
        </w:rPr>
        <w:t>1</w:t>
      </w:r>
      <w:bookmarkStart w:id="1329" w:name="_Toc312677507"/>
      <w:bookmarkStart w:id="1330" w:name="_Toc296891239"/>
      <w:bookmarkStart w:id="1331" w:name="_Toc296346700"/>
      <w:bookmarkStart w:id="1332" w:name="_Toc296347198"/>
      <w:bookmarkStart w:id="1333" w:name="_Toc297120499"/>
      <w:bookmarkStart w:id="1334" w:name="_Toc297216207"/>
      <w:bookmarkStart w:id="1335" w:name="_Toc296503199"/>
      <w:bookmarkStart w:id="1336" w:name="_Toc300934997"/>
      <w:bookmarkStart w:id="1337" w:name="_Toc292559404"/>
      <w:bookmarkStart w:id="1338" w:name="_Toc312678033"/>
      <w:bookmarkStart w:id="1339" w:name="_Toc296891027"/>
      <w:bookmarkStart w:id="1340" w:name="_Toc297048385"/>
      <w:bookmarkStart w:id="1341" w:name="_Toc297123548"/>
      <w:bookmarkStart w:id="1342" w:name="_Toc304295574"/>
      <w:bookmarkStart w:id="1343" w:name="_Toc296944538"/>
      <w:bookmarkStart w:id="1344" w:name="_Toc303539154"/>
      <w:bookmarkStart w:id="1345" w:name="_Toc292559909"/>
      <w:r>
        <w:rPr>
          <w:rFonts w:hint="eastAsia" w:asciiTheme="minorEastAsia" w:hAnsiTheme="minorEastAsia" w:eastAsiaTheme="minorEastAsia" w:cstheme="minorEastAsia"/>
          <w:sz w:val="22"/>
          <w:szCs w:val="22"/>
        </w:rPr>
        <w:t>0.7 暂估价</w:t>
      </w:r>
      <w:bookmarkEnd w:id="1327"/>
      <w:bookmarkEnd w:id="1328"/>
    </w:p>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专业工程暂估价：</w:t>
      </w:r>
      <w:r>
        <w:rPr>
          <w:rFonts w:hint="eastAsia" w:asciiTheme="minorEastAsia" w:hAnsiTheme="minorEastAsia" w:eastAsiaTheme="minorEastAsia" w:cstheme="minorEastAsia"/>
          <w:sz w:val="22"/>
          <w:szCs w:val="22"/>
          <w:u w:val="single"/>
        </w:rPr>
        <w:t>20</w:t>
      </w:r>
      <w:r>
        <w:rPr>
          <w:rFonts w:hint="eastAsia" w:asciiTheme="minorEastAsia" w:hAnsiTheme="minorEastAsia" w:eastAsiaTheme="minorEastAsia" w:cstheme="minorEastAsia"/>
          <w:sz w:val="22"/>
          <w:szCs w:val="22"/>
        </w:rPr>
        <w:t>万元。</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单项合同暂估价在国家相关法律法规规定必须招标规模以上的，需依法必须招标的，由承包人、发包人共同招标确定。</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346" w:name="_Toc532377377"/>
      <w:bookmarkStart w:id="1347" w:name="_Toc532375641"/>
      <w:r>
        <w:rPr>
          <w:rFonts w:hint="eastAsia" w:asciiTheme="minorEastAsia" w:hAnsiTheme="minorEastAsia" w:eastAsiaTheme="minorEastAsia" w:cstheme="minorEastAsia"/>
          <w:sz w:val="22"/>
          <w:szCs w:val="22"/>
        </w:rPr>
        <w:t>10.8 暂列金额</w:t>
      </w:r>
      <w:bookmarkEnd w:id="1346"/>
      <w:bookmarkEnd w:id="1347"/>
    </w:p>
    <w:p>
      <w:pPr>
        <w:autoSpaceDE w:val="0"/>
        <w:autoSpaceDN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合同当事人关于暂列金额使用的约定：</w:t>
      </w:r>
      <w:r>
        <w:rPr>
          <w:rFonts w:hint="eastAsia" w:asciiTheme="minorEastAsia" w:hAnsiTheme="minorEastAsia" w:eastAsiaTheme="minorEastAsia" w:cstheme="minorEastAsia"/>
          <w:sz w:val="22"/>
          <w:szCs w:val="22"/>
          <w:u w:val="single"/>
        </w:rPr>
        <w:t>暂列金额应由监理人报发包人批准指令后全部或部分使用，或者根本不予使用，并对合同价格进行相应调整</w:t>
      </w:r>
      <w:r>
        <w:rPr>
          <w:rFonts w:hint="eastAsia" w:asciiTheme="minorEastAsia" w:hAnsiTheme="minorEastAsia" w:eastAsiaTheme="minorEastAsia" w:cstheme="minorEastAsia"/>
          <w:sz w:val="22"/>
          <w:szCs w:val="22"/>
        </w:rPr>
        <w:t>。</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348" w:name="_Toc351203643"/>
      <w:bookmarkStart w:id="1349" w:name="_Toc532375642"/>
      <w:bookmarkStart w:id="1350" w:name="_Toc532377378"/>
      <w:r>
        <w:rPr>
          <w:rFonts w:hint="eastAsia" w:asciiTheme="minorEastAsia" w:hAnsiTheme="minorEastAsia" w:eastAsiaTheme="minorEastAsia" w:cstheme="minorEastAsia"/>
          <w:b/>
          <w:bCs/>
          <w:sz w:val="22"/>
          <w:szCs w:val="22"/>
        </w:rPr>
        <w:t>11. 价格调整</w:t>
      </w:r>
      <w:bookmarkEnd w:id="1348"/>
      <w:bookmarkEnd w:id="1349"/>
      <w:bookmarkEnd w:id="1350"/>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351" w:name="_Toc532377379"/>
      <w:bookmarkStart w:id="1352" w:name="_Toc532375643"/>
      <w:bookmarkStart w:id="1353" w:name="_Toc296346702"/>
      <w:bookmarkStart w:id="1354" w:name="_Toc296503201"/>
      <w:bookmarkStart w:id="1355" w:name="_Toc303539157"/>
      <w:bookmarkStart w:id="1356" w:name="_Toc297048387"/>
      <w:bookmarkStart w:id="1357" w:name="_Toc304295577"/>
      <w:bookmarkStart w:id="1358" w:name="_Toc296944540"/>
      <w:bookmarkStart w:id="1359" w:name="_Toc297123550"/>
      <w:bookmarkStart w:id="1360" w:name="_Toc297216209"/>
      <w:bookmarkStart w:id="1361" w:name="_Toc292559911"/>
      <w:bookmarkStart w:id="1362" w:name="_Toc297120501"/>
      <w:bookmarkStart w:id="1363" w:name="_Toc296891241"/>
      <w:bookmarkStart w:id="1364" w:name="_Toc292559406"/>
      <w:bookmarkStart w:id="1365" w:name="_Toc300935000"/>
      <w:bookmarkStart w:id="1366" w:name="_Toc296891029"/>
      <w:bookmarkStart w:id="1367" w:name="_Toc312678039"/>
      <w:bookmarkStart w:id="1368" w:name="_Toc296347200"/>
      <w:r>
        <w:rPr>
          <w:rFonts w:hint="eastAsia" w:asciiTheme="minorEastAsia" w:hAnsiTheme="minorEastAsia" w:eastAsiaTheme="minorEastAsia" w:cstheme="minorEastAsia"/>
          <w:sz w:val="22"/>
          <w:szCs w:val="22"/>
        </w:rPr>
        <w:t>11.1 市场价格波动引起的调整</w:t>
      </w:r>
      <w:bookmarkEnd w:id="1351"/>
      <w:bookmarkEnd w:id="1352"/>
    </w:p>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Pr>
        <w:spacing w:line="440" w:lineRule="exact"/>
        <w:ind w:firstLine="440" w:firstLineChars="200"/>
        <w:jc w:val="left"/>
        <w:rPr>
          <w:rFonts w:asciiTheme="minorEastAsia" w:hAnsiTheme="minorEastAsia" w:eastAsiaTheme="minorEastAsia" w:cstheme="minorEastAsia"/>
          <w:sz w:val="22"/>
          <w:szCs w:val="22"/>
        </w:rPr>
      </w:pPr>
      <w:bookmarkStart w:id="1369" w:name="_Toc466911545"/>
      <w:bookmarkStart w:id="1370" w:name="_Toc466913963"/>
      <w:bookmarkStart w:id="1371" w:name="_Toc467689641"/>
      <w:bookmarkStart w:id="1372" w:name="_Toc466913513"/>
      <w:r>
        <w:rPr>
          <w:rFonts w:hint="eastAsia" w:asciiTheme="minorEastAsia" w:hAnsiTheme="minorEastAsia" w:eastAsiaTheme="minorEastAsia" w:cstheme="minorEastAsia"/>
          <w:sz w:val="22"/>
          <w:szCs w:val="22"/>
        </w:rPr>
        <w:t>市场价格波动是否调整合同价格的约定：</w:t>
      </w:r>
      <w:r>
        <w:rPr>
          <w:rFonts w:hint="eastAsia" w:asciiTheme="minorEastAsia" w:hAnsiTheme="minorEastAsia" w:eastAsiaTheme="minorEastAsia" w:cstheme="minorEastAsia"/>
          <w:sz w:val="22"/>
          <w:szCs w:val="22"/>
          <w:u w:val="single"/>
        </w:rPr>
        <w:t>合同工期一年以下的合同价格不因市场价格波动而调整</w:t>
      </w:r>
      <w:r>
        <w:rPr>
          <w:rFonts w:hint="eastAsia" w:asciiTheme="minorEastAsia" w:hAnsiTheme="minorEastAsia" w:eastAsiaTheme="minorEastAsia" w:cstheme="minorEastAsia"/>
          <w:sz w:val="22"/>
          <w:szCs w:val="22"/>
        </w:rPr>
        <w:t>。</w:t>
      </w:r>
    </w:p>
    <w:bookmarkEnd w:id="1232"/>
    <w:bookmarkEnd w:id="1233"/>
    <w:bookmarkEnd w:id="1234"/>
    <w:bookmarkEnd w:id="1235"/>
    <w:bookmarkEnd w:id="1236"/>
    <w:bookmarkEnd w:id="1237"/>
    <w:bookmarkEnd w:id="1369"/>
    <w:bookmarkEnd w:id="1370"/>
    <w:bookmarkEnd w:id="1371"/>
    <w:bookmarkEnd w:id="1372"/>
    <w:p>
      <w:pPr>
        <w:pStyle w:val="7"/>
        <w:spacing w:before="0" w:after="0" w:line="440" w:lineRule="exact"/>
        <w:ind w:firstLine="442" w:firstLineChars="200"/>
        <w:rPr>
          <w:rFonts w:asciiTheme="minorEastAsia" w:hAnsiTheme="minorEastAsia" w:eastAsiaTheme="minorEastAsia" w:cstheme="minorEastAsia"/>
          <w:sz w:val="22"/>
          <w:szCs w:val="22"/>
        </w:rPr>
      </w:pPr>
      <w:bookmarkStart w:id="1373" w:name="_Toc532377380"/>
      <w:bookmarkStart w:id="1374" w:name="_Toc532375644"/>
      <w:bookmarkStart w:id="1375" w:name="_Hlk528928232"/>
      <w:bookmarkStart w:id="1376" w:name="_Toc296503205"/>
      <w:bookmarkStart w:id="1377" w:name="_Toc296346706"/>
      <w:bookmarkStart w:id="1378" w:name="_Toc296891033"/>
      <w:bookmarkStart w:id="1379" w:name="_Toc292559915"/>
      <w:bookmarkStart w:id="1380" w:name="_Toc297120505"/>
      <w:bookmarkStart w:id="1381" w:name="_Toc296944544"/>
      <w:bookmarkStart w:id="1382" w:name="_Toc297048391"/>
      <w:bookmarkStart w:id="1383" w:name="_Toc296891245"/>
      <w:bookmarkStart w:id="1384" w:name="_Toc292559410"/>
      <w:bookmarkStart w:id="1385" w:name="_Toc296347204"/>
      <w:bookmarkStart w:id="1386" w:name="_Toc351203644"/>
      <w:bookmarkStart w:id="1387" w:name="_Toc303539159"/>
      <w:bookmarkStart w:id="1388" w:name="_Toc304295579"/>
      <w:bookmarkStart w:id="1389" w:name="_Toc297216211"/>
      <w:bookmarkStart w:id="1390" w:name="_Toc297123552"/>
      <w:bookmarkStart w:id="1391" w:name="_Toc312678040"/>
      <w:bookmarkStart w:id="1392" w:name="_Toc300935002"/>
      <w:r>
        <w:rPr>
          <w:rFonts w:hint="eastAsia" w:asciiTheme="minorEastAsia" w:hAnsiTheme="minorEastAsia" w:eastAsiaTheme="minorEastAsia" w:cstheme="minorEastAsia"/>
          <w:sz w:val="22"/>
          <w:szCs w:val="22"/>
        </w:rPr>
        <w:t>11.2 法律变化引起的调整</w:t>
      </w:r>
      <w:bookmarkEnd w:id="1373"/>
      <w:bookmarkEnd w:id="1374"/>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本条补充11.3款</w:t>
      </w:r>
    </w:p>
    <w:bookmarkEnd w:id="1375"/>
    <w:p>
      <w:pPr>
        <w:pStyle w:val="7"/>
        <w:spacing w:before="0" w:after="0" w:line="440" w:lineRule="exact"/>
        <w:ind w:firstLine="442" w:firstLineChars="200"/>
        <w:rPr>
          <w:rFonts w:asciiTheme="minorEastAsia" w:hAnsiTheme="minorEastAsia" w:eastAsiaTheme="minorEastAsia" w:cstheme="minorEastAsia"/>
          <w:sz w:val="22"/>
          <w:szCs w:val="22"/>
        </w:rPr>
      </w:pPr>
      <w:bookmarkStart w:id="1393" w:name="_Toc532375645"/>
      <w:bookmarkStart w:id="1394" w:name="_Toc532377381"/>
      <w:r>
        <w:rPr>
          <w:rFonts w:hint="eastAsia" w:asciiTheme="minorEastAsia" w:hAnsiTheme="minorEastAsia" w:eastAsiaTheme="minorEastAsia" w:cstheme="minorEastAsia"/>
          <w:sz w:val="22"/>
          <w:szCs w:val="22"/>
        </w:rPr>
        <w:t>11.3 严重不平衡报价引起的调整</w:t>
      </w:r>
      <w:bookmarkEnd w:id="1393"/>
      <w:bookmarkEnd w:id="1394"/>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Theme="minorEastAsia" w:hAnsiTheme="minorEastAsia" w:eastAsiaTheme="minorEastAsia" w:cstheme="minorEastAsia"/>
          <w:sz w:val="22"/>
          <w:szCs w:val="22"/>
        </w:rPr>
        <w:t>。</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395" w:name="_Toc532375646"/>
      <w:bookmarkStart w:id="1396" w:name="_Toc532377382"/>
      <w:r>
        <w:rPr>
          <w:rFonts w:hint="eastAsia" w:asciiTheme="minorEastAsia" w:hAnsiTheme="minorEastAsia" w:eastAsiaTheme="minorEastAsia" w:cstheme="minorEastAsia"/>
          <w:b/>
          <w:bCs/>
          <w:sz w:val="22"/>
          <w:szCs w:val="22"/>
        </w:rPr>
        <w:t xml:space="preserve">12. </w:t>
      </w:r>
      <w:bookmarkEnd w:id="1376"/>
      <w:bookmarkEnd w:id="1377"/>
      <w:bookmarkEnd w:id="1378"/>
      <w:bookmarkEnd w:id="1379"/>
      <w:bookmarkEnd w:id="1380"/>
      <w:bookmarkEnd w:id="1381"/>
      <w:bookmarkEnd w:id="1382"/>
      <w:bookmarkEnd w:id="1383"/>
      <w:bookmarkEnd w:id="1384"/>
      <w:bookmarkEnd w:id="1385"/>
      <w:r>
        <w:rPr>
          <w:rFonts w:hint="eastAsia" w:asciiTheme="minorEastAsia" w:hAnsiTheme="minorEastAsia" w:eastAsiaTheme="minorEastAsia" w:cstheme="minorEastAsia"/>
          <w:b/>
          <w:bCs/>
          <w:sz w:val="22"/>
          <w:szCs w:val="22"/>
        </w:rPr>
        <w:t>合同价格、计量与支付</w:t>
      </w:r>
      <w:bookmarkEnd w:id="1386"/>
      <w:bookmarkEnd w:id="1395"/>
      <w:bookmarkEnd w:id="1396"/>
    </w:p>
    <w:bookmarkEnd w:id="1387"/>
    <w:bookmarkEnd w:id="1388"/>
    <w:bookmarkEnd w:id="1389"/>
    <w:bookmarkEnd w:id="1390"/>
    <w:bookmarkEnd w:id="1391"/>
    <w:bookmarkEnd w:id="1392"/>
    <w:p>
      <w:pPr>
        <w:pStyle w:val="7"/>
        <w:spacing w:before="0" w:after="0" w:line="440" w:lineRule="exact"/>
        <w:ind w:firstLine="442" w:firstLineChars="200"/>
        <w:rPr>
          <w:rFonts w:asciiTheme="minorEastAsia" w:hAnsiTheme="minorEastAsia" w:eastAsiaTheme="minorEastAsia" w:cstheme="minorEastAsia"/>
          <w:sz w:val="22"/>
          <w:szCs w:val="22"/>
        </w:rPr>
      </w:pPr>
      <w:bookmarkStart w:id="1397" w:name="_Toc267251461"/>
      <w:bookmarkStart w:id="1398" w:name="_Toc292559411"/>
      <w:bookmarkStart w:id="1399" w:name="_Toc292559916"/>
      <w:bookmarkStart w:id="1400" w:name="_Toc296944545"/>
      <w:bookmarkStart w:id="1401" w:name="_Toc297048392"/>
      <w:bookmarkStart w:id="1402" w:name="_Toc296891034"/>
      <w:bookmarkStart w:id="1403" w:name="_Toc296503206"/>
      <w:bookmarkStart w:id="1404" w:name="_Toc296347205"/>
      <w:bookmarkStart w:id="1405" w:name="_Toc296891246"/>
      <w:bookmarkStart w:id="1406" w:name="_Toc297120506"/>
      <w:bookmarkStart w:id="1407" w:name="_Toc296346707"/>
      <w:bookmarkStart w:id="1408" w:name="_Toc532377383"/>
      <w:bookmarkStart w:id="1409" w:name="_Toc532375647"/>
      <w:bookmarkStart w:id="1410" w:name="_Toc304295580"/>
      <w:bookmarkStart w:id="1411" w:name="_Toc297123553"/>
      <w:bookmarkStart w:id="1412" w:name="_Toc312678041"/>
      <w:bookmarkStart w:id="1413" w:name="_Toc300935003"/>
      <w:bookmarkStart w:id="1414" w:name="_Toc297216212"/>
      <w:bookmarkStart w:id="1415" w:name="_Toc303539160"/>
      <w:r>
        <w:rPr>
          <w:rFonts w:hint="eastAsia" w:asciiTheme="minorEastAsia" w:hAnsiTheme="minorEastAsia" w:eastAsiaTheme="minorEastAsia" w:cstheme="minorEastAsia"/>
          <w:sz w:val="22"/>
          <w:szCs w:val="22"/>
        </w:rPr>
        <w:t>12.1 合</w:t>
      </w:r>
      <w:bookmarkEnd w:id="1397"/>
      <w:bookmarkEnd w:id="1398"/>
      <w:bookmarkEnd w:id="1399"/>
      <w:r>
        <w:rPr>
          <w:rFonts w:hint="eastAsia" w:asciiTheme="minorEastAsia" w:hAnsiTheme="minorEastAsia" w:eastAsiaTheme="minorEastAsia" w:cstheme="minorEastAsia"/>
          <w:sz w:val="22"/>
          <w:szCs w:val="22"/>
        </w:rPr>
        <w:t>同价</w:t>
      </w:r>
      <w:bookmarkEnd w:id="1400"/>
      <w:bookmarkEnd w:id="1401"/>
      <w:bookmarkEnd w:id="1402"/>
      <w:bookmarkEnd w:id="1403"/>
      <w:bookmarkEnd w:id="1404"/>
      <w:bookmarkEnd w:id="1405"/>
      <w:bookmarkEnd w:id="1406"/>
      <w:bookmarkEnd w:id="1407"/>
      <w:r>
        <w:rPr>
          <w:rFonts w:hint="eastAsia" w:asciiTheme="minorEastAsia" w:hAnsiTheme="minorEastAsia" w:eastAsiaTheme="minorEastAsia" w:cstheme="minorEastAsia"/>
          <w:sz w:val="22"/>
          <w:szCs w:val="22"/>
        </w:rPr>
        <w:t>格形式</w:t>
      </w:r>
      <w:bookmarkEnd w:id="1408"/>
      <w:bookmarkEnd w:id="1409"/>
    </w:p>
    <w:bookmarkEnd w:id="1410"/>
    <w:bookmarkEnd w:id="1411"/>
    <w:bookmarkEnd w:id="1412"/>
    <w:bookmarkEnd w:id="1413"/>
    <w:bookmarkEnd w:id="1414"/>
    <w:bookmarkEnd w:id="1415"/>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1、单价合同。</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综合单价包含的风险范围：</w:t>
      </w:r>
      <w:r>
        <w:rPr>
          <w:rFonts w:hint="eastAsia" w:asciiTheme="minorEastAsia" w:hAnsiTheme="minorEastAsia" w:eastAsiaTheme="minorEastAsia" w:cstheme="minorEastAsia"/>
          <w:sz w:val="22"/>
          <w:szCs w:val="22"/>
          <w:u w:val="single"/>
        </w:rPr>
        <w:t>包括但不限于为实施和完成合同工程所需的人工费、材料费、施工机具使用费、企业管理费、利润、风险费、施工技术措施项目费、施工组织措施项目费、总承包服务费、规费和税金及缺陷修复等费用，以及</w:t>
      </w:r>
      <w:bookmarkStart w:id="1416" w:name="_Hlk528508096"/>
      <w:r>
        <w:rPr>
          <w:rFonts w:hint="eastAsia" w:asciiTheme="minorEastAsia" w:hAnsiTheme="minorEastAsia" w:eastAsiaTheme="minorEastAsia" w:cstheme="minorEastAsia"/>
          <w:sz w:val="22"/>
          <w:szCs w:val="22"/>
          <w:u w:val="single"/>
        </w:rPr>
        <w:t>第11.1款〔市场价格波动引起的调整〕约定范围内的市场价格波动风险、政策性文件规定的各项应有费用、</w:t>
      </w:r>
      <w:bookmarkEnd w:id="1416"/>
      <w:r>
        <w:rPr>
          <w:rFonts w:hint="eastAsia" w:asciiTheme="minorEastAsia" w:hAnsiTheme="minorEastAsia" w:eastAsiaTheme="minorEastAsia" w:cstheme="minorEastAsia"/>
          <w:sz w:val="22"/>
          <w:szCs w:val="22"/>
          <w:u w:val="single"/>
        </w:rPr>
        <w:t>招标文件和合同明示或暗示的应由承包人承担的所有责任、义务和风险等所需的费用</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风险费用的计算方法：</w:t>
      </w:r>
      <w:r>
        <w:rPr>
          <w:rFonts w:hint="eastAsia" w:asciiTheme="minorEastAsia" w:hAnsiTheme="minorEastAsia" w:eastAsiaTheme="minorEastAsia" w:cstheme="minorEastAsia"/>
          <w:sz w:val="22"/>
          <w:szCs w:val="22"/>
          <w:u w:val="single"/>
        </w:rPr>
        <w:t>由承包人自行考虑并计入签约合同价格中，包干使用</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风险范围以外合同价格的调整方法：</w:t>
      </w:r>
      <w:r>
        <w:rPr>
          <w:rFonts w:hint="eastAsia" w:asciiTheme="minorEastAsia" w:hAnsiTheme="minorEastAsia" w:eastAsiaTheme="minorEastAsia" w:cstheme="minorEastAsia"/>
          <w:sz w:val="22"/>
          <w:szCs w:val="22"/>
          <w:u w:val="single"/>
        </w:rPr>
        <w:t>按照合同相关条款约定执行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2、总价合同。</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总价包含的风险范围：</w:t>
      </w:r>
      <w:r>
        <w:rPr>
          <w:rFonts w:hint="eastAsia" w:asciiTheme="minorEastAsia" w:hAnsiTheme="minorEastAsia" w:eastAsiaTheme="minorEastAsia" w:cstheme="minorEastAsia"/>
          <w:sz w:val="22"/>
          <w:szCs w:val="22"/>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风险费用的计算方法：</w:t>
      </w:r>
      <w:r>
        <w:rPr>
          <w:rFonts w:hint="eastAsia" w:asciiTheme="minorEastAsia" w:hAnsiTheme="minorEastAsia" w:eastAsiaTheme="minorEastAsia" w:cstheme="minorEastAsia"/>
          <w:sz w:val="22"/>
          <w:szCs w:val="22"/>
          <w:u w:val="single"/>
        </w:rPr>
        <w:t>由承包人自行考虑并计入签约合同价格中，包干使用</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风险范围以外合同价格的调整方法：</w:t>
      </w:r>
      <w:r>
        <w:rPr>
          <w:rFonts w:hint="eastAsia" w:asciiTheme="minorEastAsia" w:hAnsiTheme="minorEastAsia" w:eastAsiaTheme="minorEastAsia" w:cstheme="minorEastAsia"/>
          <w:sz w:val="22"/>
          <w:szCs w:val="22"/>
          <w:u w:val="single"/>
        </w:rPr>
        <w:t>按照合同相关条款约定执行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3、其他价格方式：</w:t>
      </w:r>
      <w:r>
        <w:rPr>
          <w:rFonts w:hint="eastAsia" w:asciiTheme="minorEastAsia" w:hAnsiTheme="minorEastAsia" w:eastAsiaTheme="minorEastAsia" w:cstheme="minorEastAsia"/>
          <w:sz w:val="22"/>
          <w:szCs w:val="22"/>
          <w:u w:val="single"/>
        </w:rPr>
        <w:t>不采用</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417" w:name="_Toc532377384"/>
      <w:bookmarkStart w:id="1418" w:name="_Toc532375648"/>
      <w:bookmarkStart w:id="1419" w:name="_Toc312678042"/>
      <w:bookmarkStart w:id="1420" w:name="_Toc297216213"/>
      <w:bookmarkStart w:id="1421" w:name="_Toc297123554"/>
      <w:bookmarkStart w:id="1422" w:name="_Toc304295581"/>
      <w:bookmarkStart w:id="1423" w:name="_Toc300935004"/>
      <w:bookmarkStart w:id="1424" w:name="_Toc303539161"/>
      <w:bookmarkStart w:id="1425" w:name="_Toc296347206"/>
      <w:bookmarkStart w:id="1426" w:name="_Toc297120507"/>
      <w:bookmarkStart w:id="1427" w:name="_Toc296891035"/>
      <w:bookmarkStart w:id="1428" w:name="_Toc296891247"/>
      <w:bookmarkStart w:id="1429" w:name="_Toc297048393"/>
      <w:bookmarkStart w:id="1430" w:name="_Toc292559917"/>
      <w:bookmarkStart w:id="1431" w:name="_Toc296944546"/>
      <w:bookmarkStart w:id="1432" w:name="_Toc296503207"/>
      <w:bookmarkStart w:id="1433" w:name="_Toc292559412"/>
      <w:bookmarkStart w:id="1434" w:name="_Toc296346708"/>
      <w:r>
        <w:rPr>
          <w:rFonts w:hint="eastAsia" w:asciiTheme="minorEastAsia" w:hAnsiTheme="minorEastAsia" w:eastAsiaTheme="minorEastAsia" w:cstheme="minorEastAsia"/>
          <w:sz w:val="22"/>
          <w:szCs w:val="22"/>
        </w:rPr>
        <w:t>12.2 预付款</w:t>
      </w:r>
      <w:bookmarkEnd w:id="1417"/>
      <w:bookmarkEnd w:id="1418"/>
    </w:p>
    <w:bookmarkEnd w:id="1419"/>
    <w:bookmarkEnd w:id="1420"/>
    <w:bookmarkEnd w:id="1421"/>
    <w:bookmarkEnd w:id="1422"/>
    <w:bookmarkEnd w:id="1423"/>
    <w:bookmarkEnd w:id="1424"/>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12.2.1 预付款的支付</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预付款支付比例或金额：</w:t>
      </w:r>
      <w:r>
        <w:rPr>
          <w:rFonts w:hint="eastAsia" w:asciiTheme="minorEastAsia" w:hAnsiTheme="minorEastAsia" w:eastAsiaTheme="minorEastAsia" w:cstheme="minorEastAsia"/>
          <w:sz w:val="22"/>
          <w:szCs w:val="22"/>
          <w:u w:val="single"/>
        </w:rPr>
        <w:t>无</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预付款支付期限：</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预付款扣回的方式：</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12.2.2 预付款担保</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承包人提交预付款担保的期限：</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预付款担保的形式为：</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预付款担保的金额：</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预付款担保的时间：</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预付款担保的期限：</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预付款担保的退还时间：</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bookmarkEnd w:id="1425"/>
    <w:bookmarkEnd w:id="1426"/>
    <w:bookmarkEnd w:id="1427"/>
    <w:bookmarkEnd w:id="1428"/>
    <w:bookmarkEnd w:id="1429"/>
    <w:bookmarkEnd w:id="1430"/>
    <w:bookmarkEnd w:id="1431"/>
    <w:bookmarkEnd w:id="1432"/>
    <w:bookmarkEnd w:id="1433"/>
    <w:bookmarkEnd w:id="1434"/>
    <w:p>
      <w:pPr>
        <w:pStyle w:val="7"/>
        <w:spacing w:before="0" w:after="0" w:line="440" w:lineRule="exact"/>
        <w:ind w:firstLine="442" w:firstLineChars="200"/>
        <w:rPr>
          <w:rFonts w:asciiTheme="minorEastAsia" w:hAnsiTheme="minorEastAsia" w:eastAsiaTheme="minorEastAsia" w:cstheme="minorEastAsia"/>
          <w:sz w:val="22"/>
          <w:szCs w:val="22"/>
        </w:rPr>
      </w:pPr>
      <w:bookmarkStart w:id="1435" w:name="_Toc532375649"/>
      <w:bookmarkStart w:id="1436" w:name="_Toc532377385"/>
      <w:r>
        <w:rPr>
          <w:rFonts w:hint="eastAsia" w:asciiTheme="minorEastAsia" w:hAnsiTheme="minorEastAsia" w:eastAsiaTheme="minorEastAsia" w:cstheme="minorEastAsia"/>
          <w:sz w:val="22"/>
          <w:szCs w:val="22"/>
        </w:rPr>
        <w:t>12.3 计量</w:t>
      </w:r>
      <w:bookmarkEnd w:id="1435"/>
      <w:bookmarkEnd w:id="1436"/>
    </w:p>
    <w:p>
      <w:pPr>
        <w:spacing w:line="440" w:lineRule="exact"/>
        <w:ind w:firstLine="440" w:firstLineChars="200"/>
        <w:jc w:val="left"/>
        <w:rPr>
          <w:rFonts w:asciiTheme="minorEastAsia" w:hAnsiTheme="minorEastAsia" w:eastAsiaTheme="minorEastAsia" w:cstheme="minorEastAsia"/>
          <w:sz w:val="22"/>
          <w:szCs w:val="22"/>
        </w:rPr>
      </w:pPr>
      <w:bookmarkStart w:id="1437" w:name="_Hlk528928260"/>
      <w:r>
        <w:rPr>
          <w:rFonts w:hint="eastAsia" w:asciiTheme="minorEastAsia" w:hAnsiTheme="minorEastAsia" w:eastAsiaTheme="minorEastAsia" w:cstheme="minorEastAsia"/>
          <w:sz w:val="22"/>
          <w:szCs w:val="22"/>
        </w:rPr>
        <w:t>12.3.1 计量原则</w:t>
      </w:r>
    </w:p>
    <w:p>
      <w:pPr>
        <w:tabs>
          <w:tab w:val="left" w:pos="1134"/>
        </w:tabs>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437"/>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12.3.2 计量周期</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关于计量周期的约定：</w:t>
      </w:r>
      <w:r>
        <w:rPr>
          <w:rFonts w:hint="eastAsia" w:asciiTheme="minorEastAsia" w:hAnsiTheme="minorEastAsia" w:eastAsiaTheme="minorEastAsia" w:cstheme="minorEastAsia"/>
          <w:sz w:val="22"/>
          <w:szCs w:val="22"/>
          <w:u w:val="single"/>
        </w:rPr>
        <w:t>按月计量根据具体项目实际情况可以按月、按进度、按节点等形式计量，按进度、按节点计量的参考按月计量原则执行）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12.3.3 单价合同的计量</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关于单价合同计量的约定：</w:t>
      </w:r>
    </w:p>
    <w:p>
      <w:pPr>
        <w:spacing w:line="440" w:lineRule="exact"/>
        <w:ind w:firstLine="440" w:firstLineChars="200"/>
        <w:jc w:val="left"/>
        <w:rPr>
          <w:rFonts w:asciiTheme="minorEastAsia" w:hAnsiTheme="minorEastAsia" w:eastAsiaTheme="minorEastAsia" w:cstheme="minorEastAsia"/>
          <w:sz w:val="22"/>
          <w:szCs w:val="22"/>
          <w:u w:val="single"/>
        </w:rPr>
      </w:pPr>
      <w:bookmarkStart w:id="1438" w:name="_Hlk528926162"/>
      <w:r>
        <w:rPr>
          <w:rFonts w:hint="eastAsia" w:asciiTheme="minorEastAsia" w:hAnsiTheme="minorEastAsia" w:eastAsiaTheme="minorEastAsia" w:cstheme="minorEastAsia"/>
          <w:sz w:val="22"/>
          <w:szCs w:val="22"/>
          <w:u w:val="single"/>
        </w:rPr>
        <w:t>（1）承包人应于当月25日前向监理人报送上月已完成的工程量，并附进度付款申请单、已完成工程量报表和其他有关资料</w:t>
      </w:r>
      <w:r>
        <w:rPr>
          <w:rFonts w:hint="eastAsia" w:asciiTheme="minorEastAsia" w:hAnsiTheme="minorEastAsia" w:eastAsiaTheme="minorEastAsia" w:cstheme="minorEastAsia"/>
          <w:sz w:val="22"/>
          <w:szCs w:val="22"/>
        </w:rPr>
        <w:t>。</w:t>
      </w:r>
    </w:p>
    <w:bookmarkEnd w:id="1438"/>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（2）承包人未在已标价的工程量清单中填入单价和（或）总价的子目，视为该子目的费用已包含合同工程的其他子目的单价或总价中，不再另行计量支付</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12.3.4 总价合同的计量</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关于总价合同计量的约定：</w:t>
      </w:r>
      <w:r>
        <w:rPr>
          <w:rFonts w:hint="eastAsia" w:asciiTheme="minorEastAsia" w:hAnsiTheme="minorEastAsia" w:eastAsiaTheme="minorEastAsia" w:cstheme="minorEastAsia"/>
          <w:sz w:val="22"/>
          <w:szCs w:val="22"/>
          <w:u w:val="single"/>
        </w:rPr>
        <w:t>按形象进度比例支付</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12.3.5总价合同采用支付分解表计量支付的，是否适用第12.3.4项〔总价合同的计量〕约定进行计量：</w:t>
      </w:r>
      <w:r>
        <w:rPr>
          <w:rFonts w:hint="eastAsia" w:asciiTheme="minorEastAsia" w:hAnsiTheme="minorEastAsia" w:eastAsiaTheme="minorEastAsia" w:cstheme="minorEastAsia"/>
          <w:sz w:val="22"/>
          <w:szCs w:val="22"/>
          <w:u w:val="single"/>
        </w:rPr>
        <w:t>适用</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12.3.6 其他价格形式合同的计量</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其他价格形式的计量方式和程序：</w:t>
      </w:r>
      <w:r>
        <w:rPr>
          <w:rFonts w:hint="eastAsia" w:asciiTheme="minorEastAsia" w:hAnsiTheme="minorEastAsia" w:eastAsiaTheme="minorEastAsia" w:cstheme="minorEastAsia"/>
          <w:sz w:val="22"/>
          <w:szCs w:val="22"/>
          <w:u w:val="single"/>
        </w:rPr>
        <w:t>不采用</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439" w:name="_Toc532377386"/>
      <w:bookmarkStart w:id="1440" w:name="_Toc532375650"/>
      <w:bookmarkStart w:id="1441" w:name="_Hlk528928289"/>
      <w:r>
        <w:rPr>
          <w:rFonts w:hint="eastAsia" w:asciiTheme="minorEastAsia" w:hAnsiTheme="minorEastAsia" w:eastAsiaTheme="minorEastAsia" w:cstheme="minorEastAsia"/>
          <w:sz w:val="22"/>
          <w:szCs w:val="22"/>
        </w:rPr>
        <w:t>12.4 工程进度款支付</w:t>
      </w:r>
      <w:bookmarkEnd w:id="1439"/>
      <w:bookmarkEnd w:id="1440"/>
    </w:p>
    <w:bookmarkEnd w:id="1441"/>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12.4.1 付款周期</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关于付款周期的约定：</w:t>
      </w:r>
      <w:r>
        <w:rPr>
          <w:rFonts w:hint="eastAsia" w:asciiTheme="minorEastAsia" w:hAnsiTheme="minorEastAsia" w:eastAsiaTheme="minorEastAsia" w:cstheme="minorEastAsia"/>
          <w:sz w:val="22"/>
          <w:szCs w:val="22"/>
          <w:u w:val="single"/>
        </w:rPr>
        <w:t>按月计量支付进度款（按进度、按节点计量支付进度款的参考按月计量支付进度款原则执行）</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12.4.2 进度付款申请单的编制</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进度付款申请单应包括下列内容：</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（1）截至本次付款周期已完成工作对应的金额</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（2）根据第10条〔变更〕应增加和扣减的已审定变更金额</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（3）根据第12.2款〔预付款〕约定应支付的预付款和扣减的返还预付款</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（4）根据第15.3款〔质量保证金〕约定应扣减的质量保证金</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（5）根据第19条〔索赔〕应增加和扣减的已审定索赔金额</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（6）根据第11条〔价格调整〕应增加和扣减的价格调整金额</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（7）对已签发的进度款支付证书中出现错误的修正，应在本次进度付款中支付或扣除的金额</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（8）根据合同约定承包人应向发包人支付的违约金</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（9）根据合同约定发包人应向承包人支付的违约金和（或）奖励</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（10）根据合同约定应增加和扣减的其他金额</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（11）当月应支付的人工费（工资款）金额</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12.4.3 进度付款申请单的提交</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（1）单价合同进度付款申请单提交的约定：</w:t>
      </w:r>
      <w:r>
        <w:rPr>
          <w:rFonts w:hint="eastAsia" w:asciiTheme="minorEastAsia" w:hAnsiTheme="minorEastAsia" w:eastAsiaTheme="minorEastAsia" w:cstheme="minorEastAsia"/>
          <w:sz w:val="22"/>
          <w:szCs w:val="22"/>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（2）总价合同进度付款申请单提交的约定：</w:t>
      </w:r>
      <w:r>
        <w:rPr>
          <w:rFonts w:hint="eastAsia" w:asciiTheme="minorEastAsia" w:hAnsiTheme="minorEastAsia" w:eastAsiaTheme="minorEastAsia" w:cstheme="minorEastAsia"/>
          <w:sz w:val="22"/>
          <w:szCs w:val="22"/>
          <w:u w:val="single"/>
        </w:rPr>
        <w:t>按照合同约定的形象进度的计量约定的时间向监理人提交，并附上已完成工程量报表、经审核的农民工工资发放的情况说明及有关资料</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（3）其他价格形式合同进度付款申请单提交的约定：</w:t>
      </w:r>
      <w:r>
        <w:rPr>
          <w:rFonts w:hint="eastAsia" w:asciiTheme="minorEastAsia" w:hAnsiTheme="minorEastAsia" w:eastAsiaTheme="minorEastAsia" w:cstheme="minorEastAsia"/>
          <w:sz w:val="22"/>
          <w:szCs w:val="22"/>
          <w:u w:val="single"/>
        </w:rPr>
        <w:t>不采用</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12.4.4 进度款审核和支付</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（1）监理人审查并报送发包人的期限：</w:t>
      </w:r>
      <w:r>
        <w:rPr>
          <w:rFonts w:hint="eastAsia" w:asciiTheme="minorEastAsia" w:hAnsiTheme="minorEastAsia" w:eastAsiaTheme="minorEastAsia" w:cstheme="minorEastAsia"/>
          <w:sz w:val="22"/>
          <w:szCs w:val="22"/>
          <w:u w:val="single"/>
        </w:rPr>
        <w:t>收到完整资料后7天内</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发包人完成审批并签发进度款支付证书的期限：</w:t>
      </w:r>
      <w:r>
        <w:rPr>
          <w:rFonts w:hint="eastAsia" w:asciiTheme="minorEastAsia" w:hAnsiTheme="minorEastAsia" w:eastAsiaTheme="minorEastAsia" w:cstheme="minorEastAsia"/>
          <w:sz w:val="22"/>
          <w:szCs w:val="22"/>
          <w:u w:val="single"/>
        </w:rPr>
        <w:t>发包人收到监理人报送资料后7天内完成审批并签发进度款支付证书</w:t>
      </w:r>
      <w:r>
        <w:rPr>
          <w:rFonts w:hint="eastAsia" w:asciiTheme="minorEastAsia" w:hAnsiTheme="minorEastAsia" w:eastAsiaTheme="minorEastAsia" w:cstheme="minorEastAsia"/>
          <w:sz w:val="22"/>
          <w:szCs w:val="22"/>
        </w:rPr>
        <w:t>。</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发包人签发进度款支付证书或临时进度款支付证书，不表明发包人已同意、批准或接受了承包人完成的相应部分的工作。</w:t>
      </w:r>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（2）进度款支付：</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本工程进度款按月支付，每月25日提交进度款申请报告，经监理、发包人审核完成后按照已完合格工程量的70%支付进度款，审核完成且承包人提供发票后15日内支付。</w:t>
      </w:r>
    </w:p>
    <w:p>
      <w:pPr>
        <w:spacing w:line="440" w:lineRule="exact"/>
        <w:ind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工期每延误一天，处以</w:t>
      </w:r>
      <w:r>
        <w:rPr>
          <w:rFonts w:hint="eastAsia" w:asciiTheme="minorEastAsia" w:hAnsiTheme="minorEastAsia" w:eastAsiaTheme="minorEastAsia" w:cstheme="minorEastAsia"/>
          <w:sz w:val="22"/>
          <w:szCs w:val="22"/>
          <w:u w:val="single"/>
          <w:lang w:val="en-US" w:eastAsia="zh-CN"/>
        </w:rPr>
        <w:t>1</w:t>
      </w:r>
      <w:r>
        <w:rPr>
          <w:rFonts w:hint="eastAsia" w:asciiTheme="minorEastAsia" w:hAnsiTheme="minorEastAsia" w:eastAsiaTheme="minorEastAsia" w:cstheme="minorEastAsia"/>
          <w:sz w:val="22"/>
          <w:szCs w:val="22"/>
          <w:u w:val="single"/>
        </w:rPr>
        <w:t>0000元的违约金，最高不超过合同金额。</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442" w:name="_Toc532377387"/>
      <w:bookmarkStart w:id="1443" w:name="_Toc351203585"/>
      <w:r>
        <w:rPr>
          <w:rFonts w:hint="eastAsia" w:asciiTheme="minorEastAsia" w:hAnsiTheme="minorEastAsia" w:eastAsiaTheme="minorEastAsia" w:cstheme="minorEastAsia"/>
          <w:sz w:val="22"/>
          <w:szCs w:val="22"/>
        </w:rPr>
        <w:t>12.5支付账户</w:t>
      </w:r>
      <w:bookmarkEnd w:id="1442"/>
      <w:bookmarkEnd w:id="1443"/>
    </w:p>
    <w:p>
      <w:pPr>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发包人应将合同价款支付至如下承包人指定的开户银行及银行账户：</w:t>
      </w:r>
    </w:p>
    <w:p>
      <w:pPr>
        <w:spacing w:line="440" w:lineRule="exact"/>
        <w:ind w:firstLine="440" w:firstLineChars="200"/>
        <w:jc w:val="left"/>
        <w:rPr>
          <w:rFonts w:asciiTheme="minorEastAsia" w:hAnsiTheme="minorEastAsia" w:eastAsiaTheme="minorEastAsia" w:cstheme="minorEastAsia"/>
          <w:kern w:val="0"/>
          <w:sz w:val="22"/>
          <w:szCs w:val="22"/>
          <w:u w:val="single"/>
        </w:rPr>
      </w:pPr>
      <w:r>
        <w:rPr>
          <w:rFonts w:hint="eastAsia" w:asciiTheme="minorEastAsia" w:hAnsiTheme="minorEastAsia" w:eastAsiaTheme="minorEastAsia" w:cstheme="minorEastAsia"/>
          <w:kern w:val="0"/>
          <w:sz w:val="22"/>
          <w:szCs w:val="22"/>
        </w:rPr>
        <w:t>收款单位名称：</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收款账号：</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收款开户银行：</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发包人应将人工费（工资款）支付至如下承包人指定的农民工工资专用账户：</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开户银行：</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农民工工资专用账户名称：</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农民工工资专用账户账号：</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444" w:name="_Toc532377388"/>
      <w:bookmarkStart w:id="1445" w:name="_Toc351203645"/>
      <w:bookmarkStart w:id="1446" w:name="_Toc532375651"/>
      <w:bookmarkStart w:id="1447" w:name="_Toc292559424"/>
      <w:bookmarkStart w:id="1448" w:name="_Toc296346720"/>
      <w:bookmarkStart w:id="1449" w:name="_Toc296891259"/>
      <w:bookmarkStart w:id="1450" w:name="_Toc297120519"/>
      <w:bookmarkStart w:id="1451" w:name="_Toc296503219"/>
      <w:bookmarkStart w:id="1452" w:name="_Toc303539172"/>
      <w:bookmarkStart w:id="1453" w:name="_Toc297216223"/>
      <w:bookmarkStart w:id="1454" w:name="_Toc292559929"/>
      <w:bookmarkStart w:id="1455" w:name="_Toc297048405"/>
      <w:bookmarkStart w:id="1456" w:name="_Toc300935015"/>
      <w:bookmarkStart w:id="1457" w:name="_Toc304295593"/>
      <w:bookmarkStart w:id="1458" w:name="_Toc297123564"/>
      <w:bookmarkStart w:id="1459" w:name="_Toc296347218"/>
      <w:bookmarkStart w:id="1460" w:name="_Toc296891047"/>
      <w:bookmarkStart w:id="1461" w:name="_Toc312678053"/>
      <w:bookmarkStart w:id="1462" w:name="_Toc296944558"/>
      <w:r>
        <w:rPr>
          <w:rFonts w:hint="eastAsia" w:asciiTheme="minorEastAsia" w:hAnsiTheme="minorEastAsia" w:eastAsiaTheme="minorEastAsia" w:cstheme="minorEastAsia"/>
          <w:b/>
          <w:bCs/>
          <w:sz w:val="22"/>
          <w:szCs w:val="22"/>
        </w:rPr>
        <w:t>13. 验收和工程试车</w:t>
      </w:r>
      <w:bookmarkEnd w:id="1444"/>
      <w:bookmarkEnd w:id="1445"/>
      <w:bookmarkEnd w:id="1446"/>
    </w:p>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Pr>
        <w:pStyle w:val="7"/>
        <w:spacing w:before="0" w:after="0" w:line="440" w:lineRule="exact"/>
        <w:ind w:firstLine="442" w:firstLineChars="200"/>
        <w:rPr>
          <w:rFonts w:asciiTheme="minorEastAsia" w:hAnsiTheme="minorEastAsia" w:eastAsiaTheme="minorEastAsia" w:cstheme="minorEastAsia"/>
          <w:sz w:val="22"/>
          <w:szCs w:val="22"/>
        </w:rPr>
      </w:pPr>
      <w:bookmarkStart w:id="1463" w:name="_Toc532375652"/>
      <w:bookmarkStart w:id="1464" w:name="_Toc532377389"/>
      <w:bookmarkStart w:id="1465" w:name="_Toc280868704"/>
      <w:bookmarkStart w:id="1466" w:name="_Toc280868705"/>
      <w:bookmarkStart w:id="1467" w:name="_Toc280868706"/>
      <w:bookmarkStart w:id="1468" w:name="_Toc280868707"/>
      <w:bookmarkStart w:id="1469" w:name="_Toc280868708"/>
      <w:bookmarkStart w:id="1470" w:name="_Toc267251472"/>
      <w:bookmarkStart w:id="1471" w:name="_Toc267251473"/>
      <w:bookmarkStart w:id="1472" w:name="_Toc267251475"/>
      <w:bookmarkStart w:id="1473" w:name="_Toc267251476"/>
      <w:bookmarkStart w:id="1474" w:name="_Toc280868709"/>
      <w:bookmarkStart w:id="1475" w:name="_Toc267251471"/>
      <w:bookmarkStart w:id="1476" w:name="_Toc267251470"/>
      <w:bookmarkStart w:id="1477" w:name="_Toc267251474"/>
      <w:r>
        <w:rPr>
          <w:rFonts w:hint="eastAsia" w:asciiTheme="minorEastAsia" w:hAnsiTheme="minorEastAsia" w:eastAsiaTheme="minorEastAsia" w:cstheme="minorEastAsia"/>
          <w:sz w:val="22"/>
          <w:szCs w:val="22"/>
        </w:rPr>
        <w:t>13.1 分部分项工程验收</w:t>
      </w:r>
      <w:bookmarkEnd w:id="1463"/>
      <w:bookmarkEnd w:id="1464"/>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13.1.2 监理人不能按时进行验收时，应提前</w:t>
      </w:r>
      <w:r>
        <w:rPr>
          <w:rFonts w:hint="eastAsia" w:asciiTheme="minorEastAsia" w:hAnsiTheme="minorEastAsia" w:eastAsiaTheme="minorEastAsia" w:cstheme="minorEastAsia"/>
          <w:sz w:val="22"/>
          <w:szCs w:val="22"/>
          <w:u w:val="single"/>
        </w:rPr>
        <w:t>24</w:t>
      </w:r>
      <w:r>
        <w:rPr>
          <w:rFonts w:hint="eastAsia" w:asciiTheme="minorEastAsia" w:hAnsiTheme="minorEastAsia" w:eastAsiaTheme="minorEastAsia" w:cstheme="minorEastAsia"/>
          <w:sz w:val="22"/>
          <w:szCs w:val="22"/>
        </w:rPr>
        <w:t>小时提交书面延期要求。</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关于延期最长不得超过：</w:t>
      </w:r>
      <w:r>
        <w:rPr>
          <w:rFonts w:hint="eastAsia" w:asciiTheme="minorEastAsia" w:hAnsiTheme="minorEastAsia" w:eastAsiaTheme="minorEastAsia" w:cstheme="minorEastAsia"/>
          <w:sz w:val="22"/>
          <w:szCs w:val="22"/>
          <w:u w:val="single"/>
        </w:rPr>
        <w:t>48</w:t>
      </w:r>
      <w:r>
        <w:rPr>
          <w:rFonts w:hint="eastAsia" w:asciiTheme="minorEastAsia" w:hAnsiTheme="minorEastAsia" w:eastAsiaTheme="minorEastAsia" w:cstheme="minorEastAsia"/>
          <w:sz w:val="22"/>
          <w:szCs w:val="22"/>
        </w:rPr>
        <w:t>小时。</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478" w:name="_Toc532375653"/>
      <w:bookmarkStart w:id="1479" w:name="_Toc532377390"/>
      <w:bookmarkStart w:id="1480" w:name="_Toc296944562"/>
      <w:bookmarkStart w:id="1481" w:name="_Toc300935016"/>
      <w:bookmarkStart w:id="1482" w:name="_Toc292559933"/>
      <w:bookmarkStart w:id="1483" w:name="_Toc296891051"/>
      <w:bookmarkStart w:id="1484" w:name="_Toc292559428"/>
      <w:bookmarkStart w:id="1485" w:name="_Toc296891263"/>
      <w:bookmarkStart w:id="1486" w:name="_Toc312678056"/>
      <w:bookmarkStart w:id="1487" w:name="_Toc297216224"/>
      <w:bookmarkStart w:id="1488" w:name="_Toc304295596"/>
      <w:bookmarkStart w:id="1489" w:name="_Toc296346724"/>
      <w:bookmarkStart w:id="1490" w:name="_Toc303539173"/>
      <w:bookmarkStart w:id="1491" w:name="_Toc296347222"/>
      <w:bookmarkStart w:id="1492" w:name="_Toc297123565"/>
      <w:bookmarkStart w:id="1493" w:name="_Toc297048409"/>
      <w:bookmarkStart w:id="1494" w:name="_Toc297120523"/>
      <w:bookmarkStart w:id="1495" w:name="_Toc296503223"/>
      <w:r>
        <w:rPr>
          <w:rFonts w:hint="eastAsia" w:asciiTheme="minorEastAsia" w:hAnsiTheme="minorEastAsia" w:eastAsiaTheme="minorEastAsia" w:cstheme="minorEastAsia"/>
          <w:sz w:val="22"/>
          <w:szCs w:val="22"/>
        </w:rPr>
        <w:t>13.2 竣工验收</w:t>
      </w:r>
      <w:bookmarkEnd w:id="1478"/>
      <w:bookmarkEnd w:id="1479"/>
    </w:p>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13.2.2竣工验收程序</w:t>
      </w:r>
    </w:p>
    <w:bookmarkEnd w:id="1465"/>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关于竣工验收程序的约定：工程完工且符合下列条件时，承包人可向发包人提供竣工报告，并要求验收：</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（1）除发包人同意的甩项工作和缺陷修补工作外，合同范围内的全部工程以及有关工作，包括合同要求的试验、试运行以及检验均已完成，并符合合同要求；</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（2）已按合同约定编制了甩项工作和缺陷修补工作清单以及相应的施工计划；</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（3）已按合同约定的内容和份数备齐竣工资料。</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工程竣工及竣工资料：</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（1）发包人应在收到承包人竣工报告后14天内组织设计单位、监理单位、质监等其他部门进行验收，竣工日期以最后一次整改后通过竣工验收的时间为准</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（3）承包人提供竣工资料的约定：</w:t>
      </w:r>
      <w:r>
        <w:rPr>
          <w:rFonts w:hint="eastAsia" w:asciiTheme="minorEastAsia" w:hAnsiTheme="minorEastAsia" w:eastAsiaTheme="minorEastAsia" w:cstheme="minorEastAsia"/>
          <w:sz w:val="22"/>
          <w:szCs w:val="22"/>
          <w:u w:val="single"/>
        </w:rPr>
        <w:t>承包人提供纸质版竣工图三套，电子版竣工图二套（刻光盘）</w:t>
      </w:r>
      <w:r>
        <w:rPr>
          <w:rFonts w:hint="eastAsia" w:asciiTheme="minorEastAsia" w:hAnsiTheme="minorEastAsia" w:eastAsiaTheme="minorEastAsia" w:cstheme="minorEastAsia"/>
          <w:sz w:val="22"/>
          <w:szCs w:val="22"/>
        </w:rPr>
        <w:t>。</w:t>
      </w:r>
    </w:p>
    <w:bookmarkEnd w:id="1466"/>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13.2.5 移交、接收全部与部分工程</w:t>
      </w:r>
    </w:p>
    <w:bookmarkEnd w:id="1467"/>
    <w:p>
      <w:pPr>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承包人向发包人移交工程的期限：</w:t>
      </w:r>
      <w:r>
        <w:rPr>
          <w:rFonts w:hint="eastAsia" w:asciiTheme="minorEastAsia" w:hAnsiTheme="minorEastAsia" w:eastAsiaTheme="minorEastAsia" w:cstheme="minorEastAsia"/>
          <w:sz w:val="22"/>
          <w:szCs w:val="22"/>
          <w:u w:val="single"/>
        </w:rPr>
        <w:t>颁发工程接收证书后7天内完成工程的移交</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发包人未按合同约定接收全部或部分工程的，违约金的计算方法为：发包人自应当接收工程之日起承担工程照管、成品保护、保管等与工程有关的各项费用。</w:t>
      </w:r>
    </w:p>
    <w:bookmarkEnd w:id="1468"/>
    <w:p>
      <w:pPr>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因承包人自身原因未按时移交工程的，违约金的计算方法为：</w:t>
      </w:r>
      <w:r>
        <w:rPr>
          <w:rFonts w:hint="eastAsia" w:asciiTheme="minorEastAsia" w:hAnsiTheme="minorEastAsia" w:eastAsiaTheme="minorEastAsia" w:cstheme="minorEastAsia"/>
          <w:sz w:val="22"/>
          <w:szCs w:val="22"/>
          <w:u w:val="single"/>
        </w:rPr>
        <w:t>承包人应承担工程照管、成品保护、保管等与工程有关的各项费用，并按经审定结算金额的0.5‰/天支付违约金</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496" w:name="_Toc532377391"/>
      <w:bookmarkStart w:id="1497" w:name="_Toc532375654"/>
      <w:r>
        <w:rPr>
          <w:rFonts w:hint="eastAsia" w:asciiTheme="minorEastAsia" w:hAnsiTheme="minorEastAsia" w:eastAsiaTheme="minorEastAsia" w:cstheme="minorEastAsia"/>
          <w:sz w:val="22"/>
          <w:szCs w:val="22"/>
        </w:rPr>
        <w:t>13.3 工程试车</w:t>
      </w:r>
      <w:bookmarkEnd w:id="1496"/>
      <w:bookmarkEnd w:id="1497"/>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13.3.1 试车程序</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工程试车内容：</w:t>
      </w:r>
      <w:r>
        <w:rPr>
          <w:rFonts w:hint="eastAsia" w:asciiTheme="minorEastAsia" w:hAnsiTheme="minorEastAsia" w:eastAsiaTheme="minorEastAsia" w:cstheme="minorEastAsia"/>
          <w:sz w:val="22"/>
          <w:szCs w:val="22"/>
          <w:u w:val="single"/>
        </w:rPr>
        <w:t>按通用合同条款执行</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（1）单机无负荷试车费用由</w:t>
      </w:r>
      <w:r>
        <w:rPr>
          <w:rFonts w:hint="eastAsia" w:asciiTheme="minorEastAsia" w:hAnsiTheme="minorEastAsia" w:eastAsiaTheme="minorEastAsia" w:cstheme="minorEastAsia"/>
          <w:sz w:val="22"/>
          <w:szCs w:val="22"/>
          <w:u w:val="single"/>
        </w:rPr>
        <w:t>承包人</w:t>
      </w:r>
      <w:r>
        <w:rPr>
          <w:rFonts w:hint="eastAsia" w:asciiTheme="minorEastAsia" w:hAnsiTheme="minorEastAsia" w:eastAsiaTheme="minorEastAsia" w:cstheme="minorEastAsia"/>
          <w:sz w:val="22"/>
          <w:szCs w:val="22"/>
        </w:rPr>
        <w:t>承担；</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（2）无负荷联动试车费用由</w:t>
      </w:r>
      <w:r>
        <w:rPr>
          <w:rFonts w:hint="eastAsia" w:asciiTheme="minorEastAsia" w:hAnsiTheme="minorEastAsia" w:eastAsiaTheme="minorEastAsia" w:cstheme="minorEastAsia"/>
          <w:sz w:val="22"/>
          <w:szCs w:val="22"/>
          <w:u w:val="single"/>
        </w:rPr>
        <w:t>承包人</w:t>
      </w:r>
      <w:r>
        <w:rPr>
          <w:rFonts w:hint="eastAsia" w:asciiTheme="minorEastAsia" w:hAnsiTheme="minorEastAsia" w:eastAsiaTheme="minorEastAsia" w:cstheme="minorEastAsia"/>
          <w:sz w:val="22"/>
          <w:szCs w:val="22"/>
        </w:rPr>
        <w:t>承担。</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498" w:name="_Toc532377392"/>
      <w:bookmarkStart w:id="1499" w:name="_Toc532375655"/>
      <w:r>
        <w:rPr>
          <w:rFonts w:hint="eastAsia" w:asciiTheme="minorEastAsia" w:hAnsiTheme="minorEastAsia" w:eastAsiaTheme="minorEastAsia" w:cstheme="minorEastAsia"/>
          <w:sz w:val="22"/>
          <w:szCs w:val="22"/>
        </w:rPr>
        <w:t>13.6 竣工退场</w:t>
      </w:r>
      <w:bookmarkEnd w:id="1498"/>
      <w:bookmarkEnd w:id="1499"/>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13.6.1 竣工退场</w:t>
      </w:r>
    </w:p>
    <w:p>
      <w:pPr>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承包人完成竣工退场的期限：</w:t>
      </w:r>
      <w:r>
        <w:rPr>
          <w:rFonts w:hint="eastAsia" w:asciiTheme="minorEastAsia" w:hAnsiTheme="minorEastAsia" w:eastAsiaTheme="minorEastAsia" w:cstheme="minorEastAsia"/>
          <w:sz w:val="22"/>
          <w:szCs w:val="22"/>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Theme="minorEastAsia" w:hAnsiTheme="minorEastAsia" w:eastAsiaTheme="minorEastAsia" w:cstheme="minorEastAsia"/>
          <w:sz w:val="22"/>
          <w:szCs w:val="22"/>
        </w:rPr>
        <w:t>。</w:t>
      </w:r>
    </w:p>
    <w:bookmarkEnd w:id="1469"/>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500" w:name="_Toc532377393"/>
      <w:bookmarkStart w:id="1501" w:name="_Toc351203646"/>
      <w:bookmarkStart w:id="1502" w:name="_Toc532375656"/>
      <w:r>
        <w:rPr>
          <w:rFonts w:hint="eastAsia" w:asciiTheme="minorEastAsia" w:hAnsiTheme="minorEastAsia" w:eastAsiaTheme="minorEastAsia" w:cstheme="minorEastAsia"/>
          <w:b/>
          <w:bCs/>
          <w:sz w:val="22"/>
          <w:szCs w:val="22"/>
        </w:rPr>
        <w:t>14. 竣工结算</w:t>
      </w:r>
      <w:bookmarkEnd w:id="1500"/>
      <w:bookmarkEnd w:id="1501"/>
      <w:bookmarkEnd w:id="1502"/>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03" w:name="_Toc532377394"/>
      <w:bookmarkStart w:id="1504" w:name="_Toc532375657"/>
      <w:r>
        <w:rPr>
          <w:rFonts w:hint="eastAsia" w:asciiTheme="minorEastAsia" w:hAnsiTheme="minorEastAsia" w:eastAsiaTheme="minorEastAsia" w:cstheme="minorEastAsia"/>
          <w:sz w:val="22"/>
          <w:szCs w:val="22"/>
        </w:rPr>
        <w:t>14.1 竣工结算申请</w:t>
      </w:r>
      <w:bookmarkEnd w:id="1503"/>
      <w:bookmarkEnd w:id="1504"/>
    </w:p>
    <w:p>
      <w:pPr>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承包人提交竣工结算申请单的期限：</w:t>
      </w:r>
      <w:r>
        <w:rPr>
          <w:rFonts w:hint="eastAsia" w:asciiTheme="minorEastAsia" w:hAnsiTheme="minorEastAsia" w:eastAsiaTheme="minorEastAsia" w:cstheme="minorEastAsia"/>
          <w:sz w:val="22"/>
          <w:szCs w:val="22"/>
          <w:u w:val="single"/>
        </w:rPr>
        <w:t>承包人应在工程竣工验收合格且报送完整工程竣工资料之日起28天内向监理人、发包人提交竣工结算申请单，并向发包人报送完整的工程竣工资料及经监理人初审确认的完整的竣工结算资料</w:t>
      </w:r>
      <w:bookmarkStart w:id="1505" w:name="_Hlk524297994"/>
      <w:r>
        <w:rPr>
          <w:rFonts w:hint="eastAsia" w:asciiTheme="minorEastAsia" w:hAnsiTheme="minorEastAsia" w:eastAsiaTheme="minorEastAsia" w:cstheme="minorEastAsia"/>
          <w:sz w:val="22"/>
          <w:szCs w:val="22"/>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竣工结算申请单包括但不限于以下内容：</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（1）竣工结算合同价格；</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（2）变更增减金额；</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（3）现场签证增减金额；</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（4）索赔增减金额；</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（5）奖励、罚金及违约金；</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（6）发包人已支付承包人的款项；</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（7）应扣留的质量保证金；</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（8）发包人应支付承包人的合同价款。</w:t>
      </w:r>
      <w:bookmarkEnd w:id="1505"/>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06" w:name="_Toc532375658"/>
      <w:bookmarkStart w:id="1507" w:name="_Toc532377395"/>
      <w:r>
        <w:rPr>
          <w:rFonts w:hint="eastAsia" w:asciiTheme="minorEastAsia" w:hAnsiTheme="minorEastAsia" w:eastAsiaTheme="minorEastAsia" w:cstheme="minorEastAsia"/>
          <w:sz w:val="22"/>
          <w:szCs w:val="22"/>
        </w:rPr>
        <w:t>14.2 竣工结算审核</w:t>
      </w:r>
      <w:bookmarkEnd w:id="1506"/>
      <w:bookmarkEnd w:id="1507"/>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14.2.1 竣工结算办法</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14.2.1.1计量原则</w:t>
      </w:r>
    </w:p>
    <w:p>
      <w:pPr>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按照第12.3.1项〔计量原则〕约定执行。</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14.2.1.2计价原则</w:t>
      </w:r>
    </w:p>
    <w:p>
      <w:pPr>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合同竣工结算价=Σ分部分项工程结算价+Σ措施项目结算价+Σ其他项目结算价±Σ价格调整（如有）±Σ变更、索赔与现场签证结算价±Σ奖励、罚金、违约金及其他费用+Σ规费+Σ税金</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具体结算办法如下：</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（1）分部分项工程：</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③需要对没有填入综合单价或总额价的子目项目进行扣减的，第12.3.1项〔计量原则〕约定确定的工程量乘以按照10.4.1〔变更估价原则〕（3）目约定的综合单价进行扣减</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④合同、已标价工程量清单和招标文件另有约定的，按照其约定执行</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（2）措施项目：</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②工程变更引起施工方案改变使措施项目发生变化的，经监理人、发包人确定后可对按第10.4.3项约定执行</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的规定进行结算</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（3）其他项目：</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①材料（工程设备）暂估价：</w:t>
      </w:r>
      <w:r>
        <w:rPr>
          <w:rFonts w:hint="eastAsia" w:asciiTheme="minorEastAsia" w:hAnsiTheme="minorEastAsia" w:eastAsiaTheme="minorEastAsia" w:cstheme="minorEastAsia"/>
          <w:sz w:val="22"/>
          <w:szCs w:val="22"/>
          <w:u w:val="single"/>
        </w:rPr>
        <w:t>按照第12.3.1项〔计量原则〕约定及对应定额消耗量确定的数量乘以监理人、跟审单位、发包人根据市场行情认质核价确定的价格进行结算</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②专业工程暂估价：</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1）对于不属于依法必须招标的暂估价项目：按发包人审定的价格进行结算</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2）对于依法必须招标的暂估价项目：达到招标规模标准的暂估价内容，包括专业工程暂估价和材料设备暂估价均应招标确定，并按暂估价招标文件约定结算</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3）总承包服务费：总承包服务费包干使用，结算时不作调整</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（4）价格调整：</w:t>
      </w:r>
      <w:r>
        <w:rPr>
          <w:rFonts w:hint="eastAsia" w:asciiTheme="minorEastAsia" w:hAnsiTheme="minorEastAsia" w:eastAsiaTheme="minorEastAsia" w:cstheme="minorEastAsia"/>
          <w:sz w:val="22"/>
          <w:szCs w:val="22"/>
          <w:u w:val="single"/>
        </w:rPr>
        <w:t>按照第11条〔价格调整〕约定约定执行</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（5）工程变更、索赔与现场签证：</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2）索赔：按照第10.4.1项〔变更估价原则〕和第14.2.1项〔竣工结算办法〕约定执行。</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3）现场签证：按照第10.4.1项〔变更估价原则〕和第14.2.1项〔竣工结算办法〕约定执行。</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（6）奖励、罚金、违约金及其他费用：</w:t>
      </w:r>
      <w:r>
        <w:rPr>
          <w:rFonts w:hint="eastAsia" w:asciiTheme="minorEastAsia" w:hAnsiTheme="minorEastAsia" w:eastAsiaTheme="minorEastAsia" w:cstheme="minorEastAsia"/>
          <w:sz w:val="22"/>
          <w:szCs w:val="22"/>
          <w:u w:val="single"/>
        </w:rPr>
        <w:t>按实进行结算</w:t>
      </w:r>
      <w:r>
        <w:rPr>
          <w:rFonts w:hint="eastAsia" w:asciiTheme="minorEastAsia" w:hAnsiTheme="minorEastAsia" w:eastAsiaTheme="minorEastAsia" w:cstheme="minorEastAsia"/>
          <w:sz w:val="22"/>
          <w:szCs w:val="22"/>
        </w:rPr>
        <w:t>。</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（7）规费：已标价工程量清单中规费费用按《重庆市建设工程费用定额》（CQFYDE-2018）执行。</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14.2.1.3竣工结算价</w:t>
      </w:r>
    </w:p>
    <w:p>
      <w:pPr>
        <w:tabs>
          <w:tab w:val="left" w:pos="711"/>
          <w:tab w:val="left" w:pos="2580"/>
        </w:tabs>
        <w:spacing w:line="440" w:lineRule="exact"/>
        <w:ind w:right="105" w:rightChars="50" w:firstLine="440" w:firstLineChars="200"/>
        <w:jc w:val="left"/>
        <w:textAlignment w:val="baseline"/>
        <w:rPr>
          <w:rFonts w:asciiTheme="minorEastAsia" w:hAnsiTheme="minorEastAsia" w:eastAsiaTheme="minorEastAsia" w:cstheme="minorEastAsia"/>
          <w:sz w:val="22"/>
          <w:szCs w:val="22"/>
          <w:u w:val="single"/>
        </w:rPr>
      </w:pPr>
      <w:bookmarkStart w:id="1508" w:name="_Hlk528660512"/>
      <w:r>
        <w:rPr>
          <w:rFonts w:hint="eastAsia" w:asciiTheme="minorEastAsia" w:hAnsiTheme="minorEastAsia" w:eastAsiaTheme="minorEastAsia" w:cstheme="minorEastAsia"/>
          <w:sz w:val="22"/>
          <w:szCs w:val="22"/>
        </w:rPr>
        <w:t>以发包人会同跟审单位、监理人、承包人根据有效资料共同确定竣工结算金额作为合同竣工结算价。</w:t>
      </w:r>
    </w:p>
    <w:bookmarkEnd w:id="1508"/>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14.2.2 竣工结算审核期限</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监理人审核竣工付款申请单的期限：</w:t>
      </w:r>
      <w:r>
        <w:rPr>
          <w:rFonts w:hint="eastAsia" w:asciiTheme="minorEastAsia" w:hAnsiTheme="minorEastAsia" w:eastAsiaTheme="minorEastAsia" w:cstheme="minorEastAsia"/>
          <w:sz w:val="22"/>
          <w:szCs w:val="22"/>
          <w:u w:val="single"/>
        </w:rPr>
        <w:t>不超过15日</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发包人审核竣工付款申请单的期限：</w:t>
      </w:r>
      <w:r>
        <w:rPr>
          <w:rFonts w:hint="eastAsia" w:asciiTheme="minorEastAsia" w:hAnsiTheme="minorEastAsia" w:eastAsiaTheme="minorEastAsia" w:cstheme="minorEastAsia"/>
          <w:sz w:val="22"/>
          <w:szCs w:val="22"/>
          <w:u w:val="single"/>
        </w:rPr>
        <w:t>不超过30日</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发包人完成竣工付款的期限：</w:t>
      </w:r>
      <w:r>
        <w:rPr>
          <w:rFonts w:hint="eastAsia" w:asciiTheme="minorEastAsia" w:hAnsiTheme="minorEastAsia" w:eastAsiaTheme="minorEastAsia" w:cstheme="minorEastAsia"/>
          <w:sz w:val="22"/>
          <w:szCs w:val="22"/>
          <w:u w:val="single"/>
        </w:rPr>
        <w:t>完成竣工付款申请单审核后 15天内</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关于竣工付款证书异议部分复核的方式和程序： 按照第20条〔争议解决〕约定处理。</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09" w:name="_Toc532377396"/>
      <w:bookmarkStart w:id="1510" w:name="_Toc532375659"/>
      <w:r>
        <w:rPr>
          <w:rFonts w:hint="eastAsia" w:asciiTheme="minorEastAsia" w:hAnsiTheme="minorEastAsia" w:eastAsiaTheme="minorEastAsia" w:cstheme="minorEastAsia"/>
          <w:sz w:val="22"/>
          <w:szCs w:val="22"/>
        </w:rPr>
        <w:t>14.4 最终结清</w:t>
      </w:r>
      <w:bookmarkEnd w:id="1509"/>
      <w:bookmarkEnd w:id="1510"/>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14.4.1 最终结清申请单</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承包人提交最终结清申请单的份数：</w:t>
      </w:r>
      <w:r>
        <w:rPr>
          <w:rFonts w:hint="eastAsia" w:asciiTheme="minorEastAsia" w:hAnsiTheme="minorEastAsia" w:eastAsiaTheme="minorEastAsia" w:cstheme="minorEastAsia"/>
          <w:sz w:val="22"/>
          <w:szCs w:val="22"/>
          <w:u w:val="single"/>
        </w:rPr>
        <w:t>4份</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承包人提交最终结算申请单的期限：</w:t>
      </w:r>
      <w:r>
        <w:rPr>
          <w:rFonts w:hint="eastAsia" w:asciiTheme="minorEastAsia" w:hAnsiTheme="minorEastAsia" w:eastAsiaTheme="minorEastAsia" w:cstheme="minorEastAsia"/>
          <w:sz w:val="22"/>
          <w:szCs w:val="22"/>
          <w:u w:val="single"/>
        </w:rPr>
        <w:t>缺陷责任期终止证书颁发后14天内</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14.4.2 最终结清证书和支付</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（1）发包人完成最终结清申请单的审批并颁发最终结清证书的期限：</w:t>
      </w:r>
      <w:r>
        <w:rPr>
          <w:rFonts w:hint="eastAsia" w:asciiTheme="minorEastAsia" w:hAnsiTheme="minorEastAsia" w:eastAsiaTheme="minorEastAsia" w:cstheme="minorEastAsia"/>
          <w:sz w:val="22"/>
          <w:szCs w:val="22"/>
          <w:u w:val="single"/>
        </w:rPr>
        <w:t>发包人收到完整资料后14天内完成审批并颁发最终结清证书</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（2）发包人完成支付的期限：</w:t>
      </w:r>
      <w:r>
        <w:rPr>
          <w:rFonts w:hint="eastAsia" w:asciiTheme="minorEastAsia" w:hAnsiTheme="minorEastAsia" w:eastAsiaTheme="minorEastAsia" w:cstheme="minorEastAsia"/>
          <w:sz w:val="22"/>
          <w:szCs w:val="22"/>
          <w:u w:val="single"/>
        </w:rPr>
        <w:t>颁发最终结清证书的14天内</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本条补充14.5款：</w:t>
      </w:r>
    </w:p>
    <w:bookmarkEnd w:id="1470"/>
    <w:bookmarkEnd w:id="1471"/>
    <w:bookmarkEnd w:id="1472"/>
    <w:bookmarkEnd w:id="1473"/>
    <w:bookmarkEnd w:id="1474"/>
    <w:bookmarkEnd w:id="1475"/>
    <w:bookmarkEnd w:id="1476"/>
    <w:bookmarkEnd w:id="1477"/>
    <w:p>
      <w:pPr>
        <w:pStyle w:val="7"/>
        <w:spacing w:before="0" w:after="0" w:line="440" w:lineRule="exact"/>
        <w:ind w:firstLine="442" w:firstLineChars="200"/>
        <w:rPr>
          <w:rFonts w:asciiTheme="minorEastAsia" w:hAnsiTheme="minorEastAsia" w:eastAsiaTheme="minorEastAsia" w:cstheme="minorEastAsia"/>
          <w:sz w:val="22"/>
          <w:szCs w:val="22"/>
        </w:rPr>
      </w:pPr>
      <w:bookmarkStart w:id="1511" w:name="_Toc532377397"/>
      <w:bookmarkStart w:id="1512" w:name="_Toc532375660"/>
      <w:r>
        <w:rPr>
          <w:rFonts w:hint="eastAsia" w:asciiTheme="minorEastAsia" w:hAnsiTheme="minorEastAsia" w:eastAsiaTheme="minorEastAsia" w:cstheme="minorEastAsia"/>
          <w:sz w:val="22"/>
          <w:szCs w:val="22"/>
        </w:rPr>
        <w:t>14.5 逾期办理或不配合办理竣工结算的处理</w:t>
      </w:r>
      <w:bookmarkEnd w:id="1511"/>
      <w:bookmarkEnd w:id="1512"/>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有下列情形之一的，视为承包人放弃与发包人共同办理竣工结算的权利，发包人有权会同跟审单位、监理人根据有效资料共同确定竣工结算金额。</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（1）承包人逾期未报送竣工结算资料，亦未获得发包人批准延期报送，经发包人两</w:t>
      </w:r>
      <w:bookmarkStart w:id="1513" w:name="_Hlk529133622"/>
      <w:r>
        <w:rPr>
          <w:rFonts w:hint="eastAsia" w:asciiTheme="minorEastAsia" w:hAnsiTheme="minorEastAsia" w:eastAsiaTheme="minorEastAsia" w:cstheme="minorEastAsia"/>
          <w:sz w:val="22"/>
          <w:szCs w:val="22"/>
        </w:rPr>
        <w:t>次书面催告仍未在限期内报送的</w:t>
      </w:r>
      <w:bookmarkEnd w:id="1513"/>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（3）承包人不配合发包人、跟审单位、监理人、发包人委托的工程造价咨询服务单位办理竣工结算的，经发包人两次书面函告仍未改正的。</w:t>
      </w:r>
    </w:p>
    <w:p>
      <w:pPr>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Theme="minorEastAsia" w:hAnsiTheme="minorEastAsia" w:eastAsiaTheme="minorEastAsia" w:cstheme="minorEastAsia"/>
          <w:sz w:val="22"/>
          <w:szCs w:val="22"/>
        </w:rPr>
        <w:t>。</w:t>
      </w:r>
    </w:p>
    <w:bookmarkEnd w:id="1185"/>
    <w:bookmarkEnd w:id="1186"/>
    <w:bookmarkEnd w:id="1187"/>
    <w:bookmarkEnd w:id="1188"/>
    <w:bookmarkEnd w:id="1189"/>
    <w:bookmarkEnd w:id="1190"/>
    <w:bookmarkEnd w:id="1191"/>
    <w:bookmarkEnd w:id="1192"/>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514" w:name="_Toc532375661"/>
      <w:bookmarkStart w:id="1515" w:name="_Toc532377398"/>
      <w:bookmarkStart w:id="1516" w:name="_Toc351203647"/>
      <w:bookmarkStart w:id="1517" w:name="_Toc267251483"/>
      <w:bookmarkStart w:id="1518" w:name="_Toc280868717"/>
      <w:bookmarkStart w:id="1519" w:name="_Toc280868718"/>
      <w:r>
        <w:rPr>
          <w:rFonts w:hint="eastAsia" w:asciiTheme="minorEastAsia" w:hAnsiTheme="minorEastAsia" w:eastAsiaTheme="minorEastAsia" w:cstheme="minorEastAsia"/>
          <w:b/>
          <w:bCs/>
          <w:sz w:val="22"/>
          <w:szCs w:val="22"/>
        </w:rPr>
        <w:t>15. 缺陷责任期与保修</w:t>
      </w:r>
      <w:bookmarkEnd w:id="1514"/>
      <w:bookmarkEnd w:id="1515"/>
      <w:bookmarkEnd w:id="1516"/>
    </w:p>
    <w:bookmarkEnd w:id="1517"/>
    <w:p>
      <w:pPr>
        <w:pStyle w:val="7"/>
        <w:spacing w:before="0" w:after="0" w:line="440" w:lineRule="exact"/>
        <w:ind w:firstLine="442" w:firstLineChars="200"/>
        <w:rPr>
          <w:rFonts w:asciiTheme="minorEastAsia" w:hAnsiTheme="minorEastAsia" w:eastAsiaTheme="minorEastAsia" w:cstheme="minorEastAsia"/>
          <w:sz w:val="22"/>
          <w:szCs w:val="22"/>
        </w:rPr>
      </w:pPr>
      <w:bookmarkStart w:id="1520" w:name="_Toc532377399"/>
      <w:bookmarkStart w:id="1521" w:name="_Toc532375662"/>
      <w:r>
        <w:rPr>
          <w:rFonts w:hint="eastAsia" w:asciiTheme="minorEastAsia" w:hAnsiTheme="minorEastAsia" w:eastAsiaTheme="minorEastAsia" w:cstheme="minorEastAsia"/>
          <w:sz w:val="22"/>
          <w:szCs w:val="22"/>
        </w:rPr>
        <w:t>15.3 质量保证金</w:t>
      </w:r>
      <w:bookmarkEnd w:id="1520"/>
      <w:bookmarkEnd w:id="1521"/>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15.3.1 承包人提供质量保证金的方式</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质量保证金采用以下第</w:t>
      </w:r>
      <w:r>
        <w:rPr>
          <w:rFonts w:hint="eastAsia" w:asciiTheme="minorEastAsia" w:hAnsiTheme="minorEastAsia" w:eastAsiaTheme="minorEastAsia" w:cstheme="minorEastAsia"/>
          <w:sz w:val="22"/>
          <w:szCs w:val="22"/>
          <w:u w:val="single"/>
        </w:rPr>
        <w:t xml:space="preserve"> （2） </w:t>
      </w:r>
      <w:r>
        <w:rPr>
          <w:rFonts w:hint="eastAsia" w:asciiTheme="minorEastAsia" w:hAnsiTheme="minorEastAsia" w:eastAsiaTheme="minorEastAsia" w:cstheme="minorEastAsia"/>
          <w:sz w:val="22"/>
          <w:szCs w:val="22"/>
        </w:rPr>
        <w:t>种方式：</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（1）质量保证金保函</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1）按招标文件载明的格式或发包人认可的格式向发包人提交不可撤销的不可撤销的见索即付银行保函</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2）出具保函的银行级别：</w:t>
      </w:r>
      <w:r>
        <w:rPr>
          <w:rFonts w:hint="eastAsia" w:asciiTheme="minorEastAsia" w:hAnsiTheme="minorEastAsia" w:eastAsiaTheme="minorEastAsia" w:cstheme="minorEastAsia"/>
          <w:sz w:val="22"/>
          <w:szCs w:val="22"/>
          <w:u w:val="single"/>
        </w:rPr>
        <w:t>地市级及以上国家政策性银行或股份制商业银行的支行或其上级银行</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3）保函金额为：</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4）提交时间：</w:t>
      </w:r>
      <w:r>
        <w:rPr>
          <w:rFonts w:hint="eastAsia" w:asciiTheme="minorEastAsia" w:hAnsiTheme="minorEastAsia" w:eastAsiaTheme="minorEastAsia" w:cstheme="minorEastAsia"/>
          <w:sz w:val="22"/>
          <w:szCs w:val="22"/>
          <w:u w:val="single"/>
        </w:rPr>
        <w:t>工程竣工验收合格后14天内</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承包人提交质量保证金保函的，发包人应同时退还（若有）扣留的作为质量保证金的工程价款、履约担保、低价风险担保；保函金额不得超过工程价款结算总额的3%</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（2）竣工结算价的</w:t>
      </w:r>
      <w:r>
        <w:rPr>
          <w:rFonts w:hint="eastAsia" w:asciiTheme="minorEastAsia" w:hAnsiTheme="minorEastAsia" w:eastAsiaTheme="minorEastAsia" w:cstheme="minorEastAsia"/>
          <w:sz w:val="22"/>
          <w:szCs w:val="22"/>
          <w:u w:val="single"/>
        </w:rPr>
        <w:t xml:space="preserve"> 3% </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（3）其他方式:</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15.3.2 质量保证金的扣留</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质量保证金的扣留采取以下第</w:t>
      </w:r>
      <w:r>
        <w:rPr>
          <w:rFonts w:hint="eastAsia" w:asciiTheme="minorEastAsia" w:hAnsiTheme="minorEastAsia" w:eastAsiaTheme="minorEastAsia" w:cstheme="minorEastAsia"/>
          <w:sz w:val="22"/>
          <w:szCs w:val="22"/>
          <w:u w:val="single"/>
        </w:rPr>
        <w:t xml:space="preserve">  （2）  </w:t>
      </w:r>
      <w:r>
        <w:rPr>
          <w:rFonts w:hint="eastAsia" w:asciiTheme="minorEastAsia" w:hAnsiTheme="minorEastAsia" w:eastAsiaTheme="minorEastAsia" w:cstheme="minorEastAsia"/>
          <w:sz w:val="22"/>
          <w:szCs w:val="22"/>
        </w:rPr>
        <w:t>种方式：</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（1）在支付工程进度款时逐次扣留，在此情形下，质量保证金的计算基数不包括预付款的支付、扣回以及价格调整的金额；</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（2）工程竣工结算时一次性扣留质量保证金；</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u w:val="single"/>
        </w:rPr>
        <w:t xml:space="preserve">其他扣留方式：        </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15.3.3质量保证金的退还</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（1）在发包人颁发缺陷责任期终止证书之日起14天内退还。</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（2）缺陷责任期内，承包人认真履行合同约定的责任，到期后，承包人可向发包人申请返还质量保证金。</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（3）质量保证金是否支付利息采取以下第②种方式：</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①按照中国人民银行发布的同期同类贷款基准利率支付利息</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②不采用</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22" w:name="_Toc532377400"/>
      <w:bookmarkStart w:id="1523" w:name="_Toc532375663"/>
      <w:r>
        <w:rPr>
          <w:rFonts w:hint="eastAsia" w:asciiTheme="minorEastAsia" w:hAnsiTheme="minorEastAsia" w:eastAsiaTheme="minorEastAsia" w:cstheme="minorEastAsia"/>
          <w:sz w:val="22"/>
          <w:szCs w:val="22"/>
        </w:rPr>
        <w:t>15.4 保修</w:t>
      </w:r>
      <w:bookmarkEnd w:id="1522"/>
      <w:bookmarkEnd w:id="1523"/>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15.4.1 保修责任</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工程保修期为：</w:t>
      </w:r>
      <w:bookmarkStart w:id="1524" w:name="_Hlk524381274"/>
      <w:r>
        <w:rPr>
          <w:rFonts w:hint="eastAsia" w:asciiTheme="minorEastAsia" w:hAnsiTheme="minorEastAsia" w:eastAsiaTheme="minorEastAsia" w:cstheme="minorEastAsia"/>
          <w:sz w:val="22"/>
          <w:szCs w:val="22"/>
        </w:rPr>
        <w:t>按照附件1《工程质量保修书》的规定执行。</w:t>
      </w:r>
      <w:bookmarkEnd w:id="1524"/>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15.4.3 修复通知</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承包人收到保修通知并到达工程现场的合理时间：</w:t>
      </w:r>
      <w:r>
        <w:rPr>
          <w:rFonts w:hint="eastAsia" w:asciiTheme="minorEastAsia" w:hAnsiTheme="minorEastAsia" w:eastAsiaTheme="minorEastAsia" w:cstheme="minorEastAsia"/>
          <w:sz w:val="22"/>
          <w:szCs w:val="22"/>
          <w:u w:val="single"/>
        </w:rPr>
        <w:t xml:space="preserve"> 48小时内，最长不能超过 72 小时</w:t>
      </w:r>
      <w:r>
        <w:rPr>
          <w:rFonts w:hint="eastAsia" w:asciiTheme="minorEastAsia" w:hAnsiTheme="minorEastAsia" w:eastAsiaTheme="minorEastAsia" w:cstheme="minorEastAsia"/>
          <w:sz w:val="22"/>
          <w:szCs w:val="22"/>
        </w:rPr>
        <w:t>。</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525" w:name="_Toc532377401"/>
      <w:bookmarkStart w:id="1526" w:name="_Toc351203648"/>
      <w:bookmarkStart w:id="1527" w:name="_Toc532375664"/>
      <w:r>
        <w:rPr>
          <w:rFonts w:hint="eastAsia" w:asciiTheme="minorEastAsia" w:hAnsiTheme="minorEastAsia" w:eastAsiaTheme="minorEastAsia" w:cstheme="minorEastAsia"/>
          <w:b/>
          <w:bCs/>
          <w:sz w:val="22"/>
          <w:szCs w:val="22"/>
        </w:rPr>
        <w:t>16. 违约</w:t>
      </w:r>
      <w:bookmarkEnd w:id="1525"/>
      <w:bookmarkEnd w:id="1526"/>
      <w:bookmarkEnd w:id="1527"/>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28" w:name="_Toc532377402"/>
      <w:r>
        <w:rPr>
          <w:rFonts w:hint="eastAsia" w:asciiTheme="minorEastAsia" w:hAnsiTheme="minorEastAsia" w:eastAsiaTheme="minorEastAsia" w:cstheme="minorEastAsia"/>
          <w:sz w:val="22"/>
          <w:szCs w:val="22"/>
        </w:rPr>
        <w:t>16.1 发包人违约</w:t>
      </w:r>
      <w:bookmarkEnd w:id="1528"/>
    </w:p>
    <w:p>
      <w:pPr>
        <w:spacing w:line="44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16.1.1 发包人违约的情形</w:t>
      </w:r>
    </w:p>
    <w:p>
      <w:pPr>
        <w:spacing w:line="44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除通用合同条款约定外，发包人违约的其他情形：</w:t>
      </w:r>
    </w:p>
    <w:p>
      <w:pPr>
        <w:spacing w:line="44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（1）根据专用合同条款7.5.1项因发包人原因导致工期延误的；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（2）因发包人原因未能及时办理完毕合同约定的许可、批准或备案的；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（3）因监理人未能按合同约定发出指示、指示延误或发出了错误指示而导致承包人费用增加和（或）工期延误的；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（4）根据5.3.3发包人或监理人要求重新检查的，经检查证明工程质量符合合同要求的，并由此产生增加的费用和（或）延误的工期的；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（5）因发包人原因造成工程质量未达到合同约定标准的；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（6）由于发包人原因对承包人造成的人员人身伤亡和财产损失的；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（7）因发包人原因导致工程无法按期办理竣工验收或竣工结算的；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（8）发包人无正当理由未按约定退还履约担保、低价风险担保、预付款担保或质量保证金的；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（9）发包人不当提取履约担保、低价风险担保或质量保证金的；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（10）发包人未按合同约定接收全部或部分工作的；</w:t>
      </w:r>
    </w:p>
    <w:p>
      <w:pPr>
        <w:pStyle w:val="184"/>
        <w:spacing w:line="440" w:lineRule="exact"/>
        <w:ind w:firstLine="440"/>
        <w:jc w:val="left"/>
        <w:rPr>
          <w:rFonts w:asciiTheme="minorEastAsia" w:hAnsiTheme="minorEastAsia" w:eastAsiaTheme="minorEastAsia" w:cstheme="minorEastAsia"/>
          <w:kern w:val="0"/>
          <w:sz w:val="22"/>
          <w:szCs w:val="22"/>
          <w:u w:val="single"/>
        </w:rPr>
      </w:pPr>
      <w:r>
        <w:rPr>
          <w:rFonts w:hint="eastAsia" w:asciiTheme="minorEastAsia" w:hAnsiTheme="minorEastAsia" w:eastAsiaTheme="minorEastAsia" w:cstheme="minorEastAsia"/>
          <w:kern w:val="0"/>
          <w:sz w:val="22"/>
          <w:szCs w:val="22"/>
        </w:rPr>
        <w:t>（11）发包人未按合同约定办理保险的；</w:t>
      </w:r>
    </w:p>
    <w:p>
      <w:pPr>
        <w:pStyle w:val="184"/>
        <w:spacing w:line="44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16.1.2发包人违约的责任</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（1）因发包人原因未能及时办理完毕前述许可、批准或备案的违约责任：由发包人承担由此增加的费用和（或）顺延工期，并支付合理利润，具体索赔程序按照第19条〔索赔〕约定执行。</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（3）因发包人原因导致工期延误的违约责任：由发包人承担由此增加的费用和（或）顺延工期，并支付合理利润，具体索赔程序按照第19条〔索赔〕约定执行。</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（4）因发包人原因未能在计划开工日期前7天内下达开工通知的违约责任：由发包人承担由此增加的费用和（或）顺延工期，并支付合理利润，具体索赔程序按照第19条〔索赔〕约定执行。</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（5）根据5.3.3项发包人或监理人要求重新检查的，经检查证明工程质量符合合同要求的，由发包人承担由此增加的费用和（或）顺延工期，并支付合理利润，具体索赔程序按照第19条〔索赔〕约定执行。</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（6）因发包人原因未按合同约定支付合同价款的违约责任：发包人应向承包人支付违约金，自应当支付之日起28天后开始计算违约金，计算公式：</w:t>
      </w:r>
      <w:r>
        <w:rPr>
          <w:rFonts w:hint="eastAsia" w:asciiTheme="minorEastAsia" w:hAnsiTheme="minorEastAsia" w:eastAsiaTheme="minorEastAsia" w:cstheme="minorEastAsia"/>
          <w:kern w:val="0"/>
          <w:sz w:val="22"/>
          <w:szCs w:val="22"/>
          <w:u w:val="single"/>
        </w:rPr>
        <w:t>违约金=应付未付金额×当期央行五年期以上基准贷款利率/360天×逾期天数</w:t>
      </w:r>
      <w:r>
        <w:rPr>
          <w:rFonts w:hint="eastAsia" w:asciiTheme="minorEastAsia" w:hAnsiTheme="minorEastAsia" w:eastAsiaTheme="minorEastAsia" w:cstheme="minorEastAsia"/>
          <w:sz w:val="22"/>
          <w:szCs w:val="22"/>
          <w:u w:val="single"/>
        </w:rPr>
        <w:t>（自第29天起计算）</w:t>
      </w:r>
      <w:r>
        <w:rPr>
          <w:rFonts w:hint="eastAsia" w:asciiTheme="minorEastAsia" w:hAnsiTheme="minorEastAsia" w:eastAsiaTheme="minorEastAsia" w:cstheme="minorEastAsia"/>
          <w:kern w:val="0"/>
          <w:sz w:val="22"/>
          <w:szCs w:val="22"/>
          <w:u w:val="single"/>
        </w:rPr>
        <w:t>；逾期天数超过56天的，超过部分天数按上述利率的两倍计算并支付违约金</w:t>
      </w:r>
      <w:r>
        <w:rPr>
          <w:rFonts w:hint="eastAsia" w:asciiTheme="minorEastAsia" w:hAnsiTheme="minorEastAsia" w:eastAsiaTheme="minorEastAsia" w:cstheme="minorEastAsia"/>
          <w:kern w:val="0"/>
          <w:sz w:val="22"/>
          <w:szCs w:val="22"/>
        </w:rPr>
        <w:t>。</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（7）发包人违反合同约定，自行实施或转由他人实施被取消的合同工作内容的违约责任：由发包人承担由此给承包人造成的实际损失并支付合理利润。</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（9）因发包人原因造成工程质量未达到合同约定标准的，由发包人承担由此增加的费用和（或）延误的工期，并支付合理利润。</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（10）因发包人违反合同约定造成暂停施工的违约责任：由发包人承担由此增加的费用和（或）顺延工期，并支付合理利润，具体索赔程序按照第19条〔索赔〕约定执行。</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（11）发包人无正当理由没有在约定期限内发出复工指示，导致承包人无法复工的违约责任：由发包人承担由此增加的费用和（或）顺延工期，并支付合理利润，具体索赔程序按照第19条〔索赔〕约定执行。</w:t>
      </w:r>
    </w:p>
    <w:p>
      <w:pPr>
        <w:spacing w:line="440" w:lineRule="exact"/>
        <w:ind w:firstLine="440" w:firstLineChars="200"/>
        <w:jc w:val="left"/>
        <w:rPr>
          <w:rFonts w:asciiTheme="minorEastAsia" w:hAnsiTheme="minorEastAsia" w:eastAsiaTheme="minorEastAsia" w:cstheme="minorEastAsia"/>
          <w:kern w:val="0"/>
          <w:sz w:val="22"/>
          <w:szCs w:val="22"/>
          <w:u w:val="single"/>
        </w:rPr>
      </w:pPr>
      <w:r>
        <w:rPr>
          <w:rFonts w:hint="eastAsia" w:asciiTheme="minorEastAsia" w:hAnsiTheme="minorEastAsia" w:eastAsiaTheme="minorEastAsia" w:cstheme="minorEastAsia"/>
          <w:kern w:val="0"/>
          <w:sz w:val="22"/>
          <w:szCs w:val="22"/>
        </w:rPr>
        <w:t>（12）因发包人原因导致工程无法按期办理竣工验收或竣工结算的违约责任：由发包人承担由此增加的费用和（或）顺延工期，并支付合理利润，具体索赔程序按照第19条〔索赔〕约定执行。</w:t>
      </w:r>
    </w:p>
    <w:p>
      <w:pPr>
        <w:spacing w:line="440" w:lineRule="exact"/>
        <w:ind w:firstLine="440" w:firstLineChars="200"/>
        <w:jc w:val="left"/>
        <w:rPr>
          <w:rFonts w:asciiTheme="minorEastAsia" w:hAnsiTheme="minorEastAsia" w:eastAsiaTheme="minorEastAsia" w:cstheme="minorEastAsia"/>
          <w:kern w:val="0"/>
          <w:sz w:val="22"/>
          <w:szCs w:val="22"/>
          <w:u w:val="single"/>
        </w:rPr>
      </w:pPr>
      <w:r>
        <w:rPr>
          <w:rFonts w:hint="eastAsia" w:asciiTheme="minorEastAsia" w:hAnsiTheme="minorEastAsia" w:eastAsiaTheme="minorEastAsia" w:cstheme="minorEastAsia"/>
          <w:sz w:val="22"/>
          <w:szCs w:val="22"/>
        </w:rPr>
        <w:t>（13）</w:t>
      </w:r>
      <w:r>
        <w:rPr>
          <w:rFonts w:hint="eastAsia" w:asciiTheme="minorEastAsia" w:hAnsiTheme="minorEastAsia" w:eastAsiaTheme="minorEastAsia" w:cstheme="minorEastAsia"/>
          <w:kern w:val="0"/>
          <w:sz w:val="22"/>
          <w:szCs w:val="22"/>
        </w:rPr>
        <w:t>发包人无正当理由未按约定退还履约担保、低价风险担保、预付款担保或质量保证金的违约责任：发包人应向承包人支付违约金，自应当退还之日起28天后开始计算违约金，</w:t>
      </w:r>
      <w:r>
        <w:rPr>
          <w:rFonts w:hint="eastAsia" w:asciiTheme="minorEastAsia" w:hAnsiTheme="minorEastAsia" w:eastAsiaTheme="minorEastAsia" w:cstheme="minorEastAsia"/>
          <w:kern w:val="0"/>
          <w:sz w:val="22"/>
          <w:szCs w:val="22"/>
          <w:u w:val="single"/>
        </w:rPr>
        <w:t>计算公式：违约金=应退未退担保金额×当期央行五年期以上基准贷款利率/360天×逾期天数</w:t>
      </w:r>
      <w:r>
        <w:rPr>
          <w:rFonts w:hint="eastAsia" w:asciiTheme="minorEastAsia" w:hAnsiTheme="minorEastAsia" w:eastAsiaTheme="minorEastAsia" w:cstheme="minorEastAsia"/>
          <w:sz w:val="22"/>
          <w:szCs w:val="22"/>
          <w:u w:val="single"/>
        </w:rPr>
        <w:t>（自第29天起计算）</w:t>
      </w:r>
      <w:r>
        <w:rPr>
          <w:rFonts w:hint="eastAsia" w:asciiTheme="minorEastAsia" w:hAnsiTheme="minorEastAsia" w:eastAsiaTheme="minorEastAsia" w:cstheme="minorEastAsia"/>
          <w:kern w:val="0"/>
          <w:sz w:val="22"/>
          <w:szCs w:val="22"/>
        </w:rPr>
        <w:t>。</w:t>
      </w:r>
    </w:p>
    <w:p>
      <w:pPr>
        <w:pStyle w:val="2"/>
        <w:spacing w:line="440" w:lineRule="exact"/>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w:t>
      </w:r>
      <w:r>
        <w:rPr>
          <w:rFonts w:hint="eastAsia" w:asciiTheme="minorEastAsia" w:hAnsiTheme="minorEastAsia" w:eastAsiaTheme="minorEastAsia" w:cstheme="minorEastAsia"/>
          <w:sz w:val="22"/>
          <w:szCs w:val="22"/>
        </w:rPr>
        <w:t>发包人不当提取履约担保、低价风险担保、预付款担保或质量保证金的，应及时予以退还，若不当提取超过28天的，应承担违约责任：发包人应向承包人支付违约金，</w:t>
      </w:r>
      <w:r>
        <w:rPr>
          <w:rFonts w:hint="eastAsia" w:asciiTheme="minorEastAsia" w:hAnsiTheme="minorEastAsia" w:eastAsiaTheme="minorEastAsia" w:cstheme="minorEastAsia"/>
          <w:sz w:val="22"/>
          <w:szCs w:val="22"/>
          <w:u w:val="single"/>
        </w:rPr>
        <w:t>计算公式：违约金=不当提取的担保金额×当期央行五年期以上基准贷款利率/360天×逾期天数（自第29天起计算）</w:t>
      </w:r>
      <w:r>
        <w:rPr>
          <w:rFonts w:hint="eastAsia" w:asciiTheme="minorEastAsia" w:hAnsiTheme="minorEastAsia" w:eastAsiaTheme="minorEastAsia" w:cstheme="minorEastAsia"/>
          <w:sz w:val="22"/>
          <w:szCs w:val="22"/>
        </w:rPr>
        <w:t>。</w:t>
      </w:r>
    </w:p>
    <w:p>
      <w:pPr>
        <w:pStyle w:val="2"/>
        <w:spacing w:line="44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（15）发包人未按合同约定接收全部或部分工作的违约责任：由发包人承担自应当接收工程之日起的工程照管、成品保护、保管等与工程有关的各项费用。</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（16）由于发包人原因对承包人造成的人员人身伤亡和财产损失的，由发包人负责赔偿，并承担由此增加的费用和（或）延误的工期，并支付合理利润。</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（17）发包人未按合同约定办理保险的违约责任：除按18.6.1项约定执行外，每延迟1天，按</w:t>
      </w:r>
      <w:r>
        <w:rPr>
          <w:rFonts w:hint="eastAsia" w:asciiTheme="minorEastAsia" w:hAnsiTheme="minorEastAsia" w:eastAsiaTheme="minorEastAsia" w:cstheme="minorEastAsia"/>
          <w:kern w:val="0"/>
          <w:sz w:val="22"/>
          <w:szCs w:val="22"/>
          <w:u w:val="single"/>
        </w:rPr>
        <w:t>500元/天</w:t>
      </w:r>
      <w:r>
        <w:rPr>
          <w:rFonts w:hint="eastAsia" w:asciiTheme="minorEastAsia" w:hAnsiTheme="minorEastAsia" w:eastAsiaTheme="minorEastAsia" w:cstheme="minorEastAsia"/>
          <w:kern w:val="0"/>
          <w:sz w:val="22"/>
          <w:szCs w:val="22"/>
        </w:rPr>
        <w:t>支付违约金。</w:t>
      </w:r>
    </w:p>
    <w:p>
      <w:pPr>
        <w:autoSpaceDE w:val="0"/>
        <w:autoSpaceDN w:val="0"/>
        <w:adjustRightIn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44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16.1.3 因发包人违约解除合同</w:t>
      </w:r>
    </w:p>
    <w:p>
      <w:pPr>
        <w:autoSpaceDE w:val="0"/>
        <w:autoSpaceDN w:val="0"/>
        <w:adjustRightIn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因发包人违约并致使合同目的不能实现的，承包人有权解除合同：</w:t>
      </w:r>
    </w:p>
    <w:p>
      <w:pPr>
        <w:autoSpaceDE w:val="0"/>
        <w:autoSpaceDN w:val="0"/>
        <w:adjustRightIn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（1）因发包人原因延迟支付合同价款超过180天的；</w:t>
      </w:r>
    </w:p>
    <w:p>
      <w:pPr>
        <w:autoSpaceDE w:val="0"/>
        <w:autoSpaceDN w:val="0"/>
        <w:adjustRightIn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（2）因发包人原因导致工期延误超过90天的；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（3）因发包人第16.1.2（5）违约情形导致暂停施工满56天，且发包人仍未纠正其违约行为的；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（4）其他未履行合同项下的义务构成对合同的实质性违约，并且在收到承包人要求说明其违约并予以补救的通知后56天内仍未补救该实质性违约的。</w:t>
      </w:r>
    </w:p>
    <w:p>
      <w:pPr>
        <w:spacing w:line="44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16.1.4 因发包人违约解除合同后的付款</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承包人按照本款约定解除合同的，发包人应在解除合同后28天内支付下列款项，并解除履约担保、低价风险担保、预付款担保：</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（1）合同解除前所完成工作的价款；</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（2）承包人为工程施工订购并已付款的材料、工程设备和其他物品的价款；</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（3）承包人撤离施工现场以及遣散承包人人员的款项；</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（4）按照合同约定在合同解除前应支付的违约金；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（5）按照合同约定应当支付给承包人的其他款项；</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（6）按照合同约定应退还的质量保证金；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（7）因解除合同给承包人造成的损失。</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合同当事人未能就解除合同后的结清达成一致的，按照第20条〔争议解决〕的约定处理。</w:t>
      </w:r>
    </w:p>
    <w:p>
      <w:pPr>
        <w:snapToGrid w:val="0"/>
        <w:spacing w:line="440" w:lineRule="exact"/>
        <w:ind w:firstLine="440" w:firstLineChars="200"/>
        <w:jc w:val="left"/>
        <w:rPr>
          <w:rFonts w:asciiTheme="minorEastAsia" w:hAnsiTheme="minorEastAsia" w:eastAsiaTheme="minorEastAsia" w:cstheme="minorEastAsia"/>
          <w:kern w:val="0"/>
          <w:sz w:val="22"/>
          <w:szCs w:val="22"/>
          <w:u w:val="single"/>
        </w:rPr>
      </w:pPr>
      <w:r>
        <w:rPr>
          <w:rFonts w:hint="eastAsia" w:asciiTheme="minorEastAsia" w:hAnsiTheme="minorEastAsia" w:eastAsiaTheme="minorEastAsia" w:cstheme="minorEastAsia"/>
          <w:kern w:val="0"/>
          <w:sz w:val="22"/>
          <w:szCs w:val="22"/>
        </w:rPr>
        <w:t>承包人应妥善做好已完工程和与工程有关的已购材料、工程设备的保护和移交工作，并将施工设备和人员撤出施工现场，发包人应为承包人撤出提供必要条件。</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29" w:name="_Toc532377403"/>
      <w:r>
        <w:rPr>
          <w:rFonts w:hint="eastAsia" w:asciiTheme="minorEastAsia" w:hAnsiTheme="minorEastAsia" w:eastAsiaTheme="minorEastAsia" w:cstheme="minorEastAsia"/>
          <w:sz w:val="22"/>
          <w:szCs w:val="22"/>
        </w:rPr>
        <w:t>16.2 承包人违约</w:t>
      </w:r>
      <w:bookmarkEnd w:id="1529"/>
    </w:p>
    <w:p>
      <w:pPr>
        <w:snapToGrid w:val="0"/>
        <w:spacing w:line="440" w:lineRule="exact"/>
        <w:ind w:firstLine="440" w:firstLineChars="200"/>
        <w:jc w:val="left"/>
        <w:rPr>
          <w:rFonts w:asciiTheme="minorEastAsia" w:hAnsiTheme="minorEastAsia" w:eastAsiaTheme="minorEastAsia" w:cstheme="minorEastAsia"/>
          <w:kern w:val="0"/>
          <w:sz w:val="22"/>
          <w:szCs w:val="22"/>
        </w:rPr>
      </w:pPr>
      <w:bookmarkStart w:id="1530" w:name="_Hlk524380579"/>
      <w:r>
        <w:rPr>
          <w:rFonts w:hint="eastAsia" w:asciiTheme="minorEastAsia" w:hAnsiTheme="minorEastAsia" w:eastAsiaTheme="minorEastAsia" w:cstheme="minorEastAsia"/>
          <w:kern w:val="0"/>
          <w:sz w:val="22"/>
          <w:szCs w:val="22"/>
        </w:rPr>
        <w:t>16.2.1 承包人违约的情形</w:t>
      </w:r>
    </w:p>
    <w:p>
      <w:pPr>
        <w:snapToGrid w:val="0"/>
        <w:spacing w:line="440" w:lineRule="exact"/>
        <w:ind w:firstLine="440" w:firstLineChars="200"/>
        <w:jc w:val="left"/>
        <w:rPr>
          <w:rFonts w:asciiTheme="minorEastAsia" w:hAnsiTheme="minorEastAsia" w:eastAsiaTheme="minorEastAsia" w:cstheme="minorEastAsia"/>
          <w:kern w:val="0"/>
          <w:sz w:val="22"/>
          <w:szCs w:val="22"/>
          <w:u w:val="single"/>
        </w:rPr>
      </w:pPr>
      <w:r>
        <w:rPr>
          <w:rFonts w:hint="eastAsia" w:asciiTheme="minorEastAsia" w:hAnsiTheme="minorEastAsia" w:eastAsiaTheme="minorEastAsia" w:cstheme="minorEastAsia"/>
          <w:kern w:val="0"/>
          <w:sz w:val="22"/>
          <w:szCs w:val="22"/>
        </w:rPr>
        <w:t>除通用合同条款约定外，承包人违约的其他情形：</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（1）承包人未按合同约定提交履约担保或质量保证金的；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（2）承包人未能按期开工的；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（3）承包人未按投标文件或监理人的要求及时配备称职的主要管理人员，或承包人未按经审定的施工组织设计配备或更换关键施工设备的；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（4）承包人有安全问题或有违反安全管理规章制度情况的；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（5）承包人在缺陷责任期及保修期内，未能在合理期限对工程缺陷进行修复，或拒绝按发包人要求进行修复的；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（6）承包人拖欠其工人或所雇人员工资或报酬，导致其工人或所雇人员向有关部门投诉、控告、检举或以聚集等方式讨要工资或报酬的；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（7）承包人不配合发包人、监理人及发包人委托的工程造价咨询服务单位结算审核或承包人其他原因导致未按期完成工程竣工结算的；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（8）承包人违反合同约定进行转包或违法分包的；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（9）承包人未按合同约定移交全部或部分工作的；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（10）承包人未按合同约定购买保险的；</w:t>
      </w:r>
    </w:p>
    <w:p>
      <w:pPr>
        <w:snapToGrid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（11）项目经理若有以下情形，属于承包人违约：</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1）项目经理不按承诺到岗的；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2）每月在施工现场的天数少于约定天数的；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3）承包人未提交项目经理劳动合同和社会保险证明的；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4）未经批准，擅自离开施工现场（超过约定时间）的；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5）未经批准，擅自变更项目经理的；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6）按照渝建发〔2015〕35号文的要求，施工期间，项目经理因在一个记分周期内累计记分达到12分，被建设行政主管部门依法责令停止执业的；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7）发包人有正当理由认为项目经理不称职/不履职，且承包人在约定时间内不予更换的；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8）其他双方约定的情形。</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（12）技术负责人若有以下情形，属于承包人违约：</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1）每月在施工现场的天数少于约定天数的；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2）承包人未提交项目经理劳动合同和社会保险证明的；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3）未经批准，擅自离开施工现场（超过约定时间）的；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4）未经批准，擅自变更技术负责人的；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5）发包人有正当理由认为技术负责人不称职/不履职，且承包人在约定时间内不予更换的；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6）其他双方约定的情形。</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（13）主要施工管理人员若有以下情形，属于承包人违约：</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1）承包人未提交项目经理劳动合同和社会保险证明的；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2）未经批准，擅自离开施工现场（超过约定时间）的；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3）未经批准，擅自变更主要施工管理人员的；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4）发包人有正当理由认为主要施工管理人员不称职/不履职，且承包人在约定时间内不予更换的；</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5）其他双方约定的情形。</w:t>
      </w:r>
    </w:p>
    <w:bookmarkEnd w:id="1530"/>
    <w:p>
      <w:pPr>
        <w:adjustRightInd w:val="0"/>
        <w:snapToGrid w:val="0"/>
        <w:spacing w:line="440" w:lineRule="exact"/>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adjustRightInd w:val="0"/>
        <w:snapToGrid w:val="0"/>
        <w:spacing w:line="440" w:lineRule="exact"/>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16.2.2 承包人违约的责任</w:t>
      </w:r>
    </w:p>
    <w:p>
      <w:pPr>
        <w:adjustRightInd w:val="0"/>
        <w:snapToGrid w:val="0"/>
        <w:spacing w:line="440" w:lineRule="exact"/>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承包人违约责任的承担方式和计算方法：</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（1）承包人未按合同约定提交履约担保、质量保证金的违约责任：承包人应支付违约金，</w:t>
      </w:r>
      <w:r>
        <w:rPr>
          <w:rFonts w:hint="eastAsia" w:asciiTheme="minorEastAsia" w:hAnsiTheme="minorEastAsia" w:eastAsiaTheme="minorEastAsia" w:cstheme="minorEastAsia"/>
          <w:sz w:val="22"/>
          <w:szCs w:val="22"/>
        </w:rPr>
        <w:t>违约金的计算方法：</w:t>
      </w:r>
      <w:r>
        <w:rPr>
          <w:rFonts w:hint="eastAsia" w:asciiTheme="minorEastAsia" w:hAnsiTheme="minorEastAsia" w:eastAsiaTheme="minorEastAsia" w:cstheme="minorEastAsia"/>
          <w:kern w:val="0"/>
          <w:sz w:val="22"/>
          <w:szCs w:val="22"/>
        </w:rPr>
        <w:t>每延误1天，承包人按</w:t>
      </w:r>
      <w:r>
        <w:rPr>
          <w:rFonts w:hint="eastAsia" w:asciiTheme="minorEastAsia" w:hAnsiTheme="minorEastAsia" w:eastAsiaTheme="minorEastAsia" w:cstheme="minorEastAsia"/>
          <w:b/>
          <w:bCs/>
          <w:kern w:val="0"/>
          <w:sz w:val="22"/>
          <w:szCs w:val="22"/>
          <w:u w:val="single"/>
          <w:lang w:val="en-US" w:eastAsia="zh-CN"/>
        </w:rPr>
        <w:t>1</w:t>
      </w:r>
      <w:r>
        <w:rPr>
          <w:rFonts w:hint="eastAsia" w:asciiTheme="minorEastAsia" w:hAnsiTheme="minorEastAsia" w:eastAsiaTheme="minorEastAsia" w:cstheme="minorEastAsia"/>
          <w:b/>
          <w:bCs/>
          <w:kern w:val="0"/>
          <w:sz w:val="22"/>
          <w:szCs w:val="22"/>
          <w:u w:val="single"/>
        </w:rPr>
        <w:t>0000元/天</w:t>
      </w:r>
      <w:r>
        <w:rPr>
          <w:rFonts w:hint="eastAsia" w:asciiTheme="minorEastAsia" w:hAnsiTheme="minorEastAsia" w:eastAsiaTheme="minorEastAsia" w:cstheme="minorEastAsia"/>
          <w:b/>
          <w:bCs/>
          <w:kern w:val="0"/>
          <w:sz w:val="22"/>
          <w:szCs w:val="22"/>
        </w:rPr>
        <w:t>计</w:t>
      </w:r>
      <w:r>
        <w:rPr>
          <w:rFonts w:hint="eastAsia" w:asciiTheme="minorEastAsia" w:hAnsiTheme="minorEastAsia" w:eastAsiaTheme="minorEastAsia" w:cstheme="minorEastAsia"/>
          <w:kern w:val="0"/>
          <w:sz w:val="22"/>
          <w:szCs w:val="22"/>
        </w:rPr>
        <w:t>算违约金，累计违约金上限：</w:t>
      </w:r>
      <w:r>
        <w:rPr>
          <w:rFonts w:hint="eastAsia" w:asciiTheme="minorEastAsia" w:hAnsiTheme="minorEastAsia" w:eastAsiaTheme="minorEastAsia" w:cstheme="minorEastAsia"/>
          <w:kern w:val="0"/>
          <w:sz w:val="22"/>
          <w:szCs w:val="22"/>
          <w:u w:val="single"/>
        </w:rPr>
        <w:t>不超过签约合同价的3%</w:t>
      </w:r>
      <w:r>
        <w:rPr>
          <w:rFonts w:hint="eastAsia" w:asciiTheme="minorEastAsia" w:hAnsiTheme="minorEastAsia" w:eastAsiaTheme="minorEastAsia" w:cstheme="minorEastAsia"/>
          <w:kern w:val="0"/>
          <w:sz w:val="22"/>
          <w:szCs w:val="22"/>
          <w:lang w:val="zh-CN"/>
        </w:rPr>
        <w:t>。</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（2）承包人违反合同约定进行转包或违法分包的违约责任：按照违反合同约定进行转包和（或）违法分包相应转包和（或）分包合同的合同金额的</w:t>
      </w:r>
      <w:r>
        <w:rPr>
          <w:rFonts w:hint="eastAsia" w:asciiTheme="minorEastAsia" w:hAnsiTheme="minorEastAsia" w:eastAsiaTheme="minorEastAsia" w:cstheme="minorEastAsia"/>
          <w:kern w:val="0"/>
          <w:sz w:val="22"/>
          <w:szCs w:val="22"/>
          <w:u w:val="single"/>
        </w:rPr>
        <w:t>10%</w:t>
      </w:r>
      <w:r>
        <w:rPr>
          <w:rFonts w:hint="eastAsia" w:asciiTheme="minorEastAsia" w:hAnsiTheme="minorEastAsia" w:eastAsiaTheme="minorEastAsia" w:cstheme="minorEastAsia"/>
          <w:kern w:val="0"/>
          <w:sz w:val="22"/>
          <w:szCs w:val="22"/>
        </w:rPr>
        <w:t>支付违约金，违法转/分包商应在7天内撤离出场。</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（3）承包人违反合同约定采购和使用不合格的材料和工程设备的违约责任：按照违反合同约定采购和使用不合格的材料和（或）工程设备相应合同金额的</w:t>
      </w:r>
      <w:r>
        <w:rPr>
          <w:rFonts w:hint="eastAsia" w:asciiTheme="minorEastAsia" w:hAnsiTheme="minorEastAsia" w:eastAsiaTheme="minorEastAsia" w:cstheme="minorEastAsia"/>
          <w:kern w:val="0"/>
          <w:sz w:val="22"/>
          <w:szCs w:val="22"/>
          <w:u w:val="single"/>
        </w:rPr>
        <w:t>10%</w:t>
      </w:r>
      <w:r>
        <w:rPr>
          <w:rFonts w:hint="eastAsia" w:asciiTheme="minorEastAsia" w:hAnsiTheme="minorEastAsia" w:eastAsiaTheme="minorEastAsia" w:cstheme="minorEastAsia"/>
          <w:kern w:val="0"/>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（4）因承包人原因导致工程质量不符合规定或合同要求的违约责任：承包人退还已支付工程质量不符合合同要求工程的工程款，并按照工程质量不符合合同要求工程相应合同金额的</w:t>
      </w:r>
      <w:r>
        <w:rPr>
          <w:rFonts w:hint="eastAsia" w:asciiTheme="minorEastAsia" w:hAnsiTheme="minorEastAsia" w:eastAsiaTheme="minorEastAsia" w:cstheme="minorEastAsia"/>
          <w:kern w:val="0"/>
          <w:sz w:val="22"/>
          <w:szCs w:val="22"/>
          <w:u w:val="single"/>
        </w:rPr>
        <w:t>10%</w:t>
      </w:r>
      <w:r>
        <w:rPr>
          <w:rFonts w:hint="eastAsia" w:asciiTheme="minorEastAsia" w:hAnsiTheme="minorEastAsia" w:eastAsiaTheme="minorEastAsia" w:cstheme="minorEastAsia"/>
          <w:kern w:val="0"/>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（5）承包人违反材料与设备的约定，未经批准，擅自将已按照合同约定进入施工现场的材料或设备撤离施工现场的违约责任：按照承包人擅自撤离施工现场材料和（或）设备相应合同金额的</w:t>
      </w:r>
      <w:r>
        <w:rPr>
          <w:rFonts w:hint="eastAsia" w:asciiTheme="minorEastAsia" w:hAnsiTheme="minorEastAsia" w:eastAsiaTheme="minorEastAsia" w:cstheme="minorEastAsia"/>
          <w:kern w:val="0"/>
          <w:sz w:val="22"/>
          <w:szCs w:val="22"/>
          <w:u w:val="single"/>
        </w:rPr>
        <w:t xml:space="preserve"> 5%</w:t>
      </w:r>
      <w:r>
        <w:rPr>
          <w:rFonts w:hint="eastAsia" w:asciiTheme="minorEastAsia" w:hAnsiTheme="minorEastAsia" w:eastAsiaTheme="minorEastAsia" w:cstheme="minorEastAsia"/>
          <w:kern w:val="0"/>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（6）因承包人原因造成工期延误的违约承担方式和计算方法：由承包人承担由此增加的费用，</w:t>
      </w:r>
      <w:r>
        <w:rPr>
          <w:rFonts w:hint="eastAsia" w:asciiTheme="minorEastAsia" w:hAnsiTheme="minorEastAsia" w:eastAsiaTheme="minorEastAsia" w:cstheme="minorEastAsia"/>
          <w:sz w:val="22"/>
          <w:szCs w:val="22"/>
        </w:rPr>
        <w:t>由此导致工期延误的，工期不予顺延；逾期竣工违约金的计算方法：</w:t>
      </w:r>
      <w:r>
        <w:rPr>
          <w:rFonts w:hint="eastAsia" w:asciiTheme="minorEastAsia" w:hAnsiTheme="minorEastAsia" w:eastAsiaTheme="minorEastAsia" w:cstheme="minorEastAsia"/>
          <w:b/>
          <w:kern w:val="0"/>
          <w:sz w:val="22"/>
          <w:szCs w:val="22"/>
        </w:rPr>
        <w:t>每延误1天，承包人按</w:t>
      </w:r>
      <w:r>
        <w:rPr>
          <w:rFonts w:hint="eastAsia" w:asciiTheme="minorEastAsia" w:hAnsiTheme="minorEastAsia" w:eastAsiaTheme="minorEastAsia" w:cstheme="minorEastAsia"/>
          <w:b/>
          <w:kern w:val="0"/>
          <w:sz w:val="22"/>
          <w:szCs w:val="22"/>
          <w:u w:val="single"/>
          <w:lang w:val="en-US" w:eastAsia="zh-CN"/>
        </w:rPr>
        <w:t>1</w:t>
      </w:r>
      <w:r>
        <w:rPr>
          <w:rFonts w:hint="eastAsia" w:asciiTheme="minorEastAsia" w:hAnsiTheme="minorEastAsia" w:eastAsiaTheme="minorEastAsia" w:cstheme="minorEastAsia"/>
          <w:b/>
          <w:kern w:val="0"/>
          <w:sz w:val="22"/>
          <w:szCs w:val="22"/>
          <w:u w:val="single"/>
        </w:rPr>
        <w:t>0000元/天</w:t>
      </w:r>
      <w:r>
        <w:rPr>
          <w:rFonts w:hint="eastAsia" w:asciiTheme="minorEastAsia" w:hAnsiTheme="minorEastAsia" w:eastAsiaTheme="minorEastAsia" w:cstheme="minorEastAsia"/>
          <w:b/>
          <w:kern w:val="0"/>
          <w:sz w:val="22"/>
          <w:szCs w:val="22"/>
        </w:rPr>
        <w:t>计算逾期竣工违约金</w:t>
      </w:r>
      <w:r>
        <w:rPr>
          <w:rFonts w:hint="eastAsia" w:asciiTheme="minorEastAsia" w:hAnsiTheme="minorEastAsia" w:eastAsiaTheme="minorEastAsia" w:cstheme="minorEastAsia"/>
          <w:kern w:val="0"/>
          <w:sz w:val="22"/>
          <w:szCs w:val="22"/>
        </w:rPr>
        <w:t>，累计违约金上限：</w:t>
      </w:r>
      <w:r>
        <w:rPr>
          <w:rFonts w:hint="eastAsia" w:asciiTheme="minorEastAsia" w:hAnsiTheme="minorEastAsia" w:eastAsiaTheme="minorEastAsia" w:cstheme="minorEastAsia"/>
          <w:kern w:val="0"/>
          <w:sz w:val="22"/>
          <w:szCs w:val="22"/>
          <w:u w:val="single"/>
        </w:rPr>
        <w:t>不超过签约合同价</w:t>
      </w:r>
      <w:r>
        <w:rPr>
          <w:rFonts w:hint="eastAsia" w:asciiTheme="minorEastAsia" w:hAnsiTheme="minorEastAsia" w:eastAsiaTheme="minorEastAsia" w:cstheme="minorEastAsia"/>
          <w:kern w:val="0"/>
          <w:sz w:val="22"/>
          <w:szCs w:val="22"/>
          <w:lang w:val="zh-CN"/>
        </w:rPr>
        <w:t>；</w:t>
      </w:r>
      <w:r>
        <w:rPr>
          <w:rFonts w:hint="eastAsia" w:asciiTheme="minorEastAsia" w:hAnsiTheme="minorEastAsia" w:eastAsiaTheme="minorEastAsia" w:cstheme="minorEastAsia"/>
          <w:kern w:val="0"/>
          <w:sz w:val="22"/>
          <w:szCs w:val="22"/>
        </w:rPr>
        <w:t>承包人支付逾期竣工违约金后，不免除承包人继续完成工程及修补缺陷的义务。</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（7）承包人在缺陷责任期及保修期内，未能在合理期限对工程缺陷进行修复，或拒绝按发包人要求进行修复的违约责任：按照发包人修复缺陷费用的</w:t>
      </w:r>
      <w:r>
        <w:rPr>
          <w:rFonts w:hint="eastAsia" w:asciiTheme="minorEastAsia" w:hAnsiTheme="minorEastAsia" w:eastAsiaTheme="minorEastAsia" w:cstheme="minorEastAsia"/>
          <w:kern w:val="0"/>
          <w:sz w:val="22"/>
          <w:szCs w:val="22"/>
          <w:u w:val="single"/>
        </w:rPr>
        <w:t>2%</w:t>
      </w:r>
      <w:r>
        <w:rPr>
          <w:rFonts w:hint="eastAsia" w:asciiTheme="minorEastAsia" w:hAnsiTheme="minorEastAsia" w:eastAsiaTheme="minorEastAsia" w:cstheme="minorEastAsia"/>
          <w:kern w:val="0"/>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（8）承包人明确表示或者以其行为表明不履行合同主要义务的违约责任：按签约合同价的</w:t>
      </w:r>
      <w:r>
        <w:rPr>
          <w:rFonts w:hint="eastAsia" w:asciiTheme="minorEastAsia" w:hAnsiTheme="minorEastAsia" w:eastAsiaTheme="minorEastAsia" w:cstheme="minorEastAsia"/>
          <w:kern w:val="0"/>
          <w:sz w:val="22"/>
          <w:szCs w:val="22"/>
          <w:u w:val="single"/>
        </w:rPr>
        <w:t>10%</w:t>
      </w:r>
      <w:r>
        <w:rPr>
          <w:rFonts w:hint="eastAsia" w:asciiTheme="minorEastAsia" w:hAnsiTheme="minorEastAsia" w:eastAsiaTheme="minorEastAsia" w:cstheme="minorEastAsia"/>
          <w:kern w:val="0"/>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（9）承包人未能按照合同约定履行其他义务的违约责任：按</w:t>
      </w:r>
      <w:r>
        <w:rPr>
          <w:rFonts w:hint="eastAsia" w:asciiTheme="minorEastAsia" w:hAnsiTheme="minorEastAsia" w:eastAsiaTheme="minorEastAsia" w:cstheme="minorEastAsia"/>
          <w:kern w:val="0"/>
          <w:sz w:val="22"/>
          <w:szCs w:val="22"/>
          <w:u w:val="single"/>
        </w:rPr>
        <w:t>5000元/次</w:t>
      </w:r>
      <w:r>
        <w:rPr>
          <w:rFonts w:hint="eastAsia" w:asciiTheme="minorEastAsia" w:hAnsiTheme="minorEastAsia" w:eastAsiaTheme="minorEastAsia" w:cstheme="minorEastAsia"/>
          <w:kern w:val="0"/>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（10）承包人未能按期开工的违约责任：按合同价</w:t>
      </w:r>
      <w:r>
        <w:rPr>
          <w:rFonts w:hint="eastAsia" w:asciiTheme="minorEastAsia" w:hAnsiTheme="minorEastAsia" w:eastAsiaTheme="minorEastAsia" w:cstheme="minorEastAsia"/>
          <w:kern w:val="0"/>
          <w:sz w:val="22"/>
          <w:szCs w:val="22"/>
          <w:u w:val="single"/>
        </w:rPr>
        <w:t>1%/天</w:t>
      </w:r>
      <w:r>
        <w:rPr>
          <w:rFonts w:hint="eastAsia" w:asciiTheme="minorEastAsia" w:hAnsiTheme="minorEastAsia" w:eastAsiaTheme="minorEastAsia" w:cstheme="minorEastAsia"/>
          <w:kern w:val="0"/>
          <w:sz w:val="22"/>
          <w:szCs w:val="22"/>
        </w:rPr>
        <w:t>支付违约金，本项违约金累计限额为签约合同价的</w:t>
      </w:r>
      <w:r>
        <w:rPr>
          <w:rFonts w:hint="eastAsia" w:asciiTheme="minorEastAsia" w:hAnsiTheme="minorEastAsia" w:eastAsiaTheme="minorEastAsia" w:cstheme="minorEastAsia"/>
          <w:kern w:val="0"/>
          <w:sz w:val="22"/>
          <w:szCs w:val="22"/>
          <w:u w:val="single"/>
        </w:rPr>
        <w:t xml:space="preserve"> 10 %</w:t>
      </w:r>
      <w:r>
        <w:rPr>
          <w:rFonts w:hint="eastAsia" w:asciiTheme="minorEastAsia" w:hAnsiTheme="minorEastAsia" w:eastAsiaTheme="minorEastAsia" w:cstheme="minorEastAsia"/>
          <w:kern w:val="0"/>
          <w:sz w:val="22"/>
          <w:szCs w:val="22"/>
        </w:rPr>
        <w:t>。</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（11）承包人未按经审定的施工组织设计配备或更换关键施工设备的违约责任：按</w:t>
      </w:r>
      <w:r>
        <w:rPr>
          <w:rFonts w:hint="eastAsia" w:asciiTheme="minorEastAsia" w:hAnsiTheme="minorEastAsia" w:eastAsiaTheme="minorEastAsia" w:cstheme="minorEastAsia"/>
          <w:kern w:val="0"/>
          <w:sz w:val="22"/>
          <w:szCs w:val="22"/>
          <w:u w:val="single"/>
        </w:rPr>
        <w:t>20000元/台·次</w:t>
      </w:r>
      <w:r>
        <w:rPr>
          <w:rFonts w:hint="eastAsia" w:asciiTheme="minorEastAsia" w:hAnsiTheme="minorEastAsia" w:eastAsiaTheme="minorEastAsia" w:cstheme="minorEastAsia"/>
          <w:kern w:val="0"/>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（12）承包人有安全问题或有违反安全管理规章制度情况的违约责任：根据具体情节，按签约合同价的</w:t>
      </w:r>
      <w:r>
        <w:rPr>
          <w:rFonts w:hint="eastAsia" w:asciiTheme="minorEastAsia" w:hAnsiTheme="minorEastAsia" w:eastAsiaTheme="minorEastAsia" w:cstheme="minorEastAsia"/>
          <w:kern w:val="0"/>
          <w:sz w:val="22"/>
          <w:szCs w:val="22"/>
          <w:u w:val="single"/>
        </w:rPr>
        <w:t>4‰/次</w:t>
      </w:r>
      <w:r>
        <w:rPr>
          <w:rFonts w:hint="eastAsia" w:asciiTheme="minorEastAsia" w:hAnsiTheme="minorEastAsia" w:eastAsiaTheme="minorEastAsia" w:cstheme="minorEastAsia"/>
          <w:kern w:val="0"/>
          <w:sz w:val="22"/>
          <w:szCs w:val="22"/>
        </w:rPr>
        <w:t>支付违约金（累计不超过签约合同价的1%，详见附件9安全管理协议）。</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（13）承包人拖欠其工人或所雇人员工资或报酬，导致其工人或所雇人员向有关部门投诉、控告、检举或以聚集等方式讨要工资或报酬的违约责任：根据具体情节，按违约金额</w:t>
      </w:r>
      <w:r>
        <w:rPr>
          <w:rFonts w:hint="eastAsia" w:asciiTheme="minorEastAsia" w:hAnsiTheme="minorEastAsia" w:eastAsiaTheme="minorEastAsia" w:cstheme="minorEastAsia"/>
          <w:b/>
          <w:bCs/>
          <w:kern w:val="0"/>
          <w:sz w:val="22"/>
          <w:szCs w:val="22"/>
          <w:u w:val="single"/>
        </w:rPr>
        <w:t>50000元/次</w:t>
      </w:r>
      <w:r>
        <w:rPr>
          <w:rFonts w:hint="eastAsia" w:asciiTheme="minorEastAsia" w:hAnsiTheme="minorEastAsia" w:eastAsiaTheme="minorEastAsia" w:cstheme="minorEastAsia"/>
          <w:kern w:val="0"/>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（14）承包人不配合发包人、监理人及发包人委托的工程造价咨询服务单位结算审核的违约责任：根据具体情节，按</w:t>
      </w:r>
      <w:r>
        <w:rPr>
          <w:rFonts w:hint="eastAsia" w:asciiTheme="minorEastAsia" w:hAnsiTheme="minorEastAsia" w:eastAsiaTheme="minorEastAsia" w:cstheme="minorEastAsia"/>
          <w:b/>
          <w:bCs/>
          <w:kern w:val="0"/>
          <w:sz w:val="22"/>
          <w:szCs w:val="22"/>
          <w:u w:val="single"/>
          <w:lang w:val="en-US" w:eastAsia="zh-CN"/>
        </w:rPr>
        <w:t>3</w:t>
      </w:r>
      <w:r>
        <w:rPr>
          <w:rFonts w:hint="eastAsia" w:asciiTheme="minorEastAsia" w:hAnsiTheme="minorEastAsia" w:eastAsiaTheme="minorEastAsia" w:cstheme="minorEastAsia"/>
          <w:b/>
          <w:bCs/>
          <w:kern w:val="0"/>
          <w:sz w:val="22"/>
          <w:szCs w:val="22"/>
          <w:u w:val="single"/>
        </w:rPr>
        <w:t>0000元/次</w:t>
      </w:r>
      <w:r>
        <w:rPr>
          <w:rFonts w:hint="eastAsia" w:asciiTheme="minorEastAsia" w:hAnsiTheme="minorEastAsia" w:eastAsiaTheme="minorEastAsia" w:cstheme="minorEastAsia"/>
          <w:kern w:val="0"/>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（15）承包人未按合同约定移交全部和部分工程的违约责任：由承包人承担工程照管、成品保护、保管等与工程有关的各种费用，并按结算金额或违约部分结算金额的</w:t>
      </w:r>
      <w:r>
        <w:rPr>
          <w:rFonts w:hint="eastAsia" w:asciiTheme="minorEastAsia" w:hAnsiTheme="minorEastAsia" w:eastAsiaTheme="minorEastAsia" w:cstheme="minorEastAsia"/>
          <w:kern w:val="0"/>
          <w:sz w:val="22"/>
          <w:szCs w:val="22"/>
          <w:u w:val="single"/>
        </w:rPr>
        <w:t>1%</w:t>
      </w:r>
      <w:r>
        <w:rPr>
          <w:rFonts w:hint="eastAsia" w:asciiTheme="minorEastAsia" w:hAnsiTheme="minorEastAsia" w:eastAsiaTheme="minorEastAsia" w:cstheme="minorEastAsia"/>
          <w:kern w:val="0"/>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（16）承包人未按合同约定购买保险的违约责任：除按18.6.2项约定执行外，每延迟1天，按</w:t>
      </w:r>
      <w:r>
        <w:rPr>
          <w:rFonts w:hint="eastAsia" w:asciiTheme="minorEastAsia" w:hAnsiTheme="minorEastAsia" w:eastAsiaTheme="minorEastAsia" w:cstheme="minorEastAsia"/>
          <w:sz w:val="22"/>
          <w:szCs w:val="22"/>
          <w:u w:val="single"/>
        </w:rPr>
        <w:t>500元/天</w:t>
      </w:r>
      <w:r>
        <w:rPr>
          <w:rFonts w:hint="eastAsia" w:asciiTheme="minorEastAsia" w:hAnsiTheme="minorEastAsia" w:eastAsiaTheme="minorEastAsia" w:cstheme="minorEastAsia"/>
          <w:sz w:val="22"/>
          <w:szCs w:val="22"/>
        </w:rPr>
        <w:t>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（17）发生第16.2.1项（11）目、16.2.1项（12）目、16.2.1项（13）目违约情形的违约责任：除承担由此增加的费用和工期延误的责任，承包人应向发包人支付违约金：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1）项目经理违约承担方式和计算方法：对于第16.2.1项（11）目的情形，每发现一次，根据具体情节，按</w:t>
      </w:r>
      <w:r>
        <w:rPr>
          <w:rFonts w:hint="eastAsia" w:asciiTheme="minorEastAsia" w:hAnsiTheme="minorEastAsia" w:eastAsiaTheme="minorEastAsia" w:cstheme="minorEastAsia"/>
          <w:kern w:val="0"/>
          <w:sz w:val="22"/>
          <w:szCs w:val="22"/>
          <w:u w:val="single"/>
        </w:rPr>
        <w:t>30000元/天·次</w:t>
      </w:r>
      <w:r>
        <w:rPr>
          <w:rFonts w:hint="eastAsia" w:asciiTheme="minorEastAsia" w:hAnsiTheme="minorEastAsia" w:eastAsiaTheme="minorEastAsia" w:cstheme="minorEastAsia"/>
          <w:kern w:val="0"/>
          <w:sz w:val="22"/>
          <w:szCs w:val="22"/>
        </w:rPr>
        <w:t>计算违约金；项目经理不按承诺到岗的（3.2.3项约定的情形除外），按履约保证金的</w:t>
      </w:r>
      <w:r>
        <w:rPr>
          <w:rFonts w:hint="eastAsia" w:asciiTheme="minorEastAsia" w:hAnsiTheme="minorEastAsia" w:eastAsiaTheme="minorEastAsia" w:cstheme="minorEastAsia"/>
          <w:kern w:val="0"/>
          <w:sz w:val="22"/>
          <w:szCs w:val="22"/>
          <w:u w:val="single"/>
        </w:rPr>
        <w:t>100%</w:t>
      </w:r>
      <w:r>
        <w:rPr>
          <w:rFonts w:hint="eastAsia" w:asciiTheme="minorEastAsia" w:hAnsiTheme="minorEastAsia" w:eastAsiaTheme="minorEastAsia" w:cstheme="minorEastAsia"/>
          <w:kern w:val="0"/>
          <w:sz w:val="22"/>
          <w:szCs w:val="22"/>
        </w:rPr>
        <w:t>支付违约金，并解除合同；擅自更换项目经理的，按签约合同价的</w:t>
      </w:r>
      <w:r>
        <w:rPr>
          <w:rFonts w:hint="eastAsia" w:asciiTheme="minorEastAsia" w:hAnsiTheme="minorEastAsia" w:eastAsiaTheme="minorEastAsia" w:cstheme="minorEastAsia"/>
          <w:kern w:val="0"/>
          <w:sz w:val="22"/>
          <w:szCs w:val="22"/>
          <w:u w:val="single"/>
        </w:rPr>
        <w:t>3%/人·次</w:t>
      </w:r>
      <w:r>
        <w:rPr>
          <w:rFonts w:hint="eastAsia" w:asciiTheme="minorEastAsia" w:hAnsiTheme="minorEastAsia" w:eastAsiaTheme="minorEastAsia" w:cstheme="minorEastAsia"/>
          <w:kern w:val="0"/>
          <w:sz w:val="22"/>
          <w:szCs w:val="22"/>
        </w:rPr>
        <w:t>支付违约金，每次不低于</w:t>
      </w:r>
      <w:r>
        <w:rPr>
          <w:rFonts w:hint="eastAsia" w:asciiTheme="minorEastAsia" w:hAnsiTheme="minorEastAsia" w:eastAsiaTheme="minorEastAsia" w:cstheme="minorEastAsia"/>
          <w:kern w:val="0"/>
          <w:sz w:val="22"/>
          <w:szCs w:val="22"/>
          <w:u w:val="single"/>
        </w:rPr>
        <w:t>20万</w:t>
      </w:r>
      <w:r>
        <w:rPr>
          <w:rFonts w:hint="eastAsia" w:asciiTheme="minorEastAsia" w:hAnsiTheme="minorEastAsia" w:eastAsiaTheme="minorEastAsia" w:cstheme="minorEastAsia"/>
          <w:kern w:val="0"/>
          <w:sz w:val="22"/>
          <w:szCs w:val="22"/>
        </w:rPr>
        <w:t>，累计不超过</w:t>
      </w:r>
      <w:r>
        <w:rPr>
          <w:rFonts w:hint="eastAsia" w:asciiTheme="minorEastAsia" w:hAnsiTheme="minorEastAsia" w:eastAsiaTheme="minorEastAsia" w:cstheme="minorEastAsia"/>
          <w:kern w:val="0"/>
          <w:sz w:val="22"/>
          <w:szCs w:val="22"/>
          <w:u w:val="single"/>
        </w:rPr>
        <w:t>100万</w:t>
      </w:r>
      <w:r>
        <w:rPr>
          <w:rFonts w:hint="eastAsia" w:asciiTheme="minorEastAsia" w:hAnsiTheme="minorEastAsia" w:eastAsiaTheme="minorEastAsia" w:cstheme="minorEastAsia"/>
          <w:kern w:val="0"/>
          <w:sz w:val="22"/>
          <w:szCs w:val="22"/>
        </w:rPr>
        <w:t>；项目经理被责令停止执业的，按签约合同价的</w:t>
      </w:r>
      <w:r>
        <w:rPr>
          <w:rFonts w:hint="eastAsia" w:asciiTheme="minorEastAsia" w:hAnsiTheme="minorEastAsia" w:eastAsiaTheme="minorEastAsia" w:cstheme="minorEastAsia"/>
          <w:kern w:val="0"/>
          <w:sz w:val="22"/>
          <w:szCs w:val="22"/>
          <w:u w:val="single"/>
        </w:rPr>
        <w:t>3%/人·次</w:t>
      </w:r>
      <w:r>
        <w:rPr>
          <w:rFonts w:hint="eastAsia" w:asciiTheme="minorEastAsia" w:hAnsiTheme="minorEastAsia" w:eastAsiaTheme="minorEastAsia" w:cstheme="minorEastAsia"/>
          <w:kern w:val="0"/>
          <w:sz w:val="22"/>
          <w:szCs w:val="22"/>
        </w:rPr>
        <w:t>支付违约金，每次不低于</w:t>
      </w:r>
      <w:r>
        <w:rPr>
          <w:rFonts w:hint="eastAsia" w:asciiTheme="minorEastAsia" w:hAnsiTheme="minorEastAsia" w:eastAsiaTheme="minorEastAsia" w:cstheme="minorEastAsia"/>
          <w:kern w:val="0"/>
          <w:sz w:val="22"/>
          <w:szCs w:val="22"/>
          <w:u w:val="single"/>
        </w:rPr>
        <w:t>10万</w:t>
      </w:r>
      <w:r>
        <w:rPr>
          <w:rFonts w:hint="eastAsia" w:asciiTheme="minorEastAsia" w:hAnsiTheme="minorEastAsia" w:eastAsiaTheme="minorEastAsia" w:cstheme="minorEastAsia"/>
          <w:kern w:val="0"/>
          <w:sz w:val="22"/>
          <w:szCs w:val="22"/>
        </w:rPr>
        <w:t>，累计不超过</w:t>
      </w:r>
      <w:r>
        <w:rPr>
          <w:rFonts w:hint="eastAsia" w:asciiTheme="minorEastAsia" w:hAnsiTheme="minorEastAsia" w:eastAsiaTheme="minorEastAsia" w:cstheme="minorEastAsia"/>
          <w:kern w:val="0"/>
          <w:sz w:val="22"/>
          <w:szCs w:val="22"/>
          <w:u w:val="single"/>
        </w:rPr>
        <w:t>50万</w:t>
      </w:r>
      <w:r>
        <w:rPr>
          <w:rFonts w:hint="eastAsia" w:asciiTheme="minorEastAsia" w:hAnsiTheme="minorEastAsia" w:eastAsiaTheme="minorEastAsia" w:cstheme="minorEastAsia"/>
          <w:kern w:val="0"/>
          <w:sz w:val="22"/>
          <w:szCs w:val="22"/>
        </w:rPr>
        <w:t>。</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2）主要技术负责人违约承担方式和计算方法：对于第16.2.1项（12）目的六种情形，每发现一次，根据具体情节，按</w:t>
      </w:r>
      <w:r>
        <w:rPr>
          <w:rFonts w:hint="eastAsia" w:asciiTheme="minorEastAsia" w:hAnsiTheme="minorEastAsia" w:eastAsiaTheme="minorEastAsia" w:cstheme="minorEastAsia"/>
          <w:kern w:val="0"/>
          <w:sz w:val="22"/>
          <w:szCs w:val="22"/>
          <w:u w:val="single"/>
        </w:rPr>
        <w:t>30000元/天·次</w:t>
      </w:r>
      <w:r>
        <w:rPr>
          <w:rFonts w:hint="eastAsia" w:asciiTheme="minorEastAsia" w:hAnsiTheme="minorEastAsia" w:eastAsiaTheme="minorEastAsia" w:cstheme="minorEastAsia"/>
          <w:kern w:val="0"/>
          <w:sz w:val="22"/>
          <w:szCs w:val="22"/>
        </w:rPr>
        <w:t>计算违约金；擅自更换主要技术负责人的，按签约合同价的</w:t>
      </w:r>
      <w:r>
        <w:rPr>
          <w:rFonts w:hint="eastAsia" w:asciiTheme="minorEastAsia" w:hAnsiTheme="minorEastAsia" w:eastAsiaTheme="minorEastAsia" w:cstheme="minorEastAsia"/>
          <w:kern w:val="0"/>
          <w:sz w:val="22"/>
          <w:szCs w:val="22"/>
          <w:u w:val="single"/>
        </w:rPr>
        <w:t>2%/人·次</w:t>
      </w:r>
      <w:r>
        <w:rPr>
          <w:rFonts w:hint="eastAsia" w:asciiTheme="minorEastAsia" w:hAnsiTheme="minorEastAsia" w:eastAsiaTheme="minorEastAsia" w:cstheme="minorEastAsia"/>
          <w:kern w:val="0"/>
          <w:sz w:val="22"/>
          <w:szCs w:val="22"/>
        </w:rPr>
        <w:t>支付违约金，每次不低于</w:t>
      </w:r>
      <w:r>
        <w:rPr>
          <w:rFonts w:hint="eastAsia" w:asciiTheme="minorEastAsia" w:hAnsiTheme="minorEastAsia" w:eastAsiaTheme="minorEastAsia" w:cstheme="minorEastAsia"/>
          <w:kern w:val="0"/>
          <w:sz w:val="22"/>
          <w:szCs w:val="22"/>
          <w:u w:val="single"/>
        </w:rPr>
        <w:t>10万</w:t>
      </w:r>
      <w:r>
        <w:rPr>
          <w:rFonts w:hint="eastAsia" w:asciiTheme="minorEastAsia" w:hAnsiTheme="minorEastAsia" w:eastAsiaTheme="minorEastAsia" w:cstheme="minorEastAsia"/>
          <w:kern w:val="0"/>
          <w:sz w:val="22"/>
          <w:szCs w:val="22"/>
        </w:rPr>
        <w:t>，累计不超过</w:t>
      </w:r>
      <w:r>
        <w:rPr>
          <w:rFonts w:hint="eastAsia" w:asciiTheme="minorEastAsia" w:hAnsiTheme="minorEastAsia" w:eastAsiaTheme="minorEastAsia" w:cstheme="minorEastAsia"/>
          <w:kern w:val="0"/>
          <w:sz w:val="22"/>
          <w:szCs w:val="22"/>
          <w:u w:val="single"/>
        </w:rPr>
        <w:t>50万</w:t>
      </w:r>
      <w:r>
        <w:rPr>
          <w:rFonts w:hint="eastAsia" w:asciiTheme="minorEastAsia" w:hAnsiTheme="minorEastAsia" w:eastAsiaTheme="minorEastAsia" w:cstheme="minorEastAsia"/>
          <w:kern w:val="0"/>
          <w:sz w:val="22"/>
          <w:szCs w:val="22"/>
        </w:rPr>
        <w:t>。</w:t>
      </w:r>
    </w:p>
    <w:p>
      <w:pPr>
        <w:snapToGrid w:val="0"/>
        <w:spacing w:line="440" w:lineRule="exact"/>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3）主要施工管理人违约承担方式和计算方法：对于第16.2.1项（13）目的五种情形，每发现一次，根据具体情节，按</w:t>
      </w:r>
      <w:r>
        <w:rPr>
          <w:rFonts w:hint="eastAsia" w:asciiTheme="minorEastAsia" w:hAnsiTheme="minorEastAsia" w:eastAsiaTheme="minorEastAsia" w:cstheme="minorEastAsia"/>
          <w:kern w:val="0"/>
          <w:sz w:val="22"/>
          <w:szCs w:val="22"/>
          <w:u w:val="single"/>
        </w:rPr>
        <w:t>10000元/天·次</w:t>
      </w:r>
      <w:r>
        <w:rPr>
          <w:rFonts w:hint="eastAsia" w:asciiTheme="minorEastAsia" w:hAnsiTheme="minorEastAsia" w:eastAsiaTheme="minorEastAsia" w:cstheme="minorEastAsia"/>
          <w:kern w:val="0"/>
          <w:sz w:val="22"/>
          <w:szCs w:val="22"/>
        </w:rPr>
        <w:t>计算违约金。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（18）合同另有约定的，按照其约定。</w:t>
      </w:r>
      <w:bookmarkStart w:id="1531" w:name="_Hlk524380347"/>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Theme="minorEastAsia" w:hAnsiTheme="minorEastAsia" w:eastAsiaTheme="minorEastAsia" w:cstheme="minorEastAsia"/>
          <w:kern w:val="0"/>
          <w:sz w:val="22"/>
          <w:szCs w:val="22"/>
        </w:rPr>
        <w:t>16.2.2项第（1）目承担违约责任</w:t>
      </w:r>
      <w:r>
        <w:rPr>
          <w:rFonts w:hint="eastAsia" w:asciiTheme="minorEastAsia" w:hAnsiTheme="minorEastAsia" w:eastAsiaTheme="minorEastAsia" w:cstheme="minorEastAsia"/>
          <w:sz w:val="22"/>
          <w:szCs w:val="22"/>
        </w:rPr>
        <w:t>，并从应付或到期应付给承包人的任何款项中或采用其他方法，扣除该违约金。</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承包人必须及时纠正违约行为并采取积极措施，满足合同要求，自行承担与纠正违约行为有关的人身伤亡、罚款、索赔、损失补偿、诉讼费用及其他一切责任，工期不予顺延</w:t>
      </w:r>
      <w:r>
        <w:rPr>
          <w:rFonts w:hint="eastAsia" w:asciiTheme="minorEastAsia" w:hAnsiTheme="minorEastAsia" w:eastAsiaTheme="minorEastAsia" w:cstheme="minorEastAsia"/>
          <w:kern w:val="0"/>
          <w:sz w:val="22"/>
          <w:szCs w:val="22"/>
        </w:rPr>
        <w:t>，承担由此给</w:t>
      </w:r>
      <w:r>
        <w:rPr>
          <w:rFonts w:hint="eastAsia" w:asciiTheme="minorEastAsia" w:hAnsiTheme="minorEastAsia" w:eastAsiaTheme="minorEastAsia" w:cstheme="minorEastAsia"/>
          <w:sz w:val="22"/>
          <w:szCs w:val="22"/>
        </w:rPr>
        <w:t>发包人造成的经济损失。</w:t>
      </w:r>
    </w:p>
    <w:p>
      <w:pPr>
        <w:snapToGrid w:val="0"/>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承包人承担承包范围的工程质量、安全、环保责任，因承包人原因引起的质量、安全、环保等事故由承包人承担相应的法律后果。</w:t>
      </w:r>
    </w:p>
    <w:bookmarkEnd w:id="1531"/>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16.2.3 因承包人违约解除合同</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因承包人违约并致使合同目的不能实现的，发包人有权解除合同：</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（1）未按合同约定延迟提供履约担保、质量保证金超过14天的；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（2）未按合同约定购买保险且经催告后超过14天的；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（3）因承包人原因导致开工时间累计延误超过7天的；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（4）因承包人原因导致工期延误超过30天的；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（5）发生第21.2款〔退出机制〕约定的情形的；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（6）监理人发出整改通知后，承包人在监理人限定的期限内仍不纠正违约行为的；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（7）承包人进入清算或者严重资不抵债且无法履行合同的；</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（8）违反适用法律而被相关政府部门依法吊销营业执照、责令停业、清算或宣布破产、责令关闭的；</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（9）承包人未履行合同项下的义务构成对合同的实质性违约，并且在收到发包人要求说明其违约并予以补救的通知后28天内仍未能补救该实质性违约的；</w:t>
      </w:r>
    </w:p>
    <w:p>
      <w:pPr>
        <w:pStyle w:val="184"/>
        <w:spacing w:line="440" w:lineRule="exact"/>
        <w:ind w:firstLine="44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（10）合同约定其他情况的，发包人有权解除合同的。</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16.2.4因承包人违约解除合同后的处理</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因承包人违约导致合同解除的，合同当事人应在合同解除后56天内完成估价、付款和清算，并按以下约定执行：</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（1）合同解除后，按第14.2款结算审定方式确定承包人实际完成工作对应的合同价款，以及承包人已提供的材料、工程设备、施工设备和临时工程等的价值；</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（2）合同解除后，承包人应支付违约金；</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（3）合同解除后，赔偿因解除合同给发包人造成的损失；</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（4）合同解除后，承包人应按照发包人要求和监理人的指示完成现场的清理和撤离。</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因承包人违约解除合同的，发包人有权暂停对承包人的付款，查清各项付款和已扣款项。发包人和承包人未能就合同解除后的清算和款项支付达成一致的，按照第20条〔争议解决〕的约定处理。</w:t>
      </w:r>
    </w:p>
    <w:p>
      <w:pPr>
        <w:spacing w:line="440" w:lineRule="exact"/>
        <w:ind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518"/>
    <w:bookmarkEnd w:id="1519"/>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532" w:name="_Toc532375665"/>
      <w:bookmarkStart w:id="1533" w:name="_Toc532377404"/>
      <w:bookmarkStart w:id="1534" w:name="_Toc351203649"/>
      <w:bookmarkStart w:id="1535" w:name="_Hlk528928440"/>
      <w:r>
        <w:rPr>
          <w:rFonts w:hint="eastAsia" w:asciiTheme="minorEastAsia" w:hAnsiTheme="minorEastAsia" w:eastAsiaTheme="minorEastAsia" w:cstheme="minorEastAsia"/>
          <w:b/>
          <w:bCs/>
          <w:sz w:val="22"/>
          <w:szCs w:val="22"/>
        </w:rPr>
        <w:t>17. 不可抗力</w:t>
      </w:r>
      <w:bookmarkEnd w:id="1532"/>
      <w:bookmarkEnd w:id="1533"/>
      <w:bookmarkEnd w:id="1534"/>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36" w:name="_Toc532375666"/>
      <w:bookmarkStart w:id="1537" w:name="_Toc532377405"/>
      <w:r>
        <w:rPr>
          <w:rFonts w:hint="eastAsia" w:asciiTheme="minorEastAsia" w:hAnsiTheme="minorEastAsia" w:eastAsiaTheme="minorEastAsia" w:cstheme="minorEastAsia"/>
          <w:sz w:val="22"/>
          <w:szCs w:val="22"/>
        </w:rPr>
        <w:t>17.1 不可抗力的确认</w:t>
      </w:r>
      <w:bookmarkEnd w:id="1536"/>
      <w:bookmarkEnd w:id="1537"/>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除通用合同条款约定的不可抗力事件之外，视为不可抗力的其他情形：</w:t>
      </w:r>
      <w:bookmarkStart w:id="1538" w:name="_Hlk524379638"/>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（1）洪水、火山爆发、山崩、山体滑坡、泥石流、龙卷风、隧道内不可预测的突发性地质灾害等自然灾害；</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（2）骚乱、戒严、封锁、禁运、恐怖行为、等社会行为，但承包人或其分包人派遣与雇佣的人员由于合同工程施工原因引起的除外；</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（3）不能合理预见的重大交通阻滞、停运、交通事故，非双方责任引起的火灾、爆炸、船舶撞击等情形；</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（4）化学或放射性污染或核辐射；</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（5）环保治理等政府行为导致项目停工的。</w:t>
      </w:r>
      <w:bookmarkEnd w:id="1538"/>
      <w:bookmarkStart w:id="1539" w:name="_Toc532377406"/>
      <w:bookmarkStart w:id="1540" w:name="_Toc532375667"/>
      <w:bookmarkStart w:id="1541" w:name="_Toc351203610"/>
      <w:bookmarkStart w:id="1542" w:name="_Toc337558826"/>
      <w:bookmarkStart w:id="1543" w:name="_Toc296503119"/>
      <w:bookmarkStart w:id="1544" w:name="_Toc296346620"/>
    </w:p>
    <w:p>
      <w:pPr>
        <w:spacing w:line="440" w:lineRule="exact"/>
        <w:ind w:right="105" w:rightChars="50" w:firstLine="442" w:firstLineChars="200"/>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17.3 不可抗力后果的承担</w:t>
      </w:r>
      <w:bookmarkEnd w:id="1539"/>
      <w:bookmarkEnd w:id="1540"/>
      <w:bookmarkEnd w:id="1541"/>
    </w:p>
    <w:bookmarkEnd w:id="1542"/>
    <w:bookmarkEnd w:id="1543"/>
    <w:bookmarkEnd w:id="1544"/>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17.3.1 不可抗力引起的后果及造成的损失由合同当事人按照法律规定及合同约定各自承担。不可抗力发生前已完成的工程应当按照合同约定进行计量支付。</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17.3.2 不可抗力导致的人员伤亡、财产损失、费用增加和（或）工期延误等后果，由合同当事人按以下原则承担：</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（1）永久工程、已运至施工现场的施工材料和工程设备的损坏，以及因工程损坏造成的第三方人员伤亡和财产损失由发包人承担；</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（2）承包人施工设备的损坏由承包人承担；</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（3）发包人和承包人承担各自人员伤亡和财产的损失；</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（4）因不可抗力影响承包人履行合同约定的义务，已经引起或将引起工期延误的，应当顺延工期，由此导致承包人停工的费用损失由发包人和承包人合理共担，停工期间必须支付的工人工资由发包人承担；</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（5）因不可抗力引起或将引起工期延误，发包人要求赶工的，由此增加的赶工费用由发包人承担；</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（6）承包人在停工期间按照发包人要求照管、清理和修复工程的费用由发包人承担；</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（7）不可抗力事件发生后，合同当事人均应采取措施尽量避免和减少损失的扩大，任何一方当事人没有采取有效措施导致损失扩大的，应对扩大的损失承担责任。</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45" w:name="_Toc532375668"/>
      <w:bookmarkStart w:id="1546" w:name="_Toc532377407"/>
      <w:r>
        <w:rPr>
          <w:rFonts w:hint="eastAsia" w:asciiTheme="minorEastAsia" w:hAnsiTheme="minorEastAsia" w:eastAsiaTheme="minorEastAsia" w:cstheme="minorEastAsia"/>
          <w:sz w:val="22"/>
          <w:szCs w:val="22"/>
        </w:rPr>
        <w:t>17.4 因不可抗力解除合同</w:t>
      </w:r>
      <w:bookmarkEnd w:id="1545"/>
      <w:bookmarkEnd w:id="1546"/>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合同解除后，发包人应在商定或确定发包人应支付款项后</w:t>
      </w:r>
      <w:r>
        <w:rPr>
          <w:rFonts w:hint="eastAsia" w:asciiTheme="minorEastAsia" w:hAnsiTheme="minorEastAsia" w:eastAsiaTheme="minorEastAsia" w:cstheme="minorEastAsia"/>
          <w:sz w:val="22"/>
          <w:szCs w:val="22"/>
          <w:u w:val="single"/>
        </w:rPr>
        <w:t>28</w:t>
      </w:r>
      <w:r>
        <w:rPr>
          <w:rFonts w:hint="eastAsia" w:asciiTheme="minorEastAsia" w:hAnsiTheme="minorEastAsia" w:eastAsiaTheme="minorEastAsia" w:cstheme="minorEastAsia"/>
          <w:sz w:val="22"/>
          <w:szCs w:val="22"/>
        </w:rPr>
        <w:t>天内完成款项的支付。</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547" w:name="_Toc532375669"/>
      <w:bookmarkStart w:id="1548" w:name="_Toc351203650"/>
      <w:bookmarkStart w:id="1549" w:name="_Toc532377408"/>
      <w:r>
        <w:rPr>
          <w:rFonts w:hint="eastAsia" w:asciiTheme="minorEastAsia" w:hAnsiTheme="minorEastAsia" w:eastAsiaTheme="minorEastAsia" w:cstheme="minorEastAsia"/>
          <w:b/>
          <w:bCs/>
          <w:sz w:val="22"/>
          <w:szCs w:val="22"/>
        </w:rPr>
        <w:t>18. 保险</w:t>
      </w:r>
      <w:bookmarkEnd w:id="1547"/>
      <w:bookmarkEnd w:id="1548"/>
      <w:bookmarkEnd w:id="1549"/>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50" w:name="_Toc532375670"/>
      <w:bookmarkStart w:id="1551" w:name="_Toc532377409"/>
      <w:r>
        <w:rPr>
          <w:rFonts w:hint="eastAsia" w:asciiTheme="minorEastAsia" w:hAnsiTheme="minorEastAsia" w:eastAsiaTheme="minorEastAsia" w:cstheme="minorEastAsia"/>
          <w:sz w:val="22"/>
          <w:szCs w:val="22"/>
        </w:rPr>
        <w:t>18.1 工程保险</w:t>
      </w:r>
      <w:bookmarkEnd w:id="1550"/>
      <w:bookmarkEnd w:id="1551"/>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关于工程保险的特别约定：发包人应投保</w:t>
      </w:r>
      <w:r>
        <w:rPr>
          <w:rFonts w:hint="eastAsia" w:asciiTheme="minorEastAsia" w:hAnsiTheme="minorEastAsia" w:eastAsiaTheme="minorEastAsia" w:cstheme="minorEastAsia"/>
          <w:sz w:val="22"/>
          <w:szCs w:val="22"/>
          <w:u w:val="single"/>
        </w:rPr>
        <w:t>建筑工程一切险或安装工程一切险</w:t>
      </w:r>
      <w:r>
        <w:rPr>
          <w:rFonts w:hint="eastAsia" w:asciiTheme="minorEastAsia" w:hAnsiTheme="minorEastAsia" w:eastAsiaTheme="minorEastAsia" w:cstheme="minorEastAsia"/>
          <w:sz w:val="22"/>
          <w:szCs w:val="22"/>
        </w:rPr>
        <w:t>；发包人委托承包人投保的，因投保产生的保险费和其他相关费用由发包人承担。</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52" w:name="_Toc532377410"/>
      <w:bookmarkStart w:id="1553" w:name="_Toc532375671"/>
      <w:r>
        <w:rPr>
          <w:rFonts w:hint="eastAsia" w:asciiTheme="minorEastAsia" w:hAnsiTheme="minorEastAsia" w:eastAsiaTheme="minorEastAsia" w:cstheme="minorEastAsia"/>
          <w:sz w:val="22"/>
          <w:szCs w:val="22"/>
        </w:rPr>
        <w:t>18.3 其他保险</w:t>
      </w:r>
      <w:bookmarkEnd w:id="1552"/>
      <w:bookmarkEnd w:id="1553"/>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关于其他保险的约定：</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承包人是否应为其施工设备等办理财产保险：</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安全生产责任险：</w:t>
      </w:r>
      <w:r>
        <w:rPr>
          <w:rFonts w:hint="eastAsia" w:asciiTheme="minorEastAsia" w:hAnsiTheme="minorEastAsia" w:eastAsiaTheme="minorEastAsia" w:cstheme="minorEastAsia"/>
          <w:sz w:val="22"/>
          <w:szCs w:val="22"/>
          <w:u w:val="single"/>
        </w:rPr>
        <w:t>承包人应按《重庆市人民政府办公厅关于在高危行业领域强制推行安全生产责任保险的实施意见》（渝府办法〔2017〕182号）的要求办理安全生产责任保险</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54" w:name="_Toc532375672"/>
      <w:bookmarkStart w:id="1555" w:name="_Toc532377411"/>
      <w:r>
        <w:rPr>
          <w:rFonts w:hint="eastAsia" w:asciiTheme="minorEastAsia" w:hAnsiTheme="minorEastAsia" w:eastAsiaTheme="minorEastAsia" w:cstheme="minorEastAsia"/>
          <w:sz w:val="22"/>
          <w:szCs w:val="22"/>
        </w:rPr>
        <w:t>18.7 通知义务</w:t>
      </w:r>
      <w:bookmarkEnd w:id="1554"/>
      <w:bookmarkEnd w:id="1555"/>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关于变更保险合同时的通知义务的约定：</w:t>
      </w:r>
      <w:r>
        <w:rPr>
          <w:rFonts w:hint="eastAsia" w:asciiTheme="minorEastAsia" w:hAnsiTheme="minorEastAsia" w:eastAsiaTheme="minorEastAsia" w:cstheme="minorEastAsia"/>
          <w:sz w:val="22"/>
          <w:szCs w:val="22"/>
          <w:u w:val="single"/>
        </w:rPr>
        <w:t>按通用合同条款执行</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56" w:name="_Toc532375673"/>
      <w:bookmarkStart w:id="1557" w:name="_Toc532377412"/>
      <w:r>
        <w:rPr>
          <w:rFonts w:hint="eastAsia" w:asciiTheme="minorEastAsia" w:hAnsiTheme="minorEastAsia" w:eastAsiaTheme="minorEastAsia" w:cstheme="minorEastAsia"/>
          <w:sz w:val="22"/>
          <w:szCs w:val="22"/>
        </w:rPr>
        <w:t>18.8 其他</w:t>
      </w:r>
      <w:bookmarkEnd w:id="1556"/>
      <w:bookmarkEnd w:id="1557"/>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18.8.1 工程开工日前，承包人向发包人提交各项生效的保险证据和保险单副本。未按本项约定提交的，每延后1天，承包人按500元/天支付违约金。</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18.8.2 承包人保险赔偿金不足以补偿发包人损失时，</w:t>
      </w:r>
      <w:bookmarkStart w:id="1558" w:name="_Hlk524378346"/>
      <w:r>
        <w:rPr>
          <w:rFonts w:hint="eastAsia" w:asciiTheme="minorEastAsia" w:hAnsiTheme="minorEastAsia" w:eastAsiaTheme="minorEastAsia" w:cstheme="minorEastAsia"/>
          <w:sz w:val="22"/>
          <w:szCs w:val="22"/>
        </w:rPr>
        <w:t>差额由承包人负责补足</w:t>
      </w:r>
      <w:bookmarkEnd w:id="1558"/>
      <w:r>
        <w:rPr>
          <w:rFonts w:hint="eastAsia" w:asciiTheme="minorEastAsia" w:hAnsiTheme="minorEastAsia" w:eastAsiaTheme="minorEastAsia" w:cstheme="minorEastAsia"/>
          <w:sz w:val="22"/>
          <w:szCs w:val="22"/>
        </w:rPr>
        <w:t>。</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559" w:name="_Toc532377413"/>
      <w:bookmarkStart w:id="1560" w:name="_Toc532375674"/>
      <w:bookmarkStart w:id="1561" w:name="_Toc351203620"/>
      <w:bookmarkStart w:id="1562" w:name="_Toc296503140"/>
      <w:bookmarkStart w:id="1563" w:name="_Toc296346641"/>
      <w:bookmarkStart w:id="1564" w:name="_Toc337558835"/>
      <w:r>
        <w:rPr>
          <w:rFonts w:hint="eastAsia" w:asciiTheme="minorEastAsia" w:hAnsiTheme="minorEastAsia" w:eastAsiaTheme="minorEastAsia" w:cstheme="minorEastAsia"/>
          <w:b/>
          <w:bCs/>
          <w:sz w:val="22"/>
          <w:szCs w:val="22"/>
        </w:rPr>
        <w:t>19. 索赔</w:t>
      </w:r>
      <w:bookmarkEnd w:id="1559"/>
      <w:bookmarkEnd w:id="1560"/>
      <w:bookmarkEnd w:id="1561"/>
    </w:p>
    <w:bookmarkEnd w:id="1562"/>
    <w:bookmarkEnd w:id="1563"/>
    <w:bookmarkEnd w:id="1564"/>
    <w:p>
      <w:pPr>
        <w:pStyle w:val="7"/>
        <w:spacing w:before="0" w:after="0" w:line="440" w:lineRule="exact"/>
        <w:ind w:firstLine="442" w:firstLineChars="200"/>
        <w:rPr>
          <w:rFonts w:asciiTheme="minorEastAsia" w:hAnsiTheme="minorEastAsia" w:eastAsiaTheme="minorEastAsia" w:cstheme="minorEastAsia"/>
          <w:sz w:val="22"/>
          <w:szCs w:val="22"/>
        </w:rPr>
      </w:pPr>
      <w:bookmarkStart w:id="1565" w:name="_Toc532375675"/>
      <w:bookmarkStart w:id="1566" w:name="_Toc532377414"/>
      <w:bookmarkStart w:id="1567" w:name="_Toc337558836"/>
      <w:bookmarkStart w:id="1568" w:name="_Toc296503141"/>
      <w:bookmarkStart w:id="1569" w:name="_Toc351203621"/>
      <w:bookmarkStart w:id="1570" w:name="_Toc296346642"/>
      <w:r>
        <w:rPr>
          <w:rFonts w:hint="eastAsia" w:asciiTheme="minorEastAsia" w:hAnsiTheme="minorEastAsia" w:eastAsiaTheme="minorEastAsia" w:cstheme="minorEastAsia"/>
          <w:sz w:val="22"/>
          <w:szCs w:val="22"/>
        </w:rPr>
        <w:t>19.1 承包人的索赔</w:t>
      </w:r>
      <w:bookmarkEnd w:id="1565"/>
      <w:bookmarkEnd w:id="1566"/>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根据合同约定，承包人认为有权得到追加付款和（或）延长工期的，应按以下程序向发包人提出索赔：</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（4）在索赔事件影响结束后28天内，承包人应向监理人递交最终索赔报告，说明最终要求索赔的追加付款金额和（或）延长的工期，并附必要的记录和证明材料。</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71" w:name="_Toc532375676"/>
      <w:bookmarkStart w:id="1572" w:name="_Toc532377415"/>
      <w:r>
        <w:rPr>
          <w:rFonts w:hint="eastAsia" w:asciiTheme="minorEastAsia" w:hAnsiTheme="minorEastAsia" w:eastAsiaTheme="minorEastAsia" w:cstheme="minorEastAsia"/>
          <w:sz w:val="22"/>
          <w:szCs w:val="22"/>
        </w:rPr>
        <w:t>19.2 对承包人索赔的处理</w:t>
      </w:r>
      <w:bookmarkEnd w:id="1571"/>
      <w:bookmarkEnd w:id="1572"/>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对承包人索赔的处理如下：</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（1）监理人应在收到索赔报告后14天内完成审查并报送发包人。监理人对索赔报告存在异议的，有权要求承包人提交全部原始记录副本</w:t>
      </w:r>
      <w:r>
        <w:rPr>
          <w:rFonts w:hint="eastAsia" w:asciiTheme="minorEastAsia" w:hAnsiTheme="minorEastAsia" w:eastAsiaTheme="minorEastAsia" w:cstheme="minorEastAsia"/>
          <w:sz w:val="22"/>
          <w:szCs w:val="22"/>
        </w:rPr>
        <w:t>；</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Theme="minorEastAsia" w:hAnsiTheme="minorEastAsia" w:eastAsiaTheme="minorEastAsia" w:cstheme="minorEastAsia"/>
          <w:sz w:val="22"/>
          <w:szCs w:val="22"/>
        </w:rPr>
        <w:t>；</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（3）承包人接受索赔处理结果的，索赔款项在当期进度款中进行支付；承包人不接受索赔处理结果的，按照第20条〔争议解决〕约定处理</w:t>
      </w:r>
      <w:r>
        <w:rPr>
          <w:rFonts w:hint="eastAsia" w:asciiTheme="minorEastAsia" w:hAnsiTheme="minorEastAsia" w:eastAsiaTheme="minorEastAsia" w:cstheme="minorEastAsia"/>
          <w:sz w:val="22"/>
          <w:szCs w:val="22"/>
        </w:rPr>
        <w:t>；</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（4）工期延误的关键线路按照经监理人、发包人审批同意的施工组织设计计算</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73" w:name="_Toc532375677"/>
      <w:bookmarkStart w:id="1574" w:name="_Toc532377416"/>
      <w:r>
        <w:rPr>
          <w:rFonts w:hint="eastAsia" w:asciiTheme="minorEastAsia" w:hAnsiTheme="minorEastAsia" w:eastAsiaTheme="minorEastAsia" w:cstheme="minorEastAsia"/>
          <w:sz w:val="22"/>
          <w:szCs w:val="22"/>
        </w:rPr>
        <w:t>19.3发包人的索赔</w:t>
      </w:r>
      <w:bookmarkEnd w:id="1573"/>
      <w:bookmarkEnd w:id="1574"/>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根据合同约定，发包人认为有权得到赔付金额和（或）延长缺陷责任期的，监理人应向承包人发出通知并附有详细的证明。</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575" w:name="_Hlk528652769"/>
      <w:r>
        <w:rPr>
          <w:rFonts w:hint="eastAsia" w:asciiTheme="minorEastAsia" w:hAnsiTheme="minorEastAsia" w:eastAsiaTheme="minorEastAsia" w:cstheme="minorEastAsia"/>
          <w:sz w:val="22"/>
          <w:szCs w:val="22"/>
        </w:rPr>
        <w:t>通过监理人向承包人正式递交最终索赔报告</w:t>
      </w:r>
      <w:bookmarkEnd w:id="1575"/>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76" w:name="_Toc532375678"/>
      <w:bookmarkStart w:id="1577" w:name="_Toc532377417"/>
      <w:r>
        <w:rPr>
          <w:rFonts w:hint="eastAsia" w:asciiTheme="minorEastAsia" w:hAnsiTheme="minorEastAsia" w:eastAsiaTheme="minorEastAsia" w:cstheme="minorEastAsia"/>
          <w:sz w:val="22"/>
          <w:szCs w:val="22"/>
        </w:rPr>
        <w:t>19.4 对发包人索赔的处理</w:t>
      </w:r>
      <w:bookmarkEnd w:id="1576"/>
      <w:bookmarkEnd w:id="1577"/>
    </w:p>
    <w:p>
      <w:pPr>
        <w:autoSpaceDE w:val="0"/>
        <w:autoSpaceDN w:val="0"/>
        <w:spacing w:line="440" w:lineRule="exact"/>
        <w:ind w:right="105" w:rightChars="50"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对发包人索赔的处理如下：</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（1）承包人收到发包人提交的索赔报告后，应及时审查索赔报告的内容、查验发包人证明材料；</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（3）承包人接受索赔处理结果的，发包人可从应支付给承包人的合同价款中扣除赔付的金额或延长缺陷责任期；发包人不接受索赔处理结果的，按第20条〔争议解决〕约定处理。</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78" w:name="_Toc532375679"/>
      <w:bookmarkStart w:id="1579" w:name="_Toc532377418"/>
      <w:bookmarkStart w:id="1580" w:name="_Hlk528928420"/>
      <w:r>
        <w:rPr>
          <w:rFonts w:hint="eastAsia" w:asciiTheme="minorEastAsia" w:hAnsiTheme="minorEastAsia" w:eastAsiaTheme="minorEastAsia" w:cstheme="minorEastAsia"/>
          <w:sz w:val="22"/>
          <w:szCs w:val="22"/>
        </w:rPr>
        <w:t>19.5 提出索赔的期限</w:t>
      </w:r>
      <w:bookmarkEnd w:id="1578"/>
      <w:bookmarkEnd w:id="1579"/>
    </w:p>
    <w:p>
      <w:pPr>
        <w:autoSpaceDE w:val="0"/>
        <w:autoSpaceDN w:val="0"/>
        <w:spacing w:line="440" w:lineRule="exact"/>
        <w:ind w:right="105" w:rightChars="50" w:firstLine="440" w:firstLineChars="200"/>
        <w:jc w:val="left"/>
        <w:rPr>
          <w:rFonts w:asciiTheme="minorEastAsia" w:hAnsiTheme="minorEastAsia" w:eastAsiaTheme="minorEastAsia" w:cstheme="minorEastAsia"/>
          <w:sz w:val="22"/>
          <w:szCs w:val="22"/>
        </w:rPr>
      </w:pPr>
      <w:bookmarkStart w:id="1581" w:name="_Hlk524298376"/>
      <w:r>
        <w:rPr>
          <w:rFonts w:hint="eastAsia" w:asciiTheme="minorEastAsia" w:hAnsiTheme="minorEastAsia" w:eastAsiaTheme="minorEastAsia" w:cstheme="minorEastAsia"/>
          <w:sz w:val="22"/>
          <w:szCs w:val="22"/>
        </w:rPr>
        <w:t>任一索赔事件发生后28天内，承包人/发包人未向对方发出索赔意向通知书的，视为其已放弃索赔权，无权再就该索赔事项提出任何索赔。</w:t>
      </w:r>
    </w:p>
    <w:bookmarkEnd w:id="1567"/>
    <w:bookmarkEnd w:id="1568"/>
    <w:bookmarkEnd w:id="1569"/>
    <w:bookmarkEnd w:id="1570"/>
    <w:bookmarkEnd w:id="1580"/>
    <w:bookmarkEnd w:id="1581"/>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582" w:name="_Toc351203651"/>
      <w:bookmarkStart w:id="1583" w:name="_Toc532377419"/>
      <w:bookmarkStart w:id="1584" w:name="_Toc532375680"/>
      <w:r>
        <w:rPr>
          <w:rFonts w:hint="eastAsia" w:asciiTheme="minorEastAsia" w:hAnsiTheme="minorEastAsia" w:eastAsiaTheme="minorEastAsia" w:cstheme="minorEastAsia"/>
          <w:b/>
          <w:bCs/>
          <w:sz w:val="22"/>
          <w:szCs w:val="22"/>
        </w:rPr>
        <w:t>20. 争议解决</w:t>
      </w:r>
      <w:bookmarkEnd w:id="1582"/>
      <w:bookmarkEnd w:id="1583"/>
      <w:bookmarkEnd w:id="1584"/>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85" w:name="_Toc532375681"/>
      <w:bookmarkStart w:id="1586" w:name="_Toc532377420"/>
      <w:r>
        <w:rPr>
          <w:rFonts w:hint="eastAsia" w:asciiTheme="minorEastAsia" w:hAnsiTheme="minorEastAsia" w:eastAsiaTheme="minorEastAsia" w:cstheme="minorEastAsia"/>
          <w:sz w:val="22"/>
          <w:szCs w:val="22"/>
        </w:rPr>
        <w:t>20.3 争议评审</w:t>
      </w:r>
      <w:bookmarkEnd w:id="1585"/>
      <w:bookmarkEnd w:id="1586"/>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合同当事人是否同意将工程争议提交争议评审小组决定：</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87" w:name="_Toc532375682"/>
      <w:bookmarkStart w:id="1588" w:name="_Toc532377421"/>
      <w:r>
        <w:rPr>
          <w:rFonts w:hint="eastAsia" w:asciiTheme="minorEastAsia" w:hAnsiTheme="minorEastAsia" w:eastAsiaTheme="minorEastAsia" w:cstheme="minorEastAsia"/>
          <w:sz w:val="22"/>
          <w:szCs w:val="22"/>
        </w:rPr>
        <w:t>20.4 仲裁或诉讼</w:t>
      </w:r>
      <w:bookmarkEnd w:id="1587"/>
      <w:bookmarkEnd w:id="1588"/>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因合同及合同有关事项发生的争议，按下列第</w:t>
      </w:r>
      <w:r>
        <w:rPr>
          <w:rFonts w:hint="eastAsia" w:asciiTheme="minorEastAsia" w:hAnsiTheme="minorEastAsia" w:eastAsiaTheme="minorEastAsia" w:cstheme="minorEastAsia"/>
          <w:sz w:val="22"/>
          <w:szCs w:val="22"/>
          <w:u w:val="single"/>
        </w:rPr>
        <w:t xml:space="preserve"> （2） </w:t>
      </w:r>
      <w:r>
        <w:rPr>
          <w:rFonts w:hint="eastAsia" w:asciiTheme="minorEastAsia" w:hAnsiTheme="minorEastAsia" w:eastAsiaTheme="minorEastAsia" w:cstheme="minorEastAsia"/>
          <w:sz w:val="22"/>
          <w:szCs w:val="22"/>
        </w:rPr>
        <w:t>种方式解决：</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（1）向</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仲裁委员会申请仲裁；</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（2）向</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工程所在地</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人民法院起诉。</w:t>
      </w:r>
    </w:p>
    <w:p>
      <w:pPr>
        <w:pStyle w:val="6"/>
        <w:keepNext/>
        <w:keepLines/>
        <w:spacing w:before="120" w:beforeLines="50" w:after="120" w:afterLines="50" w:line="440" w:lineRule="exact"/>
        <w:jc w:val="both"/>
        <w:rPr>
          <w:rFonts w:asciiTheme="minorEastAsia" w:hAnsiTheme="minorEastAsia" w:eastAsiaTheme="minorEastAsia" w:cstheme="minorEastAsia"/>
          <w:b/>
          <w:bCs/>
          <w:sz w:val="22"/>
          <w:szCs w:val="22"/>
        </w:rPr>
      </w:pPr>
      <w:bookmarkStart w:id="1589" w:name="_Toc532375683"/>
      <w:bookmarkStart w:id="1590" w:name="_Toc532377422"/>
      <w:r>
        <w:rPr>
          <w:rFonts w:hint="eastAsia" w:asciiTheme="minorEastAsia" w:hAnsiTheme="minorEastAsia" w:eastAsiaTheme="minorEastAsia" w:cstheme="minorEastAsia"/>
          <w:b/>
          <w:bCs/>
          <w:sz w:val="22"/>
          <w:szCs w:val="22"/>
        </w:rPr>
        <w:t>21. 补充条款</w:t>
      </w:r>
      <w:bookmarkEnd w:id="1589"/>
      <w:bookmarkEnd w:id="1590"/>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91" w:name="_Toc532375684"/>
      <w:bookmarkStart w:id="1592" w:name="_Toc532377423"/>
      <w:r>
        <w:rPr>
          <w:rFonts w:hint="eastAsia" w:asciiTheme="minorEastAsia" w:hAnsiTheme="minorEastAsia" w:eastAsiaTheme="minorEastAsia" w:cstheme="minorEastAsia"/>
          <w:sz w:val="22"/>
          <w:szCs w:val="22"/>
        </w:rPr>
        <w:t>21.1 退出机制</w:t>
      </w:r>
      <w:bookmarkEnd w:id="1591"/>
      <w:bookmarkEnd w:id="1592"/>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21.1.1有下列情形之一的，发包人有权解除合同，亦有权兑付履约担保，并对承包人做清退出场处理</w:t>
      </w:r>
      <w:r>
        <w:rPr>
          <w:rFonts w:hint="eastAsia" w:asciiTheme="minorEastAsia" w:hAnsiTheme="minorEastAsia" w:eastAsiaTheme="minorEastAsia" w:cstheme="minorEastAsia"/>
          <w:kern w:val="0"/>
          <w:sz w:val="22"/>
          <w:szCs w:val="22"/>
        </w:rPr>
        <w:t>：</w:t>
      </w:r>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（1）因承包人原因造成较大及以上等级生产安全事故或工程质量事故的；</w:t>
      </w:r>
    </w:p>
    <w:p>
      <w:pPr>
        <w:spacing w:line="440" w:lineRule="exact"/>
        <w:ind w:right="105" w:rightChars="50" w:firstLine="440" w:firstLineChars="200"/>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（2）因承包人债权债务纠纷或其他纠纷导致工程无法正常施工的。</w:t>
      </w:r>
    </w:p>
    <w:p>
      <w:pPr>
        <w:pStyle w:val="2"/>
        <w:spacing w:line="44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21.1.2有下列情形之一的，承包人有权解除合同，并按16.1.4约定执行：</w:t>
      </w:r>
    </w:p>
    <w:p>
      <w:pPr>
        <w:pStyle w:val="2"/>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（1）因发包人征地、拆迁、补偿、审批手续等原因致使本工程延期开工超过90天的。</w:t>
      </w:r>
    </w:p>
    <w:p>
      <w:pPr>
        <w:pStyle w:val="7"/>
        <w:spacing w:before="0" w:after="0" w:line="440" w:lineRule="exact"/>
        <w:ind w:firstLine="442" w:firstLineChars="200"/>
        <w:rPr>
          <w:rFonts w:asciiTheme="minorEastAsia" w:hAnsiTheme="minorEastAsia" w:eastAsiaTheme="minorEastAsia" w:cstheme="minorEastAsia"/>
          <w:sz w:val="22"/>
          <w:szCs w:val="22"/>
        </w:rPr>
      </w:pPr>
      <w:bookmarkStart w:id="1593" w:name="_Toc532375685"/>
      <w:bookmarkStart w:id="1594" w:name="_Toc532377424"/>
      <w:r>
        <w:rPr>
          <w:rFonts w:hint="eastAsia" w:asciiTheme="minorEastAsia" w:hAnsiTheme="minorEastAsia" w:eastAsiaTheme="minorEastAsia" w:cstheme="minorEastAsia"/>
          <w:sz w:val="22"/>
          <w:szCs w:val="22"/>
        </w:rPr>
        <w:t>21.2智慧工地</w:t>
      </w:r>
      <w:bookmarkEnd w:id="1593"/>
      <w:bookmarkEnd w:id="1594"/>
    </w:p>
    <w:p>
      <w:pPr>
        <w:spacing w:line="440" w:lineRule="exact"/>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工地建设可参照重庆市城乡建设委员会《关于印发“智慧工地”建设工作方案的通知》（渝建〔2017〕414号）的相关要求建设。</w:t>
      </w:r>
      <w:bookmarkEnd w:id="1535"/>
    </w:p>
    <w:p>
      <w:pPr>
        <w:pStyle w:val="6"/>
        <w:keepNext/>
        <w:keepLines/>
        <w:spacing w:before="120" w:beforeLines="50" w:after="120" w:afterLines="50" w:line="440" w:lineRule="exact"/>
        <w:jc w:val="both"/>
        <w:rPr>
          <w:rFonts w:asciiTheme="minorEastAsia" w:hAnsiTheme="minorEastAsia" w:eastAsiaTheme="minorEastAsia" w:cstheme="minorEastAsia"/>
          <w:sz w:val="22"/>
          <w:szCs w:val="22"/>
        </w:rPr>
      </w:pPr>
      <w:bookmarkStart w:id="1595" w:name="_Toc532375686"/>
      <w:bookmarkStart w:id="1596" w:name="_Toc532377425"/>
      <w:r>
        <w:rPr>
          <w:rFonts w:hint="eastAsia" w:asciiTheme="minorEastAsia" w:hAnsiTheme="minorEastAsia" w:eastAsiaTheme="minorEastAsia" w:cstheme="minorEastAsia"/>
          <w:sz w:val="22"/>
          <w:szCs w:val="22"/>
        </w:rPr>
        <w:t>22. 合同附件</w:t>
      </w:r>
      <w:bookmarkEnd w:id="1595"/>
      <w:bookmarkEnd w:id="1596"/>
    </w:p>
    <w:p>
      <w:pPr>
        <w:spacing w:line="360" w:lineRule="auto"/>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附件1：工程质量保修书</w:t>
      </w:r>
    </w:p>
    <w:p>
      <w:pPr>
        <w:spacing w:line="360" w:lineRule="auto"/>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附件2：廉洁从业协议</w:t>
      </w:r>
    </w:p>
    <w:p>
      <w:pPr>
        <w:spacing w:line="360" w:lineRule="auto"/>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附件3：安全管理协议</w:t>
      </w:r>
    </w:p>
    <w:p>
      <w:pPr>
        <w:spacing w:line="360" w:lineRule="auto"/>
        <w:ind w:right="105" w:rightChars="50"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附件4：保障农民工工资支付协议</w:t>
      </w:r>
    </w:p>
    <w:p>
      <w:pPr>
        <w:pStyle w:val="2"/>
      </w:pPr>
    </w:p>
    <w:p>
      <w:pPr>
        <w:pStyle w:val="2"/>
        <w:spacing w:line="360" w:lineRule="auto"/>
        <w:ind w:firstLine="560"/>
        <w:rPr>
          <w:rFonts w:asciiTheme="majorEastAsia" w:hAnsiTheme="majorEastAsia" w:eastAsiaTheme="majorEastAsia"/>
          <w:szCs w:val="22"/>
        </w:rPr>
      </w:pPr>
      <w:r>
        <w:rPr>
          <w:rFonts w:asciiTheme="majorEastAsia" w:hAnsiTheme="majorEastAsia" w:eastAsiaTheme="majorEastAsia"/>
          <w:szCs w:val="22"/>
        </w:rPr>
        <w:br w:type="page"/>
      </w:r>
    </w:p>
    <w:bookmarkEnd w:id="294"/>
    <w:p>
      <w:pPr>
        <w:pStyle w:val="5"/>
        <w:spacing w:before="48" w:after="48"/>
        <w:rPr>
          <w:rFonts w:asciiTheme="majorEastAsia" w:hAnsiTheme="majorEastAsia" w:eastAsiaTheme="majorEastAsia"/>
        </w:rPr>
      </w:pPr>
      <w:bookmarkStart w:id="1597" w:name="招标文件04章合同条款及格式02_18_08"/>
      <w:bookmarkEnd w:id="1597"/>
      <w:bookmarkStart w:id="1598" w:name="招标文件04章合同条款及格式02_07"/>
      <w:bookmarkEnd w:id="1598"/>
      <w:bookmarkStart w:id="1599" w:name="招标文件04章合同条款及格式02_19"/>
      <w:bookmarkEnd w:id="1599"/>
      <w:bookmarkStart w:id="1600" w:name="招标文件04章合同条款及格式02_05"/>
      <w:bookmarkEnd w:id="1600"/>
      <w:bookmarkStart w:id="1601" w:name="招标文件04章合同条款及格式02_15_05"/>
      <w:bookmarkEnd w:id="1601"/>
      <w:bookmarkStart w:id="1602" w:name="招标文件04章合同条款及格式02_21_03"/>
      <w:bookmarkEnd w:id="1602"/>
      <w:bookmarkStart w:id="1603" w:name="招标文件04章合同条款及格式02_08"/>
      <w:bookmarkEnd w:id="1603"/>
      <w:bookmarkStart w:id="1604" w:name="招标文件04章合同条款及格式02_09_04"/>
      <w:bookmarkEnd w:id="1604"/>
      <w:bookmarkStart w:id="1605" w:name="招标文件04章合同条款及格式03"/>
      <w:bookmarkEnd w:id="1605"/>
      <w:bookmarkStart w:id="1606" w:name="招标文件04章合同条款及格式02_18_09"/>
      <w:bookmarkEnd w:id="1606"/>
      <w:bookmarkStart w:id="1607" w:name="招标文件04章合同条款及格式02_16"/>
      <w:bookmarkEnd w:id="1607"/>
      <w:bookmarkStart w:id="1608" w:name="招标文件04章合同条款及格式03_02"/>
      <w:bookmarkEnd w:id="1608"/>
      <w:bookmarkStart w:id="1609" w:name="_Toc44420157"/>
      <w:bookmarkStart w:id="1610" w:name="_Toc44433362"/>
      <w:bookmarkStart w:id="1611" w:name="_Toc18547"/>
      <w:r>
        <w:rPr>
          <w:rFonts w:hint="eastAsia" w:asciiTheme="majorEastAsia" w:hAnsiTheme="majorEastAsia" w:eastAsiaTheme="majorEastAsia"/>
        </w:rPr>
        <w:t>附件一：</w:t>
      </w:r>
      <w:bookmarkEnd w:id="1609"/>
      <w:bookmarkEnd w:id="1610"/>
      <w:bookmarkEnd w:id="1611"/>
      <w:r>
        <w:rPr>
          <w:rFonts w:asciiTheme="majorEastAsia" w:hAnsiTheme="majorEastAsia" w:eastAsiaTheme="majorEastAsia"/>
        </w:rPr>
        <w:t xml:space="preserve"> </w:t>
      </w:r>
    </w:p>
    <w:p>
      <w:pPr>
        <w:spacing w:before="240" w:beforeLines="100" w:after="240" w:afterLines="100"/>
        <w:jc w:val="center"/>
        <w:rPr>
          <w:rFonts w:asciiTheme="majorEastAsia" w:hAnsiTheme="majorEastAsia" w:eastAsiaTheme="majorEastAsia"/>
          <w:b/>
          <w:bCs/>
          <w:sz w:val="28"/>
          <w:szCs w:val="36"/>
        </w:rPr>
      </w:pPr>
      <w:r>
        <w:rPr>
          <w:rFonts w:hint="eastAsia" w:asciiTheme="majorEastAsia" w:hAnsiTheme="majorEastAsia" w:eastAsiaTheme="majorEastAsia"/>
          <w:b/>
          <w:bCs/>
          <w:sz w:val="28"/>
          <w:szCs w:val="36"/>
        </w:rPr>
        <w:t>工程质量保修书</w:t>
      </w:r>
    </w:p>
    <w:p>
      <w:pPr>
        <w:spacing w:line="360" w:lineRule="auto"/>
        <w:ind w:firstLine="331" w:firstLineChars="150"/>
        <w:rPr>
          <w:rFonts w:asciiTheme="majorEastAsia" w:hAnsiTheme="majorEastAsia" w:eastAsiaTheme="majorEastAsia"/>
          <w:b/>
          <w:sz w:val="22"/>
          <w:szCs w:val="22"/>
          <w:u w:val="single"/>
        </w:rPr>
      </w:pPr>
      <w:r>
        <w:rPr>
          <w:rFonts w:hint="eastAsia" w:asciiTheme="majorEastAsia" w:hAnsiTheme="majorEastAsia" w:eastAsiaTheme="majorEastAsia"/>
          <w:b/>
          <w:sz w:val="22"/>
          <w:szCs w:val="22"/>
        </w:rPr>
        <w:t>发包人（全称）：</w:t>
      </w:r>
      <w:r>
        <w:rPr>
          <w:rFonts w:hint="eastAsia" w:asciiTheme="majorEastAsia" w:hAnsiTheme="majorEastAsia" w:eastAsiaTheme="majorEastAsia"/>
          <w:b/>
          <w:sz w:val="22"/>
          <w:szCs w:val="22"/>
          <w:u w:val="single"/>
        </w:rPr>
        <w:t>高速管家（重庆）实业有限公司</w:t>
      </w:r>
    </w:p>
    <w:p>
      <w:pPr>
        <w:spacing w:line="360" w:lineRule="auto"/>
        <w:ind w:firstLine="331" w:firstLineChars="150"/>
        <w:rPr>
          <w:rFonts w:asciiTheme="majorEastAsia" w:hAnsiTheme="majorEastAsia" w:eastAsiaTheme="majorEastAsia"/>
          <w:b/>
          <w:sz w:val="22"/>
          <w:szCs w:val="22"/>
          <w:u w:val="single"/>
        </w:rPr>
      </w:pPr>
      <w:r>
        <w:rPr>
          <w:rFonts w:hint="eastAsia" w:asciiTheme="majorEastAsia" w:hAnsiTheme="majorEastAsia" w:eastAsiaTheme="majorEastAsia"/>
          <w:b/>
          <w:sz w:val="22"/>
          <w:szCs w:val="22"/>
        </w:rPr>
        <w:t>承包人（全称）：</w:t>
      </w:r>
      <w:r>
        <w:rPr>
          <w:rFonts w:hint="eastAsia" w:asciiTheme="majorEastAsia" w:hAnsiTheme="majorEastAsia" w:eastAsiaTheme="majorEastAsia"/>
          <w:b/>
          <w:sz w:val="22"/>
          <w:szCs w:val="22"/>
          <w:u w:val="single"/>
        </w:rPr>
        <w:t xml:space="preserve">                             </w:t>
      </w:r>
    </w:p>
    <w:p>
      <w:pPr>
        <w:spacing w:line="360" w:lineRule="auto"/>
        <w:ind w:firstLine="442"/>
        <w:jc w:val="left"/>
        <w:rPr>
          <w:rFonts w:asciiTheme="majorEastAsia" w:hAnsiTheme="majorEastAsia" w:eastAsiaTheme="majorEastAsia"/>
          <w:b/>
          <w:bCs/>
          <w:sz w:val="22"/>
          <w:szCs w:val="22"/>
        </w:rPr>
      </w:pP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发包人、承包人根据《中华人民共和国建筑法》、《建设工程质量管理条例》，参照《房屋建筑工程质量保修办法》等相关规定，经协商一致，对</w:t>
      </w:r>
      <w:r>
        <w:rPr>
          <w:rFonts w:hint="eastAsia" w:asciiTheme="majorEastAsia" w:hAnsiTheme="majorEastAsia" w:eastAsiaTheme="majorEastAsia"/>
          <w:sz w:val="22"/>
          <w:szCs w:val="22"/>
          <w:u w:val="single"/>
        </w:rPr>
        <w:t xml:space="preserve"> </w:t>
      </w:r>
      <w:r>
        <w:rPr>
          <w:rFonts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工程（工程名称）</w:t>
      </w:r>
      <w:r>
        <w:rPr>
          <w:rFonts w:hint="eastAsia" w:asciiTheme="majorEastAsia" w:hAnsiTheme="majorEastAsia" w:eastAsiaTheme="majorEastAsia"/>
          <w:sz w:val="22"/>
          <w:szCs w:val="22"/>
        </w:rPr>
        <w:t>签订工程质量保修书。</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一、工程质量保修范围和内容</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承包人在质量保修期内，按照有关法律规定和合同约定，承担工程质量保修责任。</w:t>
      </w:r>
    </w:p>
    <w:p>
      <w:pPr>
        <w:spacing w:line="360" w:lineRule="auto"/>
        <w:ind w:firstLine="440"/>
        <w:jc w:val="left"/>
        <w:rPr>
          <w:rFonts w:asciiTheme="majorEastAsia" w:hAnsiTheme="majorEastAsia" w:eastAsiaTheme="majorEastAsia"/>
          <w:sz w:val="22"/>
          <w:szCs w:val="22"/>
          <w:u w:val="single"/>
        </w:rPr>
      </w:pPr>
      <w:r>
        <w:rPr>
          <w:rFonts w:hint="eastAsia" w:asciiTheme="majorEastAsia" w:hAnsiTheme="majorEastAsia" w:eastAsiaTheme="majorEastAsia"/>
          <w:sz w:val="22"/>
          <w:szCs w:val="22"/>
        </w:rPr>
        <w:t>具体保修的内容，双方约定如下：</w:t>
      </w:r>
      <w:r>
        <w:rPr>
          <w:rFonts w:hint="eastAsia" w:asciiTheme="majorEastAsia" w:hAnsiTheme="majorEastAsia" w:eastAsiaTheme="majorEastAsia"/>
          <w:sz w:val="22"/>
          <w:szCs w:val="22"/>
          <w:u w:val="single"/>
        </w:rPr>
        <w:t>承包人所有施工的内容均属于保修范围。</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二、质量保修期</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质量保修期从工程实际竣工通过竣工验收或备案之日算起。</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双方根据国家有关规定，结合具体工程约定质量保修期如下：</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1.地基基础工程和主体结构工程为设计文件规定的该工程合理使用年限；</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2.屋面防水工程、有防水要求的卫生间、房间和外墙面的防渗漏为</w:t>
      </w:r>
      <w:r>
        <w:rPr>
          <w:rFonts w:hint="eastAsia" w:asciiTheme="majorEastAsia" w:hAnsiTheme="majorEastAsia" w:eastAsiaTheme="majorEastAsia"/>
          <w:sz w:val="22"/>
          <w:szCs w:val="22"/>
          <w:u w:val="single"/>
        </w:rPr>
        <w:t>5年</w:t>
      </w:r>
      <w:r>
        <w:rPr>
          <w:rFonts w:hint="eastAsia" w:asciiTheme="majorEastAsia" w:hAnsiTheme="majorEastAsia" w:eastAsiaTheme="majorEastAsia"/>
          <w:sz w:val="22"/>
          <w:szCs w:val="22"/>
        </w:rPr>
        <w:t>；</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3.装修工程为2年；</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4.电气管线、给排水管道、设备安装工程为2年；</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5.供热与供冷系统为2个采暖期、供冷期；</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6.住宅小区内的给排水设施、道路等配套工程为2年；</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7.其他项目保修期限约定如下：其他项目所有均为2年。</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三、质量保修责任</w:t>
      </w:r>
    </w:p>
    <w:p>
      <w:pPr>
        <w:spacing w:line="360" w:lineRule="auto"/>
        <w:ind w:firstLine="440"/>
        <w:jc w:val="left"/>
        <w:rPr>
          <w:rFonts w:asciiTheme="majorEastAsia" w:hAnsiTheme="majorEastAsia" w:eastAsiaTheme="majorEastAsia"/>
          <w:sz w:val="22"/>
          <w:szCs w:val="22"/>
        </w:rPr>
      </w:pPr>
      <w:r>
        <w:rPr>
          <w:rFonts w:asciiTheme="majorEastAsia" w:hAnsiTheme="majorEastAsia" w:eastAsiaTheme="majorEastAsia"/>
          <w:sz w:val="22"/>
          <w:szCs w:val="22"/>
        </w:rPr>
        <w:t>1</w:t>
      </w:r>
      <w:r>
        <w:rPr>
          <w:rFonts w:hint="eastAsia" w:asciiTheme="majorEastAsia" w:hAnsiTheme="majorEastAsia" w:eastAsiaTheme="majorEastAsia"/>
          <w:sz w:val="22"/>
          <w:szCs w:val="22"/>
        </w:rPr>
        <w:t>．属于保修范围、内容的项目，承包人应当在接到保修通知之日起3天内派人保修。承包人不在约定期限内派人保修的，发包人可以委托</w:t>
      </w:r>
      <w:r>
        <w:rPr>
          <w:rFonts w:hint="eastAsia" w:asciiTheme="majorEastAsia" w:hAnsiTheme="majorEastAsia" w:eastAsiaTheme="majorEastAsia"/>
          <w:sz w:val="22"/>
          <w:szCs w:val="22"/>
          <w:lang w:val="en-US" w:eastAsia="zh-CN"/>
        </w:rPr>
        <w:t>第三方</w:t>
      </w:r>
      <w:r>
        <w:rPr>
          <w:rFonts w:hint="eastAsia" w:asciiTheme="majorEastAsia" w:hAnsiTheme="majorEastAsia" w:eastAsiaTheme="majorEastAsia"/>
          <w:sz w:val="22"/>
          <w:szCs w:val="22"/>
        </w:rPr>
        <w:t>修理</w:t>
      </w:r>
      <w:r>
        <w:rPr>
          <w:rFonts w:hint="eastAsia" w:asciiTheme="majorEastAsia" w:hAnsiTheme="majorEastAsia" w:eastAsiaTheme="majorEastAsia"/>
          <w:sz w:val="22"/>
          <w:szCs w:val="22"/>
          <w:lang w:eastAsia="zh-CN"/>
        </w:rPr>
        <w:t>，相关费用由承包人承担</w:t>
      </w:r>
      <w:r>
        <w:rPr>
          <w:rFonts w:hint="eastAsia" w:asciiTheme="majorEastAsia" w:hAnsiTheme="majorEastAsia" w:eastAsiaTheme="majorEastAsia"/>
          <w:sz w:val="22"/>
          <w:szCs w:val="22"/>
        </w:rPr>
        <w:t>。</w:t>
      </w:r>
    </w:p>
    <w:p>
      <w:pPr>
        <w:spacing w:line="360" w:lineRule="auto"/>
        <w:ind w:firstLine="440"/>
        <w:jc w:val="left"/>
        <w:rPr>
          <w:rFonts w:asciiTheme="majorEastAsia" w:hAnsiTheme="majorEastAsia" w:eastAsiaTheme="majorEastAsia"/>
          <w:sz w:val="22"/>
          <w:szCs w:val="22"/>
        </w:rPr>
      </w:pPr>
      <w:r>
        <w:rPr>
          <w:rFonts w:asciiTheme="majorEastAsia" w:hAnsiTheme="majorEastAsia" w:eastAsiaTheme="majorEastAsia"/>
          <w:sz w:val="22"/>
          <w:szCs w:val="22"/>
        </w:rPr>
        <w:t>2</w:t>
      </w:r>
      <w:r>
        <w:rPr>
          <w:rFonts w:hint="eastAsia" w:asciiTheme="majorEastAsia" w:hAnsiTheme="majorEastAsia" w:eastAsiaTheme="majorEastAsia"/>
          <w:sz w:val="22"/>
          <w:szCs w:val="22"/>
        </w:rPr>
        <w:t>．发生紧急事故需抢修的，承包人在接到事故通知后，应当立即到达事故现场抢修。</w:t>
      </w:r>
    </w:p>
    <w:p>
      <w:pPr>
        <w:spacing w:line="360" w:lineRule="auto"/>
        <w:ind w:firstLine="440"/>
        <w:jc w:val="left"/>
        <w:rPr>
          <w:rFonts w:asciiTheme="majorEastAsia" w:hAnsiTheme="majorEastAsia" w:eastAsiaTheme="majorEastAsia"/>
          <w:sz w:val="22"/>
          <w:szCs w:val="22"/>
        </w:rPr>
      </w:pPr>
      <w:r>
        <w:rPr>
          <w:rFonts w:asciiTheme="majorEastAsia" w:hAnsiTheme="majorEastAsia" w:eastAsiaTheme="majorEastAsia"/>
          <w:sz w:val="22"/>
          <w:szCs w:val="22"/>
        </w:rPr>
        <w:t>3</w:t>
      </w:r>
      <w:r>
        <w:rPr>
          <w:rFonts w:hint="eastAsia" w:asciiTheme="majorEastAsia" w:hAnsiTheme="majorEastAsia" w:eastAsiaTheme="majorEastAsia"/>
          <w:sz w:val="22"/>
          <w:szCs w:val="22"/>
        </w:rPr>
        <w:t>．对于涉及结构安全的质量问题，应当按照《建设工程质量管理条例》的规定，立即向当地建设行政主管部门和其他有关部门报告，采取安全防范措施，并由原设计人或者具有相应资质等级的设计人提出保修方案，承包人实施保修。</w:t>
      </w:r>
    </w:p>
    <w:p>
      <w:pPr>
        <w:spacing w:line="360" w:lineRule="auto"/>
        <w:ind w:firstLine="440"/>
        <w:jc w:val="left"/>
      </w:pPr>
      <w:r>
        <w:rPr>
          <w:rFonts w:hint="eastAsia" w:asciiTheme="majorEastAsia" w:hAnsiTheme="majorEastAsia" w:eastAsiaTheme="majorEastAsia"/>
          <w:sz w:val="22"/>
          <w:szCs w:val="22"/>
        </w:rPr>
        <w:t>4.质量保修完成后，由发包人组织验收。</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四、保修费用</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保修费用由造成质量缺陷的责任方承担。</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五、其它</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本工程质量保修书，由施工合同发包人、承包人双方在签订合同协议书时一并签订，作为施工合同附件，其有效保修期限至保修期满。</w:t>
      </w:r>
    </w:p>
    <w:p>
      <w:pPr>
        <w:spacing w:line="360" w:lineRule="auto"/>
        <w:ind w:firstLine="440"/>
        <w:jc w:val="left"/>
        <w:rPr>
          <w:rFonts w:asciiTheme="majorEastAsia" w:hAnsiTheme="majorEastAsia" w:eastAsiaTheme="majorEastAsia"/>
          <w:sz w:val="22"/>
          <w:szCs w:val="22"/>
        </w:rPr>
      </w:pPr>
    </w:p>
    <w:p>
      <w:pPr>
        <w:pStyle w:val="2"/>
      </w:pPr>
    </w:p>
    <w:p>
      <w:pPr>
        <w:spacing w:line="360" w:lineRule="auto"/>
        <w:ind w:firstLine="440"/>
        <w:jc w:val="left"/>
        <w:rPr>
          <w:rFonts w:asciiTheme="majorEastAsia" w:hAnsiTheme="majorEastAsia" w:eastAsiaTheme="majorEastAsia"/>
          <w:sz w:val="22"/>
          <w:szCs w:val="22"/>
        </w:rPr>
      </w:pPr>
    </w:p>
    <w:p>
      <w:pPr>
        <w:spacing w:line="360" w:lineRule="auto"/>
        <w:ind w:firstLine="440"/>
        <w:jc w:val="left"/>
        <w:rPr>
          <w:rFonts w:asciiTheme="majorEastAsia" w:hAnsiTheme="majorEastAsia" w:eastAsiaTheme="majorEastAsia"/>
          <w:sz w:val="22"/>
          <w:szCs w:val="22"/>
        </w:rPr>
      </w:pPr>
    </w:p>
    <w:p>
      <w:pPr>
        <w:spacing w:line="360" w:lineRule="auto"/>
        <w:ind w:firstLine="440" w:firstLineChars="200"/>
        <w:rPr>
          <w:rFonts w:ascii="宋体" w:hAnsi="宋体"/>
          <w:snapToGrid w:val="0"/>
          <w:kern w:val="0"/>
          <w:sz w:val="22"/>
          <w:szCs w:val="22"/>
        </w:rPr>
      </w:pPr>
      <w:r>
        <w:rPr>
          <w:rFonts w:hint="eastAsia" w:ascii="宋体" w:hAnsi="宋体"/>
          <w:snapToGrid w:val="0"/>
          <w:kern w:val="0"/>
          <w:sz w:val="22"/>
          <w:szCs w:val="22"/>
        </w:rPr>
        <w:t>发包人：</w:t>
      </w:r>
      <w:r>
        <w:rPr>
          <w:rFonts w:hint="eastAsia" w:ascii="宋体" w:hAnsi="宋体"/>
          <w:snapToGrid w:val="0"/>
          <w:kern w:val="0"/>
          <w:sz w:val="22"/>
          <w:szCs w:val="22"/>
          <w:u w:val="single"/>
        </w:rPr>
        <w:t xml:space="preserve">                                </w:t>
      </w:r>
      <w:r>
        <w:rPr>
          <w:rFonts w:hint="eastAsia" w:ascii="宋体" w:hAnsi="宋体"/>
          <w:snapToGrid w:val="0"/>
          <w:kern w:val="0"/>
          <w:sz w:val="22"/>
          <w:szCs w:val="22"/>
        </w:rPr>
        <w:t>（盖单位公章）</w:t>
      </w:r>
    </w:p>
    <w:p>
      <w:pPr>
        <w:spacing w:line="360" w:lineRule="auto"/>
        <w:ind w:firstLine="440" w:firstLineChars="200"/>
        <w:rPr>
          <w:rFonts w:ascii="宋体" w:hAnsi="宋体"/>
          <w:snapToGrid w:val="0"/>
          <w:kern w:val="0"/>
          <w:sz w:val="22"/>
          <w:szCs w:val="22"/>
        </w:rPr>
      </w:pPr>
    </w:p>
    <w:p>
      <w:pPr>
        <w:spacing w:line="360" w:lineRule="auto"/>
        <w:ind w:firstLine="440" w:firstLineChars="200"/>
        <w:rPr>
          <w:rFonts w:ascii="宋体" w:hAnsi="宋体"/>
          <w:snapToGrid w:val="0"/>
          <w:kern w:val="0"/>
          <w:sz w:val="22"/>
          <w:szCs w:val="22"/>
        </w:rPr>
      </w:pPr>
    </w:p>
    <w:p>
      <w:pPr>
        <w:spacing w:line="360" w:lineRule="auto"/>
        <w:ind w:firstLine="440" w:firstLineChars="200"/>
        <w:rPr>
          <w:rFonts w:ascii="宋体" w:hAnsi="宋体"/>
          <w:snapToGrid w:val="0"/>
          <w:kern w:val="0"/>
          <w:sz w:val="22"/>
          <w:szCs w:val="22"/>
        </w:rPr>
      </w:pPr>
      <w:r>
        <w:rPr>
          <w:rFonts w:hint="eastAsia" w:ascii="宋体" w:hAnsi="宋体"/>
          <w:snapToGrid w:val="0"/>
          <w:kern w:val="0"/>
          <w:sz w:val="22"/>
          <w:szCs w:val="22"/>
        </w:rPr>
        <w:t>法定代表人或其委托代理人：</w:t>
      </w:r>
      <w:r>
        <w:rPr>
          <w:rFonts w:hint="eastAsia" w:ascii="宋体" w:hAnsi="宋体"/>
          <w:snapToGrid w:val="0"/>
          <w:kern w:val="0"/>
          <w:sz w:val="22"/>
          <w:szCs w:val="22"/>
          <w:u w:val="single"/>
        </w:rPr>
        <w:t xml:space="preserve">                </w:t>
      </w:r>
      <w:r>
        <w:rPr>
          <w:rFonts w:hint="eastAsia" w:ascii="宋体" w:hAnsi="宋体"/>
          <w:snapToGrid w:val="0"/>
          <w:kern w:val="0"/>
          <w:sz w:val="22"/>
          <w:szCs w:val="22"/>
        </w:rPr>
        <w:t>（签字或盖章）</w:t>
      </w:r>
    </w:p>
    <w:p>
      <w:pPr>
        <w:spacing w:line="360" w:lineRule="auto"/>
        <w:ind w:firstLine="440" w:firstLineChars="200"/>
        <w:rPr>
          <w:rFonts w:ascii="宋体" w:hAnsi="宋体"/>
          <w:snapToGrid w:val="0"/>
          <w:kern w:val="0"/>
          <w:sz w:val="22"/>
          <w:szCs w:val="22"/>
        </w:rPr>
      </w:pPr>
    </w:p>
    <w:p>
      <w:pPr>
        <w:pStyle w:val="2"/>
      </w:pPr>
    </w:p>
    <w:p>
      <w:pPr>
        <w:spacing w:line="360" w:lineRule="auto"/>
        <w:ind w:firstLine="440" w:firstLineChars="200"/>
        <w:rPr>
          <w:rFonts w:ascii="宋体" w:hAnsi="宋体"/>
          <w:snapToGrid w:val="0"/>
          <w:kern w:val="0"/>
          <w:sz w:val="22"/>
          <w:szCs w:val="22"/>
        </w:rPr>
      </w:pPr>
      <w:r>
        <w:rPr>
          <w:rFonts w:hint="eastAsia" w:ascii="宋体" w:hAnsi="宋体"/>
          <w:snapToGrid w:val="0"/>
          <w:kern w:val="0"/>
          <w:sz w:val="22"/>
          <w:szCs w:val="22"/>
        </w:rPr>
        <w:t>经办人：</w:t>
      </w:r>
      <w:r>
        <w:rPr>
          <w:rFonts w:hint="eastAsia" w:ascii="宋体" w:hAnsi="宋体"/>
          <w:snapToGrid w:val="0"/>
          <w:kern w:val="0"/>
          <w:sz w:val="22"/>
          <w:szCs w:val="22"/>
          <w:u w:val="single"/>
        </w:rPr>
        <w:t xml:space="preserve">                </w:t>
      </w:r>
      <w:r>
        <w:rPr>
          <w:rFonts w:hint="eastAsia" w:ascii="宋体" w:hAnsi="宋体"/>
          <w:snapToGrid w:val="0"/>
          <w:kern w:val="0"/>
          <w:sz w:val="22"/>
          <w:szCs w:val="22"/>
        </w:rPr>
        <w:t>（签字）</w:t>
      </w:r>
    </w:p>
    <w:p>
      <w:pPr>
        <w:spacing w:line="360" w:lineRule="auto"/>
        <w:ind w:firstLine="440" w:firstLineChars="200"/>
        <w:rPr>
          <w:rFonts w:ascii="宋体" w:hAnsi="宋体"/>
          <w:snapToGrid w:val="0"/>
          <w:kern w:val="0"/>
          <w:sz w:val="22"/>
          <w:szCs w:val="22"/>
        </w:rPr>
      </w:pPr>
    </w:p>
    <w:p>
      <w:pPr>
        <w:spacing w:line="360" w:lineRule="auto"/>
        <w:ind w:firstLine="440" w:firstLineChars="200"/>
        <w:rPr>
          <w:rFonts w:ascii="宋体" w:hAnsi="宋体"/>
          <w:snapToGrid w:val="0"/>
          <w:kern w:val="0"/>
          <w:sz w:val="22"/>
          <w:szCs w:val="22"/>
        </w:rPr>
      </w:pPr>
    </w:p>
    <w:p>
      <w:pPr>
        <w:spacing w:line="360" w:lineRule="auto"/>
        <w:ind w:firstLine="440" w:firstLineChars="200"/>
        <w:rPr>
          <w:rFonts w:ascii="宋体" w:hAnsi="宋体"/>
          <w:snapToGrid w:val="0"/>
          <w:kern w:val="0"/>
          <w:sz w:val="22"/>
          <w:szCs w:val="22"/>
        </w:rPr>
      </w:pPr>
    </w:p>
    <w:p>
      <w:pPr>
        <w:spacing w:line="360" w:lineRule="auto"/>
        <w:ind w:firstLine="440" w:firstLineChars="200"/>
        <w:rPr>
          <w:rFonts w:ascii="宋体" w:hAnsi="宋体"/>
          <w:sz w:val="22"/>
          <w:szCs w:val="22"/>
        </w:rPr>
      </w:pPr>
      <w:r>
        <w:rPr>
          <w:rFonts w:hint="eastAsia" w:ascii="宋体" w:hAnsi="宋体"/>
          <w:snapToGrid w:val="0"/>
          <w:kern w:val="0"/>
          <w:sz w:val="22"/>
          <w:szCs w:val="22"/>
        </w:rPr>
        <w:t>承包人：</w:t>
      </w:r>
      <w:r>
        <w:rPr>
          <w:rFonts w:hint="eastAsia" w:ascii="宋体" w:hAnsi="宋体"/>
          <w:snapToGrid w:val="0"/>
          <w:kern w:val="0"/>
          <w:sz w:val="22"/>
          <w:szCs w:val="22"/>
          <w:u w:val="single"/>
        </w:rPr>
        <w:t xml:space="preserve">                                </w:t>
      </w:r>
      <w:r>
        <w:rPr>
          <w:rFonts w:hint="eastAsia" w:ascii="宋体" w:hAnsi="宋体"/>
          <w:snapToGrid w:val="0"/>
          <w:kern w:val="0"/>
          <w:sz w:val="22"/>
          <w:szCs w:val="22"/>
        </w:rPr>
        <w:t>（盖单位公章）</w:t>
      </w:r>
    </w:p>
    <w:p>
      <w:pPr>
        <w:spacing w:line="360" w:lineRule="auto"/>
        <w:ind w:firstLine="440" w:firstLineChars="200"/>
        <w:rPr>
          <w:rFonts w:ascii="宋体" w:hAnsi="宋体"/>
          <w:snapToGrid w:val="0"/>
          <w:kern w:val="0"/>
          <w:sz w:val="22"/>
          <w:szCs w:val="22"/>
        </w:rPr>
      </w:pPr>
    </w:p>
    <w:p>
      <w:pPr>
        <w:spacing w:line="360" w:lineRule="auto"/>
        <w:ind w:firstLine="440" w:firstLineChars="200"/>
        <w:rPr>
          <w:rFonts w:ascii="宋体" w:hAnsi="宋体"/>
          <w:snapToGrid w:val="0"/>
          <w:kern w:val="0"/>
          <w:sz w:val="22"/>
          <w:szCs w:val="22"/>
        </w:rPr>
      </w:pPr>
    </w:p>
    <w:p>
      <w:pPr>
        <w:spacing w:line="360" w:lineRule="auto"/>
        <w:ind w:firstLine="440" w:firstLineChars="200"/>
        <w:rPr>
          <w:rFonts w:ascii="宋体" w:hAnsi="宋体"/>
          <w:bCs/>
          <w:kern w:val="0"/>
          <w:sz w:val="22"/>
          <w:szCs w:val="22"/>
        </w:rPr>
      </w:pPr>
      <w:r>
        <w:rPr>
          <w:rFonts w:hint="eastAsia" w:ascii="宋体" w:hAnsi="宋体"/>
          <w:snapToGrid w:val="0"/>
          <w:kern w:val="0"/>
          <w:sz w:val="22"/>
          <w:szCs w:val="22"/>
        </w:rPr>
        <w:t>法定代表人或其委托代理人：</w:t>
      </w:r>
      <w:r>
        <w:rPr>
          <w:rFonts w:hint="eastAsia" w:ascii="宋体" w:hAnsi="宋体"/>
          <w:snapToGrid w:val="0"/>
          <w:kern w:val="0"/>
          <w:sz w:val="22"/>
          <w:szCs w:val="22"/>
          <w:u w:val="single"/>
        </w:rPr>
        <w:t xml:space="preserve">                </w:t>
      </w:r>
      <w:r>
        <w:rPr>
          <w:rFonts w:hint="eastAsia" w:ascii="宋体" w:hAnsi="宋体"/>
          <w:snapToGrid w:val="0"/>
          <w:kern w:val="0"/>
          <w:sz w:val="22"/>
          <w:szCs w:val="22"/>
        </w:rPr>
        <w:t>（签字或盖章）</w:t>
      </w:r>
    </w:p>
    <w:p>
      <w:pPr>
        <w:spacing w:line="360" w:lineRule="auto"/>
        <w:ind w:firstLine="437" w:firstLineChars="200"/>
        <w:rPr>
          <w:rFonts w:ascii="宋体" w:hAnsi="宋体"/>
          <w:snapToGrid w:val="0"/>
          <w:spacing w:val="1"/>
          <w:w w:val="99"/>
          <w:kern w:val="0"/>
          <w:position w:val="-2"/>
          <w:sz w:val="22"/>
          <w:szCs w:val="22"/>
        </w:rPr>
      </w:pPr>
    </w:p>
    <w:p>
      <w:pPr>
        <w:spacing w:line="360" w:lineRule="auto"/>
        <w:ind w:firstLine="437" w:firstLineChars="200"/>
        <w:rPr>
          <w:rFonts w:ascii="宋体" w:hAnsi="宋体"/>
          <w:snapToGrid w:val="0"/>
          <w:spacing w:val="1"/>
          <w:w w:val="99"/>
          <w:kern w:val="0"/>
          <w:position w:val="-2"/>
          <w:sz w:val="22"/>
          <w:szCs w:val="22"/>
        </w:rPr>
      </w:pPr>
    </w:p>
    <w:p>
      <w:pPr>
        <w:spacing w:line="360" w:lineRule="auto"/>
        <w:ind w:firstLine="440" w:firstLineChars="200"/>
        <w:rPr>
          <w:rFonts w:ascii="宋体" w:hAnsi="宋体"/>
          <w:snapToGrid w:val="0"/>
          <w:kern w:val="0"/>
          <w:sz w:val="22"/>
          <w:szCs w:val="22"/>
        </w:rPr>
      </w:pPr>
      <w:r>
        <w:rPr>
          <w:rFonts w:hint="eastAsia" w:ascii="宋体" w:hAnsi="宋体"/>
          <w:snapToGrid w:val="0"/>
          <w:kern w:val="0"/>
          <w:sz w:val="22"/>
          <w:szCs w:val="22"/>
        </w:rPr>
        <w:t>经办人：</w:t>
      </w:r>
      <w:r>
        <w:rPr>
          <w:rFonts w:hint="eastAsia" w:ascii="宋体" w:hAnsi="宋体"/>
          <w:snapToGrid w:val="0"/>
          <w:kern w:val="0"/>
          <w:sz w:val="22"/>
          <w:szCs w:val="22"/>
          <w:u w:val="single"/>
        </w:rPr>
        <w:t xml:space="preserve">                </w:t>
      </w:r>
      <w:r>
        <w:rPr>
          <w:rFonts w:hint="eastAsia" w:ascii="宋体" w:hAnsi="宋体"/>
          <w:snapToGrid w:val="0"/>
          <w:kern w:val="0"/>
          <w:sz w:val="22"/>
          <w:szCs w:val="22"/>
        </w:rPr>
        <w:t>（签字）</w:t>
      </w:r>
    </w:p>
    <w:p>
      <w:pPr>
        <w:pStyle w:val="2"/>
        <w:rPr>
          <w:rFonts w:ascii="宋体" w:hAnsi="宋体"/>
          <w:snapToGrid w:val="0"/>
          <w:spacing w:val="1"/>
          <w:w w:val="99"/>
          <w:kern w:val="0"/>
          <w:position w:val="-2"/>
          <w:sz w:val="22"/>
          <w:szCs w:val="22"/>
        </w:rPr>
      </w:pPr>
    </w:p>
    <w:p>
      <w:pPr>
        <w:pStyle w:val="2"/>
        <w:jc w:val="right"/>
        <w:rPr>
          <w:rFonts w:ascii="宋体" w:hAnsi="宋体"/>
          <w:snapToGrid w:val="0"/>
          <w:spacing w:val="1"/>
          <w:w w:val="99"/>
          <w:kern w:val="0"/>
          <w:position w:val="-2"/>
          <w:sz w:val="22"/>
          <w:szCs w:val="22"/>
        </w:rPr>
      </w:pPr>
    </w:p>
    <w:p>
      <w:pPr>
        <w:spacing w:line="360" w:lineRule="auto"/>
        <w:ind w:firstLine="440" w:firstLineChars="200"/>
        <w:jc w:val="right"/>
        <w:rPr>
          <w:rFonts w:ascii="宋体" w:hAnsi="宋体"/>
          <w:snapToGrid w:val="0"/>
          <w:kern w:val="0"/>
          <w:sz w:val="22"/>
          <w:szCs w:val="22"/>
        </w:rPr>
      </w:pPr>
      <w:r>
        <w:rPr>
          <w:rFonts w:hint="eastAsia" w:ascii="宋体" w:hAnsi="宋体"/>
          <w:snapToGrid w:val="0"/>
          <w:kern w:val="0"/>
          <w:sz w:val="22"/>
          <w:szCs w:val="22"/>
        </w:rPr>
        <w:t>签约时间：</w:t>
      </w:r>
      <w:r>
        <w:rPr>
          <w:rFonts w:hint="eastAsia" w:ascii="宋体" w:hAnsi="宋体"/>
          <w:snapToGrid w:val="0"/>
          <w:kern w:val="0"/>
          <w:sz w:val="22"/>
          <w:szCs w:val="22"/>
          <w:u w:val="single"/>
        </w:rPr>
        <w:t xml:space="preserve">     </w:t>
      </w:r>
      <w:r>
        <w:rPr>
          <w:rFonts w:hint="eastAsia" w:ascii="宋体" w:hAnsi="宋体"/>
          <w:snapToGrid w:val="0"/>
          <w:kern w:val="0"/>
          <w:sz w:val="22"/>
          <w:szCs w:val="22"/>
        </w:rPr>
        <w:t>年</w:t>
      </w:r>
      <w:r>
        <w:rPr>
          <w:rFonts w:hint="eastAsia" w:ascii="宋体" w:hAnsi="宋体"/>
          <w:snapToGrid w:val="0"/>
          <w:kern w:val="0"/>
          <w:sz w:val="22"/>
          <w:szCs w:val="22"/>
          <w:u w:val="single"/>
        </w:rPr>
        <w:t xml:space="preserve">     </w:t>
      </w:r>
      <w:r>
        <w:rPr>
          <w:rFonts w:hint="eastAsia" w:ascii="宋体" w:hAnsi="宋体"/>
          <w:snapToGrid w:val="0"/>
          <w:kern w:val="0"/>
          <w:sz w:val="22"/>
          <w:szCs w:val="22"/>
        </w:rPr>
        <w:t>月</w:t>
      </w:r>
      <w:r>
        <w:rPr>
          <w:rFonts w:hint="eastAsia" w:ascii="宋体" w:hAnsi="宋体"/>
          <w:snapToGrid w:val="0"/>
          <w:kern w:val="0"/>
          <w:sz w:val="22"/>
          <w:szCs w:val="22"/>
          <w:u w:val="single"/>
        </w:rPr>
        <w:t xml:space="preserve">     </w:t>
      </w:r>
      <w:r>
        <w:rPr>
          <w:rFonts w:hint="eastAsia" w:ascii="宋体" w:hAnsi="宋体"/>
          <w:snapToGrid w:val="0"/>
          <w:kern w:val="0"/>
          <w:sz w:val="22"/>
          <w:szCs w:val="22"/>
        </w:rPr>
        <w:t>日</w:t>
      </w:r>
    </w:p>
    <w:p>
      <w:pPr>
        <w:spacing w:line="360" w:lineRule="auto"/>
        <w:ind w:firstLine="420"/>
        <w:jc w:val="left"/>
        <w:rPr>
          <w:rFonts w:asciiTheme="majorEastAsia" w:hAnsiTheme="majorEastAsia" w:eastAsiaTheme="majorEastAsia"/>
        </w:rPr>
      </w:pPr>
    </w:p>
    <w:p>
      <w:pPr>
        <w:ind w:firstLine="420"/>
        <w:rPr>
          <w:rFonts w:asciiTheme="majorEastAsia" w:hAnsiTheme="majorEastAsia" w:eastAsiaTheme="majorEastAsia"/>
        </w:rPr>
      </w:pPr>
      <w:r>
        <w:rPr>
          <w:rFonts w:asciiTheme="majorEastAsia" w:hAnsiTheme="majorEastAsia" w:eastAsiaTheme="majorEastAsia"/>
        </w:rPr>
        <w:br w:type="page"/>
      </w:r>
    </w:p>
    <w:p>
      <w:pPr>
        <w:pStyle w:val="5"/>
        <w:spacing w:before="48" w:after="48"/>
        <w:rPr>
          <w:rFonts w:asciiTheme="majorEastAsia" w:hAnsiTheme="majorEastAsia" w:eastAsiaTheme="majorEastAsia"/>
        </w:rPr>
      </w:pPr>
      <w:bookmarkStart w:id="1612" w:name="_Toc28504"/>
      <w:bookmarkStart w:id="1613" w:name="_Toc44420158"/>
      <w:bookmarkStart w:id="1614" w:name="_Toc44433363"/>
      <w:r>
        <w:rPr>
          <w:rFonts w:hint="eastAsia" w:asciiTheme="majorEastAsia" w:hAnsiTheme="majorEastAsia" w:eastAsiaTheme="majorEastAsia"/>
        </w:rPr>
        <w:t>附件二：</w:t>
      </w:r>
      <w:bookmarkEnd w:id="1612"/>
      <w:bookmarkEnd w:id="1613"/>
      <w:bookmarkEnd w:id="1614"/>
      <w:r>
        <w:rPr>
          <w:rFonts w:asciiTheme="majorEastAsia" w:hAnsiTheme="majorEastAsia" w:eastAsiaTheme="majorEastAsia"/>
        </w:rPr>
        <w:t xml:space="preserve"> </w:t>
      </w:r>
    </w:p>
    <w:p>
      <w:pPr>
        <w:spacing w:before="240" w:beforeLines="100" w:after="240" w:afterLines="100"/>
        <w:jc w:val="center"/>
        <w:rPr>
          <w:rFonts w:asciiTheme="majorEastAsia" w:hAnsiTheme="majorEastAsia" w:eastAsiaTheme="majorEastAsia"/>
          <w:b/>
          <w:bCs/>
          <w:sz w:val="28"/>
          <w:szCs w:val="36"/>
        </w:rPr>
      </w:pPr>
      <w:r>
        <w:rPr>
          <w:rFonts w:hint="eastAsia" w:asciiTheme="majorEastAsia" w:hAnsiTheme="majorEastAsia" w:eastAsiaTheme="majorEastAsia"/>
          <w:b/>
          <w:bCs/>
          <w:sz w:val="28"/>
          <w:szCs w:val="36"/>
        </w:rPr>
        <w:t>建设工程廉政责任书</w:t>
      </w:r>
    </w:p>
    <w:p>
      <w:pPr>
        <w:spacing w:line="360" w:lineRule="auto"/>
        <w:ind w:firstLine="331" w:firstLineChars="150"/>
        <w:rPr>
          <w:rFonts w:asciiTheme="majorEastAsia" w:hAnsiTheme="majorEastAsia" w:eastAsiaTheme="majorEastAsia"/>
          <w:b/>
          <w:sz w:val="22"/>
          <w:szCs w:val="22"/>
        </w:rPr>
      </w:pPr>
    </w:p>
    <w:p>
      <w:pPr>
        <w:spacing w:line="360" w:lineRule="auto"/>
        <w:ind w:firstLine="331" w:firstLineChars="150"/>
        <w:rPr>
          <w:rFonts w:asciiTheme="majorEastAsia" w:hAnsiTheme="majorEastAsia" w:eastAsiaTheme="majorEastAsia"/>
          <w:b/>
          <w:sz w:val="22"/>
          <w:szCs w:val="22"/>
          <w:u w:val="single"/>
        </w:rPr>
      </w:pPr>
      <w:r>
        <w:rPr>
          <w:rFonts w:hint="eastAsia" w:asciiTheme="majorEastAsia" w:hAnsiTheme="majorEastAsia" w:eastAsiaTheme="majorEastAsia"/>
          <w:b/>
          <w:sz w:val="22"/>
          <w:szCs w:val="22"/>
        </w:rPr>
        <w:t>发包人（全称）：</w:t>
      </w:r>
      <w:r>
        <w:rPr>
          <w:rFonts w:hint="eastAsia" w:asciiTheme="majorEastAsia" w:hAnsiTheme="majorEastAsia" w:eastAsiaTheme="majorEastAsia"/>
          <w:b/>
          <w:sz w:val="22"/>
          <w:szCs w:val="22"/>
          <w:u w:val="single"/>
        </w:rPr>
        <w:t>高速管家（重庆）实业有限公司</w:t>
      </w:r>
    </w:p>
    <w:p>
      <w:pPr>
        <w:spacing w:line="360" w:lineRule="auto"/>
        <w:ind w:firstLine="331" w:firstLineChars="150"/>
        <w:rPr>
          <w:rFonts w:asciiTheme="majorEastAsia" w:hAnsiTheme="majorEastAsia" w:eastAsiaTheme="majorEastAsia"/>
          <w:b/>
          <w:sz w:val="22"/>
          <w:szCs w:val="22"/>
          <w:u w:val="single"/>
        </w:rPr>
      </w:pPr>
      <w:r>
        <w:rPr>
          <w:rFonts w:hint="eastAsia" w:asciiTheme="majorEastAsia" w:hAnsiTheme="majorEastAsia" w:eastAsiaTheme="majorEastAsia"/>
          <w:b/>
          <w:sz w:val="22"/>
          <w:szCs w:val="22"/>
        </w:rPr>
        <w:t>承包人（全称）：</w:t>
      </w:r>
      <w:r>
        <w:rPr>
          <w:rFonts w:hint="eastAsia" w:asciiTheme="majorEastAsia" w:hAnsiTheme="majorEastAsia" w:eastAsiaTheme="majorEastAsia"/>
          <w:b/>
          <w:sz w:val="22"/>
          <w:szCs w:val="22"/>
          <w:u w:val="single"/>
        </w:rPr>
        <w:t xml:space="preserve">                             </w:t>
      </w:r>
    </w:p>
    <w:p>
      <w:pPr>
        <w:spacing w:line="360" w:lineRule="auto"/>
        <w:ind w:firstLine="440"/>
        <w:rPr>
          <w:rFonts w:asciiTheme="majorEastAsia" w:hAnsiTheme="majorEastAsia" w:eastAsiaTheme="majorEastAsia"/>
          <w:sz w:val="22"/>
          <w:szCs w:val="22"/>
        </w:rPr>
      </w:pP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hint="eastAsia" w:asciiTheme="majorEastAsia" w:hAnsiTheme="majorEastAsia" w:eastAsiaTheme="majorEastAsia"/>
          <w:b/>
          <w:sz w:val="22"/>
          <w:szCs w:val="22"/>
        </w:rPr>
        <w:t>　　</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一、双方的责任</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1.1应严格遵守国家关于建设工程的有关法律、法规，相关政策，以及廉政建设的各项规定。</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1.2严格执行建设工程合同文件，自觉按合同办事。</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1.4发现对方在业务活动中有违规、违纪、违法行为的，应及时提醒对方，情节严重的，应向其上级主管部门或纪检监察、司法等有关机关举报。　</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二、发包人责任</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发包人的领导和从事该建设工程项目的工作人员，在工程建设的事前、事中、事后应遵守以下规定：</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2.1不得向承包人和相关单位索要或接受回扣、礼金、有价证券、贵重物品和好处费、感谢费等。</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2.2不得在承包人和相关单位报销任何应由发包人或个人支付的费用。</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2.3不得要求、暗示或接受承包人和相关单位为个人装修住房、婚丧嫁娶、配偶子女的工作安排以及出国(境)、旅游等提供方便。</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2.4不得参加有可能影响公正执行公务的承包人和相关单位的宴请、健身、娱乐等活动。</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2.5不得向承包人和相关单位介绍或为配偶、子女、亲属参与同发包人工程建设管理合同有关的业务活动；不得以任何理由要求承包人和相关单位使用某种产品、材料和设备。</w:t>
      </w:r>
      <w:r>
        <w:rPr>
          <w:rFonts w:hint="eastAsia" w:asciiTheme="majorEastAsia" w:hAnsiTheme="majorEastAsia" w:eastAsiaTheme="majorEastAsia"/>
          <w:b/>
          <w:sz w:val="22"/>
          <w:szCs w:val="22"/>
        </w:rPr>
        <w:t>　</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三、承包人责任</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应与发包人保持正常的业务交往，按照有关法律法规和程序开展业务工作，严格执行工程建设的有关方针、政策，执行工程建设强制性标准，并遵守以下规定：</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3.1不得以任何理由向发包人及其工作人员索要、接受或赠送礼金、有价证券、贵重物品及回扣、好处费、感谢费等。</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3.2不得以任何理由为发包人和相关单位报销应由对方或个人支付的费用。</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3.3不得接受或暗示为发包人、相关单位或个人装修住房、婚丧嫁娶、配偶子女的工作安排以及出国(境)、旅游等提供方便。</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3.4不得以任何理由为发包人、相关单位或个人组织有可能影响公正执行公务的宴请、健身、娱乐等活动。</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四、违约责任</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4.1发包人工作人员有违反本责任书第一、二条责任行为的，依据有关法律、法规给予处理；涉嫌犯罪的，移交司法机关追究刑事责任。</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4.2承包人工作人员有违反本责任书第一、三条责任行为的，依据有关法律法规处理；涉嫌犯罪的，移交司法机关追究刑事责任；给发包人单位造成经济损失的，应予以赔偿。</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4.3本责任书作为建设工程合同的组成部分，与建设工程合同具有同等法律效力。经双方签署后立即生效。</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五、责任书有效期</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本责任书的有效期为双方签署之日起至该工程项目竣工验收合格时止。</w:t>
      </w:r>
    </w:p>
    <w:p>
      <w:pPr>
        <w:pStyle w:val="6"/>
        <w:spacing w:before="48" w:after="48" w:line="360" w:lineRule="auto"/>
        <w:jc w:val="left"/>
        <w:rPr>
          <w:rFonts w:asciiTheme="majorEastAsia" w:hAnsiTheme="majorEastAsia" w:eastAsiaTheme="majorEastAsia"/>
          <w:sz w:val="22"/>
          <w:szCs w:val="22"/>
        </w:rPr>
      </w:pPr>
      <w:r>
        <w:rPr>
          <w:rFonts w:hint="eastAsia" w:asciiTheme="majorEastAsia" w:hAnsiTheme="majorEastAsia" w:eastAsiaTheme="majorEastAsia"/>
          <w:sz w:val="22"/>
          <w:szCs w:val="22"/>
        </w:rPr>
        <w:t>六、责任书份数</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本责任书一式</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份，发包人承包人各执</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份，具有同等效力。</w:t>
      </w:r>
    </w:p>
    <w:p>
      <w:pPr>
        <w:spacing w:line="360" w:lineRule="auto"/>
        <w:ind w:firstLine="440"/>
        <w:jc w:val="left"/>
        <w:rPr>
          <w:rFonts w:asciiTheme="majorEastAsia" w:hAnsiTheme="majorEastAsia" w:eastAsiaTheme="majorEastAsia"/>
          <w:sz w:val="22"/>
          <w:szCs w:val="22"/>
        </w:rPr>
      </w:pPr>
    </w:p>
    <w:p>
      <w:pPr>
        <w:pStyle w:val="2"/>
        <w:rPr>
          <w:rFonts w:asciiTheme="majorEastAsia" w:hAnsiTheme="majorEastAsia" w:eastAsiaTheme="majorEastAsia"/>
          <w:sz w:val="22"/>
          <w:szCs w:val="22"/>
        </w:rPr>
      </w:pPr>
    </w:p>
    <w:p>
      <w:pPr>
        <w:pStyle w:val="2"/>
        <w:rPr>
          <w:rFonts w:asciiTheme="majorEastAsia" w:hAnsiTheme="majorEastAsia" w:eastAsiaTheme="majorEastAsia"/>
          <w:sz w:val="22"/>
          <w:szCs w:val="22"/>
        </w:rPr>
      </w:pP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发包人： （公章）　　           承包人：（公章）</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法定地址：　　　　　　　　　　　法定地址：　　　　　　　　　　</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法定代表人或其　　　　　　　　　法定代表人或其</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委托代理人：（签字或盖章）　     委托代理人：（签字或盖章）</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电话：　　　　　　　　　　　　　电话：　　　　　　　　　　　　</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传真：　　　　　　　　　　　　　传真：　　　　　　　　　　　　</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电子邮箱：　　　　　　　　　　　电子邮箱：　　　　　　　　　　</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开户银行：　　　　　　　　　　　开户银行：　　　　　　　　　　</w:t>
      </w:r>
    </w:p>
    <w:p>
      <w:pPr>
        <w:spacing w:line="360" w:lineRule="auto"/>
        <w:ind w:firstLine="440"/>
        <w:jc w:val="left"/>
        <w:rPr>
          <w:rFonts w:asciiTheme="majorEastAsia" w:hAnsiTheme="majorEastAsia" w:eastAsiaTheme="majorEastAsia"/>
          <w:sz w:val="22"/>
          <w:szCs w:val="22"/>
        </w:rPr>
      </w:pPr>
      <w:r>
        <w:rPr>
          <w:rFonts w:hint="eastAsia" w:asciiTheme="majorEastAsia" w:hAnsiTheme="majorEastAsia" w:eastAsiaTheme="majorEastAsia"/>
          <w:sz w:val="22"/>
          <w:szCs w:val="22"/>
        </w:rPr>
        <w:t>帐号：　　　　　　　　　　　　　帐号：　　　　　　　　　　　　</w:t>
      </w:r>
    </w:p>
    <w:p>
      <w:pPr>
        <w:spacing w:line="360" w:lineRule="auto"/>
        <w:ind w:firstLine="440"/>
        <w:jc w:val="left"/>
        <w:rPr>
          <w:rFonts w:asciiTheme="majorEastAsia" w:hAnsiTheme="majorEastAsia" w:eastAsiaTheme="majorEastAsia"/>
          <w:sz w:val="22"/>
          <w:szCs w:val="22"/>
        </w:rPr>
        <w:sectPr>
          <w:pgSz w:w="11906" w:h="16838"/>
          <w:pgMar w:top="993" w:right="1133" w:bottom="1135" w:left="1134" w:header="993" w:footer="873" w:gutter="0"/>
          <w:pgNumType w:fmt="decimal"/>
          <w:cols w:space="720" w:num="1"/>
          <w:docGrid w:linePitch="312" w:charSpace="0"/>
        </w:sectPr>
      </w:pPr>
      <w:r>
        <w:rPr>
          <w:rFonts w:hint="eastAsia" w:asciiTheme="majorEastAsia" w:hAnsiTheme="majorEastAsia" w:eastAsiaTheme="majorEastAsia"/>
          <w:sz w:val="22"/>
          <w:szCs w:val="22"/>
        </w:rPr>
        <w:t>邮政编码：　　　　　　　　　　　邮政编码：</w:t>
      </w:r>
    </w:p>
    <w:p>
      <w:pPr>
        <w:pStyle w:val="5"/>
        <w:spacing w:before="48" w:after="48"/>
        <w:rPr>
          <w:rFonts w:asciiTheme="majorEastAsia" w:hAnsiTheme="majorEastAsia" w:eastAsiaTheme="majorEastAsia"/>
        </w:rPr>
      </w:pPr>
      <w:bookmarkStart w:id="1615" w:name="_Toc15323"/>
      <w:bookmarkStart w:id="1616" w:name="_Toc247431422"/>
      <w:bookmarkStart w:id="1617" w:name="_Toc448406299"/>
      <w:bookmarkStart w:id="1618" w:name="_Toc336680145"/>
      <w:bookmarkStart w:id="1619" w:name="_Toc435690184"/>
      <w:bookmarkStart w:id="1620" w:name="_Toc435689499"/>
      <w:bookmarkStart w:id="1621" w:name="_Toc239510288"/>
      <w:r>
        <w:rPr>
          <w:rFonts w:hint="eastAsia" w:asciiTheme="majorEastAsia" w:hAnsiTheme="majorEastAsia" w:eastAsiaTheme="majorEastAsia"/>
        </w:rPr>
        <w:t>附件三：</w:t>
      </w:r>
      <w:bookmarkEnd w:id="1615"/>
      <w:r>
        <w:rPr>
          <w:rFonts w:asciiTheme="majorEastAsia" w:hAnsiTheme="majorEastAsia" w:eastAsiaTheme="majorEastAsia"/>
        </w:rPr>
        <w:t xml:space="preserve"> </w:t>
      </w:r>
    </w:p>
    <w:p>
      <w:pPr>
        <w:spacing w:before="120" w:beforeLines="50" w:after="120" w:afterLines="50" w:line="440" w:lineRule="exact"/>
        <w:jc w:val="center"/>
        <w:rPr>
          <w:rFonts w:ascii="宋体" w:hAnsi="宋体"/>
          <w:b/>
          <w:sz w:val="28"/>
          <w:szCs w:val="22"/>
        </w:rPr>
      </w:pPr>
      <w:r>
        <w:rPr>
          <w:rFonts w:hint="eastAsia" w:ascii="宋体" w:hAnsi="宋体"/>
          <w:b/>
          <w:sz w:val="28"/>
          <w:szCs w:val="22"/>
        </w:rPr>
        <w:t>安全管理协议</w:t>
      </w:r>
      <w:bookmarkEnd w:id="1616"/>
      <w:bookmarkEnd w:id="1617"/>
      <w:bookmarkEnd w:id="1618"/>
      <w:bookmarkEnd w:id="1619"/>
      <w:bookmarkEnd w:id="1620"/>
      <w:bookmarkEnd w:id="1621"/>
    </w:p>
    <w:p>
      <w:pPr>
        <w:spacing w:line="440" w:lineRule="exact"/>
        <w:ind w:firstLine="440" w:firstLineChars="200"/>
        <w:jc w:val="left"/>
        <w:rPr>
          <w:rFonts w:ascii="宋体" w:hAnsi="宋体"/>
          <w:sz w:val="22"/>
          <w:szCs w:val="22"/>
        </w:rPr>
      </w:pPr>
      <w:r>
        <w:rPr>
          <w:rFonts w:hint="eastAsia" w:ascii="宋体" w:hAnsi="宋体"/>
          <w:sz w:val="22"/>
          <w:szCs w:val="22"/>
        </w:rPr>
        <w:t>为了确保实现</w:t>
      </w:r>
      <w:r>
        <w:rPr>
          <w:rFonts w:hint="eastAsia" w:ascii="宋体" w:hAnsi="宋体"/>
          <w:sz w:val="22"/>
          <w:szCs w:val="22"/>
          <w:u w:val="single"/>
        </w:rPr>
        <w:t xml:space="preserve">              </w:t>
      </w:r>
      <w:r>
        <w:rPr>
          <w:rFonts w:hint="eastAsia" w:ascii="宋体" w:hAnsi="宋体"/>
          <w:sz w:val="22"/>
          <w:szCs w:val="22"/>
        </w:rPr>
        <w:t>安全生产目标，进一步明确双方的安全管理责任，加强安全生产管理工作的协调、管理力度，</w:t>
      </w:r>
      <w:r>
        <w:rPr>
          <w:rFonts w:hint="eastAsia" w:ascii="宋体" w:hAnsi="宋体"/>
          <w:sz w:val="22"/>
          <w:szCs w:val="22"/>
          <w:u w:val="single"/>
        </w:rPr>
        <w:t xml:space="preserve">           </w:t>
      </w:r>
      <w:r>
        <w:rPr>
          <w:rFonts w:hint="eastAsia" w:ascii="宋体" w:hAnsi="宋体"/>
          <w:sz w:val="22"/>
          <w:szCs w:val="22"/>
        </w:rPr>
        <w:t>（以下简称“发包人”）与</w:t>
      </w:r>
      <w:r>
        <w:rPr>
          <w:rFonts w:hint="eastAsia" w:ascii="宋体" w:hAnsi="宋体"/>
          <w:sz w:val="22"/>
          <w:szCs w:val="22"/>
          <w:u w:val="single"/>
        </w:rPr>
        <w:t xml:space="preserve">                  </w:t>
      </w:r>
      <w:r>
        <w:rPr>
          <w:rFonts w:hint="eastAsia" w:ascii="宋体" w:hAnsi="宋体"/>
          <w:sz w:val="22"/>
          <w:szCs w:val="22"/>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440" w:lineRule="exact"/>
        <w:ind w:firstLine="440" w:firstLineChars="200"/>
        <w:rPr>
          <w:rFonts w:ascii="宋体" w:hAnsi="宋体"/>
          <w:sz w:val="22"/>
          <w:szCs w:val="22"/>
        </w:rPr>
      </w:pPr>
      <w:bookmarkStart w:id="1622" w:name="_Toc247418263"/>
      <w:bookmarkStart w:id="1623" w:name="_Toc247431423"/>
      <w:bookmarkStart w:id="1624" w:name="_Toc239510289"/>
      <w:bookmarkStart w:id="1625" w:name="_Toc532375700"/>
      <w:r>
        <w:rPr>
          <w:rFonts w:hint="eastAsia" w:ascii="宋体" w:hAnsi="宋体"/>
          <w:sz w:val="22"/>
          <w:szCs w:val="22"/>
        </w:rPr>
        <w:t>一、协议有效期限</w:t>
      </w:r>
      <w:bookmarkEnd w:id="1622"/>
      <w:bookmarkEnd w:id="1623"/>
      <w:bookmarkEnd w:id="1624"/>
      <w:bookmarkEnd w:id="1625"/>
    </w:p>
    <w:p>
      <w:pPr>
        <w:spacing w:line="440" w:lineRule="exact"/>
        <w:ind w:firstLine="440" w:firstLineChars="200"/>
        <w:jc w:val="left"/>
        <w:rPr>
          <w:rFonts w:ascii="宋体" w:hAnsi="宋体"/>
          <w:sz w:val="22"/>
          <w:szCs w:val="22"/>
        </w:rPr>
      </w:pPr>
      <w:r>
        <w:rPr>
          <w:rFonts w:hint="eastAsia" w:ascii="宋体" w:hAnsi="宋体"/>
          <w:sz w:val="22"/>
          <w:szCs w:val="22"/>
        </w:rPr>
        <w:t>本协议中所涉及的安全管理责任自合同签订之日起开始生效，至合同工程全部完工验收且经发包人与承包人签订移交协议生效后之日终止。</w:t>
      </w:r>
    </w:p>
    <w:p>
      <w:pPr>
        <w:spacing w:line="440" w:lineRule="exact"/>
        <w:ind w:firstLine="440" w:firstLineChars="200"/>
        <w:rPr>
          <w:rFonts w:ascii="宋体" w:hAnsi="宋体"/>
          <w:sz w:val="22"/>
          <w:szCs w:val="22"/>
        </w:rPr>
      </w:pPr>
      <w:bookmarkStart w:id="1626" w:name="_Toc247431424"/>
      <w:bookmarkStart w:id="1627" w:name="_Toc247418264"/>
      <w:bookmarkStart w:id="1628" w:name="_Toc239510290"/>
      <w:bookmarkStart w:id="1629" w:name="_Toc532375701"/>
      <w:r>
        <w:rPr>
          <w:rFonts w:hint="eastAsia" w:ascii="宋体" w:hAnsi="宋体"/>
          <w:sz w:val="22"/>
          <w:szCs w:val="22"/>
        </w:rPr>
        <w:t>二、责任目标</w:t>
      </w:r>
      <w:bookmarkEnd w:id="1626"/>
      <w:bookmarkEnd w:id="1627"/>
      <w:bookmarkEnd w:id="1628"/>
      <w:bookmarkEnd w:id="1629"/>
    </w:p>
    <w:p>
      <w:pPr>
        <w:spacing w:line="440" w:lineRule="exact"/>
        <w:ind w:firstLine="440" w:firstLineChars="200"/>
        <w:jc w:val="left"/>
        <w:rPr>
          <w:rFonts w:ascii="宋体" w:hAnsi="宋体"/>
          <w:sz w:val="22"/>
          <w:szCs w:val="22"/>
        </w:rPr>
      </w:pPr>
      <w:r>
        <w:rPr>
          <w:rFonts w:hint="eastAsia" w:ascii="宋体" w:hAnsi="宋体"/>
          <w:sz w:val="22"/>
          <w:szCs w:val="22"/>
        </w:rPr>
        <w:t>（一）承包人承诺承担和履行合同和发包人所规定的安全责任，且满足要求。</w:t>
      </w:r>
    </w:p>
    <w:p>
      <w:pPr>
        <w:spacing w:line="440" w:lineRule="exact"/>
        <w:ind w:firstLine="440" w:firstLineChars="200"/>
        <w:jc w:val="left"/>
        <w:rPr>
          <w:rFonts w:ascii="宋体" w:hAnsi="宋体"/>
          <w:sz w:val="22"/>
          <w:szCs w:val="22"/>
        </w:rPr>
      </w:pPr>
      <w:r>
        <w:rPr>
          <w:rFonts w:hint="eastAsia" w:ascii="宋体" w:hAnsi="宋体"/>
          <w:sz w:val="22"/>
          <w:szCs w:val="22"/>
        </w:rPr>
        <w:t>（二）承包人的安全控制目标是确保本工程在实施过程中：</w:t>
      </w:r>
    </w:p>
    <w:p>
      <w:pPr>
        <w:spacing w:line="440" w:lineRule="exact"/>
        <w:ind w:firstLine="440" w:firstLineChars="200"/>
        <w:jc w:val="left"/>
        <w:rPr>
          <w:rFonts w:ascii="宋体" w:hAnsi="宋体"/>
          <w:sz w:val="22"/>
          <w:szCs w:val="22"/>
        </w:rPr>
      </w:pPr>
      <w:r>
        <w:rPr>
          <w:rFonts w:hint="eastAsia" w:ascii="宋体" w:hAnsi="宋体"/>
          <w:sz w:val="22"/>
          <w:szCs w:val="22"/>
        </w:rPr>
        <w:t>1．不发生人身重伤事故；</w:t>
      </w:r>
    </w:p>
    <w:p>
      <w:pPr>
        <w:spacing w:line="440" w:lineRule="exact"/>
        <w:ind w:firstLine="440" w:firstLineChars="200"/>
        <w:jc w:val="left"/>
        <w:rPr>
          <w:rFonts w:ascii="宋体" w:hAnsi="宋体"/>
          <w:sz w:val="22"/>
          <w:szCs w:val="22"/>
        </w:rPr>
      </w:pPr>
      <w:r>
        <w:rPr>
          <w:rFonts w:hint="eastAsia" w:ascii="宋体" w:hAnsi="宋体"/>
          <w:sz w:val="22"/>
          <w:szCs w:val="22"/>
        </w:rPr>
        <w:t>2．不发生火灾事故；</w:t>
      </w:r>
    </w:p>
    <w:p>
      <w:pPr>
        <w:spacing w:line="440" w:lineRule="exact"/>
        <w:ind w:firstLine="440" w:firstLineChars="200"/>
        <w:jc w:val="left"/>
        <w:rPr>
          <w:rFonts w:ascii="宋体" w:hAnsi="宋体"/>
          <w:sz w:val="22"/>
          <w:szCs w:val="22"/>
        </w:rPr>
      </w:pPr>
      <w:r>
        <w:rPr>
          <w:rFonts w:hint="eastAsia" w:ascii="宋体" w:hAnsi="宋体"/>
          <w:sz w:val="22"/>
          <w:szCs w:val="22"/>
        </w:rPr>
        <w:t>3．不发生负有同等及以上事故责任的造成人身重伤的一般交通事故；</w:t>
      </w:r>
    </w:p>
    <w:p>
      <w:pPr>
        <w:spacing w:line="440" w:lineRule="exact"/>
        <w:ind w:firstLine="440" w:firstLineChars="200"/>
        <w:jc w:val="left"/>
        <w:rPr>
          <w:rFonts w:ascii="宋体" w:hAnsi="宋体"/>
          <w:sz w:val="22"/>
          <w:szCs w:val="22"/>
        </w:rPr>
      </w:pPr>
      <w:r>
        <w:rPr>
          <w:rFonts w:hint="eastAsia" w:ascii="宋体" w:hAnsi="宋体"/>
          <w:sz w:val="22"/>
          <w:szCs w:val="22"/>
        </w:rPr>
        <w:t>4．不发生集体食物中毒事件（同时5人及以上的食物中毒）；</w:t>
      </w:r>
    </w:p>
    <w:p>
      <w:pPr>
        <w:spacing w:line="440" w:lineRule="exact"/>
        <w:ind w:firstLine="440" w:firstLineChars="200"/>
        <w:jc w:val="left"/>
        <w:rPr>
          <w:rFonts w:ascii="宋体" w:hAnsi="宋体"/>
          <w:sz w:val="22"/>
          <w:szCs w:val="22"/>
        </w:rPr>
      </w:pPr>
      <w:r>
        <w:rPr>
          <w:rFonts w:hint="eastAsia" w:ascii="宋体" w:hAnsi="宋体"/>
          <w:sz w:val="22"/>
          <w:szCs w:val="22"/>
        </w:rPr>
        <w:t>5．不发生流行性传染病 （无甲型传染病、其他常见传染病未形成多人同时患病）；</w:t>
      </w:r>
    </w:p>
    <w:p>
      <w:pPr>
        <w:spacing w:line="440" w:lineRule="exact"/>
        <w:ind w:firstLine="440" w:firstLineChars="200"/>
        <w:jc w:val="left"/>
        <w:rPr>
          <w:rFonts w:ascii="宋体" w:hAnsi="宋体"/>
          <w:sz w:val="22"/>
          <w:szCs w:val="22"/>
        </w:rPr>
      </w:pPr>
      <w:r>
        <w:rPr>
          <w:rFonts w:hint="eastAsia" w:ascii="宋体" w:hAnsi="宋体"/>
          <w:sz w:val="22"/>
          <w:szCs w:val="22"/>
        </w:rPr>
        <w:t>6．不发生重大环境污染事件（生活、工业垃圾及其他污染物造成环境污染和大面积水土流失）；</w:t>
      </w:r>
    </w:p>
    <w:p>
      <w:pPr>
        <w:spacing w:line="440" w:lineRule="exact"/>
        <w:ind w:firstLine="440" w:firstLineChars="200"/>
        <w:jc w:val="left"/>
        <w:rPr>
          <w:rFonts w:ascii="宋体" w:hAnsi="宋体"/>
          <w:sz w:val="22"/>
          <w:szCs w:val="22"/>
        </w:rPr>
      </w:pPr>
      <w:r>
        <w:rPr>
          <w:rFonts w:hint="eastAsia" w:ascii="宋体" w:hAnsi="宋体"/>
          <w:sz w:val="22"/>
          <w:szCs w:val="22"/>
        </w:rPr>
        <w:t>7．不发生对施工区附近生产、生活造成重大影响的事件（如造成重大设备损坏、重大财产损失、人员伤害等）；</w:t>
      </w:r>
    </w:p>
    <w:p>
      <w:pPr>
        <w:spacing w:line="440" w:lineRule="exact"/>
        <w:ind w:firstLine="440" w:firstLineChars="200"/>
        <w:jc w:val="left"/>
        <w:rPr>
          <w:rFonts w:ascii="宋体" w:hAnsi="宋体"/>
          <w:sz w:val="22"/>
          <w:szCs w:val="22"/>
        </w:rPr>
      </w:pPr>
      <w:r>
        <w:rPr>
          <w:rFonts w:hint="eastAsia" w:ascii="宋体" w:hAnsi="宋体"/>
          <w:sz w:val="22"/>
          <w:szCs w:val="22"/>
        </w:rPr>
        <w:t>8．不发生治安保卫事件（构成刑事拘留及以上的事件、盗窃直接损失超过1万元人民币的事件）。</w:t>
      </w:r>
    </w:p>
    <w:p>
      <w:pPr>
        <w:spacing w:line="440" w:lineRule="exact"/>
        <w:ind w:firstLine="440" w:firstLineChars="200"/>
        <w:jc w:val="left"/>
        <w:rPr>
          <w:rFonts w:ascii="宋体" w:hAnsi="宋体"/>
          <w:sz w:val="22"/>
          <w:szCs w:val="22"/>
        </w:rPr>
      </w:pPr>
      <w:bookmarkStart w:id="1630" w:name="_Toc239510291"/>
      <w:bookmarkStart w:id="1631" w:name="_Toc247418265"/>
      <w:bookmarkStart w:id="1632" w:name="_Toc247431425"/>
      <w:r>
        <w:rPr>
          <w:rFonts w:hint="eastAsia" w:ascii="宋体" w:hAnsi="宋体"/>
          <w:sz w:val="22"/>
          <w:szCs w:val="22"/>
        </w:rPr>
        <w:t>（三）承包人承诺在施工中控制以下安全事故的发生：</w:t>
      </w:r>
      <w:bookmarkEnd w:id="1630"/>
      <w:bookmarkEnd w:id="1631"/>
      <w:bookmarkEnd w:id="1632"/>
    </w:p>
    <w:p>
      <w:pPr>
        <w:spacing w:line="440" w:lineRule="exact"/>
        <w:ind w:firstLine="440" w:firstLineChars="200"/>
        <w:jc w:val="left"/>
        <w:rPr>
          <w:rFonts w:ascii="宋体" w:hAnsi="宋体"/>
          <w:sz w:val="22"/>
          <w:szCs w:val="22"/>
        </w:rPr>
      </w:pPr>
      <w:r>
        <w:rPr>
          <w:rFonts w:hint="eastAsia" w:ascii="宋体" w:hAnsi="宋体"/>
          <w:sz w:val="22"/>
          <w:szCs w:val="22"/>
        </w:rPr>
        <w:t>1．人员轻伤事故。</w:t>
      </w:r>
    </w:p>
    <w:p>
      <w:pPr>
        <w:spacing w:line="440" w:lineRule="exact"/>
        <w:ind w:firstLine="440" w:firstLineChars="200"/>
        <w:jc w:val="left"/>
        <w:rPr>
          <w:rFonts w:ascii="宋体" w:hAnsi="宋体"/>
          <w:sz w:val="22"/>
          <w:szCs w:val="22"/>
        </w:rPr>
      </w:pPr>
      <w:r>
        <w:rPr>
          <w:rFonts w:hint="eastAsia" w:ascii="宋体" w:hAnsi="宋体"/>
          <w:sz w:val="22"/>
          <w:szCs w:val="22"/>
        </w:rPr>
        <w:t>2．负有同等及以上事故责任的人身轻伤交通事故。</w:t>
      </w:r>
    </w:p>
    <w:p>
      <w:pPr>
        <w:spacing w:line="440" w:lineRule="exact"/>
        <w:ind w:firstLine="440" w:firstLineChars="200"/>
        <w:jc w:val="left"/>
        <w:rPr>
          <w:rFonts w:ascii="宋体" w:hAnsi="宋体"/>
          <w:sz w:val="22"/>
          <w:szCs w:val="22"/>
        </w:rPr>
      </w:pPr>
      <w:r>
        <w:rPr>
          <w:rFonts w:hint="eastAsia" w:ascii="宋体" w:hAnsi="宋体"/>
          <w:sz w:val="22"/>
          <w:szCs w:val="22"/>
        </w:rPr>
        <w:t>3．其他安全未遂事故和异常事件。</w:t>
      </w:r>
    </w:p>
    <w:p>
      <w:pPr>
        <w:spacing w:line="440" w:lineRule="exact"/>
        <w:ind w:firstLine="440" w:firstLineChars="200"/>
        <w:rPr>
          <w:rFonts w:ascii="宋体" w:hAnsi="宋体"/>
          <w:sz w:val="22"/>
          <w:szCs w:val="22"/>
        </w:rPr>
      </w:pPr>
      <w:bookmarkStart w:id="1633" w:name="_Toc239510292"/>
      <w:bookmarkStart w:id="1634" w:name="_Toc247431426"/>
      <w:bookmarkStart w:id="1635" w:name="_Toc532375702"/>
      <w:bookmarkStart w:id="1636" w:name="_Toc247418266"/>
      <w:r>
        <w:rPr>
          <w:rFonts w:hint="eastAsia" w:ascii="宋体" w:hAnsi="宋体"/>
          <w:sz w:val="22"/>
          <w:szCs w:val="22"/>
        </w:rPr>
        <w:t>三、安全责任</w:t>
      </w:r>
      <w:bookmarkEnd w:id="1633"/>
      <w:bookmarkEnd w:id="1634"/>
      <w:bookmarkEnd w:id="1635"/>
      <w:bookmarkEnd w:id="1636"/>
    </w:p>
    <w:p>
      <w:pPr>
        <w:spacing w:line="440" w:lineRule="exact"/>
        <w:ind w:firstLine="440" w:firstLineChars="200"/>
        <w:jc w:val="left"/>
        <w:rPr>
          <w:rFonts w:ascii="宋体" w:hAnsi="宋体"/>
          <w:sz w:val="22"/>
          <w:szCs w:val="22"/>
        </w:rPr>
      </w:pPr>
      <w:r>
        <w:rPr>
          <w:rFonts w:hint="eastAsia" w:ascii="宋体" w:hAnsi="宋体"/>
          <w:sz w:val="22"/>
          <w:szCs w:val="22"/>
        </w:rPr>
        <w:t>1．承包人负有安全生产的管理责任和直接责任。</w:t>
      </w:r>
    </w:p>
    <w:p>
      <w:pPr>
        <w:spacing w:line="440" w:lineRule="exact"/>
        <w:ind w:firstLine="440" w:firstLineChars="200"/>
        <w:jc w:val="left"/>
        <w:rPr>
          <w:rFonts w:ascii="宋体" w:hAnsi="宋体"/>
          <w:sz w:val="22"/>
          <w:szCs w:val="22"/>
        </w:rPr>
      </w:pPr>
      <w:r>
        <w:rPr>
          <w:rFonts w:hint="eastAsia" w:ascii="宋体" w:hAnsi="宋体"/>
          <w:sz w:val="22"/>
          <w:szCs w:val="22"/>
        </w:rPr>
        <w:t>2．承包人的法人或签署合同的公司总经理或受委托的代理人对合同安全负有全面的领导责任。</w:t>
      </w:r>
    </w:p>
    <w:p>
      <w:pPr>
        <w:spacing w:line="440" w:lineRule="exact"/>
        <w:ind w:firstLine="440" w:firstLineChars="200"/>
        <w:jc w:val="left"/>
        <w:rPr>
          <w:rFonts w:ascii="宋体" w:hAnsi="宋体"/>
          <w:sz w:val="22"/>
          <w:szCs w:val="22"/>
        </w:rPr>
      </w:pPr>
      <w:r>
        <w:rPr>
          <w:rFonts w:hint="eastAsia" w:ascii="宋体" w:hAnsi="宋体"/>
          <w:sz w:val="22"/>
          <w:szCs w:val="22"/>
        </w:rPr>
        <w:t>3．承包人项目经理对施工现场的安全工作负有全面的直接领导责任。</w:t>
      </w:r>
    </w:p>
    <w:p>
      <w:pPr>
        <w:spacing w:line="440" w:lineRule="exact"/>
        <w:ind w:firstLine="440" w:firstLineChars="200"/>
        <w:jc w:val="left"/>
        <w:rPr>
          <w:rFonts w:ascii="宋体" w:hAnsi="宋体"/>
          <w:sz w:val="22"/>
          <w:szCs w:val="22"/>
        </w:rPr>
      </w:pPr>
      <w:r>
        <w:rPr>
          <w:rFonts w:hint="eastAsia" w:ascii="宋体" w:hAnsi="宋体"/>
          <w:sz w:val="22"/>
          <w:szCs w:val="22"/>
        </w:rPr>
        <w:t>4．承包人保证执行“谁施工、谁负责”的施工安全原则。</w:t>
      </w:r>
    </w:p>
    <w:p>
      <w:pPr>
        <w:spacing w:line="440" w:lineRule="exact"/>
        <w:ind w:firstLine="440" w:firstLineChars="200"/>
        <w:jc w:val="left"/>
        <w:rPr>
          <w:rFonts w:ascii="宋体" w:hAnsi="宋体"/>
          <w:sz w:val="22"/>
          <w:szCs w:val="22"/>
        </w:rPr>
      </w:pPr>
      <w:r>
        <w:rPr>
          <w:rFonts w:hint="eastAsia" w:ascii="宋体" w:hAnsi="宋体"/>
          <w:sz w:val="22"/>
          <w:szCs w:val="22"/>
        </w:rPr>
        <w:t>5．承包人保证服从发包人对安全工作的统一协调和管理。</w:t>
      </w:r>
    </w:p>
    <w:p>
      <w:pPr>
        <w:spacing w:line="440" w:lineRule="exact"/>
        <w:ind w:firstLine="440" w:firstLineChars="200"/>
        <w:jc w:val="left"/>
        <w:rPr>
          <w:rFonts w:ascii="宋体" w:hAnsi="宋体"/>
          <w:sz w:val="22"/>
          <w:szCs w:val="22"/>
        </w:rPr>
      </w:pPr>
      <w:r>
        <w:rPr>
          <w:rFonts w:hint="eastAsia" w:ascii="宋体" w:hAnsi="宋体"/>
          <w:sz w:val="22"/>
          <w:szCs w:val="22"/>
        </w:rPr>
        <w:t>6．承包人保证对本工程项目安全生产条件及其管理资源自行投入，保证安全资金的专款专用。</w:t>
      </w:r>
    </w:p>
    <w:p>
      <w:pPr>
        <w:spacing w:line="440" w:lineRule="exact"/>
        <w:ind w:firstLine="440" w:firstLineChars="200"/>
        <w:jc w:val="left"/>
        <w:rPr>
          <w:rFonts w:ascii="宋体" w:hAnsi="宋体"/>
          <w:sz w:val="22"/>
          <w:szCs w:val="22"/>
        </w:rPr>
      </w:pPr>
      <w:r>
        <w:rPr>
          <w:rFonts w:hint="eastAsia" w:ascii="宋体" w:hAnsi="宋体"/>
          <w:sz w:val="22"/>
          <w:szCs w:val="22"/>
        </w:rPr>
        <w:t>7．承包人保证建立本工程项目的安全管理体系及安全保证体系（注：项目安全管理大纲/手册、管理性的程序文件等）。</w:t>
      </w:r>
    </w:p>
    <w:p>
      <w:pPr>
        <w:spacing w:line="440" w:lineRule="exact"/>
        <w:ind w:firstLine="440" w:firstLineChars="200"/>
        <w:jc w:val="left"/>
        <w:rPr>
          <w:rFonts w:ascii="宋体" w:hAnsi="宋体"/>
          <w:sz w:val="22"/>
          <w:szCs w:val="22"/>
        </w:rPr>
      </w:pPr>
      <w:r>
        <w:rPr>
          <w:rFonts w:hint="eastAsia" w:ascii="宋体" w:hAnsi="宋体"/>
          <w:sz w:val="22"/>
          <w:szCs w:val="22"/>
        </w:rPr>
        <w:t>8．承包人保证现场的安全管理专职人员必须持有建设主管部门安全生产培训考核合格证书。</w:t>
      </w:r>
    </w:p>
    <w:p>
      <w:pPr>
        <w:spacing w:line="440" w:lineRule="exact"/>
        <w:ind w:firstLine="440" w:firstLineChars="200"/>
        <w:jc w:val="left"/>
        <w:rPr>
          <w:rFonts w:ascii="宋体" w:hAnsi="宋体"/>
          <w:sz w:val="22"/>
          <w:szCs w:val="22"/>
        </w:rPr>
      </w:pPr>
      <w:r>
        <w:rPr>
          <w:rFonts w:hint="eastAsia" w:ascii="宋体" w:hAnsi="宋体"/>
          <w:sz w:val="22"/>
          <w:szCs w:val="22"/>
        </w:rPr>
        <w:t>9．承包人保证为现场所有工作人员（含分包商员工及劳务人员）配备符合国家标准的有承包人和/或其下属分包商标志的个人基本劳动保护用品。</w:t>
      </w:r>
    </w:p>
    <w:p>
      <w:pPr>
        <w:spacing w:line="440" w:lineRule="exact"/>
        <w:ind w:firstLine="440" w:firstLineChars="200"/>
        <w:jc w:val="left"/>
        <w:rPr>
          <w:rFonts w:ascii="宋体" w:hAnsi="宋体"/>
          <w:sz w:val="22"/>
          <w:szCs w:val="22"/>
        </w:rPr>
      </w:pPr>
      <w:r>
        <w:rPr>
          <w:rFonts w:hint="eastAsia" w:ascii="宋体" w:hAnsi="宋体"/>
          <w:sz w:val="22"/>
          <w:szCs w:val="22"/>
        </w:rPr>
        <w:t>10．承包人保证按照国家法律规定为现场所有工作人员（含分包商员工及劳务人员）购买意外伤害保险。</w:t>
      </w:r>
    </w:p>
    <w:p>
      <w:pPr>
        <w:spacing w:line="440" w:lineRule="exact"/>
        <w:ind w:firstLine="440" w:firstLineChars="200"/>
        <w:jc w:val="left"/>
        <w:rPr>
          <w:rFonts w:ascii="宋体" w:hAnsi="宋体"/>
          <w:sz w:val="22"/>
          <w:szCs w:val="22"/>
        </w:rPr>
      </w:pPr>
      <w:r>
        <w:rPr>
          <w:rFonts w:hint="eastAsia" w:ascii="宋体" w:hAnsi="宋体"/>
          <w:sz w:val="22"/>
          <w:szCs w:val="22"/>
        </w:rPr>
        <w:t>11．承包人保证施工生活营地（包括自建的和租用的营地）满足消防、安全用电、卫生防疫、防暴雨、防雷击等方面的安全要求。</w:t>
      </w:r>
    </w:p>
    <w:p>
      <w:pPr>
        <w:spacing w:line="440" w:lineRule="exact"/>
        <w:ind w:firstLine="440" w:firstLineChars="200"/>
        <w:jc w:val="left"/>
        <w:rPr>
          <w:rFonts w:ascii="宋体" w:hAnsi="宋体"/>
          <w:sz w:val="22"/>
          <w:szCs w:val="22"/>
        </w:rPr>
      </w:pPr>
      <w:r>
        <w:rPr>
          <w:rFonts w:hint="eastAsia" w:ascii="宋体" w:hAnsi="宋体"/>
          <w:sz w:val="22"/>
          <w:szCs w:val="22"/>
        </w:rPr>
        <w:t>12．承包人保证对带入现场的设备、工具、材料按照国家法规和标准进行检测、试验，并持有法定部门出具的检验证书。</w:t>
      </w:r>
    </w:p>
    <w:p>
      <w:pPr>
        <w:spacing w:line="440" w:lineRule="exact"/>
        <w:ind w:firstLine="440" w:firstLineChars="200"/>
        <w:jc w:val="left"/>
        <w:rPr>
          <w:rFonts w:ascii="宋体" w:hAnsi="宋体"/>
          <w:sz w:val="22"/>
          <w:szCs w:val="22"/>
        </w:rPr>
      </w:pPr>
      <w:r>
        <w:rPr>
          <w:rFonts w:hint="eastAsia" w:ascii="宋体" w:hAnsi="宋体"/>
          <w:sz w:val="22"/>
          <w:szCs w:val="22"/>
        </w:rPr>
        <w:t>13．承包人保证制订施工现场的文明施工措施，保护环境、树木和植被，保持施工现场的良好秩序和整洁的作业环境。</w:t>
      </w:r>
    </w:p>
    <w:p>
      <w:pPr>
        <w:spacing w:line="440" w:lineRule="exact"/>
        <w:ind w:firstLine="440" w:firstLineChars="200"/>
        <w:jc w:val="left"/>
        <w:rPr>
          <w:rFonts w:ascii="宋体" w:hAnsi="宋体"/>
          <w:sz w:val="22"/>
          <w:szCs w:val="22"/>
        </w:rPr>
      </w:pPr>
      <w:r>
        <w:rPr>
          <w:rFonts w:hint="eastAsia" w:ascii="宋体" w:hAnsi="宋体"/>
          <w:sz w:val="22"/>
          <w:szCs w:val="22"/>
        </w:rPr>
        <w:t>14．承包人负责在施工过程中与当地政府、周边群众及其他承包商保持良好的沟通和交流。承包人遇到与周边群众发生纠纷时，应负责协调工作，确保工程能够顺利进行。</w:t>
      </w:r>
    </w:p>
    <w:p>
      <w:pPr>
        <w:spacing w:line="440" w:lineRule="exact"/>
        <w:ind w:firstLine="440" w:firstLineChars="200"/>
        <w:rPr>
          <w:rFonts w:ascii="宋体" w:hAnsi="宋体"/>
          <w:sz w:val="22"/>
          <w:szCs w:val="22"/>
        </w:rPr>
      </w:pPr>
      <w:bookmarkStart w:id="1637" w:name="_Toc532375703"/>
      <w:bookmarkStart w:id="1638" w:name="_Toc247431427"/>
      <w:bookmarkStart w:id="1639" w:name="_Toc247418267"/>
      <w:bookmarkStart w:id="1640" w:name="_Toc239510293"/>
      <w:r>
        <w:rPr>
          <w:rFonts w:hint="eastAsia" w:ascii="宋体" w:hAnsi="宋体"/>
          <w:sz w:val="22"/>
          <w:szCs w:val="22"/>
        </w:rPr>
        <w:t>四、接口及协调</w:t>
      </w:r>
      <w:bookmarkEnd w:id="1637"/>
      <w:bookmarkEnd w:id="1638"/>
      <w:bookmarkEnd w:id="1639"/>
      <w:bookmarkEnd w:id="1640"/>
    </w:p>
    <w:p>
      <w:pPr>
        <w:spacing w:line="440" w:lineRule="exact"/>
        <w:ind w:firstLine="440" w:firstLineChars="200"/>
        <w:jc w:val="left"/>
        <w:rPr>
          <w:rFonts w:ascii="宋体" w:hAnsi="宋体"/>
          <w:sz w:val="22"/>
          <w:szCs w:val="22"/>
        </w:rPr>
      </w:pPr>
      <w:r>
        <w:rPr>
          <w:rFonts w:hint="eastAsia" w:ascii="宋体" w:hAnsi="宋体"/>
          <w:sz w:val="22"/>
          <w:szCs w:val="22"/>
        </w:rPr>
        <w:t>1．发包人委托监理公司对该工程实施监理，监理公司在安全管理方面代表发包人行使监督检查职能，承包人必须给予配合和支持。</w:t>
      </w:r>
    </w:p>
    <w:p>
      <w:pPr>
        <w:spacing w:line="440" w:lineRule="exact"/>
        <w:ind w:firstLine="440" w:firstLineChars="200"/>
        <w:jc w:val="left"/>
        <w:rPr>
          <w:rFonts w:ascii="宋体" w:hAnsi="宋体"/>
          <w:sz w:val="22"/>
          <w:szCs w:val="22"/>
        </w:rPr>
      </w:pPr>
      <w:r>
        <w:rPr>
          <w:rFonts w:hint="eastAsia" w:ascii="宋体" w:hAnsi="宋体"/>
          <w:sz w:val="22"/>
          <w:szCs w:val="22"/>
        </w:rPr>
        <w:t>2．承包人人员、车辆的出入，带入现场的设备、机具、材料，在现场使用的或直接管理的办公、生活、生产性设施的安全管理须满足发包人现场管理的基本要求。</w:t>
      </w:r>
    </w:p>
    <w:p>
      <w:pPr>
        <w:spacing w:line="440" w:lineRule="exact"/>
        <w:ind w:firstLine="440" w:firstLineChars="200"/>
        <w:jc w:val="left"/>
        <w:rPr>
          <w:rFonts w:ascii="宋体" w:hAnsi="宋体"/>
          <w:sz w:val="22"/>
          <w:szCs w:val="22"/>
        </w:rPr>
      </w:pPr>
      <w:r>
        <w:rPr>
          <w:rFonts w:hint="eastAsia" w:ascii="宋体" w:hAnsi="宋体"/>
          <w:sz w:val="22"/>
          <w:szCs w:val="22"/>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440" w:lineRule="exact"/>
        <w:ind w:firstLine="440" w:firstLineChars="200"/>
        <w:jc w:val="left"/>
        <w:rPr>
          <w:rFonts w:ascii="宋体" w:hAnsi="宋体"/>
          <w:sz w:val="22"/>
          <w:szCs w:val="22"/>
        </w:rPr>
      </w:pPr>
      <w:r>
        <w:rPr>
          <w:rFonts w:hint="eastAsia" w:ascii="宋体" w:hAnsi="宋体"/>
          <w:sz w:val="22"/>
          <w:szCs w:val="22"/>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440" w:lineRule="exact"/>
        <w:ind w:firstLine="440" w:firstLineChars="200"/>
        <w:jc w:val="left"/>
        <w:rPr>
          <w:rFonts w:ascii="宋体" w:hAnsi="宋体"/>
          <w:sz w:val="22"/>
          <w:szCs w:val="22"/>
        </w:rPr>
      </w:pPr>
      <w:r>
        <w:rPr>
          <w:rFonts w:hint="eastAsia" w:ascii="宋体" w:hAnsi="宋体"/>
          <w:sz w:val="22"/>
          <w:szCs w:val="22"/>
        </w:rPr>
        <w:t>5．承包人指定的专职安全管理人员应与发包人委托的监理公司建立联系，在业务上接受发包人委托的监理公司的协调和指导。</w:t>
      </w:r>
    </w:p>
    <w:p>
      <w:pPr>
        <w:spacing w:line="440" w:lineRule="exact"/>
        <w:ind w:firstLine="440" w:firstLineChars="200"/>
        <w:jc w:val="left"/>
        <w:rPr>
          <w:rFonts w:ascii="宋体" w:hAnsi="宋体"/>
          <w:sz w:val="22"/>
          <w:szCs w:val="22"/>
        </w:rPr>
      </w:pPr>
      <w:r>
        <w:rPr>
          <w:rFonts w:hint="eastAsia" w:ascii="宋体" w:hAnsi="宋体"/>
          <w:sz w:val="22"/>
          <w:szCs w:val="22"/>
        </w:rPr>
        <w:t>6．开工后承包人的专职安全管理人员应按照发包人委托的监理公司的规定，定期报送安全月度快报、季报、年报和各种专项事故报告等。</w:t>
      </w:r>
    </w:p>
    <w:p>
      <w:pPr>
        <w:spacing w:line="440" w:lineRule="exact"/>
        <w:ind w:firstLine="440" w:firstLineChars="200"/>
        <w:jc w:val="left"/>
        <w:rPr>
          <w:rFonts w:ascii="宋体" w:hAnsi="宋体"/>
          <w:sz w:val="22"/>
          <w:szCs w:val="22"/>
        </w:rPr>
      </w:pPr>
      <w:r>
        <w:rPr>
          <w:rFonts w:hint="eastAsia" w:ascii="宋体" w:hAnsi="宋体"/>
          <w:sz w:val="22"/>
          <w:szCs w:val="22"/>
        </w:rPr>
        <w:t>7．在工程实体未全部正式移交发包人施工管理部门之前，承包人依旧对施工范围内的安全管理负责。</w:t>
      </w:r>
    </w:p>
    <w:p>
      <w:pPr>
        <w:spacing w:line="440" w:lineRule="exact"/>
        <w:ind w:firstLine="440" w:firstLineChars="200"/>
        <w:rPr>
          <w:rFonts w:ascii="宋体" w:hAnsi="宋体"/>
          <w:sz w:val="22"/>
          <w:szCs w:val="22"/>
        </w:rPr>
      </w:pPr>
      <w:bookmarkStart w:id="1641" w:name="_Toc247431428"/>
      <w:bookmarkStart w:id="1642" w:name="_Toc247418268"/>
      <w:bookmarkStart w:id="1643" w:name="_Toc239510294"/>
      <w:bookmarkStart w:id="1644" w:name="_Toc532375704"/>
      <w:r>
        <w:rPr>
          <w:rFonts w:hint="eastAsia" w:ascii="宋体" w:hAnsi="宋体"/>
          <w:sz w:val="22"/>
          <w:szCs w:val="22"/>
        </w:rPr>
        <w:t>五、安全资质审查</w:t>
      </w:r>
      <w:bookmarkEnd w:id="1641"/>
      <w:bookmarkEnd w:id="1642"/>
      <w:bookmarkEnd w:id="1643"/>
      <w:bookmarkEnd w:id="1644"/>
    </w:p>
    <w:p>
      <w:pPr>
        <w:spacing w:line="440" w:lineRule="exact"/>
        <w:ind w:firstLine="440" w:firstLineChars="200"/>
        <w:jc w:val="left"/>
        <w:rPr>
          <w:rFonts w:ascii="宋体" w:hAnsi="宋体"/>
          <w:sz w:val="22"/>
          <w:szCs w:val="22"/>
        </w:rPr>
      </w:pPr>
      <w:r>
        <w:rPr>
          <w:rFonts w:hint="eastAsia" w:ascii="宋体" w:hAnsi="宋体"/>
          <w:sz w:val="22"/>
          <w:szCs w:val="22"/>
        </w:rPr>
        <w:t>承包人在项目开工前5个工作天内向发包人委托的监理公司提供以下安全资质供审查和存档：</w:t>
      </w:r>
    </w:p>
    <w:p>
      <w:pPr>
        <w:spacing w:line="440" w:lineRule="exact"/>
        <w:ind w:firstLine="440" w:firstLineChars="200"/>
        <w:jc w:val="left"/>
        <w:rPr>
          <w:rFonts w:ascii="宋体" w:hAnsi="宋体"/>
          <w:sz w:val="22"/>
          <w:szCs w:val="22"/>
        </w:rPr>
      </w:pPr>
      <w:r>
        <w:rPr>
          <w:rFonts w:hint="eastAsia" w:ascii="宋体" w:hAnsi="宋体"/>
          <w:sz w:val="22"/>
          <w:szCs w:val="22"/>
        </w:rPr>
        <w:t>1．企业安全生产许可证书复印件。</w:t>
      </w:r>
    </w:p>
    <w:p>
      <w:pPr>
        <w:spacing w:line="440" w:lineRule="exact"/>
        <w:ind w:firstLine="440" w:firstLineChars="200"/>
        <w:jc w:val="left"/>
        <w:rPr>
          <w:rFonts w:ascii="宋体" w:hAnsi="宋体"/>
          <w:sz w:val="22"/>
          <w:szCs w:val="22"/>
        </w:rPr>
      </w:pPr>
      <w:r>
        <w:rPr>
          <w:rFonts w:hint="eastAsia" w:ascii="宋体" w:hAnsi="宋体"/>
          <w:sz w:val="22"/>
          <w:szCs w:val="22"/>
        </w:rPr>
        <w:t>2．企业近三年的施工简历及安全施工业绩证明文件。</w:t>
      </w:r>
    </w:p>
    <w:p>
      <w:pPr>
        <w:spacing w:line="440" w:lineRule="exact"/>
        <w:ind w:firstLine="440" w:firstLineChars="200"/>
        <w:jc w:val="left"/>
        <w:rPr>
          <w:rFonts w:ascii="宋体" w:hAnsi="宋体"/>
          <w:sz w:val="22"/>
          <w:szCs w:val="22"/>
        </w:rPr>
      </w:pPr>
      <w:r>
        <w:rPr>
          <w:rFonts w:hint="eastAsia" w:ascii="宋体" w:hAnsi="宋体"/>
          <w:sz w:val="22"/>
          <w:szCs w:val="22"/>
        </w:rPr>
        <w:t>3．企业主要安全管理人员（包括项目经理、专职安全管理人员）经建设主管部门安全生产知识考核合格证书。</w:t>
      </w:r>
    </w:p>
    <w:p>
      <w:pPr>
        <w:spacing w:line="440" w:lineRule="exact"/>
        <w:ind w:firstLine="440" w:firstLineChars="200"/>
        <w:jc w:val="left"/>
        <w:rPr>
          <w:rFonts w:ascii="宋体" w:hAnsi="宋体"/>
          <w:sz w:val="22"/>
          <w:szCs w:val="22"/>
        </w:rPr>
      </w:pPr>
      <w:r>
        <w:rPr>
          <w:rFonts w:hint="eastAsia" w:ascii="宋体" w:hAnsi="宋体"/>
          <w:sz w:val="22"/>
          <w:szCs w:val="22"/>
        </w:rPr>
        <w:t>4．特种作业人员资格证书。</w:t>
      </w:r>
    </w:p>
    <w:p>
      <w:pPr>
        <w:spacing w:line="440" w:lineRule="exact"/>
        <w:ind w:firstLine="440" w:firstLineChars="200"/>
        <w:jc w:val="left"/>
        <w:rPr>
          <w:rFonts w:ascii="宋体" w:hAnsi="宋体"/>
          <w:sz w:val="22"/>
          <w:szCs w:val="22"/>
        </w:rPr>
      </w:pPr>
      <w:r>
        <w:rPr>
          <w:rFonts w:hint="eastAsia" w:ascii="宋体" w:hAnsi="宋体"/>
          <w:sz w:val="22"/>
          <w:szCs w:val="22"/>
        </w:rPr>
        <w:t>5．项目安全管理机构及其人员配备（承包人必须配有专职的安全员）。</w:t>
      </w:r>
    </w:p>
    <w:p>
      <w:pPr>
        <w:spacing w:line="440" w:lineRule="exact"/>
        <w:ind w:firstLine="440" w:firstLineChars="200"/>
        <w:jc w:val="left"/>
        <w:rPr>
          <w:rFonts w:ascii="宋体" w:hAnsi="宋体"/>
          <w:sz w:val="22"/>
          <w:szCs w:val="22"/>
        </w:rPr>
      </w:pPr>
      <w:r>
        <w:rPr>
          <w:rFonts w:hint="eastAsia" w:ascii="宋体" w:hAnsi="宋体"/>
          <w:sz w:val="22"/>
          <w:szCs w:val="22"/>
        </w:rPr>
        <w:t>6．适用于项目的安全管理体系及保证体系文件（安全管理大纲及管理程序文件）。</w:t>
      </w:r>
    </w:p>
    <w:p>
      <w:pPr>
        <w:spacing w:line="440" w:lineRule="exact"/>
        <w:ind w:firstLine="440" w:firstLineChars="200"/>
        <w:rPr>
          <w:rFonts w:ascii="宋体" w:hAnsi="宋体"/>
          <w:sz w:val="22"/>
          <w:szCs w:val="22"/>
        </w:rPr>
      </w:pPr>
      <w:bookmarkStart w:id="1645" w:name="_Toc532375705"/>
      <w:bookmarkStart w:id="1646" w:name="_Toc247418269"/>
      <w:bookmarkStart w:id="1647" w:name="_Toc239510295"/>
      <w:bookmarkStart w:id="1648" w:name="_Toc247431429"/>
      <w:r>
        <w:rPr>
          <w:rFonts w:hint="eastAsia" w:ascii="宋体" w:hAnsi="宋体"/>
          <w:sz w:val="22"/>
          <w:szCs w:val="22"/>
        </w:rPr>
        <w:t>六、人员基本素质</w:t>
      </w:r>
      <w:bookmarkEnd w:id="1645"/>
      <w:bookmarkEnd w:id="1646"/>
      <w:bookmarkEnd w:id="1647"/>
      <w:bookmarkEnd w:id="1648"/>
    </w:p>
    <w:p>
      <w:pPr>
        <w:spacing w:line="440" w:lineRule="exact"/>
        <w:ind w:firstLine="440" w:firstLineChars="200"/>
        <w:jc w:val="left"/>
        <w:rPr>
          <w:rFonts w:ascii="宋体" w:hAnsi="宋体"/>
          <w:sz w:val="22"/>
          <w:szCs w:val="22"/>
        </w:rPr>
      </w:pPr>
      <w:r>
        <w:rPr>
          <w:rFonts w:hint="eastAsia" w:ascii="宋体" w:hAnsi="宋体"/>
          <w:sz w:val="22"/>
          <w:szCs w:val="22"/>
        </w:rPr>
        <w:t>承包人提供的人员必须满足下列要求:</w:t>
      </w:r>
    </w:p>
    <w:p>
      <w:pPr>
        <w:spacing w:line="440" w:lineRule="exact"/>
        <w:ind w:firstLine="440" w:firstLineChars="200"/>
        <w:jc w:val="left"/>
        <w:rPr>
          <w:rFonts w:ascii="宋体" w:hAnsi="宋体"/>
          <w:sz w:val="22"/>
          <w:szCs w:val="22"/>
        </w:rPr>
      </w:pPr>
      <w:r>
        <w:rPr>
          <w:rFonts w:hint="eastAsia" w:ascii="宋体" w:hAnsi="宋体"/>
          <w:sz w:val="22"/>
          <w:szCs w:val="22"/>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440" w:lineRule="exact"/>
        <w:ind w:firstLine="440" w:firstLineChars="200"/>
        <w:jc w:val="left"/>
        <w:rPr>
          <w:rFonts w:ascii="宋体" w:hAnsi="宋体"/>
          <w:sz w:val="22"/>
          <w:szCs w:val="22"/>
        </w:rPr>
      </w:pPr>
      <w:r>
        <w:rPr>
          <w:rFonts w:hint="eastAsia" w:ascii="宋体" w:hAnsi="宋体"/>
          <w:sz w:val="22"/>
          <w:szCs w:val="22"/>
        </w:rPr>
        <w:t>2．无刑事案件牵连。</w:t>
      </w:r>
    </w:p>
    <w:p>
      <w:pPr>
        <w:spacing w:line="440" w:lineRule="exact"/>
        <w:ind w:firstLine="440" w:firstLineChars="200"/>
        <w:jc w:val="left"/>
        <w:rPr>
          <w:rFonts w:ascii="宋体" w:hAnsi="宋体"/>
          <w:sz w:val="22"/>
          <w:szCs w:val="22"/>
        </w:rPr>
      </w:pPr>
      <w:r>
        <w:rPr>
          <w:rFonts w:hint="eastAsia" w:ascii="宋体" w:hAnsi="宋体"/>
          <w:sz w:val="22"/>
          <w:szCs w:val="22"/>
        </w:rPr>
        <w:t>3．无吸毒、酗酒、赌博、嫖娼等恶习及违法行为。</w:t>
      </w:r>
    </w:p>
    <w:p>
      <w:pPr>
        <w:spacing w:line="440" w:lineRule="exact"/>
        <w:ind w:firstLine="440" w:firstLineChars="200"/>
        <w:rPr>
          <w:rFonts w:ascii="宋体" w:hAnsi="宋体"/>
          <w:sz w:val="22"/>
          <w:szCs w:val="22"/>
        </w:rPr>
      </w:pPr>
      <w:bookmarkStart w:id="1649" w:name="_Toc247431430"/>
      <w:bookmarkStart w:id="1650" w:name="_Toc239510296"/>
      <w:bookmarkStart w:id="1651" w:name="_Toc532375706"/>
      <w:bookmarkStart w:id="1652" w:name="_Toc247418270"/>
      <w:r>
        <w:rPr>
          <w:rFonts w:hint="eastAsia" w:ascii="宋体" w:hAnsi="宋体"/>
          <w:sz w:val="22"/>
          <w:szCs w:val="22"/>
        </w:rPr>
        <w:t>七、劳动保护</w:t>
      </w:r>
      <w:bookmarkEnd w:id="1649"/>
      <w:bookmarkEnd w:id="1650"/>
      <w:bookmarkEnd w:id="1651"/>
      <w:bookmarkEnd w:id="1652"/>
    </w:p>
    <w:p>
      <w:pPr>
        <w:spacing w:line="440" w:lineRule="exact"/>
        <w:ind w:firstLine="440" w:firstLineChars="200"/>
        <w:jc w:val="left"/>
        <w:rPr>
          <w:rFonts w:ascii="宋体" w:hAnsi="宋体"/>
          <w:sz w:val="22"/>
          <w:szCs w:val="22"/>
        </w:rPr>
      </w:pPr>
      <w:r>
        <w:rPr>
          <w:rFonts w:hint="eastAsia" w:ascii="宋体" w:hAnsi="宋体"/>
          <w:sz w:val="22"/>
          <w:szCs w:val="22"/>
        </w:rPr>
        <w:t>1．承包人负责为本单位任何用工形式的员工提供个人劳动保护用品（包括工作服、安全帽、安全鞋等）。</w:t>
      </w:r>
    </w:p>
    <w:p>
      <w:pPr>
        <w:spacing w:line="440" w:lineRule="exact"/>
        <w:ind w:firstLine="440" w:firstLineChars="200"/>
        <w:jc w:val="left"/>
        <w:rPr>
          <w:rFonts w:ascii="宋体" w:hAnsi="宋体"/>
          <w:sz w:val="22"/>
          <w:szCs w:val="22"/>
        </w:rPr>
      </w:pPr>
      <w:r>
        <w:rPr>
          <w:rFonts w:hint="eastAsia" w:ascii="宋体" w:hAnsi="宋体"/>
          <w:sz w:val="22"/>
          <w:szCs w:val="22"/>
        </w:rPr>
        <w:t>2．承包人负责向特殊工种的员工提供特殊劳动保护，否则不得从事特殊工种作业。</w:t>
      </w:r>
    </w:p>
    <w:p>
      <w:pPr>
        <w:spacing w:line="440" w:lineRule="exact"/>
        <w:ind w:firstLine="440" w:firstLineChars="200"/>
        <w:jc w:val="left"/>
        <w:rPr>
          <w:rFonts w:ascii="宋体" w:hAnsi="宋体"/>
          <w:sz w:val="22"/>
          <w:szCs w:val="22"/>
        </w:rPr>
      </w:pPr>
      <w:r>
        <w:rPr>
          <w:rFonts w:hint="eastAsia" w:ascii="宋体" w:hAnsi="宋体"/>
          <w:sz w:val="22"/>
          <w:szCs w:val="22"/>
        </w:rPr>
        <w:t>3．发包人委托的监理公司有权检查承包人的个人劳动保护用品是否符合国家的相应标准。</w:t>
      </w:r>
    </w:p>
    <w:p>
      <w:pPr>
        <w:spacing w:line="440" w:lineRule="exact"/>
        <w:ind w:firstLine="440" w:firstLineChars="200"/>
        <w:jc w:val="left"/>
        <w:rPr>
          <w:rFonts w:ascii="宋体" w:hAnsi="宋体"/>
          <w:sz w:val="22"/>
          <w:szCs w:val="22"/>
        </w:rPr>
      </w:pPr>
      <w:r>
        <w:rPr>
          <w:rFonts w:hint="eastAsia" w:ascii="宋体" w:hAnsi="宋体"/>
          <w:sz w:val="22"/>
          <w:szCs w:val="22"/>
        </w:rPr>
        <w:t>4． 承包人在特殊风险场所作业而需要特殊防护用品或安全仪表时，必须在上述防护用品全部到位后才能开工。</w:t>
      </w:r>
    </w:p>
    <w:p>
      <w:pPr>
        <w:spacing w:line="440" w:lineRule="exact"/>
        <w:ind w:firstLine="440" w:firstLineChars="200"/>
        <w:jc w:val="left"/>
        <w:rPr>
          <w:rFonts w:ascii="宋体" w:hAnsi="宋体"/>
          <w:sz w:val="22"/>
          <w:szCs w:val="22"/>
        </w:rPr>
      </w:pPr>
      <w:r>
        <w:rPr>
          <w:rFonts w:hint="eastAsia" w:ascii="宋体" w:hAnsi="宋体"/>
          <w:sz w:val="22"/>
          <w:szCs w:val="22"/>
        </w:rPr>
        <w:t>5．承包人应配备临时安全围栏、警示带、警告标志、防火布等集体防护用品。</w:t>
      </w:r>
    </w:p>
    <w:p>
      <w:pPr>
        <w:spacing w:line="440" w:lineRule="exact"/>
        <w:ind w:firstLine="440" w:firstLineChars="200"/>
        <w:rPr>
          <w:rFonts w:ascii="宋体" w:hAnsi="宋体"/>
          <w:sz w:val="22"/>
          <w:szCs w:val="22"/>
        </w:rPr>
      </w:pPr>
      <w:bookmarkStart w:id="1653" w:name="_Toc239510297"/>
      <w:bookmarkStart w:id="1654" w:name="_Toc247418271"/>
      <w:bookmarkStart w:id="1655" w:name="_Toc247431431"/>
      <w:bookmarkStart w:id="1656" w:name="_Toc532375707"/>
      <w:r>
        <w:rPr>
          <w:rFonts w:hint="eastAsia" w:ascii="宋体" w:hAnsi="宋体"/>
          <w:sz w:val="22"/>
          <w:szCs w:val="22"/>
        </w:rPr>
        <w:t>八、施工机具与材料</w:t>
      </w:r>
      <w:bookmarkEnd w:id="1653"/>
      <w:bookmarkEnd w:id="1654"/>
      <w:bookmarkEnd w:id="1655"/>
      <w:bookmarkEnd w:id="1656"/>
    </w:p>
    <w:p>
      <w:pPr>
        <w:spacing w:line="440" w:lineRule="exact"/>
        <w:ind w:firstLine="440" w:firstLineChars="200"/>
        <w:jc w:val="left"/>
        <w:rPr>
          <w:rFonts w:ascii="宋体" w:hAnsi="宋体"/>
          <w:sz w:val="22"/>
          <w:szCs w:val="22"/>
        </w:rPr>
      </w:pPr>
      <w:r>
        <w:rPr>
          <w:rFonts w:hint="eastAsia" w:ascii="宋体" w:hAnsi="宋体"/>
          <w:sz w:val="22"/>
          <w:szCs w:val="22"/>
        </w:rPr>
        <w:t>1．承包人对带入现场的施工机械和工器具的安全负责。</w:t>
      </w:r>
    </w:p>
    <w:p>
      <w:pPr>
        <w:spacing w:line="440" w:lineRule="exact"/>
        <w:ind w:firstLine="440" w:firstLineChars="200"/>
        <w:jc w:val="left"/>
        <w:rPr>
          <w:rFonts w:ascii="宋体" w:hAnsi="宋体"/>
          <w:sz w:val="22"/>
          <w:szCs w:val="22"/>
        </w:rPr>
      </w:pPr>
      <w:r>
        <w:rPr>
          <w:rFonts w:hint="eastAsia" w:ascii="宋体" w:hAnsi="宋体"/>
          <w:sz w:val="22"/>
          <w:szCs w:val="22"/>
        </w:rPr>
        <w:t>2．对于承包人带入现场的特殊工器具，如起重设备、索具、机动车辆、压缩气瓶等，承包人必须按国家法规和标准进行检测、试验，并持有法定部门出具的检验证书。</w:t>
      </w:r>
    </w:p>
    <w:p>
      <w:pPr>
        <w:spacing w:line="440" w:lineRule="exact"/>
        <w:ind w:firstLine="440" w:firstLineChars="200"/>
        <w:jc w:val="left"/>
        <w:rPr>
          <w:rFonts w:ascii="宋体" w:hAnsi="宋体"/>
          <w:sz w:val="22"/>
          <w:szCs w:val="22"/>
        </w:rPr>
      </w:pPr>
      <w:r>
        <w:rPr>
          <w:rFonts w:hint="eastAsia" w:ascii="宋体" w:hAnsi="宋体"/>
          <w:sz w:val="22"/>
          <w:szCs w:val="22"/>
        </w:rPr>
        <w:t>3．对于不属于法定检测的工器具，承包人也必须建立相应的管理、检测制度，这些工器具包括登高工具、脚手架材料、电动工具、安全防护设备及用具等。</w:t>
      </w:r>
    </w:p>
    <w:p>
      <w:pPr>
        <w:spacing w:line="440" w:lineRule="exact"/>
        <w:ind w:firstLine="440" w:firstLineChars="200"/>
        <w:rPr>
          <w:rFonts w:ascii="宋体" w:hAnsi="宋体"/>
          <w:sz w:val="22"/>
          <w:szCs w:val="22"/>
        </w:rPr>
      </w:pPr>
      <w:bookmarkStart w:id="1657" w:name="_Toc247431432"/>
      <w:bookmarkStart w:id="1658" w:name="_Toc532375708"/>
      <w:bookmarkStart w:id="1659" w:name="_Toc247418272"/>
      <w:bookmarkStart w:id="1660" w:name="_Toc239510298"/>
      <w:r>
        <w:rPr>
          <w:rFonts w:hint="eastAsia" w:ascii="宋体" w:hAnsi="宋体"/>
          <w:sz w:val="22"/>
          <w:szCs w:val="22"/>
        </w:rPr>
        <w:t>九、开工前安全条件检查</w:t>
      </w:r>
      <w:bookmarkEnd w:id="1657"/>
      <w:bookmarkEnd w:id="1658"/>
      <w:bookmarkEnd w:id="1659"/>
      <w:bookmarkEnd w:id="1660"/>
    </w:p>
    <w:p>
      <w:pPr>
        <w:spacing w:line="440" w:lineRule="exact"/>
        <w:ind w:firstLine="440" w:firstLineChars="200"/>
        <w:jc w:val="left"/>
        <w:rPr>
          <w:rFonts w:ascii="宋体" w:hAnsi="宋体"/>
          <w:sz w:val="22"/>
          <w:szCs w:val="22"/>
        </w:rPr>
      </w:pPr>
      <w:r>
        <w:rPr>
          <w:rFonts w:hint="eastAsia" w:ascii="宋体" w:hAnsi="宋体"/>
          <w:sz w:val="22"/>
          <w:szCs w:val="22"/>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440" w:lineRule="exact"/>
        <w:ind w:firstLine="440" w:firstLineChars="200"/>
        <w:jc w:val="left"/>
        <w:rPr>
          <w:rFonts w:ascii="宋体" w:hAnsi="宋体"/>
          <w:sz w:val="22"/>
          <w:szCs w:val="22"/>
        </w:rPr>
      </w:pPr>
      <w:r>
        <w:rPr>
          <w:rFonts w:hint="eastAsia" w:ascii="宋体" w:hAnsi="宋体"/>
          <w:sz w:val="22"/>
          <w:szCs w:val="22"/>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440" w:lineRule="exact"/>
        <w:ind w:firstLine="440" w:firstLineChars="200"/>
        <w:jc w:val="left"/>
        <w:rPr>
          <w:rFonts w:ascii="宋体" w:hAnsi="宋体"/>
          <w:sz w:val="22"/>
          <w:szCs w:val="22"/>
        </w:rPr>
      </w:pPr>
      <w:r>
        <w:rPr>
          <w:rFonts w:hint="eastAsia" w:ascii="宋体" w:hAnsi="宋体"/>
          <w:sz w:val="22"/>
          <w:szCs w:val="22"/>
        </w:rPr>
        <w:t>3．发包人委托的监理公司检查发现的缺陷，承包人应在规定期限内完成整改。对于重大缺陷，发包人委托的监理公司有权要求承包人推迟开工，由此对工期产生的影响或经济损失，由承包人承担。</w:t>
      </w:r>
    </w:p>
    <w:p>
      <w:pPr>
        <w:spacing w:line="440" w:lineRule="exact"/>
        <w:ind w:firstLine="440" w:firstLineChars="200"/>
        <w:rPr>
          <w:rFonts w:ascii="宋体" w:hAnsi="宋体"/>
          <w:sz w:val="22"/>
          <w:szCs w:val="22"/>
        </w:rPr>
      </w:pPr>
      <w:bookmarkStart w:id="1661" w:name="_Toc247431433"/>
      <w:bookmarkStart w:id="1662" w:name="_Toc532375709"/>
      <w:bookmarkStart w:id="1663" w:name="_Toc247418273"/>
      <w:bookmarkStart w:id="1664" w:name="_Toc239510299"/>
      <w:r>
        <w:rPr>
          <w:rFonts w:hint="eastAsia" w:ascii="宋体" w:hAnsi="宋体"/>
          <w:sz w:val="22"/>
          <w:szCs w:val="22"/>
        </w:rPr>
        <w:t>十、安全监督</w:t>
      </w:r>
      <w:bookmarkEnd w:id="1661"/>
      <w:bookmarkEnd w:id="1662"/>
      <w:bookmarkEnd w:id="1663"/>
      <w:bookmarkEnd w:id="1664"/>
    </w:p>
    <w:p>
      <w:pPr>
        <w:spacing w:line="440" w:lineRule="exact"/>
        <w:ind w:firstLine="440" w:firstLineChars="200"/>
        <w:jc w:val="left"/>
        <w:rPr>
          <w:rFonts w:ascii="宋体" w:hAnsi="宋体"/>
          <w:sz w:val="22"/>
          <w:szCs w:val="22"/>
        </w:rPr>
      </w:pPr>
      <w:r>
        <w:rPr>
          <w:rFonts w:hint="eastAsia" w:ascii="宋体" w:hAnsi="宋体"/>
          <w:sz w:val="22"/>
          <w:szCs w:val="22"/>
        </w:rPr>
        <w:t>1．承包人应配备有满足项目安全管理需要的专职安全管理人员。</w:t>
      </w:r>
    </w:p>
    <w:p>
      <w:pPr>
        <w:spacing w:line="440" w:lineRule="exact"/>
        <w:ind w:firstLine="440" w:firstLineChars="200"/>
        <w:jc w:val="left"/>
        <w:rPr>
          <w:rFonts w:ascii="宋体" w:hAnsi="宋体"/>
          <w:sz w:val="22"/>
          <w:szCs w:val="22"/>
        </w:rPr>
      </w:pPr>
      <w:r>
        <w:rPr>
          <w:rFonts w:hint="eastAsia" w:ascii="宋体" w:hAnsi="宋体"/>
          <w:sz w:val="22"/>
          <w:szCs w:val="22"/>
        </w:rPr>
        <w:t>2．承包人的专职安全管理人员必须持建设主管部门颁发的安全生产知识考核合格证书。</w:t>
      </w:r>
    </w:p>
    <w:p>
      <w:pPr>
        <w:spacing w:line="440" w:lineRule="exact"/>
        <w:ind w:firstLine="440" w:firstLineChars="200"/>
        <w:jc w:val="left"/>
        <w:rPr>
          <w:rFonts w:ascii="宋体" w:hAnsi="宋体"/>
          <w:sz w:val="22"/>
          <w:szCs w:val="22"/>
        </w:rPr>
      </w:pPr>
      <w:r>
        <w:rPr>
          <w:rFonts w:hint="eastAsia" w:ascii="宋体" w:hAnsi="宋体"/>
          <w:sz w:val="22"/>
          <w:szCs w:val="22"/>
        </w:rPr>
        <w:t>3．承包人的专职安全管理人员在业务上接受发包人委托的监理公司和发包人安全管理部门的协调和指导。</w:t>
      </w:r>
    </w:p>
    <w:p>
      <w:pPr>
        <w:spacing w:line="440" w:lineRule="exact"/>
        <w:ind w:firstLine="440" w:firstLineChars="200"/>
        <w:jc w:val="left"/>
        <w:rPr>
          <w:rFonts w:ascii="宋体" w:hAnsi="宋体"/>
          <w:sz w:val="22"/>
          <w:szCs w:val="22"/>
        </w:rPr>
      </w:pPr>
      <w:r>
        <w:rPr>
          <w:rFonts w:hint="eastAsia" w:ascii="宋体" w:hAnsi="宋体"/>
          <w:sz w:val="22"/>
          <w:szCs w:val="22"/>
        </w:rPr>
        <w:t>4．承包人应建立班前安全交底制度；施工期间坚持开展安全检查和日常安全监督并形成相应的记录。</w:t>
      </w:r>
    </w:p>
    <w:p>
      <w:pPr>
        <w:spacing w:line="440" w:lineRule="exact"/>
        <w:ind w:firstLine="440" w:firstLineChars="200"/>
        <w:jc w:val="left"/>
        <w:rPr>
          <w:rFonts w:ascii="宋体" w:hAnsi="宋体"/>
          <w:sz w:val="22"/>
          <w:szCs w:val="22"/>
        </w:rPr>
      </w:pPr>
      <w:r>
        <w:rPr>
          <w:rFonts w:hint="eastAsia" w:ascii="宋体" w:hAnsi="宋体"/>
          <w:sz w:val="22"/>
          <w:szCs w:val="22"/>
        </w:rPr>
        <w:t>5．承包人应在每个作业区任命兼职安全员，赋予兼职安全员相应的授权和义务，并对兼职安全员进行定期考核。</w:t>
      </w:r>
    </w:p>
    <w:p>
      <w:pPr>
        <w:spacing w:line="440" w:lineRule="exact"/>
        <w:ind w:firstLine="440" w:firstLineChars="200"/>
        <w:jc w:val="left"/>
        <w:rPr>
          <w:rFonts w:ascii="宋体" w:hAnsi="宋体"/>
          <w:sz w:val="22"/>
          <w:szCs w:val="22"/>
        </w:rPr>
      </w:pPr>
      <w:r>
        <w:rPr>
          <w:rFonts w:hint="eastAsia" w:ascii="宋体" w:hAnsi="宋体"/>
          <w:sz w:val="22"/>
          <w:szCs w:val="22"/>
        </w:rPr>
        <w:t>6．承包人应接受和配合发包人专业部门及委托的监理公司的监督与安全评价。</w:t>
      </w:r>
    </w:p>
    <w:p>
      <w:pPr>
        <w:spacing w:line="440" w:lineRule="exact"/>
        <w:ind w:firstLine="440" w:firstLineChars="200"/>
        <w:jc w:val="left"/>
        <w:rPr>
          <w:rFonts w:ascii="宋体" w:hAnsi="宋体"/>
          <w:sz w:val="22"/>
          <w:szCs w:val="22"/>
        </w:rPr>
      </w:pPr>
      <w:r>
        <w:rPr>
          <w:rFonts w:hint="eastAsia" w:ascii="宋体" w:hAnsi="宋体"/>
          <w:sz w:val="22"/>
          <w:szCs w:val="22"/>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440" w:lineRule="exact"/>
        <w:ind w:firstLine="440" w:firstLineChars="200"/>
        <w:rPr>
          <w:rFonts w:ascii="宋体" w:hAnsi="宋体"/>
          <w:sz w:val="22"/>
          <w:szCs w:val="22"/>
        </w:rPr>
      </w:pPr>
      <w:bookmarkStart w:id="1665" w:name="_Toc247418274"/>
      <w:bookmarkStart w:id="1666" w:name="_Toc532375710"/>
      <w:bookmarkStart w:id="1667" w:name="_Toc247431434"/>
      <w:bookmarkStart w:id="1668" w:name="_Toc239510300"/>
      <w:r>
        <w:rPr>
          <w:rFonts w:hint="eastAsia" w:ascii="宋体" w:hAnsi="宋体"/>
          <w:sz w:val="22"/>
          <w:szCs w:val="22"/>
        </w:rPr>
        <w:t>十一、安全培训与授权</w:t>
      </w:r>
      <w:bookmarkEnd w:id="1665"/>
      <w:bookmarkEnd w:id="1666"/>
      <w:bookmarkEnd w:id="1667"/>
      <w:bookmarkEnd w:id="1668"/>
    </w:p>
    <w:p>
      <w:pPr>
        <w:spacing w:line="440" w:lineRule="exact"/>
        <w:ind w:firstLine="440" w:firstLineChars="200"/>
        <w:jc w:val="left"/>
        <w:rPr>
          <w:rFonts w:ascii="宋体" w:hAnsi="宋体"/>
          <w:sz w:val="22"/>
          <w:szCs w:val="22"/>
        </w:rPr>
      </w:pPr>
      <w:r>
        <w:rPr>
          <w:rFonts w:hint="eastAsia" w:ascii="宋体" w:hAnsi="宋体"/>
          <w:sz w:val="22"/>
          <w:szCs w:val="22"/>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440" w:lineRule="exact"/>
        <w:ind w:firstLine="440" w:firstLineChars="200"/>
        <w:jc w:val="left"/>
        <w:rPr>
          <w:rFonts w:ascii="宋体" w:hAnsi="宋体"/>
          <w:sz w:val="22"/>
          <w:szCs w:val="22"/>
        </w:rPr>
      </w:pPr>
      <w:r>
        <w:rPr>
          <w:rFonts w:hint="eastAsia" w:ascii="宋体" w:hAnsi="宋体"/>
          <w:sz w:val="22"/>
          <w:szCs w:val="22"/>
        </w:rPr>
        <w:t>2．承包人应在特殊工种之外的其他工种中，筛选出高风险工种，并对其开展针对性的专题安全培训。</w:t>
      </w:r>
    </w:p>
    <w:p>
      <w:pPr>
        <w:spacing w:line="440" w:lineRule="exact"/>
        <w:ind w:firstLine="440" w:firstLineChars="200"/>
        <w:jc w:val="left"/>
        <w:rPr>
          <w:rFonts w:ascii="宋体" w:hAnsi="宋体"/>
          <w:sz w:val="22"/>
          <w:szCs w:val="22"/>
        </w:rPr>
      </w:pPr>
      <w:r>
        <w:rPr>
          <w:rFonts w:hint="eastAsia" w:ascii="宋体" w:hAnsi="宋体"/>
          <w:sz w:val="22"/>
          <w:szCs w:val="22"/>
        </w:rPr>
        <w:t>3．承包人应组织 “入场培训”和考核。发包人委托的监理公司有权监督培训、考核情况或组织抽查考核。</w:t>
      </w:r>
    </w:p>
    <w:p>
      <w:pPr>
        <w:spacing w:line="440" w:lineRule="exact"/>
        <w:ind w:firstLine="440" w:firstLineChars="200"/>
        <w:jc w:val="left"/>
        <w:rPr>
          <w:rFonts w:ascii="宋体" w:hAnsi="宋体"/>
          <w:sz w:val="22"/>
          <w:szCs w:val="22"/>
        </w:rPr>
      </w:pPr>
      <w:r>
        <w:rPr>
          <w:rFonts w:hint="eastAsia" w:ascii="宋体" w:hAnsi="宋体"/>
          <w:sz w:val="22"/>
          <w:szCs w:val="22"/>
        </w:rPr>
        <w:t>4．承包人应建立安全培训和考核机制，编制培训教材和培训滚动计划。承包人应组织安全考试/考核，建立培训考核记录，发包人委托的监理公司有权查看这些记录。</w:t>
      </w:r>
    </w:p>
    <w:p>
      <w:pPr>
        <w:spacing w:line="440" w:lineRule="exact"/>
        <w:ind w:firstLine="440" w:firstLineChars="200"/>
        <w:rPr>
          <w:rFonts w:ascii="宋体" w:hAnsi="宋体"/>
          <w:sz w:val="22"/>
          <w:szCs w:val="22"/>
        </w:rPr>
      </w:pPr>
      <w:bookmarkStart w:id="1669" w:name="_Toc239510301"/>
      <w:bookmarkStart w:id="1670" w:name="_Toc247418275"/>
      <w:bookmarkStart w:id="1671" w:name="_Toc532375711"/>
      <w:bookmarkStart w:id="1672" w:name="_Toc247431435"/>
      <w:r>
        <w:rPr>
          <w:rFonts w:hint="eastAsia" w:ascii="宋体" w:hAnsi="宋体"/>
          <w:sz w:val="22"/>
          <w:szCs w:val="22"/>
        </w:rPr>
        <w:t>十二、职业健康与卫生防疫</w:t>
      </w:r>
      <w:bookmarkEnd w:id="1669"/>
      <w:bookmarkEnd w:id="1670"/>
      <w:bookmarkEnd w:id="1671"/>
      <w:bookmarkEnd w:id="1672"/>
    </w:p>
    <w:p>
      <w:pPr>
        <w:spacing w:line="440" w:lineRule="exact"/>
        <w:ind w:firstLine="440" w:firstLineChars="200"/>
        <w:jc w:val="left"/>
        <w:rPr>
          <w:rFonts w:ascii="宋体" w:hAnsi="宋体"/>
          <w:sz w:val="22"/>
          <w:szCs w:val="22"/>
        </w:rPr>
      </w:pPr>
      <w:r>
        <w:rPr>
          <w:rFonts w:hint="eastAsia" w:ascii="宋体" w:hAnsi="宋体"/>
          <w:sz w:val="22"/>
          <w:szCs w:val="22"/>
        </w:rPr>
        <w:t>1．承包人应有特殊健康检查制度，预防有禁忌症患者从事有关职业，如恐高症患者不得从事高空作业，患有心血管疾病的人员不得从事繁重的体力劳动，特殊工种人员的体检应符合国家的规定。</w:t>
      </w:r>
    </w:p>
    <w:p>
      <w:pPr>
        <w:spacing w:line="440" w:lineRule="exact"/>
        <w:ind w:firstLine="440" w:firstLineChars="200"/>
        <w:jc w:val="left"/>
        <w:rPr>
          <w:rFonts w:ascii="宋体" w:hAnsi="宋体"/>
          <w:sz w:val="22"/>
          <w:szCs w:val="22"/>
        </w:rPr>
      </w:pPr>
      <w:r>
        <w:rPr>
          <w:rFonts w:hint="eastAsia" w:ascii="宋体" w:hAnsi="宋体"/>
          <w:sz w:val="22"/>
          <w:szCs w:val="22"/>
        </w:rPr>
        <w:t>2．承包人应保证卫生防疫基本设施的投入，以满足医疗、急救的要求，建立外部医疗支持渠道。</w:t>
      </w:r>
    </w:p>
    <w:p>
      <w:pPr>
        <w:spacing w:line="440" w:lineRule="exact"/>
        <w:ind w:firstLine="440" w:firstLineChars="200"/>
        <w:jc w:val="left"/>
        <w:rPr>
          <w:rFonts w:ascii="宋体" w:hAnsi="宋体"/>
          <w:sz w:val="22"/>
          <w:szCs w:val="22"/>
        </w:rPr>
      </w:pPr>
      <w:r>
        <w:rPr>
          <w:rFonts w:hint="eastAsia" w:ascii="宋体" w:hAnsi="宋体"/>
          <w:sz w:val="22"/>
          <w:szCs w:val="22"/>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440" w:lineRule="exact"/>
        <w:ind w:firstLine="440" w:firstLineChars="200"/>
        <w:rPr>
          <w:rFonts w:ascii="宋体" w:hAnsi="宋体"/>
          <w:sz w:val="22"/>
          <w:szCs w:val="22"/>
        </w:rPr>
      </w:pPr>
      <w:bookmarkStart w:id="1673" w:name="_Toc247418276"/>
      <w:bookmarkStart w:id="1674" w:name="_Toc239510302"/>
      <w:bookmarkStart w:id="1675" w:name="_Toc532375712"/>
      <w:bookmarkStart w:id="1676" w:name="_Toc247431436"/>
      <w:r>
        <w:rPr>
          <w:rFonts w:hint="eastAsia" w:ascii="宋体" w:hAnsi="宋体"/>
          <w:sz w:val="22"/>
          <w:szCs w:val="22"/>
        </w:rPr>
        <w:t>十三、文明施工与环保要求</w:t>
      </w:r>
      <w:bookmarkEnd w:id="1673"/>
      <w:bookmarkEnd w:id="1674"/>
      <w:bookmarkEnd w:id="1675"/>
      <w:bookmarkEnd w:id="1676"/>
    </w:p>
    <w:p>
      <w:pPr>
        <w:spacing w:line="440" w:lineRule="exact"/>
        <w:ind w:firstLine="440" w:firstLineChars="200"/>
        <w:jc w:val="left"/>
        <w:rPr>
          <w:rFonts w:ascii="宋体" w:hAnsi="宋体"/>
          <w:sz w:val="22"/>
          <w:szCs w:val="22"/>
        </w:rPr>
      </w:pPr>
      <w:r>
        <w:rPr>
          <w:rFonts w:hint="eastAsia" w:ascii="宋体" w:hAnsi="宋体"/>
          <w:sz w:val="22"/>
          <w:szCs w:val="22"/>
        </w:rPr>
        <w:t>1．承包人需制订施工现场的文明施工措施，保持良好的施工现场秩序。施工现场的物料堆放要摆放整齐，安全标志和宣传标志要清楚醒目，废料、废物要分类收集，安全通道要畅通。</w:t>
      </w:r>
    </w:p>
    <w:p>
      <w:pPr>
        <w:spacing w:line="440" w:lineRule="exact"/>
        <w:ind w:firstLine="440" w:firstLineChars="200"/>
        <w:jc w:val="left"/>
        <w:rPr>
          <w:rFonts w:ascii="宋体" w:hAnsi="宋体"/>
          <w:sz w:val="22"/>
          <w:szCs w:val="22"/>
        </w:rPr>
      </w:pPr>
      <w:r>
        <w:rPr>
          <w:rFonts w:hint="eastAsia" w:ascii="宋体" w:hAnsi="宋体"/>
          <w:sz w:val="22"/>
          <w:szCs w:val="22"/>
        </w:rPr>
        <w:t>2．承包人作业时应避免建筑材料抛洒、飞扬、流淌；应尽可能降低噪音、震动。</w:t>
      </w:r>
    </w:p>
    <w:p>
      <w:pPr>
        <w:spacing w:line="440" w:lineRule="exact"/>
        <w:ind w:firstLine="440" w:firstLineChars="200"/>
        <w:jc w:val="left"/>
        <w:rPr>
          <w:rFonts w:ascii="宋体" w:hAnsi="宋体"/>
          <w:sz w:val="22"/>
          <w:szCs w:val="22"/>
        </w:rPr>
      </w:pPr>
      <w:r>
        <w:rPr>
          <w:rFonts w:hint="eastAsia" w:ascii="宋体" w:hAnsi="宋体"/>
          <w:sz w:val="22"/>
          <w:szCs w:val="22"/>
        </w:rPr>
        <w:t>3．承包人应根据实际需要，在施工现场布置临时卫生设施（洗手间、卫生间等），施工作业不破坏环境卫生，不污染现场环境。</w:t>
      </w:r>
    </w:p>
    <w:p>
      <w:pPr>
        <w:spacing w:line="440" w:lineRule="exact"/>
        <w:ind w:firstLine="440" w:firstLineChars="200"/>
        <w:jc w:val="left"/>
        <w:rPr>
          <w:rFonts w:ascii="宋体" w:hAnsi="宋体"/>
          <w:sz w:val="22"/>
          <w:szCs w:val="22"/>
        </w:rPr>
      </w:pPr>
      <w:r>
        <w:rPr>
          <w:rFonts w:hint="eastAsia" w:ascii="宋体" w:hAnsi="宋体"/>
          <w:sz w:val="22"/>
          <w:szCs w:val="22"/>
        </w:rPr>
        <w:t>4．承包人在施工中应充分重视对环境的保护，保护绿色植被，保护古树。施工如需伤害古树，必须报告发包人委托的监理公司，在未得到指令前，禁止擅自伤害古树。</w:t>
      </w:r>
    </w:p>
    <w:p>
      <w:pPr>
        <w:spacing w:line="440" w:lineRule="exact"/>
        <w:ind w:firstLine="440" w:firstLineChars="200"/>
        <w:jc w:val="left"/>
        <w:rPr>
          <w:rFonts w:ascii="宋体" w:hAnsi="宋体"/>
          <w:sz w:val="22"/>
          <w:szCs w:val="22"/>
        </w:rPr>
      </w:pPr>
      <w:r>
        <w:rPr>
          <w:rFonts w:hint="eastAsia" w:ascii="宋体" w:hAnsi="宋体"/>
          <w:sz w:val="22"/>
          <w:szCs w:val="22"/>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440" w:lineRule="exact"/>
        <w:ind w:firstLine="440" w:firstLineChars="200"/>
        <w:jc w:val="left"/>
        <w:rPr>
          <w:rFonts w:ascii="宋体" w:hAnsi="宋体"/>
          <w:sz w:val="22"/>
          <w:szCs w:val="22"/>
        </w:rPr>
      </w:pPr>
      <w:r>
        <w:rPr>
          <w:rFonts w:hint="eastAsia" w:ascii="宋体" w:hAnsi="宋体"/>
          <w:sz w:val="22"/>
          <w:szCs w:val="22"/>
        </w:rPr>
        <w:t>6．承包人在施工中应禁止向环境，排放工业污水、生活污水、废油或其他有害物质。</w:t>
      </w:r>
    </w:p>
    <w:p>
      <w:pPr>
        <w:spacing w:line="440" w:lineRule="exact"/>
        <w:ind w:firstLine="440" w:firstLineChars="200"/>
        <w:jc w:val="left"/>
        <w:rPr>
          <w:rFonts w:ascii="宋体" w:hAnsi="宋体"/>
          <w:sz w:val="22"/>
          <w:szCs w:val="22"/>
        </w:rPr>
      </w:pPr>
      <w:r>
        <w:rPr>
          <w:rFonts w:hint="eastAsia" w:ascii="宋体" w:hAnsi="宋体"/>
          <w:sz w:val="22"/>
          <w:szCs w:val="22"/>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440" w:lineRule="exact"/>
        <w:ind w:firstLine="440" w:firstLineChars="200"/>
        <w:rPr>
          <w:rFonts w:ascii="宋体" w:hAnsi="宋体"/>
          <w:sz w:val="22"/>
          <w:szCs w:val="22"/>
        </w:rPr>
      </w:pPr>
      <w:bookmarkStart w:id="1677" w:name="_Toc532375713"/>
      <w:bookmarkStart w:id="1678" w:name="_Toc239510303"/>
      <w:bookmarkStart w:id="1679" w:name="_Toc247418277"/>
      <w:bookmarkStart w:id="1680" w:name="_Toc247431437"/>
      <w:r>
        <w:rPr>
          <w:rFonts w:hint="eastAsia" w:ascii="宋体" w:hAnsi="宋体"/>
          <w:sz w:val="22"/>
          <w:szCs w:val="22"/>
        </w:rPr>
        <w:t>十四、工程风险管理与事故预防</w:t>
      </w:r>
      <w:bookmarkEnd w:id="1677"/>
      <w:bookmarkEnd w:id="1678"/>
      <w:bookmarkEnd w:id="1679"/>
      <w:bookmarkEnd w:id="1680"/>
    </w:p>
    <w:p>
      <w:pPr>
        <w:spacing w:line="440" w:lineRule="exact"/>
        <w:ind w:firstLine="440" w:firstLineChars="200"/>
        <w:jc w:val="left"/>
        <w:rPr>
          <w:rFonts w:ascii="宋体" w:hAnsi="宋体"/>
          <w:sz w:val="22"/>
          <w:szCs w:val="22"/>
        </w:rPr>
      </w:pPr>
      <w:bookmarkStart w:id="1681" w:name="_Toc247431438"/>
      <w:bookmarkStart w:id="1682" w:name="_Toc239510304"/>
      <w:bookmarkStart w:id="1683" w:name="_Toc247418278"/>
      <w:r>
        <w:rPr>
          <w:rFonts w:hint="eastAsia" w:ascii="宋体" w:hAnsi="宋体"/>
          <w:sz w:val="22"/>
          <w:szCs w:val="22"/>
        </w:rPr>
        <w:t>（一）基本要求</w:t>
      </w:r>
      <w:bookmarkEnd w:id="1681"/>
      <w:bookmarkEnd w:id="1682"/>
      <w:bookmarkEnd w:id="1683"/>
    </w:p>
    <w:p>
      <w:pPr>
        <w:spacing w:line="440" w:lineRule="exact"/>
        <w:ind w:firstLine="440" w:firstLineChars="200"/>
        <w:jc w:val="left"/>
        <w:rPr>
          <w:rFonts w:ascii="宋体" w:hAnsi="宋体"/>
          <w:sz w:val="22"/>
          <w:szCs w:val="22"/>
        </w:rPr>
      </w:pPr>
      <w:bookmarkStart w:id="1684" w:name="_Toc532375714"/>
      <w:r>
        <w:rPr>
          <w:rFonts w:hint="eastAsia" w:ascii="宋体" w:hAnsi="宋体"/>
          <w:sz w:val="22"/>
          <w:szCs w:val="22"/>
        </w:rPr>
        <w:t>1．承包人应对施工过程进行全面、深入的危险源识别和风险分析。在施工安全组织设计中提供危险源及重要危险源清单、作业风险分析报告，该报告应包括（但不限于）如下信息：</w:t>
      </w:r>
      <w:bookmarkEnd w:id="1684"/>
    </w:p>
    <w:p>
      <w:pPr>
        <w:spacing w:line="440" w:lineRule="exact"/>
        <w:ind w:firstLine="440" w:firstLineChars="200"/>
        <w:jc w:val="left"/>
        <w:rPr>
          <w:rFonts w:ascii="宋体" w:hAnsi="宋体"/>
          <w:sz w:val="22"/>
          <w:szCs w:val="22"/>
        </w:rPr>
      </w:pPr>
      <w:r>
        <w:rPr>
          <w:rFonts w:hint="eastAsia" w:ascii="宋体" w:hAnsi="宋体"/>
          <w:sz w:val="22"/>
          <w:szCs w:val="22"/>
        </w:rPr>
        <w:t>（1）高风险作业和工种清单：作业名称、类别和数量、主要事故风险。</w:t>
      </w:r>
    </w:p>
    <w:p>
      <w:pPr>
        <w:spacing w:line="440" w:lineRule="exact"/>
        <w:ind w:firstLine="440" w:firstLineChars="200"/>
        <w:jc w:val="left"/>
        <w:rPr>
          <w:rFonts w:ascii="宋体" w:hAnsi="宋体"/>
          <w:sz w:val="22"/>
          <w:szCs w:val="22"/>
        </w:rPr>
      </w:pPr>
      <w:r>
        <w:rPr>
          <w:rFonts w:hint="eastAsia" w:ascii="宋体" w:hAnsi="宋体"/>
          <w:sz w:val="22"/>
          <w:szCs w:val="22"/>
        </w:rPr>
        <w:t>（2）施工能源和机械的种类、数量和主要事故风险。</w:t>
      </w:r>
    </w:p>
    <w:p>
      <w:pPr>
        <w:spacing w:line="440" w:lineRule="exact"/>
        <w:ind w:firstLine="440" w:firstLineChars="200"/>
        <w:jc w:val="left"/>
        <w:rPr>
          <w:rFonts w:ascii="宋体" w:hAnsi="宋体"/>
          <w:sz w:val="22"/>
          <w:szCs w:val="22"/>
        </w:rPr>
      </w:pPr>
      <w:r>
        <w:rPr>
          <w:rFonts w:hint="eastAsia" w:ascii="宋体" w:hAnsi="宋体"/>
          <w:sz w:val="22"/>
          <w:szCs w:val="22"/>
        </w:rPr>
        <w:t>（3）施工作业条件的类型和主要事故风险。</w:t>
      </w:r>
    </w:p>
    <w:p>
      <w:pPr>
        <w:spacing w:line="440" w:lineRule="exact"/>
        <w:ind w:firstLine="440" w:firstLineChars="200"/>
        <w:jc w:val="left"/>
        <w:rPr>
          <w:rFonts w:ascii="宋体" w:hAnsi="宋体"/>
          <w:sz w:val="22"/>
          <w:szCs w:val="22"/>
        </w:rPr>
      </w:pPr>
      <w:r>
        <w:rPr>
          <w:rFonts w:hint="eastAsia" w:ascii="宋体" w:hAnsi="宋体"/>
          <w:sz w:val="22"/>
          <w:szCs w:val="22"/>
        </w:rPr>
        <w:t>（4）主要工艺过程（或施工活动）的类别及其相关的事故风险。</w:t>
      </w:r>
    </w:p>
    <w:p>
      <w:pPr>
        <w:spacing w:line="440" w:lineRule="exact"/>
        <w:ind w:firstLine="440" w:firstLineChars="200"/>
        <w:jc w:val="left"/>
        <w:rPr>
          <w:rFonts w:ascii="宋体" w:hAnsi="宋体"/>
          <w:sz w:val="22"/>
          <w:szCs w:val="22"/>
        </w:rPr>
      </w:pPr>
      <w:r>
        <w:rPr>
          <w:rFonts w:hint="eastAsia" w:ascii="宋体" w:hAnsi="宋体"/>
          <w:sz w:val="22"/>
          <w:szCs w:val="22"/>
        </w:rPr>
        <w:t>（5）主要火灾危险（可燃物、点火源）。</w:t>
      </w:r>
    </w:p>
    <w:p>
      <w:pPr>
        <w:spacing w:line="440" w:lineRule="exact"/>
        <w:ind w:firstLine="440" w:firstLineChars="200"/>
        <w:jc w:val="left"/>
        <w:rPr>
          <w:rFonts w:ascii="宋体" w:hAnsi="宋体"/>
          <w:sz w:val="22"/>
          <w:szCs w:val="22"/>
        </w:rPr>
      </w:pPr>
      <w:r>
        <w:rPr>
          <w:rFonts w:hint="eastAsia" w:ascii="宋体" w:hAnsi="宋体"/>
          <w:sz w:val="22"/>
          <w:szCs w:val="22"/>
        </w:rPr>
        <w:t>（6）主要自然灾害（洪水、大风、雷暴、暴雨、地质灾害等）。</w:t>
      </w:r>
    </w:p>
    <w:p>
      <w:pPr>
        <w:spacing w:line="440" w:lineRule="exact"/>
        <w:ind w:firstLine="440" w:firstLineChars="200"/>
        <w:jc w:val="left"/>
        <w:rPr>
          <w:rFonts w:ascii="宋体" w:hAnsi="宋体"/>
          <w:sz w:val="22"/>
          <w:szCs w:val="22"/>
        </w:rPr>
      </w:pPr>
      <w:r>
        <w:rPr>
          <w:rFonts w:hint="eastAsia" w:ascii="宋体" w:hAnsi="宋体"/>
          <w:sz w:val="22"/>
          <w:szCs w:val="22"/>
        </w:rPr>
        <w:t>（7）主要环境保护事件（有害垃圾、机械的跑冒滴漏、原材料流失、水土流失等）。</w:t>
      </w:r>
    </w:p>
    <w:p>
      <w:pPr>
        <w:spacing w:line="440" w:lineRule="exact"/>
        <w:ind w:firstLine="440" w:firstLineChars="200"/>
        <w:jc w:val="left"/>
        <w:rPr>
          <w:rFonts w:ascii="宋体" w:hAnsi="宋体"/>
          <w:sz w:val="22"/>
          <w:szCs w:val="22"/>
        </w:rPr>
      </w:pPr>
      <w:r>
        <w:rPr>
          <w:rFonts w:hint="eastAsia" w:ascii="宋体" w:hAnsi="宋体"/>
          <w:sz w:val="22"/>
          <w:szCs w:val="22"/>
        </w:rPr>
        <w:t>（8）其他。</w:t>
      </w:r>
    </w:p>
    <w:p>
      <w:pPr>
        <w:spacing w:line="440" w:lineRule="exact"/>
        <w:ind w:firstLine="440" w:firstLineChars="200"/>
        <w:jc w:val="left"/>
        <w:rPr>
          <w:rFonts w:ascii="宋体" w:hAnsi="宋体"/>
          <w:sz w:val="22"/>
          <w:szCs w:val="22"/>
        </w:rPr>
      </w:pPr>
      <w:r>
        <w:rPr>
          <w:rFonts w:hint="eastAsia" w:ascii="宋体" w:hAnsi="宋体"/>
          <w:sz w:val="22"/>
          <w:szCs w:val="22"/>
        </w:rPr>
        <w:t>2．承包人应针对识别出的危险源制定有针对性的事故预防措施并确保在施工中得到有效落实。</w:t>
      </w:r>
    </w:p>
    <w:p>
      <w:pPr>
        <w:spacing w:line="440" w:lineRule="exact"/>
        <w:ind w:firstLine="440" w:firstLineChars="200"/>
        <w:jc w:val="left"/>
        <w:rPr>
          <w:rFonts w:ascii="宋体" w:hAnsi="宋体"/>
          <w:sz w:val="22"/>
          <w:szCs w:val="22"/>
        </w:rPr>
      </w:pPr>
      <w:r>
        <w:rPr>
          <w:rFonts w:hint="eastAsia" w:ascii="宋体" w:hAnsi="宋体"/>
          <w:sz w:val="22"/>
          <w:szCs w:val="22"/>
        </w:rPr>
        <w:t>3．承包人应建立日常施工活动的动态作业风险分析和安全交底制度。该制度应明确规定风险分析的方法、责任和交底的内容、时间及记录。</w:t>
      </w:r>
    </w:p>
    <w:p>
      <w:pPr>
        <w:spacing w:line="440" w:lineRule="exact"/>
        <w:ind w:firstLine="440" w:firstLineChars="200"/>
        <w:jc w:val="left"/>
        <w:rPr>
          <w:rFonts w:ascii="宋体" w:hAnsi="宋体"/>
          <w:sz w:val="22"/>
          <w:szCs w:val="22"/>
        </w:rPr>
      </w:pPr>
      <w:bookmarkStart w:id="1685" w:name="_Toc247431439"/>
      <w:bookmarkStart w:id="1686" w:name="_Toc239510305"/>
      <w:bookmarkStart w:id="1687" w:name="_Toc247418279"/>
      <w:r>
        <w:rPr>
          <w:rFonts w:hint="eastAsia" w:ascii="宋体" w:hAnsi="宋体"/>
          <w:sz w:val="22"/>
          <w:szCs w:val="22"/>
        </w:rPr>
        <w:t>（二）现场作业基本安全条件</w:t>
      </w:r>
      <w:bookmarkEnd w:id="1685"/>
      <w:bookmarkEnd w:id="1686"/>
      <w:bookmarkEnd w:id="1687"/>
    </w:p>
    <w:p>
      <w:pPr>
        <w:spacing w:line="440" w:lineRule="exact"/>
        <w:ind w:firstLine="440" w:firstLineChars="200"/>
        <w:jc w:val="left"/>
        <w:rPr>
          <w:rFonts w:ascii="宋体" w:hAnsi="宋体"/>
          <w:sz w:val="22"/>
          <w:szCs w:val="22"/>
        </w:rPr>
      </w:pPr>
      <w:r>
        <w:rPr>
          <w:rFonts w:hint="eastAsia" w:ascii="宋体" w:hAnsi="宋体"/>
          <w:sz w:val="22"/>
          <w:szCs w:val="22"/>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440" w:lineRule="exact"/>
        <w:ind w:firstLine="440" w:firstLineChars="200"/>
        <w:rPr>
          <w:rFonts w:ascii="宋体" w:hAnsi="宋体"/>
          <w:sz w:val="22"/>
          <w:szCs w:val="22"/>
        </w:rPr>
      </w:pPr>
      <w:bookmarkStart w:id="1688" w:name="_Toc532375715"/>
      <w:bookmarkStart w:id="1689" w:name="_Toc247431440"/>
      <w:bookmarkStart w:id="1690" w:name="_Toc247418280"/>
      <w:bookmarkStart w:id="1691" w:name="_Toc239510306"/>
      <w:r>
        <w:rPr>
          <w:rFonts w:hint="eastAsia" w:ascii="宋体" w:hAnsi="宋体"/>
          <w:sz w:val="22"/>
          <w:szCs w:val="22"/>
        </w:rPr>
        <w:t>十五、事故报告与应急救援</w:t>
      </w:r>
      <w:bookmarkEnd w:id="1688"/>
      <w:bookmarkEnd w:id="1689"/>
      <w:bookmarkEnd w:id="1690"/>
      <w:bookmarkEnd w:id="1691"/>
    </w:p>
    <w:p>
      <w:pPr>
        <w:spacing w:line="440" w:lineRule="exact"/>
        <w:ind w:firstLine="440" w:firstLineChars="200"/>
        <w:jc w:val="left"/>
        <w:rPr>
          <w:rFonts w:ascii="宋体" w:hAnsi="宋体"/>
          <w:sz w:val="22"/>
          <w:szCs w:val="22"/>
        </w:rPr>
      </w:pPr>
      <w:r>
        <w:rPr>
          <w:rFonts w:hint="eastAsia" w:ascii="宋体" w:hAnsi="宋体"/>
          <w:sz w:val="22"/>
          <w:szCs w:val="22"/>
        </w:rPr>
        <w:t>1．承包人应制定对于未遂事故及以上级别的安全事件和事故，定期报送安全月度快报、季报、年报和各种专项事故报告等。</w:t>
      </w:r>
    </w:p>
    <w:p>
      <w:pPr>
        <w:spacing w:line="440" w:lineRule="exact"/>
        <w:ind w:firstLine="440" w:firstLineChars="200"/>
        <w:jc w:val="left"/>
        <w:rPr>
          <w:rFonts w:ascii="宋体" w:hAnsi="宋体"/>
          <w:sz w:val="22"/>
          <w:szCs w:val="22"/>
        </w:rPr>
      </w:pPr>
      <w:r>
        <w:rPr>
          <w:rFonts w:hint="eastAsia" w:ascii="宋体" w:hAnsi="宋体"/>
          <w:sz w:val="22"/>
          <w:szCs w:val="22"/>
        </w:rPr>
        <w:t>2．承包人应建立安全事故统计记录、未遂事故统计记录、违章统计记录，并根据统计情况进行分析，并就分析结果制定相应的预防措施。</w:t>
      </w:r>
    </w:p>
    <w:p>
      <w:pPr>
        <w:spacing w:line="440" w:lineRule="exact"/>
        <w:ind w:firstLine="440" w:firstLineChars="200"/>
        <w:jc w:val="left"/>
        <w:rPr>
          <w:rFonts w:ascii="宋体" w:hAnsi="宋体"/>
          <w:sz w:val="22"/>
          <w:szCs w:val="22"/>
        </w:rPr>
      </w:pPr>
      <w:r>
        <w:rPr>
          <w:rFonts w:hint="eastAsia" w:ascii="宋体" w:hAnsi="宋体"/>
          <w:sz w:val="22"/>
          <w:szCs w:val="22"/>
        </w:rPr>
        <w:t>3．承包人应建立事故应急救援机制，明确事故处置的基本原则，即现场发生事故时，首先抢救生命，向救援组织报警，并采取措施限制事故扩大。</w:t>
      </w:r>
    </w:p>
    <w:p>
      <w:pPr>
        <w:spacing w:line="440" w:lineRule="exact"/>
        <w:ind w:firstLine="440" w:firstLineChars="200"/>
        <w:jc w:val="left"/>
        <w:rPr>
          <w:rFonts w:ascii="宋体" w:hAnsi="宋体"/>
          <w:sz w:val="22"/>
          <w:szCs w:val="22"/>
        </w:rPr>
      </w:pPr>
      <w:r>
        <w:rPr>
          <w:rFonts w:hint="eastAsia" w:ascii="宋体" w:hAnsi="宋体"/>
          <w:sz w:val="22"/>
          <w:szCs w:val="22"/>
        </w:rPr>
        <w:t>4．承包人应建立相应的应急响应组织，以便能迅速处理突发意外。</w:t>
      </w:r>
    </w:p>
    <w:p>
      <w:pPr>
        <w:spacing w:line="440" w:lineRule="exact"/>
        <w:ind w:firstLine="440" w:firstLineChars="200"/>
        <w:jc w:val="left"/>
        <w:rPr>
          <w:rFonts w:ascii="宋体" w:hAnsi="宋体"/>
          <w:sz w:val="22"/>
          <w:szCs w:val="22"/>
        </w:rPr>
      </w:pPr>
      <w:r>
        <w:rPr>
          <w:rFonts w:hint="eastAsia" w:ascii="宋体" w:hAnsi="宋体"/>
          <w:sz w:val="22"/>
          <w:szCs w:val="22"/>
        </w:rPr>
        <w:t>5．承包人应建立专项应急响应预案，包括重大人身伤亡事故的救护预案、火灾响应预案、“四防”预案（防风、防冻、防雷、防暴雨）、重大疫病防护预案、环境污染防护预案、地质灾害防护预案等。</w:t>
      </w:r>
    </w:p>
    <w:p>
      <w:pPr>
        <w:spacing w:line="440" w:lineRule="exact"/>
        <w:ind w:firstLine="440" w:firstLineChars="200"/>
        <w:jc w:val="left"/>
        <w:rPr>
          <w:rFonts w:ascii="宋体" w:hAnsi="宋体"/>
          <w:sz w:val="22"/>
          <w:szCs w:val="22"/>
        </w:rPr>
      </w:pPr>
      <w:r>
        <w:rPr>
          <w:rFonts w:hint="eastAsia" w:ascii="宋体" w:hAnsi="宋体"/>
          <w:sz w:val="22"/>
          <w:szCs w:val="22"/>
        </w:rPr>
        <w:t>6．承包人应对应急预案进行适当演练，保证应急预案的可操作性。</w:t>
      </w:r>
    </w:p>
    <w:p>
      <w:pPr>
        <w:spacing w:line="440" w:lineRule="exact"/>
        <w:ind w:firstLine="440" w:firstLineChars="200"/>
        <w:jc w:val="left"/>
        <w:rPr>
          <w:rFonts w:ascii="宋体" w:hAnsi="宋体"/>
          <w:sz w:val="22"/>
          <w:szCs w:val="22"/>
        </w:rPr>
      </w:pPr>
      <w:r>
        <w:rPr>
          <w:rFonts w:hint="eastAsia" w:ascii="宋体" w:hAnsi="宋体"/>
          <w:sz w:val="22"/>
          <w:szCs w:val="22"/>
        </w:rPr>
        <w:t>7．在工地的其他施工单位发生重大事故时，承包人应无条件立即配合、支持事故抢险。</w:t>
      </w:r>
    </w:p>
    <w:p>
      <w:pPr>
        <w:spacing w:line="440" w:lineRule="exact"/>
        <w:ind w:firstLine="440" w:firstLineChars="200"/>
        <w:jc w:val="left"/>
        <w:rPr>
          <w:rFonts w:ascii="宋体" w:hAnsi="宋体"/>
          <w:sz w:val="22"/>
          <w:szCs w:val="22"/>
        </w:rPr>
      </w:pPr>
      <w:r>
        <w:rPr>
          <w:rFonts w:hint="eastAsia" w:ascii="宋体" w:hAnsi="宋体"/>
          <w:sz w:val="22"/>
          <w:szCs w:val="22"/>
        </w:rPr>
        <w:t>8．承包人必须为事故处置支付各项费用，包括受伤者的抚恤、补偿等费用，并按合同要求赔偿对发包人造成的损失。</w:t>
      </w:r>
    </w:p>
    <w:p>
      <w:pPr>
        <w:spacing w:line="440" w:lineRule="exact"/>
        <w:ind w:firstLine="440" w:firstLineChars="200"/>
        <w:jc w:val="left"/>
        <w:rPr>
          <w:rFonts w:ascii="宋体" w:hAnsi="宋体"/>
          <w:sz w:val="22"/>
          <w:szCs w:val="22"/>
        </w:rPr>
      </w:pPr>
      <w:r>
        <w:rPr>
          <w:rFonts w:hint="eastAsia" w:ascii="宋体" w:hAnsi="宋体"/>
          <w:sz w:val="22"/>
          <w:szCs w:val="22"/>
        </w:rPr>
        <w:t>9．由于发包人原因而造成的事故，发包人应负责按事故的具体损失情况给予承包人经济赔偿。</w:t>
      </w:r>
    </w:p>
    <w:p>
      <w:pPr>
        <w:spacing w:line="440" w:lineRule="exact"/>
        <w:ind w:firstLine="440" w:firstLineChars="200"/>
        <w:jc w:val="left"/>
        <w:rPr>
          <w:rFonts w:ascii="宋体" w:hAnsi="宋体"/>
          <w:sz w:val="22"/>
          <w:szCs w:val="22"/>
        </w:rPr>
      </w:pPr>
      <w:r>
        <w:rPr>
          <w:rFonts w:hint="eastAsia" w:ascii="宋体" w:hAnsi="宋体"/>
          <w:sz w:val="22"/>
          <w:szCs w:val="22"/>
        </w:rPr>
        <w:t>10．涉及承包人员工的伤害事故，承包人除要报告发包人委托的监理公司外，还应负责按照国家、行业和本单位上级公司的要求，上报事故。</w:t>
      </w:r>
    </w:p>
    <w:p>
      <w:pPr>
        <w:spacing w:line="440" w:lineRule="exact"/>
        <w:ind w:firstLine="440" w:firstLineChars="200"/>
        <w:rPr>
          <w:rFonts w:ascii="宋体" w:hAnsi="宋体"/>
          <w:sz w:val="22"/>
          <w:szCs w:val="22"/>
        </w:rPr>
      </w:pPr>
      <w:bookmarkStart w:id="1692" w:name="_Toc247431441"/>
      <w:bookmarkStart w:id="1693" w:name="_Toc247418281"/>
      <w:bookmarkStart w:id="1694" w:name="_Toc532375716"/>
      <w:bookmarkStart w:id="1695" w:name="_Toc239510307"/>
      <w:r>
        <w:rPr>
          <w:rFonts w:hint="eastAsia" w:ascii="宋体" w:hAnsi="宋体"/>
          <w:sz w:val="22"/>
          <w:szCs w:val="22"/>
        </w:rPr>
        <w:t>十六、安全业绩考核</w:t>
      </w:r>
      <w:bookmarkEnd w:id="1692"/>
      <w:bookmarkEnd w:id="1693"/>
      <w:bookmarkEnd w:id="1694"/>
      <w:bookmarkEnd w:id="1695"/>
    </w:p>
    <w:p>
      <w:pPr>
        <w:spacing w:line="440" w:lineRule="exact"/>
        <w:ind w:firstLine="440" w:firstLineChars="200"/>
        <w:jc w:val="left"/>
        <w:rPr>
          <w:rFonts w:ascii="宋体" w:hAnsi="宋体"/>
          <w:sz w:val="22"/>
          <w:szCs w:val="22"/>
        </w:rPr>
      </w:pPr>
      <w:r>
        <w:rPr>
          <w:rFonts w:hint="eastAsia" w:ascii="宋体" w:hAnsi="宋体"/>
          <w:sz w:val="22"/>
          <w:szCs w:val="22"/>
        </w:rPr>
        <w:t>为了落实安全管理的责任，承包人在施工过程中发生安全事故时，承包人除应按国家有关规定承担责任和处罚外，发包人还将按照以下标准进行考核：</w:t>
      </w:r>
    </w:p>
    <w:tbl>
      <w:tblPr>
        <w:tblStyle w:val="57"/>
        <w:tblW w:w="7005" w:type="dxa"/>
        <w:jc w:val="center"/>
        <w:tblInd w:w="0" w:type="dxa"/>
        <w:tblLayout w:type="fixed"/>
        <w:tblCellMar>
          <w:top w:w="0" w:type="dxa"/>
          <w:left w:w="0" w:type="dxa"/>
          <w:bottom w:w="0" w:type="dxa"/>
          <w:right w:w="0" w:type="dxa"/>
        </w:tblCellMar>
      </w:tblPr>
      <w:tblGrid>
        <w:gridCol w:w="3240"/>
        <w:gridCol w:w="3765"/>
      </w:tblGrid>
      <w:tr>
        <w:tblPrEx>
          <w:tblLayout w:type="fixed"/>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ind w:firstLine="440" w:firstLineChars="200"/>
              <w:jc w:val="left"/>
              <w:rPr>
                <w:rFonts w:ascii="宋体" w:hAnsi="宋体"/>
                <w:sz w:val="22"/>
                <w:szCs w:val="22"/>
              </w:rPr>
            </w:pPr>
            <w:r>
              <w:rPr>
                <w:rFonts w:hint="eastAsia" w:ascii="宋体" w:hAnsi="宋体"/>
                <w:sz w:val="22"/>
                <w:szCs w:val="22"/>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40" w:lineRule="exact"/>
              <w:ind w:firstLine="440" w:firstLineChars="200"/>
              <w:jc w:val="left"/>
              <w:rPr>
                <w:rFonts w:ascii="宋体" w:hAnsi="宋体"/>
                <w:sz w:val="22"/>
                <w:szCs w:val="22"/>
              </w:rPr>
            </w:pPr>
            <w:r>
              <w:rPr>
                <w:rFonts w:hint="eastAsia" w:ascii="宋体" w:hAnsi="宋体"/>
                <w:sz w:val="22"/>
                <w:szCs w:val="22"/>
              </w:rPr>
              <w:t>违约金额</w:t>
            </w:r>
          </w:p>
        </w:tc>
      </w:tr>
      <w:tr>
        <w:tblPrEx>
          <w:tblLayout w:type="fixed"/>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ind w:firstLine="440" w:firstLineChars="200"/>
              <w:jc w:val="left"/>
              <w:rPr>
                <w:rFonts w:ascii="宋体" w:hAnsi="宋体"/>
                <w:sz w:val="22"/>
                <w:szCs w:val="22"/>
              </w:rPr>
            </w:pPr>
            <w:r>
              <w:rPr>
                <w:rFonts w:hint="eastAsia" w:ascii="宋体" w:hAnsi="宋体"/>
                <w:sz w:val="22"/>
                <w:szCs w:val="22"/>
              </w:rPr>
              <w:t>较大事故</w:t>
            </w:r>
          </w:p>
        </w:tc>
        <w:tc>
          <w:tcPr>
            <w:tcW w:w="3765" w:type="dxa"/>
            <w:tcBorders>
              <w:top w:val="single" w:color="auto" w:sz="8" w:space="0"/>
              <w:left w:val="nil"/>
              <w:bottom w:val="single" w:color="auto" w:sz="8" w:space="0"/>
              <w:right w:val="single" w:color="auto" w:sz="8" w:space="0"/>
            </w:tcBorders>
            <w:vAlign w:val="center"/>
          </w:tcPr>
          <w:p>
            <w:pPr>
              <w:spacing w:line="440" w:lineRule="exact"/>
              <w:ind w:firstLine="440" w:firstLineChars="200"/>
              <w:jc w:val="left"/>
              <w:rPr>
                <w:rFonts w:ascii="宋体" w:hAnsi="宋体"/>
                <w:sz w:val="22"/>
                <w:szCs w:val="22"/>
              </w:rPr>
            </w:pPr>
            <w:r>
              <w:rPr>
                <w:rFonts w:hint="eastAsia" w:ascii="宋体" w:hAnsi="宋体"/>
                <w:kern w:val="0"/>
                <w:sz w:val="22"/>
                <w:szCs w:val="22"/>
              </w:rPr>
              <w:t>签约合同价</w:t>
            </w:r>
            <w:r>
              <w:rPr>
                <w:rFonts w:hint="eastAsia" w:ascii="宋体" w:hAnsi="宋体"/>
                <w:sz w:val="22"/>
                <w:szCs w:val="22"/>
              </w:rPr>
              <w:t>的0.5‰</w:t>
            </w:r>
          </w:p>
        </w:tc>
      </w:tr>
      <w:tr>
        <w:tblPrEx>
          <w:tblLayout w:type="fixed"/>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ind w:firstLine="440" w:firstLineChars="200"/>
              <w:jc w:val="left"/>
              <w:rPr>
                <w:rFonts w:ascii="宋体" w:hAnsi="宋体"/>
                <w:sz w:val="22"/>
                <w:szCs w:val="22"/>
              </w:rPr>
            </w:pPr>
            <w:r>
              <w:rPr>
                <w:rFonts w:hint="eastAsia" w:ascii="宋体" w:hAnsi="宋体"/>
                <w:sz w:val="22"/>
                <w:szCs w:val="22"/>
              </w:rPr>
              <w:t>重大事故</w:t>
            </w:r>
          </w:p>
        </w:tc>
        <w:tc>
          <w:tcPr>
            <w:tcW w:w="3765" w:type="dxa"/>
            <w:tcBorders>
              <w:top w:val="single" w:color="auto" w:sz="8" w:space="0"/>
              <w:left w:val="nil"/>
              <w:bottom w:val="single" w:color="auto" w:sz="8" w:space="0"/>
              <w:right w:val="single" w:color="auto" w:sz="8" w:space="0"/>
            </w:tcBorders>
            <w:vAlign w:val="center"/>
          </w:tcPr>
          <w:p>
            <w:pPr>
              <w:spacing w:line="440" w:lineRule="exact"/>
              <w:ind w:firstLine="440" w:firstLineChars="200"/>
              <w:jc w:val="left"/>
              <w:rPr>
                <w:rFonts w:ascii="宋体" w:hAnsi="宋体"/>
                <w:sz w:val="22"/>
                <w:szCs w:val="22"/>
              </w:rPr>
            </w:pPr>
            <w:r>
              <w:rPr>
                <w:rFonts w:hint="eastAsia" w:ascii="宋体" w:hAnsi="宋体"/>
                <w:sz w:val="22"/>
                <w:szCs w:val="22"/>
              </w:rPr>
              <w:t>签约合同价的2‰</w:t>
            </w:r>
          </w:p>
        </w:tc>
      </w:tr>
      <w:tr>
        <w:tblPrEx>
          <w:tblLayout w:type="fixed"/>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ind w:firstLine="440" w:firstLineChars="200"/>
              <w:jc w:val="left"/>
              <w:rPr>
                <w:rFonts w:ascii="宋体" w:hAnsi="宋体"/>
                <w:sz w:val="22"/>
                <w:szCs w:val="22"/>
              </w:rPr>
            </w:pPr>
            <w:r>
              <w:rPr>
                <w:rFonts w:hint="eastAsia" w:ascii="宋体" w:hAnsi="宋体"/>
                <w:sz w:val="22"/>
                <w:szCs w:val="22"/>
              </w:rPr>
              <w:t>特别重大事故</w:t>
            </w:r>
          </w:p>
        </w:tc>
        <w:tc>
          <w:tcPr>
            <w:tcW w:w="3765" w:type="dxa"/>
            <w:tcBorders>
              <w:top w:val="single" w:color="auto" w:sz="8" w:space="0"/>
              <w:left w:val="nil"/>
              <w:bottom w:val="single" w:color="auto" w:sz="8" w:space="0"/>
              <w:right w:val="single" w:color="auto" w:sz="8" w:space="0"/>
            </w:tcBorders>
            <w:vAlign w:val="center"/>
          </w:tcPr>
          <w:p>
            <w:pPr>
              <w:spacing w:line="440" w:lineRule="exact"/>
              <w:ind w:firstLine="440" w:firstLineChars="200"/>
              <w:jc w:val="left"/>
              <w:rPr>
                <w:rFonts w:ascii="宋体" w:hAnsi="宋体"/>
                <w:sz w:val="22"/>
                <w:szCs w:val="22"/>
              </w:rPr>
            </w:pPr>
            <w:r>
              <w:rPr>
                <w:rFonts w:hint="eastAsia" w:ascii="宋体" w:hAnsi="宋体"/>
                <w:sz w:val="22"/>
                <w:szCs w:val="22"/>
              </w:rPr>
              <w:t>签约合同价的4‰</w:t>
            </w:r>
          </w:p>
        </w:tc>
      </w:tr>
    </w:tbl>
    <w:p>
      <w:pPr>
        <w:spacing w:line="440" w:lineRule="exact"/>
        <w:ind w:firstLine="440" w:firstLineChars="200"/>
        <w:jc w:val="left"/>
        <w:rPr>
          <w:rFonts w:ascii="宋体" w:hAnsi="宋体"/>
          <w:sz w:val="22"/>
          <w:szCs w:val="22"/>
        </w:rPr>
      </w:pPr>
      <w:r>
        <w:rPr>
          <w:rFonts w:hint="eastAsia" w:ascii="宋体" w:hAnsi="宋体"/>
          <w:sz w:val="22"/>
          <w:szCs w:val="22"/>
        </w:rPr>
        <w:t>（1）较大事故，是指造成3人以上10人以下死亡，或者10人以上50人以下重伤，或者1000万元以上5000万元以下直接经济损失的事故；</w:t>
      </w:r>
    </w:p>
    <w:p>
      <w:pPr>
        <w:spacing w:line="440" w:lineRule="exact"/>
        <w:ind w:firstLine="440" w:firstLineChars="200"/>
        <w:jc w:val="left"/>
        <w:rPr>
          <w:rFonts w:ascii="宋体" w:hAnsi="宋体"/>
          <w:sz w:val="22"/>
          <w:szCs w:val="22"/>
        </w:rPr>
      </w:pPr>
      <w:r>
        <w:rPr>
          <w:rFonts w:hint="eastAsia" w:ascii="宋体" w:hAnsi="宋体"/>
          <w:sz w:val="22"/>
          <w:szCs w:val="22"/>
        </w:rPr>
        <w:t>（2）重大事故，是指造成10人以上30人以下死亡，或者50人以上100人以下重伤，或者5000万元以上1亿元以下直接经济损失的事故；</w:t>
      </w:r>
    </w:p>
    <w:p>
      <w:pPr>
        <w:spacing w:line="440" w:lineRule="exact"/>
        <w:ind w:firstLine="440" w:firstLineChars="200"/>
        <w:jc w:val="left"/>
        <w:rPr>
          <w:rFonts w:ascii="宋体" w:hAnsi="宋体"/>
          <w:sz w:val="22"/>
          <w:szCs w:val="22"/>
        </w:rPr>
      </w:pPr>
      <w:r>
        <w:rPr>
          <w:rFonts w:hint="eastAsia" w:ascii="宋体" w:hAnsi="宋体"/>
          <w:sz w:val="22"/>
          <w:szCs w:val="22"/>
        </w:rPr>
        <w:t>（3）特别重大事故，是指造成30人以上死亡，或者100人以上重伤（包括急性工业中毒，下同），或者1亿元以上直接经济损失的事故；</w:t>
      </w:r>
    </w:p>
    <w:p>
      <w:pPr>
        <w:spacing w:line="440" w:lineRule="exact"/>
        <w:ind w:firstLine="440" w:firstLineChars="200"/>
        <w:jc w:val="left"/>
        <w:rPr>
          <w:rFonts w:ascii="宋体" w:hAnsi="宋体"/>
          <w:sz w:val="22"/>
          <w:szCs w:val="22"/>
        </w:rPr>
      </w:pPr>
      <w:r>
        <w:rPr>
          <w:rFonts w:hint="eastAsia" w:ascii="宋体" w:hAnsi="宋体"/>
          <w:sz w:val="22"/>
          <w:szCs w:val="22"/>
        </w:rPr>
        <w:t>（4）所称的“以上”包括本数，所称的“以下”不包括本数。</w:t>
      </w:r>
    </w:p>
    <w:p>
      <w:pPr>
        <w:spacing w:line="440" w:lineRule="exact"/>
        <w:ind w:firstLine="440" w:firstLineChars="200"/>
        <w:jc w:val="left"/>
        <w:rPr>
          <w:rFonts w:ascii="宋体" w:hAnsi="宋体"/>
          <w:sz w:val="22"/>
          <w:szCs w:val="22"/>
        </w:rPr>
      </w:pPr>
      <w:r>
        <w:rPr>
          <w:rFonts w:hint="eastAsia" w:ascii="宋体" w:hAnsi="宋体"/>
          <w:sz w:val="22"/>
          <w:szCs w:val="22"/>
        </w:rPr>
        <w:t>（5）如整个施工过程未发生以上安全事故，则给予承包人建安费总额的1‰的安全奖励。</w:t>
      </w:r>
    </w:p>
    <w:p>
      <w:pPr>
        <w:spacing w:line="440" w:lineRule="exact"/>
        <w:ind w:firstLine="440" w:firstLineChars="200"/>
        <w:jc w:val="left"/>
        <w:rPr>
          <w:rFonts w:ascii="宋体" w:hAnsi="宋体"/>
          <w:sz w:val="22"/>
          <w:szCs w:val="22"/>
        </w:rPr>
      </w:pPr>
      <w:r>
        <w:rPr>
          <w:rFonts w:hint="eastAsia" w:ascii="宋体" w:hAnsi="宋体"/>
          <w:sz w:val="22"/>
          <w:szCs w:val="22"/>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440" w:lineRule="exact"/>
        <w:ind w:firstLine="440" w:firstLineChars="200"/>
        <w:rPr>
          <w:rFonts w:ascii="宋体" w:hAnsi="宋体"/>
          <w:sz w:val="22"/>
          <w:szCs w:val="22"/>
        </w:rPr>
      </w:pPr>
      <w:bookmarkStart w:id="1696" w:name="_Toc247418282"/>
      <w:bookmarkStart w:id="1697" w:name="_Toc247431442"/>
      <w:bookmarkStart w:id="1698" w:name="_Toc532375717"/>
      <w:bookmarkStart w:id="1699" w:name="_Toc239510308"/>
      <w:r>
        <w:rPr>
          <w:rFonts w:hint="eastAsia" w:ascii="宋体" w:hAnsi="宋体"/>
          <w:sz w:val="22"/>
          <w:szCs w:val="22"/>
        </w:rPr>
        <w:t>十七、协议条款的修订</w:t>
      </w:r>
      <w:bookmarkEnd w:id="1696"/>
      <w:bookmarkEnd w:id="1697"/>
      <w:bookmarkEnd w:id="1698"/>
      <w:bookmarkEnd w:id="1699"/>
    </w:p>
    <w:p>
      <w:pPr>
        <w:spacing w:line="440" w:lineRule="exact"/>
        <w:ind w:firstLine="440" w:firstLineChars="200"/>
        <w:jc w:val="left"/>
        <w:rPr>
          <w:rFonts w:ascii="宋体" w:hAnsi="宋体"/>
          <w:sz w:val="22"/>
          <w:szCs w:val="22"/>
        </w:rPr>
      </w:pPr>
      <w:r>
        <w:rPr>
          <w:rFonts w:hint="eastAsia" w:ascii="宋体" w:hAnsi="宋体"/>
          <w:sz w:val="22"/>
          <w:szCs w:val="22"/>
        </w:rPr>
        <w:t>在项目实施过程中，经双方友好协商，本协议的有关条款也可做出相应的修改。</w:t>
      </w:r>
    </w:p>
    <w:p>
      <w:pPr>
        <w:spacing w:line="440" w:lineRule="exact"/>
        <w:ind w:firstLine="440" w:firstLineChars="200"/>
        <w:jc w:val="left"/>
        <w:rPr>
          <w:rFonts w:ascii="宋体" w:hAnsi="宋体"/>
          <w:sz w:val="22"/>
          <w:szCs w:val="22"/>
        </w:rPr>
      </w:pPr>
      <w:r>
        <w:rPr>
          <w:rFonts w:hint="eastAsia" w:ascii="宋体" w:hAnsi="宋体"/>
          <w:sz w:val="22"/>
          <w:szCs w:val="22"/>
        </w:rPr>
        <w:t>本工程安全管理协议，由发包人、承包人双方在施工承包合同签订后7天内共同签署，作为施工合同附件。</w:t>
      </w:r>
    </w:p>
    <w:p>
      <w:pPr>
        <w:spacing w:line="440" w:lineRule="exact"/>
        <w:ind w:firstLine="440" w:firstLineChars="200"/>
        <w:jc w:val="left"/>
        <w:rPr>
          <w:rFonts w:ascii="宋体" w:hAnsi="宋体"/>
          <w:sz w:val="22"/>
          <w:szCs w:val="22"/>
        </w:rPr>
      </w:pPr>
    </w:p>
    <w:p>
      <w:pPr>
        <w:spacing w:line="440" w:lineRule="exact"/>
        <w:ind w:firstLine="440" w:firstLineChars="200"/>
        <w:jc w:val="left"/>
        <w:rPr>
          <w:rFonts w:ascii="宋体" w:hAnsi="宋体"/>
          <w:sz w:val="22"/>
          <w:szCs w:val="22"/>
        </w:rPr>
      </w:pPr>
      <w:r>
        <w:rPr>
          <w:rFonts w:hint="eastAsia" w:ascii="宋体" w:hAnsi="宋体"/>
          <w:sz w:val="22"/>
          <w:szCs w:val="22"/>
        </w:rPr>
        <w:t>发  包  人（公章）：</w:t>
      </w:r>
      <w:r>
        <w:rPr>
          <w:rFonts w:hint="eastAsia" w:ascii="宋体" w:hAnsi="宋体" w:cs="宋体"/>
          <w:sz w:val="22"/>
          <w:szCs w:val="22"/>
          <w:u w:val="single"/>
        </w:rPr>
        <w:t xml:space="preserve">                     </w:t>
      </w:r>
    </w:p>
    <w:p>
      <w:pPr>
        <w:spacing w:line="440" w:lineRule="exact"/>
        <w:ind w:firstLine="440" w:firstLineChars="200"/>
        <w:jc w:val="left"/>
        <w:rPr>
          <w:rFonts w:ascii="宋体" w:hAnsi="宋体"/>
          <w:sz w:val="22"/>
          <w:szCs w:val="22"/>
        </w:rPr>
      </w:pPr>
      <w:r>
        <w:rPr>
          <w:rFonts w:hint="eastAsia" w:ascii="宋体" w:hAnsi="宋体"/>
          <w:sz w:val="22"/>
          <w:szCs w:val="22"/>
        </w:rPr>
        <w:t>法定代表人或其委托代理人（签字或盖章）：</w:t>
      </w:r>
      <w:r>
        <w:rPr>
          <w:rFonts w:hint="eastAsia" w:ascii="宋体" w:hAnsi="宋体" w:cs="宋体"/>
          <w:sz w:val="22"/>
          <w:szCs w:val="22"/>
          <w:u w:val="single"/>
        </w:rPr>
        <w:t xml:space="preserve">                       </w:t>
      </w:r>
      <w:r>
        <w:rPr>
          <w:rFonts w:hint="eastAsia" w:ascii="宋体" w:hAnsi="宋体"/>
          <w:sz w:val="22"/>
          <w:szCs w:val="22"/>
        </w:rPr>
        <w:t xml:space="preserve">  </w:t>
      </w:r>
    </w:p>
    <w:p>
      <w:pPr>
        <w:spacing w:line="440" w:lineRule="exact"/>
        <w:ind w:firstLine="440" w:firstLineChars="200"/>
        <w:jc w:val="left"/>
        <w:rPr>
          <w:rFonts w:ascii="宋体" w:hAnsi="宋体"/>
          <w:sz w:val="22"/>
          <w:szCs w:val="22"/>
        </w:rPr>
      </w:pPr>
    </w:p>
    <w:p>
      <w:pPr>
        <w:pStyle w:val="2"/>
      </w:pPr>
    </w:p>
    <w:p>
      <w:pPr>
        <w:spacing w:line="440" w:lineRule="exact"/>
        <w:ind w:firstLine="440" w:firstLineChars="200"/>
        <w:jc w:val="left"/>
        <w:rPr>
          <w:rFonts w:ascii="宋体" w:hAnsi="宋体"/>
          <w:kern w:val="0"/>
          <w:sz w:val="22"/>
          <w:szCs w:val="22"/>
        </w:rPr>
      </w:pPr>
      <w:r>
        <w:rPr>
          <w:rFonts w:hint="eastAsia" w:ascii="宋体" w:hAnsi="宋体"/>
          <w:sz w:val="22"/>
          <w:szCs w:val="22"/>
        </w:rPr>
        <w:t>承  包  人（公章）：</w:t>
      </w:r>
      <w:r>
        <w:rPr>
          <w:rFonts w:hint="eastAsia" w:ascii="宋体" w:hAnsi="宋体" w:cs="宋体"/>
          <w:sz w:val="22"/>
          <w:szCs w:val="22"/>
          <w:u w:val="single"/>
        </w:rPr>
        <w:t xml:space="preserve">                         </w:t>
      </w:r>
    </w:p>
    <w:p>
      <w:pPr>
        <w:spacing w:line="440" w:lineRule="exact"/>
        <w:ind w:firstLine="440" w:firstLineChars="200"/>
        <w:jc w:val="left"/>
        <w:rPr>
          <w:rFonts w:ascii="宋体" w:hAnsi="宋体"/>
          <w:sz w:val="22"/>
          <w:szCs w:val="22"/>
        </w:rPr>
      </w:pPr>
      <w:r>
        <w:rPr>
          <w:rFonts w:hint="eastAsia" w:ascii="宋体" w:hAnsi="宋体"/>
          <w:sz w:val="22"/>
          <w:szCs w:val="22"/>
        </w:rPr>
        <w:t>法定代表人或其委托代理人（签字或盖章）：</w:t>
      </w:r>
      <w:r>
        <w:rPr>
          <w:rFonts w:hint="eastAsia" w:ascii="宋体" w:hAnsi="宋体" w:cs="宋体"/>
          <w:sz w:val="22"/>
          <w:szCs w:val="22"/>
          <w:u w:val="single"/>
        </w:rPr>
        <w:t xml:space="preserve">                       </w:t>
      </w:r>
      <w:r>
        <w:rPr>
          <w:rFonts w:hint="eastAsia" w:ascii="宋体" w:hAnsi="宋体"/>
          <w:sz w:val="22"/>
          <w:szCs w:val="22"/>
        </w:rPr>
        <w:t xml:space="preserve">  </w:t>
      </w:r>
    </w:p>
    <w:p>
      <w:pPr>
        <w:spacing w:line="440" w:lineRule="exact"/>
        <w:ind w:firstLine="440" w:firstLineChars="200"/>
        <w:jc w:val="left"/>
        <w:rPr>
          <w:rFonts w:ascii="宋体" w:hAnsi="宋体" w:cs="宋体"/>
          <w:sz w:val="22"/>
          <w:szCs w:val="22"/>
          <w:u w:val="single"/>
        </w:rPr>
        <w:sectPr>
          <w:pgSz w:w="11906" w:h="16838"/>
          <w:pgMar w:top="993" w:right="1133" w:bottom="1135" w:left="1134" w:header="993" w:footer="873" w:gutter="0"/>
          <w:pgNumType w:fmt="decimal"/>
          <w:cols w:space="720" w:num="1"/>
          <w:docGrid w:linePitch="312" w:charSpace="0"/>
        </w:sectPr>
      </w:pPr>
    </w:p>
    <w:p>
      <w:pPr>
        <w:pStyle w:val="5"/>
        <w:spacing w:before="48" w:after="48"/>
        <w:rPr>
          <w:rFonts w:asciiTheme="majorEastAsia" w:hAnsiTheme="majorEastAsia" w:eastAsiaTheme="majorEastAsia"/>
        </w:rPr>
      </w:pPr>
      <w:bookmarkStart w:id="1700" w:name="_Toc10540"/>
      <w:r>
        <w:rPr>
          <w:rFonts w:hint="eastAsia" w:asciiTheme="majorEastAsia" w:hAnsiTheme="majorEastAsia" w:eastAsiaTheme="majorEastAsia"/>
        </w:rPr>
        <w:t>附件四：</w:t>
      </w:r>
      <w:bookmarkEnd w:id="1700"/>
      <w:r>
        <w:rPr>
          <w:rFonts w:asciiTheme="majorEastAsia" w:hAnsiTheme="majorEastAsia" w:eastAsiaTheme="majorEastAsia"/>
        </w:rPr>
        <w:t xml:space="preserve"> </w:t>
      </w:r>
    </w:p>
    <w:p>
      <w:pPr>
        <w:spacing w:before="120" w:beforeLines="50" w:after="120" w:afterLines="50" w:line="440" w:lineRule="exact"/>
        <w:jc w:val="center"/>
        <w:rPr>
          <w:rFonts w:ascii="宋体" w:hAnsi="宋体"/>
          <w:b/>
          <w:sz w:val="28"/>
          <w:szCs w:val="22"/>
        </w:rPr>
      </w:pPr>
      <w:r>
        <w:rPr>
          <w:rFonts w:hint="eastAsia" w:ascii="宋体" w:hAnsi="宋体"/>
          <w:b/>
          <w:sz w:val="28"/>
          <w:szCs w:val="22"/>
        </w:rPr>
        <w:t>保障农民工工资支付协议</w:t>
      </w:r>
    </w:p>
    <w:p>
      <w:pPr>
        <w:snapToGrid w:val="0"/>
        <w:spacing w:line="440" w:lineRule="exact"/>
        <w:rPr>
          <w:rFonts w:ascii="宋体" w:hAnsi="宋体"/>
          <w:sz w:val="22"/>
          <w:szCs w:val="22"/>
        </w:rPr>
      </w:pPr>
      <w:r>
        <w:rPr>
          <w:rFonts w:hint="eastAsia" w:ascii="宋体" w:hAnsi="宋体"/>
          <w:sz w:val="22"/>
          <w:szCs w:val="22"/>
        </w:rPr>
        <w:t xml:space="preserve"> 发包人：</w:t>
      </w:r>
      <w:r>
        <w:rPr>
          <w:rFonts w:hint="eastAsia" w:ascii="宋体" w:hAnsi="宋体" w:cs="宋体"/>
          <w:sz w:val="22"/>
          <w:szCs w:val="22"/>
          <w:u w:val="single"/>
        </w:rPr>
        <w:t xml:space="preserve">                    </w:t>
      </w:r>
      <w:r>
        <w:rPr>
          <w:rFonts w:hint="eastAsia" w:ascii="宋体" w:hAnsi="宋体"/>
          <w:sz w:val="22"/>
          <w:szCs w:val="22"/>
        </w:rPr>
        <w:t>（发包人）</w:t>
      </w:r>
    </w:p>
    <w:p>
      <w:pPr>
        <w:snapToGrid w:val="0"/>
        <w:spacing w:line="440" w:lineRule="exact"/>
        <w:rPr>
          <w:rFonts w:ascii="宋体" w:hAnsi="宋体"/>
          <w:sz w:val="22"/>
          <w:szCs w:val="22"/>
        </w:rPr>
      </w:pPr>
      <w:r>
        <w:rPr>
          <w:rFonts w:hint="eastAsia" w:ascii="宋体" w:hAnsi="宋体"/>
          <w:sz w:val="22"/>
          <w:szCs w:val="22"/>
        </w:rPr>
        <w:t xml:space="preserve"> 承包人：</w:t>
      </w:r>
      <w:r>
        <w:rPr>
          <w:rFonts w:hint="eastAsia" w:ascii="宋体" w:hAnsi="宋体" w:cs="宋体"/>
          <w:sz w:val="22"/>
          <w:szCs w:val="22"/>
          <w:u w:val="single"/>
        </w:rPr>
        <w:t xml:space="preserve">                     </w:t>
      </w:r>
      <w:r>
        <w:rPr>
          <w:rFonts w:hint="eastAsia" w:ascii="宋体" w:hAnsi="宋体"/>
          <w:sz w:val="22"/>
          <w:szCs w:val="22"/>
        </w:rPr>
        <w:t>（承包人）</w:t>
      </w:r>
    </w:p>
    <w:p>
      <w:pPr>
        <w:spacing w:line="440" w:lineRule="exact"/>
        <w:ind w:firstLine="440" w:firstLineChars="200"/>
        <w:rPr>
          <w:rFonts w:ascii="宋体" w:hAnsi="宋体"/>
          <w:sz w:val="22"/>
          <w:szCs w:val="22"/>
        </w:rPr>
      </w:pPr>
      <w:r>
        <w:rPr>
          <w:rFonts w:hint="eastAsia" w:ascii="宋体" w:hAnsi="宋体"/>
          <w:sz w:val="22"/>
          <w:szCs w:val="22"/>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440" w:lineRule="exact"/>
        <w:ind w:firstLine="440" w:firstLineChars="200"/>
        <w:rPr>
          <w:rFonts w:ascii="宋体" w:hAnsi="宋体"/>
          <w:sz w:val="22"/>
          <w:szCs w:val="22"/>
        </w:rPr>
      </w:pPr>
      <w:r>
        <w:rPr>
          <w:rFonts w:hint="eastAsia" w:ascii="宋体" w:hAnsi="宋体"/>
          <w:sz w:val="22"/>
          <w:szCs w:val="22"/>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440" w:lineRule="exact"/>
        <w:ind w:firstLine="440" w:firstLineChars="200"/>
        <w:rPr>
          <w:rFonts w:ascii="宋体" w:hAnsi="宋体"/>
          <w:sz w:val="22"/>
          <w:szCs w:val="22"/>
        </w:rPr>
      </w:pPr>
      <w:r>
        <w:rPr>
          <w:rFonts w:hint="eastAsia" w:ascii="宋体" w:hAnsi="宋体"/>
          <w:sz w:val="22"/>
          <w:szCs w:val="22"/>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440" w:lineRule="exact"/>
        <w:ind w:firstLine="440" w:firstLineChars="200"/>
        <w:rPr>
          <w:rFonts w:ascii="宋体" w:hAnsi="宋体"/>
          <w:sz w:val="22"/>
          <w:szCs w:val="22"/>
        </w:rPr>
      </w:pPr>
      <w:r>
        <w:rPr>
          <w:rFonts w:hint="eastAsia" w:ascii="宋体" w:hAnsi="宋体"/>
          <w:sz w:val="22"/>
          <w:szCs w:val="22"/>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440" w:lineRule="exact"/>
        <w:ind w:firstLine="440" w:firstLineChars="200"/>
        <w:rPr>
          <w:rFonts w:ascii="宋体" w:hAnsi="宋体"/>
          <w:sz w:val="22"/>
          <w:szCs w:val="22"/>
        </w:rPr>
      </w:pPr>
      <w:r>
        <w:rPr>
          <w:rFonts w:hint="eastAsia" w:ascii="宋体" w:hAnsi="宋体"/>
          <w:sz w:val="22"/>
          <w:szCs w:val="22"/>
        </w:rPr>
        <w:t>四、若发现承包人有下列事项的，发包人在支付当期进度款时暂扣当期应支付进度款5%比例的款项。</w:t>
      </w:r>
      <w:r>
        <w:rPr>
          <w:rFonts w:hint="eastAsia" w:ascii="宋体" w:hAnsi="宋体"/>
          <w:sz w:val="22"/>
          <w:szCs w:val="22"/>
        </w:rPr>
        <w:br w:type="textWrapping"/>
      </w:r>
      <w:r>
        <w:rPr>
          <w:rFonts w:hint="eastAsia" w:ascii="宋体" w:hAnsi="宋体"/>
          <w:sz w:val="22"/>
          <w:szCs w:val="22"/>
        </w:rPr>
        <w:t xml:space="preserve">    （一）现场检查发现项目存在拖欠农民工工资情况并经核查属实的；</w:t>
      </w:r>
    </w:p>
    <w:p>
      <w:pPr>
        <w:spacing w:line="440" w:lineRule="exact"/>
        <w:ind w:firstLine="440" w:firstLineChars="200"/>
        <w:rPr>
          <w:rFonts w:ascii="宋体" w:hAnsi="宋体"/>
          <w:sz w:val="22"/>
          <w:szCs w:val="22"/>
        </w:rPr>
      </w:pPr>
      <w:r>
        <w:rPr>
          <w:rFonts w:hint="eastAsia" w:ascii="宋体" w:hAnsi="宋体"/>
          <w:sz w:val="22"/>
          <w:szCs w:val="22"/>
        </w:rPr>
        <w:t>（二）相关行政管理部门检查发现存在拖欠农民工工资情况并经核查属实的；</w:t>
      </w:r>
      <w:r>
        <w:rPr>
          <w:rFonts w:hint="eastAsia" w:ascii="宋体" w:hAnsi="宋体"/>
          <w:sz w:val="22"/>
          <w:szCs w:val="22"/>
        </w:rPr>
        <w:br w:type="textWrapping"/>
      </w:r>
      <w:r>
        <w:rPr>
          <w:rFonts w:hint="eastAsia" w:ascii="宋体" w:hAnsi="宋体"/>
          <w:sz w:val="22"/>
          <w:szCs w:val="22"/>
        </w:rPr>
        <w:t xml:space="preserve">    （三）有拖欠农民工工资投诉事项并经核查属实的。</w:t>
      </w:r>
      <w:r>
        <w:rPr>
          <w:rFonts w:hint="eastAsia" w:ascii="宋体" w:hAnsi="宋体"/>
          <w:sz w:val="22"/>
          <w:szCs w:val="22"/>
        </w:rPr>
        <w:br w:type="textWrapping"/>
      </w:r>
      <w:r>
        <w:rPr>
          <w:rFonts w:hint="eastAsia" w:ascii="宋体" w:hAnsi="宋体"/>
          <w:sz w:val="22"/>
          <w:szCs w:val="22"/>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440" w:lineRule="exact"/>
        <w:ind w:firstLine="440" w:firstLineChars="200"/>
        <w:rPr>
          <w:rFonts w:ascii="宋体" w:hAnsi="宋体"/>
          <w:snapToGrid w:val="0"/>
          <w:spacing w:val="-4"/>
          <w:kern w:val="0"/>
          <w:sz w:val="22"/>
          <w:szCs w:val="22"/>
        </w:rPr>
      </w:pPr>
      <w:r>
        <w:rPr>
          <w:rFonts w:hint="eastAsia" w:ascii="宋体" w:hAnsi="宋体"/>
          <w:sz w:val="22"/>
          <w:szCs w:val="22"/>
        </w:rPr>
        <w:t>六、本协议经双方法定代表人或委托代理人签字并加盖公章后生效，履行完毕后自然失效。</w:t>
      </w:r>
    </w:p>
    <w:p>
      <w:pPr>
        <w:spacing w:line="440" w:lineRule="exact"/>
        <w:ind w:firstLine="440" w:firstLineChars="200"/>
        <w:rPr>
          <w:rFonts w:ascii="宋体" w:hAnsi="宋体"/>
          <w:sz w:val="22"/>
          <w:szCs w:val="22"/>
        </w:rPr>
      </w:pPr>
      <w:r>
        <w:rPr>
          <w:rFonts w:hint="eastAsia" w:ascii="宋体" w:hAnsi="宋体"/>
          <w:sz w:val="22"/>
          <w:szCs w:val="22"/>
        </w:rPr>
        <w:t>附件：</w:t>
      </w:r>
    </w:p>
    <w:p>
      <w:pPr>
        <w:spacing w:line="440" w:lineRule="exact"/>
        <w:ind w:firstLine="440" w:firstLineChars="200"/>
        <w:rPr>
          <w:rFonts w:ascii="宋体" w:hAnsi="宋体"/>
          <w:sz w:val="22"/>
          <w:szCs w:val="22"/>
        </w:rPr>
      </w:pPr>
      <w:r>
        <w:rPr>
          <w:rFonts w:hint="eastAsia" w:ascii="宋体" w:hAnsi="宋体"/>
          <w:sz w:val="22"/>
          <w:szCs w:val="22"/>
        </w:rPr>
        <w:t>1、关于农民工工资发放情况的说明表</w:t>
      </w:r>
    </w:p>
    <w:p>
      <w:pPr>
        <w:pStyle w:val="2"/>
        <w:spacing w:line="440" w:lineRule="exact"/>
        <w:ind w:firstLine="440" w:firstLineChars="200"/>
        <w:rPr>
          <w:rFonts w:ascii="宋体" w:hAnsi="宋体"/>
          <w:sz w:val="22"/>
          <w:szCs w:val="22"/>
        </w:rPr>
      </w:pPr>
    </w:p>
    <w:p>
      <w:pPr>
        <w:pStyle w:val="2"/>
        <w:spacing w:line="440" w:lineRule="exact"/>
        <w:ind w:firstLine="440" w:firstLineChars="200"/>
        <w:rPr>
          <w:rFonts w:ascii="宋体" w:hAnsi="宋体"/>
          <w:sz w:val="22"/>
          <w:szCs w:val="22"/>
        </w:rPr>
      </w:pPr>
    </w:p>
    <w:p>
      <w:pPr>
        <w:pStyle w:val="2"/>
        <w:spacing w:line="440" w:lineRule="exact"/>
        <w:ind w:firstLine="440" w:firstLineChars="200"/>
        <w:rPr>
          <w:rFonts w:ascii="宋体" w:hAnsi="宋体"/>
          <w:sz w:val="22"/>
          <w:szCs w:val="22"/>
        </w:rPr>
      </w:pPr>
    </w:p>
    <w:p>
      <w:pPr>
        <w:spacing w:line="440" w:lineRule="exact"/>
        <w:ind w:firstLine="440" w:firstLineChars="200"/>
        <w:rPr>
          <w:rFonts w:ascii="宋体" w:hAnsi="宋体"/>
          <w:sz w:val="22"/>
          <w:szCs w:val="22"/>
        </w:rPr>
      </w:pPr>
    </w:p>
    <w:p>
      <w:pPr>
        <w:spacing w:line="440" w:lineRule="exact"/>
        <w:ind w:firstLine="440" w:firstLineChars="200"/>
        <w:rPr>
          <w:rFonts w:ascii="宋体" w:hAnsi="宋体"/>
          <w:sz w:val="22"/>
          <w:szCs w:val="22"/>
        </w:rPr>
      </w:pPr>
    </w:p>
    <w:p>
      <w:pPr>
        <w:pStyle w:val="2"/>
        <w:spacing w:line="440" w:lineRule="exact"/>
        <w:rPr>
          <w:rFonts w:ascii="宋体" w:hAnsi="宋体"/>
          <w:sz w:val="22"/>
          <w:szCs w:val="22"/>
        </w:rPr>
      </w:pPr>
    </w:p>
    <w:p>
      <w:pPr>
        <w:spacing w:line="440" w:lineRule="exact"/>
        <w:rPr>
          <w:rFonts w:ascii="宋体" w:hAnsi="宋体"/>
          <w:sz w:val="22"/>
          <w:szCs w:val="22"/>
        </w:rPr>
      </w:pPr>
      <w:r>
        <w:rPr>
          <w:rFonts w:hint="eastAsia" w:ascii="宋体" w:hAnsi="宋体"/>
          <w:sz w:val="22"/>
          <w:szCs w:val="22"/>
        </w:rPr>
        <w:t>发包人：</w:t>
      </w:r>
      <w:r>
        <w:rPr>
          <w:rFonts w:hint="eastAsia" w:ascii="宋体" w:hAnsi="宋体" w:cs="宋体"/>
          <w:sz w:val="22"/>
          <w:szCs w:val="22"/>
          <w:u w:val="single"/>
        </w:rPr>
        <w:t xml:space="preserve">                        </w:t>
      </w:r>
      <w:r>
        <w:rPr>
          <w:rFonts w:hint="eastAsia" w:ascii="宋体" w:hAnsi="宋体"/>
          <w:sz w:val="22"/>
          <w:szCs w:val="22"/>
        </w:rPr>
        <w:t>（盖章）</w:t>
      </w:r>
    </w:p>
    <w:p>
      <w:pPr>
        <w:spacing w:line="440" w:lineRule="exact"/>
        <w:rPr>
          <w:rFonts w:ascii="宋体" w:hAnsi="宋体"/>
          <w:sz w:val="22"/>
          <w:szCs w:val="22"/>
        </w:rPr>
      </w:pPr>
      <w:r>
        <w:rPr>
          <w:rFonts w:hint="eastAsia" w:ascii="宋体" w:hAnsi="宋体"/>
          <w:sz w:val="22"/>
          <w:szCs w:val="22"/>
        </w:rPr>
        <w:t>法定代表人或委托代理人（签字或盖章）：</w:t>
      </w:r>
      <w:r>
        <w:rPr>
          <w:rFonts w:hint="eastAsia" w:ascii="宋体" w:hAnsi="宋体" w:cs="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经办人（签字）：</w:t>
      </w:r>
      <w:r>
        <w:rPr>
          <w:rFonts w:hint="eastAsia" w:ascii="宋体" w:hAnsi="宋体" w:cs="宋体"/>
          <w:sz w:val="22"/>
          <w:szCs w:val="22"/>
          <w:u w:val="single"/>
        </w:rPr>
        <w:t xml:space="preserve">             </w:t>
      </w: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r>
        <w:rPr>
          <w:rFonts w:hint="eastAsia" w:ascii="宋体" w:hAnsi="宋体"/>
          <w:sz w:val="22"/>
          <w:szCs w:val="22"/>
        </w:rPr>
        <w:t>承包人：</w:t>
      </w:r>
      <w:r>
        <w:rPr>
          <w:rFonts w:hint="eastAsia" w:ascii="宋体" w:hAnsi="宋体" w:cs="宋体"/>
          <w:sz w:val="22"/>
          <w:szCs w:val="22"/>
          <w:u w:val="single"/>
        </w:rPr>
        <w:t xml:space="preserve">                         </w:t>
      </w:r>
      <w:r>
        <w:rPr>
          <w:rFonts w:hint="eastAsia" w:ascii="宋体" w:hAnsi="宋体"/>
          <w:sz w:val="22"/>
          <w:szCs w:val="22"/>
        </w:rPr>
        <w:t>（盖章）</w:t>
      </w:r>
    </w:p>
    <w:p>
      <w:pPr>
        <w:spacing w:line="440" w:lineRule="exact"/>
        <w:rPr>
          <w:rFonts w:ascii="宋体" w:hAnsi="宋体"/>
          <w:sz w:val="22"/>
          <w:szCs w:val="22"/>
        </w:rPr>
      </w:pPr>
      <w:r>
        <w:rPr>
          <w:rFonts w:hint="eastAsia" w:ascii="宋体" w:hAnsi="宋体"/>
          <w:sz w:val="22"/>
          <w:szCs w:val="22"/>
        </w:rPr>
        <w:t>法定代表人或委托代理人（签字或盖章）：</w:t>
      </w:r>
    </w:p>
    <w:p>
      <w:pPr>
        <w:spacing w:line="440" w:lineRule="exact"/>
        <w:rPr>
          <w:rFonts w:ascii="宋体" w:hAnsi="宋体"/>
          <w:sz w:val="22"/>
          <w:szCs w:val="22"/>
        </w:rPr>
      </w:pPr>
      <w:r>
        <w:rPr>
          <w:rFonts w:hint="eastAsia" w:ascii="宋体" w:hAnsi="宋体"/>
          <w:sz w:val="22"/>
          <w:szCs w:val="22"/>
        </w:rPr>
        <w:t>经办人（签字）：</w:t>
      </w:r>
      <w:r>
        <w:rPr>
          <w:rFonts w:hint="eastAsia" w:ascii="宋体" w:hAnsi="宋体" w:cs="宋体"/>
          <w:sz w:val="22"/>
          <w:szCs w:val="22"/>
          <w:u w:val="single"/>
        </w:rPr>
        <w:t xml:space="preserve">       </w:t>
      </w:r>
    </w:p>
    <w:p>
      <w:pPr>
        <w:snapToGrid w:val="0"/>
        <w:spacing w:line="440" w:lineRule="exact"/>
        <w:jc w:val="left"/>
        <w:rPr>
          <w:rFonts w:ascii="宋体" w:hAnsi="宋体"/>
          <w:kern w:val="0"/>
          <w:sz w:val="22"/>
          <w:szCs w:val="22"/>
        </w:rPr>
      </w:pPr>
    </w:p>
    <w:p>
      <w:pPr>
        <w:spacing w:line="360" w:lineRule="auto"/>
        <w:ind w:firstLine="440"/>
        <w:jc w:val="left"/>
        <w:rPr>
          <w:rFonts w:asciiTheme="majorEastAsia" w:hAnsiTheme="majorEastAsia" w:eastAsiaTheme="majorEastAsia"/>
          <w:sz w:val="22"/>
          <w:szCs w:val="22"/>
        </w:rPr>
        <w:sectPr>
          <w:pgSz w:w="11906" w:h="16838"/>
          <w:pgMar w:top="993" w:right="1133" w:bottom="1135" w:left="1134" w:header="993" w:footer="873" w:gutter="0"/>
          <w:pgNumType w:fmt="decimal"/>
          <w:cols w:space="720" w:num="1"/>
          <w:docGrid w:linePitch="312" w:charSpace="0"/>
        </w:sectPr>
      </w:pPr>
    </w:p>
    <w:p>
      <w:pPr>
        <w:spacing w:line="440" w:lineRule="exact"/>
        <w:rPr>
          <w:rFonts w:ascii="宋体" w:hAnsi="宋体"/>
          <w:sz w:val="22"/>
          <w:szCs w:val="22"/>
        </w:rPr>
      </w:pPr>
      <w:r>
        <w:rPr>
          <w:rFonts w:hint="eastAsia" w:ascii="宋体" w:hAnsi="宋体"/>
          <w:sz w:val="22"/>
          <w:szCs w:val="22"/>
        </w:rPr>
        <w:t>保障农民工工资支付协议附件：</w:t>
      </w:r>
    </w:p>
    <w:p>
      <w:pPr>
        <w:pStyle w:val="2"/>
        <w:rPr>
          <w:rFonts w:ascii="宋体" w:hAnsi="宋体"/>
        </w:rPr>
      </w:pPr>
    </w:p>
    <w:p>
      <w:pPr>
        <w:widowControl/>
        <w:snapToGrid w:val="0"/>
        <w:spacing w:after="100" w:afterAutospacing="1" w:line="440" w:lineRule="exact"/>
        <w:jc w:val="center"/>
        <w:rPr>
          <w:rFonts w:ascii="宋体" w:hAnsi="宋体"/>
          <w:b/>
          <w:sz w:val="28"/>
          <w:szCs w:val="22"/>
        </w:rPr>
      </w:pPr>
      <w:r>
        <w:rPr>
          <w:rFonts w:hint="eastAsia" w:ascii="宋体" w:hAnsi="宋体"/>
          <w:b/>
          <w:sz w:val="28"/>
          <w:szCs w:val="22"/>
        </w:rPr>
        <w:t>关于农民工工资发放情况的说明表</w:t>
      </w:r>
    </w:p>
    <w:tbl>
      <w:tblPr>
        <w:tblStyle w:val="57"/>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40" w:lineRule="exact"/>
              <w:jc w:val="left"/>
              <w:rPr>
                <w:rFonts w:ascii="宋体" w:hAnsi="宋体"/>
                <w:kern w:val="0"/>
                <w:sz w:val="22"/>
                <w:szCs w:val="22"/>
              </w:rPr>
            </w:pPr>
            <w:r>
              <w:rPr>
                <w:rFonts w:hint="eastAsia" w:ascii="宋体" w:hAnsi="宋体"/>
                <w:kern w:val="0"/>
                <w:sz w:val="22"/>
                <w:szCs w:val="22"/>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589" w:type="dxa"/>
          </w:tcPr>
          <w:p>
            <w:pPr>
              <w:widowControl/>
              <w:snapToGrid w:val="0"/>
              <w:spacing w:after="100" w:afterAutospacing="1" w:line="440" w:lineRule="exact"/>
              <w:rPr>
                <w:rFonts w:ascii="宋体" w:hAnsi="宋体"/>
                <w:kern w:val="0"/>
                <w:sz w:val="22"/>
                <w:szCs w:val="22"/>
              </w:rPr>
            </w:pPr>
            <w:r>
              <w:rPr>
                <w:rFonts w:hint="eastAsia" w:ascii="宋体" w:hAnsi="宋体"/>
                <w:kern w:val="0"/>
                <w:sz w:val="22"/>
                <w:szCs w:val="22"/>
              </w:rPr>
              <w:t>施工单位：</w:t>
            </w:r>
          </w:p>
        </w:tc>
        <w:tc>
          <w:tcPr>
            <w:tcW w:w="5848" w:type="dxa"/>
          </w:tcPr>
          <w:p>
            <w:pPr>
              <w:widowControl/>
              <w:snapToGrid w:val="0"/>
              <w:spacing w:after="100" w:afterAutospacing="1" w:line="440" w:lineRule="exac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89" w:type="dxa"/>
          </w:tcPr>
          <w:p>
            <w:pPr>
              <w:widowControl/>
              <w:snapToGrid w:val="0"/>
              <w:spacing w:after="100" w:afterAutospacing="1" w:line="440" w:lineRule="exact"/>
              <w:rPr>
                <w:rFonts w:ascii="宋体" w:hAnsi="宋体"/>
                <w:kern w:val="0"/>
                <w:sz w:val="22"/>
                <w:szCs w:val="22"/>
              </w:rPr>
            </w:pPr>
            <w:r>
              <w:rPr>
                <w:rFonts w:hint="eastAsia" w:ascii="宋体" w:hAnsi="宋体"/>
                <w:kern w:val="0"/>
                <w:sz w:val="22"/>
                <w:szCs w:val="22"/>
              </w:rPr>
              <w:t>监理单位：</w:t>
            </w:r>
          </w:p>
        </w:tc>
        <w:tc>
          <w:tcPr>
            <w:tcW w:w="5848" w:type="dxa"/>
          </w:tcPr>
          <w:p>
            <w:pPr>
              <w:widowControl/>
              <w:snapToGrid w:val="0"/>
              <w:spacing w:after="100" w:afterAutospacing="1" w:line="440" w:lineRule="exac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40" w:lineRule="exact"/>
              <w:rPr>
                <w:rFonts w:ascii="宋体" w:hAnsi="宋体"/>
                <w:kern w:val="0"/>
                <w:sz w:val="22"/>
                <w:szCs w:val="22"/>
                <w:u w:val="single"/>
              </w:rPr>
            </w:pPr>
          </w:p>
          <w:p>
            <w:pPr>
              <w:widowControl/>
              <w:snapToGrid w:val="0"/>
              <w:spacing w:after="100" w:afterAutospacing="1" w:line="440" w:lineRule="exact"/>
              <w:rPr>
                <w:rFonts w:ascii="宋体" w:hAnsi="宋体"/>
                <w:kern w:val="0"/>
                <w:sz w:val="22"/>
                <w:szCs w:val="22"/>
              </w:rPr>
            </w:pPr>
            <w:r>
              <w:rPr>
                <w:rFonts w:hint="eastAsia" w:ascii="宋体" w:hAnsi="宋体"/>
                <w:kern w:val="0"/>
                <w:sz w:val="22"/>
                <w:szCs w:val="22"/>
              </w:rPr>
              <w:t>（项目业主单位名称）：</w:t>
            </w:r>
            <w:r>
              <w:rPr>
                <w:rFonts w:hint="eastAsia" w:ascii="宋体" w:hAnsi="宋体"/>
                <w:kern w:val="0"/>
                <w:sz w:val="22"/>
                <w:szCs w:val="22"/>
                <w:u w:val="single"/>
              </w:rPr>
              <w:br w:type="textWrapping"/>
            </w:r>
            <w:r>
              <w:rPr>
                <w:rFonts w:hint="eastAsia" w:ascii="宋体" w:hAnsi="宋体"/>
                <w:kern w:val="0"/>
                <w:sz w:val="22"/>
                <w:szCs w:val="22"/>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 w:val="22"/>
                <w:szCs w:val="22"/>
              </w:rPr>
              <w:br w:type="textWrapping"/>
            </w:r>
          </w:p>
          <w:p>
            <w:pPr>
              <w:widowControl/>
              <w:snapToGrid w:val="0"/>
              <w:spacing w:after="100" w:afterAutospacing="1" w:line="440" w:lineRule="exact"/>
              <w:ind w:firstLine="1320" w:firstLineChars="600"/>
              <w:rPr>
                <w:rFonts w:ascii="宋体" w:hAnsi="宋体"/>
                <w:kern w:val="0"/>
                <w:sz w:val="22"/>
                <w:szCs w:val="22"/>
                <w:u w:val="single"/>
              </w:rPr>
            </w:pPr>
            <w:r>
              <w:rPr>
                <w:rFonts w:hint="eastAsia" w:ascii="宋体" w:hAnsi="宋体"/>
                <w:kern w:val="0"/>
                <w:sz w:val="22"/>
                <w:szCs w:val="22"/>
              </w:rPr>
              <w:t>施工单位项目负责人签字（加盖项目章）：</w:t>
            </w:r>
            <w:r>
              <w:rPr>
                <w:rFonts w:hint="eastAsia" w:ascii="宋体" w:hAnsi="宋体"/>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2589" w:type="dxa"/>
            <w:vAlign w:val="center"/>
          </w:tcPr>
          <w:p>
            <w:pPr>
              <w:widowControl/>
              <w:snapToGrid w:val="0"/>
              <w:spacing w:after="100" w:afterAutospacing="1" w:line="440" w:lineRule="exact"/>
              <w:jc w:val="center"/>
              <w:rPr>
                <w:rFonts w:ascii="宋体" w:hAnsi="宋体" w:cs="宋体"/>
                <w:kern w:val="0"/>
                <w:sz w:val="22"/>
                <w:szCs w:val="22"/>
              </w:rPr>
            </w:pPr>
            <w:r>
              <w:rPr>
                <w:rFonts w:hint="eastAsia" w:ascii="宋体" w:hAnsi="宋体" w:cs="宋体"/>
                <w:kern w:val="0"/>
                <w:sz w:val="22"/>
                <w:szCs w:val="22"/>
              </w:rPr>
              <w:t>监理单位意见：</w:t>
            </w:r>
          </w:p>
        </w:tc>
        <w:tc>
          <w:tcPr>
            <w:tcW w:w="5848" w:type="dxa"/>
          </w:tcPr>
          <w:p>
            <w:pPr>
              <w:widowControl/>
              <w:snapToGrid w:val="0"/>
              <w:spacing w:after="100" w:afterAutospacing="1" w:line="440" w:lineRule="exact"/>
              <w:rPr>
                <w:rFonts w:ascii="宋体" w:hAnsi="宋体"/>
                <w:kern w:val="0"/>
                <w:sz w:val="22"/>
                <w:szCs w:val="22"/>
                <w:u w:val="single"/>
              </w:rPr>
            </w:pPr>
          </w:p>
          <w:p>
            <w:pPr>
              <w:widowControl/>
              <w:snapToGrid w:val="0"/>
              <w:spacing w:after="100" w:afterAutospacing="1" w:line="440" w:lineRule="exact"/>
              <w:rPr>
                <w:rFonts w:ascii="宋体" w:hAnsi="宋体"/>
                <w:kern w:val="0"/>
                <w:sz w:val="22"/>
                <w:szCs w:val="22"/>
                <w:u w:val="single"/>
              </w:rPr>
            </w:pPr>
            <w:r>
              <w:rPr>
                <w:rFonts w:hint="eastAsia" w:ascii="宋体" w:hAnsi="宋体"/>
                <w:kern w:val="0"/>
                <w:sz w:val="22"/>
                <w:szCs w:val="22"/>
              </w:rPr>
              <w:t xml:space="preserve">             总监签字并加盖项目章：</w:t>
            </w:r>
            <w:r>
              <w:rPr>
                <w:rFonts w:hint="eastAsia" w:ascii="宋体" w:hAnsi="宋体"/>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2589" w:type="dxa"/>
            <w:vAlign w:val="center"/>
          </w:tcPr>
          <w:p>
            <w:pPr>
              <w:widowControl/>
              <w:snapToGrid w:val="0"/>
              <w:spacing w:after="100" w:afterAutospacing="1" w:line="440" w:lineRule="exact"/>
              <w:jc w:val="center"/>
              <w:rPr>
                <w:rFonts w:ascii="宋体" w:hAnsi="宋体"/>
                <w:kern w:val="0"/>
                <w:sz w:val="22"/>
                <w:szCs w:val="22"/>
              </w:rPr>
            </w:pPr>
            <w:r>
              <w:rPr>
                <w:rFonts w:hint="eastAsia" w:ascii="宋体" w:hAnsi="宋体"/>
                <w:kern w:val="0"/>
                <w:sz w:val="22"/>
                <w:szCs w:val="22"/>
              </w:rPr>
              <w:t>工程部项目负责人意见：</w:t>
            </w:r>
          </w:p>
        </w:tc>
        <w:tc>
          <w:tcPr>
            <w:tcW w:w="5848" w:type="dxa"/>
          </w:tcPr>
          <w:p>
            <w:pPr>
              <w:widowControl/>
              <w:snapToGrid w:val="0"/>
              <w:spacing w:after="100" w:afterAutospacing="1" w:line="440" w:lineRule="exact"/>
              <w:rPr>
                <w:rFonts w:ascii="宋体" w:hAnsi="宋体"/>
                <w:kern w:val="0"/>
                <w:sz w:val="22"/>
                <w:szCs w:val="22"/>
                <w:u w:val="single"/>
              </w:rPr>
            </w:pPr>
          </w:p>
          <w:p>
            <w:pPr>
              <w:widowControl/>
              <w:snapToGrid w:val="0"/>
              <w:spacing w:after="100" w:afterAutospacing="1" w:line="440" w:lineRule="exact"/>
              <w:rPr>
                <w:rFonts w:ascii="宋体" w:hAnsi="宋体"/>
                <w:kern w:val="0"/>
                <w:sz w:val="22"/>
                <w:szCs w:val="22"/>
                <w:u w:val="single"/>
              </w:rPr>
            </w:pPr>
            <w:r>
              <w:rPr>
                <w:rFonts w:hint="eastAsia" w:ascii="宋体" w:hAnsi="宋体"/>
                <w:kern w:val="0"/>
                <w:sz w:val="22"/>
                <w:szCs w:val="22"/>
              </w:rPr>
              <w:t xml:space="preserve">                   项目负责人签字：</w:t>
            </w:r>
            <w:r>
              <w:rPr>
                <w:rFonts w:hint="eastAsia" w:ascii="宋体" w:hAnsi="宋体"/>
                <w:kern w:val="0"/>
                <w:sz w:val="22"/>
                <w:szCs w:val="22"/>
                <w:u w:val="single"/>
              </w:rPr>
              <w:t xml:space="preserve">        </w:t>
            </w:r>
          </w:p>
        </w:tc>
      </w:tr>
    </w:tbl>
    <w:p>
      <w:pPr>
        <w:pStyle w:val="2"/>
      </w:pPr>
    </w:p>
    <w:p>
      <w:pPr>
        <w:spacing w:line="360" w:lineRule="auto"/>
        <w:ind w:firstLine="525" w:firstLineChars="250"/>
        <w:rPr>
          <w:rFonts w:asciiTheme="majorEastAsia" w:hAnsiTheme="majorEastAsia" w:eastAsiaTheme="majorEastAsia"/>
          <w:kern w:val="0"/>
        </w:rPr>
      </w:pPr>
      <w:r>
        <w:rPr>
          <w:rFonts w:asciiTheme="majorEastAsia" w:hAnsiTheme="majorEastAsia" w:eastAsiaTheme="majorEastAsia"/>
          <w:kern w:val="0"/>
        </w:rPr>
        <w:br w:type="page"/>
      </w:r>
    </w:p>
    <w:bookmarkEnd w:id="286"/>
    <w:bookmarkEnd w:id="287"/>
    <w:p>
      <w:pPr>
        <w:autoSpaceDE w:val="0"/>
        <w:autoSpaceDN w:val="0"/>
        <w:adjustRightInd w:val="0"/>
        <w:snapToGrid w:val="0"/>
        <w:spacing w:line="360" w:lineRule="auto"/>
        <w:jc w:val="center"/>
        <w:outlineLvl w:val="0"/>
        <w:rPr>
          <w:rFonts w:asciiTheme="majorEastAsia" w:hAnsiTheme="majorEastAsia" w:eastAsiaTheme="majorEastAsia"/>
          <w:b/>
          <w:kern w:val="1"/>
          <w:sz w:val="40"/>
          <w:szCs w:val="36"/>
        </w:rPr>
      </w:pPr>
      <w:bookmarkStart w:id="1701" w:name="_Toc25954"/>
      <w:r>
        <w:rPr>
          <w:rFonts w:asciiTheme="majorEastAsia" w:hAnsiTheme="majorEastAsia" w:eastAsiaTheme="majorEastAsia"/>
          <w:b/>
          <w:kern w:val="1"/>
          <w:sz w:val="40"/>
          <w:szCs w:val="36"/>
        </w:rPr>
        <w:t>第</w:t>
      </w:r>
      <w:r>
        <w:rPr>
          <w:rFonts w:hint="eastAsia" w:asciiTheme="majorEastAsia" w:hAnsiTheme="majorEastAsia" w:eastAsiaTheme="majorEastAsia"/>
          <w:b/>
          <w:kern w:val="1"/>
          <w:sz w:val="40"/>
          <w:szCs w:val="36"/>
        </w:rPr>
        <w:t>五章 工程量清单</w:t>
      </w:r>
    </w:p>
    <w:p>
      <w:pPr>
        <w:autoSpaceDE w:val="0"/>
        <w:autoSpaceDN w:val="0"/>
        <w:adjustRightInd w:val="0"/>
        <w:snapToGrid w:val="0"/>
        <w:spacing w:line="360" w:lineRule="auto"/>
        <w:ind w:firstLine="440" w:firstLineChars="200"/>
        <w:jc w:val="left"/>
        <w:outlineLvl w:val="0"/>
        <w:rPr>
          <w:rFonts w:asciiTheme="majorEastAsia" w:hAnsiTheme="majorEastAsia" w:eastAsiaTheme="majorEastAsia"/>
          <w:bCs/>
          <w:kern w:val="1"/>
          <w:sz w:val="22"/>
          <w:szCs w:val="22"/>
        </w:rPr>
        <w:sectPr>
          <w:pgSz w:w="11906" w:h="16838"/>
          <w:pgMar w:top="993" w:right="1133" w:bottom="1135" w:left="1134" w:header="993" w:footer="873" w:gutter="0"/>
          <w:pgNumType w:fmt="decimal"/>
          <w:cols w:space="720" w:num="1"/>
          <w:docGrid w:linePitch="312" w:charSpace="0"/>
        </w:sectPr>
      </w:pPr>
      <w:r>
        <w:rPr>
          <w:rFonts w:hint="eastAsia" w:asciiTheme="majorEastAsia" w:hAnsiTheme="majorEastAsia" w:eastAsiaTheme="majorEastAsia"/>
          <w:bCs/>
          <w:kern w:val="1"/>
          <w:sz w:val="22"/>
          <w:szCs w:val="22"/>
        </w:rPr>
        <w:t>在高速集团官网（http://www.cegc.com.cn/gw/newsInfoMenu.html?id=41&amp;key=2）、高速集团招投标平台（http://43.240.249.108:8088）上下载。</w:t>
      </w:r>
    </w:p>
    <w:p>
      <w:pPr>
        <w:autoSpaceDE w:val="0"/>
        <w:autoSpaceDN w:val="0"/>
        <w:adjustRightInd w:val="0"/>
        <w:snapToGrid w:val="0"/>
        <w:spacing w:line="360" w:lineRule="auto"/>
        <w:jc w:val="center"/>
        <w:outlineLvl w:val="0"/>
        <w:rPr>
          <w:rFonts w:asciiTheme="majorEastAsia" w:hAnsiTheme="majorEastAsia" w:eastAsiaTheme="majorEastAsia"/>
          <w:b/>
          <w:kern w:val="1"/>
          <w:sz w:val="40"/>
          <w:szCs w:val="36"/>
        </w:rPr>
      </w:pPr>
      <w:r>
        <w:rPr>
          <w:rFonts w:asciiTheme="majorEastAsia" w:hAnsiTheme="majorEastAsia" w:eastAsiaTheme="majorEastAsia"/>
          <w:b/>
          <w:kern w:val="1"/>
          <w:sz w:val="40"/>
          <w:szCs w:val="36"/>
        </w:rPr>
        <w:t>第</w:t>
      </w:r>
      <w:r>
        <w:rPr>
          <w:rFonts w:hint="eastAsia" w:asciiTheme="majorEastAsia" w:hAnsiTheme="majorEastAsia" w:eastAsiaTheme="majorEastAsia"/>
          <w:b/>
          <w:kern w:val="1"/>
          <w:sz w:val="40"/>
          <w:szCs w:val="36"/>
        </w:rPr>
        <w:t>六章 图纸</w:t>
      </w:r>
    </w:p>
    <w:p>
      <w:pPr>
        <w:autoSpaceDE w:val="0"/>
        <w:autoSpaceDN w:val="0"/>
        <w:adjustRightInd w:val="0"/>
        <w:snapToGrid w:val="0"/>
        <w:spacing w:line="360" w:lineRule="auto"/>
        <w:ind w:firstLine="440" w:firstLineChars="200"/>
        <w:jc w:val="left"/>
        <w:outlineLvl w:val="0"/>
        <w:rPr>
          <w:rFonts w:asciiTheme="majorEastAsia" w:hAnsiTheme="majorEastAsia" w:eastAsiaTheme="majorEastAsia"/>
          <w:bCs/>
          <w:kern w:val="1"/>
          <w:sz w:val="22"/>
          <w:szCs w:val="22"/>
        </w:rPr>
        <w:sectPr>
          <w:pgSz w:w="11906" w:h="16838"/>
          <w:pgMar w:top="993" w:right="1133" w:bottom="1135" w:left="1134" w:header="993" w:footer="873" w:gutter="0"/>
          <w:pgNumType w:fmt="decimal"/>
          <w:cols w:space="720" w:num="1"/>
          <w:docGrid w:linePitch="312" w:charSpace="0"/>
        </w:sectPr>
      </w:pPr>
      <w:r>
        <w:rPr>
          <w:rFonts w:hint="eastAsia" w:asciiTheme="majorEastAsia" w:hAnsiTheme="majorEastAsia" w:eastAsiaTheme="majorEastAsia"/>
          <w:bCs/>
          <w:kern w:val="1"/>
          <w:sz w:val="22"/>
          <w:szCs w:val="22"/>
        </w:rPr>
        <w:t>在高速集团官网（http://www.cegc.com.cn/gw/newsInfoMenu.html?id=41&amp;key=2）、高速集团招投标平台（http://43.240.249.108:8088）上下载。</w:t>
      </w:r>
    </w:p>
    <w:p>
      <w:pPr>
        <w:autoSpaceDE w:val="0"/>
        <w:autoSpaceDN w:val="0"/>
        <w:adjustRightInd w:val="0"/>
        <w:snapToGrid w:val="0"/>
        <w:spacing w:line="360" w:lineRule="auto"/>
        <w:jc w:val="center"/>
        <w:outlineLvl w:val="0"/>
        <w:rPr>
          <w:rFonts w:asciiTheme="majorEastAsia" w:hAnsiTheme="majorEastAsia" w:eastAsiaTheme="majorEastAsia"/>
          <w:b/>
          <w:kern w:val="1"/>
          <w:sz w:val="40"/>
          <w:szCs w:val="36"/>
        </w:rPr>
      </w:pPr>
      <w:r>
        <w:rPr>
          <w:rFonts w:asciiTheme="majorEastAsia" w:hAnsiTheme="majorEastAsia" w:eastAsiaTheme="majorEastAsia"/>
          <w:b/>
          <w:kern w:val="1"/>
          <w:sz w:val="40"/>
          <w:szCs w:val="36"/>
        </w:rPr>
        <w:t>第</w:t>
      </w:r>
      <w:r>
        <w:rPr>
          <w:rFonts w:hint="eastAsia" w:asciiTheme="majorEastAsia" w:hAnsiTheme="majorEastAsia" w:eastAsiaTheme="majorEastAsia"/>
          <w:b/>
          <w:kern w:val="1"/>
          <w:sz w:val="40"/>
          <w:szCs w:val="36"/>
        </w:rPr>
        <w:t>七章 技术标准和要求</w:t>
      </w:r>
      <w:bookmarkEnd w:id="1701"/>
    </w:p>
    <w:p>
      <w:pPr>
        <w:spacing w:line="360" w:lineRule="auto"/>
        <w:ind w:firstLine="440" w:firstLineChars="200"/>
        <w:rPr>
          <w:rFonts w:cs="宋体" w:asciiTheme="majorEastAsia" w:hAnsiTheme="majorEastAsia" w:eastAsiaTheme="majorEastAsia"/>
          <w:sz w:val="22"/>
        </w:rPr>
      </w:pPr>
      <w:bookmarkStart w:id="1702" w:name="_Toc514057986"/>
      <w:bookmarkStart w:id="1703" w:name="_Toc4197"/>
      <w:r>
        <w:rPr>
          <w:rFonts w:hint="eastAsia" w:cs="宋体" w:asciiTheme="majorEastAsia" w:hAnsiTheme="majorEastAsia" w:eastAsiaTheme="majorEastAsia"/>
          <w:sz w:val="22"/>
        </w:rPr>
        <w:t>1、按施工设计图纸及现行相关规范、标准执行</w:t>
      </w:r>
    </w:p>
    <w:p>
      <w:pPr>
        <w:spacing w:line="360" w:lineRule="auto"/>
        <w:ind w:firstLine="440" w:firstLineChars="200"/>
        <w:rPr>
          <w:rFonts w:cs="宋体" w:asciiTheme="majorEastAsia" w:hAnsiTheme="majorEastAsia" w:eastAsiaTheme="majorEastAsia"/>
          <w:sz w:val="22"/>
        </w:rPr>
      </w:pPr>
      <w:r>
        <w:rPr>
          <w:rFonts w:hint="eastAsia" w:cs="宋体" w:asciiTheme="majorEastAsia" w:hAnsiTheme="majorEastAsia" w:eastAsiaTheme="majorEastAsia"/>
          <w:sz w:val="22"/>
        </w:rPr>
        <w:t>2、达到国家现行有关施工质量验收规范要求，并达到合格标准。</w:t>
      </w:r>
    </w:p>
    <w:p>
      <w:pPr>
        <w:spacing w:line="360" w:lineRule="auto"/>
        <w:ind w:firstLine="440"/>
        <w:rPr>
          <w:rFonts w:cs="宋体" w:asciiTheme="majorEastAsia" w:hAnsiTheme="majorEastAsia" w:eastAsiaTheme="majorEastAsia"/>
          <w:sz w:val="22"/>
        </w:rPr>
      </w:pPr>
    </w:p>
    <w:bookmarkEnd w:id="1702"/>
    <w:bookmarkEnd w:id="1703"/>
    <w:p>
      <w:pPr>
        <w:jc w:val="center"/>
        <w:rPr>
          <w:rFonts w:asciiTheme="majorEastAsia" w:hAnsiTheme="majorEastAsia" w:eastAsiaTheme="majorEastAsia"/>
          <w:b/>
          <w:kern w:val="1"/>
          <w:sz w:val="40"/>
          <w:szCs w:val="36"/>
        </w:rPr>
        <w:sectPr>
          <w:pgSz w:w="11906" w:h="16838"/>
          <w:pgMar w:top="993" w:right="1133" w:bottom="1135" w:left="1134" w:header="993" w:footer="873" w:gutter="0"/>
          <w:pgNumType w:fmt="decimal"/>
          <w:cols w:space="720" w:num="1"/>
          <w:docGrid w:linePitch="312" w:charSpace="0"/>
        </w:sectPr>
      </w:pPr>
      <w:r>
        <w:rPr>
          <w:rFonts w:asciiTheme="majorEastAsia" w:hAnsiTheme="majorEastAsia" w:eastAsiaTheme="majorEastAsia"/>
          <w:b/>
          <w:kern w:val="1"/>
          <w:sz w:val="40"/>
          <w:szCs w:val="36"/>
        </w:rPr>
        <w:br w:type="page"/>
      </w:r>
      <w:r>
        <w:rPr>
          <w:rFonts w:hint="eastAsia" w:asciiTheme="majorEastAsia" w:hAnsiTheme="majorEastAsia" w:eastAsiaTheme="majorEastAsia"/>
          <w:b/>
          <w:kern w:val="1"/>
          <w:sz w:val="40"/>
          <w:szCs w:val="36"/>
        </w:rPr>
        <w:t>第八章 比选申请文件格式</w:t>
      </w:r>
    </w:p>
    <w:p>
      <w:pPr>
        <w:pStyle w:val="4"/>
        <w:jc w:val="center"/>
        <w:rPr>
          <w:rFonts w:cs="宋体" w:asciiTheme="majorEastAsia" w:hAnsiTheme="majorEastAsia" w:eastAsiaTheme="majorEastAsia"/>
          <w:sz w:val="32"/>
          <w:szCs w:val="44"/>
        </w:rPr>
      </w:pPr>
      <w:r>
        <w:rPr>
          <w:rFonts w:hint="eastAsia" w:cs="宋体" w:asciiTheme="majorEastAsia" w:hAnsiTheme="majorEastAsia" w:eastAsiaTheme="majorEastAsia"/>
          <w:sz w:val="32"/>
          <w:szCs w:val="44"/>
        </w:rPr>
        <w:t>一、比选申请函部分</w:t>
      </w:r>
    </w:p>
    <w:p>
      <w:pPr>
        <w:pStyle w:val="2"/>
      </w:pPr>
    </w:p>
    <w:p>
      <w:pPr>
        <w:rPr>
          <w:rFonts w:asciiTheme="majorEastAsia" w:hAnsiTheme="majorEastAsia" w:eastAsiaTheme="majorEastAsia"/>
          <w:b/>
          <w:kern w:val="0"/>
          <w:sz w:val="40"/>
          <w:szCs w:val="36"/>
        </w:rPr>
      </w:pPr>
    </w:p>
    <w:p>
      <w:pPr>
        <w:rPr>
          <w:rFonts w:asciiTheme="majorEastAsia" w:hAnsiTheme="majorEastAsia" w:eastAsiaTheme="majorEastAsia"/>
        </w:rPr>
      </w:pPr>
    </w:p>
    <w:p>
      <w:pPr>
        <w:pStyle w:val="4"/>
        <w:keepNext/>
        <w:keepLines/>
        <w:widowControl/>
        <w:autoSpaceDE/>
        <w:autoSpaceDN/>
        <w:adjustRightInd/>
        <w:snapToGrid/>
        <w:spacing w:before="260" w:after="260" w:line="413" w:lineRule="auto"/>
        <w:jc w:val="center"/>
        <w:rPr>
          <w:rFonts w:asciiTheme="majorEastAsia" w:hAnsiTheme="majorEastAsia" w:eastAsiaTheme="majorEastAsia"/>
        </w:rPr>
        <w:sectPr>
          <w:pgSz w:w="11906" w:h="16838"/>
          <w:pgMar w:top="993" w:right="1133" w:bottom="1135" w:left="1134" w:header="993" w:footer="873" w:gutter="0"/>
          <w:pgNumType w:fmt="decimal"/>
          <w:cols w:space="720" w:num="1"/>
          <w:docGrid w:linePitch="312" w:charSpace="0"/>
        </w:sectPr>
      </w:pPr>
    </w:p>
    <w:p>
      <w:pPr>
        <w:tabs>
          <w:tab w:val="left" w:pos="2580"/>
          <w:tab w:val="left" w:pos="5940"/>
        </w:tabs>
        <w:autoSpaceDE w:val="0"/>
        <w:autoSpaceDN w:val="0"/>
        <w:adjustRightInd w:val="0"/>
        <w:snapToGrid w:val="0"/>
        <w:spacing w:line="360" w:lineRule="auto"/>
        <w:jc w:val="left"/>
        <w:rPr>
          <w:rFonts w:cs="宋体" w:asciiTheme="majorEastAsia" w:hAnsiTheme="majorEastAsia" w:eastAsiaTheme="majorEastAsia"/>
          <w:kern w:val="0"/>
          <w:sz w:val="28"/>
          <w:szCs w:val="28"/>
        </w:rPr>
      </w:pPr>
    </w:p>
    <w:p>
      <w:pPr>
        <w:tabs>
          <w:tab w:val="left" w:pos="3530"/>
          <w:tab w:val="left" w:pos="5940"/>
        </w:tabs>
        <w:autoSpaceDE w:val="0"/>
        <w:autoSpaceDN w:val="0"/>
        <w:adjustRightInd w:val="0"/>
        <w:snapToGrid w:val="0"/>
        <w:spacing w:line="360" w:lineRule="auto"/>
        <w:jc w:val="left"/>
        <w:rPr>
          <w:rFonts w:cs="宋体" w:asciiTheme="majorEastAsia" w:hAnsiTheme="majorEastAsia" w:eastAsiaTheme="majorEastAsia"/>
          <w:b/>
          <w:kern w:val="0"/>
          <w:sz w:val="28"/>
          <w:szCs w:val="28"/>
          <w:u w:val="single"/>
        </w:rPr>
      </w:pPr>
    </w:p>
    <w:p>
      <w:pPr>
        <w:tabs>
          <w:tab w:val="left" w:pos="5955"/>
        </w:tabs>
        <w:autoSpaceDE w:val="0"/>
        <w:autoSpaceDN w:val="0"/>
        <w:adjustRightInd w:val="0"/>
        <w:snapToGrid w:val="0"/>
        <w:spacing w:line="360" w:lineRule="auto"/>
        <w:ind w:firstLine="514" w:firstLineChars="245"/>
        <w:jc w:val="left"/>
        <w:rPr>
          <w:rFonts w:asciiTheme="majorEastAsia" w:hAnsiTheme="majorEastAsia" w:eastAsiaTheme="majorEastAsia"/>
          <w:lang w:val="zh-CN"/>
        </w:rPr>
      </w:pPr>
    </w:p>
    <w:p>
      <w:pPr>
        <w:tabs>
          <w:tab w:val="left" w:pos="6495"/>
        </w:tabs>
        <w:autoSpaceDE w:val="0"/>
        <w:autoSpaceDN w:val="0"/>
        <w:adjustRightInd w:val="0"/>
        <w:snapToGrid w:val="0"/>
        <w:spacing w:line="360" w:lineRule="auto"/>
        <w:jc w:val="left"/>
        <w:rPr>
          <w:rFonts w:cs="MingLiU" w:asciiTheme="majorEastAsia" w:hAnsiTheme="majorEastAsia" w:eastAsiaTheme="majorEastAsia"/>
          <w:b/>
          <w:kern w:val="0"/>
          <w:sz w:val="27"/>
          <w:szCs w:val="27"/>
        </w:rPr>
      </w:pPr>
      <w:r>
        <w:rPr>
          <w:rFonts w:asciiTheme="majorEastAsia" w:hAnsiTheme="majorEastAsia" w:eastAsiaTheme="majorEastAsia"/>
          <w:b/>
          <w:kern w:val="0"/>
          <w:sz w:val="27"/>
          <w:szCs w:val="27"/>
          <w:u w:val="single"/>
        </w:rPr>
        <w:tab/>
      </w:r>
      <w:r>
        <w:rPr>
          <w:rFonts w:hint="eastAsia" w:cs="MingLiU" w:asciiTheme="majorEastAsia" w:hAnsiTheme="majorEastAsia" w:eastAsiaTheme="majorEastAsia"/>
          <w:b/>
          <w:w w:val="99"/>
          <w:kern w:val="0"/>
          <w:sz w:val="27"/>
          <w:szCs w:val="27"/>
        </w:rPr>
        <w:t>（项目名称</w:t>
      </w:r>
      <w:r>
        <w:rPr>
          <w:rFonts w:hint="eastAsia" w:cs="MingLiU" w:asciiTheme="majorEastAsia" w:hAnsiTheme="majorEastAsia" w:eastAsiaTheme="majorEastAsia"/>
          <w:b/>
          <w:spacing w:val="1"/>
          <w:w w:val="99"/>
          <w:kern w:val="0"/>
          <w:sz w:val="27"/>
          <w:szCs w:val="27"/>
        </w:rPr>
        <w:t>）</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rPr>
      </w:pPr>
      <w:r>
        <w:rPr>
          <w:rFonts w:hint="eastAsia" w:cs="MingLiU" w:asciiTheme="majorEastAsia" w:hAnsiTheme="majorEastAsia" w:eastAsiaTheme="majorEastAsia"/>
          <w:b/>
          <w:kern w:val="0"/>
          <w:sz w:val="81"/>
          <w:szCs w:val="81"/>
        </w:rPr>
        <w:t>比选申请文件</w:t>
      </w:r>
    </w:p>
    <w:p>
      <w:pPr>
        <w:autoSpaceDE w:val="0"/>
        <w:autoSpaceDN w:val="0"/>
        <w:adjustRightInd w:val="0"/>
        <w:snapToGrid w:val="0"/>
        <w:spacing w:line="276" w:lineRule="auto"/>
        <w:jc w:val="center"/>
        <w:rPr>
          <w:rFonts w:ascii="宋体" w:hAnsi="宋体"/>
          <w:b/>
          <w:kern w:val="0"/>
          <w:sz w:val="36"/>
          <w:szCs w:val="36"/>
        </w:rPr>
      </w:pPr>
      <w:r>
        <w:rPr>
          <w:rFonts w:hint="eastAsia" w:ascii="宋体" w:hAnsi="宋体"/>
          <w:b/>
          <w:kern w:val="0"/>
          <w:sz w:val="36"/>
          <w:szCs w:val="36"/>
          <w:lang w:val="en-US" w:eastAsia="zh-CN"/>
        </w:rPr>
        <w:t>比选申请</w:t>
      </w:r>
      <w:r>
        <w:rPr>
          <w:rFonts w:hint="eastAsia" w:ascii="宋体" w:hAnsi="宋体"/>
          <w:b/>
          <w:kern w:val="0"/>
          <w:sz w:val="36"/>
          <w:szCs w:val="36"/>
        </w:rPr>
        <w:t>函部分</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tabs>
          <w:tab w:val="left" w:pos="6080"/>
          <w:tab w:val="left" w:pos="6640"/>
        </w:tabs>
        <w:autoSpaceDE w:val="0"/>
        <w:autoSpaceDN w:val="0"/>
        <w:adjustRightInd w:val="0"/>
        <w:snapToGrid w:val="0"/>
        <w:spacing w:line="360" w:lineRule="auto"/>
        <w:jc w:val="center"/>
        <w:rPr>
          <w:rFonts w:asciiTheme="majorEastAsia" w:hAnsiTheme="majorEastAsia" w:eastAsiaTheme="majorEastAsia"/>
          <w:b/>
          <w:w w:val="99"/>
          <w:kern w:val="0"/>
          <w:sz w:val="27"/>
          <w:szCs w:val="27"/>
        </w:rPr>
      </w:pPr>
      <w:r>
        <w:rPr>
          <w:rFonts w:hint="eastAsia" w:cs="MingLiU" w:asciiTheme="majorEastAsia" w:hAnsiTheme="majorEastAsia" w:eastAsiaTheme="majorEastAsia"/>
          <w:b/>
          <w:w w:val="99"/>
          <w:kern w:val="0"/>
          <w:sz w:val="27"/>
          <w:szCs w:val="27"/>
        </w:rPr>
        <w:t>比选申请人</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cs="MingLiU" w:asciiTheme="majorEastAsia" w:hAnsiTheme="majorEastAsia" w:eastAsiaTheme="majorEastAsia"/>
          <w:b/>
          <w:kern w:val="0"/>
          <w:sz w:val="27"/>
          <w:szCs w:val="27"/>
        </w:rPr>
      </w:pPr>
      <w:r>
        <w:rPr>
          <w:rFonts w:hint="eastAsia" w:cs="MingLiU" w:asciiTheme="majorEastAsia" w:hAnsiTheme="majorEastAsia" w:eastAsiaTheme="majorEastAsia"/>
          <w:b/>
          <w:w w:val="99"/>
          <w:kern w:val="0"/>
          <w:sz w:val="27"/>
          <w:szCs w:val="27"/>
        </w:rPr>
        <w:t>法定代表人或其委托代理人：</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（签字或盖章）</w:t>
      </w:r>
    </w:p>
    <w:p>
      <w:pPr>
        <w:autoSpaceDE w:val="0"/>
        <w:autoSpaceDN w:val="0"/>
        <w:adjustRightInd w:val="0"/>
        <w:spacing w:before="74" w:line="360" w:lineRule="auto"/>
        <w:ind w:left="120" w:leftChars="57" w:right="-29" w:firstLine="2888" w:firstLineChars="1074"/>
        <w:jc w:val="left"/>
        <w:rPr>
          <w:rFonts w:cs="宋体" w:asciiTheme="majorEastAsia" w:hAnsiTheme="majorEastAsia" w:eastAsiaTheme="majorEastAsia"/>
          <w:b/>
          <w:kern w:val="0"/>
          <w:sz w:val="44"/>
          <w:szCs w:val="44"/>
        </w:rPr>
      </w:pPr>
      <w:r>
        <w:rPr>
          <w:rFonts w:hint="eastAsia" w:cs="MingLiU" w:asciiTheme="majorEastAsia" w:hAnsiTheme="majorEastAsia" w:eastAsiaTheme="majorEastAsia"/>
          <w:b/>
          <w:w w:val="99"/>
          <w:kern w:val="0"/>
          <w:sz w:val="27"/>
          <w:szCs w:val="27"/>
          <w:u w:val="single"/>
        </w:rPr>
        <w:t xml:space="preserve">     年   月   日</w:t>
      </w:r>
      <w:r>
        <w:rPr>
          <w:rFonts w:cs="宋体" w:asciiTheme="majorEastAsia" w:hAnsiTheme="majorEastAsia" w:eastAsiaTheme="majorEastAsia"/>
          <w:b/>
          <w:kern w:val="0"/>
          <w:sz w:val="44"/>
          <w:szCs w:val="44"/>
        </w:rPr>
        <w:br w:type="page"/>
      </w:r>
    </w:p>
    <w:p>
      <w:pPr>
        <w:autoSpaceDE w:val="0"/>
        <w:autoSpaceDN w:val="0"/>
        <w:adjustRightInd w:val="0"/>
        <w:snapToGrid w:val="0"/>
        <w:spacing w:line="36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目 录</w:t>
      </w:r>
    </w:p>
    <w:p>
      <w:pPr>
        <w:widowControl/>
        <w:spacing w:line="360" w:lineRule="auto"/>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（一）比选申请函</w:t>
      </w:r>
    </w:p>
    <w:p>
      <w:pPr>
        <w:widowControl/>
        <w:spacing w:line="360" w:lineRule="auto"/>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（二）法定代表人身份证明及授权委托书</w:t>
      </w:r>
    </w:p>
    <w:p>
      <w:pPr>
        <w:widowControl/>
        <w:spacing w:line="360" w:lineRule="auto"/>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（三）低价风险担保缴纳承诺书</w:t>
      </w:r>
    </w:p>
    <w:p>
      <w:pPr>
        <w:widowControl/>
        <w:spacing w:line="360" w:lineRule="auto"/>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（四）自行踏勘承诺书</w:t>
      </w:r>
    </w:p>
    <w:p>
      <w:pPr>
        <w:widowControl/>
        <w:spacing w:line="360" w:lineRule="auto"/>
        <w:jc w:val="left"/>
        <w:rPr>
          <w:rFonts w:asciiTheme="majorEastAsia" w:hAnsiTheme="majorEastAsia" w:eastAsiaTheme="majorEastAsia"/>
          <w:sz w:val="44"/>
          <w:szCs w:val="44"/>
        </w:rPr>
      </w:pPr>
      <w:r>
        <w:rPr>
          <w:rFonts w:hint="eastAsia" w:cs="MingLiU" w:asciiTheme="majorEastAsia" w:hAnsiTheme="majorEastAsia" w:eastAsiaTheme="majorEastAsia"/>
          <w:kern w:val="0"/>
          <w:szCs w:val="21"/>
        </w:rPr>
        <w:t>（五）投标保证金转账凭证</w:t>
      </w:r>
      <w:r>
        <w:rPr>
          <w:rFonts w:hint="eastAsia" w:cs="MingLiU" w:asciiTheme="majorEastAsia" w:hAnsiTheme="majorEastAsia" w:eastAsiaTheme="majorEastAsia"/>
          <w:kern w:val="0"/>
          <w:szCs w:val="21"/>
        </w:rPr>
        <w:tab/>
      </w:r>
    </w:p>
    <w:p>
      <w:pPr>
        <w:tabs>
          <w:tab w:val="left" w:pos="3280"/>
          <w:tab w:val="left" w:pos="4680"/>
          <w:tab w:val="left" w:pos="6080"/>
        </w:tabs>
        <w:autoSpaceDE w:val="0"/>
        <w:autoSpaceDN w:val="0"/>
        <w:adjustRightInd w:val="0"/>
        <w:snapToGrid w:val="0"/>
        <w:spacing w:line="360" w:lineRule="auto"/>
        <w:jc w:val="center"/>
        <w:rPr>
          <w:rFonts w:cs="宋体" w:asciiTheme="majorEastAsia" w:hAnsiTheme="majorEastAsia" w:eastAsiaTheme="majorEastAsia"/>
          <w:sz w:val="44"/>
          <w:szCs w:val="44"/>
        </w:rPr>
      </w:pPr>
    </w:p>
    <w:p>
      <w:pPr>
        <w:tabs>
          <w:tab w:val="left" w:pos="3280"/>
          <w:tab w:val="left" w:pos="4680"/>
          <w:tab w:val="left" w:pos="6080"/>
        </w:tabs>
        <w:autoSpaceDE w:val="0"/>
        <w:autoSpaceDN w:val="0"/>
        <w:adjustRightInd w:val="0"/>
        <w:snapToGrid w:val="0"/>
        <w:spacing w:line="360" w:lineRule="auto"/>
        <w:rPr>
          <w:rFonts w:cs="宋体" w:asciiTheme="majorEastAsia" w:hAnsiTheme="majorEastAsia" w:eastAsiaTheme="majorEastAsia"/>
          <w:sz w:val="44"/>
          <w:szCs w:val="44"/>
        </w:rPr>
      </w:pPr>
      <w:r>
        <w:rPr>
          <w:rFonts w:cs="宋体" w:asciiTheme="majorEastAsia" w:hAnsiTheme="majorEastAsia" w:eastAsiaTheme="majorEastAsia"/>
          <w:sz w:val="44"/>
          <w:szCs w:val="44"/>
        </w:rPr>
        <w:br w:type="page"/>
      </w:r>
    </w:p>
    <w:p>
      <w:pPr>
        <w:keepNext/>
        <w:keepLines/>
        <w:spacing w:before="120" w:line="360" w:lineRule="auto"/>
        <w:jc w:val="center"/>
        <w:outlineLvl w:val="2"/>
        <w:rPr>
          <w:rFonts w:asciiTheme="majorEastAsia" w:hAnsiTheme="majorEastAsia" w:eastAsiaTheme="majorEastAsia"/>
          <w:b/>
          <w:bCs/>
          <w:snapToGrid w:val="0"/>
          <w:sz w:val="28"/>
          <w:szCs w:val="28"/>
        </w:rPr>
      </w:pPr>
      <w:bookmarkStart w:id="1704" w:name="_Toc32154"/>
      <w:bookmarkStart w:id="1705" w:name="_Toc502846067"/>
      <w:bookmarkStart w:id="1706" w:name="_Toc507402432"/>
      <w:bookmarkStart w:id="1707" w:name="_Toc501704633"/>
      <w:bookmarkStart w:id="1708" w:name="_Toc37612529"/>
      <w:bookmarkStart w:id="1709" w:name="_Toc130957867"/>
      <w:bookmarkStart w:id="1710" w:name="_Toc38351716"/>
      <w:r>
        <w:rPr>
          <w:rFonts w:hint="eastAsia" w:asciiTheme="majorEastAsia" w:hAnsiTheme="majorEastAsia" w:eastAsiaTheme="majorEastAsia"/>
          <w:b/>
          <w:bCs/>
          <w:snapToGrid w:val="0"/>
          <w:sz w:val="28"/>
          <w:szCs w:val="28"/>
        </w:rPr>
        <w:t>（一）</w:t>
      </w:r>
      <w:r>
        <w:rPr>
          <w:rFonts w:hint="eastAsia" w:cs="宋体" w:asciiTheme="majorEastAsia" w:hAnsiTheme="majorEastAsia" w:eastAsiaTheme="majorEastAsia"/>
          <w:b/>
          <w:kern w:val="0"/>
          <w:sz w:val="28"/>
          <w:szCs w:val="28"/>
        </w:rPr>
        <w:t>比选申请</w:t>
      </w:r>
      <w:r>
        <w:rPr>
          <w:rFonts w:hint="eastAsia" w:asciiTheme="majorEastAsia" w:hAnsiTheme="majorEastAsia" w:eastAsiaTheme="majorEastAsia"/>
          <w:b/>
          <w:bCs/>
          <w:snapToGrid w:val="0"/>
          <w:sz w:val="28"/>
          <w:szCs w:val="28"/>
        </w:rPr>
        <w:t>函</w:t>
      </w:r>
      <w:bookmarkEnd w:id="1704"/>
      <w:bookmarkEnd w:id="1705"/>
      <w:bookmarkEnd w:id="1706"/>
      <w:bookmarkEnd w:id="1707"/>
    </w:p>
    <w:p>
      <w:pPr>
        <w:tabs>
          <w:tab w:val="left" w:pos="2640"/>
        </w:tabs>
        <w:autoSpaceDE w:val="0"/>
        <w:autoSpaceDN w:val="0"/>
        <w:adjustRightInd w:val="0"/>
        <w:snapToGrid w:val="0"/>
        <w:spacing w:line="360" w:lineRule="auto"/>
        <w:ind w:right="-20"/>
        <w:jc w:val="left"/>
        <w:rPr>
          <w:rFonts w:asciiTheme="majorEastAsia" w:hAnsiTheme="majorEastAsia" w:eastAsiaTheme="majorEastAsia"/>
          <w:snapToGrid w:val="0"/>
          <w:kern w:val="0"/>
          <w:szCs w:val="21"/>
          <w:u w:val="single"/>
        </w:rPr>
      </w:pPr>
    </w:p>
    <w:p>
      <w:pPr>
        <w:ind w:firstLine="420"/>
        <w:rPr>
          <w:lang w:bidi="ar"/>
        </w:rPr>
      </w:pPr>
    </w:p>
    <w:p>
      <w:pPr>
        <w:autoSpaceDE w:val="0"/>
        <w:autoSpaceDN w:val="0"/>
        <w:adjustRightInd w:val="0"/>
        <w:spacing w:line="360" w:lineRule="auto"/>
        <w:ind w:right="-20"/>
        <w:jc w:val="left"/>
        <w:rPr>
          <w:rFonts w:ascii="宋体" w:hAnsi="宋体" w:cs="Courier 10 Pitch"/>
          <w:kern w:val="0"/>
          <w:sz w:val="22"/>
          <w:szCs w:val="22"/>
        </w:rPr>
      </w:pPr>
      <w:r>
        <w:rPr>
          <w:rFonts w:hint="eastAsia" w:ascii="宋体" w:hAnsi="宋体" w:cs="Courier 10 Pitch"/>
          <w:kern w:val="0"/>
          <w:sz w:val="22"/>
          <w:szCs w:val="22"/>
        </w:rPr>
        <w:t>致：</w:t>
      </w:r>
      <w:r>
        <w:rPr>
          <w:rFonts w:hint="eastAsia" w:ascii="宋体" w:hAnsi="宋体" w:cs="Courier 10 Pitch"/>
          <w:kern w:val="0"/>
          <w:sz w:val="22"/>
          <w:szCs w:val="22"/>
          <w:u w:val="single"/>
        </w:rPr>
        <w:t xml:space="preserve">                       </w:t>
      </w:r>
      <w:r>
        <w:rPr>
          <w:rFonts w:hint="eastAsia" w:ascii="宋体" w:hAnsi="宋体" w:cs="Courier 10 Pitch"/>
          <w:kern w:val="0"/>
          <w:sz w:val="22"/>
          <w:szCs w:val="22"/>
        </w:rPr>
        <w:t xml:space="preserve">（比选人） </w:t>
      </w:r>
    </w:p>
    <w:p>
      <w:pPr>
        <w:autoSpaceDE w:val="0"/>
        <w:autoSpaceDN w:val="0"/>
        <w:adjustRightInd w:val="0"/>
        <w:spacing w:line="360" w:lineRule="auto"/>
        <w:ind w:right="-20"/>
        <w:jc w:val="left"/>
        <w:rPr>
          <w:rFonts w:ascii="宋体" w:hAnsi="宋体" w:cs="Courier 10 Pitch"/>
          <w:kern w:val="0"/>
          <w:sz w:val="22"/>
          <w:szCs w:val="22"/>
        </w:rPr>
      </w:pPr>
    </w:p>
    <w:p>
      <w:pPr>
        <w:autoSpaceDE w:val="0"/>
        <w:autoSpaceDN w:val="0"/>
        <w:adjustRightInd w:val="0"/>
        <w:spacing w:line="360" w:lineRule="auto"/>
        <w:ind w:right="-20" w:firstLine="440" w:firstLineChars="200"/>
        <w:jc w:val="left"/>
        <w:rPr>
          <w:rFonts w:ascii="宋体" w:hAnsi="宋体" w:cs="Courier 10 Pitch"/>
          <w:kern w:val="0"/>
          <w:sz w:val="22"/>
          <w:szCs w:val="22"/>
        </w:rPr>
      </w:pPr>
      <w:r>
        <w:rPr>
          <w:rFonts w:hint="eastAsia" w:ascii="宋体" w:hAnsi="宋体"/>
          <w:sz w:val="22"/>
          <w:szCs w:val="22"/>
        </w:rPr>
        <w:t>1.我方已仔细研究了</w:t>
      </w:r>
      <w:r>
        <w:rPr>
          <w:rFonts w:hint="eastAsia" w:ascii="宋体" w:hAnsi="宋体"/>
          <w:bCs/>
          <w:sz w:val="22"/>
          <w:szCs w:val="22"/>
          <w:u w:val="single"/>
        </w:rPr>
        <w:t xml:space="preserve">                     （项目名称）</w:t>
      </w:r>
      <w:r>
        <w:rPr>
          <w:rFonts w:hint="eastAsia" w:ascii="宋体" w:hAnsi="宋体"/>
          <w:sz w:val="22"/>
          <w:szCs w:val="22"/>
        </w:rPr>
        <w:t>比选文件的全部内容，愿意以人民币（大写）</w:t>
      </w:r>
      <w:r>
        <w:rPr>
          <w:rFonts w:hint="eastAsia" w:ascii="宋体" w:hAnsi="宋体"/>
          <w:sz w:val="22"/>
          <w:szCs w:val="22"/>
          <w:u w:val="single"/>
        </w:rPr>
        <w:t xml:space="preserve">               </w:t>
      </w:r>
      <w:r>
        <w:rPr>
          <w:rFonts w:hint="eastAsia" w:ascii="宋体" w:hAnsi="宋体"/>
          <w:sz w:val="22"/>
          <w:szCs w:val="22"/>
        </w:rPr>
        <w:t>（¥</w:t>
      </w:r>
      <w:r>
        <w:rPr>
          <w:rFonts w:hint="eastAsia" w:ascii="宋体" w:hAnsi="宋体"/>
          <w:sz w:val="22"/>
          <w:szCs w:val="22"/>
        </w:rPr>
        <w:tab/>
      </w:r>
      <w:r>
        <w:rPr>
          <w:rFonts w:hint="eastAsia" w:ascii="宋体" w:hAnsi="宋体"/>
          <w:sz w:val="22"/>
          <w:szCs w:val="22"/>
          <w:u w:val="single"/>
        </w:rPr>
        <w:t xml:space="preserve">             </w:t>
      </w:r>
      <w:r>
        <w:rPr>
          <w:rFonts w:hint="eastAsia" w:ascii="宋体" w:hAnsi="宋体"/>
          <w:sz w:val="22"/>
          <w:szCs w:val="22"/>
        </w:rPr>
        <w:t>）的投标总报价，其中安全文明施工费暂定金额为人民币</w:t>
      </w:r>
      <w:r>
        <w:rPr>
          <w:rFonts w:hint="eastAsia" w:ascii="宋体" w:hAnsi="宋体"/>
          <w:sz w:val="22"/>
          <w:szCs w:val="22"/>
          <w:u w:val="single"/>
        </w:rPr>
        <w:t>40345.15</w:t>
      </w:r>
      <w:r>
        <w:rPr>
          <w:rFonts w:hint="eastAsia" w:ascii="宋体" w:hAnsi="宋体"/>
          <w:sz w:val="22"/>
          <w:szCs w:val="22"/>
        </w:rPr>
        <w:t>元，专业工程暂估价金额为人民币</w:t>
      </w:r>
      <w:r>
        <w:rPr>
          <w:rFonts w:hint="eastAsia" w:ascii="宋体" w:hAnsi="宋体"/>
          <w:sz w:val="22"/>
          <w:szCs w:val="22"/>
          <w:u w:val="single"/>
          <w:lang w:val="en-US" w:eastAsia="zh-CN"/>
        </w:rPr>
        <w:t>200000</w:t>
      </w:r>
      <w:r>
        <w:rPr>
          <w:rFonts w:hint="eastAsia" w:ascii="宋体" w:hAnsi="宋体"/>
          <w:sz w:val="22"/>
          <w:szCs w:val="22"/>
        </w:rPr>
        <w:t>元，暂列金为人民币</w:t>
      </w:r>
      <w:r>
        <w:rPr>
          <w:rFonts w:hint="eastAsia" w:ascii="宋体" w:hAnsi="宋体"/>
          <w:sz w:val="22"/>
          <w:szCs w:val="22"/>
          <w:u w:val="single"/>
          <w:lang w:val="en-US" w:eastAsia="zh-CN"/>
        </w:rPr>
        <w:t>100000</w:t>
      </w:r>
      <w:r>
        <w:rPr>
          <w:rFonts w:hint="eastAsia" w:ascii="宋体" w:hAnsi="宋体"/>
          <w:sz w:val="22"/>
          <w:szCs w:val="22"/>
        </w:rPr>
        <w:t>元。该工程项目经理为</w:t>
      </w:r>
      <w:r>
        <w:rPr>
          <w:rFonts w:hint="eastAsia" w:ascii="宋体" w:hAnsi="宋体"/>
          <w:sz w:val="22"/>
          <w:szCs w:val="22"/>
          <w:u w:val="single"/>
        </w:rPr>
        <w:t xml:space="preserve">        </w:t>
      </w:r>
      <w:r>
        <w:rPr>
          <w:rFonts w:hint="eastAsia" w:ascii="宋体" w:hAnsi="宋体"/>
          <w:sz w:val="22"/>
          <w:szCs w:val="22"/>
        </w:rPr>
        <w:t>，身份证号码为</w:t>
      </w:r>
      <w:r>
        <w:rPr>
          <w:rFonts w:hint="eastAsia" w:ascii="宋体" w:hAnsi="宋体"/>
          <w:sz w:val="22"/>
          <w:szCs w:val="22"/>
          <w:u w:val="single"/>
        </w:rPr>
        <w:t xml:space="preserve">                </w:t>
      </w:r>
      <w:r>
        <w:rPr>
          <w:rFonts w:hint="eastAsia" w:ascii="宋体" w:hAnsi="宋体"/>
          <w:sz w:val="22"/>
          <w:szCs w:val="22"/>
        </w:rPr>
        <w:t>；委托代理人为：</w:t>
      </w:r>
      <w:r>
        <w:rPr>
          <w:rFonts w:hint="eastAsia" w:ascii="宋体" w:hAnsi="宋体"/>
          <w:sz w:val="22"/>
          <w:szCs w:val="22"/>
          <w:u w:val="single"/>
        </w:rPr>
        <w:t xml:space="preserve">        </w:t>
      </w:r>
      <w:r>
        <w:rPr>
          <w:rFonts w:hint="eastAsia" w:ascii="宋体" w:hAnsi="宋体"/>
          <w:sz w:val="22"/>
          <w:szCs w:val="22"/>
        </w:rPr>
        <w:t>，身份证号码为</w:t>
      </w:r>
      <w:r>
        <w:rPr>
          <w:rFonts w:hint="eastAsia" w:ascii="宋体" w:hAnsi="宋体"/>
          <w:sz w:val="22"/>
          <w:szCs w:val="22"/>
          <w:u w:val="single"/>
        </w:rPr>
        <w:t xml:space="preserve">                    </w:t>
      </w:r>
      <w:r>
        <w:rPr>
          <w:rFonts w:hint="eastAsia" w:ascii="宋体" w:hAnsi="宋体"/>
          <w:sz w:val="22"/>
          <w:szCs w:val="22"/>
        </w:rPr>
        <w:t>。工期</w:t>
      </w:r>
      <w:r>
        <w:rPr>
          <w:rFonts w:hint="eastAsia" w:ascii="宋体" w:hAnsi="宋体"/>
          <w:sz w:val="22"/>
          <w:szCs w:val="22"/>
          <w:u w:val="single"/>
        </w:rPr>
        <w:t xml:space="preserve">   </w:t>
      </w:r>
      <w:r>
        <w:rPr>
          <w:rFonts w:hint="eastAsia" w:ascii="宋体" w:hAnsi="宋体"/>
          <w:sz w:val="22"/>
          <w:szCs w:val="22"/>
          <w:u w:val="single"/>
        </w:rPr>
        <w:tab/>
      </w:r>
      <w:r>
        <w:rPr>
          <w:rFonts w:hint="eastAsia" w:ascii="宋体" w:hAnsi="宋体"/>
          <w:sz w:val="22"/>
          <w:szCs w:val="22"/>
        </w:rPr>
        <w:t>日历天， 按合同约定实施和完成承包工程，修补工程中的任何缺陷，工程质量达到</w:t>
      </w:r>
      <w:r>
        <w:rPr>
          <w:rFonts w:hint="eastAsia" w:ascii="宋体" w:hAnsi="宋体"/>
          <w:sz w:val="22"/>
          <w:szCs w:val="22"/>
          <w:u w:val="single"/>
        </w:rPr>
        <w:tab/>
      </w:r>
      <w:r>
        <w:rPr>
          <w:rFonts w:hint="eastAsia" w:ascii="宋体" w:hAnsi="宋体"/>
          <w:sz w:val="22"/>
          <w:szCs w:val="22"/>
          <w:u w:val="single"/>
        </w:rPr>
        <w:tab/>
      </w:r>
      <w:r>
        <w:rPr>
          <w:rFonts w:hint="eastAsia" w:ascii="宋体" w:hAnsi="宋体"/>
          <w:sz w:val="22"/>
          <w:szCs w:val="22"/>
          <w:u w:val="single"/>
        </w:rPr>
        <w:t xml:space="preserve">          </w:t>
      </w:r>
      <w:r>
        <w:rPr>
          <w:rFonts w:hint="eastAsia" w:ascii="宋体" w:hAnsi="宋体"/>
          <w:sz w:val="22"/>
          <w:szCs w:val="22"/>
        </w:rPr>
        <w:t>。</w:t>
      </w:r>
    </w:p>
    <w:p>
      <w:pPr>
        <w:autoSpaceDE w:val="0"/>
        <w:autoSpaceDN w:val="0"/>
        <w:adjustRightInd w:val="0"/>
        <w:spacing w:line="360" w:lineRule="auto"/>
        <w:ind w:right="-20" w:firstLine="440" w:firstLineChars="200"/>
        <w:jc w:val="left"/>
        <w:rPr>
          <w:rFonts w:ascii="宋体" w:hAnsi="宋体"/>
          <w:sz w:val="22"/>
          <w:szCs w:val="22"/>
        </w:rPr>
      </w:pPr>
      <w:r>
        <w:rPr>
          <w:rFonts w:hint="eastAsia" w:ascii="宋体" w:hAnsi="宋体"/>
          <w:sz w:val="22"/>
          <w:szCs w:val="22"/>
        </w:rPr>
        <w:t>2.我方承诺在比选申请有效期内不修改、撤销比选申请文件。</w:t>
      </w:r>
    </w:p>
    <w:p>
      <w:pPr>
        <w:autoSpaceDE w:val="0"/>
        <w:autoSpaceDN w:val="0"/>
        <w:adjustRightInd w:val="0"/>
        <w:spacing w:line="360" w:lineRule="auto"/>
        <w:ind w:right="-20" w:firstLine="440" w:firstLineChars="200"/>
        <w:jc w:val="left"/>
        <w:rPr>
          <w:rFonts w:ascii="宋体" w:hAnsi="宋体"/>
          <w:sz w:val="22"/>
          <w:szCs w:val="22"/>
        </w:rPr>
      </w:pPr>
      <w:r>
        <w:rPr>
          <w:rFonts w:hint="eastAsia" w:ascii="宋体" w:hAnsi="宋体"/>
          <w:sz w:val="22"/>
          <w:szCs w:val="22"/>
        </w:rPr>
        <w:t>3.如我方中选：</w:t>
      </w:r>
    </w:p>
    <w:p>
      <w:pPr>
        <w:autoSpaceDE w:val="0"/>
        <w:autoSpaceDN w:val="0"/>
        <w:adjustRightInd w:val="0"/>
        <w:spacing w:line="360" w:lineRule="auto"/>
        <w:ind w:right="-20" w:firstLine="440" w:firstLineChars="200"/>
        <w:jc w:val="left"/>
        <w:rPr>
          <w:rFonts w:ascii="宋体" w:hAnsi="宋体"/>
          <w:sz w:val="22"/>
          <w:szCs w:val="22"/>
        </w:rPr>
      </w:pPr>
      <w:r>
        <w:rPr>
          <w:rFonts w:hint="eastAsia" w:ascii="宋体" w:hAnsi="宋体"/>
          <w:sz w:val="22"/>
          <w:szCs w:val="22"/>
        </w:rPr>
        <w:t>（1）我方承诺在收到中选通知书后，在中选通知书规定的期限内与你方签订合同。</w:t>
      </w:r>
    </w:p>
    <w:p>
      <w:pPr>
        <w:autoSpaceDE w:val="0"/>
        <w:autoSpaceDN w:val="0"/>
        <w:adjustRightInd w:val="0"/>
        <w:spacing w:line="360" w:lineRule="auto"/>
        <w:ind w:right="-20" w:firstLine="440" w:firstLineChars="200"/>
        <w:jc w:val="left"/>
        <w:rPr>
          <w:rFonts w:ascii="宋体" w:hAnsi="宋体"/>
          <w:sz w:val="22"/>
          <w:szCs w:val="22"/>
        </w:rPr>
      </w:pPr>
      <w:r>
        <w:rPr>
          <w:rFonts w:hint="eastAsia" w:ascii="宋体" w:hAnsi="宋体"/>
          <w:sz w:val="22"/>
          <w:szCs w:val="22"/>
        </w:rPr>
        <w:t>（2）我方承诺按照比选文件规定向你方递交履约保证金。</w:t>
      </w:r>
    </w:p>
    <w:p>
      <w:pPr>
        <w:autoSpaceDE w:val="0"/>
        <w:autoSpaceDN w:val="0"/>
        <w:adjustRightInd w:val="0"/>
        <w:spacing w:line="360" w:lineRule="auto"/>
        <w:ind w:right="-20" w:firstLine="440" w:firstLineChars="200"/>
        <w:jc w:val="left"/>
        <w:rPr>
          <w:rFonts w:ascii="宋体" w:hAnsi="宋体"/>
          <w:sz w:val="22"/>
          <w:szCs w:val="22"/>
        </w:rPr>
      </w:pPr>
      <w:r>
        <w:rPr>
          <w:rFonts w:hint="eastAsia" w:ascii="宋体" w:hAnsi="宋体"/>
          <w:sz w:val="22"/>
          <w:szCs w:val="22"/>
        </w:rPr>
        <w:t>（3）我方承诺在合同约定的期限内完成并移交全部合同工程。</w:t>
      </w:r>
    </w:p>
    <w:p>
      <w:pPr>
        <w:autoSpaceDE w:val="0"/>
        <w:autoSpaceDN w:val="0"/>
        <w:adjustRightInd w:val="0"/>
        <w:spacing w:line="360" w:lineRule="auto"/>
        <w:ind w:right="-20" w:firstLine="440" w:firstLineChars="200"/>
        <w:jc w:val="left"/>
        <w:rPr>
          <w:rFonts w:ascii="宋体" w:hAnsi="宋体" w:cs="Courier 10 Pitch"/>
          <w:kern w:val="0"/>
          <w:sz w:val="22"/>
          <w:szCs w:val="22"/>
        </w:rPr>
      </w:pPr>
      <w:r>
        <w:rPr>
          <w:rFonts w:hint="eastAsia" w:ascii="宋体" w:hAnsi="宋体"/>
          <w:sz w:val="22"/>
          <w:szCs w:val="22"/>
        </w:rPr>
        <w:t>4.我方在此声明，所递交的比选申请文件及有关资料内容完整、真实和准确</w:t>
      </w:r>
      <w:r>
        <w:rPr>
          <w:rFonts w:hint="eastAsia" w:ascii="宋体" w:hAnsi="宋体" w:cs="Courier 10 Pitch"/>
          <w:kern w:val="0"/>
          <w:sz w:val="22"/>
          <w:szCs w:val="22"/>
        </w:rPr>
        <w:t>。同时我方承诺接受比选文件及附件、答疑及补遗通知中所有的内容。</w:t>
      </w:r>
    </w:p>
    <w:p>
      <w:pPr>
        <w:autoSpaceDE w:val="0"/>
        <w:autoSpaceDN w:val="0"/>
        <w:adjustRightInd w:val="0"/>
        <w:spacing w:line="360" w:lineRule="auto"/>
        <w:ind w:right="-20" w:firstLine="440" w:firstLineChars="200"/>
        <w:jc w:val="left"/>
        <w:rPr>
          <w:rFonts w:ascii="宋体" w:hAnsi="宋体" w:cs="Courier 10 Pitch"/>
          <w:kern w:val="0"/>
          <w:sz w:val="22"/>
          <w:szCs w:val="22"/>
        </w:rPr>
      </w:pPr>
      <w:r>
        <w:rPr>
          <w:rFonts w:hint="eastAsia" w:ascii="宋体" w:hAnsi="宋体" w:cs="方正小标宋简体"/>
          <w:kern w:val="0"/>
          <w:sz w:val="22"/>
          <w:szCs w:val="22"/>
        </w:rPr>
        <w:t>5.</w:t>
      </w:r>
      <w:r>
        <w:rPr>
          <w:rFonts w:hint="eastAsia" w:ascii="宋体" w:hAnsi="宋体" w:cs="Courier 10 Pitch"/>
          <w:kern w:val="0"/>
          <w:sz w:val="22"/>
          <w:szCs w:val="22"/>
          <w:u w:val="single"/>
        </w:rPr>
        <w:t xml:space="preserve">                </w:t>
      </w:r>
      <w:r>
        <w:rPr>
          <w:rFonts w:hint="eastAsia" w:ascii="宋体" w:hAnsi="宋体" w:cs="方正小标宋简体"/>
          <w:kern w:val="0"/>
          <w:sz w:val="22"/>
          <w:szCs w:val="22"/>
          <w:u w:val="single"/>
        </w:rPr>
        <w:tab/>
      </w:r>
      <w:r>
        <w:rPr>
          <w:rFonts w:hint="eastAsia" w:ascii="宋体" w:hAnsi="宋体" w:cs="Courier 10 Pitch"/>
          <w:kern w:val="0"/>
          <w:sz w:val="22"/>
          <w:szCs w:val="22"/>
        </w:rPr>
        <w:t>（其他补充说明）。</w:t>
      </w:r>
    </w:p>
    <w:p>
      <w:pPr>
        <w:spacing w:line="360" w:lineRule="auto"/>
        <w:ind w:firstLine="420"/>
        <w:jc w:val="left"/>
        <w:rPr>
          <w:rFonts w:ascii="宋体" w:hAnsi="宋体" w:cs="Courier 10 Pitch"/>
          <w:kern w:val="0"/>
          <w:sz w:val="22"/>
          <w:szCs w:val="22"/>
        </w:rPr>
      </w:pPr>
    </w:p>
    <w:p>
      <w:pPr>
        <w:spacing w:line="360" w:lineRule="auto"/>
        <w:ind w:firstLine="420"/>
        <w:jc w:val="left"/>
        <w:rPr>
          <w:rFonts w:ascii="宋体" w:hAnsi="宋体" w:cs="Courier 10 Pitch"/>
          <w:kern w:val="0"/>
          <w:sz w:val="22"/>
          <w:szCs w:val="22"/>
        </w:rPr>
      </w:pPr>
    </w:p>
    <w:p>
      <w:pPr>
        <w:spacing w:line="360" w:lineRule="auto"/>
        <w:ind w:firstLine="420"/>
        <w:jc w:val="left"/>
        <w:rPr>
          <w:rFonts w:ascii="宋体" w:hAnsi="宋体" w:cs="Courier 10 Pitch"/>
          <w:kern w:val="0"/>
          <w:sz w:val="22"/>
          <w:szCs w:val="22"/>
        </w:rPr>
      </w:pPr>
    </w:p>
    <w:p>
      <w:pPr>
        <w:spacing w:line="360" w:lineRule="auto"/>
        <w:ind w:firstLine="420"/>
        <w:jc w:val="left"/>
        <w:rPr>
          <w:rFonts w:ascii="宋体" w:hAnsi="宋体" w:cs="Courier 10 Pitch"/>
          <w:kern w:val="0"/>
          <w:sz w:val="22"/>
          <w:szCs w:val="22"/>
        </w:rPr>
      </w:pPr>
    </w:p>
    <w:p>
      <w:pPr>
        <w:spacing w:line="360" w:lineRule="auto"/>
        <w:ind w:firstLine="3309" w:firstLineChars="1504"/>
        <w:rPr>
          <w:rFonts w:ascii="宋体" w:hAnsi="宋体"/>
          <w:sz w:val="22"/>
          <w:szCs w:val="22"/>
        </w:rPr>
      </w:pPr>
      <w:r>
        <w:rPr>
          <w:rFonts w:hint="eastAsia" w:ascii="宋体" w:hAnsi="宋体"/>
          <w:sz w:val="22"/>
          <w:szCs w:val="22"/>
        </w:rPr>
        <w:t>比选申请人：</w:t>
      </w:r>
      <w:r>
        <w:rPr>
          <w:rFonts w:hint="eastAsia" w:ascii="宋体" w:hAnsi="宋体"/>
          <w:sz w:val="22"/>
          <w:szCs w:val="22"/>
          <w:u w:val="single"/>
        </w:rPr>
        <w:t xml:space="preserve">                       </w:t>
      </w:r>
      <w:r>
        <w:rPr>
          <w:rFonts w:hint="eastAsia" w:ascii="宋体" w:hAnsi="宋体" w:cs="宋体"/>
          <w:sz w:val="22"/>
          <w:szCs w:val="22"/>
          <w:lang w:bidi="ar"/>
        </w:rPr>
        <w:t>（盖单位章）</w:t>
      </w:r>
    </w:p>
    <w:p>
      <w:pPr>
        <w:spacing w:line="360" w:lineRule="auto"/>
        <w:ind w:firstLine="3309" w:firstLineChars="1504"/>
        <w:rPr>
          <w:rFonts w:ascii="宋体" w:hAnsi="宋体"/>
          <w:sz w:val="22"/>
          <w:szCs w:val="22"/>
        </w:rPr>
      </w:pPr>
      <w:r>
        <w:rPr>
          <w:rFonts w:hint="eastAsia" w:ascii="宋体" w:hAnsi="宋体"/>
          <w:sz w:val="22"/>
          <w:szCs w:val="22"/>
        </w:rPr>
        <w:t>法定代表人或其委托代理人：</w:t>
      </w:r>
      <w:r>
        <w:rPr>
          <w:rFonts w:hint="eastAsia" w:ascii="宋体" w:hAnsi="宋体"/>
          <w:sz w:val="22"/>
          <w:szCs w:val="22"/>
          <w:u w:val="single"/>
        </w:rPr>
        <w:t xml:space="preserve">       </w:t>
      </w:r>
      <w:r>
        <w:rPr>
          <w:rFonts w:hint="eastAsia" w:ascii="宋体" w:hAnsi="宋体"/>
          <w:sz w:val="22"/>
          <w:szCs w:val="22"/>
        </w:rPr>
        <w:t>（签字或盖章）</w:t>
      </w:r>
    </w:p>
    <w:p>
      <w:pPr>
        <w:spacing w:line="360" w:lineRule="auto"/>
        <w:ind w:firstLine="3309" w:firstLineChars="1504"/>
        <w:rPr>
          <w:rFonts w:ascii="宋体" w:hAnsi="宋体"/>
          <w:sz w:val="22"/>
          <w:szCs w:val="22"/>
        </w:rPr>
      </w:pPr>
      <w:r>
        <w:rPr>
          <w:rFonts w:hint="eastAsia" w:ascii="宋体" w:hAnsi="宋体"/>
          <w:sz w:val="22"/>
          <w:szCs w:val="22"/>
        </w:rPr>
        <w:t>地址：</w:t>
      </w:r>
      <w:r>
        <w:rPr>
          <w:rFonts w:hint="eastAsia" w:ascii="宋体" w:hAnsi="宋体"/>
          <w:sz w:val="22"/>
          <w:szCs w:val="22"/>
          <w:u w:val="single"/>
        </w:rPr>
        <w:t xml:space="preserve">                                 </w:t>
      </w:r>
    </w:p>
    <w:p>
      <w:pPr>
        <w:spacing w:line="360" w:lineRule="auto"/>
        <w:ind w:firstLine="3309" w:firstLineChars="1504"/>
        <w:rPr>
          <w:rFonts w:ascii="宋体" w:hAnsi="宋体"/>
          <w:sz w:val="22"/>
          <w:szCs w:val="22"/>
        </w:rPr>
      </w:pPr>
      <w:r>
        <w:rPr>
          <w:rFonts w:hint="eastAsia" w:ascii="宋体" w:hAnsi="宋体"/>
          <w:sz w:val="22"/>
          <w:szCs w:val="22"/>
        </w:rPr>
        <w:t>电话：</w:t>
      </w:r>
      <w:r>
        <w:rPr>
          <w:rFonts w:hint="eastAsia" w:ascii="宋体" w:hAnsi="宋体"/>
          <w:sz w:val="22"/>
          <w:szCs w:val="22"/>
          <w:u w:val="single"/>
        </w:rPr>
        <w:t xml:space="preserve">                                 </w:t>
      </w:r>
    </w:p>
    <w:p>
      <w:pPr>
        <w:spacing w:line="360" w:lineRule="auto"/>
        <w:ind w:firstLine="3309" w:firstLineChars="1504"/>
        <w:rPr>
          <w:rFonts w:ascii="宋体" w:hAnsi="宋体"/>
          <w:sz w:val="22"/>
          <w:szCs w:val="22"/>
        </w:rPr>
      </w:pPr>
      <w:r>
        <w:rPr>
          <w:rFonts w:hint="eastAsia" w:ascii="宋体" w:hAnsi="宋体"/>
          <w:sz w:val="22"/>
          <w:szCs w:val="22"/>
        </w:rPr>
        <w:t>传真：</w:t>
      </w:r>
      <w:r>
        <w:rPr>
          <w:rFonts w:hint="eastAsia" w:ascii="宋体" w:hAnsi="宋体"/>
          <w:sz w:val="22"/>
          <w:szCs w:val="22"/>
          <w:u w:val="single"/>
        </w:rPr>
        <w:t xml:space="preserve">                                 </w:t>
      </w:r>
    </w:p>
    <w:p>
      <w:pPr>
        <w:spacing w:line="360" w:lineRule="auto"/>
        <w:ind w:firstLine="3309" w:firstLineChars="1504"/>
        <w:rPr>
          <w:rFonts w:ascii="宋体" w:hAnsi="宋体"/>
          <w:sz w:val="22"/>
          <w:szCs w:val="22"/>
        </w:rPr>
      </w:pPr>
      <w:r>
        <w:rPr>
          <w:rFonts w:hint="eastAsia" w:ascii="宋体" w:hAnsi="宋体" w:cs="方正小标宋简体"/>
          <w:sz w:val="22"/>
          <w:szCs w:val="22"/>
        </w:rPr>
        <w:t>日期：</w:t>
      </w:r>
      <w:r>
        <w:rPr>
          <w:rFonts w:hint="eastAsia" w:ascii="宋体" w:hAnsi="宋体" w:cs="方正小标宋简体"/>
          <w:sz w:val="22"/>
          <w:szCs w:val="22"/>
          <w:u w:val="single"/>
        </w:rPr>
        <w:t xml:space="preserve">          </w:t>
      </w:r>
      <w:r>
        <w:rPr>
          <w:rFonts w:hint="eastAsia" w:ascii="宋体" w:hAnsi="宋体" w:cs="方正小标宋简体"/>
          <w:sz w:val="22"/>
          <w:szCs w:val="22"/>
        </w:rPr>
        <w:t>年</w:t>
      </w:r>
      <w:r>
        <w:rPr>
          <w:rFonts w:hint="eastAsia" w:ascii="宋体" w:hAnsi="宋体" w:cs="方正小标宋简体"/>
          <w:sz w:val="22"/>
          <w:szCs w:val="22"/>
          <w:u w:val="single"/>
        </w:rPr>
        <w:t xml:space="preserve">        </w:t>
      </w:r>
      <w:r>
        <w:rPr>
          <w:rFonts w:hint="eastAsia" w:ascii="宋体" w:hAnsi="宋体" w:cs="方正小标宋简体"/>
          <w:sz w:val="22"/>
          <w:szCs w:val="22"/>
        </w:rPr>
        <w:t>月</w:t>
      </w:r>
      <w:r>
        <w:rPr>
          <w:rFonts w:hint="eastAsia" w:ascii="宋体" w:hAnsi="宋体" w:cs="方正小标宋简体"/>
          <w:sz w:val="22"/>
          <w:szCs w:val="22"/>
          <w:u w:val="single"/>
        </w:rPr>
        <w:t xml:space="preserve">       </w:t>
      </w:r>
      <w:r>
        <w:rPr>
          <w:rFonts w:hint="eastAsia" w:ascii="宋体" w:hAnsi="宋体" w:cs="方正小标宋简体"/>
          <w:sz w:val="22"/>
          <w:szCs w:val="22"/>
        </w:rPr>
        <w:t>日</w:t>
      </w:r>
    </w:p>
    <w:p>
      <w:pPr>
        <w:spacing w:line="360" w:lineRule="auto"/>
        <w:rPr>
          <w:rFonts w:cs="MingLiU" w:asciiTheme="majorEastAsia" w:hAnsiTheme="majorEastAsia" w:eastAsiaTheme="majorEastAsia"/>
          <w:snapToGrid w:val="0"/>
          <w:kern w:val="0"/>
          <w:szCs w:val="21"/>
        </w:rPr>
      </w:pPr>
      <w:r>
        <w:rPr>
          <w:rFonts w:cs="MingLiU" w:asciiTheme="majorEastAsia" w:hAnsiTheme="majorEastAsia" w:eastAsiaTheme="majorEastAsia"/>
          <w:snapToGrid w:val="0"/>
          <w:kern w:val="0"/>
          <w:szCs w:val="21"/>
        </w:rPr>
        <w:br w:type="page"/>
      </w:r>
    </w:p>
    <w:bookmarkEnd w:id="1708"/>
    <w:bookmarkEnd w:id="1709"/>
    <w:bookmarkEnd w:id="1710"/>
    <w:p>
      <w:pPr>
        <w:keepNext/>
        <w:keepLines/>
        <w:spacing w:before="120" w:line="360" w:lineRule="auto"/>
        <w:jc w:val="center"/>
        <w:outlineLvl w:val="2"/>
        <w:rPr>
          <w:rFonts w:asciiTheme="majorEastAsia" w:hAnsiTheme="majorEastAsia" w:eastAsiaTheme="majorEastAsia"/>
          <w:b/>
          <w:bCs/>
          <w:snapToGrid w:val="0"/>
          <w:sz w:val="28"/>
          <w:szCs w:val="28"/>
        </w:rPr>
      </w:pPr>
      <w:bookmarkStart w:id="1711" w:name="_Toc507402433"/>
      <w:bookmarkStart w:id="1712" w:name="_Toc27468"/>
      <w:bookmarkStart w:id="1713" w:name="_Toc502846068"/>
      <w:bookmarkStart w:id="1714" w:name="_Toc501704634"/>
      <w:bookmarkStart w:id="1715" w:name="_Toc131224364"/>
      <w:r>
        <w:rPr>
          <w:rFonts w:hint="eastAsia" w:asciiTheme="majorEastAsia" w:hAnsiTheme="majorEastAsia" w:eastAsiaTheme="majorEastAsia"/>
          <w:b/>
          <w:bCs/>
          <w:snapToGrid w:val="0"/>
          <w:sz w:val="28"/>
          <w:szCs w:val="28"/>
        </w:rPr>
        <w:t>（二）法定代表人身份证明及授权委托书</w:t>
      </w:r>
      <w:bookmarkEnd w:id="1711"/>
      <w:bookmarkEnd w:id="1712"/>
      <w:bookmarkEnd w:id="1713"/>
      <w:bookmarkEnd w:id="1714"/>
    </w:p>
    <w:p>
      <w:pPr>
        <w:jc w:val="center"/>
        <w:rPr>
          <w:rFonts w:asciiTheme="majorEastAsia" w:hAnsiTheme="majorEastAsia" w:eastAsiaTheme="majorEastAsia"/>
          <w:b/>
          <w:bCs/>
          <w:szCs w:val="21"/>
        </w:rPr>
      </w:pPr>
      <w:r>
        <w:rPr>
          <w:rFonts w:hint="eastAsia" w:asciiTheme="majorEastAsia" w:hAnsiTheme="majorEastAsia" w:eastAsiaTheme="majorEastAsia"/>
          <w:b/>
          <w:bCs/>
          <w:sz w:val="28"/>
          <w:szCs w:val="28"/>
        </w:rPr>
        <w:t>法定代表人身份证明</w:t>
      </w:r>
    </w:p>
    <w:p>
      <w:pPr>
        <w:adjustRightInd w:val="0"/>
        <w:snapToGrid w:val="0"/>
        <w:spacing w:line="360" w:lineRule="auto"/>
        <w:ind w:firstLine="391" w:firstLineChars="186"/>
        <w:rPr>
          <w:rFonts w:asciiTheme="majorEastAsia" w:hAnsiTheme="majorEastAsia" w:eastAsiaTheme="majorEastAsia"/>
          <w:szCs w:val="21"/>
        </w:rPr>
      </w:pP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比选申请人名称：</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单位性质：</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地址：</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成立时间：</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 xml:space="preserve"> </w:t>
      </w:r>
      <w:r>
        <w:rPr>
          <w:rFonts w:hint="eastAsia" w:asciiTheme="majorEastAsia" w:hAnsiTheme="majorEastAsia" w:eastAsiaTheme="majorEastAsia"/>
          <w:spacing w:val="-1"/>
          <w:sz w:val="22"/>
          <w:szCs w:val="22"/>
        </w:rPr>
        <w:t>年</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 xml:space="preserve"> </w:t>
      </w:r>
      <w:r>
        <w:rPr>
          <w:rFonts w:hint="eastAsia" w:asciiTheme="majorEastAsia" w:hAnsiTheme="majorEastAsia" w:eastAsiaTheme="majorEastAsia"/>
          <w:spacing w:val="-1"/>
          <w:sz w:val="22"/>
          <w:szCs w:val="22"/>
        </w:rPr>
        <w:t>月</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日</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经营期限：</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姓名：</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 xml:space="preserve"> 性别</w:t>
      </w:r>
      <w:r>
        <w:rPr>
          <w:rFonts w:hint="eastAsia" w:asciiTheme="majorEastAsia" w:hAnsiTheme="majorEastAsia" w:eastAsiaTheme="majorEastAsia"/>
          <w:spacing w:val="-1"/>
          <w:sz w:val="22"/>
          <w:szCs w:val="22"/>
        </w:rPr>
        <w:t>：</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 xml:space="preserve"> </w:t>
      </w:r>
      <w:r>
        <w:rPr>
          <w:rFonts w:hint="eastAsia" w:asciiTheme="majorEastAsia" w:hAnsiTheme="majorEastAsia" w:eastAsiaTheme="majorEastAsia"/>
          <w:spacing w:val="-1"/>
          <w:sz w:val="22"/>
          <w:szCs w:val="22"/>
        </w:rPr>
        <w:t>年</w:t>
      </w:r>
      <w:r>
        <w:rPr>
          <w:rFonts w:hint="eastAsia" w:asciiTheme="majorEastAsia" w:hAnsiTheme="majorEastAsia" w:eastAsiaTheme="majorEastAsia"/>
          <w:sz w:val="22"/>
          <w:szCs w:val="22"/>
        </w:rPr>
        <w:t>龄：</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职务：</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系</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 xml:space="preserve"> （比选申请人名称）的法定代表人。</w:t>
      </w:r>
    </w:p>
    <w:p>
      <w:pPr>
        <w:adjustRightInd w:val="0"/>
        <w:snapToGrid w:val="0"/>
        <w:spacing w:line="360" w:lineRule="auto"/>
        <w:ind w:firstLine="409" w:firstLineChars="186"/>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ind w:firstLine="849" w:firstLineChars="386"/>
        <w:rPr>
          <w:rFonts w:asciiTheme="majorEastAsia" w:hAnsiTheme="majorEastAsia" w:eastAsiaTheme="majorEastAsia"/>
          <w:sz w:val="22"/>
          <w:szCs w:val="22"/>
        </w:rPr>
      </w:pPr>
      <w:r>
        <w:rPr>
          <w:rFonts w:hint="eastAsia" w:asciiTheme="majorEastAsia" w:hAnsiTheme="majorEastAsia" w:eastAsiaTheme="majorEastAsia"/>
          <w:sz w:val="22"/>
          <w:szCs w:val="22"/>
        </w:rPr>
        <w:t>特此证明。</w:t>
      </w:r>
    </w:p>
    <w:p>
      <w:pPr>
        <w:wordWrap w:val="0"/>
        <w:adjustRightInd w:val="0"/>
        <w:snapToGrid w:val="0"/>
        <w:spacing w:line="360" w:lineRule="auto"/>
        <w:ind w:firstLine="2100"/>
        <w:jc w:val="right"/>
        <w:rPr>
          <w:rFonts w:asciiTheme="majorEastAsia" w:hAnsiTheme="majorEastAsia" w:eastAsiaTheme="majorEastAsia"/>
          <w:sz w:val="22"/>
          <w:szCs w:val="22"/>
        </w:rPr>
      </w:pPr>
      <w:r>
        <w:rPr>
          <w:rFonts w:hint="eastAsia" w:asciiTheme="majorEastAsia" w:hAnsiTheme="majorEastAsia" w:eastAsiaTheme="majorEastAsia"/>
          <w:sz w:val="22"/>
          <w:szCs w:val="22"/>
        </w:rPr>
        <w:t>比选申请</w:t>
      </w:r>
      <w:r>
        <w:rPr>
          <w:rFonts w:hint="eastAsia" w:asciiTheme="majorEastAsia" w:hAnsiTheme="majorEastAsia" w:eastAsiaTheme="majorEastAsia"/>
          <w:spacing w:val="-1"/>
          <w:sz w:val="22"/>
          <w:szCs w:val="22"/>
        </w:rPr>
        <w:t>人</w:t>
      </w:r>
      <w:r>
        <w:rPr>
          <w:rFonts w:hint="eastAsia" w:asciiTheme="majorEastAsia" w:hAnsiTheme="majorEastAsia" w:eastAsiaTheme="majorEastAsia"/>
          <w:sz w:val="22"/>
          <w:szCs w:val="22"/>
        </w:rPr>
        <w:t>：</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pacing w:val="-1"/>
          <w:sz w:val="22"/>
          <w:szCs w:val="22"/>
        </w:rPr>
        <w:t>（</w:t>
      </w:r>
      <w:r>
        <w:rPr>
          <w:rFonts w:hint="eastAsia" w:asciiTheme="majorEastAsia" w:hAnsiTheme="majorEastAsia" w:eastAsiaTheme="majorEastAsia"/>
          <w:sz w:val="22"/>
          <w:szCs w:val="22"/>
        </w:rPr>
        <w:t>盖单位章）</w:t>
      </w:r>
    </w:p>
    <w:p>
      <w:pPr>
        <w:adjustRightInd w:val="0"/>
        <w:snapToGrid w:val="0"/>
        <w:spacing w:line="360" w:lineRule="auto"/>
        <w:ind w:firstLine="3780"/>
        <w:jc w:val="right"/>
        <w:rPr>
          <w:rFonts w:asciiTheme="majorEastAsia" w:hAnsiTheme="majorEastAsia" w:eastAsiaTheme="majorEastAsia"/>
          <w:sz w:val="22"/>
          <w:szCs w:val="22"/>
        </w:rPr>
      </w:pP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pacing w:val="-1"/>
          <w:sz w:val="22"/>
          <w:szCs w:val="22"/>
        </w:rPr>
        <w:t>年</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月</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日</w:t>
      </w:r>
    </w:p>
    <w:p>
      <w:pPr>
        <w:adjustRightInd w:val="0"/>
        <w:snapToGrid w:val="0"/>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rPr>
        <w:t>附法定代表人身份证复印件</w:t>
      </w:r>
    </w:p>
    <w:tbl>
      <w:tblPr>
        <w:tblStyle w:val="57"/>
        <w:tblW w:w="9086" w:type="dxa"/>
        <w:jc w:val="center"/>
        <w:tblInd w:w="0" w:type="dxa"/>
        <w:tblLayout w:type="fixed"/>
        <w:tblCellMar>
          <w:top w:w="0" w:type="dxa"/>
          <w:left w:w="108" w:type="dxa"/>
          <w:bottom w:w="0" w:type="dxa"/>
          <w:right w:w="108" w:type="dxa"/>
        </w:tblCellMar>
      </w:tblPr>
      <w:tblGrid>
        <w:gridCol w:w="9086"/>
      </w:tblGrid>
      <w:tr>
        <w:tblPrEx>
          <w:tblLayout w:type="fixed"/>
          <w:tblCellMar>
            <w:top w:w="0" w:type="dxa"/>
            <w:left w:w="108" w:type="dxa"/>
            <w:bottom w:w="0" w:type="dxa"/>
            <w:right w:w="108" w:type="dxa"/>
          </w:tblCellMar>
        </w:tblPrEx>
        <w:trPr>
          <w:trHeight w:val="2426" w:hRule="atLeast"/>
          <w:jc w:val="center"/>
        </w:trPr>
        <w:tc>
          <w:tcPr>
            <w:tcW w:w="9086" w:type="dxa"/>
            <w:tcBorders>
              <w:top w:val="dotDotDash" w:color="auto" w:sz="4" w:space="0"/>
              <w:left w:val="dotDotDash" w:color="auto" w:sz="4" w:space="0"/>
              <w:bottom w:val="dotDotDash" w:color="auto" w:sz="4" w:space="0"/>
              <w:right w:val="dotDotDash" w:color="auto" w:sz="4" w:space="0"/>
            </w:tcBorders>
          </w:tcPr>
          <w:p>
            <w:pPr>
              <w:spacing w:line="520" w:lineRule="atLeast"/>
              <w:ind w:firstLine="440" w:firstLineChars="200"/>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法定代表人身份证复印件</w:t>
            </w:r>
          </w:p>
          <w:p>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（双面）</w:t>
            </w:r>
          </w:p>
        </w:tc>
      </w:tr>
    </w:tbl>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 w:val="22"/>
          <w:szCs w:val="22"/>
        </w:rPr>
      </w:pPr>
      <w:r>
        <w:rPr>
          <w:rFonts w:hint="eastAsia" w:asciiTheme="majorEastAsia" w:hAnsiTheme="majorEastAsia" w:eastAsiaTheme="majorEastAsia"/>
          <w:sz w:val="22"/>
          <w:szCs w:val="22"/>
        </w:rPr>
        <w:t>注：法定代表人身份证明需按上述格式填写完整，不可缺少内容。在此基础上增加内容的不影响其有效性。</w:t>
      </w:r>
    </w:p>
    <w:p>
      <w:pPr>
        <w:adjustRightInd w:val="0"/>
        <w:snapToGrid w:val="0"/>
        <w:spacing w:line="360" w:lineRule="auto"/>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br w:type="page"/>
      </w:r>
      <w:bookmarkStart w:id="1716" w:name="_Toc5698_WPSOffice_Level1"/>
      <w:bookmarkStart w:id="1717" w:name="_Toc21613_WPSOffice_Level1"/>
      <w:r>
        <w:rPr>
          <w:rFonts w:hint="eastAsia" w:asciiTheme="majorEastAsia" w:hAnsiTheme="majorEastAsia" w:eastAsiaTheme="majorEastAsia"/>
          <w:b/>
          <w:bCs/>
          <w:sz w:val="28"/>
          <w:szCs w:val="28"/>
        </w:rPr>
        <w:t>授权委托书</w:t>
      </w:r>
      <w:bookmarkEnd w:id="1716"/>
      <w:bookmarkEnd w:id="1717"/>
    </w:p>
    <w:p>
      <w:pPr>
        <w:adjustRightInd w:val="0"/>
        <w:snapToGrid w:val="0"/>
        <w:spacing w:line="360" w:lineRule="auto"/>
        <w:rPr>
          <w:rFonts w:asciiTheme="majorEastAsia" w:hAnsiTheme="majorEastAsia" w:eastAsiaTheme="majorEastAsia"/>
          <w:sz w:val="12"/>
          <w:szCs w:val="12"/>
        </w:rPr>
      </w:pPr>
      <w:r>
        <w:rPr>
          <w:rFonts w:hint="eastAsia" w:asciiTheme="majorEastAsia" w:hAnsiTheme="majorEastAsia" w:eastAsiaTheme="majorEastAsia"/>
          <w:sz w:val="12"/>
          <w:szCs w:val="12"/>
        </w:rPr>
        <w:t xml:space="preserve"> </w:t>
      </w:r>
    </w:p>
    <w:p>
      <w:pPr>
        <w:adjustRightInd w:val="0"/>
        <w:snapToGrid w:val="0"/>
        <w:spacing w:line="360" w:lineRule="auto"/>
        <w:rPr>
          <w:rFonts w:asciiTheme="majorEastAsia" w:hAnsiTheme="majorEastAsia" w:eastAsiaTheme="majorEastAsia"/>
          <w:sz w:val="20"/>
        </w:rPr>
      </w:pPr>
      <w:r>
        <w:rPr>
          <w:rFonts w:hint="eastAsia" w:asciiTheme="majorEastAsia" w:hAnsiTheme="majorEastAsia" w:eastAsiaTheme="majorEastAsia"/>
          <w:sz w:val="20"/>
        </w:rPr>
        <w:t xml:space="preserve">  </w:t>
      </w:r>
    </w:p>
    <w:p>
      <w:pPr>
        <w:adjustRightInd w:val="0"/>
        <w:snapToGrid w:val="0"/>
        <w:spacing w:line="360" w:lineRule="auto"/>
        <w:ind w:firstLine="420"/>
        <w:rPr>
          <w:rFonts w:asciiTheme="majorEastAsia" w:hAnsiTheme="majorEastAsia" w:eastAsiaTheme="majorEastAsia"/>
          <w:sz w:val="22"/>
          <w:szCs w:val="22"/>
        </w:rPr>
      </w:pPr>
      <w:r>
        <w:rPr>
          <w:rFonts w:hint="eastAsia" w:asciiTheme="majorEastAsia" w:hAnsiTheme="majorEastAsia" w:eastAsiaTheme="majorEastAsia"/>
          <w:sz w:val="22"/>
          <w:szCs w:val="22"/>
        </w:rPr>
        <w:t>本人</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rPr>
        <w:t>（姓名）系</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rPr>
        <w:t>（</w:t>
      </w:r>
      <w:r>
        <w:rPr>
          <w:rFonts w:hint="eastAsia" w:asciiTheme="majorEastAsia" w:hAnsiTheme="majorEastAsia" w:eastAsiaTheme="majorEastAsia"/>
          <w:spacing w:val="-1"/>
          <w:sz w:val="22"/>
          <w:szCs w:val="22"/>
        </w:rPr>
        <w:t>比选申请</w:t>
      </w:r>
      <w:r>
        <w:rPr>
          <w:rFonts w:hint="eastAsia" w:asciiTheme="majorEastAsia" w:hAnsiTheme="majorEastAsia" w:eastAsiaTheme="majorEastAsia"/>
          <w:sz w:val="22"/>
          <w:szCs w:val="22"/>
        </w:rPr>
        <w:t>人名称</w:t>
      </w:r>
      <w:r>
        <w:rPr>
          <w:rFonts w:hint="eastAsia" w:asciiTheme="majorEastAsia" w:hAnsiTheme="majorEastAsia" w:eastAsiaTheme="majorEastAsia"/>
          <w:spacing w:val="1"/>
          <w:sz w:val="22"/>
          <w:szCs w:val="22"/>
        </w:rPr>
        <w:t>）</w:t>
      </w:r>
      <w:r>
        <w:rPr>
          <w:rFonts w:hint="eastAsia" w:asciiTheme="majorEastAsia" w:hAnsiTheme="majorEastAsia" w:eastAsiaTheme="majorEastAsia"/>
          <w:sz w:val="22"/>
          <w:szCs w:val="22"/>
        </w:rPr>
        <w:t>的法定代</w:t>
      </w:r>
      <w:r>
        <w:rPr>
          <w:rFonts w:hint="eastAsia" w:asciiTheme="majorEastAsia" w:hAnsiTheme="majorEastAsia" w:eastAsiaTheme="majorEastAsia"/>
          <w:spacing w:val="1"/>
          <w:sz w:val="22"/>
          <w:szCs w:val="22"/>
        </w:rPr>
        <w:t>表</w:t>
      </w:r>
      <w:r>
        <w:rPr>
          <w:rFonts w:hint="eastAsia" w:asciiTheme="majorEastAsia" w:hAnsiTheme="majorEastAsia" w:eastAsiaTheme="majorEastAsia"/>
          <w:sz w:val="22"/>
          <w:szCs w:val="22"/>
        </w:rPr>
        <w:t>人，现委托</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（姓名）为我方代理人。代理人根据授权，以我方名义签署、澄清、说明、补正、递交、撤回、 修改</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（项</w:t>
      </w:r>
      <w:r>
        <w:rPr>
          <w:rFonts w:hint="eastAsia" w:asciiTheme="majorEastAsia" w:hAnsiTheme="majorEastAsia" w:eastAsiaTheme="majorEastAsia"/>
          <w:spacing w:val="-1"/>
          <w:sz w:val="22"/>
          <w:szCs w:val="22"/>
        </w:rPr>
        <w:t>目</w:t>
      </w:r>
      <w:r>
        <w:rPr>
          <w:rFonts w:hint="eastAsia" w:asciiTheme="majorEastAsia" w:hAnsiTheme="majorEastAsia" w:eastAsiaTheme="majorEastAsia"/>
          <w:sz w:val="22"/>
          <w:szCs w:val="22"/>
        </w:rPr>
        <w:t>名称）比选申请文件、签订合同和处理有关事宜， 其法律后果由我方承担。</w:t>
      </w:r>
    </w:p>
    <w:p>
      <w:pPr>
        <w:adjustRightInd w:val="0"/>
        <w:snapToGrid w:val="0"/>
        <w:spacing w:line="360" w:lineRule="auto"/>
        <w:ind w:firstLine="420"/>
        <w:rPr>
          <w:rFonts w:asciiTheme="majorEastAsia" w:hAnsiTheme="majorEastAsia" w:eastAsiaTheme="majorEastAsia"/>
          <w:sz w:val="22"/>
          <w:szCs w:val="22"/>
        </w:rPr>
      </w:pPr>
      <w:r>
        <w:rPr>
          <w:rFonts w:hint="eastAsia" w:asciiTheme="majorEastAsia" w:hAnsiTheme="majorEastAsia" w:eastAsiaTheme="majorEastAsia"/>
          <w:sz w:val="22"/>
          <w:szCs w:val="22"/>
        </w:rPr>
        <w:t>委托</w:t>
      </w:r>
      <w:r>
        <w:rPr>
          <w:rFonts w:hint="eastAsia" w:asciiTheme="majorEastAsia" w:hAnsiTheme="majorEastAsia" w:eastAsiaTheme="majorEastAsia"/>
          <w:spacing w:val="-1"/>
          <w:sz w:val="22"/>
          <w:szCs w:val="22"/>
        </w:rPr>
        <w:t>期</w:t>
      </w:r>
      <w:r>
        <w:rPr>
          <w:rFonts w:hint="eastAsia" w:asciiTheme="majorEastAsia" w:hAnsiTheme="majorEastAsia" w:eastAsiaTheme="majorEastAsia"/>
          <w:sz w:val="22"/>
          <w:szCs w:val="22"/>
        </w:rPr>
        <w:t>限：</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rPr>
        <w:t xml:space="preserve">。 </w:t>
      </w:r>
    </w:p>
    <w:p>
      <w:pPr>
        <w:adjustRightInd w:val="0"/>
        <w:snapToGrid w:val="0"/>
        <w:spacing w:line="360" w:lineRule="auto"/>
        <w:ind w:firstLine="420"/>
        <w:rPr>
          <w:rFonts w:asciiTheme="majorEastAsia" w:hAnsiTheme="majorEastAsia" w:eastAsiaTheme="majorEastAsia"/>
          <w:sz w:val="22"/>
          <w:szCs w:val="22"/>
        </w:rPr>
      </w:pPr>
      <w:r>
        <w:rPr>
          <w:rFonts w:hint="eastAsia" w:asciiTheme="majorEastAsia" w:hAnsiTheme="majorEastAsia" w:eastAsiaTheme="majorEastAsia"/>
          <w:sz w:val="22"/>
          <w:szCs w:val="22"/>
        </w:rPr>
        <w:t>代理人无转委托权。</w:t>
      </w:r>
    </w:p>
    <w:p>
      <w:pPr>
        <w:adjustRightInd w:val="0"/>
        <w:snapToGrid w:val="0"/>
        <w:spacing w:line="360" w:lineRule="auto"/>
        <w:ind w:firstLine="420"/>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ind w:firstLine="1694"/>
        <w:rPr>
          <w:rFonts w:asciiTheme="majorEastAsia" w:hAnsiTheme="majorEastAsia" w:eastAsiaTheme="majorEastAsia"/>
          <w:sz w:val="22"/>
          <w:szCs w:val="22"/>
        </w:rPr>
      </w:pPr>
      <w:r>
        <w:rPr>
          <w:rFonts w:hint="eastAsia" w:asciiTheme="majorEastAsia" w:hAnsiTheme="majorEastAsia" w:eastAsiaTheme="majorEastAsia"/>
          <w:sz w:val="22"/>
          <w:szCs w:val="22"/>
        </w:rPr>
        <w:t>比选申请人：</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w:t>
      </w:r>
      <w:r>
        <w:rPr>
          <w:rFonts w:hint="eastAsia" w:asciiTheme="majorEastAsia" w:hAnsiTheme="majorEastAsia" w:eastAsiaTheme="majorEastAsia"/>
          <w:spacing w:val="-1"/>
          <w:sz w:val="22"/>
          <w:szCs w:val="22"/>
        </w:rPr>
        <w:t>盖</w:t>
      </w:r>
      <w:r>
        <w:rPr>
          <w:rFonts w:hint="eastAsia" w:asciiTheme="majorEastAsia" w:hAnsiTheme="majorEastAsia" w:eastAsiaTheme="majorEastAsia"/>
          <w:sz w:val="22"/>
          <w:szCs w:val="22"/>
        </w:rPr>
        <w:t xml:space="preserve">单位章） </w:t>
      </w:r>
    </w:p>
    <w:p>
      <w:pPr>
        <w:adjustRightInd w:val="0"/>
        <w:snapToGrid w:val="0"/>
        <w:spacing w:line="360" w:lineRule="auto"/>
        <w:ind w:firstLine="1680"/>
        <w:rPr>
          <w:rFonts w:asciiTheme="majorEastAsia" w:hAnsiTheme="majorEastAsia" w:eastAsiaTheme="majorEastAsia"/>
          <w:sz w:val="22"/>
          <w:szCs w:val="22"/>
        </w:rPr>
      </w:pPr>
      <w:r>
        <w:rPr>
          <w:rFonts w:hint="eastAsia" w:asciiTheme="majorEastAsia" w:hAnsiTheme="majorEastAsia" w:eastAsiaTheme="majorEastAsia"/>
          <w:sz w:val="22"/>
          <w:szCs w:val="22"/>
        </w:rPr>
        <w:t>法定代表人：</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（签字）</w:t>
      </w:r>
    </w:p>
    <w:p>
      <w:pPr>
        <w:adjustRightInd w:val="0"/>
        <w:snapToGrid w:val="0"/>
        <w:spacing w:line="360" w:lineRule="auto"/>
        <w:ind w:firstLine="1680"/>
        <w:rPr>
          <w:rFonts w:asciiTheme="majorEastAsia" w:hAnsiTheme="majorEastAsia" w:eastAsiaTheme="majorEastAsia"/>
          <w:sz w:val="22"/>
          <w:szCs w:val="22"/>
        </w:rPr>
      </w:pPr>
      <w:r>
        <w:rPr>
          <w:rFonts w:hint="eastAsia" w:asciiTheme="majorEastAsia" w:hAnsiTheme="majorEastAsia" w:eastAsiaTheme="majorEastAsia"/>
          <w:sz w:val="22"/>
          <w:szCs w:val="22"/>
        </w:rPr>
        <w:t>身份证号码：</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p>
    <w:p>
      <w:pPr>
        <w:adjustRightInd w:val="0"/>
        <w:snapToGrid w:val="0"/>
        <w:spacing w:line="360" w:lineRule="auto"/>
        <w:ind w:firstLine="1680"/>
        <w:rPr>
          <w:rFonts w:asciiTheme="majorEastAsia" w:hAnsiTheme="majorEastAsia" w:eastAsiaTheme="majorEastAsia"/>
          <w:sz w:val="22"/>
          <w:szCs w:val="22"/>
        </w:rPr>
      </w:pPr>
      <w:r>
        <w:rPr>
          <w:rFonts w:hint="eastAsia" w:asciiTheme="majorEastAsia" w:hAnsiTheme="majorEastAsia" w:eastAsiaTheme="majorEastAsia"/>
          <w:sz w:val="22"/>
          <w:szCs w:val="22"/>
        </w:rPr>
        <w:t>委托代理人：</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（签</w:t>
      </w:r>
      <w:r>
        <w:rPr>
          <w:rFonts w:hint="eastAsia" w:asciiTheme="majorEastAsia" w:hAnsiTheme="majorEastAsia" w:eastAsiaTheme="majorEastAsia"/>
          <w:spacing w:val="-1"/>
          <w:sz w:val="22"/>
          <w:szCs w:val="22"/>
        </w:rPr>
        <w:t>字</w:t>
      </w:r>
      <w:r>
        <w:rPr>
          <w:rFonts w:hint="eastAsia" w:asciiTheme="majorEastAsia" w:hAnsiTheme="majorEastAsia" w:eastAsiaTheme="majorEastAsia"/>
          <w:sz w:val="22"/>
          <w:szCs w:val="22"/>
        </w:rPr>
        <w:t>）</w:t>
      </w:r>
    </w:p>
    <w:p>
      <w:pPr>
        <w:adjustRightInd w:val="0"/>
        <w:snapToGrid w:val="0"/>
        <w:spacing w:line="360" w:lineRule="auto"/>
        <w:ind w:firstLine="1680"/>
        <w:rPr>
          <w:rFonts w:asciiTheme="majorEastAsia" w:hAnsiTheme="majorEastAsia" w:eastAsiaTheme="majorEastAsia"/>
          <w:sz w:val="22"/>
          <w:szCs w:val="22"/>
        </w:rPr>
      </w:pPr>
      <w:r>
        <w:rPr>
          <w:rFonts w:hint="eastAsia" w:asciiTheme="majorEastAsia" w:hAnsiTheme="majorEastAsia" w:eastAsiaTheme="majorEastAsia"/>
          <w:sz w:val="22"/>
          <w:szCs w:val="22"/>
        </w:rPr>
        <w:t>身份证号码：</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p>
    <w:p>
      <w:pPr>
        <w:adjustRightInd w:val="0"/>
        <w:snapToGrid w:val="0"/>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ind w:firstLine="3780"/>
        <w:rPr>
          <w:rFonts w:asciiTheme="majorEastAsia" w:hAnsiTheme="majorEastAsia" w:eastAsiaTheme="majorEastAsia"/>
          <w:sz w:val="22"/>
          <w:szCs w:val="22"/>
        </w:rPr>
      </w:pP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rPr>
        <w:t>年</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rPr>
        <w:t>月</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u w:val="single"/>
        </w:rPr>
        <w:tab/>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日</w:t>
      </w:r>
    </w:p>
    <w:tbl>
      <w:tblPr>
        <w:tblStyle w:val="57"/>
        <w:tblW w:w="8136" w:type="dxa"/>
        <w:jc w:val="center"/>
        <w:tblInd w:w="0" w:type="dxa"/>
        <w:tblLayout w:type="fixed"/>
        <w:tblCellMar>
          <w:top w:w="0" w:type="dxa"/>
          <w:left w:w="108" w:type="dxa"/>
          <w:bottom w:w="0" w:type="dxa"/>
          <w:right w:w="108" w:type="dxa"/>
        </w:tblCellMar>
      </w:tblPr>
      <w:tblGrid>
        <w:gridCol w:w="4068"/>
        <w:gridCol w:w="4068"/>
      </w:tblGrid>
      <w:tr>
        <w:tblPrEx>
          <w:tblLayout w:type="fixed"/>
          <w:tblCellMar>
            <w:top w:w="0" w:type="dxa"/>
            <w:left w:w="108" w:type="dxa"/>
            <w:bottom w:w="0" w:type="dxa"/>
            <w:right w:w="108" w:type="dxa"/>
          </w:tblCellMar>
        </w:tblPrEx>
        <w:trPr>
          <w:trHeight w:val="2492" w:hRule="atLeast"/>
          <w:jc w:val="center"/>
        </w:trPr>
        <w:tc>
          <w:tcPr>
            <w:tcW w:w="4068" w:type="dxa"/>
            <w:tcBorders>
              <w:top w:val="dotDotDash" w:color="auto" w:sz="4" w:space="0"/>
              <w:left w:val="dotDotDash" w:color="auto" w:sz="4" w:space="0"/>
              <w:bottom w:val="dotDotDash" w:color="auto" w:sz="4" w:space="0"/>
              <w:right w:val="dotDotDash" w:color="auto" w:sz="4" w:space="0"/>
            </w:tcBorders>
          </w:tcPr>
          <w:p>
            <w:pPr>
              <w:spacing w:line="520" w:lineRule="atLeast"/>
              <w:ind w:firstLine="440" w:firstLineChars="200"/>
              <w:jc w:val="center"/>
              <w:rPr>
                <w:rFonts w:asciiTheme="majorEastAsia" w:hAnsiTheme="majorEastAsia" w:eastAsiaTheme="majorEastAsia"/>
                <w:sz w:val="22"/>
                <w:szCs w:val="22"/>
              </w:rPr>
            </w:pPr>
          </w:p>
          <w:p>
            <w:pPr>
              <w:spacing w:line="520" w:lineRule="atLeast"/>
              <w:ind w:firstLine="440" w:firstLineChars="200"/>
              <w:jc w:val="center"/>
              <w:rPr>
                <w:rFonts w:asciiTheme="majorEastAsia" w:hAnsiTheme="majorEastAsia" w:eastAsiaTheme="majorEastAsia"/>
                <w:sz w:val="22"/>
                <w:szCs w:val="22"/>
              </w:rPr>
            </w:pPr>
            <w:bookmarkStart w:id="1718" w:name="OLE_LINK5"/>
            <w:r>
              <w:rPr>
                <w:rFonts w:hint="eastAsia" w:asciiTheme="majorEastAsia" w:hAnsiTheme="majorEastAsia" w:eastAsiaTheme="majorEastAsia"/>
                <w:sz w:val="22"/>
                <w:szCs w:val="22"/>
              </w:rPr>
              <w:t>法定代表人身份证复印件</w:t>
            </w:r>
            <w:bookmarkEnd w:id="1718"/>
          </w:p>
          <w:p>
            <w:pPr>
              <w:spacing w:line="520" w:lineRule="atLeast"/>
              <w:ind w:firstLine="440" w:firstLineChars="200"/>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（双面）</w:t>
            </w:r>
          </w:p>
        </w:tc>
        <w:tc>
          <w:tcPr>
            <w:tcW w:w="4068" w:type="dxa"/>
            <w:tcBorders>
              <w:top w:val="dotDotDash" w:color="auto" w:sz="4" w:space="0"/>
              <w:left w:val="nil"/>
              <w:bottom w:val="dotDotDash" w:color="auto" w:sz="4" w:space="0"/>
              <w:right w:val="dotDotDash" w:color="auto" w:sz="4" w:space="0"/>
            </w:tcBorders>
          </w:tcPr>
          <w:p>
            <w:pPr>
              <w:spacing w:line="520" w:lineRule="atLeast"/>
              <w:ind w:firstLine="440" w:firstLineChars="200"/>
              <w:jc w:val="center"/>
              <w:rPr>
                <w:rFonts w:asciiTheme="majorEastAsia" w:hAnsiTheme="majorEastAsia" w:eastAsiaTheme="majorEastAsia"/>
                <w:sz w:val="22"/>
                <w:szCs w:val="22"/>
              </w:rPr>
            </w:pPr>
          </w:p>
          <w:p>
            <w:pPr>
              <w:spacing w:line="520" w:lineRule="atLeast"/>
              <w:ind w:firstLine="440" w:firstLineChars="200"/>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委托代理人身份证复印件</w:t>
            </w:r>
          </w:p>
          <w:p>
            <w:pPr>
              <w:spacing w:line="520" w:lineRule="atLeas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（双面）</w:t>
            </w:r>
          </w:p>
          <w:p>
            <w:pPr>
              <w:spacing w:line="520" w:lineRule="atLeast"/>
              <w:ind w:firstLine="440" w:firstLineChars="200"/>
              <w:jc w:val="center"/>
              <w:rPr>
                <w:rFonts w:asciiTheme="majorEastAsia" w:hAnsiTheme="majorEastAsia" w:eastAsiaTheme="majorEastAsia"/>
                <w:sz w:val="22"/>
                <w:szCs w:val="22"/>
              </w:rPr>
            </w:pPr>
          </w:p>
        </w:tc>
      </w:tr>
    </w:tbl>
    <w:p>
      <w:pPr>
        <w:adjustRightInd w:val="0"/>
        <w:snapToGrid w:val="0"/>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w:t>
      </w:r>
    </w:p>
    <w:p>
      <w:pPr>
        <w:adjustRightInd w:val="0"/>
        <w:snapToGrid w:val="0"/>
        <w:spacing w:line="360" w:lineRule="auto"/>
        <w:rPr>
          <w:rFonts w:asciiTheme="majorEastAsia" w:hAnsiTheme="majorEastAsia" w:eastAsiaTheme="majorEastAsia"/>
          <w:sz w:val="22"/>
          <w:szCs w:val="22"/>
        </w:rPr>
      </w:pPr>
    </w:p>
    <w:p>
      <w:pPr>
        <w:adjustRightInd w:val="0"/>
        <w:snapToGrid w:val="0"/>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rPr>
        <w:drawing>
          <wp:inline distT="0" distB="0" distL="0" distR="0">
            <wp:extent cx="2876550" cy="9525"/>
            <wp:effectExtent l="19050" t="0" r="0" b="0"/>
            <wp:docPr id="1" name="图片 1"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7F82"/>
                    <pic:cNvPicPr>
                      <a:picLocks noChangeAspect="1" noChangeArrowheads="1"/>
                    </pic:cNvPicPr>
                  </pic:nvPicPr>
                  <pic:blipFill>
                    <a:blip r:embed="rId20"/>
                    <a:srcRect/>
                    <a:stretch>
                      <a:fillRect/>
                    </a:stretch>
                  </pic:blipFill>
                  <pic:spPr>
                    <a:xfrm>
                      <a:off x="0" y="0"/>
                      <a:ext cx="2876550" cy="9525"/>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2"/>
          <w:szCs w:val="22"/>
        </w:rPr>
        <w:t xml:space="preserve"> </w:t>
      </w:r>
    </w:p>
    <w:p>
      <w:pPr>
        <w:adjustRightInd w:val="0"/>
        <w:spacing w:line="300" w:lineRule="exact"/>
        <w:ind w:left="770" w:right="11" w:hanging="770" w:hangingChars="350"/>
        <w:rPr>
          <w:rFonts w:asciiTheme="majorEastAsia" w:hAnsiTheme="majorEastAsia" w:eastAsiaTheme="majorEastAsia"/>
          <w:sz w:val="22"/>
          <w:szCs w:val="22"/>
        </w:rPr>
      </w:pPr>
      <w:r>
        <w:rPr>
          <w:rFonts w:hint="eastAsia" w:asciiTheme="majorEastAsia" w:hAnsiTheme="majorEastAsia" w:eastAsiaTheme="majorEastAsia"/>
          <w:sz w:val="22"/>
          <w:szCs w:val="22"/>
        </w:rPr>
        <w:t>注：1、法定代表人参加竞标活动并签署文件的不需要授权委托书，只需提供法定代表人身份证明；非法定代表人参加竞标活动及签署文件的除提供法定代表人身份证明外还须提供授权委托书。</w:t>
      </w:r>
    </w:p>
    <w:p>
      <w:pPr>
        <w:adjustRightInd w:val="0"/>
        <w:spacing w:line="300" w:lineRule="exact"/>
        <w:ind w:left="835" w:leftChars="253" w:right="22" w:hanging="304" w:hangingChars="138"/>
        <w:rPr>
          <w:rFonts w:cs="宋体" w:asciiTheme="majorEastAsia" w:hAnsiTheme="majorEastAsia" w:eastAsiaTheme="majorEastAsia"/>
          <w:kern w:val="0"/>
          <w:szCs w:val="21"/>
        </w:rPr>
      </w:pPr>
      <w:r>
        <w:rPr>
          <w:rFonts w:hint="eastAsia" w:asciiTheme="majorEastAsia" w:hAnsiTheme="majorEastAsia" w:eastAsiaTheme="majorEastAsia"/>
          <w:sz w:val="22"/>
          <w:szCs w:val="22"/>
        </w:rPr>
        <w:t>2、法定代表人身份证明及授权委托书原件装入比选申请文件一并递交。另外须准备一份在开标现场出具。</w:t>
      </w:r>
    </w:p>
    <w:p>
      <w:pPr>
        <w:keepNext/>
        <w:keepLines/>
        <w:spacing w:before="120" w:line="360" w:lineRule="auto"/>
        <w:jc w:val="center"/>
        <w:outlineLvl w:val="2"/>
        <w:rPr>
          <w:rFonts w:asciiTheme="majorEastAsia" w:hAnsiTheme="majorEastAsia" w:eastAsiaTheme="majorEastAsia"/>
          <w:b/>
          <w:bCs/>
          <w:snapToGrid w:val="0"/>
          <w:sz w:val="28"/>
          <w:szCs w:val="28"/>
        </w:rPr>
      </w:pPr>
      <w:bookmarkStart w:id="1719" w:name="_Toc432115604"/>
      <w:bookmarkStart w:id="1720" w:name="_Toc447114699"/>
      <w:bookmarkStart w:id="1721" w:name="_Toc16938"/>
      <w:bookmarkStart w:id="1722" w:name="_Toc507402435"/>
      <w:r>
        <w:rPr>
          <w:rFonts w:hint="eastAsia" w:asciiTheme="majorEastAsia" w:hAnsiTheme="majorEastAsia" w:eastAsiaTheme="majorEastAsia"/>
          <w:b/>
          <w:bCs/>
          <w:snapToGrid w:val="0"/>
          <w:sz w:val="28"/>
          <w:szCs w:val="28"/>
        </w:rPr>
        <w:t>（三）低价风险担保缴纳承诺书</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（投标报价低于比选项目最高限价85%时采用）</w:t>
      </w:r>
    </w:p>
    <w:p>
      <w:pPr>
        <w:rPr>
          <w:rFonts w:asciiTheme="majorEastAsia" w:hAnsiTheme="majorEastAsia" w:eastAsiaTheme="majorEastAsia"/>
          <w:szCs w:val="21"/>
        </w:rPr>
      </w:pPr>
    </w:p>
    <w:p>
      <w:pPr>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（比选人名称）：</w:t>
      </w:r>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我公司</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（比选申请人名称）参加了你公司</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（比选项目名称）的投标。我公司投标报价低于比选项目最高限价</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%，若获得中标资格，我公司承诺按照比选文件的规定递交低价风险担保。否则，我公司愿承担比选文件中约定的，因未按规定递交低价风险担保的相应责任。</w:t>
      </w:r>
    </w:p>
    <w:p>
      <w:pPr>
        <w:spacing w:line="360" w:lineRule="auto"/>
        <w:rPr>
          <w:rFonts w:asciiTheme="majorEastAsia" w:hAnsiTheme="majorEastAsia" w:eastAsiaTheme="majorEastAsia"/>
          <w:sz w:val="22"/>
          <w:szCs w:val="22"/>
        </w:rPr>
      </w:pPr>
    </w:p>
    <w:p>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特此承诺。</w:t>
      </w: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投  标  人：</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盖单位法人章）</w:t>
      </w:r>
    </w:p>
    <w:p>
      <w:pPr>
        <w:spacing w:line="360" w:lineRule="auto"/>
        <w:rPr>
          <w:rFonts w:asciiTheme="majorEastAsia" w:hAnsiTheme="majorEastAsia" w:eastAsiaTheme="majorEastAsia"/>
          <w:sz w:val="22"/>
          <w:szCs w:val="22"/>
        </w:rPr>
      </w:pPr>
    </w:p>
    <w:p>
      <w:pPr>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法定代表人：</w:t>
      </w:r>
      <w:r>
        <w:rPr>
          <w:rFonts w:hint="eastAsia" w:asciiTheme="majorEastAsia" w:hAnsiTheme="majorEastAsia" w:eastAsiaTheme="majorEastAsia"/>
          <w:sz w:val="22"/>
          <w:szCs w:val="22"/>
          <w:u w:val="single"/>
        </w:rPr>
        <w:t xml:space="preserve">                           </w:t>
      </w:r>
      <w:r>
        <w:rPr>
          <w:rFonts w:hint="eastAsia" w:asciiTheme="majorEastAsia" w:hAnsiTheme="majorEastAsia" w:eastAsiaTheme="majorEastAsia"/>
          <w:sz w:val="22"/>
          <w:szCs w:val="22"/>
        </w:rPr>
        <w:t>（签字或盖章）</w:t>
      </w:r>
    </w:p>
    <w:p>
      <w:pPr>
        <w:spacing w:line="360" w:lineRule="auto"/>
        <w:rPr>
          <w:rFonts w:asciiTheme="majorEastAsia" w:hAnsiTheme="majorEastAsia" w:eastAsiaTheme="majorEastAsia"/>
          <w:sz w:val="22"/>
          <w:szCs w:val="22"/>
        </w:rPr>
      </w:pPr>
    </w:p>
    <w:p>
      <w:pPr>
        <w:spacing w:line="360" w:lineRule="auto"/>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年    月    日</w:t>
      </w:r>
    </w:p>
    <w:p>
      <w:pPr>
        <w:sectPr>
          <w:footerReference r:id="rId7" w:type="default"/>
          <w:pgSz w:w="11906" w:h="16838"/>
          <w:pgMar w:top="1440" w:right="1416" w:bottom="1440" w:left="1797" w:header="993" w:footer="992" w:gutter="0"/>
          <w:pgNumType w:fmt="decimal"/>
          <w:cols w:space="720" w:num="1"/>
          <w:docGrid w:linePitch="312" w:charSpace="0"/>
        </w:sectPr>
      </w:pPr>
    </w:p>
    <w:p>
      <w:pPr>
        <w:keepNext/>
        <w:keepLines/>
        <w:spacing w:before="120" w:line="360" w:lineRule="auto"/>
        <w:jc w:val="center"/>
        <w:outlineLvl w:val="2"/>
        <w:rPr>
          <w:rFonts w:cs="宋体" w:asciiTheme="majorEastAsia" w:hAnsiTheme="majorEastAsia" w:eastAsiaTheme="majorEastAsia"/>
          <w:sz w:val="32"/>
          <w:szCs w:val="44"/>
        </w:rPr>
      </w:pPr>
      <w:r>
        <w:rPr>
          <w:rFonts w:hint="eastAsia" w:asciiTheme="majorEastAsia" w:hAnsiTheme="majorEastAsia" w:eastAsiaTheme="majorEastAsia"/>
          <w:b/>
          <w:bCs/>
          <w:snapToGrid w:val="0"/>
          <w:sz w:val="28"/>
          <w:szCs w:val="28"/>
        </w:rPr>
        <w:t>（四）自行踏勘承诺书</w:t>
      </w:r>
    </w:p>
    <w:p>
      <w:pPr>
        <w:pStyle w:val="2"/>
        <w:jc w:val="center"/>
        <w:rPr>
          <w:rFonts w:ascii="宋体" w:hAnsi="宋体"/>
          <w:sz w:val="24"/>
        </w:rPr>
      </w:pPr>
    </w:p>
    <w:p>
      <w:pPr>
        <w:pStyle w:val="2"/>
        <w:jc w:val="center"/>
        <w:rPr>
          <w:rFonts w:ascii="宋体" w:hAnsi="宋体"/>
          <w:sz w:val="24"/>
        </w:rPr>
      </w:pPr>
      <w:r>
        <w:rPr>
          <w:rFonts w:hint="eastAsia" w:ascii="宋体" w:hAnsi="宋体"/>
          <w:sz w:val="24"/>
        </w:rPr>
        <w:t>格式自拟。</w:t>
      </w:r>
    </w:p>
    <w:p>
      <w:pPr>
        <w:sectPr>
          <w:pgSz w:w="11906" w:h="16838"/>
          <w:pgMar w:top="1440" w:right="1416" w:bottom="1440" w:left="1797" w:header="993" w:footer="992" w:gutter="0"/>
          <w:pgNumType w:fmt="decimal"/>
          <w:cols w:space="720" w:num="1"/>
          <w:docGrid w:linePitch="312" w:charSpace="0"/>
        </w:sectPr>
      </w:pPr>
    </w:p>
    <w:p>
      <w:pPr>
        <w:keepNext/>
        <w:keepLines/>
        <w:spacing w:before="120" w:line="360" w:lineRule="auto"/>
        <w:jc w:val="center"/>
        <w:outlineLvl w:val="2"/>
        <w:rPr>
          <w:rFonts w:asciiTheme="majorEastAsia" w:hAnsiTheme="majorEastAsia" w:eastAsiaTheme="majorEastAsia"/>
          <w:b/>
          <w:bCs/>
          <w:snapToGrid w:val="0"/>
          <w:sz w:val="28"/>
          <w:szCs w:val="28"/>
        </w:rPr>
      </w:pPr>
      <w:r>
        <w:rPr>
          <w:rFonts w:hint="eastAsia" w:asciiTheme="majorEastAsia" w:hAnsiTheme="majorEastAsia" w:eastAsiaTheme="majorEastAsia"/>
          <w:b/>
          <w:bCs/>
          <w:snapToGrid w:val="0"/>
          <w:sz w:val="28"/>
          <w:szCs w:val="28"/>
        </w:rPr>
        <w:t>（五）投标保证金转账凭证</w:t>
      </w:r>
    </w:p>
    <w:p>
      <w:pPr>
        <w:sectPr>
          <w:pgSz w:w="11906" w:h="16838"/>
          <w:pgMar w:top="1440" w:right="1416" w:bottom="1440" w:left="1797" w:header="993" w:footer="992" w:gutter="0"/>
          <w:pgNumType w:fmt="decimal"/>
          <w:cols w:space="720" w:num="1"/>
          <w:docGrid w:linePitch="312" w:charSpace="0"/>
        </w:sectPr>
      </w:pPr>
    </w:p>
    <w:p>
      <w:pPr>
        <w:pStyle w:val="4"/>
        <w:jc w:val="center"/>
        <w:rPr>
          <w:rFonts w:cs="宋体" w:asciiTheme="majorEastAsia" w:hAnsiTheme="majorEastAsia" w:eastAsiaTheme="majorEastAsia"/>
          <w:sz w:val="32"/>
          <w:szCs w:val="44"/>
        </w:rPr>
      </w:pPr>
      <w:r>
        <w:rPr>
          <w:rFonts w:hint="eastAsia" w:cs="宋体" w:asciiTheme="majorEastAsia" w:hAnsiTheme="majorEastAsia" w:eastAsiaTheme="majorEastAsia"/>
          <w:sz w:val="32"/>
          <w:szCs w:val="44"/>
        </w:rPr>
        <w:t>二、资格审查资料</w:t>
      </w:r>
      <w:bookmarkEnd w:id="1719"/>
      <w:bookmarkEnd w:id="1720"/>
      <w:bookmarkEnd w:id="1721"/>
      <w:bookmarkEnd w:id="1722"/>
    </w:p>
    <w:p>
      <w:pPr>
        <w:tabs>
          <w:tab w:val="left" w:pos="5760"/>
        </w:tabs>
        <w:autoSpaceDE w:val="0"/>
        <w:autoSpaceDN w:val="0"/>
        <w:adjustRightInd w:val="0"/>
        <w:spacing w:line="360" w:lineRule="auto"/>
        <w:ind w:right="11" w:firstLine="480" w:firstLineChars="200"/>
        <w:rPr>
          <w:rFonts w:cs="MingLiU" w:asciiTheme="majorEastAsia" w:hAnsiTheme="majorEastAsia" w:eastAsiaTheme="majorEastAsia"/>
          <w:snapToGrid w:val="0"/>
          <w:kern w:val="0"/>
          <w:sz w:val="24"/>
          <w:szCs w:val="21"/>
        </w:rPr>
      </w:pPr>
    </w:p>
    <w:p>
      <w:pPr>
        <w:tabs>
          <w:tab w:val="left" w:pos="2580"/>
          <w:tab w:val="left" w:pos="5940"/>
        </w:tabs>
        <w:autoSpaceDE w:val="0"/>
        <w:autoSpaceDN w:val="0"/>
        <w:adjustRightInd w:val="0"/>
        <w:snapToGrid w:val="0"/>
        <w:spacing w:line="360" w:lineRule="auto"/>
        <w:jc w:val="left"/>
        <w:rPr>
          <w:rFonts w:cs="宋体" w:asciiTheme="majorEastAsia" w:hAnsiTheme="majorEastAsia" w:eastAsiaTheme="majorEastAsia"/>
          <w:kern w:val="0"/>
          <w:sz w:val="28"/>
          <w:szCs w:val="28"/>
        </w:rPr>
      </w:pPr>
      <w:r>
        <w:rPr>
          <w:rFonts w:cs="MingLiU" w:asciiTheme="majorEastAsia" w:hAnsiTheme="majorEastAsia" w:eastAsiaTheme="majorEastAsia"/>
          <w:snapToGrid w:val="0"/>
          <w:kern w:val="0"/>
          <w:sz w:val="24"/>
          <w:szCs w:val="21"/>
        </w:rPr>
        <w:br w:type="page"/>
      </w:r>
    </w:p>
    <w:p>
      <w:pPr>
        <w:tabs>
          <w:tab w:val="left" w:pos="2580"/>
          <w:tab w:val="left" w:pos="5940"/>
        </w:tabs>
        <w:autoSpaceDE w:val="0"/>
        <w:autoSpaceDN w:val="0"/>
        <w:adjustRightInd w:val="0"/>
        <w:snapToGrid w:val="0"/>
        <w:spacing w:line="360" w:lineRule="auto"/>
        <w:jc w:val="left"/>
        <w:rPr>
          <w:rFonts w:cs="宋体" w:asciiTheme="majorEastAsia" w:hAnsiTheme="majorEastAsia" w:eastAsiaTheme="majorEastAsia"/>
          <w:kern w:val="0"/>
          <w:sz w:val="28"/>
          <w:szCs w:val="28"/>
        </w:rPr>
      </w:pPr>
    </w:p>
    <w:p>
      <w:pPr>
        <w:tabs>
          <w:tab w:val="left" w:pos="3530"/>
          <w:tab w:val="left" w:pos="5940"/>
        </w:tabs>
        <w:autoSpaceDE w:val="0"/>
        <w:autoSpaceDN w:val="0"/>
        <w:adjustRightInd w:val="0"/>
        <w:snapToGrid w:val="0"/>
        <w:spacing w:line="360" w:lineRule="auto"/>
        <w:jc w:val="left"/>
        <w:rPr>
          <w:rFonts w:cs="宋体" w:asciiTheme="majorEastAsia" w:hAnsiTheme="majorEastAsia" w:eastAsiaTheme="majorEastAsia"/>
          <w:b/>
          <w:kern w:val="0"/>
          <w:sz w:val="28"/>
          <w:szCs w:val="28"/>
          <w:u w:val="single"/>
        </w:rPr>
      </w:pPr>
    </w:p>
    <w:p>
      <w:pPr>
        <w:tabs>
          <w:tab w:val="left" w:pos="5955"/>
        </w:tabs>
        <w:autoSpaceDE w:val="0"/>
        <w:autoSpaceDN w:val="0"/>
        <w:adjustRightInd w:val="0"/>
        <w:snapToGrid w:val="0"/>
        <w:spacing w:line="360" w:lineRule="auto"/>
        <w:ind w:firstLine="514" w:firstLineChars="245"/>
        <w:jc w:val="left"/>
        <w:rPr>
          <w:rFonts w:asciiTheme="majorEastAsia" w:hAnsiTheme="majorEastAsia" w:eastAsiaTheme="majorEastAsia"/>
          <w:lang w:val="zh-CN"/>
        </w:rPr>
      </w:pPr>
    </w:p>
    <w:p>
      <w:pPr>
        <w:tabs>
          <w:tab w:val="left" w:pos="6495"/>
        </w:tabs>
        <w:autoSpaceDE w:val="0"/>
        <w:autoSpaceDN w:val="0"/>
        <w:adjustRightInd w:val="0"/>
        <w:snapToGrid w:val="0"/>
        <w:spacing w:line="360" w:lineRule="auto"/>
        <w:jc w:val="left"/>
        <w:rPr>
          <w:rFonts w:cs="MingLiU" w:asciiTheme="majorEastAsia" w:hAnsiTheme="majorEastAsia" w:eastAsiaTheme="majorEastAsia"/>
          <w:b/>
          <w:kern w:val="0"/>
          <w:sz w:val="27"/>
          <w:szCs w:val="27"/>
        </w:rPr>
      </w:pPr>
      <w:r>
        <w:rPr>
          <w:rFonts w:asciiTheme="majorEastAsia" w:hAnsiTheme="majorEastAsia" w:eastAsiaTheme="majorEastAsia"/>
          <w:b/>
          <w:kern w:val="0"/>
          <w:sz w:val="27"/>
          <w:szCs w:val="27"/>
          <w:u w:val="single"/>
        </w:rPr>
        <w:tab/>
      </w:r>
      <w:r>
        <w:rPr>
          <w:rFonts w:hint="eastAsia" w:cs="MingLiU" w:asciiTheme="majorEastAsia" w:hAnsiTheme="majorEastAsia" w:eastAsiaTheme="majorEastAsia"/>
          <w:b/>
          <w:w w:val="99"/>
          <w:kern w:val="0"/>
          <w:sz w:val="27"/>
          <w:szCs w:val="27"/>
        </w:rPr>
        <w:t>（项目名称</w:t>
      </w:r>
      <w:r>
        <w:rPr>
          <w:rFonts w:hint="eastAsia" w:cs="MingLiU" w:asciiTheme="majorEastAsia" w:hAnsiTheme="majorEastAsia" w:eastAsiaTheme="majorEastAsia"/>
          <w:b/>
          <w:spacing w:val="1"/>
          <w:w w:val="99"/>
          <w:kern w:val="0"/>
          <w:sz w:val="27"/>
          <w:szCs w:val="27"/>
        </w:rPr>
        <w:t>）</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rPr>
      </w:pPr>
      <w:r>
        <w:rPr>
          <w:rFonts w:hint="eastAsia" w:cs="MingLiU" w:asciiTheme="majorEastAsia" w:hAnsiTheme="majorEastAsia" w:eastAsiaTheme="majorEastAsia"/>
          <w:b/>
          <w:kern w:val="0"/>
          <w:sz w:val="81"/>
          <w:szCs w:val="81"/>
        </w:rPr>
        <w:t>比选申请文件</w:t>
      </w:r>
    </w:p>
    <w:p>
      <w:pPr>
        <w:autoSpaceDE w:val="0"/>
        <w:autoSpaceDN w:val="0"/>
        <w:adjustRightInd w:val="0"/>
        <w:snapToGrid w:val="0"/>
        <w:spacing w:line="360" w:lineRule="auto"/>
        <w:jc w:val="center"/>
        <w:rPr>
          <w:rFonts w:cs="MingLiU" w:asciiTheme="majorEastAsia" w:hAnsiTheme="majorEastAsia" w:eastAsiaTheme="majorEastAsia"/>
          <w:b/>
          <w:kern w:val="0"/>
          <w:sz w:val="19"/>
          <w:szCs w:val="19"/>
        </w:rPr>
      </w:pPr>
      <w:r>
        <w:rPr>
          <w:rFonts w:hint="eastAsia" w:ascii="宋体" w:hAnsi="宋体" w:eastAsiaTheme="majorEastAsia"/>
          <w:b/>
          <w:kern w:val="0"/>
          <w:sz w:val="36"/>
          <w:szCs w:val="36"/>
        </w:rPr>
        <w:t>资格审查资料</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tabs>
          <w:tab w:val="left" w:pos="6080"/>
          <w:tab w:val="left" w:pos="6640"/>
        </w:tabs>
        <w:autoSpaceDE w:val="0"/>
        <w:autoSpaceDN w:val="0"/>
        <w:adjustRightInd w:val="0"/>
        <w:snapToGrid w:val="0"/>
        <w:spacing w:line="360" w:lineRule="auto"/>
        <w:jc w:val="center"/>
        <w:rPr>
          <w:rFonts w:asciiTheme="majorEastAsia" w:hAnsiTheme="majorEastAsia" w:eastAsiaTheme="majorEastAsia"/>
          <w:b/>
          <w:w w:val="99"/>
          <w:kern w:val="0"/>
          <w:sz w:val="27"/>
          <w:szCs w:val="27"/>
        </w:rPr>
      </w:pPr>
      <w:r>
        <w:rPr>
          <w:rFonts w:hint="eastAsia" w:cs="MingLiU" w:asciiTheme="majorEastAsia" w:hAnsiTheme="majorEastAsia" w:eastAsiaTheme="majorEastAsia"/>
          <w:b/>
          <w:w w:val="99"/>
          <w:kern w:val="0"/>
          <w:sz w:val="27"/>
          <w:szCs w:val="27"/>
        </w:rPr>
        <w:t>比选申请人</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cs="MingLiU" w:asciiTheme="majorEastAsia" w:hAnsiTheme="majorEastAsia" w:eastAsiaTheme="majorEastAsia"/>
          <w:b/>
          <w:kern w:val="0"/>
          <w:sz w:val="27"/>
          <w:szCs w:val="27"/>
        </w:rPr>
      </w:pPr>
      <w:r>
        <w:rPr>
          <w:rFonts w:hint="eastAsia" w:cs="MingLiU" w:asciiTheme="majorEastAsia" w:hAnsiTheme="majorEastAsia" w:eastAsiaTheme="majorEastAsia"/>
          <w:b/>
          <w:w w:val="99"/>
          <w:kern w:val="0"/>
          <w:sz w:val="27"/>
          <w:szCs w:val="27"/>
        </w:rPr>
        <w:t>法定代表人或其委托代理人：</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（签字或盖章）</w:t>
      </w:r>
    </w:p>
    <w:p>
      <w:pPr>
        <w:spacing w:line="360" w:lineRule="auto"/>
        <w:jc w:val="center"/>
        <w:rPr>
          <w:rFonts w:cs="宋体" w:asciiTheme="majorEastAsia" w:hAnsiTheme="majorEastAsia" w:eastAsiaTheme="majorEastAsia"/>
          <w:b/>
          <w:kern w:val="0"/>
          <w:sz w:val="32"/>
          <w:szCs w:val="32"/>
        </w:rPr>
        <w:sectPr>
          <w:pgSz w:w="11906" w:h="16838"/>
          <w:pgMar w:top="1440" w:right="1416" w:bottom="1440" w:left="1797" w:header="993" w:footer="992" w:gutter="0"/>
          <w:pgNumType w:fmt="decimal"/>
          <w:cols w:space="720" w:num="1"/>
          <w:docGrid w:linePitch="312" w:charSpace="0"/>
        </w:sectPr>
      </w:pPr>
      <w:r>
        <w:rPr>
          <w:rFonts w:hint="eastAsia" w:cs="MingLiU" w:asciiTheme="majorEastAsia" w:hAnsiTheme="majorEastAsia" w:eastAsiaTheme="majorEastAsia"/>
          <w:b/>
          <w:w w:val="99"/>
          <w:kern w:val="0"/>
          <w:sz w:val="27"/>
          <w:szCs w:val="27"/>
          <w:u w:val="single"/>
        </w:rPr>
        <w:t xml:space="preserve">     年   月   日</w:t>
      </w:r>
    </w:p>
    <w:p>
      <w:pPr>
        <w:spacing w:line="36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目 录</w:t>
      </w:r>
    </w:p>
    <w:p>
      <w:pPr>
        <w:spacing w:line="360" w:lineRule="auto"/>
        <w:ind w:firstLine="420" w:firstLineChars="200"/>
        <w:jc w:val="left"/>
        <w:rPr>
          <w:rFonts w:asciiTheme="majorEastAsia" w:hAnsiTheme="majorEastAsia" w:eastAsiaTheme="majorEastAsia"/>
          <w:bCs/>
          <w:szCs w:val="21"/>
        </w:rPr>
      </w:pPr>
    </w:p>
    <w:p>
      <w:pPr>
        <w:spacing w:line="360" w:lineRule="auto"/>
        <w:ind w:firstLine="891" w:firstLineChars="405"/>
        <w:rPr>
          <w:rFonts w:ascii="宋体" w:hAnsi="宋体"/>
          <w:sz w:val="22"/>
          <w:szCs w:val="22"/>
        </w:rPr>
      </w:pPr>
      <w:r>
        <w:rPr>
          <w:rFonts w:ascii="宋体" w:hAnsi="宋体"/>
          <w:sz w:val="22"/>
          <w:szCs w:val="22"/>
        </w:rPr>
        <w:t>（一）法定代表人身份证明及授权委托书</w:t>
      </w:r>
    </w:p>
    <w:p>
      <w:pPr>
        <w:spacing w:line="360" w:lineRule="auto"/>
        <w:ind w:firstLine="891" w:firstLineChars="405"/>
        <w:rPr>
          <w:rFonts w:ascii="宋体" w:hAnsi="宋体"/>
          <w:sz w:val="22"/>
          <w:szCs w:val="22"/>
        </w:rPr>
      </w:pPr>
      <w:r>
        <w:rPr>
          <w:rFonts w:ascii="宋体" w:hAnsi="宋体"/>
          <w:sz w:val="22"/>
          <w:szCs w:val="22"/>
        </w:rPr>
        <w:t>（二）</w:t>
      </w:r>
      <w:r>
        <w:rPr>
          <w:rFonts w:hint="eastAsia" w:ascii="宋体" w:hAnsi="宋体"/>
          <w:sz w:val="22"/>
          <w:szCs w:val="22"/>
        </w:rPr>
        <w:t>比选申请</w:t>
      </w:r>
      <w:r>
        <w:rPr>
          <w:rFonts w:ascii="宋体" w:hAnsi="宋体"/>
          <w:sz w:val="22"/>
          <w:szCs w:val="22"/>
        </w:rPr>
        <w:t>人基本情况表</w:t>
      </w:r>
    </w:p>
    <w:p>
      <w:pPr>
        <w:spacing w:line="360" w:lineRule="auto"/>
        <w:ind w:firstLine="891" w:firstLineChars="405"/>
        <w:rPr>
          <w:rFonts w:ascii="宋体" w:hAnsi="宋体"/>
          <w:sz w:val="22"/>
          <w:szCs w:val="22"/>
        </w:rPr>
      </w:pPr>
      <w:r>
        <w:rPr>
          <w:rFonts w:ascii="宋体" w:hAnsi="宋体"/>
          <w:sz w:val="22"/>
          <w:szCs w:val="22"/>
        </w:rPr>
        <w:t>（</w:t>
      </w:r>
      <w:r>
        <w:rPr>
          <w:rFonts w:hint="eastAsia" w:ascii="宋体" w:hAnsi="宋体"/>
          <w:sz w:val="22"/>
          <w:szCs w:val="22"/>
        </w:rPr>
        <w:t>三</w:t>
      </w:r>
      <w:r>
        <w:rPr>
          <w:rFonts w:ascii="宋体" w:hAnsi="宋体"/>
          <w:sz w:val="22"/>
          <w:szCs w:val="22"/>
        </w:rPr>
        <w:t>）项目管理机构</w:t>
      </w:r>
    </w:p>
    <w:p>
      <w:pPr>
        <w:spacing w:line="360" w:lineRule="auto"/>
        <w:ind w:firstLine="891" w:firstLineChars="405"/>
        <w:rPr>
          <w:rFonts w:ascii="宋体" w:hAnsi="宋体"/>
          <w:sz w:val="22"/>
          <w:szCs w:val="22"/>
        </w:rPr>
      </w:pPr>
      <w:r>
        <w:rPr>
          <w:rFonts w:ascii="宋体" w:hAnsi="宋体"/>
          <w:sz w:val="22"/>
          <w:szCs w:val="22"/>
        </w:rPr>
        <w:t>（</w:t>
      </w:r>
      <w:r>
        <w:rPr>
          <w:rFonts w:hint="eastAsia" w:ascii="宋体" w:hAnsi="宋体"/>
          <w:sz w:val="22"/>
          <w:szCs w:val="22"/>
        </w:rPr>
        <w:t>四</w:t>
      </w:r>
      <w:r>
        <w:rPr>
          <w:rFonts w:ascii="宋体" w:hAnsi="宋体"/>
          <w:sz w:val="22"/>
          <w:szCs w:val="22"/>
        </w:rPr>
        <w:t>）近年财务状况表</w:t>
      </w:r>
    </w:p>
    <w:p>
      <w:pPr>
        <w:spacing w:line="360" w:lineRule="auto"/>
        <w:ind w:firstLine="891" w:firstLineChars="405"/>
        <w:rPr>
          <w:rFonts w:ascii="宋体" w:hAnsi="宋体"/>
          <w:sz w:val="22"/>
          <w:szCs w:val="22"/>
        </w:rPr>
      </w:pPr>
      <w:r>
        <w:rPr>
          <w:rFonts w:hint="eastAsia" w:ascii="宋体" w:hAnsi="宋体"/>
          <w:sz w:val="22"/>
          <w:szCs w:val="22"/>
        </w:rPr>
        <w:t>（五）类似业绩证明材料</w:t>
      </w:r>
    </w:p>
    <w:p>
      <w:pPr>
        <w:spacing w:line="360" w:lineRule="auto"/>
        <w:ind w:firstLine="891" w:firstLineChars="405"/>
        <w:rPr>
          <w:rFonts w:ascii="宋体" w:hAnsi="宋体"/>
          <w:sz w:val="22"/>
          <w:szCs w:val="22"/>
        </w:rPr>
      </w:pPr>
      <w:r>
        <w:rPr>
          <w:rFonts w:ascii="宋体" w:hAnsi="宋体"/>
          <w:sz w:val="22"/>
          <w:szCs w:val="22"/>
        </w:rPr>
        <w:t>（</w:t>
      </w:r>
      <w:r>
        <w:rPr>
          <w:rFonts w:hint="eastAsia" w:ascii="宋体" w:hAnsi="宋体"/>
          <w:sz w:val="22"/>
          <w:szCs w:val="22"/>
        </w:rPr>
        <w:t>六</w:t>
      </w:r>
      <w:r>
        <w:rPr>
          <w:rFonts w:ascii="宋体" w:hAnsi="宋体"/>
          <w:sz w:val="22"/>
          <w:szCs w:val="22"/>
        </w:rPr>
        <w:t>）</w:t>
      </w:r>
      <w:r>
        <w:rPr>
          <w:rFonts w:hint="eastAsia" w:ascii="宋体" w:hAnsi="宋体"/>
          <w:sz w:val="22"/>
          <w:szCs w:val="22"/>
        </w:rPr>
        <w:t>信誉要求</w:t>
      </w:r>
    </w:p>
    <w:p>
      <w:pPr>
        <w:spacing w:line="360" w:lineRule="auto"/>
        <w:ind w:firstLine="891" w:firstLineChars="405"/>
        <w:rPr>
          <w:rFonts w:ascii="宋体" w:hAnsi="宋体"/>
          <w:sz w:val="22"/>
          <w:szCs w:val="22"/>
        </w:rPr>
      </w:pPr>
      <w:r>
        <w:rPr>
          <w:rFonts w:ascii="宋体" w:hAnsi="宋体"/>
          <w:sz w:val="22"/>
          <w:szCs w:val="22"/>
        </w:rPr>
        <w:t>（</w:t>
      </w:r>
      <w:r>
        <w:rPr>
          <w:rFonts w:hint="eastAsia" w:ascii="宋体" w:hAnsi="宋体"/>
          <w:sz w:val="22"/>
          <w:szCs w:val="22"/>
        </w:rPr>
        <w:t>七</w:t>
      </w:r>
      <w:r>
        <w:rPr>
          <w:rFonts w:ascii="宋体" w:hAnsi="宋体"/>
          <w:sz w:val="22"/>
          <w:szCs w:val="22"/>
        </w:rPr>
        <w:t>）其他资料</w:t>
      </w:r>
    </w:p>
    <w:p>
      <w:pPr>
        <w:spacing w:line="360" w:lineRule="auto"/>
        <w:jc w:val="center"/>
        <w:rPr>
          <w:rFonts w:cs="宋体" w:asciiTheme="majorEastAsia" w:hAnsiTheme="majorEastAsia" w:eastAsiaTheme="majorEastAsia"/>
          <w:sz w:val="44"/>
          <w:szCs w:val="44"/>
        </w:rPr>
      </w:pPr>
    </w:p>
    <w:p>
      <w:pPr>
        <w:spacing w:line="360" w:lineRule="auto"/>
        <w:jc w:val="center"/>
        <w:outlineLvl w:val="2"/>
        <w:rPr>
          <w:rFonts w:asciiTheme="majorEastAsia" w:hAnsiTheme="majorEastAsia" w:eastAsiaTheme="majorEastAsia"/>
          <w:b/>
          <w:bCs/>
          <w:snapToGrid w:val="0"/>
          <w:sz w:val="28"/>
          <w:szCs w:val="28"/>
        </w:rPr>
      </w:pPr>
      <w:r>
        <w:rPr>
          <w:rFonts w:cs="宋体" w:asciiTheme="majorEastAsia" w:hAnsiTheme="majorEastAsia" w:eastAsiaTheme="majorEastAsia"/>
          <w:b/>
          <w:sz w:val="44"/>
          <w:szCs w:val="44"/>
        </w:rPr>
        <w:br w:type="page"/>
      </w:r>
      <w:bookmarkStart w:id="1723" w:name="_Toc507402436"/>
      <w:bookmarkStart w:id="1724" w:name="_Toc502846071"/>
      <w:bookmarkStart w:id="1725" w:name="_Toc17058"/>
      <w:bookmarkStart w:id="1726" w:name="_Toc501704637"/>
      <w:r>
        <w:rPr>
          <w:rFonts w:hint="eastAsia" w:asciiTheme="majorEastAsia" w:hAnsiTheme="majorEastAsia" w:eastAsiaTheme="majorEastAsia"/>
          <w:b/>
          <w:sz w:val="28"/>
        </w:rPr>
        <w:t>（一）法定代表人身份证明及授权委托书</w:t>
      </w:r>
      <w:bookmarkEnd w:id="1723"/>
      <w:bookmarkEnd w:id="1724"/>
      <w:bookmarkEnd w:id="1725"/>
      <w:bookmarkEnd w:id="1726"/>
      <w:bookmarkStart w:id="1727" w:name="_Toc15634"/>
      <w:bookmarkStart w:id="1728" w:name="_Toc358902169"/>
    </w:p>
    <w:p>
      <w:pPr>
        <w:spacing w:line="700" w:lineRule="exact"/>
        <w:jc w:val="center"/>
        <w:rPr>
          <w:rFonts w:asciiTheme="majorEastAsia" w:hAnsiTheme="majorEastAsia" w:eastAsiaTheme="majorEastAsia"/>
          <w:b/>
          <w:sz w:val="28"/>
          <w:szCs w:val="31"/>
        </w:rPr>
      </w:pPr>
      <w:r>
        <w:rPr>
          <w:rFonts w:hint="eastAsia" w:asciiTheme="majorEastAsia" w:hAnsiTheme="majorEastAsia" w:eastAsiaTheme="majorEastAsia"/>
          <w:b/>
          <w:sz w:val="28"/>
          <w:szCs w:val="31"/>
        </w:rPr>
        <w:t>法定代表人身份证明</w:t>
      </w:r>
    </w:p>
    <w:p>
      <w:pPr>
        <w:jc w:val="center"/>
        <w:rPr>
          <w:rFonts w:asciiTheme="majorEastAsia" w:hAnsiTheme="majorEastAsia" w:eastAsiaTheme="majorEastAsia"/>
          <w:b/>
          <w:sz w:val="31"/>
          <w:szCs w:val="31"/>
        </w:rPr>
      </w:pPr>
    </w:p>
    <w:p>
      <w:pPr>
        <w:tabs>
          <w:tab w:val="left" w:pos="5565"/>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比选申请人名称：</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5475"/>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单位性质：</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5475"/>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地址：</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2520"/>
          <w:tab w:val="left" w:pos="3525"/>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成立时间：</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年</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月</w:t>
      </w:r>
      <w:r>
        <w:rPr>
          <w:rFonts w:asciiTheme="majorEastAsia" w:hAnsiTheme="majorEastAsia" w:eastAsiaTheme="majorEastAsia"/>
          <w:kern w:val="0"/>
          <w:szCs w:val="21"/>
          <w:u w:val="single"/>
        </w:rPr>
        <w:tab/>
      </w:r>
      <w:r>
        <w:rPr>
          <w:rFonts w:hint="eastAsia" w:asciiTheme="majorEastAsia" w:hAnsiTheme="majorEastAsia" w:eastAsiaTheme="majorEastAsia"/>
          <w:kern w:val="0"/>
          <w:szCs w:val="21"/>
          <w:u w:val="single"/>
        </w:rPr>
        <w:t xml:space="preserve">     </w:t>
      </w:r>
      <w:r>
        <w:rPr>
          <w:rFonts w:hint="eastAsia" w:cs="MingLiU" w:asciiTheme="majorEastAsia" w:hAnsiTheme="majorEastAsia" w:eastAsiaTheme="majorEastAsia"/>
          <w:kern w:val="0"/>
          <w:szCs w:val="21"/>
        </w:rPr>
        <w:t>日</w:t>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5475"/>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经营期限：</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1580"/>
          <w:tab w:val="left" w:pos="3260"/>
          <w:tab w:val="left" w:pos="4840"/>
          <w:tab w:val="left" w:pos="6300"/>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姓名：</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性别</w:t>
      </w:r>
      <w:r>
        <w:rPr>
          <w:rFonts w:hint="eastAsia" w:cs="MingLiU" w:asciiTheme="majorEastAsia" w:hAnsiTheme="majorEastAsia" w:eastAsiaTheme="majorEastAsia"/>
          <w:spacing w:val="-1"/>
          <w:kern w:val="0"/>
          <w:szCs w:val="21"/>
        </w:rPr>
        <w:t>：</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年</w:t>
      </w:r>
      <w:r>
        <w:rPr>
          <w:rFonts w:hint="eastAsia" w:cs="MingLiU" w:asciiTheme="majorEastAsia" w:hAnsiTheme="majorEastAsia" w:eastAsiaTheme="majorEastAsia"/>
          <w:kern w:val="0"/>
          <w:szCs w:val="21"/>
        </w:rPr>
        <w:t>龄：</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职务：</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tabs>
          <w:tab w:val="left" w:pos="3360"/>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系</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（比选申请人名称）的法定代表人。</w:t>
      </w:r>
    </w:p>
    <w:p>
      <w:pPr>
        <w:tabs>
          <w:tab w:val="left" w:pos="3360"/>
        </w:tabs>
        <w:autoSpaceDE w:val="0"/>
        <w:autoSpaceDN w:val="0"/>
        <w:adjustRightInd w:val="0"/>
        <w:snapToGrid w:val="0"/>
        <w:spacing w:line="360" w:lineRule="auto"/>
        <w:ind w:firstLine="391" w:firstLineChars="186"/>
        <w:jc w:val="left"/>
        <w:rPr>
          <w:rFonts w:cs="MingLiU" w:asciiTheme="majorEastAsia" w:hAnsiTheme="majorEastAsia" w:eastAsiaTheme="majorEastAsia"/>
          <w:kern w:val="0"/>
          <w:szCs w:val="21"/>
        </w:rPr>
      </w:pPr>
    </w:p>
    <w:p>
      <w:pPr>
        <w:autoSpaceDE w:val="0"/>
        <w:autoSpaceDN w:val="0"/>
        <w:adjustRightInd w:val="0"/>
        <w:snapToGrid w:val="0"/>
        <w:spacing w:line="360" w:lineRule="auto"/>
        <w:ind w:firstLine="811" w:firstLineChars="3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特此证明。</w:t>
      </w:r>
    </w:p>
    <w:tbl>
      <w:tblPr>
        <w:tblStyle w:val="57"/>
        <w:tblW w:w="907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7"/>
        <w:gridCol w:w="453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701" w:hRule="atLeast"/>
          <w:jc w:val="center"/>
        </w:trPr>
        <w:tc>
          <w:tcPr>
            <w:tcW w:w="4537" w:type="dxa"/>
          </w:tcPr>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附法定代表人身份证（第二代）复印件</w:t>
            </w:r>
          </w:p>
          <w:p>
            <w:pPr>
              <w:spacing w:line="360" w:lineRule="auto"/>
              <w:ind w:left="1050" w:hanging="1050" w:hangingChars="500"/>
              <w:jc w:val="center"/>
              <w:rPr>
                <w:rFonts w:asciiTheme="majorEastAsia" w:hAnsiTheme="majorEastAsia" w:eastAsiaTheme="majorEastAsia"/>
                <w:szCs w:val="21"/>
              </w:rPr>
            </w:pPr>
          </w:p>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（一面）</w:t>
            </w:r>
          </w:p>
        </w:tc>
        <w:tc>
          <w:tcPr>
            <w:tcW w:w="4537" w:type="dxa"/>
          </w:tcPr>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附法定代表人身份证（第二代）复印件</w:t>
            </w:r>
          </w:p>
          <w:p>
            <w:pPr>
              <w:spacing w:line="360" w:lineRule="auto"/>
              <w:ind w:left="1260" w:hanging="1260" w:hangingChars="600"/>
              <w:jc w:val="center"/>
              <w:rPr>
                <w:rFonts w:asciiTheme="majorEastAsia" w:hAnsiTheme="majorEastAsia" w:eastAsiaTheme="majorEastAsia"/>
                <w:szCs w:val="21"/>
              </w:rPr>
            </w:pPr>
          </w:p>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（另一面）</w:t>
            </w:r>
          </w:p>
        </w:tc>
      </w:tr>
    </w:tbl>
    <w:p>
      <w:pPr>
        <w:tabs>
          <w:tab w:val="left" w:pos="5460"/>
        </w:tabs>
        <w:autoSpaceDE w:val="0"/>
        <w:autoSpaceDN w:val="0"/>
        <w:adjustRightInd w:val="0"/>
        <w:snapToGrid w:val="0"/>
        <w:spacing w:line="360" w:lineRule="auto"/>
        <w:ind w:firstLine="2100"/>
        <w:jc w:val="left"/>
        <w:rPr>
          <w:rFonts w:cs="MingLiU" w:asciiTheme="majorEastAsia" w:hAnsiTheme="majorEastAsia" w:eastAsiaTheme="majorEastAsia"/>
          <w:kern w:val="0"/>
          <w:szCs w:val="21"/>
        </w:rPr>
      </w:pPr>
    </w:p>
    <w:p>
      <w:pPr>
        <w:tabs>
          <w:tab w:val="left" w:pos="7140"/>
        </w:tabs>
        <w:autoSpaceDE w:val="0"/>
        <w:autoSpaceDN w:val="0"/>
        <w:adjustRightInd w:val="0"/>
        <w:snapToGrid w:val="0"/>
        <w:spacing w:line="360" w:lineRule="auto"/>
        <w:ind w:firstLine="3360" w:firstLineChars="16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比选申请</w:t>
      </w:r>
      <w:r>
        <w:rPr>
          <w:rFonts w:hint="eastAsia" w:cs="MingLiU" w:asciiTheme="majorEastAsia" w:hAnsiTheme="majorEastAsia" w:eastAsiaTheme="majorEastAsia"/>
          <w:spacing w:val="-1"/>
          <w:kern w:val="0"/>
          <w:szCs w:val="21"/>
        </w:rPr>
        <w:t>人</w:t>
      </w:r>
      <w:r>
        <w:rPr>
          <w:rFonts w:hint="eastAsia" w:cs="MingLiU" w:asciiTheme="majorEastAsia" w:hAnsiTheme="majorEastAsia" w:eastAsiaTheme="majorEastAsia"/>
          <w:kern w:val="0"/>
          <w:szCs w:val="21"/>
        </w:rPr>
        <w:t>：</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w:t>
      </w:r>
      <w:r>
        <w:rPr>
          <w:rFonts w:hint="eastAsia" w:cs="MingLiU" w:asciiTheme="majorEastAsia" w:hAnsiTheme="majorEastAsia" w:eastAsiaTheme="majorEastAsia"/>
          <w:kern w:val="0"/>
          <w:szCs w:val="21"/>
        </w:rPr>
        <w:t>盖单位公章）</w:t>
      </w:r>
    </w:p>
    <w:p>
      <w:pPr>
        <w:tabs>
          <w:tab w:val="left" w:pos="4935"/>
          <w:tab w:val="left" w:pos="5775"/>
          <w:tab w:val="left" w:pos="6400"/>
        </w:tabs>
        <w:autoSpaceDE w:val="0"/>
        <w:autoSpaceDN w:val="0"/>
        <w:adjustRightInd w:val="0"/>
        <w:snapToGrid w:val="0"/>
        <w:spacing w:line="360" w:lineRule="auto"/>
        <w:ind w:firstLine="4305" w:firstLineChars="2050"/>
        <w:jc w:val="left"/>
        <w:rPr>
          <w:rFonts w:cs="MingLiU" w:asciiTheme="majorEastAsia" w:hAnsiTheme="majorEastAsia" w:eastAsiaTheme="majorEastAsia"/>
          <w:kern w:val="0"/>
          <w:szCs w:val="21"/>
        </w:rPr>
      </w:pP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年</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月</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 xml:space="preserve">日   </w:t>
      </w:r>
    </w:p>
    <w:p>
      <w:pPr>
        <w:autoSpaceDE w:val="0"/>
        <w:autoSpaceDN w:val="0"/>
        <w:adjustRightInd w:val="0"/>
        <w:snapToGrid w:val="0"/>
        <w:spacing w:line="360" w:lineRule="auto"/>
        <w:jc w:val="left"/>
        <w:rPr>
          <w:rFonts w:asciiTheme="majorEastAsia" w:hAnsiTheme="majorEastAsia" w:eastAsiaTheme="majorEastAsia"/>
          <w:kern w:val="0"/>
        </w:rPr>
      </w:pPr>
    </w:p>
    <w:p>
      <w:pPr>
        <w:autoSpaceDE w:val="0"/>
        <w:autoSpaceDN w:val="0"/>
        <w:adjustRightInd w:val="0"/>
        <w:snapToGrid w:val="0"/>
        <w:spacing w:line="360" w:lineRule="auto"/>
        <w:jc w:val="left"/>
        <w:rPr>
          <w:rFonts w:asciiTheme="majorEastAsia" w:hAnsiTheme="majorEastAsia" w:eastAsiaTheme="majorEastAsia"/>
          <w:kern w:val="0"/>
        </w:rPr>
      </w:pPr>
    </w:p>
    <w:p>
      <w:pPr>
        <w:autoSpaceDE w:val="0"/>
        <w:autoSpaceDN w:val="0"/>
        <w:adjustRightInd w:val="0"/>
        <w:snapToGrid w:val="0"/>
        <w:spacing w:line="360" w:lineRule="auto"/>
        <w:jc w:val="left"/>
        <w:rPr>
          <w:rFonts w:asciiTheme="majorEastAsia" w:hAnsiTheme="majorEastAsia" w:eastAsiaTheme="majorEastAsia"/>
          <w:kern w:val="0"/>
        </w:rPr>
      </w:pPr>
      <w:r>
        <w:rPr>
          <w:rFonts w:hint="eastAsia" w:asciiTheme="majorEastAsia" w:hAnsiTheme="majorEastAsia" w:eastAsiaTheme="majorEastAsia"/>
          <w:kern w:val="0"/>
        </w:rPr>
        <w:t>注：法定代表人身份证明需按上述格式填写完整，不可缺少内容。在此基础上增加内容不影响其有效性。</w:t>
      </w:r>
    </w:p>
    <w:p>
      <w:pPr>
        <w:autoSpaceDE w:val="0"/>
        <w:autoSpaceDN w:val="0"/>
        <w:adjustRightInd w:val="0"/>
        <w:snapToGrid w:val="0"/>
        <w:spacing w:line="360" w:lineRule="auto"/>
        <w:jc w:val="left"/>
        <w:rPr>
          <w:rFonts w:asciiTheme="majorEastAsia" w:hAnsiTheme="majorEastAsia" w:eastAsiaTheme="majorEastAsia"/>
          <w:kern w:val="0"/>
        </w:rPr>
      </w:pPr>
    </w:p>
    <w:p>
      <w:pPr>
        <w:autoSpaceDE w:val="0"/>
        <w:autoSpaceDN w:val="0"/>
        <w:adjustRightInd w:val="0"/>
        <w:snapToGrid w:val="0"/>
        <w:spacing w:line="360" w:lineRule="auto"/>
        <w:jc w:val="center"/>
        <w:rPr>
          <w:rFonts w:asciiTheme="majorEastAsia" w:hAnsiTheme="majorEastAsia" w:eastAsiaTheme="majorEastAsia"/>
          <w:b/>
          <w:sz w:val="28"/>
          <w:szCs w:val="28"/>
        </w:rPr>
      </w:pPr>
      <w:r>
        <w:rPr>
          <w:rFonts w:asciiTheme="majorEastAsia" w:hAnsiTheme="majorEastAsia" w:eastAsiaTheme="majorEastAsia"/>
          <w:kern w:val="0"/>
        </w:rPr>
        <w:br w:type="page"/>
      </w:r>
      <w:r>
        <w:rPr>
          <w:rFonts w:hint="eastAsia" w:asciiTheme="majorEastAsia" w:hAnsiTheme="majorEastAsia" w:eastAsiaTheme="majorEastAsia"/>
          <w:b/>
          <w:sz w:val="28"/>
          <w:szCs w:val="28"/>
        </w:rPr>
        <w:t>授权委托书</w:t>
      </w:r>
    </w:p>
    <w:p>
      <w:pPr>
        <w:autoSpaceDE w:val="0"/>
        <w:autoSpaceDN w:val="0"/>
        <w:adjustRightInd w:val="0"/>
        <w:snapToGrid w:val="0"/>
        <w:spacing w:line="360" w:lineRule="auto"/>
        <w:jc w:val="left"/>
        <w:rPr>
          <w:rFonts w:cs="MingLiU" w:asciiTheme="majorEastAsia" w:hAnsiTheme="majorEastAsia" w:eastAsiaTheme="majorEastAsia"/>
          <w:kern w:val="0"/>
          <w:sz w:val="19"/>
          <w:szCs w:val="19"/>
        </w:rPr>
      </w:pPr>
    </w:p>
    <w:p>
      <w:pPr>
        <w:tabs>
          <w:tab w:val="left" w:pos="1680"/>
          <w:tab w:val="left" w:pos="4005"/>
          <w:tab w:val="left" w:pos="4305"/>
        </w:tabs>
        <w:autoSpaceDE w:val="0"/>
        <w:autoSpaceDN w:val="0"/>
        <w:adjustRightInd w:val="0"/>
        <w:snapToGrid w:val="0"/>
        <w:spacing w:line="360" w:lineRule="auto"/>
        <w:ind w:firstLine="420"/>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本人</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（姓名）系</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spacing w:val="-1"/>
          <w:kern w:val="0"/>
          <w:szCs w:val="21"/>
        </w:rPr>
        <w:t>比选申请</w:t>
      </w:r>
      <w:r>
        <w:rPr>
          <w:rFonts w:hint="eastAsia" w:cs="MingLiU" w:asciiTheme="majorEastAsia" w:hAnsiTheme="majorEastAsia" w:eastAsiaTheme="majorEastAsia"/>
          <w:kern w:val="0"/>
          <w:szCs w:val="21"/>
        </w:rPr>
        <w:t>人名称</w:t>
      </w:r>
      <w:r>
        <w:rPr>
          <w:rFonts w:hint="eastAsia" w:cs="MingLiU" w:asciiTheme="majorEastAsia" w:hAnsiTheme="majorEastAsia" w:eastAsiaTheme="majorEastAsia"/>
          <w:spacing w:val="1"/>
          <w:kern w:val="0"/>
          <w:szCs w:val="21"/>
        </w:rPr>
        <w:t>）</w:t>
      </w:r>
      <w:r>
        <w:rPr>
          <w:rFonts w:hint="eastAsia" w:cs="MingLiU" w:asciiTheme="majorEastAsia" w:hAnsiTheme="majorEastAsia" w:eastAsiaTheme="majorEastAsia"/>
          <w:kern w:val="0"/>
          <w:szCs w:val="21"/>
        </w:rPr>
        <w:t>的法定代</w:t>
      </w:r>
      <w:r>
        <w:rPr>
          <w:rFonts w:hint="eastAsia" w:cs="MingLiU" w:asciiTheme="majorEastAsia" w:hAnsiTheme="majorEastAsia" w:eastAsiaTheme="majorEastAsia"/>
          <w:spacing w:val="1"/>
          <w:kern w:val="0"/>
          <w:szCs w:val="21"/>
        </w:rPr>
        <w:t>表</w:t>
      </w:r>
      <w:r>
        <w:rPr>
          <w:rFonts w:hint="eastAsia" w:cs="MingLiU" w:asciiTheme="majorEastAsia" w:hAnsiTheme="majorEastAsia" w:eastAsiaTheme="majorEastAsia"/>
          <w:kern w:val="0"/>
          <w:szCs w:val="21"/>
        </w:rPr>
        <w:t>人，现委托</w:t>
      </w:r>
      <w:r>
        <w:rPr>
          <w:rFonts w:asciiTheme="majorEastAsia" w:hAnsiTheme="majorEastAsia" w:eastAsiaTheme="majorEastAsia"/>
          <w:kern w:val="0"/>
          <w:szCs w:val="21"/>
          <w:u w:val="single"/>
        </w:rPr>
        <w:tab/>
      </w:r>
      <w:r>
        <w:rPr>
          <w:rFonts w:hint="eastAsia" w:asciiTheme="majorEastAsia" w:hAnsiTheme="majorEastAsia" w:eastAsiaTheme="majorEastAsia"/>
          <w:kern w:val="0"/>
          <w:szCs w:val="21"/>
          <w:u w:val="single"/>
        </w:rPr>
        <w:t xml:space="preserve"> </w:t>
      </w:r>
      <w:r>
        <w:rPr>
          <w:rFonts w:hint="eastAsia" w:cs="MingLiU" w:asciiTheme="majorEastAsia" w:hAnsiTheme="majorEastAsia" w:eastAsiaTheme="majorEastAsia"/>
          <w:kern w:val="0"/>
          <w:szCs w:val="21"/>
        </w:rPr>
        <w:t>（姓名）为我方代理人。代理人根据授权，以我方名义签署、澄清、说明、补正、递交、撤回、修改</w:t>
      </w:r>
      <w:r>
        <w:rPr>
          <w:rFonts w:asciiTheme="majorEastAsia" w:hAnsiTheme="majorEastAsia" w:eastAsiaTheme="majorEastAsia"/>
          <w:kern w:val="0"/>
          <w:szCs w:val="21"/>
          <w:u w:val="single"/>
        </w:rPr>
        <w:tab/>
      </w:r>
      <w:r>
        <w:rPr>
          <w:rFonts w:hint="eastAsia" w:asciiTheme="majorEastAsia" w:hAnsiTheme="majorEastAsia" w:eastAsiaTheme="majorEastAsia"/>
          <w:kern w:val="0"/>
          <w:szCs w:val="21"/>
          <w:u w:val="single"/>
        </w:rPr>
        <w:t xml:space="preserve">       </w:t>
      </w:r>
      <w:r>
        <w:rPr>
          <w:rFonts w:hint="eastAsia" w:cs="MingLiU" w:asciiTheme="majorEastAsia" w:hAnsiTheme="majorEastAsia" w:eastAsiaTheme="majorEastAsia"/>
          <w:kern w:val="0"/>
          <w:szCs w:val="21"/>
        </w:rPr>
        <w:t>（项</w:t>
      </w:r>
      <w:r>
        <w:rPr>
          <w:rFonts w:hint="eastAsia" w:cs="MingLiU" w:asciiTheme="majorEastAsia" w:hAnsiTheme="majorEastAsia" w:eastAsiaTheme="majorEastAsia"/>
          <w:spacing w:val="-1"/>
          <w:kern w:val="0"/>
          <w:szCs w:val="21"/>
        </w:rPr>
        <w:t>目</w:t>
      </w:r>
      <w:r>
        <w:rPr>
          <w:rFonts w:hint="eastAsia" w:cs="MingLiU" w:asciiTheme="majorEastAsia" w:hAnsiTheme="majorEastAsia" w:eastAsiaTheme="majorEastAsia"/>
          <w:kern w:val="0"/>
          <w:szCs w:val="21"/>
        </w:rPr>
        <w:t>名称）比选申请文件、签订合同和处理有关事宜，其法律后果由我方承担。</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委托</w:t>
      </w:r>
      <w:r>
        <w:rPr>
          <w:rFonts w:hint="eastAsia" w:asciiTheme="majorEastAsia" w:hAnsiTheme="majorEastAsia" w:eastAsiaTheme="majorEastAsia"/>
          <w:spacing w:val="-1"/>
          <w:szCs w:val="21"/>
        </w:rPr>
        <w:t>期</w:t>
      </w:r>
      <w:r>
        <w:rPr>
          <w:rFonts w:hint="eastAsia" w:asciiTheme="majorEastAsia" w:hAnsiTheme="majorEastAsia" w:eastAsiaTheme="majorEastAsia"/>
          <w:szCs w:val="21"/>
        </w:rPr>
        <w:t>限：</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 xml:space="preserve">。 </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代理人无转委托权。</w:t>
      </w:r>
    </w:p>
    <w:p>
      <w:pPr>
        <w:autoSpaceDE w:val="0"/>
        <w:autoSpaceDN w:val="0"/>
        <w:adjustRightInd w:val="0"/>
        <w:snapToGrid w:val="0"/>
        <w:spacing w:line="360" w:lineRule="auto"/>
        <w:jc w:val="left"/>
        <w:rPr>
          <w:rFonts w:cs="MingLiU" w:asciiTheme="majorEastAsia" w:hAnsiTheme="majorEastAsia" w:eastAsiaTheme="majorEastAsia"/>
          <w:kern w:val="0"/>
          <w:szCs w:val="21"/>
        </w:rPr>
      </w:pPr>
    </w:p>
    <w:p>
      <w:pPr>
        <w:autoSpaceDE w:val="0"/>
        <w:autoSpaceDN w:val="0"/>
        <w:adjustRightInd w:val="0"/>
        <w:snapToGrid w:val="0"/>
        <w:spacing w:line="360" w:lineRule="auto"/>
        <w:jc w:val="left"/>
        <w:rPr>
          <w:rFonts w:cs="MingLiU" w:asciiTheme="majorEastAsia" w:hAnsiTheme="majorEastAsia" w:eastAsiaTheme="majorEastAsia"/>
          <w:kern w:val="0"/>
          <w:szCs w:val="21"/>
        </w:rPr>
      </w:pPr>
    </w:p>
    <w:p>
      <w:pPr>
        <w:tabs>
          <w:tab w:val="left" w:pos="6720"/>
        </w:tabs>
        <w:autoSpaceDE w:val="0"/>
        <w:autoSpaceDN w:val="0"/>
        <w:adjustRightInd w:val="0"/>
        <w:snapToGrid w:val="0"/>
        <w:spacing w:line="360" w:lineRule="auto"/>
        <w:ind w:firstLine="1694"/>
        <w:jc w:val="left"/>
        <w:rPr>
          <w:rFonts w:asciiTheme="majorEastAsia" w:hAnsiTheme="majorEastAsia" w:eastAsiaTheme="majorEastAsia"/>
          <w:kern w:val="0"/>
          <w:szCs w:val="21"/>
        </w:rPr>
      </w:pPr>
      <w:r>
        <w:rPr>
          <w:rFonts w:hint="eastAsia" w:cs="MingLiU" w:asciiTheme="majorEastAsia" w:hAnsiTheme="majorEastAsia" w:eastAsiaTheme="majorEastAsia"/>
          <w:kern w:val="0"/>
          <w:szCs w:val="21"/>
        </w:rPr>
        <w:t>比选申请人：</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spacing w:val="-1"/>
          <w:kern w:val="0"/>
          <w:szCs w:val="21"/>
        </w:rPr>
        <w:t>盖</w:t>
      </w:r>
      <w:r>
        <w:rPr>
          <w:rFonts w:hint="eastAsia" w:cs="MingLiU" w:asciiTheme="majorEastAsia" w:hAnsiTheme="majorEastAsia" w:eastAsiaTheme="majorEastAsia"/>
          <w:kern w:val="0"/>
          <w:szCs w:val="21"/>
        </w:rPr>
        <w:t>单位公章）</w:t>
      </w:r>
    </w:p>
    <w:p>
      <w:pPr>
        <w:tabs>
          <w:tab w:val="left" w:pos="6300"/>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法定代表人：</w:t>
      </w:r>
      <w:r>
        <w:rPr>
          <w:rFonts w:asciiTheme="majorEastAsia" w:hAnsiTheme="majorEastAsia" w:eastAsiaTheme="majorEastAsia"/>
          <w:kern w:val="0"/>
          <w:szCs w:val="21"/>
          <w:u w:val="single"/>
        </w:rPr>
        <w:tab/>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（签字）</w:t>
      </w:r>
    </w:p>
    <w:p>
      <w:pPr>
        <w:tabs>
          <w:tab w:val="left" w:pos="6735"/>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身份证号码：</w:t>
      </w:r>
      <w:r>
        <w:rPr>
          <w:rFonts w:asciiTheme="majorEastAsia" w:hAnsiTheme="majorEastAsia" w:eastAsiaTheme="majorEastAsia"/>
          <w:kern w:val="0"/>
          <w:szCs w:val="21"/>
          <w:u w:val="single"/>
        </w:rPr>
        <w:tab/>
      </w:r>
    </w:p>
    <w:p>
      <w:pPr>
        <w:tabs>
          <w:tab w:val="left" w:pos="6720"/>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委托代理人：</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（签</w:t>
      </w:r>
      <w:r>
        <w:rPr>
          <w:rFonts w:hint="eastAsia" w:cs="MingLiU" w:asciiTheme="majorEastAsia" w:hAnsiTheme="majorEastAsia" w:eastAsiaTheme="majorEastAsia"/>
          <w:spacing w:val="-1"/>
          <w:kern w:val="0"/>
          <w:szCs w:val="21"/>
        </w:rPr>
        <w:t>字</w:t>
      </w:r>
      <w:r>
        <w:rPr>
          <w:rFonts w:hint="eastAsia" w:cs="MingLiU" w:asciiTheme="majorEastAsia" w:hAnsiTheme="majorEastAsia" w:eastAsiaTheme="majorEastAsia"/>
          <w:kern w:val="0"/>
          <w:szCs w:val="21"/>
        </w:rPr>
        <w:t>）</w:t>
      </w:r>
    </w:p>
    <w:p>
      <w:pPr>
        <w:tabs>
          <w:tab w:val="left" w:pos="6735"/>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身份证号码：</w:t>
      </w:r>
      <w:r>
        <w:rPr>
          <w:rFonts w:asciiTheme="majorEastAsia" w:hAnsiTheme="majorEastAsia" w:eastAsiaTheme="majorEastAsia"/>
          <w:kern w:val="0"/>
          <w:szCs w:val="21"/>
          <w:u w:val="single"/>
        </w:rPr>
        <w:tab/>
      </w:r>
    </w:p>
    <w:p>
      <w:pPr>
        <w:tabs>
          <w:tab w:val="left" w:pos="6825"/>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p>
    <w:p>
      <w:pPr>
        <w:autoSpaceDE w:val="0"/>
        <w:autoSpaceDN w:val="0"/>
        <w:adjustRightInd w:val="0"/>
        <w:snapToGrid w:val="0"/>
        <w:spacing w:line="360" w:lineRule="auto"/>
        <w:jc w:val="left"/>
        <w:rPr>
          <w:rFonts w:cs="MingLiU" w:asciiTheme="majorEastAsia" w:hAnsiTheme="majorEastAsia" w:eastAsiaTheme="majorEastAsia"/>
          <w:kern w:val="0"/>
          <w:szCs w:val="21"/>
        </w:rPr>
      </w:pPr>
    </w:p>
    <w:p>
      <w:pPr>
        <w:tabs>
          <w:tab w:val="left" w:pos="4110"/>
          <w:tab w:val="left" w:pos="4725"/>
        </w:tabs>
        <w:autoSpaceDE w:val="0"/>
        <w:autoSpaceDN w:val="0"/>
        <w:adjustRightInd w:val="0"/>
        <w:snapToGrid w:val="0"/>
        <w:spacing w:line="360" w:lineRule="auto"/>
        <w:ind w:firstLine="3885" w:firstLineChars="1850"/>
        <w:jc w:val="left"/>
        <w:rPr>
          <w:rFonts w:cs="MingLiU" w:asciiTheme="majorEastAsia" w:hAnsiTheme="majorEastAsia" w:eastAsiaTheme="majorEastAsia"/>
          <w:kern w:val="0"/>
          <w:szCs w:val="21"/>
        </w:rPr>
      </w:pPr>
      <w:r>
        <w:rPr>
          <w:rFonts w:asciiTheme="majorEastAsia" w:hAnsiTheme="majorEastAsia" w:eastAsiaTheme="majorEastAsia"/>
          <w:kern w:val="0"/>
          <w:szCs w:val="21"/>
          <w:u w:val="single"/>
        </w:rPr>
        <w:tab/>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年</w:t>
      </w:r>
      <w:r>
        <w:rPr>
          <w:rFonts w:asciiTheme="majorEastAsia" w:hAnsiTheme="majorEastAsia" w:eastAsiaTheme="majorEastAsia"/>
          <w:kern w:val="0"/>
          <w:szCs w:val="21"/>
          <w:u w:val="single"/>
        </w:rPr>
        <w:tab/>
      </w:r>
      <w:r>
        <w:rPr>
          <w:rFonts w:hint="eastAsia" w:asciiTheme="majorEastAsia" w:hAnsiTheme="majorEastAsia" w:eastAsiaTheme="majorEastAsia"/>
          <w:kern w:val="0"/>
          <w:szCs w:val="21"/>
          <w:u w:val="single"/>
        </w:rPr>
        <w:t xml:space="preserve">     </w:t>
      </w:r>
      <w:r>
        <w:rPr>
          <w:rFonts w:hint="eastAsia" w:cs="MingLiU" w:asciiTheme="majorEastAsia" w:hAnsiTheme="majorEastAsia" w:eastAsiaTheme="majorEastAsia"/>
          <w:kern w:val="0"/>
          <w:szCs w:val="21"/>
        </w:rPr>
        <w:t>月</w:t>
      </w:r>
      <w:r>
        <w:rPr>
          <w:rFonts w:asciiTheme="majorEastAsia" w:hAnsiTheme="majorEastAsia" w:eastAsiaTheme="majorEastAsia"/>
          <w:kern w:val="0"/>
          <w:szCs w:val="21"/>
          <w:u w:val="single"/>
        </w:rPr>
        <w:tab/>
      </w:r>
      <w:r>
        <w:rPr>
          <w:rFonts w:hint="eastAsia" w:asciiTheme="majorEastAsia" w:hAnsiTheme="majorEastAsia" w:eastAsiaTheme="majorEastAsia"/>
          <w:kern w:val="0"/>
          <w:szCs w:val="21"/>
          <w:u w:val="single"/>
        </w:rPr>
        <w:t xml:space="preserve">     </w:t>
      </w:r>
      <w:r>
        <w:rPr>
          <w:rFonts w:hint="eastAsia" w:cs="MingLiU" w:asciiTheme="majorEastAsia" w:hAnsiTheme="majorEastAsia" w:eastAsiaTheme="majorEastAsia"/>
          <w:kern w:val="0"/>
          <w:szCs w:val="21"/>
        </w:rPr>
        <w:t>日</w:t>
      </w:r>
    </w:p>
    <w:tbl>
      <w:tblPr>
        <w:tblStyle w:val="57"/>
        <w:tblW w:w="9286"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43"/>
        <w:gridCol w:w="464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14" w:hRule="atLeast"/>
          <w:jc w:val="center"/>
        </w:trPr>
        <w:tc>
          <w:tcPr>
            <w:tcW w:w="4643" w:type="dxa"/>
          </w:tcPr>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附委托代理人身份证（第二代）复印件</w:t>
            </w:r>
          </w:p>
          <w:p>
            <w:pPr>
              <w:spacing w:line="360" w:lineRule="auto"/>
              <w:ind w:left="1050" w:hanging="1050" w:hangingChars="500"/>
              <w:jc w:val="center"/>
              <w:rPr>
                <w:rFonts w:asciiTheme="majorEastAsia" w:hAnsiTheme="majorEastAsia" w:eastAsiaTheme="majorEastAsia"/>
                <w:szCs w:val="21"/>
              </w:rPr>
            </w:pPr>
          </w:p>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（一面）</w:t>
            </w:r>
          </w:p>
        </w:tc>
        <w:tc>
          <w:tcPr>
            <w:tcW w:w="4643" w:type="dxa"/>
          </w:tcPr>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附委托代理人身份证（第二代）复印件</w:t>
            </w:r>
          </w:p>
          <w:p>
            <w:pPr>
              <w:spacing w:line="360" w:lineRule="auto"/>
              <w:ind w:left="1260" w:hanging="1260" w:hangingChars="600"/>
              <w:jc w:val="center"/>
              <w:rPr>
                <w:rFonts w:asciiTheme="majorEastAsia" w:hAnsiTheme="majorEastAsia" w:eastAsiaTheme="majorEastAsia"/>
                <w:szCs w:val="21"/>
              </w:rPr>
            </w:pPr>
          </w:p>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（另一面）</w:t>
            </w:r>
          </w:p>
        </w:tc>
      </w:tr>
    </w:tbl>
    <w:p>
      <w:pPr>
        <w:autoSpaceDE w:val="0"/>
        <w:autoSpaceDN w:val="0"/>
        <w:adjustRightInd w:val="0"/>
        <w:snapToGrid w:val="0"/>
        <w:spacing w:line="360" w:lineRule="auto"/>
        <w:jc w:val="left"/>
        <w:rPr>
          <w:rFonts w:asciiTheme="majorEastAsia" w:hAnsiTheme="majorEastAsia" w:eastAsiaTheme="majorEastAsia"/>
          <w:kern w:val="0"/>
          <w:sz w:val="20"/>
        </w:rPr>
      </w:pPr>
    </w:p>
    <w:p>
      <w:pPr>
        <w:autoSpaceDE w:val="0"/>
        <w:autoSpaceDN w:val="0"/>
        <w:adjustRightInd w:val="0"/>
        <w:snapToGrid w:val="0"/>
        <w:spacing w:line="360" w:lineRule="auto"/>
        <w:jc w:val="left"/>
        <w:rPr>
          <w:rFonts w:asciiTheme="majorEastAsia" w:hAnsiTheme="majorEastAsia" w:eastAsiaTheme="majorEastAsia"/>
          <w:kern w:val="0"/>
          <w:sz w:val="20"/>
        </w:rPr>
      </w:pPr>
    </w:p>
    <w:p>
      <w:pPr>
        <w:autoSpaceDE w:val="0"/>
        <w:autoSpaceDN w:val="0"/>
        <w:adjustRightInd w:val="0"/>
        <w:snapToGrid w:val="0"/>
        <w:spacing w:line="360" w:lineRule="auto"/>
        <w:jc w:val="left"/>
        <w:rPr>
          <w:rFonts w:asciiTheme="majorEastAsia" w:hAnsiTheme="majorEastAsia" w:eastAsiaTheme="majorEastAsia"/>
          <w:kern w:val="0"/>
          <w:sz w:val="20"/>
        </w:rPr>
      </w:pPr>
    </w:p>
    <w:p>
      <w:pPr>
        <w:tabs>
          <w:tab w:val="left" w:pos="5760"/>
        </w:tabs>
        <w:autoSpaceDE w:val="0"/>
        <w:autoSpaceDN w:val="0"/>
        <w:adjustRightInd w:val="0"/>
        <w:spacing w:line="400" w:lineRule="exact"/>
        <w:ind w:right="11"/>
        <w:rPr>
          <w:rFonts w:cs="MingLiU" w:asciiTheme="majorEastAsia" w:hAnsiTheme="majorEastAsia" w:eastAsiaTheme="majorEastAsia"/>
          <w:kern w:val="0"/>
          <w:sz w:val="20"/>
        </w:rPr>
      </w:pPr>
      <w:r>
        <w:rPr>
          <w:rFonts w:hint="eastAsia" w:cs="MingLiU" w:asciiTheme="majorEastAsia" w:hAnsiTheme="majorEastAsia" w:eastAsiaTheme="majorEastAsia"/>
          <w:kern w:val="0"/>
          <w:sz w:val="20"/>
        </w:rPr>
        <w:t>注：1、法定代表人参加竞标活动并签署文件的不需要授权委托书，只需提供法定代表人身份证明；还有委托代理人参加的除提供法定代表人身份证明外还须提供授权委托书。</w:t>
      </w:r>
    </w:p>
    <w:p>
      <w:pPr>
        <w:spacing w:line="360" w:lineRule="auto"/>
        <w:ind w:firstLine="400" w:firstLineChars="200"/>
        <w:rPr>
          <w:rFonts w:cs="MingLiU" w:asciiTheme="majorEastAsia" w:hAnsiTheme="majorEastAsia" w:eastAsiaTheme="majorEastAsia"/>
          <w:kern w:val="0"/>
          <w:sz w:val="20"/>
        </w:rPr>
      </w:pPr>
      <w:r>
        <w:rPr>
          <w:rFonts w:hint="eastAsia" w:cs="MingLiU" w:asciiTheme="majorEastAsia" w:hAnsiTheme="majorEastAsia" w:eastAsiaTheme="majorEastAsia"/>
          <w:kern w:val="0"/>
          <w:sz w:val="20"/>
        </w:rPr>
        <w:t>2、法定代表人身份证明及授权委托书原件装入比选申请文件一并递交。另外须准备一份在开标现场出具。</w:t>
      </w:r>
    </w:p>
    <w:p>
      <w:pPr>
        <w:spacing w:line="360" w:lineRule="auto"/>
        <w:ind w:firstLine="420" w:firstLineChars="200"/>
        <w:rPr>
          <w:rFonts w:cs="宋体" w:asciiTheme="majorEastAsia" w:hAnsiTheme="majorEastAsia" w:eastAsiaTheme="majorEastAsia"/>
          <w:kern w:val="0"/>
          <w:szCs w:val="21"/>
        </w:rPr>
      </w:pPr>
      <w:r>
        <w:rPr>
          <w:rFonts w:cs="宋体" w:asciiTheme="majorEastAsia" w:hAnsiTheme="majorEastAsia" w:eastAsiaTheme="majorEastAsia"/>
          <w:kern w:val="0"/>
          <w:szCs w:val="21"/>
        </w:rPr>
        <w:br w:type="page"/>
      </w:r>
    </w:p>
    <w:bookmarkEnd w:id="1715"/>
    <w:bookmarkEnd w:id="1727"/>
    <w:bookmarkEnd w:id="1728"/>
    <w:p>
      <w:pPr>
        <w:spacing w:line="360" w:lineRule="auto"/>
        <w:jc w:val="center"/>
        <w:outlineLvl w:val="2"/>
        <w:rPr>
          <w:rFonts w:asciiTheme="majorEastAsia" w:hAnsiTheme="majorEastAsia" w:eastAsiaTheme="majorEastAsia"/>
          <w:snapToGrid w:val="0"/>
          <w:sz w:val="28"/>
        </w:rPr>
      </w:pPr>
      <w:bookmarkStart w:id="1729" w:name="_Toc8469"/>
      <w:bookmarkStart w:id="1730" w:name="_Toc16714"/>
      <w:bookmarkStart w:id="1731" w:name="_Toc502846072"/>
      <w:bookmarkStart w:id="1732" w:name="_Toc17202"/>
      <w:bookmarkStart w:id="1733" w:name="_Toc507402437"/>
      <w:r>
        <w:rPr>
          <w:rFonts w:hint="eastAsia" w:asciiTheme="majorEastAsia" w:hAnsiTheme="majorEastAsia" w:eastAsiaTheme="majorEastAsia"/>
          <w:b/>
          <w:sz w:val="28"/>
        </w:rPr>
        <w:t>（二）比选申请人基本情况表</w:t>
      </w:r>
      <w:bookmarkEnd w:id="1729"/>
      <w:bookmarkEnd w:id="1730"/>
      <w:bookmarkEnd w:id="1731"/>
      <w:bookmarkEnd w:id="1732"/>
      <w:bookmarkEnd w:id="1733"/>
    </w:p>
    <w:tbl>
      <w:tblPr>
        <w:tblStyle w:val="57"/>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9"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比选申请人名称</w:t>
            </w:r>
          </w:p>
        </w:tc>
        <w:tc>
          <w:tcPr>
            <w:tcW w:w="7832" w:type="dxa"/>
            <w:gridSpan w:val="9"/>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1"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注册地址</w:t>
            </w:r>
          </w:p>
        </w:tc>
        <w:tc>
          <w:tcPr>
            <w:tcW w:w="3205" w:type="dxa"/>
            <w:gridSpan w:val="5"/>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1293"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邮政编码</w:t>
            </w:r>
          </w:p>
        </w:tc>
        <w:tc>
          <w:tcPr>
            <w:tcW w:w="3334" w:type="dxa"/>
            <w:gridSpan w:val="3"/>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exact"/>
          <w:jc w:val="center"/>
        </w:trPr>
        <w:tc>
          <w:tcPr>
            <w:tcW w:w="1728" w:type="dxa"/>
            <w:vMerge w:val="restart"/>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联系方式</w:t>
            </w:r>
          </w:p>
        </w:tc>
        <w:tc>
          <w:tcPr>
            <w:tcW w:w="89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联系人</w:t>
            </w:r>
          </w:p>
        </w:tc>
        <w:tc>
          <w:tcPr>
            <w:tcW w:w="2307"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1293"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电</w:t>
            </w:r>
            <w:r>
              <w:rPr>
                <w:rFonts w:asciiTheme="majorEastAsia" w:hAnsiTheme="majorEastAsia" w:eastAsiaTheme="majorEastAsia"/>
                <w:kern w:val="0"/>
                <w:sz w:val="22"/>
                <w:szCs w:val="21"/>
              </w:rPr>
              <w:t xml:space="preserve"> </w:t>
            </w:r>
            <w:r>
              <w:rPr>
                <w:rFonts w:asciiTheme="majorEastAsia" w:hAnsiTheme="majorEastAsia" w:eastAsiaTheme="majorEastAsia"/>
                <w:spacing w:val="1"/>
                <w:kern w:val="0"/>
                <w:sz w:val="22"/>
                <w:szCs w:val="21"/>
              </w:rPr>
              <w:t xml:space="preserve"> </w:t>
            </w:r>
            <w:r>
              <w:rPr>
                <w:rFonts w:hint="eastAsia" w:asciiTheme="majorEastAsia" w:hAnsiTheme="majorEastAsia" w:eastAsiaTheme="majorEastAsia"/>
                <w:kern w:val="0"/>
                <w:sz w:val="22"/>
                <w:szCs w:val="21"/>
              </w:rPr>
              <w:t>话</w:t>
            </w:r>
          </w:p>
        </w:tc>
        <w:tc>
          <w:tcPr>
            <w:tcW w:w="3334" w:type="dxa"/>
            <w:gridSpan w:val="3"/>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8" w:hRule="exact"/>
          <w:jc w:val="center"/>
        </w:trPr>
        <w:tc>
          <w:tcPr>
            <w:tcW w:w="1728" w:type="dxa"/>
            <w:vMerge w:val="continue"/>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98" w:type="dxa"/>
            <w:vAlign w:val="center"/>
          </w:tcPr>
          <w:p>
            <w:pPr>
              <w:tabs>
                <w:tab w:val="left" w:pos="540"/>
              </w:tabs>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传</w:t>
            </w:r>
            <w:r>
              <w:rPr>
                <w:rFonts w:asciiTheme="majorEastAsia" w:hAnsiTheme="majorEastAsia" w:eastAsiaTheme="majorEastAsia"/>
                <w:kern w:val="0"/>
                <w:sz w:val="22"/>
                <w:szCs w:val="21"/>
              </w:rPr>
              <w:tab/>
            </w:r>
            <w:r>
              <w:rPr>
                <w:rFonts w:hint="eastAsia" w:asciiTheme="majorEastAsia" w:hAnsiTheme="majorEastAsia" w:eastAsiaTheme="majorEastAsia"/>
                <w:kern w:val="0"/>
                <w:sz w:val="22"/>
                <w:szCs w:val="21"/>
              </w:rPr>
              <w:t>真</w:t>
            </w:r>
          </w:p>
        </w:tc>
        <w:tc>
          <w:tcPr>
            <w:tcW w:w="2307"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1293"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网</w:t>
            </w:r>
            <w:r>
              <w:rPr>
                <w:rFonts w:asciiTheme="majorEastAsia" w:hAnsiTheme="majorEastAsia" w:eastAsiaTheme="majorEastAsia"/>
                <w:kern w:val="0"/>
                <w:sz w:val="22"/>
                <w:szCs w:val="21"/>
              </w:rPr>
              <w:t xml:space="preserve"> </w:t>
            </w:r>
            <w:r>
              <w:rPr>
                <w:rFonts w:asciiTheme="majorEastAsia" w:hAnsiTheme="majorEastAsia" w:eastAsiaTheme="majorEastAsia"/>
                <w:spacing w:val="1"/>
                <w:kern w:val="0"/>
                <w:sz w:val="22"/>
                <w:szCs w:val="21"/>
              </w:rPr>
              <w:t xml:space="preserve"> </w:t>
            </w:r>
            <w:r>
              <w:rPr>
                <w:rFonts w:hint="eastAsia" w:asciiTheme="majorEastAsia" w:hAnsiTheme="majorEastAsia" w:eastAsiaTheme="majorEastAsia"/>
                <w:kern w:val="0"/>
                <w:sz w:val="22"/>
                <w:szCs w:val="21"/>
              </w:rPr>
              <w:t>址</w:t>
            </w:r>
          </w:p>
        </w:tc>
        <w:tc>
          <w:tcPr>
            <w:tcW w:w="3334" w:type="dxa"/>
            <w:gridSpan w:val="3"/>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1"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组织结构</w:t>
            </w:r>
          </w:p>
        </w:tc>
        <w:tc>
          <w:tcPr>
            <w:tcW w:w="7832" w:type="dxa"/>
            <w:gridSpan w:val="9"/>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法定代表人</w:t>
            </w:r>
          </w:p>
        </w:tc>
        <w:tc>
          <w:tcPr>
            <w:tcW w:w="89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姓名</w:t>
            </w:r>
          </w:p>
        </w:tc>
        <w:tc>
          <w:tcPr>
            <w:tcW w:w="951"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1260"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技术职称</w:t>
            </w:r>
          </w:p>
        </w:tc>
        <w:tc>
          <w:tcPr>
            <w:tcW w:w="1880" w:type="dxa"/>
            <w:gridSpan w:val="3"/>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59"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电话</w:t>
            </w:r>
          </w:p>
        </w:tc>
        <w:tc>
          <w:tcPr>
            <w:tcW w:w="1984"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技术负责人</w:t>
            </w:r>
          </w:p>
        </w:tc>
        <w:tc>
          <w:tcPr>
            <w:tcW w:w="89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姓名</w:t>
            </w:r>
          </w:p>
        </w:tc>
        <w:tc>
          <w:tcPr>
            <w:tcW w:w="951"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1260"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技术职称</w:t>
            </w:r>
          </w:p>
        </w:tc>
        <w:tc>
          <w:tcPr>
            <w:tcW w:w="1880" w:type="dxa"/>
            <w:gridSpan w:val="3"/>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59"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电话</w:t>
            </w:r>
          </w:p>
        </w:tc>
        <w:tc>
          <w:tcPr>
            <w:tcW w:w="1984"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成立时间</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5983" w:type="dxa"/>
            <w:gridSpan w:val="7"/>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2"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企业资质等级</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40" w:type="dxa"/>
            <w:vMerge w:val="restart"/>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其中</w:t>
            </w:r>
          </w:p>
        </w:tc>
        <w:tc>
          <w:tcPr>
            <w:tcW w:w="2300"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项目设计负责人</w:t>
            </w:r>
          </w:p>
        </w:tc>
        <w:tc>
          <w:tcPr>
            <w:tcW w:w="2843"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营业执照号</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40" w:type="dxa"/>
            <w:vMerge w:val="continue"/>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2300"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高级职称人员</w:t>
            </w:r>
          </w:p>
        </w:tc>
        <w:tc>
          <w:tcPr>
            <w:tcW w:w="2843"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注册资金</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40" w:type="dxa"/>
            <w:vMerge w:val="continue"/>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2300"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中级职称人员</w:t>
            </w:r>
          </w:p>
        </w:tc>
        <w:tc>
          <w:tcPr>
            <w:tcW w:w="2843"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开户银行</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40" w:type="dxa"/>
            <w:vMerge w:val="continue"/>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2300" w:type="dxa"/>
            <w:gridSpan w:val="4"/>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初级职称人员</w:t>
            </w:r>
          </w:p>
        </w:tc>
        <w:tc>
          <w:tcPr>
            <w:tcW w:w="2843"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账号</w:t>
            </w:r>
          </w:p>
        </w:tc>
        <w:tc>
          <w:tcPr>
            <w:tcW w:w="1849"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840" w:type="dxa"/>
            <w:vMerge w:val="continue"/>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c>
          <w:tcPr>
            <w:tcW w:w="2300" w:type="dxa"/>
            <w:gridSpan w:val="4"/>
            <w:vAlign w:val="center"/>
          </w:tcPr>
          <w:p>
            <w:pPr>
              <w:tabs>
                <w:tab w:val="left" w:pos="1240"/>
              </w:tabs>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技</w:t>
            </w:r>
            <w:r>
              <w:rPr>
                <w:rFonts w:asciiTheme="majorEastAsia" w:hAnsiTheme="majorEastAsia" w:eastAsiaTheme="majorEastAsia"/>
                <w:kern w:val="0"/>
                <w:sz w:val="22"/>
                <w:szCs w:val="21"/>
              </w:rPr>
              <w:tab/>
            </w:r>
            <w:r>
              <w:rPr>
                <w:rFonts w:hint="eastAsia" w:asciiTheme="majorEastAsia" w:hAnsiTheme="majorEastAsia" w:eastAsiaTheme="majorEastAsia"/>
                <w:kern w:val="0"/>
                <w:sz w:val="22"/>
                <w:szCs w:val="21"/>
              </w:rPr>
              <w:t>工</w:t>
            </w:r>
          </w:p>
        </w:tc>
        <w:tc>
          <w:tcPr>
            <w:tcW w:w="2843" w:type="dxa"/>
            <w:gridSpan w:val="2"/>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9"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经营范围</w:t>
            </w:r>
          </w:p>
        </w:tc>
        <w:tc>
          <w:tcPr>
            <w:tcW w:w="7832" w:type="dxa"/>
            <w:gridSpan w:val="9"/>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exact"/>
          <w:jc w:val="center"/>
        </w:trPr>
        <w:tc>
          <w:tcPr>
            <w:tcW w:w="1728" w:type="dxa"/>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r>
              <w:rPr>
                <w:rFonts w:hint="eastAsia" w:asciiTheme="majorEastAsia" w:hAnsiTheme="majorEastAsia" w:eastAsiaTheme="majorEastAsia"/>
                <w:kern w:val="0"/>
                <w:sz w:val="22"/>
                <w:szCs w:val="21"/>
              </w:rPr>
              <w:t>备注</w:t>
            </w:r>
          </w:p>
        </w:tc>
        <w:tc>
          <w:tcPr>
            <w:tcW w:w="7832" w:type="dxa"/>
            <w:gridSpan w:val="9"/>
            <w:vAlign w:val="center"/>
          </w:tcPr>
          <w:p>
            <w:pPr>
              <w:autoSpaceDE w:val="0"/>
              <w:autoSpaceDN w:val="0"/>
              <w:adjustRightInd w:val="0"/>
              <w:snapToGrid w:val="0"/>
              <w:spacing w:line="276" w:lineRule="auto"/>
              <w:jc w:val="center"/>
              <w:rPr>
                <w:rFonts w:asciiTheme="majorEastAsia" w:hAnsiTheme="majorEastAsia" w:eastAsiaTheme="majorEastAsia"/>
                <w:kern w:val="0"/>
                <w:sz w:val="22"/>
                <w:szCs w:val="21"/>
              </w:rPr>
            </w:pPr>
          </w:p>
          <w:p>
            <w:pPr>
              <w:autoSpaceDE w:val="0"/>
              <w:autoSpaceDN w:val="0"/>
              <w:adjustRightInd w:val="0"/>
              <w:snapToGrid w:val="0"/>
              <w:spacing w:line="276" w:lineRule="auto"/>
              <w:jc w:val="center"/>
              <w:rPr>
                <w:rFonts w:asciiTheme="majorEastAsia" w:hAnsiTheme="majorEastAsia" w:eastAsiaTheme="majorEastAsia"/>
                <w:kern w:val="0"/>
                <w:sz w:val="22"/>
                <w:szCs w:val="21"/>
              </w:rPr>
            </w:pPr>
          </w:p>
        </w:tc>
      </w:tr>
    </w:tbl>
    <w:p>
      <w:pPr>
        <w:spacing w:line="276" w:lineRule="auto"/>
        <w:rPr>
          <w:rFonts w:asciiTheme="majorEastAsia" w:hAnsiTheme="majorEastAsia" w:eastAsiaTheme="majorEastAsia"/>
          <w:snapToGrid w:val="0"/>
          <w:kern w:val="0"/>
          <w:sz w:val="22"/>
          <w:szCs w:val="24"/>
        </w:rPr>
      </w:pPr>
      <w:r>
        <w:rPr>
          <w:rFonts w:asciiTheme="majorEastAsia" w:hAnsiTheme="majorEastAsia" w:eastAsiaTheme="majorEastAsia"/>
          <w:sz w:val="22"/>
          <w:szCs w:val="24"/>
        </w:rPr>
        <w:pict>
          <v:line id="Line 4" o:spid="_x0000_s1111" o:spt="20" style="position:absolute;left:0pt;margin-left:5.25pt;margin-top:584.2pt;height:0.05pt;width:225.75pt;z-index:251658240;mso-width-relative:page;mso-height-relative:page;" coordsize="21600,21600" o:gfxdata="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UDAZ2gAAAAwBAAAPAAAAAAAAAAEAIAAAACIAAABkcnMvZG93bnJl&#10;di54bWxQSwECFAAUAAAACACHTuJAoVdADMIBAACNAwAADgAAAAAAAAABACAAAAApAQAAZHJzL2Uy&#10;b0RvYy54bWxQSwUGAAAAAAYABgBZAQAAXQUAAAAA&#10;">
            <v:path arrowok="t"/>
            <v:fill focussize="0,0"/>
            <v:stroke weight="0.25pt"/>
            <v:imagedata o:title=""/>
            <o:lock v:ext="edit"/>
          </v:line>
        </w:pict>
      </w:r>
      <w:r>
        <w:rPr>
          <w:rFonts w:hint="eastAsia" w:cs="MingLiU_x0004_falt" w:asciiTheme="majorEastAsia" w:hAnsiTheme="majorEastAsia" w:eastAsiaTheme="majorEastAsia"/>
          <w:snapToGrid w:val="0"/>
          <w:kern w:val="0"/>
          <w:sz w:val="22"/>
          <w:szCs w:val="24"/>
        </w:rPr>
        <w:t>注：应附比选申请人有效的营业执照、资质证书、安全生产许可证副本等的复印件</w:t>
      </w:r>
      <w:r>
        <w:rPr>
          <w:rFonts w:hint="eastAsia" w:asciiTheme="majorEastAsia" w:hAnsiTheme="majorEastAsia" w:eastAsiaTheme="majorEastAsia"/>
          <w:snapToGrid w:val="0"/>
          <w:kern w:val="0"/>
          <w:sz w:val="22"/>
          <w:szCs w:val="24"/>
        </w:rPr>
        <w:t>等。</w:t>
      </w:r>
    </w:p>
    <w:p>
      <w:pPr>
        <w:spacing w:line="360" w:lineRule="auto"/>
        <w:rPr>
          <w:rFonts w:asciiTheme="majorEastAsia" w:hAnsiTheme="majorEastAsia" w:eastAsiaTheme="majorEastAsia"/>
        </w:rPr>
      </w:pPr>
    </w:p>
    <w:p>
      <w:pPr>
        <w:keepNext/>
        <w:keepLines/>
        <w:spacing w:before="120" w:line="360" w:lineRule="auto"/>
        <w:jc w:val="center"/>
        <w:outlineLvl w:val="2"/>
        <w:rPr>
          <w:rFonts w:asciiTheme="majorEastAsia" w:hAnsiTheme="majorEastAsia" w:eastAsiaTheme="majorEastAsia"/>
          <w:b/>
          <w:bCs/>
          <w:snapToGrid w:val="0"/>
          <w:sz w:val="28"/>
          <w:szCs w:val="28"/>
        </w:rPr>
      </w:pPr>
      <w:bookmarkStart w:id="1734" w:name="_Toc502846073"/>
      <w:bookmarkStart w:id="1735" w:name="_Toc507402438"/>
      <w:bookmarkStart w:id="1736" w:name="_Toc501704639"/>
      <w:bookmarkStart w:id="1737" w:name="_Toc18440"/>
      <w:r>
        <w:rPr>
          <w:rFonts w:hint="eastAsia" w:asciiTheme="majorEastAsia" w:hAnsiTheme="majorEastAsia" w:eastAsiaTheme="majorEastAsia"/>
          <w:b/>
          <w:bCs/>
          <w:snapToGrid w:val="0"/>
          <w:sz w:val="28"/>
          <w:szCs w:val="28"/>
        </w:rPr>
        <w:t>（三）</w:t>
      </w:r>
      <w:bookmarkStart w:id="1738" w:name="_Toc507402439"/>
      <w:bookmarkStart w:id="1739" w:name="_Toc502846074"/>
      <w:bookmarkStart w:id="1740" w:name="_Toc501704640"/>
      <w:bookmarkEnd w:id="1734"/>
      <w:bookmarkEnd w:id="1735"/>
      <w:bookmarkEnd w:id="1736"/>
      <w:r>
        <w:rPr>
          <w:rFonts w:hint="eastAsia" w:asciiTheme="majorEastAsia" w:hAnsiTheme="majorEastAsia" w:eastAsiaTheme="majorEastAsia"/>
          <w:b/>
          <w:bCs/>
          <w:snapToGrid w:val="0"/>
          <w:sz w:val="28"/>
          <w:szCs w:val="28"/>
        </w:rPr>
        <w:t>项目</w:t>
      </w:r>
      <w:bookmarkEnd w:id="1737"/>
      <w:bookmarkEnd w:id="1738"/>
      <w:bookmarkEnd w:id="1739"/>
      <w:bookmarkEnd w:id="1740"/>
      <w:r>
        <w:rPr>
          <w:rFonts w:hint="eastAsia" w:asciiTheme="majorEastAsia" w:hAnsiTheme="majorEastAsia" w:eastAsiaTheme="majorEastAsia"/>
          <w:b/>
          <w:bCs/>
          <w:snapToGrid w:val="0"/>
          <w:sz w:val="28"/>
          <w:szCs w:val="28"/>
        </w:rPr>
        <w:t>管理机构</w:t>
      </w: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57"/>
        <w:tblW w:w="9482"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jc w:val="center"/>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adjustRightInd w:val="0"/>
        <w:snapToGrid w:val="0"/>
        <w:spacing w:line="360" w:lineRule="auto"/>
        <w:ind w:firstLine="420" w:firstLineChars="200"/>
        <w:rPr>
          <w:rFonts w:cs="MingLiU" w:asciiTheme="majorEastAsia" w:hAnsiTheme="majorEastAsia" w:eastAsiaTheme="majorEastAsia"/>
          <w:snapToGrid w:val="0"/>
          <w:kern w:val="0"/>
          <w:sz w:val="44"/>
          <w:szCs w:val="44"/>
        </w:rPr>
      </w:pPr>
      <w:r>
        <w:rPr>
          <w:rFonts w:hint="eastAsia" w:ascii="宋体" w:hAnsi="宋体"/>
          <w:szCs w:val="21"/>
        </w:rPr>
        <w:t>备注：本表仅填项目经理、项目技术负责人相关信息</w:t>
      </w:r>
      <w:r>
        <w:rPr>
          <w:rFonts w:ascii="宋体" w:hAnsi="宋体"/>
          <w:sz w:val="32"/>
          <w:szCs w:val="32"/>
        </w:rPr>
        <w:br w:type="page"/>
      </w:r>
    </w:p>
    <w:p>
      <w:pPr>
        <w:spacing w:line="360" w:lineRule="auto"/>
        <w:ind w:firstLine="640" w:firstLineChars="200"/>
        <w:jc w:val="center"/>
        <w:rPr>
          <w:rFonts w:ascii="宋体" w:hAnsi="宋体"/>
          <w:sz w:val="32"/>
          <w:szCs w:val="32"/>
        </w:rPr>
      </w:pPr>
      <w:r>
        <w:rPr>
          <w:rFonts w:hint="eastAsia" w:ascii="宋体" w:hAnsi="宋体"/>
          <w:sz w:val="32"/>
          <w:szCs w:val="32"/>
        </w:rPr>
        <w:t>主要人员简历表</w:t>
      </w:r>
    </w:p>
    <w:tbl>
      <w:tblPr>
        <w:tblStyle w:val="57"/>
        <w:tblW w:w="9565"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PrEx>
        <w:trPr>
          <w:trHeight w:val="712" w:hRule="exact"/>
          <w:jc w:val="center"/>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keepNext/>
        <w:keepLines/>
        <w:spacing w:before="120" w:line="360" w:lineRule="auto"/>
        <w:jc w:val="center"/>
        <w:outlineLvl w:val="2"/>
        <w:rPr>
          <w:rFonts w:asciiTheme="majorEastAsia" w:hAnsiTheme="majorEastAsia" w:eastAsiaTheme="majorEastAsia"/>
          <w:b/>
          <w:bCs/>
          <w:snapToGrid w:val="0"/>
          <w:sz w:val="28"/>
          <w:szCs w:val="28"/>
        </w:rPr>
      </w:pPr>
      <w:bookmarkStart w:id="1741" w:name="_Toc501704641"/>
      <w:bookmarkStart w:id="1742" w:name="_Toc507402440"/>
      <w:bookmarkStart w:id="1743" w:name="_Toc16545"/>
      <w:bookmarkStart w:id="1744" w:name="_Toc502846075"/>
      <w:r>
        <w:rPr>
          <w:rFonts w:hint="eastAsia" w:asciiTheme="majorEastAsia" w:hAnsiTheme="majorEastAsia" w:eastAsiaTheme="majorEastAsia"/>
          <w:b/>
          <w:bCs/>
          <w:snapToGrid w:val="0"/>
          <w:sz w:val="28"/>
          <w:szCs w:val="28"/>
        </w:rPr>
        <w:t>（四）</w:t>
      </w:r>
      <w:bookmarkEnd w:id="1741"/>
      <w:bookmarkEnd w:id="1742"/>
      <w:bookmarkEnd w:id="1743"/>
      <w:bookmarkEnd w:id="1744"/>
      <w:r>
        <w:rPr>
          <w:rFonts w:hint="eastAsia" w:asciiTheme="majorEastAsia" w:hAnsiTheme="majorEastAsia" w:eastAsiaTheme="majorEastAsia"/>
          <w:b/>
          <w:bCs/>
          <w:snapToGrid w:val="0"/>
          <w:sz w:val="28"/>
          <w:szCs w:val="28"/>
        </w:rPr>
        <w:t>近年财务状况表</w:t>
      </w:r>
    </w:p>
    <w:p>
      <w:pPr>
        <w:rPr>
          <w:rFonts w:asciiTheme="majorEastAsia" w:hAnsiTheme="majorEastAsia" w:eastAsiaTheme="majorEastAsia"/>
          <w:b/>
          <w:bCs/>
          <w:snapToGrid w:val="0"/>
          <w:sz w:val="28"/>
          <w:szCs w:val="28"/>
        </w:rPr>
      </w:pPr>
    </w:p>
    <w:p>
      <w:pPr>
        <w:spacing w:line="360" w:lineRule="auto"/>
        <w:rPr>
          <w:rFonts w:asciiTheme="majorEastAsia" w:hAnsiTheme="majorEastAsia" w:eastAsiaTheme="majorEastAsia"/>
          <w:sz w:val="44"/>
          <w:szCs w:val="44"/>
        </w:rPr>
      </w:pPr>
    </w:p>
    <w:p>
      <w:pPr>
        <w:spacing w:line="360" w:lineRule="auto"/>
        <w:rPr>
          <w:rFonts w:asciiTheme="majorEastAsia" w:hAnsiTheme="majorEastAsia" w:eastAsiaTheme="majorEastAsia"/>
          <w:szCs w:val="21"/>
        </w:rPr>
      </w:pPr>
    </w:p>
    <w:p>
      <w:pPr>
        <w:keepNext/>
        <w:keepLines/>
        <w:spacing w:before="120" w:line="360" w:lineRule="auto"/>
        <w:jc w:val="center"/>
        <w:outlineLvl w:val="2"/>
        <w:rPr>
          <w:rFonts w:asciiTheme="majorEastAsia" w:hAnsiTheme="majorEastAsia" w:eastAsiaTheme="majorEastAsia"/>
          <w:b/>
          <w:bCs/>
          <w:snapToGrid w:val="0"/>
          <w:sz w:val="28"/>
          <w:szCs w:val="28"/>
        </w:rPr>
        <w:sectPr>
          <w:pgSz w:w="11906" w:h="16838"/>
          <w:pgMar w:top="1440" w:right="1416" w:bottom="1440" w:left="1797" w:header="993" w:footer="992" w:gutter="0"/>
          <w:pgNumType w:fmt="decimal"/>
          <w:cols w:space="720" w:num="1"/>
          <w:docGrid w:linePitch="312" w:charSpace="0"/>
        </w:sectPr>
      </w:pPr>
      <w:r>
        <w:rPr>
          <w:rFonts w:cs="宋体" w:asciiTheme="majorEastAsia" w:hAnsiTheme="majorEastAsia" w:eastAsiaTheme="majorEastAsia"/>
          <w:sz w:val="44"/>
          <w:szCs w:val="44"/>
        </w:rPr>
        <w:br w:type="page"/>
      </w:r>
      <w:bookmarkStart w:id="1745" w:name="_Toc507402441"/>
      <w:bookmarkStart w:id="1746" w:name="_Toc502846076"/>
      <w:bookmarkStart w:id="1747" w:name="_Toc12661"/>
      <w:bookmarkStart w:id="1748" w:name="_Toc501704642"/>
      <w:r>
        <w:rPr>
          <w:rFonts w:hint="eastAsia" w:asciiTheme="majorEastAsia" w:hAnsiTheme="majorEastAsia" w:eastAsiaTheme="majorEastAsia"/>
          <w:b/>
          <w:bCs/>
          <w:snapToGrid w:val="0"/>
          <w:sz w:val="28"/>
          <w:szCs w:val="28"/>
        </w:rPr>
        <w:t>（五）</w:t>
      </w:r>
      <w:bookmarkEnd w:id="1745"/>
      <w:bookmarkEnd w:id="1746"/>
      <w:bookmarkEnd w:id="1747"/>
      <w:bookmarkEnd w:id="1748"/>
      <w:r>
        <w:rPr>
          <w:rFonts w:hint="eastAsia" w:asciiTheme="majorEastAsia" w:hAnsiTheme="majorEastAsia" w:eastAsiaTheme="majorEastAsia"/>
          <w:b/>
          <w:bCs/>
          <w:snapToGrid w:val="0"/>
          <w:sz w:val="28"/>
          <w:szCs w:val="28"/>
        </w:rPr>
        <w:t>类似业绩证明材料</w:t>
      </w:r>
    </w:p>
    <w:p>
      <w:pPr>
        <w:pStyle w:val="2"/>
        <w:jc w:val="center"/>
        <w:rPr>
          <w:rFonts w:asciiTheme="majorEastAsia" w:hAnsiTheme="majorEastAsia" w:eastAsiaTheme="majorEastAsia"/>
          <w:b/>
          <w:bCs/>
          <w:snapToGrid w:val="0"/>
          <w:sz w:val="28"/>
          <w:szCs w:val="28"/>
        </w:rPr>
      </w:pPr>
      <w:r>
        <w:rPr>
          <w:rFonts w:hint="eastAsia" w:asciiTheme="majorEastAsia" w:hAnsiTheme="majorEastAsia" w:eastAsiaTheme="majorEastAsia"/>
          <w:b/>
          <w:bCs/>
          <w:snapToGrid w:val="0"/>
          <w:sz w:val="28"/>
          <w:szCs w:val="28"/>
        </w:rPr>
        <w:t>（六）信誉要求</w:t>
      </w:r>
    </w:p>
    <w:p>
      <w:pPr>
        <w:pStyle w:val="2"/>
        <w:jc w:val="center"/>
        <w:rPr>
          <w:rFonts w:asciiTheme="majorEastAsia" w:hAnsiTheme="majorEastAsia" w:eastAsiaTheme="majorEastAsia"/>
          <w:b/>
          <w:bCs/>
          <w:snapToGrid w:val="0"/>
          <w:sz w:val="28"/>
          <w:szCs w:val="28"/>
        </w:rPr>
      </w:pPr>
    </w:p>
    <w:p>
      <w:pPr>
        <w:pStyle w:val="2"/>
        <w:jc w:val="center"/>
        <w:rPr>
          <w:rFonts w:asciiTheme="majorEastAsia" w:hAnsiTheme="majorEastAsia" w:eastAsiaTheme="majorEastAsia"/>
          <w:snapToGrid w:val="0"/>
          <w:sz w:val="28"/>
          <w:szCs w:val="28"/>
        </w:rPr>
        <w:sectPr>
          <w:pgSz w:w="11906" w:h="16838"/>
          <w:pgMar w:top="1440" w:right="1416" w:bottom="1440" w:left="1797" w:header="993" w:footer="992" w:gutter="0"/>
          <w:pgNumType w:fmt="decimal"/>
          <w:cols w:space="720" w:num="1"/>
          <w:docGrid w:linePitch="312" w:charSpace="0"/>
        </w:sectPr>
      </w:pPr>
      <w:r>
        <w:rPr>
          <w:rFonts w:hint="eastAsia" w:asciiTheme="majorEastAsia" w:hAnsiTheme="majorEastAsia" w:eastAsiaTheme="majorEastAsia"/>
          <w:snapToGrid w:val="0"/>
          <w:sz w:val="28"/>
          <w:szCs w:val="28"/>
        </w:rPr>
        <w:t>格式自拟</w:t>
      </w:r>
    </w:p>
    <w:p>
      <w:pPr>
        <w:pStyle w:val="2"/>
        <w:numPr>
          <w:ilvl w:val="0"/>
          <w:numId w:val="3"/>
        </w:numPr>
        <w:jc w:val="center"/>
        <w:rPr>
          <w:rFonts w:hint="eastAsia" w:asciiTheme="majorEastAsia" w:hAnsiTheme="majorEastAsia" w:eastAsiaTheme="majorEastAsia"/>
          <w:b/>
          <w:bCs/>
          <w:snapToGrid w:val="0"/>
          <w:sz w:val="28"/>
          <w:szCs w:val="28"/>
        </w:rPr>
      </w:pPr>
      <w:bookmarkStart w:id="1749" w:name="_Toc16205"/>
      <w:bookmarkStart w:id="1750" w:name="_Toc72829696"/>
      <w:r>
        <w:rPr>
          <w:rFonts w:hint="eastAsia" w:asciiTheme="majorEastAsia" w:hAnsiTheme="majorEastAsia" w:eastAsiaTheme="majorEastAsia"/>
          <w:b/>
          <w:bCs/>
          <w:snapToGrid w:val="0"/>
          <w:sz w:val="28"/>
          <w:szCs w:val="28"/>
        </w:rPr>
        <w:t>其他资料</w:t>
      </w:r>
    </w:p>
    <w:p>
      <w:pPr>
        <w:pStyle w:val="2"/>
        <w:widowControl w:val="0"/>
        <w:numPr>
          <w:ilvl w:val="0"/>
          <w:numId w:val="0"/>
        </w:numPr>
        <w:jc w:val="center"/>
        <w:rPr>
          <w:rFonts w:hint="eastAsia" w:asciiTheme="majorEastAsia" w:hAnsiTheme="majorEastAsia" w:eastAsiaTheme="majorEastAsia"/>
          <w:b/>
          <w:bCs/>
          <w:snapToGrid w:val="0"/>
          <w:sz w:val="28"/>
          <w:szCs w:val="28"/>
        </w:rPr>
      </w:pPr>
    </w:p>
    <w:p>
      <w:pPr>
        <w:pStyle w:val="2"/>
        <w:widowControl w:val="0"/>
        <w:numPr>
          <w:ilvl w:val="0"/>
          <w:numId w:val="0"/>
        </w:numPr>
        <w:jc w:val="center"/>
        <w:rPr>
          <w:rFonts w:hint="eastAsia" w:asciiTheme="majorEastAsia" w:hAnsiTheme="majorEastAsia" w:eastAsiaTheme="majorEastAsia"/>
          <w:b/>
          <w:bCs/>
          <w:snapToGrid w:val="0"/>
          <w:sz w:val="28"/>
          <w:szCs w:val="28"/>
        </w:rPr>
      </w:pPr>
    </w:p>
    <w:p>
      <w:pPr>
        <w:pStyle w:val="2"/>
        <w:widowControl w:val="0"/>
        <w:numPr>
          <w:ilvl w:val="0"/>
          <w:numId w:val="0"/>
        </w:numPr>
        <w:jc w:val="center"/>
        <w:rPr>
          <w:rFonts w:hint="eastAsia" w:asciiTheme="majorEastAsia" w:hAnsiTheme="majorEastAsia" w:eastAsiaTheme="majorEastAsia"/>
          <w:b w:val="0"/>
          <w:bCs w:val="0"/>
          <w:snapToGrid w:val="0"/>
          <w:sz w:val="28"/>
          <w:szCs w:val="28"/>
          <w:lang w:val="en-US" w:eastAsia="zh-CN"/>
        </w:rPr>
        <w:sectPr>
          <w:footerReference r:id="rId8" w:type="default"/>
          <w:pgSz w:w="11906" w:h="16838"/>
          <w:pgMar w:top="1440" w:right="1416" w:bottom="1440" w:left="1797" w:header="993" w:footer="992" w:gutter="0"/>
          <w:pgNumType w:fmt="decimal"/>
          <w:cols w:space="720" w:num="1"/>
          <w:docGrid w:linePitch="312" w:charSpace="0"/>
        </w:sectPr>
      </w:pPr>
      <w:r>
        <w:rPr>
          <w:rFonts w:hint="eastAsia" w:asciiTheme="majorEastAsia" w:hAnsiTheme="majorEastAsia" w:eastAsiaTheme="majorEastAsia"/>
          <w:b w:val="0"/>
          <w:bCs w:val="0"/>
          <w:snapToGrid w:val="0"/>
          <w:sz w:val="28"/>
          <w:szCs w:val="28"/>
          <w:lang w:val="en-US" w:eastAsia="zh-CN"/>
        </w:rPr>
        <w:t>比选人承诺，格式自拟</w:t>
      </w:r>
    </w:p>
    <w:p>
      <w:pPr>
        <w:pStyle w:val="4"/>
        <w:jc w:val="center"/>
        <w:rPr>
          <w:rFonts w:cs="宋体" w:asciiTheme="majorEastAsia" w:hAnsiTheme="majorEastAsia" w:eastAsiaTheme="majorEastAsia"/>
          <w:sz w:val="32"/>
          <w:szCs w:val="44"/>
        </w:rPr>
        <w:sectPr>
          <w:pgSz w:w="11906" w:h="16838"/>
          <w:pgMar w:top="1440" w:right="1416" w:bottom="1440" w:left="1797" w:header="993" w:footer="992" w:gutter="0"/>
          <w:pgNumType w:fmt="decimal"/>
          <w:cols w:space="720" w:num="1"/>
          <w:docGrid w:linePitch="312" w:charSpace="0"/>
        </w:sectPr>
      </w:pPr>
      <w:r>
        <w:rPr>
          <w:rFonts w:hint="eastAsia" w:cs="宋体" w:asciiTheme="majorEastAsia" w:hAnsiTheme="majorEastAsia" w:eastAsiaTheme="majorEastAsia"/>
          <w:sz w:val="32"/>
          <w:szCs w:val="44"/>
        </w:rPr>
        <w:t>三</w:t>
      </w:r>
      <w:r>
        <w:rPr>
          <w:rFonts w:cs="宋体" w:asciiTheme="majorEastAsia" w:hAnsiTheme="majorEastAsia" w:eastAsiaTheme="majorEastAsia"/>
          <w:sz w:val="32"/>
          <w:szCs w:val="44"/>
        </w:rPr>
        <w:t>、</w:t>
      </w:r>
      <w:bookmarkEnd w:id="1749"/>
      <w:bookmarkEnd w:id="1750"/>
      <w:r>
        <w:rPr>
          <w:rFonts w:hint="eastAsia" w:cs="宋体" w:asciiTheme="majorEastAsia" w:hAnsiTheme="majorEastAsia" w:eastAsiaTheme="majorEastAsia"/>
          <w:sz w:val="32"/>
          <w:szCs w:val="44"/>
        </w:rPr>
        <w:t>商务部分</w:t>
      </w:r>
    </w:p>
    <w:p>
      <w:pPr>
        <w:tabs>
          <w:tab w:val="left" w:pos="2580"/>
          <w:tab w:val="left" w:pos="5940"/>
        </w:tabs>
        <w:autoSpaceDE w:val="0"/>
        <w:autoSpaceDN w:val="0"/>
        <w:adjustRightInd w:val="0"/>
        <w:snapToGrid w:val="0"/>
        <w:spacing w:line="360" w:lineRule="auto"/>
        <w:jc w:val="left"/>
        <w:rPr>
          <w:rFonts w:cs="宋体" w:asciiTheme="majorEastAsia" w:hAnsiTheme="majorEastAsia" w:eastAsiaTheme="majorEastAsia"/>
          <w:kern w:val="0"/>
          <w:sz w:val="28"/>
          <w:szCs w:val="28"/>
        </w:rPr>
      </w:pPr>
    </w:p>
    <w:p>
      <w:pPr>
        <w:tabs>
          <w:tab w:val="left" w:pos="3530"/>
          <w:tab w:val="left" w:pos="5940"/>
        </w:tabs>
        <w:autoSpaceDE w:val="0"/>
        <w:autoSpaceDN w:val="0"/>
        <w:adjustRightInd w:val="0"/>
        <w:snapToGrid w:val="0"/>
        <w:spacing w:line="360" w:lineRule="auto"/>
        <w:jc w:val="left"/>
        <w:rPr>
          <w:rFonts w:cs="宋体" w:asciiTheme="majorEastAsia" w:hAnsiTheme="majorEastAsia" w:eastAsiaTheme="majorEastAsia"/>
          <w:b/>
          <w:kern w:val="0"/>
          <w:sz w:val="28"/>
          <w:szCs w:val="28"/>
          <w:u w:val="single"/>
        </w:rPr>
      </w:pPr>
    </w:p>
    <w:p>
      <w:pPr>
        <w:tabs>
          <w:tab w:val="left" w:pos="5955"/>
        </w:tabs>
        <w:autoSpaceDE w:val="0"/>
        <w:autoSpaceDN w:val="0"/>
        <w:adjustRightInd w:val="0"/>
        <w:snapToGrid w:val="0"/>
        <w:spacing w:line="360" w:lineRule="auto"/>
        <w:ind w:firstLine="514" w:firstLineChars="245"/>
        <w:jc w:val="left"/>
        <w:rPr>
          <w:rFonts w:asciiTheme="majorEastAsia" w:hAnsiTheme="majorEastAsia" w:eastAsiaTheme="majorEastAsia"/>
          <w:lang w:val="zh-CN"/>
        </w:rPr>
      </w:pPr>
    </w:p>
    <w:p>
      <w:pPr>
        <w:tabs>
          <w:tab w:val="left" w:pos="6495"/>
        </w:tabs>
        <w:autoSpaceDE w:val="0"/>
        <w:autoSpaceDN w:val="0"/>
        <w:adjustRightInd w:val="0"/>
        <w:snapToGrid w:val="0"/>
        <w:spacing w:line="360" w:lineRule="auto"/>
        <w:jc w:val="left"/>
        <w:rPr>
          <w:rFonts w:cs="MingLiU" w:asciiTheme="majorEastAsia" w:hAnsiTheme="majorEastAsia" w:eastAsiaTheme="majorEastAsia"/>
          <w:b/>
          <w:kern w:val="0"/>
          <w:sz w:val="27"/>
          <w:szCs w:val="27"/>
        </w:rPr>
      </w:pPr>
      <w:r>
        <w:rPr>
          <w:rFonts w:asciiTheme="majorEastAsia" w:hAnsiTheme="majorEastAsia" w:eastAsiaTheme="majorEastAsia"/>
          <w:b/>
          <w:kern w:val="0"/>
          <w:sz w:val="27"/>
          <w:szCs w:val="27"/>
          <w:u w:val="single"/>
        </w:rPr>
        <w:tab/>
      </w:r>
      <w:r>
        <w:rPr>
          <w:rFonts w:hint="eastAsia" w:cs="MingLiU" w:asciiTheme="majorEastAsia" w:hAnsiTheme="majorEastAsia" w:eastAsiaTheme="majorEastAsia"/>
          <w:b/>
          <w:w w:val="99"/>
          <w:kern w:val="0"/>
          <w:sz w:val="27"/>
          <w:szCs w:val="27"/>
        </w:rPr>
        <w:t>（项目名称</w:t>
      </w:r>
      <w:r>
        <w:rPr>
          <w:rFonts w:hint="eastAsia" w:cs="MingLiU" w:asciiTheme="majorEastAsia" w:hAnsiTheme="majorEastAsia" w:eastAsiaTheme="majorEastAsia"/>
          <w:b/>
          <w:spacing w:val="1"/>
          <w:w w:val="99"/>
          <w:kern w:val="0"/>
          <w:sz w:val="27"/>
          <w:szCs w:val="27"/>
        </w:rPr>
        <w:t>）</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rPr>
      </w:pPr>
      <w:r>
        <w:rPr>
          <w:rFonts w:hint="eastAsia" w:cs="MingLiU" w:asciiTheme="majorEastAsia" w:hAnsiTheme="majorEastAsia" w:eastAsiaTheme="majorEastAsia"/>
          <w:b/>
          <w:kern w:val="0"/>
          <w:sz w:val="81"/>
          <w:szCs w:val="81"/>
        </w:rPr>
        <w:t>比选申请文件</w:t>
      </w:r>
    </w:p>
    <w:p>
      <w:pPr>
        <w:autoSpaceDE w:val="0"/>
        <w:autoSpaceDN w:val="0"/>
        <w:adjustRightInd w:val="0"/>
        <w:snapToGrid w:val="0"/>
        <w:spacing w:line="360" w:lineRule="auto"/>
        <w:jc w:val="center"/>
        <w:rPr>
          <w:rFonts w:cs="MingLiU" w:asciiTheme="majorEastAsia" w:hAnsiTheme="majorEastAsia" w:eastAsiaTheme="majorEastAsia"/>
          <w:b/>
          <w:kern w:val="0"/>
          <w:sz w:val="19"/>
          <w:szCs w:val="19"/>
        </w:rPr>
      </w:pPr>
      <w:r>
        <w:rPr>
          <w:rFonts w:hint="eastAsia" w:ascii="宋体" w:hAnsi="宋体" w:eastAsiaTheme="majorEastAsia"/>
          <w:b/>
          <w:kern w:val="0"/>
          <w:sz w:val="36"/>
          <w:szCs w:val="36"/>
        </w:rPr>
        <w:t>商务部分</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tabs>
          <w:tab w:val="left" w:pos="6080"/>
          <w:tab w:val="left" w:pos="6640"/>
        </w:tabs>
        <w:autoSpaceDE w:val="0"/>
        <w:autoSpaceDN w:val="0"/>
        <w:adjustRightInd w:val="0"/>
        <w:snapToGrid w:val="0"/>
        <w:spacing w:line="360" w:lineRule="auto"/>
        <w:jc w:val="center"/>
        <w:rPr>
          <w:rFonts w:asciiTheme="majorEastAsia" w:hAnsiTheme="majorEastAsia" w:eastAsiaTheme="majorEastAsia"/>
          <w:b/>
          <w:w w:val="99"/>
          <w:kern w:val="0"/>
          <w:sz w:val="27"/>
          <w:szCs w:val="27"/>
        </w:rPr>
      </w:pPr>
      <w:r>
        <w:rPr>
          <w:rFonts w:hint="eastAsia" w:cs="MingLiU" w:asciiTheme="majorEastAsia" w:hAnsiTheme="majorEastAsia" w:eastAsiaTheme="majorEastAsia"/>
          <w:b/>
          <w:w w:val="99"/>
          <w:kern w:val="0"/>
          <w:sz w:val="27"/>
          <w:szCs w:val="27"/>
        </w:rPr>
        <w:t>比选申请人</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cs="MingLiU" w:asciiTheme="majorEastAsia" w:hAnsiTheme="majorEastAsia" w:eastAsiaTheme="majorEastAsia"/>
          <w:b/>
          <w:kern w:val="0"/>
          <w:sz w:val="27"/>
          <w:szCs w:val="27"/>
        </w:rPr>
      </w:pPr>
      <w:r>
        <w:rPr>
          <w:rFonts w:hint="eastAsia" w:cs="MingLiU" w:asciiTheme="majorEastAsia" w:hAnsiTheme="majorEastAsia" w:eastAsiaTheme="majorEastAsia"/>
          <w:b/>
          <w:w w:val="99"/>
          <w:kern w:val="0"/>
          <w:sz w:val="27"/>
          <w:szCs w:val="27"/>
        </w:rPr>
        <w:t>法定代表人或其委托代理人：</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（签字或盖章）</w:t>
      </w:r>
    </w:p>
    <w:p>
      <w:pPr>
        <w:spacing w:line="360" w:lineRule="auto"/>
        <w:jc w:val="center"/>
        <w:rPr>
          <w:rFonts w:cs="宋体" w:asciiTheme="majorEastAsia" w:hAnsiTheme="majorEastAsia" w:eastAsiaTheme="majorEastAsia"/>
          <w:b/>
          <w:kern w:val="0"/>
          <w:sz w:val="32"/>
          <w:szCs w:val="32"/>
        </w:rPr>
        <w:sectPr>
          <w:pgSz w:w="11906" w:h="16838"/>
          <w:pgMar w:top="1440" w:right="1416" w:bottom="1440" w:left="1797" w:header="993" w:footer="992" w:gutter="0"/>
          <w:pgNumType w:fmt="decimal"/>
          <w:cols w:space="720" w:num="1"/>
          <w:docGrid w:linePitch="312" w:charSpace="0"/>
        </w:sectPr>
      </w:pPr>
      <w:r>
        <w:rPr>
          <w:rFonts w:hint="eastAsia" w:cs="MingLiU" w:asciiTheme="majorEastAsia" w:hAnsiTheme="majorEastAsia" w:eastAsiaTheme="majorEastAsia"/>
          <w:b/>
          <w:w w:val="99"/>
          <w:kern w:val="0"/>
          <w:sz w:val="27"/>
          <w:szCs w:val="27"/>
          <w:u w:val="single"/>
        </w:rPr>
        <w:t xml:space="preserve">     年   月   日</w:t>
      </w:r>
    </w:p>
    <w:p>
      <w:pPr>
        <w:spacing w:line="36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目 录</w:t>
      </w:r>
    </w:p>
    <w:p>
      <w:pPr>
        <w:spacing w:line="360" w:lineRule="auto"/>
        <w:ind w:firstLine="420" w:firstLineChars="200"/>
        <w:jc w:val="left"/>
        <w:rPr>
          <w:rFonts w:asciiTheme="majorEastAsia" w:hAnsiTheme="majorEastAsia" w:eastAsiaTheme="majorEastAsia"/>
          <w:bCs/>
          <w:szCs w:val="21"/>
        </w:rPr>
      </w:pPr>
    </w:p>
    <w:p>
      <w:pPr>
        <w:autoSpaceDE w:val="0"/>
        <w:autoSpaceDN w:val="0"/>
        <w:adjustRightInd w:val="0"/>
        <w:snapToGrid w:val="0"/>
        <w:spacing w:line="360" w:lineRule="auto"/>
        <w:jc w:val="center"/>
        <w:rPr>
          <w:rFonts w:ascii="宋体" w:hAnsi="宋体"/>
          <w:kern w:val="0"/>
          <w:szCs w:val="21"/>
        </w:rPr>
        <w:sectPr>
          <w:pgSz w:w="11906" w:h="16838"/>
          <w:pgMar w:top="1440" w:right="1416" w:bottom="1440" w:left="1797" w:header="993" w:footer="992" w:gutter="0"/>
          <w:pgNumType w:fmt="decimal"/>
          <w:cols w:space="720" w:num="1"/>
          <w:docGrid w:linePitch="312" w:charSpace="0"/>
        </w:sectPr>
      </w:pPr>
      <w:r>
        <w:rPr>
          <w:rFonts w:ascii="宋体" w:hAnsi="宋体"/>
          <w:kern w:val="0"/>
          <w:szCs w:val="21"/>
        </w:rPr>
        <w:t>[目录由</w:t>
      </w:r>
      <w:r>
        <w:rPr>
          <w:rFonts w:hint="eastAsia" w:ascii="宋体" w:hAnsi="宋体"/>
          <w:kern w:val="0"/>
          <w:szCs w:val="21"/>
        </w:rPr>
        <w:t>比选申请</w:t>
      </w:r>
      <w:r>
        <w:rPr>
          <w:rFonts w:ascii="宋体" w:hAnsi="宋体"/>
          <w:kern w:val="0"/>
          <w:szCs w:val="21"/>
        </w:rPr>
        <w:t>人自行编制]</w:t>
      </w:r>
    </w:p>
    <w:p>
      <w:pPr>
        <w:jc w:val="center"/>
        <w:rPr>
          <w:rFonts w:ascii="宋体" w:hAnsi="宋体"/>
          <w:b/>
          <w:sz w:val="32"/>
          <w:szCs w:val="32"/>
        </w:rPr>
        <w:sectPr>
          <w:pgSz w:w="11906" w:h="16838"/>
          <w:pgMar w:top="1440" w:right="1416" w:bottom="1440" w:left="1797" w:header="993" w:footer="992" w:gutter="0"/>
          <w:pgNumType w:fmt="decimal"/>
          <w:cols w:space="720" w:num="1"/>
          <w:docGrid w:linePitch="312" w:charSpace="0"/>
        </w:sectPr>
      </w:pPr>
      <w:r>
        <w:rPr>
          <w:rFonts w:hint="eastAsia" w:ascii="宋体" w:hAnsi="宋体"/>
          <w:b/>
          <w:sz w:val="32"/>
          <w:szCs w:val="32"/>
        </w:rPr>
        <w:t>已标价工程量清单</w:t>
      </w:r>
    </w:p>
    <w:p>
      <w:pPr>
        <w:pStyle w:val="4"/>
        <w:jc w:val="center"/>
        <w:rPr>
          <w:rFonts w:cs="宋体" w:asciiTheme="majorEastAsia" w:hAnsiTheme="majorEastAsia" w:eastAsiaTheme="majorEastAsia"/>
          <w:sz w:val="32"/>
          <w:szCs w:val="44"/>
        </w:rPr>
        <w:sectPr>
          <w:pgSz w:w="11906" w:h="16838"/>
          <w:pgMar w:top="1440" w:right="1416" w:bottom="1440" w:left="1797" w:header="993" w:footer="992" w:gutter="0"/>
          <w:pgNumType w:fmt="decimal"/>
          <w:cols w:space="720" w:num="1"/>
          <w:docGrid w:linePitch="312" w:charSpace="0"/>
        </w:sectPr>
      </w:pPr>
      <w:r>
        <w:rPr>
          <w:rFonts w:hint="eastAsia" w:cs="宋体" w:asciiTheme="majorEastAsia" w:hAnsiTheme="majorEastAsia" w:eastAsiaTheme="majorEastAsia"/>
          <w:sz w:val="32"/>
          <w:szCs w:val="44"/>
        </w:rPr>
        <w:t>四</w:t>
      </w:r>
      <w:r>
        <w:rPr>
          <w:rFonts w:cs="宋体" w:asciiTheme="majorEastAsia" w:hAnsiTheme="majorEastAsia" w:eastAsiaTheme="majorEastAsia"/>
          <w:sz w:val="32"/>
          <w:szCs w:val="44"/>
        </w:rPr>
        <w:t>、</w:t>
      </w:r>
      <w:r>
        <w:rPr>
          <w:rFonts w:hint="eastAsia" w:cs="宋体" w:asciiTheme="majorEastAsia" w:hAnsiTheme="majorEastAsia" w:eastAsiaTheme="majorEastAsia"/>
          <w:sz w:val="32"/>
          <w:szCs w:val="44"/>
        </w:rPr>
        <w:t>技术部分</w:t>
      </w:r>
    </w:p>
    <w:p>
      <w:pPr>
        <w:tabs>
          <w:tab w:val="left" w:pos="2580"/>
          <w:tab w:val="left" w:pos="5940"/>
        </w:tabs>
        <w:autoSpaceDE w:val="0"/>
        <w:autoSpaceDN w:val="0"/>
        <w:adjustRightInd w:val="0"/>
        <w:snapToGrid w:val="0"/>
        <w:spacing w:line="360" w:lineRule="auto"/>
        <w:jc w:val="left"/>
        <w:rPr>
          <w:rFonts w:cs="宋体" w:asciiTheme="majorEastAsia" w:hAnsiTheme="majorEastAsia" w:eastAsiaTheme="majorEastAsia"/>
          <w:kern w:val="0"/>
          <w:sz w:val="28"/>
          <w:szCs w:val="28"/>
        </w:rPr>
      </w:pPr>
    </w:p>
    <w:p>
      <w:pPr>
        <w:tabs>
          <w:tab w:val="left" w:pos="3530"/>
          <w:tab w:val="left" w:pos="5940"/>
        </w:tabs>
        <w:autoSpaceDE w:val="0"/>
        <w:autoSpaceDN w:val="0"/>
        <w:adjustRightInd w:val="0"/>
        <w:snapToGrid w:val="0"/>
        <w:spacing w:line="360" w:lineRule="auto"/>
        <w:jc w:val="left"/>
        <w:rPr>
          <w:rFonts w:cs="宋体" w:asciiTheme="majorEastAsia" w:hAnsiTheme="majorEastAsia" w:eastAsiaTheme="majorEastAsia"/>
          <w:b/>
          <w:kern w:val="0"/>
          <w:sz w:val="28"/>
          <w:szCs w:val="28"/>
          <w:u w:val="single"/>
        </w:rPr>
      </w:pPr>
    </w:p>
    <w:p>
      <w:pPr>
        <w:tabs>
          <w:tab w:val="left" w:pos="5955"/>
        </w:tabs>
        <w:autoSpaceDE w:val="0"/>
        <w:autoSpaceDN w:val="0"/>
        <w:adjustRightInd w:val="0"/>
        <w:snapToGrid w:val="0"/>
        <w:spacing w:line="360" w:lineRule="auto"/>
        <w:ind w:firstLine="514" w:firstLineChars="245"/>
        <w:jc w:val="left"/>
        <w:rPr>
          <w:rFonts w:asciiTheme="majorEastAsia" w:hAnsiTheme="majorEastAsia" w:eastAsiaTheme="majorEastAsia"/>
          <w:lang w:val="zh-CN"/>
        </w:rPr>
      </w:pPr>
    </w:p>
    <w:p>
      <w:pPr>
        <w:tabs>
          <w:tab w:val="left" w:pos="6495"/>
        </w:tabs>
        <w:autoSpaceDE w:val="0"/>
        <w:autoSpaceDN w:val="0"/>
        <w:adjustRightInd w:val="0"/>
        <w:snapToGrid w:val="0"/>
        <w:spacing w:line="360" w:lineRule="auto"/>
        <w:jc w:val="left"/>
        <w:rPr>
          <w:rFonts w:cs="MingLiU" w:asciiTheme="majorEastAsia" w:hAnsiTheme="majorEastAsia" w:eastAsiaTheme="majorEastAsia"/>
          <w:b/>
          <w:kern w:val="0"/>
          <w:sz w:val="27"/>
          <w:szCs w:val="27"/>
        </w:rPr>
      </w:pPr>
      <w:r>
        <w:rPr>
          <w:rFonts w:asciiTheme="majorEastAsia" w:hAnsiTheme="majorEastAsia" w:eastAsiaTheme="majorEastAsia"/>
          <w:b/>
          <w:kern w:val="0"/>
          <w:sz w:val="27"/>
          <w:szCs w:val="27"/>
          <w:u w:val="single"/>
        </w:rPr>
        <w:tab/>
      </w:r>
      <w:r>
        <w:rPr>
          <w:rFonts w:hint="eastAsia" w:cs="MingLiU" w:asciiTheme="majorEastAsia" w:hAnsiTheme="majorEastAsia" w:eastAsiaTheme="majorEastAsia"/>
          <w:b/>
          <w:w w:val="99"/>
          <w:kern w:val="0"/>
          <w:sz w:val="27"/>
          <w:szCs w:val="27"/>
        </w:rPr>
        <w:t>（项目名称</w:t>
      </w:r>
      <w:r>
        <w:rPr>
          <w:rFonts w:hint="eastAsia" w:cs="MingLiU" w:asciiTheme="majorEastAsia" w:hAnsiTheme="majorEastAsia" w:eastAsiaTheme="majorEastAsia"/>
          <w:b/>
          <w:spacing w:val="1"/>
          <w:w w:val="99"/>
          <w:kern w:val="0"/>
          <w:sz w:val="27"/>
          <w:szCs w:val="27"/>
        </w:rPr>
        <w:t>）</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rPr>
      </w:pPr>
      <w:r>
        <w:rPr>
          <w:rFonts w:hint="eastAsia" w:cs="MingLiU" w:asciiTheme="majorEastAsia" w:hAnsiTheme="majorEastAsia" w:eastAsiaTheme="majorEastAsia"/>
          <w:b/>
          <w:kern w:val="0"/>
          <w:sz w:val="81"/>
          <w:szCs w:val="81"/>
        </w:rPr>
        <w:t>比选申请文件</w:t>
      </w:r>
    </w:p>
    <w:p>
      <w:pPr>
        <w:autoSpaceDE w:val="0"/>
        <w:autoSpaceDN w:val="0"/>
        <w:adjustRightInd w:val="0"/>
        <w:snapToGrid w:val="0"/>
        <w:spacing w:line="360" w:lineRule="auto"/>
        <w:jc w:val="center"/>
        <w:rPr>
          <w:rFonts w:cs="MingLiU" w:asciiTheme="majorEastAsia" w:hAnsiTheme="majorEastAsia" w:eastAsiaTheme="majorEastAsia"/>
          <w:b/>
          <w:kern w:val="0"/>
          <w:sz w:val="19"/>
          <w:szCs w:val="19"/>
        </w:rPr>
      </w:pPr>
      <w:r>
        <w:rPr>
          <w:rFonts w:hint="eastAsia" w:ascii="宋体" w:hAnsi="宋体" w:eastAsiaTheme="majorEastAsia"/>
          <w:b/>
          <w:kern w:val="0"/>
          <w:sz w:val="36"/>
          <w:szCs w:val="36"/>
        </w:rPr>
        <w:t>技术部分</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tabs>
          <w:tab w:val="left" w:pos="6080"/>
          <w:tab w:val="left" w:pos="6640"/>
        </w:tabs>
        <w:autoSpaceDE w:val="0"/>
        <w:autoSpaceDN w:val="0"/>
        <w:adjustRightInd w:val="0"/>
        <w:snapToGrid w:val="0"/>
        <w:spacing w:line="360" w:lineRule="auto"/>
        <w:jc w:val="center"/>
        <w:rPr>
          <w:rFonts w:asciiTheme="majorEastAsia" w:hAnsiTheme="majorEastAsia" w:eastAsiaTheme="majorEastAsia"/>
          <w:b/>
          <w:w w:val="99"/>
          <w:kern w:val="0"/>
          <w:sz w:val="27"/>
          <w:szCs w:val="27"/>
        </w:rPr>
      </w:pPr>
      <w:r>
        <w:rPr>
          <w:rFonts w:hint="eastAsia" w:cs="MingLiU" w:asciiTheme="majorEastAsia" w:hAnsiTheme="majorEastAsia" w:eastAsiaTheme="majorEastAsia"/>
          <w:b/>
          <w:w w:val="99"/>
          <w:kern w:val="0"/>
          <w:sz w:val="27"/>
          <w:szCs w:val="27"/>
        </w:rPr>
        <w:t>比选申请人</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cs="MingLiU" w:asciiTheme="majorEastAsia" w:hAnsiTheme="majorEastAsia" w:eastAsiaTheme="majorEastAsia"/>
          <w:b/>
          <w:kern w:val="0"/>
          <w:sz w:val="27"/>
          <w:szCs w:val="27"/>
        </w:rPr>
      </w:pPr>
      <w:r>
        <w:rPr>
          <w:rFonts w:hint="eastAsia" w:cs="MingLiU" w:asciiTheme="majorEastAsia" w:hAnsiTheme="majorEastAsia" w:eastAsiaTheme="majorEastAsia"/>
          <w:b/>
          <w:w w:val="99"/>
          <w:kern w:val="0"/>
          <w:sz w:val="27"/>
          <w:szCs w:val="27"/>
        </w:rPr>
        <w:t>法定代表人或其委托代理人：</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（签字或盖章）</w:t>
      </w:r>
    </w:p>
    <w:p>
      <w:pPr>
        <w:spacing w:line="360" w:lineRule="auto"/>
        <w:jc w:val="center"/>
        <w:rPr>
          <w:rFonts w:cs="宋体" w:asciiTheme="majorEastAsia" w:hAnsiTheme="majorEastAsia" w:eastAsiaTheme="majorEastAsia"/>
          <w:b/>
          <w:kern w:val="0"/>
          <w:sz w:val="32"/>
          <w:szCs w:val="32"/>
        </w:rPr>
        <w:sectPr>
          <w:pgSz w:w="11906" w:h="16838"/>
          <w:pgMar w:top="1440" w:right="1416" w:bottom="1440" w:left="1797" w:header="993" w:footer="992" w:gutter="0"/>
          <w:pgNumType w:fmt="decimal"/>
          <w:cols w:space="720" w:num="1"/>
          <w:docGrid w:linePitch="312" w:charSpace="0"/>
        </w:sectPr>
      </w:pPr>
      <w:r>
        <w:rPr>
          <w:rFonts w:hint="eastAsia" w:cs="MingLiU" w:asciiTheme="majorEastAsia" w:hAnsiTheme="majorEastAsia" w:eastAsiaTheme="majorEastAsia"/>
          <w:b/>
          <w:w w:val="99"/>
          <w:kern w:val="0"/>
          <w:sz w:val="27"/>
          <w:szCs w:val="27"/>
          <w:u w:val="single"/>
        </w:rPr>
        <w:t xml:space="preserve">     年   月   日</w:t>
      </w:r>
    </w:p>
    <w:p>
      <w:pPr>
        <w:spacing w:line="36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目 录</w:t>
      </w:r>
    </w:p>
    <w:p>
      <w:pPr>
        <w:spacing w:line="360" w:lineRule="auto"/>
        <w:ind w:firstLine="420" w:firstLineChars="200"/>
        <w:jc w:val="left"/>
        <w:rPr>
          <w:rFonts w:asciiTheme="majorEastAsia" w:hAnsiTheme="majorEastAsia" w:eastAsiaTheme="majorEastAsia"/>
          <w:bCs/>
          <w:szCs w:val="21"/>
        </w:rPr>
      </w:pPr>
    </w:p>
    <w:p>
      <w:pPr>
        <w:autoSpaceDE w:val="0"/>
        <w:autoSpaceDN w:val="0"/>
        <w:adjustRightInd w:val="0"/>
        <w:snapToGrid w:val="0"/>
        <w:spacing w:line="360" w:lineRule="auto"/>
        <w:jc w:val="center"/>
        <w:rPr>
          <w:rFonts w:asciiTheme="majorEastAsia" w:hAnsiTheme="majorEastAsia" w:eastAsiaTheme="majorEastAsia"/>
          <w:b/>
          <w:bCs/>
          <w:snapToGrid w:val="0"/>
          <w:sz w:val="28"/>
          <w:szCs w:val="28"/>
        </w:rPr>
      </w:pPr>
      <w:r>
        <w:rPr>
          <w:rFonts w:ascii="宋体" w:hAnsi="宋体"/>
          <w:kern w:val="0"/>
          <w:szCs w:val="21"/>
        </w:rPr>
        <w:t>[目录由</w:t>
      </w:r>
      <w:r>
        <w:rPr>
          <w:rFonts w:hint="eastAsia" w:ascii="宋体" w:hAnsi="宋体"/>
          <w:kern w:val="0"/>
          <w:szCs w:val="21"/>
        </w:rPr>
        <w:t>比选申请</w:t>
      </w:r>
      <w:r>
        <w:rPr>
          <w:rFonts w:ascii="宋体" w:hAnsi="宋体"/>
          <w:kern w:val="0"/>
          <w:szCs w:val="21"/>
        </w:rPr>
        <w:t>人自行编制]</w:t>
      </w:r>
    </w:p>
    <w:sectPr>
      <w:pgSz w:w="11906" w:h="16838"/>
      <w:pgMar w:top="1440" w:right="1416" w:bottom="1440" w:left="1797" w:header="993"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ourier 10 Pitch">
    <w:altName w:val="微软雅黑"/>
    <w:panose1 w:val="00000000000000000000"/>
    <w:charset w:val="00"/>
    <w:family w:val="auto"/>
    <w:pitch w:val="default"/>
    <w:sig w:usb0="00000000" w:usb1="00000000" w:usb2="00000000" w:usb3="00000000" w:csb0="00040001" w:csb1="00000000"/>
  </w:font>
  <w:font w:name="MingLiU_x0004_falt">
    <w:altName w:val="MingLiU-ExtB"/>
    <w:panose1 w:val="00000000000000000000"/>
    <w:charset w:val="88"/>
    <w:family w:val="roma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宋体" w:hAnsi="宋体"/>
      </w:rP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4"/>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22</w:t>
                </w:r>
                <w:r>
                  <w:rPr>
                    <w:rFonts w:ascii="宋体" w:hAnsi="宋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宋体" w:hAnsi="宋体"/>
      </w:rP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4"/>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72</w:t>
                </w:r>
                <w:r>
                  <w:rPr>
                    <w:rFonts w:ascii="宋体" w:hAnsi="宋体"/>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宋体" w:hAnsi="宋体"/>
      </w:rPr>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4"/>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73</w:t>
                </w:r>
                <w:r>
                  <w:rPr>
                    <w:rFonts w:ascii="宋体" w:hAnsi="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15"/>
    <w:multiLevelType w:val="multilevel"/>
    <w:tmpl w:val="00000015"/>
    <w:lvl w:ilvl="0" w:tentative="0">
      <w:start w:val="1"/>
      <w:numFmt w:val="japaneseCounting"/>
      <w:lvlText w:val="第%1节"/>
      <w:lvlJc w:val="left"/>
      <w:pPr>
        <w:tabs>
          <w:tab w:val="left" w:pos="1125"/>
        </w:tabs>
        <w:ind w:left="1125" w:hanging="1125"/>
      </w:pPr>
      <w:rPr>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226CBA1"/>
    <w:multiLevelType w:val="singleLevel"/>
    <w:tmpl w:val="6226CBA1"/>
    <w:lvl w:ilvl="0" w:tentative="0">
      <w:start w:val="7"/>
      <w:numFmt w:val="chineseCounting"/>
      <w:suff w:val="nothing"/>
      <w:lvlText w:val="（%1）"/>
      <w:lvlJc w:val="left"/>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11"/>
    <w:rsid w:val="00000354"/>
    <w:rsid w:val="000009F6"/>
    <w:rsid w:val="0000196F"/>
    <w:rsid w:val="00001C7C"/>
    <w:rsid w:val="00001CC4"/>
    <w:rsid w:val="00002157"/>
    <w:rsid w:val="00002593"/>
    <w:rsid w:val="000026F0"/>
    <w:rsid w:val="000030AD"/>
    <w:rsid w:val="00003305"/>
    <w:rsid w:val="00003ADD"/>
    <w:rsid w:val="000041CD"/>
    <w:rsid w:val="00004529"/>
    <w:rsid w:val="00004B2D"/>
    <w:rsid w:val="00004B34"/>
    <w:rsid w:val="00005456"/>
    <w:rsid w:val="00005850"/>
    <w:rsid w:val="00006D78"/>
    <w:rsid w:val="00006F4E"/>
    <w:rsid w:val="000076BB"/>
    <w:rsid w:val="0001052C"/>
    <w:rsid w:val="000113D0"/>
    <w:rsid w:val="00011582"/>
    <w:rsid w:val="00011E47"/>
    <w:rsid w:val="000122FA"/>
    <w:rsid w:val="000123EF"/>
    <w:rsid w:val="00012D67"/>
    <w:rsid w:val="00012F9B"/>
    <w:rsid w:val="000135D6"/>
    <w:rsid w:val="00013855"/>
    <w:rsid w:val="000138C4"/>
    <w:rsid w:val="00013DC6"/>
    <w:rsid w:val="000142B9"/>
    <w:rsid w:val="0001448F"/>
    <w:rsid w:val="000152BC"/>
    <w:rsid w:val="00015B4E"/>
    <w:rsid w:val="00015E17"/>
    <w:rsid w:val="00016B93"/>
    <w:rsid w:val="00016DA3"/>
    <w:rsid w:val="00016EA1"/>
    <w:rsid w:val="00017D6E"/>
    <w:rsid w:val="000201F2"/>
    <w:rsid w:val="000202C8"/>
    <w:rsid w:val="0002040E"/>
    <w:rsid w:val="00021008"/>
    <w:rsid w:val="00021480"/>
    <w:rsid w:val="00021598"/>
    <w:rsid w:val="0002187A"/>
    <w:rsid w:val="00021899"/>
    <w:rsid w:val="000218B9"/>
    <w:rsid w:val="00021AEE"/>
    <w:rsid w:val="000224F5"/>
    <w:rsid w:val="00022991"/>
    <w:rsid w:val="00022B2F"/>
    <w:rsid w:val="00022F59"/>
    <w:rsid w:val="000231DD"/>
    <w:rsid w:val="00023469"/>
    <w:rsid w:val="000236DF"/>
    <w:rsid w:val="00023805"/>
    <w:rsid w:val="00023DB9"/>
    <w:rsid w:val="00023F87"/>
    <w:rsid w:val="00024F55"/>
    <w:rsid w:val="000252E3"/>
    <w:rsid w:val="000255F3"/>
    <w:rsid w:val="00025BE3"/>
    <w:rsid w:val="00025C52"/>
    <w:rsid w:val="000263FF"/>
    <w:rsid w:val="00026B8A"/>
    <w:rsid w:val="00027121"/>
    <w:rsid w:val="000275F0"/>
    <w:rsid w:val="00027918"/>
    <w:rsid w:val="0003051E"/>
    <w:rsid w:val="0003074A"/>
    <w:rsid w:val="00030F31"/>
    <w:rsid w:val="00032094"/>
    <w:rsid w:val="00032110"/>
    <w:rsid w:val="0003215E"/>
    <w:rsid w:val="0003248A"/>
    <w:rsid w:val="00032CEC"/>
    <w:rsid w:val="00032FAA"/>
    <w:rsid w:val="000334AD"/>
    <w:rsid w:val="0003424E"/>
    <w:rsid w:val="000343BD"/>
    <w:rsid w:val="000345FF"/>
    <w:rsid w:val="00035384"/>
    <w:rsid w:val="000359B0"/>
    <w:rsid w:val="00035B6E"/>
    <w:rsid w:val="00035D3A"/>
    <w:rsid w:val="00036574"/>
    <w:rsid w:val="00036FF8"/>
    <w:rsid w:val="00037B11"/>
    <w:rsid w:val="00037CBA"/>
    <w:rsid w:val="00037D5B"/>
    <w:rsid w:val="000405BE"/>
    <w:rsid w:val="0004085F"/>
    <w:rsid w:val="00040CF8"/>
    <w:rsid w:val="00040E44"/>
    <w:rsid w:val="0004132A"/>
    <w:rsid w:val="00041A0E"/>
    <w:rsid w:val="00041D53"/>
    <w:rsid w:val="00041FE3"/>
    <w:rsid w:val="0004203A"/>
    <w:rsid w:val="000423BD"/>
    <w:rsid w:val="000425AC"/>
    <w:rsid w:val="00042E7A"/>
    <w:rsid w:val="000430A5"/>
    <w:rsid w:val="000432CF"/>
    <w:rsid w:val="0004397B"/>
    <w:rsid w:val="000439AA"/>
    <w:rsid w:val="000439D3"/>
    <w:rsid w:val="00043BAD"/>
    <w:rsid w:val="00044F46"/>
    <w:rsid w:val="0004506E"/>
    <w:rsid w:val="000451D2"/>
    <w:rsid w:val="000458B2"/>
    <w:rsid w:val="00046087"/>
    <w:rsid w:val="0004618B"/>
    <w:rsid w:val="00046AD9"/>
    <w:rsid w:val="00046E69"/>
    <w:rsid w:val="000472B5"/>
    <w:rsid w:val="0004755B"/>
    <w:rsid w:val="0005009F"/>
    <w:rsid w:val="000504D5"/>
    <w:rsid w:val="00050709"/>
    <w:rsid w:val="00050C6F"/>
    <w:rsid w:val="00050E02"/>
    <w:rsid w:val="00051A63"/>
    <w:rsid w:val="00051C19"/>
    <w:rsid w:val="00051C74"/>
    <w:rsid w:val="00051F50"/>
    <w:rsid w:val="00051F8C"/>
    <w:rsid w:val="00052AFD"/>
    <w:rsid w:val="00052F9E"/>
    <w:rsid w:val="000531DE"/>
    <w:rsid w:val="00053F8E"/>
    <w:rsid w:val="000548C9"/>
    <w:rsid w:val="00056378"/>
    <w:rsid w:val="00056518"/>
    <w:rsid w:val="00056902"/>
    <w:rsid w:val="00056910"/>
    <w:rsid w:val="00056D0E"/>
    <w:rsid w:val="00056D83"/>
    <w:rsid w:val="0005700D"/>
    <w:rsid w:val="000571D5"/>
    <w:rsid w:val="000572CD"/>
    <w:rsid w:val="000573C1"/>
    <w:rsid w:val="00057495"/>
    <w:rsid w:val="00057657"/>
    <w:rsid w:val="00057E18"/>
    <w:rsid w:val="00057F78"/>
    <w:rsid w:val="00060385"/>
    <w:rsid w:val="00060BFF"/>
    <w:rsid w:val="00061BE8"/>
    <w:rsid w:val="000621A8"/>
    <w:rsid w:val="0006257C"/>
    <w:rsid w:val="00062944"/>
    <w:rsid w:val="00062D3C"/>
    <w:rsid w:val="00062D6C"/>
    <w:rsid w:val="00062E9A"/>
    <w:rsid w:val="0006305C"/>
    <w:rsid w:val="00064895"/>
    <w:rsid w:val="00064B01"/>
    <w:rsid w:val="00064D67"/>
    <w:rsid w:val="00064DFA"/>
    <w:rsid w:val="000657CD"/>
    <w:rsid w:val="00065925"/>
    <w:rsid w:val="00066645"/>
    <w:rsid w:val="0006669D"/>
    <w:rsid w:val="000669AD"/>
    <w:rsid w:val="00066FAD"/>
    <w:rsid w:val="0006738B"/>
    <w:rsid w:val="00067704"/>
    <w:rsid w:val="0007008B"/>
    <w:rsid w:val="000701E3"/>
    <w:rsid w:val="000703F5"/>
    <w:rsid w:val="0007051F"/>
    <w:rsid w:val="000706D7"/>
    <w:rsid w:val="00070EDD"/>
    <w:rsid w:val="000710FA"/>
    <w:rsid w:val="000714A1"/>
    <w:rsid w:val="000718B2"/>
    <w:rsid w:val="00071E4B"/>
    <w:rsid w:val="000722B5"/>
    <w:rsid w:val="0007267E"/>
    <w:rsid w:val="0007271D"/>
    <w:rsid w:val="00072C45"/>
    <w:rsid w:val="0007336D"/>
    <w:rsid w:val="00073449"/>
    <w:rsid w:val="0007487F"/>
    <w:rsid w:val="00074B24"/>
    <w:rsid w:val="00074BF2"/>
    <w:rsid w:val="00075331"/>
    <w:rsid w:val="00075825"/>
    <w:rsid w:val="000764D7"/>
    <w:rsid w:val="00077372"/>
    <w:rsid w:val="000773D3"/>
    <w:rsid w:val="000774E4"/>
    <w:rsid w:val="0007785E"/>
    <w:rsid w:val="00081483"/>
    <w:rsid w:val="000816C9"/>
    <w:rsid w:val="000820B1"/>
    <w:rsid w:val="0008231A"/>
    <w:rsid w:val="0008274F"/>
    <w:rsid w:val="00082A09"/>
    <w:rsid w:val="00082B58"/>
    <w:rsid w:val="000832BF"/>
    <w:rsid w:val="00083637"/>
    <w:rsid w:val="000837E0"/>
    <w:rsid w:val="0008394F"/>
    <w:rsid w:val="00083F61"/>
    <w:rsid w:val="00084223"/>
    <w:rsid w:val="00084967"/>
    <w:rsid w:val="00084ADF"/>
    <w:rsid w:val="00084FA1"/>
    <w:rsid w:val="00084FEF"/>
    <w:rsid w:val="000851FE"/>
    <w:rsid w:val="0008551B"/>
    <w:rsid w:val="000863EC"/>
    <w:rsid w:val="000864BB"/>
    <w:rsid w:val="0008669B"/>
    <w:rsid w:val="00086B86"/>
    <w:rsid w:val="00086BCA"/>
    <w:rsid w:val="00086BE3"/>
    <w:rsid w:val="00087DC5"/>
    <w:rsid w:val="000901C1"/>
    <w:rsid w:val="000907C5"/>
    <w:rsid w:val="00090EBA"/>
    <w:rsid w:val="000915BB"/>
    <w:rsid w:val="00091755"/>
    <w:rsid w:val="0009195E"/>
    <w:rsid w:val="00091C6A"/>
    <w:rsid w:val="00091E16"/>
    <w:rsid w:val="00091EC3"/>
    <w:rsid w:val="00091EEB"/>
    <w:rsid w:val="00091F87"/>
    <w:rsid w:val="00092DCB"/>
    <w:rsid w:val="00094AE5"/>
    <w:rsid w:val="0009534E"/>
    <w:rsid w:val="00095676"/>
    <w:rsid w:val="00095B44"/>
    <w:rsid w:val="00095E37"/>
    <w:rsid w:val="00095F92"/>
    <w:rsid w:val="00096E29"/>
    <w:rsid w:val="00097449"/>
    <w:rsid w:val="00097C1E"/>
    <w:rsid w:val="00097CF4"/>
    <w:rsid w:val="000A0C93"/>
    <w:rsid w:val="000A0E08"/>
    <w:rsid w:val="000A1421"/>
    <w:rsid w:val="000A1691"/>
    <w:rsid w:val="000A1D22"/>
    <w:rsid w:val="000A34E6"/>
    <w:rsid w:val="000A3693"/>
    <w:rsid w:val="000A36B6"/>
    <w:rsid w:val="000A38B4"/>
    <w:rsid w:val="000A4354"/>
    <w:rsid w:val="000A48EB"/>
    <w:rsid w:val="000A4E9E"/>
    <w:rsid w:val="000A577C"/>
    <w:rsid w:val="000A6610"/>
    <w:rsid w:val="000A685E"/>
    <w:rsid w:val="000A6BF1"/>
    <w:rsid w:val="000A7981"/>
    <w:rsid w:val="000B0E57"/>
    <w:rsid w:val="000B1416"/>
    <w:rsid w:val="000B1FD0"/>
    <w:rsid w:val="000B2334"/>
    <w:rsid w:val="000B2A2E"/>
    <w:rsid w:val="000B3237"/>
    <w:rsid w:val="000B32FF"/>
    <w:rsid w:val="000B3992"/>
    <w:rsid w:val="000B4D4A"/>
    <w:rsid w:val="000B4E33"/>
    <w:rsid w:val="000B5052"/>
    <w:rsid w:val="000B548F"/>
    <w:rsid w:val="000B5638"/>
    <w:rsid w:val="000B5D72"/>
    <w:rsid w:val="000B5ECE"/>
    <w:rsid w:val="000B6A21"/>
    <w:rsid w:val="000B6F11"/>
    <w:rsid w:val="000B6F2D"/>
    <w:rsid w:val="000B700E"/>
    <w:rsid w:val="000B7555"/>
    <w:rsid w:val="000B7606"/>
    <w:rsid w:val="000B76D1"/>
    <w:rsid w:val="000B7A04"/>
    <w:rsid w:val="000C00E7"/>
    <w:rsid w:val="000C10AD"/>
    <w:rsid w:val="000C1A96"/>
    <w:rsid w:val="000C1DF8"/>
    <w:rsid w:val="000C1E08"/>
    <w:rsid w:val="000C1E53"/>
    <w:rsid w:val="000C2110"/>
    <w:rsid w:val="000C3302"/>
    <w:rsid w:val="000C392A"/>
    <w:rsid w:val="000C3A01"/>
    <w:rsid w:val="000C429B"/>
    <w:rsid w:val="000C4AEF"/>
    <w:rsid w:val="000C4FC8"/>
    <w:rsid w:val="000C56C2"/>
    <w:rsid w:val="000C5F50"/>
    <w:rsid w:val="000C644C"/>
    <w:rsid w:val="000C72CB"/>
    <w:rsid w:val="000C74F7"/>
    <w:rsid w:val="000C7F11"/>
    <w:rsid w:val="000D0B37"/>
    <w:rsid w:val="000D10E3"/>
    <w:rsid w:val="000D1583"/>
    <w:rsid w:val="000D1A94"/>
    <w:rsid w:val="000D2554"/>
    <w:rsid w:val="000D31CC"/>
    <w:rsid w:val="000D3333"/>
    <w:rsid w:val="000D33B6"/>
    <w:rsid w:val="000D3876"/>
    <w:rsid w:val="000D3FB1"/>
    <w:rsid w:val="000D54DF"/>
    <w:rsid w:val="000D550B"/>
    <w:rsid w:val="000D5FEF"/>
    <w:rsid w:val="000D7546"/>
    <w:rsid w:val="000D7A02"/>
    <w:rsid w:val="000E070E"/>
    <w:rsid w:val="000E0A77"/>
    <w:rsid w:val="000E15C6"/>
    <w:rsid w:val="000E15D4"/>
    <w:rsid w:val="000E170A"/>
    <w:rsid w:val="000E1D07"/>
    <w:rsid w:val="000E2289"/>
    <w:rsid w:val="000E235D"/>
    <w:rsid w:val="000E245D"/>
    <w:rsid w:val="000E25B5"/>
    <w:rsid w:val="000E2A06"/>
    <w:rsid w:val="000E2BA4"/>
    <w:rsid w:val="000E3344"/>
    <w:rsid w:val="000E3477"/>
    <w:rsid w:val="000E49CA"/>
    <w:rsid w:val="000E509B"/>
    <w:rsid w:val="000E53C9"/>
    <w:rsid w:val="000E5451"/>
    <w:rsid w:val="000E5853"/>
    <w:rsid w:val="000E59BE"/>
    <w:rsid w:val="000E6311"/>
    <w:rsid w:val="000E665D"/>
    <w:rsid w:val="000E68D6"/>
    <w:rsid w:val="000E6C18"/>
    <w:rsid w:val="000E6F5A"/>
    <w:rsid w:val="000E7E6F"/>
    <w:rsid w:val="000F0948"/>
    <w:rsid w:val="000F1015"/>
    <w:rsid w:val="000F1641"/>
    <w:rsid w:val="000F1B5A"/>
    <w:rsid w:val="000F1CEB"/>
    <w:rsid w:val="000F1DC4"/>
    <w:rsid w:val="000F224D"/>
    <w:rsid w:val="000F2256"/>
    <w:rsid w:val="000F25CA"/>
    <w:rsid w:val="000F2697"/>
    <w:rsid w:val="000F2948"/>
    <w:rsid w:val="000F2B7D"/>
    <w:rsid w:val="000F350F"/>
    <w:rsid w:val="000F3974"/>
    <w:rsid w:val="000F44B1"/>
    <w:rsid w:val="000F4878"/>
    <w:rsid w:val="000F532F"/>
    <w:rsid w:val="000F56C2"/>
    <w:rsid w:val="000F5719"/>
    <w:rsid w:val="000F69B8"/>
    <w:rsid w:val="000F69C9"/>
    <w:rsid w:val="000F69CB"/>
    <w:rsid w:val="000F6D79"/>
    <w:rsid w:val="000F75D0"/>
    <w:rsid w:val="000F7972"/>
    <w:rsid w:val="000F7BB2"/>
    <w:rsid w:val="000F7DB7"/>
    <w:rsid w:val="000F7F91"/>
    <w:rsid w:val="00101376"/>
    <w:rsid w:val="00101DC4"/>
    <w:rsid w:val="001029AA"/>
    <w:rsid w:val="00103078"/>
    <w:rsid w:val="001032C2"/>
    <w:rsid w:val="001038DC"/>
    <w:rsid w:val="00103CF9"/>
    <w:rsid w:val="0010404D"/>
    <w:rsid w:val="00104270"/>
    <w:rsid w:val="001043F7"/>
    <w:rsid w:val="0010498D"/>
    <w:rsid w:val="00104DF0"/>
    <w:rsid w:val="0010542C"/>
    <w:rsid w:val="001055EF"/>
    <w:rsid w:val="00105837"/>
    <w:rsid w:val="00105961"/>
    <w:rsid w:val="00106715"/>
    <w:rsid w:val="00106E42"/>
    <w:rsid w:val="00106F22"/>
    <w:rsid w:val="00107EB8"/>
    <w:rsid w:val="001108C2"/>
    <w:rsid w:val="00110C9F"/>
    <w:rsid w:val="00110E9A"/>
    <w:rsid w:val="001113EB"/>
    <w:rsid w:val="001114ED"/>
    <w:rsid w:val="001115E1"/>
    <w:rsid w:val="00111820"/>
    <w:rsid w:val="00111EFF"/>
    <w:rsid w:val="001123C2"/>
    <w:rsid w:val="001123CE"/>
    <w:rsid w:val="00112573"/>
    <w:rsid w:val="00112A37"/>
    <w:rsid w:val="00113029"/>
    <w:rsid w:val="0011342C"/>
    <w:rsid w:val="0011351E"/>
    <w:rsid w:val="0011396A"/>
    <w:rsid w:val="00113A57"/>
    <w:rsid w:val="00113BF9"/>
    <w:rsid w:val="001149D7"/>
    <w:rsid w:val="00114DAD"/>
    <w:rsid w:val="00114F4E"/>
    <w:rsid w:val="0011500F"/>
    <w:rsid w:val="001152CA"/>
    <w:rsid w:val="001152FC"/>
    <w:rsid w:val="0011618A"/>
    <w:rsid w:val="0011640B"/>
    <w:rsid w:val="00116935"/>
    <w:rsid w:val="00116978"/>
    <w:rsid w:val="00116EB5"/>
    <w:rsid w:val="00117129"/>
    <w:rsid w:val="0011724B"/>
    <w:rsid w:val="0011757E"/>
    <w:rsid w:val="00117600"/>
    <w:rsid w:val="00117620"/>
    <w:rsid w:val="00117625"/>
    <w:rsid w:val="00117854"/>
    <w:rsid w:val="00117B0F"/>
    <w:rsid w:val="0012025D"/>
    <w:rsid w:val="00120522"/>
    <w:rsid w:val="00120F53"/>
    <w:rsid w:val="00121366"/>
    <w:rsid w:val="00121FDF"/>
    <w:rsid w:val="001220E2"/>
    <w:rsid w:val="0012253D"/>
    <w:rsid w:val="0012450E"/>
    <w:rsid w:val="001247E8"/>
    <w:rsid w:val="001258DC"/>
    <w:rsid w:val="0012781B"/>
    <w:rsid w:val="001301E6"/>
    <w:rsid w:val="001301EC"/>
    <w:rsid w:val="001307C3"/>
    <w:rsid w:val="00130E28"/>
    <w:rsid w:val="00131361"/>
    <w:rsid w:val="00131DA1"/>
    <w:rsid w:val="00132D79"/>
    <w:rsid w:val="00132F1E"/>
    <w:rsid w:val="001339C9"/>
    <w:rsid w:val="00133DC9"/>
    <w:rsid w:val="00134290"/>
    <w:rsid w:val="001344F4"/>
    <w:rsid w:val="00134BEF"/>
    <w:rsid w:val="00135054"/>
    <w:rsid w:val="0013522E"/>
    <w:rsid w:val="001352E8"/>
    <w:rsid w:val="0013639D"/>
    <w:rsid w:val="00137476"/>
    <w:rsid w:val="00137A88"/>
    <w:rsid w:val="0014059C"/>
    <w:rsid w:val="00140D63"/>
    <w:rsid w:val="00140DA0"/>
    <w:rsid w:val="0014145C"/>
    <w:rsid w:val="00141E9E"/>
    <w:rsid w:val="0014206A"/>
    <w:rsid w:val="00142186"/>
    <w:rsid w:val="00143B0D"/>
    <w:rsid w:val="00143F40"/>
    <w:rsid w:val="00144C78"/>
    <w:rsid w:val="00145394"/>
    <w:rsid w:val="001453BB"/>
    <w:rsid w:val="00145502"/>
    <w:rsid w:val="0014588B"/>
    <w:rsid w:val="00145BCF"/>
    <w:rsid w:val="001463A2"/>
    <w:rsid w:val="00146B33"/>
    <w:rsid w:val="00147043"/>
    <w:rsid w:val="00147278"/>
    <w:rsid w:val="001503A3"/>
    <w:rsid w:val="001509C3"/>
    <w:rsid w:val="00150B9A"/>
    <w:rsid w:val="00150CD6"/>
    <w:rsid w:val="00150D1E"/>
    <w:rsid w:val="0015156D"/>
    <w:rsid w:val="001515E0"/>
    <w:rsid w:val="00151603"/>
    <w:rsid w:val="00151E1B"/>
    <w:rsid w:val="00151F75"/>
    <w:rsid w:val="00152121"/>
    <w:rsid w:val="00152F80"/>
    <w:rsid w:val="00153511"/>
    <w:rsid w:val="00153A9D"/>
    <w:rsid w:val="00153AB4"/>
    <w:rsid w:val="001544BB"/>
    <w:rsid w:val="00154901"/>
    <w:rsid w:val="00154A76"/>
    <w:rsid w:val="00154B30"/>
    <w:rsid w:val="0015558D"/>
    <w:rsid w:val="001555D0"/>
    <w:rsid w:val="00155818"/>
    <w:rsid w:val="00155A9C"/>
    <w:rsid w:val="00155DBB"/>
    <w:rsid w:val="00155F2C"/>
    <w:rsid w:val="00156925"/>
    <w:rsid w:val="00156BB7"/>
    <w:rsid w:val="00156C03"/>
    <w:rsid w:val="00156F48"/>
    <w:rsid w:val="00157297"/>
    <w:rsid w:val="001603CA"/>
    <w:rsid w:val="00160B0C"/>
    <w:rsid w:val="00160FDF"/>
    <w:rsid w:val="001622D6"/>
    <w:rsid w:val="00162ACC"/>
    <w:rsid w:val="00162C41"/>
    <w:rsid w:val="00162E65"/>
    <w:rsid w:val="001630A5"/>
    <w:rsid w:val="001631E6"/>
    <w:rsid w:val="0016334F"/>
    <w:rsid w:val="001635A2"/>
    <w:rsid w:val="00163D8D"/>
    <w:rsid w:val="00164729"/>
    <w:rsid w:val="00164FF7"/>
    <w:rsid w:val="001651E2"/>
    <w:rsid w:val="001668E5"/>
    <w:rsid w:val="001669B5"/>
    <w:rsid w:val="001669E7"/>
    <w:rsid w:val="00166F10"/>
    <w:rsid w:val="00167082"/>
    <w:rsid w:val="001673C2"/>
    <w:rsid w:val="00170351"/>
    <w:rsid w:val="0017051A"/>
    <w:rsid w:val="001705E1"/>
    <w:rsid w:val="001715D2"/>
    <w:rsid w:val="0017181E"/>
    <w:rsid w:val="00171B6B"/>
    <w:rsid w:val="00172A27"/>
    <w:rsid w:val="00173066"/>
    <w:rsid w:val="00173F87"/>
    <w:rsid w:val="001745A5"/>
    <w:rsid w:val="00175979"/>
    <w:rsid w:val="00175C0C"/>
    <w:rsid w:val="00175EB0"/>
    <w:rsid w:val="00176072"/>
    <w:rsid w:val="00176084"/>
    <w:rsid w:val="00176A39"/>
    <w:rsid w:val="00177558"/>
    <w:rsid w:val="001775EE"/>
    <w:rsid w:val="00177619"/>
    <w:rsid w:val="0017777D"/>
    <w:rsid w:val="00177F82"/>
    <w:rsid w:val="0018023F"/>
    <w:rsid w:val="00180EED"/>
    <w:rsid w:val="00180F86"/>
    <w:rsid w:val="00181679"/>
    <w:rsid w:val="0018192B"/>
    <w:rsid w:val="001825DC"/>
    <w:rsid w:val="00183243"/>
    <w:rsid w:val="0018357D"/>
    <w:rsid w:val="001845FC"/>
    <w:rsid w:val="00184A07"/>
    <w:rsid w:val="00184A54"/>
    <w:rsid w:val="00184B35"/>
    <w:rsid w:val="001867A1"/>
    <w:rsid w:val="0018744D"/>
    <w:rsid w:val="00187679"/>
    <w:rsid w:val="00187C99"/>
    <w:rsid w:val="00190625"/>
    <w:rsid w:val="0019138F"/>
    <w:rsid w:val="00192D10"/>
    <w:rsid w:val="00192F2C"/>
    <w:rsid w:val="00192F75"/>
    <w:rsid w:val="00192F9D"/>
    <w:rsid w:val="0019384B"/>
    <w:rsid w:val="001946C4"/>
    <w:rsid w:val="0019483B"/>
    <w:rsid w:val="001949C1"/>
    <w:rsid w:val="00194A5E"/>
    <w:rsid w:val="00194D25"/>
    <w:rsid w:val="001955C4"/>
    <w:rsid w:val="00195FAF"/>
    <w:rsid w:val="0019618D"/>
    <w:rsid w:val="00196A1F"/>
    <w:rsid w:val="00196D5A"/>
    <w:rsid w:val="00196EC2"/>
    <w:rsid w:val="001970DB"/>
    <w:rsid w:val="0019765B"/>
    <w:rsid w:val="001A0E5B"/>
    <w:rsid w:val="001A11D6"/>
    <w:rsid w:val="001A19D3"/>
    <w:rsid w:val="001A2F10"/>
    <w:rsid w:val="001A32E5"/>
    <w:rsid w:val="001A34B6"/>
    <w:rsid w:val="001A3D6B"/>
    <w:rsid w:val="001A4CC1"/>
    <w:rsid w:val="001A4D1E"/>
    <w:rsid w:val="001A4F4F"/>
    <w:rsid w:val="001A60A5"/>
    <w:rsid w:val="001A6576"/>
    <w:rsid w:val="001A6721"/>
    <w:rsid w:val="001A6824"/>
    <w:rsid w:val="001A6C0D"/>
    <w:rsid w:val="001A6CD3"/>
    <w:rsid w:val="001A6D3A"/>
    <w:rsid w:val="001A7E7E"/>
    <w:rsid w:val="001B03CE"/>
    <w:rsid w:val="001B0997"/>
    <w:rsid w:val="001B0AC4"/>
    <w:rsid w:val="001B0D12"/>
    <w:rsid w:val="001B0FF3"/>
    <w:rsid w:val="001B11FC"/>
    <w:rsid w:val="001B1394"/>
    <w:rsid w:val="001B1807"/>
    <w:rsid w:val="001B1CFE"/>
    <w:rsid w:val="001B2182"/>
    <w:rsid w:val="001B2185"/>
    <w:rsid w:val="001B2D80"/>
    <w:rsid w:val="001B34F7"/>
    <w:rsid w:val="001B37EF"/>
    <w:rsid w:val="001B40B2"/>
    <w:rsid w:val="001B420E"/>
    <w:rsid w:val="001B42E9"/>
    <w:rsid w:val="001B4486"/>
    <w:rsid w:val="001B4800"/>
    <w:rsid w:val="001B4942"/>
    <w:rsid w:val="001B4B9D"/>
    <w:rsid w:val="001B55D4"/>
    <w:rsid w:val="001B5DCE"/>
    <w:rsid w:val="001B6644"/>
    <w:rsid w:val="001B6700"/>
    <w:rsid w:val="001B730D"/>
    <w:rsid w:val="001B7498"/>
    <w:rsid w:val="001B7635"/>
    <w:rsid w:val="001B7C22"/>
    <w:rsid w:val="001B7DEA"/>
    <w:rsid w:val="001C0972"/>
    <w:rsid w:val="001C140B"/>
    <w:rsid w:val="001C1AAE"/>
    <w:rsid w:val="001C2305"/>
    <w:rsid w:val="001C2882"/>
    <w:rsid w:val="001C3401"/>
    <w:rsid w:val="001C3420"/>
    <w:rsid w:val="001C369F"/>
    <w:rsid w:val="001C39F3"/>
    <w:rsid w:val="001C3DE1"/>
    <w:rsid w:val="001C4415"/>
    <w:rsid w:val="001C4886"/>
    <w:rsid w:val="001C5185"/>
    <w:rsid w:val="001C5780"/>
    <w:rsid w:val="001C5B1A"/>
    <w:rsid w:val="001C5E29"/>
    <w:rsid w:val="001C6302"/>
    <w:rsid w:val="001C6E31"/>
    <w:rsid w:val="001C6F20"/>
    <w:rsid w:val="001C7822"/>
    <w:rsid w:val="001C7D8A"/>
    <w:rsid w:val="001D0427"/>
    <w:rsid w:val="001D0893"/>
    <w:rsid w:val="001D1192"/>
    <w:rsid w:val="001D13A4"/>
    <w:rsid w:val="001D1959"/>
    <w:rsid w:val="001D2058"/>
    <w:rsid w:val="001D2082"/>
    <w:rsid w:val="001D27FF"/>
    <w:rsid w:val="001D2850"/>
    <w:rsid w:val="001D2DC7"/>
    <w:rsid w:val="001D33B9"/>
    <w:rsid w:val="001D3462"/>
    <w:rsid w:val="001D3A34"/>
    <w:rsid w:val="001D4283"/>
    <w:rsid w:val="001D452C"/>
    <w:rsid w:val="001D47F8"/>
    <w:rsid w:val="001D5325"/>
    <w:rsid w:val="001D5794"/>
    <w:rsid w:val="001D6006"/>
    <w:rsid w:val="001D602B"/>
    <w:rsid w:val="001D6054"/>
    <w:rsid w:val="001D66FD"/>
    <w:rsid w:val="001D77FD"/>
    <w:rsid w:val="001E00F4"/>
    <w:rsid w:val="001E043E"/>
    <w:rsid w:val="001E14E9"/>
    <w:rsid w:val="001E191E"/>
    <w:rsid w:val="001E1C24"/>
    <w:rsid w:val="001E21ED"/>
    <w:rsid w:val="001E2AB2"/>
    <w:rsid w:val="001E2D96"/>
    <w:rsid w:val="001E2E2B"/>
    <w:rsid w:val="001E2E95"/>
    <w:rsid w:val="001E3348"/>
    <w:rsid w:val="001E394E"/>
    <w:rsid w:val="001E3C8A"/>
    <w:rsid w:val="001E426B"/>
    <w:rsid w:val="001E52B6"/>
    <w:rsid w:val="001E5554"/>
    <w:rsid w:val="001E5676"/>
    <w:rsid w:val="001E5D88"/>
    <w:rsid w:val="001E6872"/>
    <w:rsid w:val="001E6E68"/>
    <w:rsid w:val="001E6EF1"/>
    <w:rsid w:val="001E74EC"/>
    <w:rsid w:val="001E7548"/>
    <w:rsid w:val="001E795C"/>
    <w:rsid w:val="001E7C71"/>
    <w:rsid w:val="001F0A7B"/>
    <w:rsid w:val="001F0D00"/>
    <w:rsid w:val="001F19DA"/>
    <w:rsid w:val="001F1D58"/>
    <w:rsid w:val="001F216C"/>
    <w:rsid w:val="001F2A4E"/>
    <w:rsid w:val="001F2A71"/>
    <w:rsid w:val="001F2B3A"/>
    <w:rsid w:val="001F353D"/>
    <w:rsid w:val="001F41DA"/>
    <w:rsid w:val="001F430A"/>
    <w:rsid w:val="001F4397"/>
    <w:rsid w:val="001F47A2"/>
    <w:rsid w:val="001F4A52"/>
    <w:rsid w:val="001F4ABE"/>
    <w:rsid w:val="001F507B"/>
    <w:rsid w:val="001F5135"/>
    <w:rsid w:val="001F5144"/>
    <w:rsid w:val="001F5925"/>
    <w:rsid w:val="001F6040"/>
    <w:rsid w:val="001F6A2E"/>
    <w:rsid w:val="001F7625"/>
    <w:rsid w:val="0020058A"/>
    <w:rsid w:val="002009E6"/>
    <w:rsid w:val="00200A74"/>
    <w:rsid w:val="00200CD6"/>
    <w:rsid w:val="0020117D"/>
    <w:rsid w:val="0020157A"/>
    <w:rsid w:val="002017E5"/>
    <w:rsid w:val="00201896"/>
    <w:rsid w:val="00201B1D"/>
    <w:rsid w:val="00202281"/>
    <w:rsid w:val="00202440"/>
    <w:rsid w:val="00202ADC"/>
    <w:rsid w:val="00202EAB"/>
    <w:rsid w:val="002043BB"/>
    <w:rsid w:val="00204508"/>
    <w:rsid w:val="002047F3"/>
    <w:rsid w:val="00205940"/>
    <w:rsid w:val="00205B05"/>
    <w:rsid w:val="00206287"/>
    <w:rsid w:val="00206B88"/>
    <w:rsid w:val="0020764F"/>
    <w:rsid w:val="0020795D"/>
    <w:rsid w:val="00207A16"/>
    <w:rsid w:val="00207D84"/>
    <w:rsid w:val="00207EB8"/>
    <w:rsid w:val="00207EE9"/>
    <w:rsid w:val="00210066"/>
    <w:rsid w:val="002104C0"/>
    <w:rsid w:val="002107B1"/>
    <w:rsid w:val="002113C2"/>
    <w:rsid w:val="0021158F"/>
    <w:rsid w:val="00211E5A"/>
    <w:rsid w:val="002121B4"/>
    <w:rsid w:val="00212662"/>
    <w:rsid w:val="002126B0"/>
    <w:rsid w:val="002129FA"/>
    <w:rsid w:val="00212AC7"/>
    <w:rsid w:val="00212D53"/>
    <w:rsid w:val="00213B6C"/>
    <w:rsid w:val="00213C83"/>
    <w:rsid w:val="002140CC"/>
    <w:rsid w:val="00214A57"/>
    <w:rsid w:val="00214D49"/>
    <w:rsid w:val="002156FB"/>
    <w:rsid w:val="002158C0"/>
    <w:rsid w:val="0021602F"/>
    <w:rsid w:val="0021669B"/>
    <w:rsid w:val="0021683F"/>
    <w:rsid w:val="00217471"/>
    <w:rsid w:val="00217B79"/>
    <w:rsid w:val="00217ECB"/>
    <w:rsid w:val="00217FEC"/>
    <w:rsid w:val="0022055E"/>
    <w:rsid w:val="00220A44"/>
    <w:rsid w:val="00221563"/>
    <w:rsid w:val="0022192E"/>
    <w:rsid w:val="00221A0A"/>
    <w:rsid w:val="00221C1B"/>
    <w:rsid w:val="00221C9D"/>
    <w:rsid w:val="00221CC0"/>
    <w:rsid w:val="002223D1"/>
    <w:rsid w:val="00222858"/>
    <w:rsid w:val="00222F5B"/>
    <w:rsid w:val="00223720"/>
    <w:rsid w:val="00223723"/>
    <w:rsid w:val="002238CF"/>
    <w:rsid w:val="00223A7B"/>
    <w:rsid w:val="00224323"/>
    <w:rsid w:val="00224895"/>
    <w:rsid w:val="00224938"/>
    <w:rsid w:val="00225619"/>
    <w:rsid w:val="00225E09"/>
    <w:rsid w:val="00226907"/>
    <w:rsid w:val="0022698D"/>
    <w:rsid w:val="00226A5E"/>
    <w:rsid w:val="00226DEF"/>
    <w:rsid w:val="002271A5"/>
    <w:rsid w:val="002275FF"/>
    <w:rsid w:val="0022764A"/>
    <w:rsid w:val="0023024A"/>
    <w:rsid w:val="00231085"/>
    <w:rsid w:val="0023159B"/>
    <w:rsid w:val="002315B2"/>
    <w:rsid w:val="00231C2A"/>
    <w:rsid w:val="002323CB"/>
    <w:rsid w:val="00232A54"/>
    <w:rsid w:val="00232AAD"/>
    <w:rsid w:val="002331DA"/>
    <w:rsid w:val="002331F1"/>
    <w:rsid w:val="00233A3B"/>
    <w:rsid w:val="002342D9"/>
    <w:rsid w:val="00234D24"/>
    <w:rsid w:val="00234FCA"/>
    <w:rsid w:val="002350CC"/>
    <w:rsid w:val="0023542F"/>
    <w:rsid w:val="00235CCA"/>
    <w:rsid w:val="00236870"/>
    <w:rsid w:val="002369B4"/>
    <w:rsid w:val="00237146"/>
    <w:rsid w:val="002374A0"/>
    <w:rsid w:val="002379F5"/>
    <w:rsid w:val="00240139"/>
    <w:rsid w:val="00240EE9"/>
    <w:rsid w:val="002416F5"/>
    <w:rsid w:val="0024211C"/>
    <w:rsid w:val="00242571"/>
    <w:rsid w:val="00242C0C"/>
    <w:rsid w:val="002434D5"/>
    <w:rsid w:val="00243E18"/>
    <w:rsid w:val="00244051"/>
    <w:rsid w:val="002441F9"/>
    <w:rsid w:val="002444FB"/>
    <w:rsid w:val="0024477B"/>
    <w:rsid w:val="00244B9E"/>
    <w:rsid w:val="002451EE"/>
    <w:rsid w:val="00245B38"/>
    <w:rsid w:val="00245D85"/>
    <w:rsid w:val="00246341"/>
    <w:rsid w:val="00246403"/>
    <w:rsid w:val="002466DC"/>
    <w:rsid w:val="00246A19"/>
    <w:rsid w:val="00246EBD"/>
    <w:rsid w:val="00250726"/>
    <w:rsid w:val="0025138D"/>
    <w:rsid w:val="00251887"/>
    <w:rsid w:val="00251B3A"/>
    <w:rsid w:val="00251D77"/>
    <w:rsid w:val="00252B3A"/>
    <w:rsid w:val="00252FC5"/>
    <w:rsid w:val="00253312"/>
    <w:rsid w:val="0025337B"/>
    <w:rsid w:val="00253C05"/>
    <w:rsid w:val="00254609"/>
    <w:rsid w:val="00254BC5"/>
    <w:rsid w:val="002550CC"/>
    <w:rsid w:val="00255858"/>
    <w:rsid w:val="00255CC1"/>
    <w:rsid w:val="00256827"/>
    <w:rsid w:val="00257062"/>
    <w:rsid w:val="0025722B"/>
    <w:rsid w:val="002574B5"/>
    <w:rsid w:val="0025767E"/>
    <w:rsid w:val="00260048"/>
    <w:rsid w:val="00260C9E"/>
    <w:rsid w:val="00260E59"/>
    <w:rsid w:val="00260F4E"/>
    <w:rsid w:val="00261E53"/>
    <w:rsid w:val="00262432"/>
    <w:rsid w:val="0026278B"/>
    <w:rsid w:val="0026279B"/>
    <w:rsid w:val="00262869"/>
    <w:rsid w:val="002628C4"/>
    <w:rsid w:val="00262D97"/>
    <w:rsid w:val="002630A6"/>
    <w:rsid w:val="00263417"/>
    <w:rsid w:val="00263C49"/>
    <w:rsid w:val="00264F51"/>
    <w:rsid w:val="002660C5"/>
    <w:rsid w:val="0026674F"/>
    <w:rsid w:val="00266EC4"/>
    <w:rsid w:val="002674CE"/>
    <w:rsid w:val="00267FB5"/>
    <w:rsid w:val="00270366"/>
    <w:rsid w:val="00270514"/>
    <w:rsid w:val="002712DC"/>
    <w:rsid w:val="00271323"/>
    <w:rsid w:val="00271BF7"/>
    <w:rsid w:val="00271D7D"/>
    <w:rsid w:val="00272330"/>
    <w:rsid w:val="00273081"/>
    <w:rsid w:val="00273595"/>
    <w:rsid w:val="00273645"/>
    <w:rsid w:val="00273C1D"/>
    <w:rsid w:val="00273CDA"/>
    <w:rsid w:val="00273D43"/>
    <w:rsid w:val="002747F7"/>
    <w:rsid w:val="002751B2"/>
    <w:rsid w:val="0027523A"/>
    <w:rsid w:val="00276801"/>
    <w:rsid w:val="0027705F"/>
    <w:rsid w:val="002779A7"/>
    <w:rsid w:val="00277CF2"/>
    <w:rsid w:val="00280554"/>
    <w:rsid w:val="002806D7"/>
    <w:rsid w:val="00280DC5"/>
    <w:rsid w:val="00280EEC"/>
    <w:rsid w:val="0028147A"/>
    <w:rsid w:val="00281B5E"/>
    <w:rsid w:val="002824EC"/>
    <w:rsid w:val="0028257F"/>
    <w:rsid w:val="00282ED0"/>
    <w:rsid w:val="00283E65"/>
    <w:rsid w:val="002842B4"/>
    <w:rsid w:val="00284C28"/>
    <w:rsid w:val="00284DCC"/>
    <w:rsid w:val="00285971"/>
    <w:rsid w:val="0028599F"/>
    <w:rsid w:val="00285B6D"/>
    <w:rsid w:val="002864CC"/>
    <w:rsid w:val="00287207"/>
    <w:rsid w:val="00287250"/>
    <w:rsid w:val="00287734"/>
    <w:rsid w:val="00287BEB"/>
    <w:rsid w:val="002902C3"/>
    <w:rsid w:val="0029065B"/>
    <w:rsid w:val="00290C89"/>
    <w:rsid w:val="002916AB"/>
    <w:rsid w:val="00291E0A"/>
    <w:rsid w:val="0029221F"/>
    <w:rsid w:val="002923BB"/>
    <w:rsid w:val="002928E4"/>
    <w:rsid w:val="00292FF9"/>
    <w:rsid w:val="002931CB"/>
    <w:rsid w:val="002932B7"/>
    <w:rsid w:val="0029388E"/>
    <w:rsid w:val="00293F02"/>
    <w:rsid w:val="002942E9"/>
    <w:rsid w:val="00294437"/>
    <w:rsid w:val="00294556"/>
    <w:rsid w:val="0029462B"/>
    <w:rsid w:val="00294844"/>
    <w:rsid w:val="00295596"/>
    <w:rsid w:val="002955D8"/>
    <w:rsid w:val="002956EC"/>
    <w:rsid w:val="002959B2"/>
    <w:rsid w:val="00295F7E"/>
    <w:rsid w:val="00296433"/>
    <w:rsid w:val="00296682"/>
    <w:rsid w:val="002971A0"/>
    <w:rsid w:val="0029775E"/>
    <w:rsid w:val="002978A4"/>
    <w:rsid w:val="00297BE5"/>
    <w:rsid w:val="00297CFE"/>
    <w:rsid w:val="002A0A0B"/>
    <w:rsid w:val="002A0B39"/>
    <w:rsid w:val="002A0D5A"/>
    <w:rsid w:val="002A1343"/>
    <w:rsid w:val="002A1878"/>
    <w:rsid w:val="002A1CDA"/>
    <w:rsid w:val="002A28B3"/>
    <w:rsid w:val="002A2BF5"/>
    <w:rsid w:val="002A327A"/>
    <w:rsid w:val="002A34D9"/>
    <w:rsid w:val="002A3589"/>
    <w:rsid w:val="002A36D9"/>
    <w:rsid w:val="002A3896"/>
    <w:rsid w:val="002A3BE7"/>
    <w:rsid w:val="002A3F78"/>
    <w:rsid w:val="002A40A1"/>
    <w:rsid w:val="002A412D"/>
    <w:rsid w:val="002A58C3"/>
    <w:rsid w:val="002A59BD"/>
    <w:rsid w:val="002A5C93"/>
    <w:rsid w:val="002A5EE4"/>
    <w:rsid w:val="002A6919"/>
    <w:rsid w:val="002A6CF6"/>
    <w:rsid w:val="002A6EF1"/>
    <w:rsid w:val="002A71BE"/>
    <w:rsid w:val="002A7BD4"/>
    <w:rsid w:val="002B060B"/>
    <w:rsid w:val="002B0913"/>
    <w:rsid w:val="002B0B21"/>
    <w:rsid w:val="002B0DFE"/>
    <w:rsid w:val="002B1084"/>
    <w:rsid w:val="002B1DF8"/>
    <w:rsid w:val="002B22E6"/>
    <w:rsid w:val="002B3255"/>
    <w:rsid w:val="002B3CC5"/>
    <w:rsid w:val="002B4320"/>
    <w:rsid w:val="002B4B72"/>
    <w:rsid w:val="002B5FC6"/>
    <w:rsid w:val="002B673C"/>
    <w:rsid w:val="002B71D1"/>
    <w:rsid w:val="002B758A"/>
    <w:rsid w:val="002B7737"/>
    <w:rsid w:val="002C0CAB"/>
    <w:rsid w:val="002C0FED"/>
    <w:rsid w:val="002C13D3"/>
    <w:rsid w:val="002C1C6A"/>
    <w:rsid w:val="002C2212"/>
    <w:rsid w:val="002C2545"/>
    <w:rsid w:val="002C2648"/>
    <w:rsid w:val="002C2DA5"/>
    <w:rsid w:val="002C371B"/>
    <w:rsid w:val="002C3AD9"/>
    <w:rsid w:val="002C3FB3"/>
    <w:rsid w:val="002C45EA"/>
    <w:rsid w:val="002C4877"/>
    <w:rsid w:val="002C53BF"/>
    <w:rsid w:val="002C5481"/>
    <w:rsid w:val="002C54D1"/>
    <w:rsid w:val="002C5808"/>
    <w:rsid w:val="002C5B72"/>
    <w:rsid w:val="002C663A"/>
    <w:rsid w:val="002C6E58"/>
    <w:rsid w:val="002C76D8"/>
    <w:rsid w:val="002C77F2"/>
    <w:rsid w:val="002C7CAC"/>
    <w:rsid w:val="002C7DC4"/>
    <w:rsid w:val="002D0071"/>
    <w:rsid w:val="002D0409"/>
    <w:rsid w:val="002D15A9"/>
    <w:rsid w:val="002D2797"/>
    <w:rsid w:val="002D2AFB"/>
    <w:rsid w:val="002D2F8A"/>
    <w:rsid w:val="002D36B5"/>
    <w:rsid w:val="002D3C62"/>
    <w:rsid w:val="002D42E3"/>
    <w:rsid w:val="002D44C2"/>
    <w:rsid w:val="002D485D"/>
    <w:rsid w:val="002D4902"/>
    <w:rsid w:val="002D5939"/>
    <w:rsid w:val="002D5945"/>
    <w:rsid w:val="002D6C72"/>
    <w:rsid w:val="002D7084"/>
    <w:rsid w:val="002D7652"/>
    <w:rsid w:val="002D7B11"/>
    <w:rsid w:val="002E0026"/>
    <w:rsid w:val="002E011A"/>
    <w:rsid w:val="002E10C2"/>
    <w:rsid w:val="002E1107"/>
    <w:rsid w:val="002E1660"/>
    <w:rsid w:val="002E1AF8"/>
    <w:rsid w:val="002E23F0"/>
    <w:rsid w:val="002E2A38"/>
    <w:rsid w:val="002E2C09"/>
    <w:rsid w:val="002E40AD"/>
    <w:rsid w:val="002E4352"/>
    <w:rsid w:val="002E507F"/>
    <w:rsid w:val="002E5496"/>
    <w:rsid w:val="002E5506"/>
    <w:rsid w:val="002E583C"/>
    <w:rsid w:val="002E59E9"/>
    <w:rsid w:val="002E5BB4"/>
    <w:rsid w:val="002E5D45"/>
    <w:rsid w:val="002E5D73"/>
    <w:rsid w:val="002E5E11"/>
    <w:rsid w:val="002E5E7E"/>
    <w:rsid w:val="002E6D8C"/>
    <w:rsid w:val="002E7177"/>
    <w:rsid w:val="002E7358"/>
    <w:rsid w:val="002E770C"/>
    <w:rsid w:val="002E7A92"/>
    <w:rsid w:val="002E7E6E"/>
    <w:rsid w:val="002F0CFE"/>
    <w:rsid w:val="002F10ED"/>
    <w:rsid w:val="002F11CE"/>
    <w:rsid w:val="002F1363"/>
    <w:rsid w:val="002F254D"/>
    <w:rsid w:val="002F2800"/>
    <w:rsid w:val="002F2895"/>
    <w:rsid w:val="002F2A81"/>
    <w:rsid w:val="002F318A"/>
    <w:rsid w:val="002F328C"/>
    <w:rsid w:val="002F338C"/>
    <w:rsid w:val="002F4565"/>
    <w:rsid w:val="002F4A84"/>
    <w:rsid w:val="002F4C37"/>
    <w:rsid w:val="002F4F77"/>
    <w:rsid w:val="002F5120"/>
    <w:rsid w:val="002F5DB6"/>
    <w:rsid w:val="002F60FE"/>
    <w:rsid w:val="002F61C1"/>
    <w:rsid w:val="002F7645"/>
    <w:rsid w:val="002F784F"/>
    <w:rsid w:val="002F78C4"/>
    <w:rsid w:val="002F79B1"/>
    <w:rsid w:val="002F7B2F"/>
    <w:rsid w:val="002F7E04"/>
    <w:rsid w:val="002F7E74"/>
    <w:rsid w:val="00300566"/>
    <w:rsid w:val="003006BB"/>
    <w:rsid w:val="00300CA2"/>
    <w:rsid w:val="00300E60"/>
    <w:rsid w:val="0030137E"/>
    <w:rsid w:val="00301C79"/>
    <w:rsid w:val="00301E20"/>
    <w:rsid w:val="00301FAD"/>
    <w:rsid w:val="0030209E"/>
    <w:rsid w:val="003023F9"/>
    <w:rsid w:val="003028DB"/>
    <w:rsid w:val="00303213"/>
    <w:rsid w:val="003034C2"/>
    <w:rsid w:val="003034F4"/>
    <w:rsid w:val="00303538"/>
    <w:rsid w:val="00303565"/>
    <w:rsid w:val="0030412E"/>
    <w:rsid w:val="0030486F"/>
    <w:rsid w:val="00304BB6"/>
    <w:rsid w:val="003054E6"/>
    <w:rsid w:val="003059AF"/>
    <w:rsid w:val="00305D6F"/>
    <w:rsid w:val="0030615F"/>
    <w:rsid w:val="003061A5"/>
    <w:rsid w:val="00306B5C"/>
    <w:rsid w:val="00306BD4"/>
    <w:rsid w:val="00306C46"/>
    <w:rsid w:val="00306DE9"/>
    <w:rsid w:val="00306F80"/>
    <w:rsid w:val="003071A1"/>
    <w:rsid w:val="0030746D"/>
    <w:rsid w:val="003078AC"/>
    <w:rsid w:val="00307DA6"/>
    <w:rsid w:val="00307DC8"/>
    <w:rsid w:val="00307E06"/>
    <w:rsid w:val="0031075A"/>
    <w:rsid w:val="003113C8"/>
    <w:rsid w:val="00311978"/>
    <w:rsid w:val="00311C77"/>
    <w:rsid w:val="00311F01"/>
    <w:rsid w:val="003121CF"/>
    <w:rsid w:val="00312CC0"/>
    <w:rsid w:val="00312E87"/>
    <w:rsid w:val="00312FAD"/>
    <w:rsid w:val="00313703"/>
    <w:rsid w:val="00313CE8"/>
    <w:rsid w:val="00313EA7"/>
    <w:rsid w:val="003148AE"/>
    <w:rsid w:val="0031543B"/>
    <w:rsid w:val="00315492"/>
    <w:rsid w:val="003156C0"/>
    <w:rsid w:val="003157C3"/>
    <w:rsid w:val="00316D40"/>
    <w:rsid w:val="0031782D"/>
    <w:rsid w:val="00317CF0"/>
    <w:rsid w:val="003201AE"/>
    <w:rsid w:val="00320B12"/>
    <w:rsid w:val="00320DC1"/>
    <w:rsid w:val="0032156A"/>
    <w:rsid w:val="0032260E"/>
    <w:rsid w:val="00322D4A"/>
    <w:rsid w:val="00322E6F"/>
    <w:rsid w:val="00324963"/>
    <w:rsid w:val="00324CEC"/>
    <w:rsid w:val="00324DE3"/>
    <w:rsid w:val="00324F92"/>
    <w:rsid w:val="00325141"/>
    <w:rsid w:val="0032541B"/>
    <w:rsid w:val="00325457"/>
    <w:rsid w:val="00325E0E"/>
    <w:rsid w:val="0032616A"/>
    <w:rsid w:val="00326BDF"/>
    <w:rsid w:val="0032722F"/>
    <w:rsid w:val="003272FB"/>
    <w:rsid w:val="00327A8A"/>
    <w:rsid w:val="00327C67"/>
    <w:rsid w:val="003302FC"/>
    <w:rsid w:val="00330ADB"/>
    <w:rsid w:val="00331B87"/>
    <w:rsid w:val="00331CC5"/>
    <w:rsid w:val="00331EA4"/>
    <w:rsid w:val="00331FDD"/>
    <w:rsid w:val="00332E95"/>
    <w:rsid w:val="00332FDD"/>
    <w:rsid w:val="0033313B"/>
    <w:rsid w:val="003331CD"/>
    <w:rsid w:val="00333317"/>
    <w:rsid w:val="003335BB"/>
    <w:rsid w:val="003335C4"/>
    <w:rsid w:val="00333A4D"/>
    <w:rsid w:val="00333C8B"/>
    <w:rsid w:val="00334003"/>
    <w:rsid w:val="003352E7"/>
    <w:rsid w:val="00335438"/>
    <w:rsid w:val="00335A17"/>
    <w:rsid w:val="00335F45"/>
    <w:rsid w:val="003366EE"/>
    <w:rsid w:val="0033681A"/>
    <w:rsid w:val="00336CE3"/>
    <w:rsid w:val="00336DAA"/>
    <w:rsid w:val="00337463"/>
    <w:rsid w:val="00340051"/>
    <w:rsid w:val="00340BFB"/>
    <w:rsid w:val="00340F1C"/>
    <w:rsid w:val="0034125D"/>
    <w:rsid w:val="0034153A"/>
    <w:rsid w:val="003418F2"/>
    <w:rsid w:val="00342A85"/>
    <w:rsid w:val="00342AB6"/>
    <w:rsid w:val="00342E75"/>
    <w:rsid w:val="00342F14"/>
    <w:rsid w:val="0034312B"/>
    <w:rsid w:val="003431DF"/>
    <w:rsid w:val="00343A3D"/>
    <w:rsid w:val="00344621"/>
    <w:rsid w:val="00344FB9"/>
    <w:rsid w:val="00345091"/>
    <w:rsid w:val="003451E4"/>
    <w:rsid w:val="0034554D"/>
    <w:rsid w:val="00345B6E"/>
    <w:rsid w:val="00345D6F"/>
    <w:rsid w:val="00345D93"/>
    <w:rsid w:val="00346174"/>
    <w:rsid w:val="003474E0"/>
    <w:rsid w:val="003476A0"/>
    <w:rsid w:val="00347C88"/>
    <w:rsid w:val="00347D7A"/>
    <w:rsid w:val="0035043F"/>
    <w:rsid w:val="003505A6"/>
    <w:rsid w:val="00350859"/>
    <w:rsid w:val="0035141B"/>
    <w:rsid w:val="00351668"/>
    <w:rsid w:val="00352060"/>
    <w:rsid w:val="003524CA"/>
    <w:rsid w:val="00352503"/>
    <w:rsid w:val="0035261E"/>
    <w:rsid w:val="00352D93"/>
    <w:rsid w:val="00353444"/>
    <w:rsid w:val="003536E5"/>
    <w:rsid w:val="00353EB2"/>
    <w:rsid w:val="00355E87"/>
    <w:rsid w:val="003602DA"/>
    <w:rsid w:val="0036096B"/>
    <w:rsid w:val="00360A03"/>
    <w:rsid w:val="003612F1"/>
    <w:rsid w:val="00362678"/>
    <w:rsid w:val="00362F56"/>
    <w:rsid w:val="003630F2"/>
    <w:rsid w:val="00363115"/>
    <w:rsid w:val="003632C8"/>
    <w:rsid w:val="003632D9"/>
    <w:rsid w:val="003633C7"/>
    <w:rsid w:val="00363402"/>
    <w:rsid w:val="00363509"/>
    <w:rsid w:val="00363D8D"/>
    <w:rsid w:val="00363E88"/>
    <w:rsid w:val="00364905"/>
    <w:rsid w:val="00364C71"/>
    <w:rsid w:val="003657F6"/>
    <w:rsid w:val="00366B06"/>
    <w:rsid w:val="003674A7"/>
    <w:rsid w:val="003675FA"/>
    <w:rsid w:val="00367B10"/>
    <w:rsid w:val="00367B53"/>
    <w:rsid w:val="00367CA4"/>
    <w:rsid w:val="00370301"/>
    <w:rsid w:val="003703B4"/>
    <w:rsid w:val="00371E56"/>
    <w:rsid w:val="00372D3C"/>
    <w:rsid w:val="00372F58"/>
    <w:rsid w:val="003735F5"/>
    <w:rsid w:val="00373857"/>
    <w:rsid w:val="00374E30"/>
    <w:rsid w:val="00374E8B"/>
    <w:rsid w:val="0037602B"/>
    <w:rsid w:val="003763A7"/>
    <w:rsid w:val="00376774"/>
    <w:rsid w:val="00376A90"/>
    <w:rsid w:val="003774BB"/>
    <w:rsid w:val="00377AFD"/>
    <w:rsid w:val="00377C2C"/>
    <w:rsid w:val="0038066A"/>
    <w:rsid w:val="00380888"/>
    <w:rsid w:val="003808DB"/>
    <w:rsid w:val="00380AD5"/>
    <w:rsid w:val="0038115F"/>
    <w:rsid w:val="003813C3"/>
    <w:rsid w:val="00381A77"/>
    <w:rsid w:val="00382069"/>
    <w:rsid w:val="003822E8"/>
    <w:rsid w:val="00382EB1"/>
    <w:rsid w:val="0038301F"/>
    <w:rsid w:val="00383226"/>
    <w:rsid w:val="0038393F"/>
    <w:rsid w:val="00383A5E"/>
    <w:rsid w:val="00383FF8"/>
    <w:rsid w:val="00384D69"/>
    <w:rsid w:val="00385908"/>
    <w:rsid w:val="00386961"/>
    <w:rsid w:val="00386CF6"/>
    <w:rsid w:val="00387433"/>
    <w:rsid w:val="003900EF"/>
    <w:rsid w:val="00390324"/>
    <w:rsid w:val="003903B8"/>
    <w:rsid w:val="0039066E"/>
    <w:rsid w:val="00390B33"/>
    <w:rsid w:val="003911F7"/>
    <w:rsid w:val="003912BA"/>
    <w:rsid w:val="00391465"/>
    <w:rsid w:val="00391D6F"/>
    <w:rsid w:val="00391E7C"/>
    <w:rsid w:val="0039200C"/>
    <w:rsid w:val="00392017"/>
    <w:rsid w:val="0039210C"/>
    <w:rsid w:val="003921BB"/>
    <w:rsid w:val="00392982"/>
    <w:rsid w:val="003929F1"/>
    <w:rsid w:val="00392A2B"/>
    <w:rsid w:val="00392C3C"/>
    <w:rsid w:val="00393F82"/>
    <w:rsid w:val="00393FCA"/>
    <w:rsid w:val="003951CB"/>
    <w:rsid w:val="00395569"/>
    <w:rsid w:val="0039629D"/>
    <w:rsid w:val="00396CB0"/>
    <w:rsid w:val="003972EB"/>
    <w:rsid w:val="003976A7"/>
    <w:rsid w:val="00397A55"/>
    <w:rsid w:val="003A09E5"/>
    <w:rsid w:val="003A0E58"/>
    <w:rsid w:val="003A14E9"/>
    <w:rsid w:val="003A172F"/>
    <w:rsid w:val="003A17B8"/>
    <w:rsid w:val="003A1816"/>
    <w:rsid w:val="003A1EEF"/>
    <w:rsid w:val="003A238D"/>
    <w:rsid w:val="003A2840"/>
    <w:rsid w:val="003A31C7"/>
    <w:rsid w:val="003A31E9"/>
    <w:rsid w:val="003A3B5F"/>
    <w:rsid w:val="003A3E32"/>
    <w:rsid w:val="003A4604"/>
    <w:rsid w:val="003A4BDF"/>
    <w:rsid w:val="003A4C95"/>
    <w:rsid w:val="003A4EC7"/>
    <w:rsid w:val="003A53EA"/>
    <w:rsid w:val="003A57F5"/>
    <w:rsid w:val="003A5A3A"/>
    <w:rsid w:val="003A6046"/>
    <w:rsid w:val="003A627D"/>
    <w:rsid w:val="003A6469"/>
    <w:rsid w:val="003A64E3"/>
    <w:rsid w:val="003A6B0E"/>
    <w:rsid w:val="003A72CF"/>
    <w:rsid w:val="003A7B56"/>
    <w:rsid w:val="003A7CD9"/>
    <w:rsid w:val="003B04CA"/>
    <w:rsid w:val="003B0D0D"/>
    <w:rsid w:val="003B0D26"/>
    <w:rsid w:val="003B0D5F"/>
    <w:rsid w:val="003B0D98"/>
    <w:rsid w:val="003B2042"/>
    <w:rsid w:val="003B2FE7"/>
    <w:rsid w:val="003B34E2"/>
    <w:rsid w:val="003B37B5"/>
    <w:rsid w:val="003B3F63"/>
    <w:rsid w:val="003B4726"/>
    <w:rsid w:val="003B55C2"/>
    <w:rsid w:val="003B57AD"/>
    <w:rsid w:val="003B5D66"/>
    <w:rsid w:val="003B5F05"/>
    <w:rsid w:val="003B68FF"/>
    <w:rsid w:val="003B69F0"/>
    <w:rsid w:val="003B6C2E"/>
    <w:rsid w:val="003B6E57"/>
    <w:rsid w:val="003B7B6F"/>
    <w:rsid w:val="003B7EAA"/>
    <w:rsid w:val="003C012B"/>
    <w:rsid w:val="003C04E3"/>
    <w:rsid w:val="003C0C29"/>
    <w:rsid w:val="003C1F9A"/>
    <w:rsid w:val="003C23D1"/>
    <w:rsid w:val="003C2EDA"/>
    <w:rsid w:val="003C2EEA"/>
    <w:rsid w:val="003C35F3"/>
    <w:rsid w:val="003C3998"/>
    <w:rsid w:val="003C3C6B"/>
    <w:rsid w:val="003C433A"/>
    <w:rsid w:val="003C57B7"/>
    <w:rsid w:val="003C5DA1"/>
    <w:rsid w:val="003C610F"/>
    <w:rsid w:val="003C65C0"/>
    <w:rsid w:val="003C7314"/>
    <w:rsid w:val="003C736F"/>
    <w:rsid w:val="003C7CA4"/>
    <w:rsid w:val="003D05DF"/>
    <w:rsid w:val="003D06E5"/>
    <w:rsid w:val="003D10A9"/>
    <w:rsid w:val="003D179B"/>
    <w:rsid w:val="003D1B47"/>
    <w:rsid w:val="003D1F57"/>
    <w:rsid w:val="003D25FE"/>
    <w:rsid w:val="003D275D"/>
    <w:rsid w:val="003D2C9B"/>
    <w:rsid w:val="003D2CC6"/>
    <w:rsid w:val="003D2EDE"/>
    <w:rsid w:val="003D2EEB"/>
    <w:rsid w:val="003D30A6"/>
    <w:rsid w:val="003D3295"/>
    <w:rsid w:val="003D36A4"/>
    <w:rsid w:val="003D388C"/>
    <w:rsid w:val="003D3A6A"/>
    <w:rsid w:val="003D3C27"/>
    <w:rsid w:val="003D3DF5"/>
    <w:rsid w:val="003D4571"/>
    <w:rsid w:val="003D4823"/>
    <w:rsid w:val="003D4837"/>
    <w:rsid w:val="003D4F11"/>
    <w:rsid w:val="003D5047"/>
    <w:rsid w:val="003D5536"/>
    <w:rsid w:val="003D55B6"/>
    <w:rsid w:val="003D5953"/>
    <w:rsid w:val="003D5A00"/>
    <w:rsid w:val="003D5D86"/>
    <w:rsid w:val="003D63C2"/>
    <w:rsid w:val="003D6815"/>
    <w:rsid w:val="003D76BB"/>
    <w:rsid w:val="003D7B86"/>
    <w:rsid w:val="003D7CD2"/>
    <w:rsid w:val="003E003F"/>
    <w:rsid w:val="003E0189"/>
    <w:rsid w:val="003E0CCA"/>
    <w:rsid w:val="003E1135"/>
    <w:rsid w:val="003E123C"/>
    <w:rsid w:val="003E1517"/>
    <w:rsid w:val="003E1B6C"/>
    <w:rsid w:val="003E2334"/>
    <w:rsid w:val="003E266E"/>
    <w:rsid w:val="003E281B"/>
    <w:rsid w:val="003E29A2"/>
    <w:rsid w:val="003E3102"/>
    <w:rsid w:val="003E3DDC"/>
    <w:rsid w:val="003E4140"/>
    <w:rsid w:val="003E4D9D"/>
    <w:rsid w:val="003E4FF8"/>
    <w:rsid w:val="003E52CA"/>
    <w:rsid w:val="003E57A6"/>
    <w:rsid w:val="003E59E9"/>
    <w:rsid w:val="003E68E3"/>
    <w:rsid w:val="003E6C26"/>
    <w:rsid w:val="003E702A"/>
    <w:rsid w:val="003E7FA5"/>
    <w:rsid w:val="003F08F2"/>
    <w:rsid w:val="003F120F"/>
    <w:rsid w:val="003F1B01"/>
    <w:rsid w:val="003F1FA5"/>
    <w:rsid w:val="003F29EF"/>
    <w:rsid w:val="003F2E0E"/>
    <w:rsid w:val="003F31C0"/>
    <w:rsid w:val="003F395A"/>
    <w:rsid w:val="003F4154"/>
    <w:rsid w:val="003F4274"/>
    <w:rsid w:val="003F476E"/>
    <w:rsid w:val="003F5E3D"/>
    <w:rsid w:val="003F64D6"/>
    <w:rsid w:val="003F6597"/>
    <w:rsid w:val="003F7DE2"/>
    <w:rsid w:val="003F7F91"/>
    <w:rsid w:val="00400CFB"/>
    <w:rsid w:val="00401001"/>
    <w:rsid w:val="00401C97"/>
    <w:rsid w:val="004028F8"/>
    <w:rsid w:val="00403690"/>
    <w:rsid w:val="00403769"/>
    <w:rsid w:val="004039B7"/>
    <w:rsid w:val="00403AB7"/>
    <w:rsid w:val="00403B0B"/>
    <w:rsid w:val="0040435B"/>
    <w:rsid w:val="00404484"/>
    <w:rsid w:val="00404A9E"/>
    <w:rsid w:val="00405216"/>
    <w:rsid w:val="00405890"/>
    <w:rsid w:val="0040626A"/>
    <w:rsid w:val="00406407"/>
    <w:rsid w:val="00406E7C"/>
    <w:rsid w:val="00407501"/>
    <w:rsid w:val="0041007F"/>
    <w:rsid w:val="004104A4"/>
    <w:rsid w:val="0041144D"/>
    <w:rsid w:val="0041192A"/>
    <w:rsid w:val="00412EA7"/>
    <w:rsid w:val="00413BF0"/>
    <w:rsid w:val="00414290"/>
    <w:rsid w:val="004149FE"/>
    <w:rsid w:val="00415069"/>
    <w:rsid w:val="00415257"/>
    <w:rsid w:val="0041538A"/>
    <w:rsid w:val="0041543F"/>
    <w:rsid w:val="00415521"/>
    <w:rsid w:val="0041630A"/>
    <w:rsid w:val="00417D65"/>
    <w:rsid w:val="00420604"/>
    <w:rsid w:val="00420CB9"/>
    <w:rsid w:val="00420F42"/>
    <w:rsid w:val="00421DD4"/>
    <w:rsid w:val="00422027"/>
    <w:rsid w:val="004225CF"/>
    <w:rsid w:val="0042290A"/>
    <w:rsid w:val="004233DA"/>
    <w:rsid w:val="0042469A"/>
    <w:rsid w:val="0042529D"/>
    <w:rsid w:val="004252AF"/>
    <w:rsid w:val="00425942"/>
    <w:rsid w:val="0042656E"/>
    <w:rsid w:val="00426856"/>
    <w:rsid w:val="004269FB"/>
    <w:rsid w:val="004276D6"/>
    <w:rsid w:val="004279AE"/>
    <w:rsid w:val="00427DC2"/>
    <w:rsid w:val="004301E4"/>
    <w:rsid w:val="004304C1"/>
    <w:rsid w:val="00430A26"/>
    <w:rsid w:val="00430A53"/>
    <w:rsid w:val="00430EB2"/>
    <w:rsid w:val="00431346"/>
    <w:rsid w:val="0043150D"/>
    <w:rsid w:val="004316B0"/>
    <w:rsid w:val="00431ACF"/>
    <w:rsid w:val="0043257C"/>
    <w:rsid w:val="00432BB8"/>
    <w:rsid w:val="00432BE3"/>
    <w:rsid w:val="00433653"/>
    <w:rsid w:val="00434C72"/>
    <w:rsid w:val="00434F23"/>
    <w:rsid w:val="00435005"/>
    <w:rsid w:val="004351BD"/>
    <w:rsid w:val="00435B16"/>
    <w:rsid w:val="00436739"/>
    <w:rsid w:val="004367C1"/>
    <w:rsid w:val="00437437"/>
    <w:rsid w:val="004377CE"/>
    <w:rsid w:val="00440321"/>
    <w:rsid w:val="0044035E"/>
    <w:rsid w:val="0044083E"/>
    <w:rsid w:val="00440874"/>
    <w:rsid w:val="00441362"/>
    <w:rsid w:val="004415ED"/>
    <w:rsid w:val="00441688"/>
    <w:rsid w:val="00441701"/>
    <w:rsid w:val="0044172A"/>
    <w:rsid w:val="0044172C"/>
    <w:rsid w:val="00441BF8"/>
    <w:rsid w:val="00442C63"/>
    <w:rsid w:val="00443A7C"/>
    <w:rsid w:val="0044498A"/>
    <w:rsid w:val="00444C72"/>
    <w:rsid w:val="004450A1"/>
    <w:rsid w:val="004452B9"/>
    <w:rsid w:val="00445452"/>
    <w:rsid w:val="00445470"/>
    <w:rsid w:val="0044562F"/>
    <w:rsid w:val="004456C2"/>
    <w:rsid w:val="00446A81"/>
    <w:rsid w:val="00446AFC"/>
    <w:rsid w:val="00447215"/>
    <w:rsid w:val="00447303"/>
    <w:rsid w:val="004473A9"/>
    <w:rsid w:val="00447428"/>
    <w:rsid w:val="00447E74"/>
    <w:rsid w:val="004500BA"/>
    <w:rsid w:val="00450E4D"/>
    <w:rsid w:val="00451163"/>
    <w:rsid w:val="00451231"/>
    <w:rsid w:val="004524F8"/>
    <w:rsid w:val="00452513"/>
    <w:rsid w:val="00452630"/>
    <w:rsid w:val="004526E1"/>
    <w:rsid w:val="00452738"/>
    <w:rsid w:val="0045293A"/>
    <w:rsid w:val="00453033"/>
    <w:rsid w:val="004534CA"/>
    <w:rsid w:val="0045362B"/>
    <w:rsid w:val="004537DD"/>
    <w:rsid w:val="00453B3B"/>
    <w:rsid w:val="0045437F"/>
    <w:rsid w:val="0045454F"/>
    <w:rsid w:val="00454615"/>
    <w:rsid w:val="0045474D"/>
    <w:rsid w:val="00455618"/>
    <w:rsid w:val="0045638B"/>
    <w:rsid w:val="004564AD"/>
    <w:rsid w:val="00456504"/>
    <w:rsid w:val="004568E1"/>
    <w:rsid w:val="00456EBF"/>
    <w:rsid w:val="00456EC6"/>
    <w:rsid w:val="004571A0"/>
    <w:rsid w:val="0045746D"/>
    <w:rsid w:val="00457626"/>
    <w:rsid w:val="00457E81"/>
    <w:rsid w:val="0046005A"/>
    <w:rsid w:val="0046067E"/>
    <w:rsid w:val="00460AEF"/>
    <w:rsid w:val="00460D84"/>
    <w:rsid w:val="0046103E"/>
    <w:rsid w:val="00461105"/>
    <w:rsid w:val="0046115F"/>
    <w:rsid w:val="00461507"/>
    <w:rsid w:val="004635DB"/>
    <w:rsid w:val="0046364E"/>
    <w:rsid w:val="0046378E"/>
    <w:rsid w:val="00463E8F"/>
    <w:rsid w:val="00463F8D"/>
    <w:rsid w:val="004648BC"/>
    <w:rsid w:val="00464A5B"/>
    <w:rsid w:val="00464EFA"/>
    <w:rsid w:val="00465070"/>
    <w:rsid w:val="0046512E"/>
    <w:rsid w:val="00465F70"/>
    <w:rsid w:val="004661AA"/>
    <w:rsid w:val="00466747"/>
    <w:rsid w:val="00466A7A"/>
    <w:rsid w:val="00467AA2"/>
    <w:rsid w:val="00467B6B"/>
    <w:rsid w:val="0047033B"/>
    <w:rsid w:val="00470729"/>
    <w:rsid w:val="00470CF7"/>
    <w:rsid w:val="00470D42"/>
    <w:rsid w:val="00470DDA"/>
    <w:rsid w:val="004714A5"/>
    <w:rsid w:val="00472207"/>
    <w:rsid w:val="0047238D"/>
    <w:rsid w:val="004725E8"/>
    <w:rsid w:val="004727C2"/>
    <w:rsid w:val="00472DB4"/>
    <w:rsid w:val="004734F1"/>
    <w:rsid w:val="004737EE"/>
    <w:rsid w:val="0047395C"/>
    <w:rsid w:val="004741D6"/>
    <w:rsid w:val="00474C43"/>
    <w:rsid w:val="00474DEB"/>
    <w:rsid w:val="004751DA"/>
    <w:rsid w:val="00475D39"/>
    <w:rsid w:val="00476042"/>
    <w:rsid w:val="004767E9"/>
    <w:rsid w:val="00476D9D"/>
    <w:rsid w:val="00477086"/>
    <w:rsid w:val="00477213"/>
    <w:rsid w:val="004773DF"/>
    <w:rsid w:val="00480027"/>
    <w:rsid w:val="00480298"/>
    <w:rsid w:val="004809ED"/>
    <w:rsid w:val="0048192D"/>
    <w:rsid w:val="00481DE5"/>
    <w:rsid w:val="00481EFB"/>
    <w:rsid w:val="00482255"/>
    <w:rsid w:val="004826E0"/>
    <w:rsid w:val="004828CA"/>
    <w:rsid w:val="00482AD4"/>
    <w:rsid w:val="004839CB"/>
    <w:rsid w:val="00483BD2"/>
    <w:rsid w:val="00484B61"/>
    <w:rsid w:val="00484B94"/>
    <w:rsid w:val="00485070"/>
    <w:rsid w:val="004855CB"/>
    <w:rsid w:val="004856FC"/>
    <w:rsid w:val="00485947"/>
    <w:rsid w:val="004860AB"/>
    <w:rsid w:val="004861BB"/>
    <w:rsid w:val="004862B2"/>
    <w:rsid w:val="00486617"/>
    <w:rsid w:val="0048694C"/>
    <w:rsid w:val="004870F2"/>
    <w:rsid w:val="00487382"/>
    <w:rsid w:val="004873DD"/>
    <w:rsid w:val="004875F7"/>
    <w:rsid w:val="00487811"/>
    <w:rsid w:val="00487C03"/>
    <w:rsid w:val="00490177"/>
    <w:rsid w:val="00490393"/>
    <w:rsid w:val="004904AC"/>
    <w:rsid w:val="0049064F"/>
    <w:rsid w:val="00490B4D"/>
    <w:rsid w:val="004910F5"/>
    <w:rsid w:val="004911E5"/>
    <w:rsid w:val="00491309"/>
    <w:rsid w:val="00491EE0"/>
    <w:rsid w:val="00491FD2"/>
    <w:rsid w:val="0049230A"/>
    <w:rsid w:val="00492E4F"/>
    <w:rsid w:val="0049328F"/>
    <w:rsid w:val="004937E1"/>
    <w:rsid w:val="00493DEB"/>
    <w:rsid w:val="00494331"/>
    <w:rsid w:val="00494C57"/>
    <w:rsid w:val="00495756"/>
    <w:rsid w:val="00495943"/>
    <w:rsid w:val="00495B1B"/>
    <w:rsid w:val="00495DA6"/>
    <w:rsid w:val="004961BA"/>
    <w:rsid w:val="00496585"/>
    <w:rsid w:val="00496633"/>
    <w:rsid w:val="00497032"/>
    <w:rsid w:val="00497B22"/>
    <w:rsid w:val="00497B3C"/>
    <w:rsid w:val="004A013A"/>
    <w:rsid w:val="004A047D"/>
    <w:rsid w:val="004A0D33"/>
    <w:rsid w:val="004A0DAA"/>
    <w:rsid w:val="004A11CE"/>
    <w:rsid w:val="004A12D5"/>
    <w:rsid w:val="004A13A7"/>
    <w:rsid w:val="004A14FD"/>
    <w:rsid w:val="004A187C"/>
    <w:rsid w:val="004A19AD"/>
    <w:rsid w:val="004A28E5"/>
    <w:rsid w:val="004A370D"/>
    <w:rsid w:val="004A38C3"/>
    <w:rsid w:val="004A4481"/>
    <w:rsid w:val="004A465D"/>
    <w:rsid w:val="004A46A3"/>
    <w:rsid w:val="004A4C15"/>
    <w:rsid w:val="004A4E93"/>
    <w:rsid w:val="004A5175"/>
    <w:rsid w:val="004A5509"/>
    <w:rsid w:val="004A5B85"/>
    <w:rsid w:val="004A5CAC"/>
    <w:rsid w:val="004A7380"/>
    <w:rsid w:val="004A777C"/>
    <w:rsid w:val="004B02A5"/>
    <w:rsid w:val="004B16FC"/>
    <w:rsid w:val="004B17B9"/>
    <w:rsid w:val="004B17D5"/>
    <w:rsid w:val="004B19DC"/>
    <w:rsid w:val="004B2382"/>
    <w:rsid w:val="004B2996"/>
    <w:rsid w:val="004B3948"/>
    <w:rsid w:val="004B4010"/>
    <w:rsid w:val="004B4180"/>
    <w:rsid w:val="004B4F2E"/>
    <w:rsid w:val="004B51B3"/>
    <w:rsid w:val="004B5543"/>
    <w:rsid w:val="004B55FA"/>
    <w:rsid w:val="004B58C7"/>
    <w:rsid w:val="004B61FB"/>
    <w:rsid w:val="004B6728"/>
    <w:rsid w:val="004B692D"/>
    <w:rsid w:val="004B7354"/>
    <w:rsid w:val="004B7A6E"/>
    <w:rsid w:val="004B7ABC"/>
    <w:rsid w:val="004C04C4"/>
    <w:rsid w:val="004C0E77"/>
    <w:rsid w:val="004C1204"/>
    <w:rsid w:val="004C1656"/>
    <w:rsid w:val="004C1747"/>
    <w:rsid w:val="004C175A"/>
    <w:rsid w:val="004C25CC"/>
    <w:rsid w:val="004C36FF"/>
    <w:rsid w:val="004C399B"/>
    <w:rsid w:val="004C3B96"/>
    <w:rsid w:val="004C420B"/>
    <w:rsid w:val="004C427B"/>
    <w:rsid w:val="004C44B4"/>
    <w:rsid w:val="004C44F5"/>
    <w:rsid w:val="004C495E"/>
    <w:rsid w:val="004C4979"/>
    <w:rsid w:val="004C4E5B"/>
    <w:rsid w:val="004C6133"/>
    <w:rsid w:val="004C6346"/>
    <w:rsid w:val="004C6706"/>
    <w:rsid w:val="004C68C2"/>
    <w:rsid w:val="004C744F"/>
    <w:rsid w:val="004C798E"/>
    <w:rsid w:val="004D079B"/>
    <w:rsid w:val="004D0A9E"/>
    <w:rsid w:val="004D0ACE"/>
    <w:rsid w:val="004D0AEA"/>
    <w:rsid w:val="004D1106"/>
    <w:rsid w:val="004D1693"/>
    <w:rsid w:val="004D1A4C"/>
    <w:rsid w:val="004D1B9A"/>
    <w:rsid w:val="004D1D60"/>
    <w:rsid w:val="004D20D5"/>
    <w:rsid w:val="004D2696"/>
    <w:rsid w:val="004D3821"/>
    <w:rsid w:val="004D397B"/>
    <w:rsid w:val="004D4D63"/>
    <w:rsid w:val="004D4D6A"/>
    <w:rsid w:val="004D4E25"/>
    <w:rsid w:val="004D4E6F"/>
    <w:rsid w:val="004D52F6"/>
    <w:rsid w:val="004D5F07"/>
    <w:rsid w:val="004D6A68"/>
    <w:rsid w:val="004D7299"/>
    <w:rsid w:val="004D72A0"/>
    <w:rsid w:val="004D7A9C"/>
    <w:rsid w:val="004D7B37"/>
    <w:rsid w:val="004E0000"/>
    <w:rsid w:val="004E094E"/>
    <w:rsid w:val="004E09A7"/>
    <w:rsid w:val="004E09CF"/>
    <w:rsid w:val="004E0A06"/>
    <w:rsid w:val="004E0FB7"/>
    <w:rsid w:val="004E1203"/>
    <w:rsid w:val="004E1679"/>
    <w:rsid w:val="004E2049"/>
    <w:rsid w:val="004E2154"/>
    <w:rsid w:val="004E221C"/>
    <w:rsid w:val="004E2ADD"/>
    <w:rsid w:val="004E2AE4"/>
    <w:rsid w:val="004E309E"/>
    <w:rsid w:val="004E34C4"/>
    <w:rsid w:val="004E350A"/>
    <w:rsid w:val="004E3AA7"/>
    <w:rsid w:val="004E3B33"/>
    <w:rsid w:val="004E3D11"/>
    <w:rsid w:val="004E46C2"/>
    <w:rsid w:val="004E48C7"/>
    <w:rsid w:val="004E48DF"/>
    <w:rsid w:val="004E48F9"/>
    <w:rsid w:val="004E4CAE"/>
    <w:rsid w:val="004E4F9B"/>
    <w:rsid w:val="004E50DE"/>
    <w:rsid w:val="004E556E"/>
    <w:rsid w:val="004E58F8"/>
    <w:rsid w:val="004E6826"/>
    <w:rsid w:val="004E70DC"/>
    <w:rsid w:val="004E785D"/>
    <w:rsid w:val="004E7ACF"/>
    <w:rsid w:val="004F015C"/>
    <w:rsid w:val="004F0711"/>
    <w:rsid w:val="004F07A0"/>
    <w:rsid w:val="004F0C3B"/>
    <w:rsid w:val="004F0C7F"/>
    <w:rsid w:val="004F0F6B"/>
    <w:rsid w:val="004F1134"/>
    <w:rsid w:val="004F1187"/>
    <w:rsid w:val="004F15C2"/>
    <w:rsid w:val="004F166E"/>
    <w:rsid w:val="004F16CF"/>
    <w:rsid w:val="004F1AB7"/>
    <w:rsid w:val="004F1F8B"/>
    <w:rsid w:val="004F225E"/>
    <w:rsid w:val="004F26A1"/>
    <w:rsid w:val="004F2951"/>
    <w:rsid w:val="004F3359"/>
    <w:rsid w:val="004F3F52"/>
    <w:rsid w:val="004F3FE2"/>
    <w:rsid w:val="004F4044"/>
    <w:rsid w:val="004F42A9"/>
    <w:rsid w:val="004F45A7"/>
    <w:rsid w:val="004F6519"/>
    <w:rsid w:val="004F65B4"/>
    <w:rsid w:val="004F66F8"/>
    <w:rsid w:val="004F673D"/>
    <w:rsid w:val="004F6AFE"/>
    <w:rsid w:val="004F6CBD"/>
    <w:rsid w:val="004F6D84"/>
    <w:rsid w:val="004F6F9C"/>
    <w:rsid w:val="004F72CA"/>
    <w:rsid w:val="004F7824"/>
    <w:rsid w:val="004F7C38"/>
    <w:rsid w:val="0050064C"/>
    <w:rsid w:val="00500AFC"/>
    <w:rsid w:val="00500FE4"/>
    <w:rsid w:val="0050102A"/>
    <w:rsid w:val="0050166B"/>
    <w:rsid w:val="00502068"/>
    <w:rsid w:val="0050254C"/>
    <w:rsid w:val="005027B5"/>
    <w:rsid w:val="0050281F"/>
    <w:rsid w:val="00502F67"/>
    <w:rsid w:val="0050395F"/>
    <w:rsid w:val="005045CE"/>
    <w:rsid w:val="00504AD0"/>
    <w:rsid w:val="005052E9"/>
    <w:rsid w:val="005057E9"/>
    <w:rsid w:val="00505BE0"/>
    <w:rsid w:val="00505CDE"/>
    <w:rsid w:val="005070E1"/>
    <w:rsid w:val="00507540"/>
    <w:rsid w:val="005102B4"/>
    <w:rsid w:val="00510433"/>
    <w:rsid w:val="00510877"/>
    <w:rsid w:val="00510BB2"/>
    <w:rsid w:val="00510F4E"/>
    <w:rsid w:val="005111EA"/>
    <w:rsid w:val="00511590"/>
    <w:rsid w:val="0051194B"/>
    <w:rsid w:val="005129C9"/>
    <w:rsid w:val="00512F97"/>
    <w:rsid w:val="00513252"/>
    <w:rsid w:val="00513841"/>
    <w:rsid w:val="00514719"/>
    <w:rsid w:val="0051518F"/>
    <w:rsid w:val="0051526E"/>
    <w:rsid w:val="0051562C"/>
    <w:rsid w:val="0051637D"/>
    <w:rsid w:val="00516702"/>
    <w:rsid w:val="00516DB4"/>
    <w:rsid w:val="00517463"/>
    <w:rsid w:val="0052051B"/>
    <w:rsid w:val="00520932"/>
    <w:rsid w:val="00520D6F"/>
    <w:rsid w:val="00521068"/>
    <w:rsid w:val="00521187"/>
    <w:rsid w:val="005211F5"/>
    <w:rsid w:val="00521AAD"/>
    <w:rsid w:val="0052257B"/>
    <w:rsid w:val="0052288C"/>
    <w:rsid w:val="005234CA"/>
    <w:rsid w:val="00523941"/>
    <w:rsid w:val="00524724"/>
    <w:rsid w:val="00524A17"/>
    <w:rsid w:val="0052588C"/>
    <w:rsid w:val="00525C01"/>
    <w:rsid w:val="00525EB8"/>
    <w:rsid w:val="00526234"/>
    <w:rsid w:val="00526A8B"/>
    <w:rsid w:val="00526FFC"/>
    <w:rsid w:val="005279DB"/>
    <w:rsid w:val="00527B36"/>
    <w:rsid w:val="00530D2E"/>
    <w:rsid w:val="0053135C"/>
    <w:rsid w:val="00531521"/>
    <w:rsid w:val="005317A8"/>
    <w:rsid w:val="00531895"/>
    <w:rsid w:val="00532693"/>
    <w:rsid w:val="005326AE"/>
    <w:rsid w:val="00532710"/>
    <w:rsid w:val="00532BF9"/>
    <w:rsid w:val="0053328F"/>
    <w:rsid w:val="005334E9"/>
    <w:rsid w:val="00534148"/>
    <w:rsid w:val="005346EB"/>
    <w:rsid w:val="00535472"/>
    <w:rsid w:val="00536B03"/>
    <w:rsid w:val="0054003B"/>
    <w:rsid w:val="005407D8"/>
    <w:rsid w:val="00540804"/>
    <w:rsid w:val="005408F8"/>
    <w:rsid w:val="0054135E"/>
    <w:rsid w:val="00541AE9"/>
    <w:rsid w:val="00542CD5"/>
    <w:rsid w:val="00542F88"/>
    <w:rsid w:val="005435F8"/>
    <w:rsid w:val="00543A67"/>
    <w:rsid w:val="00543FD1"/>
    <w:rsid w:val="00544160"/>
    <w:rsid w:val="00544AD9"/>
    <w:rsid w:val="0054544E"/>
    <w:rsid w:val="005463A4"/>
    <w:rsid w:val="00546A2E"/>
    <w:rsid w:val="00546EB1"/>
    <w:rsid w:val="00547559"/>
    <w:rsid w:val="00547EB9"/>
    <w:rsid w:val="00547EEE"/>
    <w:rsid w:val="005501F9"/>
    <w:rsid w:val="005504C9"/>
    <w:rsid w:val="005506FC"/>
    <w:rsid w:val="005507E5"/>
    <w:rsid w:val="0055097E"/>
    <w:rsid w:val="00550986"/>
    <w:rsid w:val="00550FD6"/>
    <w:rsid w:val="005516C7"/>
    <w:rsid w:val="0055263C"/>
    <w:rsid w:val="0055282D"/>
    <w:rsid w:val="0055289E"/>
    <w:rsid w:val="00552CF7"/>
    <w:rsid w:val="005535D0"/>
    <w:rsid w:val="00553766"/>
    <w:rsid w:val="00554678"/>
    <w:rsid w:val="005547A3"/>
    <w:rsid w:val="00554BE2"/>
    <w:rsid w:val="00555032"/>
    <w:rsid w:val="00555316"/>
    <w:rsid w:val="0055560C"/>
    <w:rsid w:val="00555F8B"/>
    <w:rsid w:val="00556228"/>
    <w:rsid w:val="0055628C"/>
    <w:rsid w:val="0055684B"/>
    <w:rsid w:val="00556A45"/>
    <w:rsid w:val="00557C17"/>
    <w:rsid w:val="0056016E"/>
    <w:rsid w:val="00561517"/>
    <w:rsid w:val="00561C5A"/>
    <w:rsid w:val="00562E44"/>
    <w:rsid w:val="00562EBE"/>
    <w:rsid w:val="005630E2"/>
    <w:rsid w:val="005637EC"/>
    <w:rsid w:val="005640CB"/>
    <w:rsid w:val="0056410D"/>
    <w:rsid w:val="00564BB7"/>
    <w:rsid w:val="00564D4C"/>
    <w:rsid w:val="005658C6"/>
    <w:rsid w:val="00566D04"/>
    <w:rsid w:val="00566F96"/>
    <w:rsid w:val="005672E2"/>
    <w:rsid w:val="00567887"/>
    <w:rsid w:val="005678EF"/>
    <w:rsid w:val="0056797F"/>
    <w:rsid w:val="00567C41"/>
    <w:rsid w:val="00570BCA"/>
    <w:rsid w:val="005726FB"/>
    <w:rsid w:val="00572826"/>
    <w:rsid w:val="00572839"/>
    <w:rsid w:val="0057284A"/>
    <w:rsid w:val="0057296B"/>
    <w:rsid w:val="00572A8F"/>
    <w:rsid w:val="00573638"/>
    <w:rsid w:val="005738BA"/>
    <w:rsid w:val="005738F5"/>
    <w:rsid w:val="00573B49"/>
    <w:rsid w:val="00574600"/>
    <w:rsid w:val="00574D83"/>
    <w:rsid w:val="00575147"/>
    <w:rsid w:val="00575A9A"/>
    <w:rsid w:val="00575C7D"/>
    <w:rsid w:val="0057642B"/>
    <w:rsid w:val="00576DFB"/>
    <w:rsid w:val="00576E1B"/>
    <w:rsid w:val="005772F9"/>
    <w:rsid w:val="00577AE6"/>
    <w:rsid w:val="00577CDC"/>
    <w:rsid w:val="0058038B"/>
    <w:rsid w:val="00580ADC"/>
    <w:rsid w:val="00580E56"/>
    <w:rsid w:val="00581079"/>
    <w:rsid w:val="0058157A"/>
    <w:rsid w:val="00581CEA"/>
    <w:rsid w:val="00582272"/>
    <w:rsid w:val="00582C40"/>
    <w:rsid w:val="0058337E"/>
    <w:rsid w:val="0058342A"/>
    <w:rsid w:val="005839CE"/>
    <w:rsid w:val="00583CC6"/>
    <w:rsid w:val="00583E68"/>
    <w:rsid w:val="005842AD"/>
    <w:rsid w:val="00584561"/>
    <w:rsid w:val="0058496D"/>
    <w:rsid w:val="00585527"/>
    <w:rsid w:val="0058583F"/>
    <w:rsid w:val="00585A65"/>
    <w:rsid w:val="00585E29"/>
    <w:rsid w:val="00586295"/>
    <w:rsid w:val="005874DA"/>
    <w:rsid w:val="005877D4"/>
    <w:rsid w:val="00587AC7"/>
    <w:rsid w:val="005902ED"/>
    <w:rsid w:val="00590DB9"/>
    <w:rsid w:val="0059102D"/>
    <w:rsid w:val="0059182B"/>
    <w:rsid w:val="005919C6"/>
    <w:rsid w:val="00591FF7"/>
    <w:rsid w:val="0059234E"/>
    <w:rsid w:val="00592368"/>
    <w:rsid w:val="0059287E"/>
    <w:rsid w:val="0059290F"/>
    <w:rsid w:val="00593315"/>
    <w:rsid w:val="0059376C"/>
    <w:rsid w:val="00593771"/>
    <w:rsid w:val="00593B2F"/>
    <w:rsid w:val="00593FCF"/>
    <w:rsid w:val="00594A1E"/>
    <w:rsid w:val="00594E8A"/>
    <w:rsid w:val="005955BD"/>
    <w:rsid w:val="00595AD5"/>
    <w:rsid w:val="00595D36"/>
    <w:rsid w:val="0059613D"/>
    <w:rsid w:val="005967E2"/>
    <w:rsid w:val="0059740D"/>
    <w:rsid w:val="00597DD3"/>
    <w:rsid w:val="00597FE0"/>
    <w:rsid w:val="005A0528"/>
    <w:rsid w:val="005A0653"/>
    <w:rsid w:val="005A0BE1"/>
    <w:rsid w:val="005A0D13"/>
    <w:rsid w:val="005A0F3F"/>
    <w:rsid w:val="005A1535"/>
    <w:rsid w:val="005A19CD"/>
    <w:rsid w:val="005A1D26"/>
    <w:rsid w:val="005A23F4"/>
    <w:rsid w:val="005A310E"/>
    <w:rsid w:val="005A43C6"/>
    <w:rsid w:val="005A44CA"/>
    <w:rsid w:val="005A4A00"/>
    <w:rsid w:val="005A4A4F"/>
    <w:rsid w:val="005A54C3"/>
    <w:rsid w:val="005A5874"/>
    <w:rsid w:val="005A587D"/>
    <w:rsid w:val="005A5B9E"/>
    <w:rsid w:val="005A615E"/>
    <w:rsid w:val="005A67E2"/>
    <w:rsid w:val="005A6B8D"/>
    <w:rsid w:val="005A6CF2"/>
    <w:rsid w:val="005A78EA"/>
    <w:rsid w:val="005A7917"/>
    <w:rsid w:val="005A7C13"/>
    <w:rsid w:val="005A7D3A"/>
    <w:rsid w:val="005B00CF"/>
    <w:rsid w:val="005B02C7"/>
    <w:rsid w:val="005B086F"/>
    <w:rsid w:val="005B0D49"/>
    <w:rsid w:val="005B16DB"/>
    <w:rsid w:val="005B205B"/>
    <w:rsid w:val="005B292E"/>
    <w:rsid w:val="005B2F2A"/>
    <w:rsid w:val="005B3539"/>
    <w:rsid w:val="005B365F"/>
    <w:rsid w:val="005B3AF3"/>
    <w:rsid w:val="005B44C1"/>
    <w:rsid w:val="005B44C6"/>
    <w:rsid w:val="005B490F"/>
    <w:rsid w:val="005B4BF8"/>
    <w:rsid w:val="005B5F0A"/>
    <w:rsid w:val="005B6088"/>
    <w:rsid w:val="005B60A7"/>
    <w:rsid w:val="005B6210"/>
    <w:rsid w:val="005B64B4"/>
    <w:rsid w:val="005B6777"/>
    <w:rsid w:val="005B71FB"/>
    <w:rsid w:val="005B72C7"/>
    <w:rsid w:val="005B75FB"/>
    <w:rsid w:val="005B79CF"/>
    <w:rsid w:val="005B7B63"/>
    <w:rsid w:val="005B7B76"/>
    <w:rsid w:val="005B7EC9"/>
    <w:rsid w:val="005C0387"/>
    <w:rsid w:val="005C0533"/>
    <w:rsid w:val="005C09B8"/>
    <w:rsid w:val="005C0A60"/>
    <w:rsid w:val="005C11BD"/>
    <w:rsid w:val="005C1372"/>
    <w:rsid w:val="005C1606"/>
    <w:rsid w:val="005C17A8"/>
    <w:rsid w:val="005C181F"/>
    <w:rsid w:val="005C1FF4"/>
    <w:rsid w:val="005C247C"/>
    <w:rsid w:val="005C2725"/>
    <w:rsid w:val="005C320E"/>
    <w:rsid w:val="005C3EAB"/>
    <w:rsid w:val="005C42AE"/>
    <w:rsid w:val="005C43DB"/>
    <w:rsid w:val="005C4588"/>
    <w:rsid w:val="005C4BBB"/>
    <w:rsid w:val="005C50E9"/>
    <w:rsid w:val="005C55D4"/>
    <w:rsid w:val="005C5C2E"/>
    <w:rsid w:val="005C6639"/>
    <w:rsid w:val="005C6D37"/>
    <w:rsid w:val="005C715F"/>
    <w:rsid w:val="005C71B4"/>
    <w:rsid w:val="005D0140"/>
    <w:rsid w:val="005D03D4"/>
    <w:rsid w:val="005D0781"/>
    <w:rsid w:val="005D09DE"/>
    <w:rsid w:val="005D1067"/>
    <w:rsid w:val="005D1116"/>
    <w:rsid w:val="005D1841"/>
    <w:rsid w:val="005D186C"/>
    <w:rsid w:val="005D1F84"/>
    <w:rsid w:val="005D227D"/>
    <w:rsid w:val="005D234D"/>
    <w:rsid w:val="005D239C"/>
    <w:rsid w:val="005D2506"/>
    <w:rsid w:val="005D30C3"/>
    <w:rsid w:val="005D3176"/>
    <w:rsid w:val="005D3714"/>
    <w:rsid w:val="005D3905"/>
    <w:rsid w:val="005D3CED"/>
    <w:rsid w:val="005D4813"/>
    <w:rsid w:val="005D4A91"/>
    <w:rsid w:val="005D4CA7"/>
    <w:rsid w:val="005D4CD7"/>
    <w:rsid w:val="005D5578"/>
    <w:rsid w:val="005D5D60"/>
    <w:rsid w:val="005D5D87"/>
    <w:rsid w:val="005D63E2"/>
    <w:rsid w:val="005D657E"/>
    <w:rsid w:val="005D662A"/>
    <w:rsid w:val="005D6928"/>
    <w:rsid w:val="005D6B2E"/>
    <w:rsid w:val="005D6D34"/>
    <w:rsid w:val="005D72A9"/>
    <w:rsid w:val="005E0E51"/>
    <w:rsid w:val="005E145D"/>
    <w:rsid w:val="005E1A45"/>
    <w:rsid w:val="005E2066"/>
    <w:rsid w:val="005E2224"/>
    <w:rsid w:val="005E2861"/>
    <w:rsid w:val="005E2A9B"/>
    <w:rsid w:val="005E2D3E"/>
    <w:rsid w:val="005E2E17"/>
    <w:rsid w:val="005E2E92"/>
    <w:rsid w:val="005E3530"/>
    <w:rsid w:val="005E399A"/>
    <w:rsid w:val="005E4099"/>
    <w:rsid w:val="005E4529"/>
    <w:rsid w:val="005E4C40"/>
    <w:rsid w:val="005E57A3"/>
    <w:rsid w:val="005E5B2A"/>
    <w:rsid w:val="005E63F1"/>
    <w:rsid w:val="005E6710"/>
    <w:rsid w:val="005E6925"/>
    <w:rsid w:val="005E6F0F"/>
    <w:rsid w:val="005E706C"/>
    <w:rsid w:val="005E7149"/>
    <w:rsid w:val="005E73E6"/>
    <w:rsid w:val="005E7633"/>
    <w:rsid w:val="005E79E3"/>
    <w:rsid w:val="005E7B48"/>
    <w:rsid w:val="005E7B91"/>
    <w:rsid w:val="005E7DDE"/>
    <w:rsid w:val="005F00FE"/>
    <w:rsid w:val="005F0612"/>
    <w:rsid w:val="005F07D0"/>
    <w:rsid w:val="005F0C45"/>
    <w:rsid w:val="005F0E4D"/>
    <w:rsid w:val="005F0FA3"/>
    <w:rsid w:val="005F0FE1"/>
    <w:rsid w:val="005F149E"/>
    <w:rsid w:val="005F1812"/>
    <w:rsid w:val="005F18BE"/>
    <w:rsid w:val="005F1A4E"/>
    <w:rsid w:val="005F1B53"/>
    <w:rsid w:val="005F254F"/>
    <w:rsid w:val="005F2815"/>
    <w:rsid w:val="005F3000"/>
    <w:rsid w:val="005F3091"/>
    <w:rsid w:val="005F322E"/>
    <w:rsid w:val="005F336E"/>
    <w:rsid w:val="005F3730"/>
    <w:rsid w:val="005F3E4D"/>
    <w:rsid w:val="005F43C7"/>
    <w:rsid w:val="005F4B48"/>
    <w:rsid w:val="005F5151"/>
    <w:rsid w:val="005F57A4"/>
    <w:rsid w:val="005F59B8"/>
    <w:rsid w:val="005F5B1B"/>
    <w:rsid w:val="005F6005"/>
    <w:rsid w:val="005F6398"/>
    <w:rsid w:val="005F6BEB"/>
    <w:rsid w:val="005F7261"/>
    <w:rsid w:val="005F7A41"/>
    <w:rsid w:val="005F7B42"/>
    <w:rsid w:val="005F7D9A"/>
    <w:rsid w:val="00600546"/>
    <w:rsid w:val="006018DC"/>
    <w:rsid w:val="00601BC9"/>
    <w:rsid w:val="00602BB1"/>
    <w:rsid w:val="00602CA3"/>
    <w:rsid w:val="00602EE8"/>
    <w:rsid w:val="00603223"/>
    <w:rsid w:val="0060338D"/>
    <w:rsid w:val="006038A1"/>
    <w:rsid w:val="006039E8"/>
    <w:rsid w:val="00603A53"/>
    <w:rsid w:val="00603BE5"/>
    <w:rsid w:val="006053B3"/>
    <w:rsid w:val="0060623B"/>
    <w:rsid w:val="00606A11"/>
    <w:rsid w:val="0060703D"/>
    <w:rsid w:val="006070B5"/>
    <w:rsid w:val="00607557"/>
    <w:rsid w:val="00607FD7"/>
    <w:rsid w:val="006100F6"/>
    <w:rsid w:val="00610536"/>
    <w:rsid w:val="00611E2C"/>
    <w:rsid w:val="0061209A"/>
    <w:rsid w:val="0061219B"/>
    <w:rsid w:val="00612736"/>
    <w:rsid w:val="00613573"/>
    <w:rsid w:val="006144D9"/>
    <w:rsid w:val="0061462C"/>
    <w:rsid w:val="006147C9"/>
    <w:rsid w:val="00615598"/>
    <w:rsid w:val="0061588E"/>
    <w:rsid w:val="00615D30"/>
    <w:rsid w:val="00615EDD"/>
    <w:rsid w:val="006160AD"/>
    <w:rsid w:val="006166D3"/>
    <w:rsid w:val="0061700F"/>
    <w:rsid w:val="00617B6B"/>
    <w:rsid w:val="00617C5E"/>
    <w:rsid w:val="00620A3C"/>
    <w:rsid w:val="00620E64"/>
    <w:rsid w:val="00621CD0"/>
    <w:rsid w:val="00621CE3"/>
    <w:rsid w:val="006224D1"/>
    <w:rsid w:val="00624283"/>
    <w:rsid w:val="0062468D"/>
    <w:rsid w:val="006250A2"/>
    <w:rsid w:val="0062529B"/>
    <w:rsid w:val="0062584F"/>
    <w:rsid w:val="00625BE6"/>
    <w:rsid w:val="006262B3"/>
    <w:rsid w:val="006263D1"/>
    <w:rsid w:val="0062640A"/>
    <w:rsid w:val="00626412"/>
    <w:rsid w:val="00627186"/>
    <w:rsid w:val="00627C66"/>
    <w:rsid w:val="00627CA7"/>
    <w:rsid w:val="00630A15"/>
    <w:rsid w:val="00630A7D"/>
    <w:rsid w:val="00630C28"/>
    <w:rsid w:val="006311EF"/>
    <w:rsid w:val="0063191F"/>
    <w:rsid w:val="00631A56"/>
    <w:rsid w:val="00631CE7"/>
    <w:rsid w:val="006324B5"/>
    <w:rsid w:val="00632C22"/>
    <w:rsid w:val="006333BE"/>
    <w:rsid w:val="00633571"/>
    <w:rsid w:val="006336B3"/>
    <w:rsid w:val="00633BA1"/>
    <w:rsid w:val="00633D7C"/>
    <w:rsid w:val="0063462F"/>
    <w:rsid w:val="00634C01"/>
    <w:rsid w:val="00634FBD"/>
    <w:rsid w:val="00635D08"/>
    <w:rsid w:val="00635E8E"/>
    <w:rsid w:val="00635EAC"/>
    <w:rsid w:val="006368A1"/>
    <w:rsid w:val="00636AE8"/>
    <w:rsid w:val="00636DF8"/>
    <w:rsid w:val="006374ED"/>
    <w:rsid w:val="00637A47"/>
    <w:rsid w:val="00637EE1"/>
    <w:rsid w:val="00637F9D"/>
    <w:rsid w:val="00640202"/>
    <w:rsid w:val="00640B3C"/>
    <w:rsid w:val="00640B7E"/>
    <w:rsid w:val="00640BC9"/>
    <w:rsid w:val="00640D33"/>
    <w:rsid w:val="00640DDF"/>
    <w:rsid w:val="00641236"/>
    <w:rsid w:val="00641503"/>
    <w:rsid w:val="00642467"/>
    <w:rsid w:val="00642D2A"/>
    <w:rsid w:val="00643D24"/>
    <w:rsid w:val="00643D68"/>
    <w:rsid w:val="006442B5"/>
    <w:rsid w:val="00644ECD"/>
    <w:rsid w:val="0064515B"/>
    <w:rsid w:val="006458C1"/>
    <w:rsid w:val="006465E7"/>
    <w:rsid w:val="0065000C"/>
    <w:rsid w:val="0065056B"/>
    <w:rsid w:val="00650BCB"/>
    <w:rsid w:val="00650CB0"/>
    <w:rsid w:val="00651319"/>
    <w:rsid w:val="00651A0A"/>
    <w:rsid w:val="00651A92"/>
    <w:rsid w:val="0065208E"/>
    <w:rsid w:val="006524DF"/>
    <w:rsid w:val="00652CE9"/>
    <w:rsid w:val="00653100"/>
    <w:rsid w:val="0065383E"/>
    <w:rsid w:val="00653B08"/>
    <w:rsid w:val="00653E72"/>
    <w:rsid w:val="0065477E"/>
    <w:rsid w:val="00655CD9"/>
    <w:rsid w:val="00656121"/>
    <w:rsid w:val="00656147"/>
    <w:rsid w:val="0065682F"/>
    <w:rsid w:val="00657529"/>
    <w:rsid w:val="00657893"/>
    <w:rsid w:val="006600D6"/>
    <w:rsid w:val="00660112"/>
    <w:rsid w:val="00660122"/>
    <w:rsid w:val="006604C6"/>
    <w:rsid w:val="00661027"/>
    <w:rsid w:val="0066113E"/>
    <w:rsid w:val="0066157D"/>
    <w:rsid w:val="0066170C"/>
    <w:rsid w:val="0066181E"/>
    <w:rsid w:val="006631AD"/>
    <w:rsid w:val="00663AB0"/>
    <w:rsid w:val="00663DBB"/>
    <w:rsid w:val="00663DBC"/>
    <w:rsid w:val="006640ED"/>
    <w:rsid w:val="00664F6A"/>
    <w:rsid w:val="00664F99"/>
    <w:rsid w:val="0066526A"/>
    <w:rsid w:val="00665D29"/>
    <w:rsid w:val="0066759C"/>
    <w:rsid w:val="00667851"/>
    <w:rsid w:val="00667C25"/>
    <w:rsid w:val="0067099A"/>
    <w:rsid w:val="00670F68"/>
    <w:rsid w:val="006712E0"/>
    <w:rsid w:val="0067140D"/>
    <w:rsid w:val="00671818"/>
    <w:rsid w:val="00671975"/>
    <w:rsid w:val="00671CB6"/>
    <w:rsid w:val="00671E72"/>
    <w:rsid w:val="00671F69"/>
    <w:rsid w:val="00672F15"/>
    <w:rsid w:val="0067333D"/>
    <w:rsid w:val="00673364"/>
    <w:rsid w:val="00673506"/>
    <w:rsid w:val="00673972"/>
    <w:rsid w:val="00673AA6"/>
    <w:rsid w:val="00673F07"/>
    <w:rsid w:val="00674035"/>
    <w:rsid w:val="0067419F"/>
    <w:rsid w:val="006759DC"/>
    <w:rsid w:val="00675D13"/>
    <w:rsid w:val="00675FB0"/>
    <w:rsid w:val="0067658A"/>
    <w:rsid w:val="0067659F"/>
    <w:rsid w:val="006770AB"/>
    <w:rsid w:val="0067710E"/>
    <w:rsid w:val="006771E7"/>
    <w:rsid w:val="00677C41"/>
    <w:rsid w:val="006811A8"/>
    <w:rsid w:val="00681546"/>
    <w:rsid w:val="00681E8E"/>
    <w:rsid w:val="00682565"/>
    <w:rsid w:val="006825BB"/>
    <w:rsid w:val="0068280E"/>
    <w:rsid w:val="00683152"/>
    <w:rsid w:val="0068344D"/>
    <w:rsid w:val="006835C2"/>
    <w:rsid w:val="006839DD"/>
    <w:rsid w:val="00684230"/>
    <w:rsid w:val="0068432A"/>
    <w:rsid w:val="0068456D"/>
    <w:rsid w:val="00684612"/>
    <w:rsid w:val="00684A62"/>
    <w:rsid w:val="00685867"/>
    <w:rsid w:val="00685A9A"/>
    <w:rsid w:val="00686261"/>
    <w:rsid w:val="006867F6"/>
    <w:rsid w:val="00686AD6"/>
    <w:rsid w:val="00686B02"/>
    <w:rsid w:val="0068762A"/>
    <w:rsid w:val="006876F5"/>
    <w:rsid w:val="006879FC"/>
    <w:rsid w:val="00687BF3"/>
    <w:rsid w:val="00690C68"/>
    <w:rsid w:val="00691514"/>
    <w:rsid w:val="00691F9D"/>
    <w:rsid w:val="00692976"/>
    <w:rsid w:val="00692D22"/>
    <w:rsid w:val="00693970"/>
    <w:rsid w:val="0069408D"/>
    <w:rsid w:val="006949F8"/>
    <w:rsid w:val="00694E85"/>
    <w:rsid w:val="00695CAF"/>
    <w:rsid w:val="00695EE6"/>
    <w:rsid w:val="006962C0"/>
    <w:rsid w:val="00697CBA"/>
    <w:rsid w:val="00697EC0"/>
    <w:rsid w:val="006A0584"/>
    <w:rsid w:val="006A09D7"/>
    <w:rsid w:val="006A09F6"/>
    <w:rsid w:val="006A0D93"/>
    <w:rsid w:val="006A21B7"/>
    <w:rsid w:val="006A25F2"/>
    <w:rsid w:val="006A3150"/>
    <w:rsid w:val="006A3256"/>
    <w:rsid w:val="006A3287"/>
    <w:rsid w:val="006A3574"/>
    <w:rsid w:val="006A3C43"/>
    <w:rsid w:val="006A4F8E"/>
    <w:rsid w:val="006A55F5"/>
    <w:rsid w:val="006A6935"/>
    <w:rsid w:val="006A73B5"/>
    <w:rsid w:val="006A7811"/>
    <w:rsid w:val="006A7EDA"/>
    <w:rsid w:val="006B0A38"/>
    <w:rsid w:val="006B24EC"/>
    <w:rsid w:val="006B2D45"/>
    <w:rsid w:val="006B312A"/>
    <w:rsid w:val="006B33E0"/>
    <w:rsid w:val="006B363A"/>
    <w:rsid w:val="006B443F"/>
    <w:rsid w:val="006B4CA4"/>
    <w:rsid w:val="006B4D69"/>
    <w:rsid w:val="006B4E97"/>
    <w:rsid w:val="006B5907"/>
    <w:rsid w:val="006B5C52"/>
    <w:rsid w:val="006B5E11"/>
    <w:rsid w:val="006B6042"/>
    <w:rsid w:val="006B60A0"/>
    <w:rsid w:val="006B69D5"/>
    <w:rsid w:val="006B6ED8"/>
    <w:rsid w:val="006B72D5"/>
    <w:rsid w:val="006B7541"/>
    <w:rsid w:val="006B7FA2"/>
    <w:rsid w:val="006C02FE"/>
    <w:rsid w:val="006C152F"/>
    <w:rsid w:val="006C15B3"/>
    <w:rsid w:val="006C1C47"/>
    <w:rsid w:val="006C203F"/>
    <w:rsid w:val="006C2140"/>
    <w:rsid w:val="006C2C6F"/>
    <w:rsid w:val="006C2EEC"/>
    <w:rsid w:val="006C315B"/>
    <w:rsid w:val="006C41DA"/>
    <w:rsid w:val="006C565A"/>
    <w:rsid w:val="006C594B"/>
    <w:rsid w:val="006C59D5"/>
    <w:rsid w:val="006C6042"/>
    <w:rsid w:val="006C60F0"/>
    <w:rsid w:val="006C6802"/>
    <w:rsid w:val="006C6960"/>
    <w:rsid w:val="006C6A18"/>
    <w:rsid w:val="006C6E96"/>
    <w:rsid w:val="006C6FDC"/>
    <w:rsid w:val="006C7744"/>
    <w:rsid w:val="006C7BAE"/>
    <w:rsid w:val="006D084E"/>
    <w:rsid w:val="006D0E12"/>
    <w:rsid w:val="006D1897"/>
    <w:rsid w:val="006D2AA8"/>
    <w:rsid w:val="006D2BC7"/>
    <w:rsid w:val="006D2FA5"/>
    <w:rsid w:val="006D3816"/>
    <w:rsid w:val="006D43CF"/>
    <w:rsid w:val="006D4674"/>
    <w:rsid w:val="006D46A8"/>
    <w:rsid w:val="006D48E4"/>
    <w:rsid w:val="006D48F5"/>
    <w:rsid w:val="006D4AF6"/>
    <w:rsid w:val="006D4D2B"/>
    <w:rsid w:val="006D554B"/>
    <w:rsid w:val="006D5835"/>
    <w:rsid w:val="006D5A69"/>
    <w:rsid w:val="006D6279"/>
    <w:rsid w:val="006D6657"/>
    <w:rsid w:val="006D708C"/>
    <w:rsid w:val="006D71B4"/>
    <w:rsid w:val="006D796D"/>
    <w:rsid w:val="006D7D88"/>
    <w:rsid w:val="006E0342"/>
    <w:rsid w:val="006E04EB"/>
    <w:rsid w:val="006E0983"/>
    <w:rsid w:val="006E0CFC"/>
    <w:rsid w:val="006E0D9A"/>
    <w:rsid w:val="006E0F0D"/>
    <w:rsid w:val="006E1BC4"/>
    <w:rsid w:val="006E21F6"/>
    <w:rsid w:val="006E2A2C"/>
    <w:rsid w:val="006E35E5"/>
    <w:rsid w:val="006E4B6E"/>
    <w:rsid w:val="006E50E4"/>
    <w:rsid w:val="006E5CCB"/>
    <w:rsid w:val="006E5E02"/>
    <w:rsid w:val="006E6035"/>
    <w:rsid w:val="006E61AE"/>
    <w:rsid w:val="006E6912"/>
    <w:rsid w:val="006E73C9"/>
    <w:rsid w:val="006E7F1E"/>
    <w:rsid w:val="006F06CD"/>
    <w:rsid w:val="006F0D6C"/>
    <w:rsid w:val="006F13FF"/>
    <w:rsid w:val="006F192E"/>
    <w:rsid w:val="006F23E5"/>
    <w:rsid w:val="006F2984"/>
    <w:rsid w:val="006F2CC9"/>
    <w:rsid w:val="006F3CCA"/>
    <w:rsid w:val="006F3E06"/>
    <w:rsid w:val="006F5146"/>
    <w:rsid w:val="006F5618"/>
    <w:rsid w:val="006F5A18"/>
    <w:rsid w:val="006F5A66"/>
    <w:rsid w:val="006F662C"/>
    <w:rsid w:val="006F79B9"/>
    <w:rsid w:val="006F7BCE"/>
    <w:rsid w:val="007012ED"/>
    <w:rsid w:val="007016C9"/>
    <w:rsid w:val="0070198E"/>
    <w:rsid w:val="00701D4B"/>
    <w:rsid w:val="00701E89"/>
    <w:rsid w:val="007022C3"/>
    <w:rsid w:val="007023B6"/>
    <w:rsid w:val="00703650"/>
    <w:rsid w:val="00704B89"/>
    <w:rsid w:val="007053E7"/>
    <w:rsid w:val="007053F8"/>
    <w:rsid w:val="0070567C"/>
    <w:rsid w:val="00705779"/>
    <w:rsid w:val="007059CF"/>
    <w:rsid w:val="00705AF0"/>
    <w:rsid w:val="00705F19"/>
    <w:rsid w:val="00707500"/>
    <w:rsid w:val="00707964"/>
    <w:rsid w:val="00707CDB"/>
    <w:rsid w:val="007104FE"/>
    <w:rsid w:val="00710842"/>
    <w:rsid w:val="00711083"/>
    <w:rsid w:val="0071159C"/>
    <w:rsid w:val="00711ABD"/>
    <w:rsid w:val="00712D00"/>
    <w:rsid w:val="00714187"/>
    <w:rsid w:val="0071443B"/>
    <w:rsid w:val="0071466F"/>
    <w:rsid w:val="00714992"/>
    <w:rsid w:val="00714E37"/>
    <w:rsid w:val="0071653E"/>
    <w:rsid w:val="007165A8"/>
    <w:rsid w:val="00716AEC"/>
    <w:rsid w:val="00716D3F"/>
    <w:rsid w:val="00716D90"/>
    <w:rsid w:val="0071758B"/>
    <w:rsid w:val="00717E19"/>
    <w:rsid w:val="0072001B"/>
    <w:rsid w:val="007201B7"/>
    <w:rsid w:val="00720A2E"/>
    <w:rsid w:val="00720A90"/>
    <w:rsid w:val="00720B2F"/>
    <w:rsid w:val="00720C04"/>
    <w:rsid w:val="007211A9"/>
    <w:rsid w:val="00721673"/>
    <w:rsid w:val="007221F4"/>
    <w:rsid w:val="00722367"/>
    <w:rsid w:val="00722A7A"/>
    <w:rsid w:val="00722AD8"/>
    <w:rsid w:val="00723148"/>
    <w:rsid w:val="00723598"/>
    <w:rsid w:val="00723656"/>
    <w:rsid w:val="00723AD6"/>
    <w:rsid w:val="00723F0D"/>
    <w:rsid w:val="007248FD"/>
    <w:rsid w:val="00724A03"/>
    <w:rsid w:val="00724AF2"/>
    <w:rsid w:val="00724CFC"/>
    <w:rsid w:val="00725079"/>
    <w:rsid w:val="0072522D"/>
    <w:rsid w:val="007255DF"/>
    <w:rsid w:val="00725A47"/>
    <w:rsid w:val="0072605E"/>
    <w:rsid w:val="007263CA"/>
    <w:rsid w:val="0072646E"/>
    <w:rsid w:val="0072647C"/>
    <w:rsid w:val="0072653E"/>
    <w:rsid w:val="007268FC"/>
    <w:rsid w:val="00726BAB"/>
    <w:rsid w:val="00726FEB"/>
    <w:rsid w:val="00730061"/>
    <w:rsid w:val="007302FC"/>
    <w:rsid w:val="00730515"/>
    <w:rsid w:val="00730518"/>
    <w:rsid w:val="0073065B"/>
    <w:rsid w:val="00732602"/>
    <w:rsid w:val="00732869"/>
    <w:rsid w:val="00732E8A"/>
    <w:rsid w:val="007336A5"/>
    <w:rsid w:val="0073404C"/>
    <w:rsid w:val="00734154"/>
    <w:rsid w:val="00734E72"/>
    <w:rsid w:val="0073522F"/>
    <w:rsid w:val="0073567C"/>
    <w:rsid w:val="007359E0"/>
    <w:rsid w:val="00735C79"/>
    <w:rsid w:val="007369D2"/>
    <w:rsid w:val="00736B81"/>
    <w:rsid w:val="00737414"/>
    <w:rsid w:val="0073779D"/>
    <w:rsid w:val="00737ED3"/>
    <w:rsid w:val="00740151"/>
    <w:rsid w:val="00740A80"/>
    <w:rsid w:val="00740AC2"/>
    <w:rsid w:val="00740B2B"/>
    <w:rsid w:val="007411F7"/>
    <w:rsid w:val="00741BC4"/>
    <w:rsid w:val="00742503"/>
    <w:rsid w:val="00742CF6"/>
    <w:rsid w:val="00742DC5"/>
    <w:rsid w:val="00743868"/>
    <w:rsid w:val="007439CA"/>
    <w:rsid w:val="00743A9D"/>
    <w:rsid w:val="00743CA2"/>
    <w:rsid w:val="0074406D"/>
    <w:rsid w:val="00744EC1"/>
    <w:rsid w:val="00745471"/>
    <w:rsid w:val="007454E4"/>
    <w:rsid w:val="00745DAD"/>
    <w:rsid w:val="00745E32"/>
    <w:rsid w:val="00746A69"/>
    <w:rsid w:val="00746C1F"/>
    <w:rsid w:val="00747326"/>
    <w:rsid w:val="0074763E"/>
    <w:rsid w:val="00747BDF"/>
    <w:rsid w:val="00750A1E"/>
    <w:rsid w:val="00750E9F"/>
    <w:rsid w:val="00751519"/>
    <w:rsid w:val="00751B20"/>
    <w:rsid w:val="00751CA0"/>
    <w:rsid w:val="00751F34"/>
    <w:rsid w:val="007527A4"/>
    <w:rsid w:val="00752917"/>
    <w:rsid w:val="00752943"/>
    <w:rsid w:val="007536DC"/>
    <w:rsid w:val="0075448A"/>
    <w:rsid w:val="007546B7"/>
    <w:rsid w:val="0075579B"/>
    <w:rsid w:val="007558BA"/>
    <w:rsid w:val="00755B39"/>
    <w:rsid w:val="007568A7"/>
    <w:rsid w:val="007579E4"/>
    <w:rsid w:val="00757A2A"/>
    <w:rsid w:val="00757C63"/>
    <w:rsid w:val="00760269"/>
    <w:rsid w:val="0076136F"/>
    <w:rsid w:val="0076139F"/>
    <w:rsid w:val="007614FF"/>
    <w:rsid w:val="007616AE"/>
    <w:rsid w:val="00761779"/>
    <w:rsid w:val="007623B0"/>
    <w:rsid w:val="0076253E"/>
    <w:rsid w:val="007627CA"/>
    <w:rsid w:val="00762A46"/>
    <w:rsid w:val="00762AA5"/>
    <w:rsid w:val="00764335"/>
    <w:rsid w:val="00764637"/>
    <w:rsid w:val="00764904"/>
    <w:rsid w:val="00765972"/>
    <w:rsid w:val="00765D76"/>
    <w:rsid w:val="007665E5"/>
    <w:rsid w:val="00767477"/>
    <w:rsid w:val="007675EA"/>
    <w:rsid w:val="00770025"/>
    <w:rsid w:val="007703BC"/>
    <w:rsid w:val="00770780"/>
    <w:rsid w:val="00770DED"/>
    <w:rsid w:val="007711FA"/>
    <w:rsid w:val="00771A34"/>
    <w:rsid w:val="00771D6F"/>
    <w:rsid w:val="00772097"/>
    <w:rsid w:val="00772301"/>
    <w:rsid w:val="007729D2"/>
    <w:rsid w:val="00773250"/>
    <w:rsid w:val="00773436"/>
    <w:rsid w:val="0077403C"/>
    <w:rsid w:val="0077448A"/>
    <w:rsid w:val="00775D6E"/>
    <w:rsid w:val="00776005"/>
    <w:rsid w:val="00776159"/>
    <w:rsid w:val="0077647B"/>
    <w:rsid w:val="00776D28"/>
    <w:rsid w:val="00777074"/>
    <w:rsid w:val="0077738C"/>
    <w:rsid w:val="00777595"/>
    <w:rsid w:val="007775FF"/>
    <w:rsid w:val="00777ABB"/>
    <w:rsid w:val="007806FF"/>
    <w:rsid w:val="00780EE7"/>
    <w:rsid w:val="007818ED"/>
    <w:rsid w:val="00781A1B"/>
    <w:rsid w:val="00781A97"/>
    <w:rsid w:val="00781C47"/>
    <w:rsid w:val="00781E2D"/>
    <w:rsid w:val="007824B0"/>
    <w:rsid w:val="00782D95"/>
    <w:rsid w:val="00782E1A"/>
    <w:rsid w:val="00783004"/>
    <w:rsid w:val="007831B5"/>
    <w:rsid w:val="007842A9"/>
    <w:rsid w:val="00784A86"/>
    <w:rsid w:val="00784D7F"/>
    <w:rsid w:val="00784EC2"/>
    <w:rsid w:val="0078505B"/>
    <w:rsid w:val="007850AA"/>
    <w:rsid w:val="00785586"/>
    <w:rsid w:val="00785A9B"/>
    <w:rsid w:val="00785E7E"/>
    <w:rsid w:val="00786DE0"/>
    <w:rsid w:val="00786F09"/>
    <w:rsid w:val="007879A0"/>
    <w:rsid w:val="00787DA6"/>
    <w:rsid w:val="00791078"/>
    <w:rsid w:val="007917EB"/>
    <w:rsid w:val="0079198D"/>
    <w:rsid w:val="00791A85"/>
    <w:rsid w:val="00791DF3"/>
    <w:rsid w:val="00792179"/>
    <w:rsid w:val="00793827"/>
    <w:rsid w:val="00794171"/>
    <w:rsid w:val="00794399"/>
    <w:rsid w:val="007956B0"/>
    <w:rsid w:val="007957B4"/>
    <w:rsid w:val="00795C6F"/>
    <w:rsid w:val="00795CAB"/>
    <w:rsid w:val="00795E7F"/>
    <w:rsid w:val="00795FAF"/>
    <w:rsid w:val="007965A8"/>
    <w:rsid w:val="007969A1"/>
    <w:rsid w:val="00796D1D"/>
    <w:rsid w:val="007974FF"/>
    <w:rsid w:val="00797990"/>
    <w:rsid w:val="007A064B"/>
    <w:rsid w:val="007A0E0F"/>
    <w:rsid w:val="007A1069"/>
    <w:rsid w:val="007A13E8"/>
    <w:rsid w:val="007A1B43"/>
    <w:rsid w:val="007A1BCE"/>
    <w:rsid w:val="007A3218"/>
    <w:rsid w:val="007A381E"/>
    <w:rsid w:val="007A39CB"/>
    <w:rsid w:val="007A39F9"/>
    <w:rsid w:val="007A3BF3"/>
    <w:rsid w:val="007A432F"/>
    <w:rsid w:val="007A4373"/>
    <w:rsid w:val="007A52E1"/>
    <w:rsid w:val="007A5405"/>
    <w:rsid w:val="007A5B05"/>
    <w:rsid w:val="007A61BA"/>
    <w:rsid w:val="007A6D4D"/>
    <w:rsid w:val="007A71F0"/>
    <w:rsid w:val="007A7907"/>
    <w:rsid w:val="007B08BC"/>
    <w:rsid w:val="007B1F5E"/>
    <w:rsid w:val="007B2681"/>
    <w:rsid w:val="007B26E2"/>
    <w:rsid w:val="007B273F"/>
    <w:rsid w:val="007B3EE1"/>
    <w:rsid w:val="007B3FA0"/>
    <w:rsid w:val="007B407D"/>
    <w:rsid w:val="007B4263"/>
    <w:rsid w:val="007B433C"/>
    <w:rsid w:val="007B43C9"/>
    <w:rsid w:val="007B452B"/>
    <w:rsid w:val="007B46B5"/>
    <w:rsid w:val="007B47ED"/>
    <w:rsid w:val="007B4B78"/>
    <w:rsid w:val="007B60D7"/>
    <w:rsid w:val="007B6607"/>
    <w:rsid w:val="007B6EE9"/>
    <w:rsid w:val="007B6F2C"/>
    <w:rsid w:val="007B7133"/>
    <w:rsid w:val="007B72FE"/>
    <w:rsid w:val="007B7446"/>
    <w:rsid w:val="007B75B9"/>
    <w:rsid w:val="007B7864"/>
    <w:rsid w:val="007C0E2B"/>
    <w:rsid w:val="007C1E29"/>
    <w:rsid w:val="007C2298"/>
    <w:rsid w:val="007C2E6B"/>
    <w:rsid w:val="007C3172"/>
    <w:rsid w:val="007C359D"/>
    <w:rsid w:val="007C3865"/>
    <w:rsid w:val="007C4232"/>
    <w:rsid w:val="007C4502"/>
    <w:rsid w:val="007C50FA"/>
    <w:rsid w:val="007C5C1D"/>
    <w:rsid w:val="007C5EC1"/>
    <w:rsid w:val="007C66B2"/>
    <w:rsid w:val="007C69B7"/>
    <w:rsid w:val="007C6D39"/>
    <w:rsid w:val="007C6F20"/>
    <w:rsid w:val="007D09D5"/>
    <w:rsid w:val="007D1071"/>
    <w:rsid w:val="007D1304"/>
    <w:rsid w:val="007D137D"/>
    <w:rsid w:val="007D1666"/>
    <w:rsid w:val="007D1EDD"/>
    <w:rsid w:val="007D21C5"/>
    <w:rsid w:val="007D2839"/>
    <w:rsid w:val="007D312C"/>
    <w:rsid w:val="007D3F26"/>
    <w:rsid w:val="007D4191"/>
    <w:rsid w:val="007D443F"/>
    <w:rsid w:val="007D5855"/>
    <w:rsid w:val="007D5C67"/>
    <w:rsid w:val="007D6D8C"/>
    <w:rsid w:val="007D73CA"/>
    <w:rsid w:val="007E0246"/>
    <w:rsid w:val="007E074F"/>
    <w:rsid w:val="007E0A71"/>
    <w:rsid w:val="007E0AE1"/>
    <w:rsid w:val="007E0CA3"/>
    <w:rsid w:val="007E0D6B"/>
    <w:rsid w:val="007E13D2"/>
    <w:rsid w:val="007E13F1"/>
    <w:rsid w:val="007E1BB5"/>
    <w:rsid w:val="007E1E45"/>
    <w:rsid w:val="007E1E46"/>
    <w:rsid w:val="007E2405"/>
    <w:rsid w:val="007E258E"/>
    <w:rsid w:val="007E2960"/>
    <w:rsid w:val="007E35AD"/>
    <w:rsid w:val="007E3993"/>
    <w:rsid w:val="007E3B4D"/>
    <w:rsid w:val="007E4922"/>
    <w:rsid w:val="007E4D9A"/>
    <w:rsid w:val="007E4F58"/>
    <w:rsid w:val="007E5718"/>
    <w:rsid w:val="007E5FF3"/>
    <w:rsid w:val="007E65DF"/>
    <w:rsid w:val="007E687B"/>
    <w:rsid w:val="007E6C38"/>
    <w:rsid w:val="007E6C60"/>
    <w:rsid w:val="007E71B4"/>
    <w:rsid w:val="007E725E"/>
    <w:rsid w:val="007E7DBA"/>
    <w:rsid w:val="007F0379"/>
    <w:rsid w:val="007F0588"/>
    <w:rsid w:val="007F0E28"/>
    <w:rsid w:val="007F155E"/>
    <w:rsid w:val="007F1DDA"/>
    <w:rsid w:val="007F2123"/>
    <w:rsid w:val="007F2725"/>
    <w:rsid w:val="007F27B7"/>
    <w:rsid w:val="007F29ED"/>
    <w:rsid w:val="007F4B66"/>
    <w:rsid w:val="007F50A9"/>
    <w:rsid w:val="007F544E"/>
    <w:rsid w:val="007F5DA3"/>
    <w:rsid w:val="007F5E4B"/>
    <w:rsid w:val="007F6206"/>
    <w:rsid w:val="007F68C2"/>
    <w:rsid w:val="007F6BA4"/>
    <w:rsid w:val="007F713A"/>
    <w:rsid w:val="007F7242"/>
    <w:rsid w:val="007F7B12"/>
    <w:rsid w:val="00800EE5"/>
    <w:rsid w:val="0080204B"/>
    <w:rsid w:val="00802107"/>
    <w:rsid w:val="00802214"/>
    <w:rsid w:val="008022B6"/>
    <w:rsid w:val="008023EB"/>
    <w:rsid w:val="00802543"/>
    <w:rsid w:val="00802980"/>
    <w:rsid w:val="00802D77"/>
    <w:rsid w:val="00803EFD"/>
    <w:rsid w:val="008042F5"/>
    <w:rsid w:val="00804641"/>
    <w:rsid w:val="00804813"/>
    <w:rsid w:val="00804BD9"/>
    <w:rsid w:val="00804D71"/>
    <w:rsid w:val="00804F78"/>
    <w:rsid w:val="0080577F"/>
    <w:rsid w:val="00805DD8"/>
    <w:rsid w:val="00806640"/>
    <w:rsid w:val="00806D94"/>
    <w:rsid w:val="00807349"/>
    <w:rsid w:val="00807851"/>
    <w:rsid w:val="00807A41"/>
    <w:rsid w:val="00810086"/>
    <w:rsid w:val="008106A0"/>
    <w:rsid w:val="00810703"/>
    <w:rsid w:val="00810DDA"/>
    <w:rsid w:val="00810F6F"/>
    <w:rsid w:val="0081115F"/>
    <w:rsid w:val="00812530"/>
    <w:rsid w:val="00813761"/>
    <w:rsid w:val="00816E6C"/>
    <w:rsid w:val="00816F75"/>
    <w:rsid w:val="00817539"/>
    <w:rsid w:val="00817A99"/>
    <w:rsid w:val="00817C6D"/>
    <w:rsid w:val="00820381"/>
    <w:rsid w:val="00820A29"/>
    <w:rsid w:val="00820A38"/>
    <w:rsid w:val="0082188A"/>
    <w:rsid w:val="00821BD4"/>
    <w:rsid w:val="00821F8A"/>
    <w:rsid w:val="00822510"/>
    <w:rsid w:val="00822562"/>
    <w:rsid w:val="008225C3"/>
    <w:rsid w:val="00823D5E"/>
    <w:rsid w:val="00823FB2"/>
    <w:rsid w:val="008240E2"/>
    <w:rsid w:val="008242EE"/>
    <w:rsid w:val="00824761"/>
    <w:rsid w:val="00825AD1"/>
    <w:rsid w:val="008267D0"/>
    <w:rsid w:val="00827309"/>
    <w:rsid w:val="00830A00"/>
    <w:rsid w:val="00830EC6"/>
    <w:rsid w:val="00831A0D"/>
    <w:rsid w:val="00832D82"/>
    <w:rsid w:val="00832D8E"/>
    <w:rsid w:val="00833096"/>
    <w:rsid w:val="008337A2"/>
    <w:rsid w:val="008341D7"/>
    <w:rsid w:val="00834519"/>
    <w:rsid w:val="00834670"/>
    <w:rsid w:val="00834AD7"/>
    <w:rsid w:val="00834E4C"/>
    <w:rsid w:val="00836C4D"/>
    <w:rsid w:val="0083700D"/>
    <w:rsid w:val="00837145"/>
    <w:rsid w:val="00837C29"/>
    <w:rsid w:val="00840D20"/>
    <w:rsid w:val="00841006"/>
    <w:rsid w:val="008413AF"/>
    <w:rsid w:val="00842013"/>
    <w:rsid w:val="0084218E"/>
    <w:rsid w:val="00842909"/>
    <w:rsid w:val="00842BC5"/>
    <w:rsid w:val="00845222"/>
    <w:rsid w:val="00845282"/>
    <w:rsid w:val="00845C8E"/>
    <w:rsid w:val="00845D82"/>
    <w:rsid w:val="00845DAA"/>
    <w:rsid w:val="00845DD1"/>
    <w:rsid w:val="00846130"/>
    <w:rsid w:val="0084640C"/>
    <w:rsid w:val="008470BA"/>
    <w:rsid w:val="0084724E"/>
    <w:rsid w:val="00847566"/>
    <w:rsid w:val="00850547"/>
    <w:rsid w:val="00850689"/>
    <w:rsid w:val="008508D4"/>
    <w:rsid w:val="00850B76"/>
    <w:rsid w:val="00850CA4"/>
    <w:rsid w:val="00850D3A"/>
    <w:rsid w:val="00850FC2"/>
    <w:rsid w:val="008513A0"/>
    <w:rsid w:val="00851864"/>
    <w:rsid w:val="00851D94"/>
    <w:rsid w:val="00852102"/>
    <w:rsid w:val="0085212D"/>
    <w:rsid w:val="008521AE"/>
    <w:rsid w:val="008524AF"/>
    <w:rsid w:val="00852519"/>
    <w:rsid w:val="0085287A"/>
    <w:rsid w:val="0085292E"/>
    <w:rsid w:val="008529CC"/>
    <w:rsid w:val="00852FC9"/>
    <w:rsid w:val="0085340A"/>
    <w:rsid w:val="00854451"/>
    <w:rsid w:val="00854471"/>
    <w:rsid w:val="008546F9"/>
    <w:rsid w:val="008549CF"/>
    <w:rsid w:val="00854B84"/>
    <w:rsid w:val="00854BD4"/>
    <w:rsid w:val="008551E2"/>
    <w:rsid w:val="00855AFF"/>
    <w:rsid w:val="00855E37"/>
    <w:rsid w:val="008560FD"/>
    <w:rsid w:val="00856551"/>
    <w:rsid w:val="00856617"/>
    <w:rsid w:val="0085678A"/>
    <w:rsid w:val="00856B7C"/>
    <w:rsid w:val="00856CA1"/>
    <w:rsid w:val="00856FC8"/>
    <w:rsid w:val="008574D6"/>
    <w:rsid w:val="00857602"/>
    <w:rsid w:val="008576B5"/>
    <w:rsid w:val="00857E7A"/>
    <w:rsid w:val="00860560"/>
    <w:rsid w:val="008606DC"/>
    <w:rsid w:val="00860885"/>
    <w:rsid w:val="00860992"/>
    <w:rsid w:val="0086178E"/>
    <w:rsid w:val="00862096"/>
    <w:rsid w:val="00862147"/>
    <w:rsid w:val="0086214F"/>
    <w:rsid w:val="00862441"/>
    <w:rsid w:val="0086279E"/>
    <w:rsid w:val="00864155"/>
    <w:rsid w:val="008646F3"/>
    <w:rsid w:val="00864BF7"/>
    <w:rsid w:val="00865341"/>
    <w:rsid w:val="0086573F"/>
    <w:rsid w:val="00865A28"/>
    <w:rsid w:val="00866622"/>
    <w:rsid w:val="00867418"/>
    <w:rsid w:val="00867B5D"/>
    <w:rsid w:val="00867F31"/>
    <w:rsid w:val="00870141"/>
    <w:rsid w:val="00870221"/>
    <w:rsid w:val="008707B7"/>
    <w:rsid w:val="008709DD"/>
    <w:rsid w:val="0087163B"/>
    <w:rsid w:val="0087170D"/>
    <w:rsid w:val="008717EB"/>
    <w:rsid w:val="008718D4"/>
    <w:rsid w:val="0087219C"/>
    <w:rsid w:val="00872A12"/>
    <w:rsid w:val="00873216"/>
    <w:rsid w:val="008735F4"/>
    <w:rsid w:val="008737C2"/>
    <w:rsid w:val="00873E19"/>
    <w:rsid w:val="00874144"/>
    <w:rsid w:val="0087455D"/>
    <w:rsid w:val="00874B3D"/>
    <w:rsid w:val="00874F49"/>
    <w:rsid w:val="0087521A"/>
    <w:rsid w:val="008752DB"/>
    <w:rsid w:val="0087598D"/>
    <w:rsid w:val="00876074"/>
    <w:rsid w:val="0087615E"/>
    <w:rsid w:val="008771C0"/>
    <w:rsid w:val="00877478"/>
    <w:rsid w:val="008774CF"/>
    <w:rsid w:val="008777A4"/>
    <w:rsid w:val="008778EA"/>
    <w:rsid w:val="00877B31"/>
    <w:rsid w:val="008801A1"/>
    <w:rsid w:val="0088052F"/>
    <w:rsid w:val="008807D4"/>
    <w:rsid w:val="00880C7E"/>
    <w:rsid w:val="00880D24"/>
    <w:rsid w:val="00881363"/>
    <w:rsid w:val="00881553"/>
    <w:rsid w:val="0088262D"/>
    <w:rsid w:val="00882BF5"/>
    <w:rsid w:val="008833E8"/>
    <w:rsid w:val="00883528"/>
    <w:rsid w:val="00883BD0"/>
    <w:rsid w:val="00883DC4"/>
    <w:rsid w:val="00883DF2"/>
    <w:rsid w:val="00884215"/>
    <w:rsid w:val="00884451"/>
    <w:rsid w:val="00884738"/>
    <w:rsid w:val="00884A16"/>
    <w:rsid w:val="00884ACE"/>
    <w:rsid w:val="0088529C"/>
    <w:rsid w:val="00885795"/>
    <w:rsid w:val="008857E5"/>
    <w:rsid w:val="00885DB9"/>
    <w:rsid w:val="00886182"/>
    <w:rsid w:val="008864D5"/>
    <w:rsid w:val="00886505"/>
    <w:rsid w:val="00886684"/>
    <w:rsid w:val="00886C78"/>
    <w:rsid w:val="00886D5C"/>
    <w:rsid w:val="00886EA3"/>
    <w:rsid w:val="00886EAF"/>
    <w:rsid w:val="00886F9C"/>
    <w:rsid w:val="00887499"/>
    <w:rsid w:val="00887539"/>
    <w:rsid w:val="0088762F"/>
    <w:rsid w:val="00887D51"/>
    <w:rsid w:val="00887E1E"/>
    <w:rsid w:val="008903AC"/>
    <w:rsid w:val="008907B5"/>
    <w:rsid w:val="00890CA6"/>
    <w:rsid w:val="00891060"/>
    <w:rsid w:val="00891116"/>
    <w:rsid w:val="0089111C"/>
    <w:rsid w:val="008911F6"/>
    <w:rsid w:val="0089150C"/>
    <w:rsid w:val="00891593"/>
    <w:rsid w:val="0089162E"/>
    <w:rsid w:val="00891E0E"/>
    <w:rsid w:val="00892113"/>
    <w:rsid w:val="00892272"/>
    <w:rsid w:val="008927FF"/>
    <w:rsid w:val="00892C51"/>
    <w:rsid w:val="00893021"/>
    <w:rsid w:val="00893AFA"/>
    <w:rsid w:val="00893F5D"/>
    <w:rsid w:val="008940D0"/>
    <w:rsid w:val="008945B4"/>
    <w:rsid w:val="00894E53"/>
    <w:rsid w:val="00895164"/>
    <w:rsid w:val="00895378"/>
    <w:rsid w:val="0089539F"/>
    <w:rsid w:val="00896136"/>
    <w:rsid w:val="00896490"/>
    <w:rsid w:val="008964DD"/>
    <w:rsid w:val="00896BC1"/>
    <w:rsid w:val="00896D9F"/>
    <w:rsid w:val="00897880"/>
    <w:rsid w:val="0089796C"/>
    <w:rsid w:val="008A00DD"/>
    <w:rsid w:val="008A02FE"/>
    <w:rsid w:val="008A05A6"/>
    <w:rsid w:val="008A07AB"/>
    <w:rsid w:val="008A12DE"/>
    <w:rsid w:val="008A199A"/>
    <w:rsid w:val="008A1B8F"/>
    <w:rsid w:val="008A1DAF"/>
    <w:rsid w:val="008A23A6"/>
    <w:rsid w:val="008A245C"/>
    <w:rsid w:val="008A3173"/>
    <w:rsid w:val="008A31C0"/>
    <w:rsid w:val="008A38F2"/>
    <w:rsid w:val="008A4837"/>
    <w:rsid w:val="008A4F8E"/>
    <w:rsid w:val="008A501D"/>
    <w:rsid w:val="008A52CD"/>
    <w:rsid w:val="008A5362"/>
    <w:rsid w:val="008A5F66"/>
    <w:rsid w:val="008A630C"/>
    <w:rsid w:val="008A649B"/>
    <w:rsid w:val="008A64A0"/>
    <w:rsid w:val="008A68FF"/>
    <w:rsid w:val="008A7201"/>
    <w:rsid w:val="008A7609"/>
    <w:rsid w:val="008A7E4E"/>
    <w:rsid w:val="008A7F19"/>
    <w:rsid w:val="008A7F2A"/>
    <w:rsid w:val="008B0142"/>
    <w:rsid w:val="008B036F"/>
    <w:rsid w:val="008B0513"/>
    <w:rsid w:val="008B05A9"/>
    <w:rsid w:val="008B05B8"/>
    <w:rsid w:val="008B082D"/>
    <w:rsid w:val="008B0C7D"/>
    <w:rsid w:val="008B0E41"/>
    <w:rsid w:val="008B141D"/>
    <w:rsid w:val="008B19DD"/>
    <w:rsid w:val="008B1B73"/>
    <w:rsid w:val="008B266D"/>
    <w:rsid w:val="008B2ABD"/>
    <w:rsid w:val="008B2BCB"/>
    <w:rsid w:val="008B2D10"/>
    <w:rsid w:val="008B308C"/>
    <w:rsid w:val="008B4083"/>
    <w:rsid w:val="008B4817"/>
    <w:rsid w:val="008B501C"/>
    <w:rsid w:val="008B5649"/>
    <w:rsid w:val="008B5705"/>
    <w:rsid w:val="008B5968"/>
    <w:rsid w:val="008B5D53"/>
    <w:rsid w:val="008B5F7B"/>
    <w:rsid w:val="008B63E2"/>
    <w:rsid w:val="008B6969"/>
    <w:rsid w:val="008B6CBE"/>
    <w:rsid w:val="008B6D29"/>
    <w:rsid w:val="008B6D54"/>
    <w:rsid w:val="008B7657"/>
    <w:rsid w:val="008B7B1D"/>
    <w:rsid w:val="008C0151"/>
    <w:rsid w:val="008C06B6"/>
    <w:rsid w:val="008C074B"/>
    <w:rsid w:val="008C07CD"/>
    <w:rsid w:val="008C099F"/>
    <w:rsid w:val="008C1361"/>
    <w:rsid w:val="008C18DB"/>
    <w:rsid w:val="008C1B0F"/>
    <w:rsid w:val="008C1FA9"/>
    <w:rsid w:val="008C27AE"/>
    <w:rsid w:val="008C2D0E"/>
    <w:rsid w:val="008C3119"/>
    <w:rsid w:val="008C41A2"/>
    <w:rsid w:val="008C44A1"/>
    <w:rsid w:val="008C49F4"/>
    <w:rsid w:val="008C4B05"/>
    <w:rsid w:val="008C4B31"/>
    <w:rsid w:val="008C52E1"/>
    <w:rsid w:val="008C55FF"/>
    <w:rsid w:val="008C5F92"/>
    <w:rsid w:val="008C6231"/>
    <w:rsid w:val="008C681D"/>
    <w:rsid w:val="008C7542"/>
    <w:rsid w:val="008C7871"/>
    <w:rsid w:val="008C7C8F"/>
    <w:rsid w:val="008C7E0F"/>
    <w:rsid w:val="008D09F9"/>
    <w:rsid w:val="008D0D8C"/>
    <w:rsid w:val="008D18C3"/>
    <w:rsid w:val="008D1E7D"/>
    <w:rsid w:val="008D22D9"/>
    <w:rsid w:val="008D32F3"/>
    <w:rsid w:val="008D3A22"/>
    <w:rsid w:val="008D3A43"/>
    <w:rsid w:val="008D3AF1"/>
    <w:rsid w:val="008D3D19"/>
    <w:rsid w:val="008D3EE8"/>
    <w:rsid w:val="008D4478"/>
    <w:rsid w:val="008D44E6"/>
    <w:rsid w:val="008D471C"/>
    <w:rsid w:val="008D5057"/>
    <w:rsid w:val="008D5088"/>
    <w:rsid w:val="008D5288"/>
    <w:rsid w:val="008D5390"/>
    <w:rsid w:val="008D58FC"/>
    <w:rsid w:val="008D5DC0"/>
    <w:rsid w:val="008D5EC9"/>
    <w:rsid w:val="008D6032"/>
    <w:rsid w:val="008D605D"/>
    <w:rsid w:val="008D68FA"/>
    <w:rsid w:val="008D6C21"/>
    <w:rsid w:val="008D7EB2"/>
    <w:rsid w:val="008E0347"/>
    <w:rsid w:val="008E042F"/>
    <w:rsid w:val="008E1A70"/>
    <w:rsid w:val="008E1ABA"/>
    <w:rsid w:val="008E1EF5"/>
    <w:rsid w:val="008E2063"/>
    <w:rsid w:val="008E27D2"/>
    <w:rsid w:val="008E27E0"/>
    <w:rsid w:val="008E27ED"/>
    <w:rsid w:val="008E2A81"/>
    <w:rsid w:val="008E3428"/>
    <w:rsid w:val="008E3525"/>
    <w:rsid w:val="008E3E35"/>
    <w:rsid w:val="008E3FA6"/>
    <w:rsid w:val="008E53EE"/>
    <w:rsid w:val="008E5B1A"/>
    <w:rsid w:val="008E6198"/>
    <w:rsid w:val="008E65F5"/>
    <w:rsid w:val="008E706E"/>
    <w:rsid w:val="008E7643"/>
    <w:rsid w:val="008F05D9"/>
    <w:rsid w:val="008F0849"/>
    <w:rsid w:val="008F0F73"/>
    <w:rsid w:val="008F1018"/>
    <w:rsid w:val="008F145C"/>
    <w:rsid w:val="008F173E"/>
    <w:rsid w:val="008F1886"/>
    <w:rsid w:val="008F189E"/>
    <w:rsid w:val="008F1BC5"/>
    <w:rsid w:val="008F2526"/>
    <w:rsid w:val="008F2E40"/>
    <w:rsid w:val="008F2EEB"/>
    <w:rsid w:val="008F36D6"/>
    <w:rsid w:val="008F36E2"/>
    <w:rsid w:val="008F3EA3"/>
    <w:rsid w:val="008F4463"/>
    <w:rsid w:val="008F46D1"/>
    <w:rsid w:val="008F4D3D"/>
    <w:rsid w:val="008F514A"/>
    <w:rsid w:val="008F597B"/>
    <w:rsid w:val="008F63BC"/>
    <w:rsid w:val="008F6DC9"/>
    <w:rsid w:val="008F70F1"/>
    <w:rsid w:val="008F720C"/>
    <w:rsid w:val="008F7C5E"/>
    <w:rsid w:val="008F7D66"/>
    <w:rsid w:val="008F7FA3"/>
    <w:rsid w:val="0090015B"/>
    <w:rsid w:val="009002D5"/>
    <w:rsid w:val="00900365"/>
    <w:rsid w:val="009003B4"/>
    <w:rsid w:val="009003EB"/>
    <w:rsid w:val="00900606"/>
    <w:rsid w:val="009008F8"/>
    <w:rsid w:val="00901206"/>
    <w:rsid w:val="00901275"/>
    <w:rsid w:val="009020ED"/>
    <w:rsid w:val="00903150"/>
    <w:rsid w:val="009032E5"/>
    <w:rsid w:val="00903462"/>
    <w:rsid w:val="009036BE"/>
    <w:rsid w:val="0090453C"/>
    <w:rsid w:val="00904B9D"/>
    <w:rsid w:val="009051E5"/>
    <w:rsid w:val="00905374"/>
    <w:rsid w:val="00905552"/>
    <w:rsid w:val="00905582"/>
    <w:rsid w:val="0090572E"/>
    <w:rsid w:val="0090585F"/>
    <w:rsid w:val="00905B4E"/>
    <w:rsid w:val="00905C20"/>
    <w:rsid w:val="00905F81"/>
    <w:rsid w:val="00907085"/>
    <w:rsid w:val="00907355"/>
    <w:rsid w:val="0090742D"/>
    <w:rsid w:val="00907478"/>
    <w:rsid w:val="009076BE"/>
    <w:rsid w:val="00907B29"/>
    <w:rsid w:val="00907D62"/>
    <w:rsid w:val="00910028"/>
    <w:rsid w:val="009103C9"/>
    <w:rsid w:val="009109C4"/>
    <w:rsid w:val="00910F51"/>
    <w:rsid w:val="009112A7"/>
    <w:rsid w:val="00911824"/>
    <w:rsid w:val="0091191D"/>
    <w:rsid w:val="00911E99"/>
    <w:rsid w:val="00911F2B"/>
    <w:rsid w:val="0091296F"/>
    <w:rsid w:val="00913AA5"/>
    <w:rsid w:val="00913DA7"/>
    <w:rsid w:val="00914968"/>
    <w:rsid w:val="00914F65"/>
    <w:rsid w:val="009150D7"/>
    <w:rsid w:val="009157EB"/>
    <w:rsid w:val="00915975"/>
    <w:rsid w:val="009160F8"/>
    <w:rsid w:val="0091614A"/>
    <w:rsid w:val="00917465"/>
    <w:rsid w:val="00917567"/>
    <w:rsid w:val="009178E9"/>
    <w:rsid w:val="00917BD4"/>
    <w:rsid w:val="00917C92"/>
    <w:rsid w:val="00917D76"/>
    <w:rsid w:val="0092001D"/>
    <w:rsid w:val="00920774"/>
    <w:rsid w:val="00920B34"/>
    <w:rsid w:val="00921787"/>
    <w:rsid w:val="00921F36"/>
    <w:rsid w:val="009224E5"/>
    <w:rsid w:val="00922A39"/>
    <w:rsid w:val="00922C39"/>
    <w:rsid w:val="00922C74"/>
    <w:rsid w:val="00923B7E"/>
    <w:rsid w:val="0092443E"/>
    <w:rsid w:val="009247DA"/>
    <w:rsid w:val="009249C8"/>
    <w:rsid w:val="00924D0E"/>
    <w:rsid w:val="00925941"/>
    <w:rsid w:val="00926924"/>
    <w:rsid w:val="00927D3D"/>
    <w:rsid w:val="0093023A"/>
    <w:rsid w:val="00930503"/>
    <w:rsid w:val="0093191F"/>
    <w:rsid w:val="00932432"/>
    <w:rsid w:val="00932DD0"/>
    <w:rsid w:val="00933408"/>
    <w:rsid w:val="00934119"/>
    <w:rsid w:val="00934F1A"/>
    <w:rsid w:val="00934FAE"/>
    <w:rsid w:val="00935394"/>
    <w:rsid w:val="009354E6"/>
    <w:rsid w:val="0093558F"/>
    <w:rsid w:val="0093573E"/>
    <w:rsid w:val="009369FE"/>
    <w:rsid w:val="00936D2A"/>
    <w:rsid w:val="00936E0B"/>
    <w:rsid w:val="00936F15"/>
    <w:rsid w:val="009375F8"/>
    <w:rsid w:val="0093760A"/>
    <w:rsid w:val="00937FA5"/>
    <w:rsid w:val="00940006"/>
    <w:rsid w:val="00940013"/>
    <w:rsid w:val="00940135"/>
    <w:rsid w:val="009403E4"/>
    <w:rsid w:val="00940AC2"/>
    <w:rsid w:val="00941381"/>
    <w:rsid w:val="009413E0"/>
    <w:rsid w:val="00941BD6"/>
    <w:rsid w:val="00942330"/>
    <w:rsid w:val="00942CBB"/>
    <w:rsid w:val="00942FCB"/>
    <w:rsid w:val="00943157"/>
    <w:rsid w:val="00943159"/>
    <w:rsid w:val="0094387B"/>
    <w:rsid w:val="00943AFC"/>
    <w:rsid w:val="009440FD"/>
    <w:rsid w:val="00944118"/>
    <w:rsid w:val="009446F3"/>
    <w:rsid w:val="009449F8"/>
    <w:rsid w:val="00944AE4"/>
    <w:rsid w:val="00944BA1"/>
    <w:rsid w:val="00944C33"/>
    <w:rsid w:val="00944D00"/>
    <w:rsid w:val="00945061"/>
    <w:rsid w:val="009451EA"/>
    <w:rsid w:val="00945883"/>
    <w:rsid w:val="009459B8"/>
    <w:rsid w:val="0094618A"/>
    <w:rsid w:val="009469BE"/>
    <w:rsid w:val="00946A99"/>
    <w:rsid w:val="00946C2F"/>
    <w:rsid w:val="00946DE6"/>
    <w:rsid w:val="0094736D"/>
    <w:rsid w:val="00947602"/>
    <w:rsid w:val="00947A51"/>
    <w:rsid w:val="00951343"/>
    <w:rsid w:val="00951837"/>
    <w:rsid w:val="0095227E"/>
    <w:rsid w:val="00952B6D"/>
    <w:rsid w:val="009534C5"/>
    <w:rsid w:val="00953769"/>
    <w:rsid w:val="00953CBC"/>
    <w:rsid w:val="00954666"/>
    <w:rsid w:val="00954B46"/>
    <w:rsid w:val="00954D74"/>
    <w:rsid w:val="00954D9C"/>
    <w:rsid w:val="00954F02"/>
    <w:rsid w:val="009558C7"/>
    <w:rsid w:val="00955923"/>
    <w:rsid w:val="00956253"/>
    <w:rsid w:val="009562F7"/>
    <w:rsid w:val="00956399"/>
    <w:rsid w:val="009563FA"/>
    <w:rsid w:val="009565CF"/>
    <w:rsid w:val="009567F2"/>
    <w:rsid w:val="00956952"/>
    <w:rsid w:val="00957979"/>
    <w:rsid w:val="00957F90"/>
    <w:rsid w:val="00960900"/>
    <w:rsid w:val="0096094A"/>
    <w:rsid w:val="0096129F"/>
    <w:rsid w:val="009615A7"/>
    <w:rsid w:val="0096162D"/>
    <w:rsid w:val="00961A88"/>
    <w:rsid w:val="009622AA"/>
    <w:rsid w:val="00962602"/>
    <w:rsid w:val="00962BA9"/>
    <w:rsid w:val="00962BF4"/>
    <w:rsid w:val="00962ECA"/>
    <w:rsid w:val="00962F8D"/>
    <w:rsid w:val="00963107"/>
    <w:rsid w:val="0096332D"/>
    <w:rsid w:val="00963A3B"/>
    <w:rsid w:val="00963FEE"/>
    <w:rsid w:val="00965537"/>
    <w:rsid w:val="0096563E"/>
    <w:rsid w:val="0096629B"/>
    <w:rsid w:val="00966B42"/>
    <w:rsid w:val="00966CFD"/>
    <w:rsid w:val="00966D09"/>
    <w:rsid w:val="00966FDD"/>
    <w:rsid w:val="009676B3"/>
    <w:rsid w:val="009677E9"/>
    <w:rsid w:val="00967A4F"/>
    <w:rsid w:val="0097025D"/>
    <w:rsid w:val="0097069F"/>
    <w:rsid w:val="00971199"/>
    <w:rsid w:val="00971373"/>
    <w:rsid w:val="009714EE"/>
    <w:rsid w:val="00971D23"/>
    <w:rsid w:val="00972736"/>
    <w:rsid w:val="00972C54"/>
    <w:rsid w:val="00972CF8"/>
    <w:rsid w:val="0097316A"/>
    <w:rsid w:val="009733FD"/>
    <w:rsid w:val="009734F4"/>
    <w:rsid w:val="00973892"/>
    <w:rsid w:val="00973B78"/>
    <w:rsid w:val="009740E3"/>
    <w:rsid w:val="009749AC"/>
    <w:rsid w:val="009759D7"/>
    <w:rsid w:val="00975F60"/>
    <w:rsid w:val="0097632D"/>
    <w:rsid w:val="009767C5"/>
    <w:rsid w:val="00976F7D"/>
    <w:rsid w:val="00977C9A"/>
    <w:rsid w:val="00977E0E"/>
    <w:rsid w:val="00980C97"/>
    <w:rsid w:val="00981980"/>
    <w:rsid w:val="009822B3"/>
    <w:rsid w:val="00982BBF"/>
    <w:rsid w:val="00982C38"/>
    <w:rsid w:val="0098318B"/>
    <w:rsid w:val="00983E42"/>
    <w:rsid w:val="009844A7"/>
    <w:rsid w:val="0098464D"/>
    <w:rsid w:val="00984753"/>
    <w:rsid w:val="00985ED3"/>
    <w:rsid w:val="00986051"/>
    <w:rsid w:val="00986432"/>
    <w:rsid w:val="00987303"/>
    <w:rsid w:val="009878CC"/>
    <w:rsid w:val="009879E1"/>
    <w:rsid w:val="00987B1B"/>
    <w:rsid w:val="00987B31"/>
    <w:rsid w:val="00987BA5"/>
    <w:rsid w:val="0099070C"/>
    <w:rsid w:val="00990720"/>
    <w:rsid w:val="009908E1"/>
    <w:rsid w:val="009908E3"/>
    <w:rsid w:val="009909D3"/>
    <w:rsid w:val="00990C22"/>
    <w:rsid w:val="00990CD2"/>
    <w:rsid w:val="0099110D"/>
    <w:rsid w:val="00991C04"/>
    <w:rsid w:val="00991D9C"/>
    <w:rsid w:val="009920EB"/>
    <w:rsid w:val="00992260"/>
    <w:rsid w:val="0099238C"/>
    <w:rsid w:val="0099258F"/>
    <w:rsid w:val="00992BD4"/>
    <w:rsid w:val="00992CFB"/>
    <w:rsid w:val="009934DF"/>
    <w:rsid w:val="00993E8A"/>
    <w:rsid w:val="009941C1"/>
    <w:rsid w:val="009941EE"/>
    <w:rsid w:val="00994375"/>
    <w:rsid w:val="00994849"/>
    <w:rsid w:val="00994C2D"/>
    <w:rsid w:val="0099615C"/>
    <w:rsid w:val="00996431"/>
    <w:rsid w:val="00997077"/>
    <w:rsid w:val="00997169"/>
    <w:rsid w:val="009975A6"/>
    <w:rsid w:val="00997966"/>
    <w:rsid w:val="00997AE2"/>
    <w:rsid w:val="00997C7F"/>
    <w:rsid w:val="00997E49"/>
    <w:rsid w:val="00997EA4"/>
    <w:rsid w:val="009A0936"/>
    <w:rsid w:val="009A0C9B"/>
    <w:rsid w:val="009A126C"/>
    <w:rsid w:val="009A12B9"/>
    <w:rsid w:val="009A164D"/>
    <w:rsid w:val="009A17A2"/>
    <w:rsid w:val="009A183C"/>
    <w:rsid w:val="009A185B"/>
    <w:rsid w:val="009A190C"/>
    <w:rsid w:val="009A1AAE"/>
    <w:rsid w:val="009A23C6"/>
    <w:rsid w:val="009A23DA"/>
    <w:rsid w:val="009A2A9C"/>
    <w:rsid w:val="009A2CFD"/>
    <w:rsid w:val="009A2E16"/>
    <w:rsid w:val="009A2FCA"/>
    <w:rsid w:val="009A301C"/>
    <w:rsid w:val="009A363F"/>
    <w:rsid w:val="009A490B"/>
    <w:rsid w:val="009A50EC"/>
    <w:rsid w:val="009A657C"/>
    <w:rsid w:val="009A6658"/>
    <w:rsid w:val="009A6D1F"/>
    <w:rsid w:val="009A6F85"/>
    <w:rsid w:val="009A7713"/>
    <w:rsid w:val="009B006F"/>
    <w:rsid w:val="009B01DF"/>
    <w:rsid w:val="009B02B8"/>
    <w:rsid w:val="009B0D76"/>
    <w:rsid w:val="009B11DE"/>
    <w:rsid w:val="009B1484"/>
    <w:rsid w:val="009B1F0C"/>
    <w:rsid w:val="009B1FB6"/>
    <w:rsid w:val="009B2BDA"/>
    <w:rsid w:val="009B2E22"/>
    <w:rsid w:val="009B3053"/>
    <w:rsid w:val="009B3994"/>
    <w:rsid w:val="009B44FC"/>
    <w:rsid w:val="009B4804"/>
    <w:rsid w:val="009B4C4D"/>
    <w:rsid w:val="009B500C"/>
    <w:rsid w:val="009B5118"/>
    <w:rsid w:val="009B5F86"/>
    <w:rsid w:val="009B7D1D"/>
    <w:rsid w:val="009B7F0A"/>
    <w:rsid w:val="009C0D3A"/>
    <w:rsid w:val="009C1520"/>
    <w:rsid w:val="009C1583"/>
    <w:rsid w:val="009C15DE"/>
    <w:rsid w:val="009C1BE0"/>
    <w:rsid w:val="009C2862"/>
    <w:rsid w:val="009C2C62"/>
    <w:rsid w:val="009C2CE3"/>
    <w:rsid w:val="009C2D8F"/>
    <w:rsid w:val="009C2E8B"/>
    <w:rsid w:val="009C409C"/>
    <w:rsid w:val="009C462A"/>
    <w:rsid w:val="009C4C52"/>
    <w:rsid w:val="009C5CA4"/>
    <w:rsid w:val="009C5E82"/>
    <w:rsid w:val="009C5FD6"/>
    <w:rsid w:val="009C6EB1"/>
    <w:rsid w:val="009C7009"/>
    <w:rsid w:val="009C7349"/>
    <w:rsid w:val="009C773F"/>
    <w:rsid w:val="009D0201"/>
    <w:rsid w:val="009D0719"/>
    <w:rsid w:val="009D09FB"/>
    <w:rsid w:val="009D0A9A"/>
    <w:rsid w:val="009D0AA5"/>
    <w:rsid w:val="009D0BF1"/>
    <w:rsid w:val="009D0F5F"/>
    <w:rsid w:val="009D1818"/>
    <w:rsid w:val="009D1B9E"/>
    <w:rsid w:val="009D203A"/>
    <w:rsid w:val="009D2AC6"/>
    <w:rsid w:val="009D3029"/>
    <w:rsid w:val="009D30A4"/>
    <w:rsid w:val="009D33CC"/>
    <w:rsid w:val="009D3738"/>
    <w:rsid w:val="009D383F"/>
    <w:rsid w:val="009D3A82"/>
    <w:rsid w:val="009D4A4F"/>
    <w:rsid w:val="009D4BDD"/>
    <w:rsid w:val="009D512A"/>
    <w:rsid w:val="009D514B"/>
    <w:rsid w:val="009D55E2"/>
    <w:rsid w:val="009D579E"/>
    <w:rsid w:val="009D6275"/>
    <w:rsid w:val="009D793E"/>
    <w:rsid w:val="009D7F18"/>
    <w:rsid w:val="009E030D"/>
    <w:rsid w:val="009E07B3"/>
    <w:rsid w:val="009E086E"/>
    <w:rsid w:val="009E0973"/>
    <w:rsid w:val="009E0CEF"/>
    <w:rsid w:val="009E12B3"/>
    <w:rsid w:val="009E19D2"/>
    <w:rsid w:val="009E1AEF"/>
    <w:rsid w:val="009E1B50"/>
    <w:rsid w:val="009E2AA9"/>
    <w:rsid w:val="009E3260"/>
    <w:rsid w:val="009E3A92"/>
    <w:rsid w:val="009E3E9E"/>
    <w:rsid w:val="009E42C5"/>
    <w:rsid w:val="009E4523"/>
    <w:rsid w:val="009E4C17"/>
    <w:rsid w:val="009E4CFB"/>
    <w:rsid w:val="009E57AF"/>
    <w:rsid w:val="009E58F9"/>
    <w:rsid w:val="009E6CAB"/>
    <w:rsid w:val="009E6CBD"/>
    <w:rsid w:val="009E76DA"/>
    <w:rsid w:val="009F021D"/>
    <w:rsid w:val="009F0265"/>
    <w:rsid w:val="009F0D9C"/>
    <w:rsid w:val="009F0F70"/>
    <w:rsid w:val="009F12FE"/>
    <w:rsid w:val="009F1C03"/>
    <w:rsid w:val="009F1C54"/>
    <w:rsid w:val="009F20C3"/>
    <w:rsid w:val="009F2481"/>
    <w:rsid w:val="009F271C"/>
    <w:rsid w:val="009F28A8"/>
    <w:rsid w:val="009F4B60"/>
    <w:rsid w:val="009F4BCC"/>
    <w:rsid w:val="009F4C87"/>
    <w:rsid w:val="009F515D"/>
    <w:rsid w:val="009F629C"/>
    <w:rsid w:val="009F63D7"/>
    <w:rsid w:val="009F7777"/>
    <w:rsid w:val="00A00B4F"/>
    <w:rsid w:val="00A011C6"/>
    <w:rsid w:val="00A01259"/>
    <w:rsid w:val="00A0126E"/>
    <w:rsid w:val="00A0208D"/>
    <w:rsid w:val="00A0216B"/>
    <w:rsid w:val="00A024F0"/>
    <w:rsid w:val="00A025A0"/>
    <w:rsid w:val="00A025A4"/>
    <w:rsid w:val="00A028D0"/>
    <w:rsid w:val="00A029F1"/>
    <w:rsid w:val="00A02E34"/>
    <w:rsid w:val="00A037EA"/>
    <w:rsid w:val="00A03850"/>
    <w:rsid w:val="00A03994"/>
    <w:rsid w:val="00A04583"/>
    <w:rsid w:val="00A04B4A"/>
    <w:rsid w:val="00A04F68"/>
    <w:rsid w:val="00A04F78"/>
    <w:rsid w:val="00A0607A"/>
    <w:rsid w:val="00A0649B"/>
    <w:rsid w:val="00A06544"/>
    <w:rsid w:val="00A06968"/>
    <w:rsid w:val="00A06BBA"/>
    <w:rsid w:val="00A07547"/>
    <w:rsid w:val="00A07EF0"/>
    <w:rsid w:val="00A10070"/>
    <w:rsid w:val="00A10367"/>
    <w:rsid w:val="00A10A67"/>
    <w:rsid w:val="00A10DAA"/>
    <w:rsid w:val="00A11825"/>
    <w:rsid w:val="00A11C20"/>
    <w:rsid w:val="00A12778"/>
    <w:rsid w:val="00A13055"/>
    <w:rsid w:val="00A13087"/>
    <w:rsid w:val="00A130E8"/>
    <w:rsid w:val="00A13133"/>
    <w:rsid w:val="00A13296"/>
    <w:rsid w:val="00A13EA7"/>
    <w:rsid w:val="00A14285"/>
    <w:rsid w:val="00A14936"/>
    <w:rsid w:val="00A14B17"/>
    <w:rsid w:val="00A150FB"/>
    <w:rsid w:val="00A154ED"/>
    <w:rsid w:val="00A16503"/>
    <w:rsid w:val="00A16ED6"/>
    <w:rsid w:val="00A16F76"/>
    <w:rsid w:val="00A17F15"/>
    <w:rsid w:val="00A21312"/>
    <w:rsid w:val="00A21E66"/>
    <w:rsid w:val="00A2255F"/>
    <w:rsid w:val="00A228EF"/>
    <w:rsid w:val="00A229DB"/>
    <w:rsid w:val="00A23989"/>
    <w:rsid w:val="00A239F1"/>
    <w:rsid w:val="00A23C89"/>
    <w:rsid w:val="00A23E8A"/>
    <w:rsid w:val="00A24184"/>
    <w:rsid w:val="00A24541"/>
    <w:rsid w:val="00A24817"/>
    <w:rsid w:val="00A24834"/>
    <w:rsid w:val="00A24A59"/>
    <w:rsid w:val="00A24E56"/>
    <w:rsid w:val="00A25A65"/>
    <w:rsid w:val="00A26F73"/>
    <w:rsid w:val="00A276C9"/>
    <w:rsid w:val="00A277D3"/>
    <w:rsid w:val="00A27A27"/>
    <w:rsid w:val="00A27B28"/>
    <w:rsid w:val="00A27E55"/>
    <w:rsid w:val="00A27F27"/>
    <w:rsid w:val="00A302E2"/>
    <w:rsid w:val="00A316AF"/>
    <w:rsid w:val="00A316EE"/>
    <w:rsid w:val="00A31AEF"/>
    <w:rsid w:val="00A31BD3"/>
    <w:rsid w:val="00A32ABE"/>
    <w:rsid w:val="00A330B2"/>
    <w:rsid w:val="00A3314C"/>
    <w:rsid w:val="00A332EE"/>
    <w:rsid w:val="00A34839"/>
    <w:rsid w:val="00A35090"/>
    <w:rsid w:val="00A350D5"/>
    <w:rsid w:val="00A354A1"/>
    <w:rsid w:val="00A3550D"/>
    <w:rsid w:val="00A35880"/>
    <w:rsid w:val="00A35AA5"/>
    <w:rsid w:val="00A35B12"/>
    <w:rsid w:val="00A36287"/>
    <w:rsid w:val="00A362A1"/>
    <w:rsid w:val="00A367C7"/>
    <w:rsid w:val="00A36809"/>
    <w:rsid w:val="00A369BA"/>
    <w:rsid w:val="00A36A12"/>
    <w:rsid w:val="00A36A5C"/>
    <w:rsid w:val="00A36B14"/>
    <w:rsid w:val="00A374A1"/>
    <w:rsid w:val="00A37507"/>
    <w:rsid w:val="00A37A37"/>
    <w:rsid w:val="00A37EEC"/>
    <w:rsid w:val="00A40169"/>
    <w:rsid w:val="00A40626"/>
    <w:rsid w:val="00A40995"/>
    <w:rsid w:val="00A40AA5"/>
    <w:rsid w:val="00A41567"/>
    <w:rsid w:val="00A418F0"/>
    <w:rsid w:val="00A421F3"/>
    <w:rsid w:val="00A4272C"/>
    <w:rsid w:val="00A430DC"/>
    <w:rsid w:val="00A432F7"/>
    <w:rsid w:val="00A43AF6"/>
    <w:rsid w:val="00A4429B"/>
    <w:rsid w:val="00A4546A"/>
    <w:rsid w:val="00A457C9"/>
    <w:rsid w:val="00A457F3"/>
    <w:rsid w:val="00A459AC"/>
    <w:rsid w:val="00A46A7B"/>
    <w:rsid w:val="00A46DB1"/>
    <w:rsid w:val="00A46F46"/>
    <w:rsid w:val="00A477A8"/>
    <w:rsid w:val="00A50190"/>
    <w:rsid w:val="00A5028D"/>
    <w:rsid w:val="00A51661"/>
    <w:rsid w:val="00A51EA1"/>
    <w:rsid w:val="00A52183"/>
    <w:rsid w:val="00A53D81"/>
    <w:rsid w:val="00A5437C"/>
    <w:rsid w:val="00A54F88"/>
    <w:rsid w:val="00A55059"/>
    <w:rsid w:val="00A551D7"/>
    <w:rsid w:val="00A557D1"/>
    <w:rsid w:val="00A55DAD"/>
    <w:rsid w:val="00A56A16"/>
    <w:rsid w:val="00A56BE2"/>
    <w:rsid w:val="00A570AA"/>
    <w:rsid w:val="00A57632"/>
    <w:rsid w:val="00A5796F"/>
    <w:rsid w:val="00A60106"/>
    <w:rsid w:val="00A6024A"/>
    <w:rsid w:val="00A6037C"/>
    <w:rsid w:val="00A605AD"/>
    <w:rsid w:val="00A60703"/>
    <w:rsid w:val="00A6095F"/>
    <w:rsid w:val="00A61942"/>
    <w:rsid w:val="00A62E84"/>
    <w:rsid w:val="00A64125"/>
    <w:rsid w:val="00A64191"/>
    <w:rsid w:val="00A64310"/>
    <w:rsid w:val="00A64FC1"/>
    <w:rsid w:val="00A6508C"/>
    <w:rsid w:val="00A658F2"/>
    <w:rsid w:val="00A6597F"/>
    <w:rsid w:val="00A67A6B"/>
    <w:rsid w:val="00A67DDD"/>
    <w:rsid w:val="00A67DFE"/>
    <w:rsid w:val="00A705EB"/>
    <w:rsid w:val="00A70711"/>
    <w:rsid w:val="00A715D9"/>
    <w:rsid w:val="00A71AA2"/>
    <w:rsid w:val="00A71B2E"/>
    <w:rsid w:val="00A722E4"/>
    <w:rsid w:val="00A72CAB"/>
    <w:rsid w:val="00A72E71"/>
    <w:rsid w:val="00A731EF"/>
    <w:rsid w:val="00A73F0A"/>
    <w:rsid w:val="00A7400B"/>
    <w:rsid w:val="00A74600"/>
    <w:rsid w:val="00A748E4"/>
    <w:rsid w:val="00A74CC5"/>
    <w:rsid w:val="00A75E01"/>
    <w:rsid w:val="00A75E94"/>
    <w:rsid w:val="00A771A6"/>
    <w:rsid w:val="00A80037"/>
    <w:rsid w:val="00A8048F"/>
    <w:rsid w:val="00A80B01"/>
    <w:rsid w:val="00A80DEA"/>
    <w:rsid w:val="00A82049"/>
    <w:rsid w:val="00A821EC"/>
    <w:rsid w:val="00A82FB8"/>
    <w:rsid w:val="00A82FD9"/>
    <w:rsid w:val="00A836D8"/>
    <w:rsid w:val="00A83883"/>
    <w:rsid w:val="00A83B8A"/>
    <w:rsid w:val="00A84AC9"/>
    <w:rsid w:val="00A84BBE"/>
    <w:rsid w:val="00A84DC7"/>
    <w:rsid w:val="00A85366"/>
    <w:rsid w:val="00A859E4"/>
    <w:rsid w:val="00A86826"/>
    <w:rsid w:val="00A86A85"/>
    <w:rsid w:val="00A87698"/>
    <w:rsid w:val="00A876CC"/>
    <w:rsid w:val="00A9041F"/>
    <w:rsid w:val="00A9044E"/>
    <w:rsid w:val="00A912A2"/>
    <w:rsid w:val="00A91527"/>
    <w:rsid w:val="00A92426"/>
    <w:rsid w:val="00A92700"/>
    <w:rsid w:val="00A927D2"/>
    <w:rsid w:val="00A92B71"/>
    <w:rsid w:val="00A92FC9"/>
    <w:rsid w:val="00A93123"/>
    <w:rsid w:val="00A9364B"/>
    <w:rsid w:val="00A93901"/>
    <w:rsid w:val="00A93DC7"/>
    <w:rsid w:val="00A93E10"/>
    <w:rsid w:val="00A94058"/>
    <w:rsid w:val="00A949E5"/>
    <w:rsid w:val="00A94EAA"/>
    <w:rsid w:val="00A963D5"/>
    <w:rsid w:val="00A96DCF"/>
    <w:rsid w:val="00A96E85"/>
    <w:rsid w:val="00A9717B"/>
    <w:rsid w:val="00A972C2"/>
    <w:rsid w:val="00A97A03"/>
    <w:rsid w:val="00A97DE4"/>
    <w:rsid w:val="00AA0C68"/>
    <w:rsid w:val="00AA15BC"/>
    <w:rsid w:val="00AA1A9B"/>
    <w:rsid w:val="00AA1C5D"/>
    <w:rsid w:val="00AA1E19"/>
    <w:rsid w:val="00AA2D65"/>
    <w:rsid w:val="00AA2DDB"/>
    <w:rsid w:val="00AA32BA"/>
    <w:rsid w:val="00AA3A42"/>
    <w:rsid w:val="00AA41FD"/>
    <w:rsid w:val="00AA43E0"/>
    <w:rsid w:val="00AA4CA5"/>
    <w:rsid w:val="00AA4D52"/>
    <w:rsid w:val="00AA5283"/>
    <w:rsid w:val="00AA5F09"/>
    <w:rsid w:val="00AA6014"/>
    <w:rsid w:val="00AA6499"/>
    <w:rsid w:val="00AA64CE"/>
    <w:rsid w:val="00AA67DC"/>
    <w:rsid w:val="00AA721F"/>
    <w:rsid w:val="00AA7621"/>
    <w:rsid w:val="00AA78B3"/>
    <w:rsid w:val="00AA7CAE"/>
    <w:rsid w:val="00AB1833"/>
    <w:rsid w:val="00AB18CE"/>
    <w:rsid w:val="00AB1974"/>
    <w:rsid w:val="00AB1E1F"/>
    <w:rsid w:val="00AB2317"/>
    <w:rsid w:val="00AB28AD"/>
    <w:rsid w:val="00AB3198"/>
    <w:rsid w:val="00AB397E"/>
    <w:rsid w:val="00AB3E2D"/>
    <w:rsid w:val="00AB3EF5"/>
    <w:rsid w:val="00AB3F71"/>
    <w:rsid w:val="00AB4254"/>
    <w:rsid w:val="00AB4429"/>
    <w:rsid w:val="00AB45D3"/>
    <w:rsid w:val="00AB4807"/>
    <w:rsid w:val="00AB4AFF"/>
    <w:rsid w:val="00AB4FC4"/>
    <w:rsid w:val="00AB4FFE"/>
    <w:rsid w:val="00AB5545"/>
    <w:rsid w:val="00AB5D3C"/>
    <w:rsid w:val="00AB7D2F"/>
    <w:rsid w:val="00AB7F61"/>
    <w:rsid w:val="00AC0AFE"/>
    <w:rsid w:val="00AC0BF9"/>
    <w:rsid w:val="00AC107B"/>
    <w:rsid w:val="00AC11A0"/>
    <w:rsid w:val="00AC254C"/>
    <w:rsid w:val="00AC2783"/>
    <w:rsid w:val="00AC2DF3"/>
    <w:rsid w:val="00AC32DD"/>
    <w:rsid w:val="00AC3C8F"/>
    <w:rsid w:val="00AC3F89"/>
    <w:rsid w:val="00AC4614"/>
    <w:rsid w:val="00AC4880"/>
    <w:rsid w:val="00AC53AE"/>
    <w:rsid w:val="00AC6498"/>
    <w:rsid w:val="00AC66CF"/>
    <w:rsid w:val="00AC68FC"/>
    <w:rsid w:val="00AC7204"/>
    <w:rsid w:val="00AC746B"/>
    <w:rsid w:val="00AC76D1"/>
    <w:rsid w:val="00AC7772"/>
    <w:rsid w:val="00AD0C73"/>
    <w:rsid w:val="00AD16CD"/>
    <w:rsid w:val="00AD1FDC"/>
    <w:rsid w:val="00AD272F"/>
    <w:rsid w:val="00AD2B20"/>
    <w:rsid w:val="00AD2BFC"/>
    <w:rsid w:val="00AD2CFC"/>
    <w:rsid w:val="00AD2D58"/>
    <w:rsid w:val="00AD2F20"/>
    <w:rsid w:val="00AD3450"/>
    <w:rsid w:val="00AD372C"/>
    <w:rsid w:val="00AD45FD"/>
    <w:rsid w:val="00AD47C6"/>
    <w:rsid w:val="00AD544B"/>
    <w:rsid w:val="00AD5A45"/>
    <w:rsid w:val="00AD5FF2"/>
    <w:rsid w:val="00AD63DC"/>
    <w:rsid w:val="00AD71B3"/>
    <w:rsid w:val="00AD72B0"/>
    <w:rsid w:val="00AD7A9F"/>
    <w:rsid w:val="00AD7BE9"/>
    <w:rsid w:val="00AE01F9"/>
    <w:rsid w:val="00AE0A26"/>
    <w:rsid w:val="00AE0BDE"/>
    <w:rsid w:val="00AE0C40"/>
    <w:rsid w:val="00AE0D92"/>
    <w:rsid w:val="00AE0E2D"/>
    <w:rsid w:val="00AE0F3F"/>
    <w:rsid w:val="00AE1496"/>
    <w:rsid w:val="00AE19C6"/>
    <w:rsid w:val="00AE1D4E"/>
    <w:rsid w:val="00AE1FD3"/>
    <w:rsid w:val="00AE315C"/>
    <w:rsid w:val="00AE38D4"/>
    <w:rsid w:val="00AE3F95"/>
    <w:rsid w:val="00AE409F"/>
    <w:rsid w:val="00AE45B1"/>
    <w:rsid w:val="00AE4A02"/>
    <w:rsid w:val="00AE4A37"/>
    <w:rsid w:val="00AE519E"/>
    <w:rsid w:val="00AE5288"/>
    <w:rsid w:val="00AE5505"/>
    <w:rsid w:val="00AE5584"/>
    <w:rsid w:val="00AE55F4"/>
    <w:rsid w:val="00AE5C7A"/>
    <w:rsid w:val="00AE6D79"/>
    <w:rsid w:val="00AE724C"/>
    <w:rsid w:val="00AE76B1"/>
    <w:rsid w:val="00AE7BC3"/>
    <w:rsid w:val="00AF012D"/>
    <w:rsid w:val="00AF0164"/>
    <w:rsid w:val="00AF0568"/>
    <w:rsid w:val="00AF0E02"/>
    <w:rsid w:val="00AF0FF9"/>
    <w:rsid w:val="00AF100B"/>
    <w:rsid w:val="00AF1A2D"/>
    <w:rsid w:val="00AF1E2D"/>
    <w:rsid w:val="00AF206D"/>
    <w:rsid w:val="00AF23C5"/>
    <w:rsid w:val="00AF2C97"/>
    <w:rsid w:val="00AF2D0B"/>
    <w:rsid w:val="00AF346D"/>
    <w:rsid w:val="00AF367C"/>
    <w:rsid w:val="00AF37DF"/>
    <w:rsid w:val="00AF3932"/>
    <w:rsid w:val="00AF3BAF"/>
    <w:rsid w:val="00AF4563"/>
    <w:rsid w:val="00AF4686"/>
    <w:rsid w:val="00AF4BA7"/>
    <w:rsid w:val="00AF4D44"/>
    <w:rsid w:val="00AF516A"/>
    <w:rsid w:val="00AF5293"/>
    <w:rsid w:val="00AF52EF"/>
    <w:rsid w:val="00AF64A2"/>
    <w:rsid w:val="00AF6EC1"/>
    <w:rsid w:val="00AF7254"/>
    <w:rsid w:val="00AF7448"/>
    <w:rsid w:val="00AF7A3B"/>
    <w:rsid w:val="00AF7B0E"/>
    <w:rsid w:val="00AF7FF1"/>
    <w:rsid w:val="00AF7FFC"/>
    <w:rsid w:val="00B00CC1"/>
    <w:rsid w:val="00B016BE"/>
    <w:rsid w:val="00B0175E"/>
    <w:rsid w:val="00B0225A"/>
    <w:rsid w:val="00B028A2"/>
    <w:rsid w:val="00B029EC"/>
    <w:rsid w:val="00B03365"/>
    <w:rsid w:val="00B033B6"/>
    <w:rsid w:val="00B03822"/>
    <w:rsid w:val="00B03D18"/>
    <w:rsid w:val="00B04A29"/>
    <w:rsid w:val="00B05054"/>
    <w:rsid w:val="00B05A5B"/>
    <w:rsid w:val="00B10B99"/>
    <w:rsid w:val="00B1129F"/>
    <w:rsid w:val="00B1147A"/>
    <w:rsid w:val="00B11B51"/>
    <w:rsid w:val="00B12017"/>
    <w:rsid w:val="00B125A9"/>
    <w:rsid w:val="00B12C1F"/>
    <w:rsid w:val="00B12CA6"/>
    <w:rsid w:val="00B130E7"/>
    <w:rsid w:val="00B1315B"/>
    <w:rsid w:val="00B13D5B"/>
    <w:rsid w:val="00B13D6A"/>
    <w:rsid w:val="00B1514F"/>
    <w:rsid w:val="00B155B9"/>
    <w:rsid w:val="00B15818"/>
    <w:rsid w:val="00B1606F"/>
    <w:rsid w:val="00B166E7"/>
    <w:rsid w:val="00B16AE3"/>
    <w:rsid w:val="00B171CF"/>
    <w:rsid w:val="00B17457"/>
    <w:rsid w:val="00B17BBA"/>
    <w:rsid w:val="00B21090"/>
    <w:rsid w:val="00B21BB0"/>
    <w:rsid w:val="00B21EAA"/>
    <w:rsid w:val="00B2226B"/>
    <w:rsid w:val="00B22501"/>
    <w:rsid w:val="00B22651"/>
    <w:rsid w:val="00B23264"/>
    <w:rsid w:val="00B23483"/>
    <w:rsid w:val="00B2379F"/>
    <w:rsid w:val="00B23A74"/>
    <w:rsid w:val="00B24E46"/>
    <w:rsid w:val="00B251E0"/>
    <w:rsid w:val="00B25518"/>
    <w:rsid w:val="00B25B8B"/>
    <w:rsid w:val="00B25EAF"/>
    <w:rsid w:val="00B260D4"/>
    <w:rsid w:val="00B26999"/>
    <w:rsid w:val="00B26A1C"/>
    <w:rsid w:val="00B26A42"/>
    <w:rsid w:val="00B272DA"/>
    <w:rsid w:val="00B27507"/>
    <w:rsid w:val="00B27673"/>
    <w:rsid w:val="00B279AA"/>
    <w:rsid w:val="00B27D5B"/>
    <w:rsid w:val="00B27D88"/>
    <w:rsid w:val="00B30A0B"/>
    <w:rsid w:val="00B313F2"/>
    <w:rsid w:val="00B3198C"/>
    <w:rsid w:val="00B32336"/>
    <w:rsid w:val="00B32370"/>
    <w:rsid w:val="00B32878"/>
    <w:rsid w:val="00B335D2"/>
    <w:rsid w:val="00B33B3D"/>
    <w:rsid w:val="00B33F7C"/>
    <w:rsid w:val="00B33FCE"/>
    <w:rsid w:val="00B34685"/>
    <w:rsid w:val="00B34A28"/>
    <w:rsid w:val="00B34A6B"/>
    <w:rsid w:val="00B34C08"/>
    <w:rsid w:val="00B34CBB"/>
    <w:rsid w:val="00B351AE"/>
    <w:rsid w:val="00B3528A"/>
    <w:rsid w:val="00B36603"/>
    <w:rsid w:val="00B36BC5"/>
    <w:rsid w:val="00B36FDA"/>
    <w:rsid w:val="00B370A3"/>
    <w:rsid w:val="00B403BC"/>
    <w:rsid w:val="00B414EE"/>
    <w:rsid w:val="00B426FF"/>
    <w:rsid w:val="00B428A0"/>
    <w:rsid w:val="00B42AD7"/>
    <w:rsid w:val="00B42D4E"/>
    <w:rsid w:val="00B4300A"/>
    <w:rsid w:val="00B430C0"/>
    <w:rsid w:val="00B43231"/>
    <w:rsid w:val="00B432E5"/>
    <w:rsid w:val="00B433A1"/>
    <w:rsid w:val="00B44FE9"/>
    <w:rsid w:val="00B46226"/>
    <w:rsid w:val="00B466A9"/>
    <w:rsid w:val="00B46FA6"/>
    <w:rsid w:val="00B474FB"/>
    <w:rsid w:val="00B4750C"/>
    <w:rsid w:val="00B47565"/>
    <w:rsid w:val="00B4791F"/>
    <w:rsid w:val="00B50518"/>
    <w:rsid w:val="00B50B31"/>
    <w:rsid w:val="00B50C48"/>
    <w:rsid w:val="00B51182"/>
    <w:rsid w:val="00B514D1"/>
    <w:rsid w:val="00B515BE"/>
    <w:rsid w:val="00B515C2"/>
    <w:rsid w:val="00B51A5D"/>
    <w:rsid w:val="00B51B5C"/>
    <w:rsid w:val="00B51BCD"/>
    <w:rsid w:val="00B51C9D"/>
    <w:rsid w:val="00B51E57"/>
    <w:rsid w:val="00B521B0"/>
    <w:rsid w:val="00B5262D"/>
    <w:rsid w:val="00B52CDD"/>
    <w:rsid w:val="00B530C5"/>
    <w:rsid w:val="00B533A4"/>
    <w:rsid w:val="00B54563"/>
    <w:rsid w:val="00B545D3"/>
    <w:rsid w:val="00B55C4A"/>
    <w:rsid w:val="00B563F7"/>
    <w:rsid w:val="00B5656A"/>
    <w:rsid w:val="00B567DB"/>
    <w:rsid w:val="00B568B6"/>
    <w:rsid w:val="00B56908"/>
    <w:rsid w:val="00B569AB"/>
    <w:rsid w:val="00B56BEC"/>
    <w:rsid w:val="00B56E0A"/>
    <w:rsid w:val="00B56F26"/>
    <w:rsid w:val="00B574EB"/>
    <w:rsid w:val="00B57F1F"/>
    <w:rsid w:val="00B57FD8"/>
    <w:rsid w:val="00B6082E"/>
    <w:rsid w:val="00B60D37"/>
    <w:rsid w:val="00B6113D"/>
    <w:rsid w:val="00B61856"/>
    <w:rsid w:val="00B620E1"/>
    <w:rsid w:val="00B6220B"/>
    <w:rsid w:val="00B6256A"/>
    <w:rsid w:val="00B63805"/>
    <w:rsid w:val="00B63A25"/>
    <w:rsid w:val="00B63C8B"/>
    <w:rsid w:val="00B64295"/>
    <w:rsid w:val="00B642F3"/>
    <w:rsid w:val="00B644FA"/>
    <w:rsid w:val="00B64B6C"/>
    <w:rsid w:val="00B64BB8"/>
    <w:rsid w:val="00B64DB6"/>
    <w:rsid w:val="00B65194"/>
    <w:rsid w:val="00B655BA"/>
    <w:rsid w:val="00B6582D"/>
    <w:rsid w:val="00B65EBA"/>
    <w:rsid w:val="00B66829"/>
    <w:rsid w:val="00B66A7B"/>
    <w:rsid w:val="00B66EFE"/>
    <w:rsid w:val="00B6755F"/>
    <w:rsid w:val="00B703B8"/>
    <w:rsid w:val="00B704F1"/>
    <w:rsid w:val="00B70525"/>
    <w:rsid w:val="00B70605"/>
    <w:rsid w:val="00B71710"/>
    <w:rsid w:val="00B71AF7"/>
    <w:rsid w:val="00B71E17"/>
    <w:rsid w:val="00B71F27"/>
    <w:rsid w:val="00B72189"/>
    <w:rsid w:val="00B721FB"/>
    <w:rsid w:val="00B72D95"/>
    <w:rsid w:val="00B73B13"/>
    <w:rsid w:val="00B73F75"/>
    <w:rsid w:val="00B7415E"/>
    <w:rsid w:val="00B741E7"/>
    <w:rsid w:val="00B74268"/>
    <w:rsid w:val="00B74803"/>
    <w:rsid w:val="00B74851"/>
    <w:rsid w:val="00B74A09"/>
    <w:rsid w:val="00B74F1B"/>
    <w:rsid w:val="00B75047"/>
    <w:rsid w:val="00B751A1"/>
    <w:rsid w:val="00B756F7"/>
    <w:rsid w:val="00B75736"/>
    <w:rsid w:val="00B758A2"/>
    <w:rsid w:val="00B75A82"/>
    <w:rsid w:val="00B76118"/>
    <w:rsid w:val="00B763D1"/>
    <w:rsid w:val="00B767E3"/>
    <w:rsid w:val="00B76FBE"/>
    <w:rsid w:val="00B7711E"/>
    <w:rsid w:val="00B7768A"/>
    <w:rsid w:val="00B800A7"/>
    <w:rsid w:val="00B80481"/>
    <w:rsid w:val="00B805B7"/>
    <w:rsid w:val="00B8061D"/>
    <w:rsid w:val="00B8080A"/>
    <w:rsid w:val="00B80E81"/>
    <w:rsid w:val="00B8128B"/>
    <w:rsid w:val="00B818FB"/>
    <w:rsid w:val="00B81D2C"/>
    <w:rsid w:val="00B8201F"/>
    <w:rsid w:val="00B82883"/>
    <w:rsid w:val="00B83058"/>
    <w:rsid w:val="00B8363C"/>
    <w:rsid w:val="00B83DD4"/>
    <w:rsid w:val="00B84241"/>
    <w:rsid w:val="00B8431C"/>
    <w:rsid w:val="00B84913"/>
    <w:rsid w:val="00B84D1A"/>
    <w:rsid w:val="00B85147"/>
    <w:rsid w:val="00B85CD2"/>
    <w:rsid w:val="00B85D43"/>
    <w:rsid w:val="00B873CA"/>
    <w:rsid w:val="00B9009B"/>
    <w:rsid w:val="00B904E1"/>
    <w:rsid w:val="00B909F6"/>
    <w:rsid w:val="00B90C3F"/>
    <w:rsid w:val="00B911BB"/>
    <w:rsid w:val="00B9153C"/>
    <w:rsid w:val="00B915D8"/>
    <w:rsid w:val="00B9162C"/>
    <w:rsid w:val="00B91692"/>
    <w:rsid w:val="00B91A07"/>
    <w:rsid w:val="00B91C34"/>
    <w:rsid w:val="00B91F61"/>
    <w:rsid w:val="00B9223A"/>
    <w:rsid w:val="00B93302"/>
    <w:rsid w:val="00B93388"/>
    <w:rsid w:val="00B9345C"/>
    <w:rsid w:val="00B94139"/>
    <w:rsid w:val="00B94660"/>
    <w:rsid w:val="00B946A4"/>
    <w:rsid w:val="00B94842"/>
    <w:rsid w:val="00B94D87"/>
    <w:rsid w:val="00B950AF"/>
    <w:rsid w:val="00B951E9"/>
    <w:rsid w:val="00B954A0"/>
    <w:rsid w:val="00B95C79"/>
    <w:rsid w:val="00B966EB"/>
    <w:rsid w:val="00B96DD5"/>
    <w:rsid w:val="00B96E01"/>
    <w:rsid w:val="00B96E25"/>
    <w:rsid w:val="00BA0233"/>
    <w:rsid w:val="00BA0701"/>
    <w:rsid w:val="00BA0AC1"/>
    <w:rsid w:val="00BA107F"/>
    <w:rsid w:val="00BA10B1"/>
    <w:rsid w:val="00BA1667"/>
    <w:rsid w:val="00BA2160"/>
    <w:rsid w:val="00BA276A"/>
    <w:rsid w:val="00BA29C5"/>
    <w:rsid w:val="00BA2A52"/>
    <w:rsid w:val="00BA2E92"/>
    <w:rsid w:val="00BA2EEB"/>
    <w:rsid w:val="00BA2FE0"/>
    <w:rsid w:val="00BA3C45"/>
    <w:rsid w:val="00BA3EDF"/>
    <w:rsid w:val="00BA4AAA"/>
    <w:rsid w:val="00BA4BA9"/>
    <w:rsid w:val="00BA4BC0"/>
    <w:rsid w:val="00BA52BC"/>
    <w:rsid w:val="00BA6D4D"/>
    <w:rsid w:val="00BA7703"/>
    <w:rsid w:val="00BB0FB7"/>
    <w:rsid w:val="00BB1661"/>
    <w:rsid w:val="00BB1703"/>
    <w:rsid w:val="00BB18DA"/>
    <w:rsid w:val="00BB1ABE"/>
    <w:rsid w:val="00BB1F16"/>
    <w:rsid w:val="00BB2396"/>
    <w:rsid w:val="00BB2F6A"/>
    <w:rsid w:val="00BB42B8"/>
    <w:rsid w:val="00BB4320"/>
    <w:rsid w:val="00BB4A9C"/>
    <w:rsid w:val="00BB6251"/>
    <w:rsid w:val="00BB6890"/>
    <w:rsid w:val="00BB699F"/>
    <w:rsid w:val="00BB6CBA"/>
    <w:rsid w:val="00BB6EFD"/>
    <w:rsid w:val="00BB7054"/>
    <w:rsid w:val="00BB74D8"/>
    <w:rsid w:val="00BB7A31"/>
    <w:rsid w:val="00BB7DFF"/>
    <w:rsid w:val="00BB7FB0"/>
    <w:rsid w:val="00BC0344"/>
    <w:rsid w:val="00BC2293"/>
    <w:rsid w:val="00BC28C7"/>
    <w:rsid w:val="00BC311D"/>
    <w:rsid w:val="00BC3CD6"/>
    <w:rsid w:val="00BC3D57"/>
    <w:rsid w:val="00BC5084"/>
    <w:rsid w:val="00BC514C"/>
    <w:rsid w:val="00BC51BB"/>
    <w:rsid w:val="00BC55EF"/>
    <w:rsid w:val="00BC5856"/>
    <w:rsid w:val="00BC5AF8"/>
    <w:rsid w:val="00BC6A7F"/>
    <w:rsid w:val="00BC6B94"/>
    <w:rsid w:val="00BC6CF4"/>
    <w:rsid w:val="00BC72E4"/>
    <w:rsid w:val="00BC7D4C"/>
    <w:rsid w:val="00BD00A7"/>
    <w:rsid w:val="00BD0732"/>
    <w:rsid w:val="00BD0A44"/>
    <w:rsid w:val="00BD0FCB"/>
    <w:rsid w:val="00BD17A1"/>
    <w:rsid w:val="00BD1EAC"/>
    <w:rsid w:val="00BD29AD"/>
    <w:rsid w:val="00BD29B1"/>
    <w:rsid w:val="00BD2CC4"/>
    <w:rsid w:val="00BD2E10"/>
    <w:rsid w:val="00BD3048"/>
    <w:rsid w:val="00BD3370"/>
    <w:rsid w:val="00BD33C9"/>
    <w:rsid w:val="00BD378B"/>
    <w:rsid w:val="00BD3D7A"/>
    <w:rsid w:val="00BD48BB"/>
    <w:rsid w:val="00BD4978"/>
    <w:rsid w:val="00BD4CE4"/>
    <w:rsid w:val="00BD547B"/>
    <w:rsid w:val="00BD55B8"/>
    <w:rsid w:val="00BD5820"/>
    <w:rsid w:val="00BD5E06"/>
    <w:rsid w:val="00BD6238"/>
    <w:rsid w:val="00BD63A0"/>
    <w:rsid w:val="00BD7195"/>
    <w:rsid w:val="00BD7478"/>
    <w:rsid w:val="00BD76F2"/>
    <w:rsid w:val="00BD7F7A"/>
    <w:rsid w:val="00BE09F4"/>
    <w:rsid w:val="00BE1060"/>
    <w:rsid w:val="00BE1A4F"/>
    <w:rsid w:val="00BE22E3"/>
    <w:rsid w:val="00BE23DC"/>
    <w:rsid w:val="00BE2A24"/>
    <w:rsid w:val="00BE3287"/>
    <w:rsid w:val="00BE32EA"/>
    <w:rsid w:val="00BE3DD5"/>
    <w:rsid w:val="00BE400C"/>
    <w:rsid w:val="00BE4E94"/>
    <w:rsid w:val="00BE505A"/>
    <w:rsid w:val="00BE6590"/>
    <w:rsid w:val="00BE6AE3"/>
    <w:rsid w:val="00BE6E89"/>
    <w:rsid w:val="00BE7BD6"/>
    <w:rsid w:val="00BE7D9E"/>
    <w:rsid w:val="00BF004C"/>
    <w:rsid w:val="00BF0586"/>
    <w:rsid w:val="00BF0999"/>
    <w:rsid w:val="00BF11A9"/>
    <w:rsid w:val="00BF1DA3"/>
    <w:rsid w:val="00BF2397"/>
    <w:rsid w:val="00BF24D4"/>
    <w:rsid w:val="00BF2518"/>
    <w:rsid w:val="00BF3128"/>
    <w:rsid w:val="00BF3B6D"/>
    <w:rsid w:val="00BF5101"/>
    <w:rsid w:val="00BF53B3"/>
    <w:rsid w:val="00BF6876"/>
    <w:rsid w:val="00BF6A59"/>
    <w:rsid w:val="00BF7BE4"/>
    <w:rsid w:val="00C00587"/>
    <w:rsid w:val="00C008E2"/>
    <w:rsid w:val="00C00D40"/>
    <w:rsid w:val="00C00DB5"/>
    <w:rsid w:val="00C011E9"/>
    <w:rsid w:val="00C01A70"/>
    <w:rsid w:val="00C0207F"/>
    <w:rsid w:val="00C0215C"/>
    <w:rsid w:val="00C03523"/>
    <w:rsid w:val="00C0375C"/>
    <w:rsid w:val="00C03936"/>
    <w:rsid w:val="00C03942"/>
    <w:rsid w:val="00C03A3A"/>
    <w:rsid w:val="00C03AEE"/>
    <w:rsid w:val="00C03F59"/>
    <w:rsid w:val="00C04242"/>
    <w:rsid w:val="00C04254"/>
    <w:rsid w:val="00C04486"/>
    <w:rsid w:val="00C048C8"/>
    <w:rsid w:val="00C04A1D"/>
    <w:rsid w:val="00C05191"/>
    <w:rsid w:val="00C05560"/>
    <w:rsid w:val="00C058E6"/>
    <w:rsid w:val="00C0594B"/>
    <w:rsid w:val="00C05DDA"/>
    <w:rsid w:val="00C061AC"/>
    <w:rsid w:val="00C06224"/>
    <w:rsid w:val="00C064F8"/>
    <w:rsid w:val="00C066FC"/>
    <w:rsid w:val="00C076CB"/>
    <w:rsid w:val="00C1015B"/>
    <w:rsid w:val="00C10401"/>
    <w:rsid w:val="00C108D7"/>
    <w:rsid w:val="00C10AD3"/>
    <w:rsid w:val="00C10D37"/>
    <w:rsid w:val="00C10E51"/>
    <w:rsid w:val="00C11992"/>
    <w:rsid w:val="00C12197"/>
    <w:rsid w:val="00C121FC"/>
    <w:rsid w:val="00C12A19"/>
    <w:rsid w:val="00C133F6"/>
    <w:rsid w:val="00C13C28"/>
    <w:rsid w:val="00C13D23"/>
    <w:rsid w:val="00C14468"/>
    <w:rsid w:val="00C149EB"/>
    <w:rsid w:val="00C14B61"/>
    <w:rsid w:val="00C14CC1"/>
    <w:rsid w:val="00C14FA1"/>
    <w:rsid w:val="00C15155"/>
    <w:rsid w:val="00C158CD"/>
    <w:rsid w:val="00C15FCD"/>
    <w:rsid w:val="00C16280"/>
    <w:rsid w:val="00C16D75"/>
    <w:rsid w:val="00C17030"/>
    <w:rsid w:val="00C17094"/>
    <w:rsid w:val="00C171B1"/>
    <w:rsid w:val="00C17253"/>
    <w:rsid w:val="00C176CF"/>
    <w:rsid w:val="00C20764"/>
    <w:rsid w:val="00C20BB5"/>
    <w:rsid w:val="00C213D5"/>
    <w:rsid w:val="00C215E5"/>
    <w:rsid w:val="00C21699"/>
    <w:rsid w:val="00C21933"/>
    <w:rsid w:val="00C21C36"/>
    <w:rsid w:val="00C21D9A"/>
    <w:rsid w:val="00C223C2"/>
    <w:rsid w:val="00C227F9"/>
    <w:rsid w:val="00C22C26"/>
    <w:rsid w:val="00C23C18"/>
    <w:rsid w:val="00C241B9"/>
    <w:rsid w:val="00C24742"/>
    <w:rsid w:val="00C258D0"/>
    <w:rsid w:val="00C26167"/>
    <w:rsid w:val="00C26664"/>
    <w:rsid w:val="00C271DB"/>
    <w:rsid w:val="00C2760C"/>
    <w:rsid w:val="00C27A3F"/>
    <w:rsid w:val="00C27DC7"/>
    <w:rsid w:val="00C27F9F"/>
    <w:rsid w:val="00C30150"/>
    <w:rsid w:val="00C30A9F"/>
    <w:rsid w:val="00C31DB3"/>
    <w:rsid w:val="00C3240D"/>
    <w:rsid w:val="00C32465"/>
    <w:rsid w:val="00C324AF"/>
    <w:rsid w:val="00C32596"/>
    <w:rsid w:val="00C32665"/>
    <w:rsid w:val="00C328CB"/>
    <w:rsid w:val="00C32D00"/>
    <w:rsid w:val="00C32D79"/>
    <w:rsid w:val="00C33031"/>
    <w:rsid w:val="00C336F4"/>
    <w:rsid w:val="00C3401B"/>
    <w:rsid w:val="00C34736"/>
    <w:rsid w:val="00C34817"/>
    <w:rsid w:val="00C34E7A"/>
    <w:rsid w:val="00C353DC"/>
    <w:rsid w:val="00C3566E"/>
    <w:rsid w:val="00C35951"/>
    <w:rsid w:val="00C36702"/>
    <w:rsid w:val="00C36889"/>
    <w:rsid w:val="00C36ACF"/>
    <w:rsid w:val="00C36AD9"/>
    <w:rsid w:val="00C37050"/>
    <w:rsid w:val="00C37C63"/>
    <w:rsid w:val="00C410CF"/>
    <w:rsid w:val="00C41399"/>
    <w:rsid w:val="00C41A70"/>
    <w:rsid w:val="00C41CDA"/>
    <w:rsid w:val="00C41EE4"/>
    <w:rsid w:val="00C41F63"/>
    <w:rsid w:val="00C4258B"/>
    <w:rsid w:val="00C42AB7"/>
    <w:rsid w:val="00C42C3D"/>
    <w:rsid w:val="00C42FB5"/>
    <w:rsid w:val="00C4393D"/>
    <w:rsid w:val="00C43D6B"/>
    <w:rsid w:val="00C43FD7"/>
    <w:rsid w:val="00C443C7"/>
    <w:rsid w:val="00C44498"/>
    <w:rsid w:val="00C452D7"/>
    <w:rsid w:val="00C4532C"/>
    <w:rsid w:val="00C4579A"/>
    <w:rsid w:val="00C457BD"/>
    <w:rsid w:val="00C4719B"/>
    <w:rsid w:val="00C47255"/>
    <w:rsid w:val="00C47466"/>
    <w:rsid w:val="00C47C75"/>
    <w:rsid w:val="00C504E0"/>
    <w:rsid w:val="00C5073A"/>
    <w:rsid w:val="00C50C6A"/>
    <w:rsid w:val="00C51C99"/>
    <w:rsid w:val="00C53355"/>
    <w:rsid w:val="00C53430"/>
    <w:rsid w:val="00C534B9"/>
    <w:rsid w:val="00C53646"/>
    <w:rsid w:val="00C5385C"/>
    <w:rsid w:val="00C53990"/>
    <w:rsid w:val="00C53E6C"/>
    <w:rsid w:val="00C54174"/>
    <w:rsid w:val="00C54576"/>
    <w:rsid w:val="00C54582"/>
    <w:rsid w:val="00C5477B"/>
    <w:rsid w:val="00C55044"/>
    <w:rsid w:val="00C55993"/>
    <w:rsid w:val="00C55A69"/>
    <w:rsid w:val="00C55FBA"/>
    <w:rsid w:val="00C60506"/>
    <w:rsid w:val="00C60E11"/>
    <w:rsid w:val="00C61AF1"/>
    <w:rsid w:val="00C62AAF"/>
    <w:rsid w:val="00C6331C"/>
    <w:rsid w:val="00C63768"/>
    <w:rsid w:val="00C63878"/>
    <w:rsid w:val="00C63BFB"/>
    <w:rsid w:val="00C64A23"/>
    <w:rsid w:val="00C652E3"/>
    <w:rsid w:val="00C655A3"/>
    <w:rsid w:val="00C655E5"/>
    <w:rsid w:val="00C65722"/>
    <w:rsid w:val="00C659BD"/>
    <w:rsid w:val="00C65BE2"/>
    <w:rsid w:val="00C6646D"/>
    <w:rsid w:val="00C66C3A"/>
    <w:rsid w:val="00C676D7"/>
    <w:rsid w:val="00C67734"/>
    <w:rsid w:val="00C679ED"/>
    <w:rsid w:val="00C702D9"/>
    <w:rsid w:val="00C70375"/>
    <w:rsid w:val="00C705AA"/>
    <w:rsid w:val="00C7092C"/>
    <w:rsid w:val="00C70DC5"/>
    <w:rsid w:val="00C70F7D"/>
    <w:rsid w:val="00C71078"/>
    <w:rsid w:val="00C71CF5"/>
    <w:rsid w:val="00C720F7"/>
    <w:rsid w:val="00C72789"/>
    <w:rsid w:val="00C72BC8"/>
    <w:rsid w:val="00C72C5B"/>
    <w:rsid w:val="00C7300A"/>
    <w:rsid w:val="00C73AEA"/>
    <w:rsid w:val="00C73EAA"/>
    <w:rsid w:val="00C74076"/>
    <w:rsid w:val="00C74607"/>
    <w:rsid w:val="00C748CA"/>
    <w:rsid w:val="00C74FA0"/>
    <w:rsid w:val="00C7518E"/>
    <w:rsid w:val="00C7568D"/>
    <w:rsid w:val="00C757B1"/>
    <w:rsid w:val="00C75883"/>
    <w:rsid w:val="00C75E30"/>
    <w:rsid w:val="00C75EFF"/>
    <w:rsid w:val="00C76354"/>
    <w:rsid w:val="00C763D0"/>
    <w:rsid w:val="00C765D1"/>
    <w:rsid w:val="00C76C76"/>
    <w:rsid w:val="00C76D74"/>
    <w:rsid w:val="00C76E50"/>
    <w:rsid w:val="00C76EC1"/>
    <w:rsid w:val="00C77708"/>
    <w:rsid w:val="00C77B6F"/>
    <w:rsid w:val="00C80065"/>
    <w:rsid w:val="00C813D5"/>
    <w:rsid w:val="00C81875"/>
    <w:rsid w:val="00C81E49"/>
    <w:rsid w:val="00C81F1D"/>
    <w:rsid w:val="00C81F4E"/>
    <w:rsid w:val="00C82980"/>
    <w:rsid w:val="00C83561"/>
    <w:rsid w:val="00C836D6"/>
    <w:rsid w:val="00C83AD4"/>
    <w:rsid w:val="00C83D3C"/>
    <w:rsid w:val="00C83EB2"/>
    <w:rsid w:val="00C841C6"/>
    <w:rsid w:val="00C84591"/>
    <w:rsid w:val="00C849D8"/>
    <w:rsid w:val="00C84CF6"/>
    <w:rsid w:val="00C858C6"/>
    <w:rsid w:val="00C85CAB"/>
    <w:rsid w:val="00C85DFC"/>
    <w:rsid w:val="00C85ED3"/>
    <w:rsid w:val="00C86ADC"/>
    <w:rsid w:val="00C87127"/>
    <w:rsid w:val="00C874F8"/>
    <w:rsid w:val="00C8776D"/>
    <w:rsid w:val="00C87E48"/>
    <w:rsid w:val="00C87F1F"/>
    <w:rsid w:val="00C903AD"/>
    <w:rsid w:val="00C90A0E"/>
    <w:rsid w:val="00C912F9"/>
    <w:rsid w:val="00C918EF"/>
    <w:rsid w:val="00C91A9E"/>
    <w:rsid w:val="00C91BF9"/>
    <w:rsid w:val="00C92611"/>
    <w:rsid w:val="00C929BA"/>
    <w:rsid w:val="00C92B33"/>
    <w:rsid w:val="00C93AD6"/>
    <w:rsid w:val="00C94D01"/>
    <w:rsid w:val="00C95951"/>
    <w:rsid w:val="00C95BF7"/>
    <w:rsid w:val="00C95C10"/>
    <w:rsid w:val="00C95FBA"/>
    <w:rsid w:val="00C96C6C"/>
    <w:rsid w:val="00C975F7"/>
    <w:rsid w:val="00CA091D"/>
    <w:rsid w:val="00CA0AB7"/>
    <w:rsid w:val="00CA1450"/>
    <w:rsid w:val="00CA1ED7"/>
    <w:rsid w:val="00CA2AB6"/>
    <w:rsid w:val="00CA2B2A"/>
    <w:rsid w:val="00CA3300"/>
    <w:rsid w:val="00CA422F"/>
    <w:rsid w:val="00CA4F29"/>
    <w:rsid w:val="00CA5A5F"/>
    <w:rsid w:val="00CA650B"/>
    <w:rsid w:val="00CA6B82"/>
    <w:rsid w:val="00CA6EA4"/>
    <w:rsid w:val="00CA786D"/>
    <w:rsid w:val="00CA7942"/>
    <w:rsid w:val="00CA7FC1"/>
    <w:rsid w:val="00CB0407"/>
    <w:rsid w:val="00CB0776"/>
    <w:rsid w:val="00CB0998"/>
    <w:rsid w:val="00CB0C52"/>
    <w:rsid w:val="00CB0F51"/>
    <w:rsid w:val="00CB1001"/>
    <w:rsid w:val="00CB1D17"/>
    <w:rsid w:val="00CB1DF1"/>
    <w:rsid w:val="00CB1FA8"/>
    <w:rsid w:val="00CB2B55"/>
    <w:rsid w:val="00CB2E3E"/>
    <w:rsid w:val="00CB2FE2"/>
    <w:rsid w:val="00CB327B"/>
    <w:rsid w:val="00CB36E0"/>
    <w:rsid w:val="00CB44C5"/>
    <w:rsid w:val="00CB456F"/>
    <w:rsid w:val="00CB465A"/>
    <w:rsid w:val="00CB49C0"/>
    <w:rsid w:val="00CB4B88"/>
    <w:rsid w:val="00CB4D71"/>
    <w:rsid w:val="00CB5009"/>
    <w:rsid w:val="00CB5E89"/>
    <w:rsid w:val="00CB5F33"/>
    <w:rsid w:val="00CB618D"/>
    <w:rsid w:val="00CB61EB"/>
    <w:rsid w:val="00CB6336"/>
    <w:rsid w:val="00CB634C"/>
    <w:rsid w:val="00CB636F"/>
    <w:rsid w:val="00CB695A"/>
    <w:rsid w:val="00CB6B2A"/>
    <w:rsid w:val="00CB6C3F"/>
    <w:rsid w:val="00CB6CB8"/>
    <w:rsid w:val="00CB7AF9"/>
    <w:rsid w:val="00CB7C73"/>
    <w:rsid w:val="00CC0A72"/>
    <w:rsid w:val="00CC0E58"/>
    <w:rsid w:val="00CC1886"/>
    <w:rsid w:val="00CC1A07"/>
    <w:rsid w:val="00CC1D93"/>
    <w:rsid w:val="00CC21F8"/>
    <w:rsid w:val="00CC2421"/>
    <w:rsid w:val="00CC34E6"/>
    <w:rsid w:val="00CC4127"/>
    <w:rsid w:val="00CC43FE"/>
    <w:rsid w:val="00CC4C68"/>
    <w:rsid w:val="00CC5233"/>
    <w:rsid w:val="00CC607D"/>
    <w:rsid w:val="00CC6636"/>
    <w:rsid w:val="00CC6B64"/>
    <w:rsid w:val="00CC712D"/>
    <w:rsid w:val="00CC7758"/>
    <w:rsid w:val="00CC7EF1"/>
    <w:rsid w:val="00CD020E"/>
    <w:rsid w:val="00CD03B1"/>
    <w:rsid w:val="00CD09DB"/>
    <w:rsid w:val="00CD0EE4"/>
    <w:rsid w:val="00CD10F6"/>
    <w:rsid w:val="00CD15F4"/>
    <w:rsid w:val="00CD1C46"/>
    <w:rsid w:val="00CD1F08"/>
    <w:rsid w:val="00CD29EC"/>
    <w:rsid w:val="00CD2F93"/>
    <w:rsid w:val="00CD2FCB"/>
    <w:rsid w:val="00CD337C"/>
    <w:rsid w:val="00CD3648"/>
    <w:rsid w:val="00CD3990"/>
    <w:rsid w:val="00CD3F72"/>
    <w:rsid w:val="00CD4A1B"/>
    <w:rsid w:val="00CD4FA2"/>
    <w:rsid w:val="00CD594D"/>
    <w:rsid w:val="00CD5A88"/>
    <w:rsid w:val="00CD6308"/>
    <w:rsid w:val="00CD6A3C"/>
    <w:rsid w:val="00CD6CD7"/>
    <w:rsid w:val="00CD6D5B"/>
    <w:rsid w:val="00CD6ED5"/>
    <w:rsid w:val="00CD728A"/>
    <w:rsid w:val="00CD7609"/>
    <w:rsid w:val="00CD7753"/>
    <w:rsid w:val="00CD78E9"/>
    <w:rsid w:val="00CD7C4F"/>
    <w:rsid w:val="00CD7E74"/>
    <w:rsid w:val="00CD7FA0"/>
    <w:rsid w:val="00CE024B"/>
    <w:rsid w:val="00CE082C"/>
    <w:rsid w:val="00CE251F"/>
    <w:rsid w:val="00CE267B"/>
    <w:rsid w:val="00CE26BF"/>
    <w:rsid w:val="00CE2CE9"/>
    <w:rsid w:val="00CE2E92"/>
    <w:rsid w:val="00CE3786"/>
    <w:rsid w:val="00CE3F02"/>
    <w:rsid w:val="00CE4370"/>
    <w:rsid w:val="00CE49DB"/>
    <w:rsid w:val="00CE4D0A"/>
    <w:rsid w:val="00CE566A"/>
    <w:rsid w:val="00CE5C52"/>
    <w:rsid w:val="00CE603E"/>
    <w:rsid w:val="00CE63D2"/>
    <w:rsid w:val="00CE640B"/>
    <w:rsid w:val="00CE6DAE"/>
    <w:rsid w:val="00CE6EFF"/>
    <w:rsid w:val="00CF0770"/>
    <w:rsid w:val="00CF0FC1"/>
    <w:rsid w:val="00CF1E8A"/>
    <w:rsid w:val="00CF24FC"/>
    <w:rsid w:val="00CF2717"/>
    <w:rsid w:val="00CF273E"/>
    <w:rsid w:val="00CF313F"/>
    <w:rsid w:val="00CF344D"/>
    <w:rsid w:val="00CF3604"/>
    <w:rsid w:val="00CF3ACD"/>
    <w:rsid w:val="00CF40CF"/>
    <w:rsid w:val="00CF47EF"/>
    <w:rsid w:val="00CF48ED"/>
    <w:rsid w:val="00CF5515"/>
    <w:rsid w:val="00CF5F47"/>
    <w:rsid w:val="00CF5FC8"/>
    <w:rsid w:val="00CF62C8"/>
    <w:rsid w:val="00CF6C1A"/>
    <w:rsid w:val="00CF6EB3"/>
    <w:rsid w:val="00CF7450"/>
    <w:rsid w:val="00CF7CF3"/>
    <w:rsid w:val="00D00015"/>
    <w:rsid w:val="00D00307"/>
    <w:rsid w:val="00D00C80"/>
    <w:rsid w:val="00D00D33"/>
    <w:rsid w:val="00D0127E"/>
    <w:rsid w:val="00D01511"/>
    <w:rsid w:val="00D01B9D"/>
    <w:rsid w:val="00D02767"/>
    <w:rsid w:val="00D0284F"/>
    <w:rsid w:val="00D0290C"/>
    <w:rsid w:val="00D02EFE"/>
    <w:rsid w:val="00D03462"/>
    <w:rsid w:val="00D03753"/>
    <w:rsid w:val="00D03A4D"/>
    <w:rsid w:val="00D03AC3"/>
    <w:rsid w:val="00D03B44"/>
    <w:rsid w:val="00D03D0F"/>
    <w:rsid w:val="00D03DF4"/>
    <w:rsid w:val="00D043F0"/>
    <w:rsid w:val="00D04A3F"/>
    <w:rsid w:val="00D04F14"/>
    <w:rsid w:val="00D055E4"/>
    <w:rsid w:val="00D05623"/>
    <w:rsid w:val="00D061F8"/>
    <w:rsid w:val="00D06B4D"/>
    <w:rsid w:val="00D06BC1"/>
    <w:rsid w:val="00D06DC2"/>
    <w:rsid w:val="00D07208"/>
    <w:rsid w:val="00D07C47"/>
    <w:rsid w:val="00D103E5"/>
    <w:rsid w:val="00D107FD"/>
    <w:rsid w:val="00D119CF"/>
    <w:rsid w:val="00D12CE8"/>
    <w:rsid w:val="00D14066"/>
    <w:rsid w:val="00D14809"/>
    <w:rsid w:val="00D14970"/>
    <w:rsid w:val="00D14E33"/>
    <w:rsid w:val="00D1507C"/>
    <w:rsid w:val="00D1546F"/>
    <w:rsid w:val="00D1571F"/>
    <w:rsid w:val="00D15CB7"/>
    <w:rsid w:val="00D15FE0"/>
    <w:rsid w:val="00D16032"/>
    <w:rsid w:val="00D16471"/>
    <w:rsid w:val="00D1685F"/>
    <w:rsid w:val="00D16950"/>
    <w:rsid w:val="00D16A3F"/>
    <w:rsid w:val="00D16BC6"/>
    <w:rsid w:val="00D16DB8"/>
    <w:rsid w:val="00D173D4"/>
    <w:rsid w:val="00D174D0"/>
    <w:rsid w:val="00D179A2"/>
    <w:rsid w:val="00D17A65"/>
    <w:rsid w:val="00D17D3D"/>
    <w:rsid w:val="00D17FE5"/>
    <w:rsid w:val="00D203CB"/>
    <w:rsid w:val="00D206E2"/>
    <w:rsid w:val="00D2082C"/>
    <w:rsid w:val="00D2176F"/>
    <w:rsid w:val="00D21C4C"/>
    <w:rsid w:val="00D22137"/>
    <w:rsid w:val="00D22272"/>
    <w:rsid w:val="00D22927"/>
    <w:rsid w:val="00D22CB5"/>
    <w:rsid w:val="00D22FD8"/>
    <w:rsid w:val="00D23560"/>
    <w:rsid w:val="00D238AC"/>
    <w:rsid w:val="00D2390F"/>
    <w:rsid w:val="00D2403B"/>
    <w:rsid w:val="00D24A89"/>
    <w:rsid w:val="00D25360"/>
    <w:rsid w:val="00D25480"/>
    <w:rsid w:val="00D25C93"/>
    <w:rsid w:val="00D25F30"/>
    <w:rsid w:val="00D2639C"/>
    <w:rsid w:val="00D26492"/>
    <w:rsid w:val="00D27CD7"/>
    <w:rsid w:val="00D30B1A"/>
    <w:rsid w:val="00D31674"/>
    <w:rsid w:val="00D31750"/>
    <w:rsid w:val="00D31828"/>
    <w:rsid w:val="00D31C6B"/>
    <w:rsid w:val="00D3218E"/>
    <w:rsid w:val="00D35092"/>
    <w:rsid w:val="00D3522C"/>
    <w:rsid w:val="00D35308"/>
    <w:rsid w:val="00D3552A"/>
    <w:rsid w:val="00D36199"/>
    <w:rsid w:val="00D36301"/>
    <w:rsid w:val="00D36625"/>
    <w:rsid w:val="00D36C9B"/>
    <w:rsid w:val="00D36CB1"/>
    <w:rsid w:val="00D36CD7"/>
    <w:rsid w:val="00D373C4"/>
    <w:rsid w:val="00D374A4"/>
    <w:rsid w:val="00D37A08"/>
    <w:rsid w:val="00D400E5"/>
    <w:rsid w:val="00D4027C"/>
    <w:rsid w:val="00D40A50"/>
    <w:rsid w:val="00D41D2A"/>
    <w:rsid w:val="00D42293"/>
    <w:rsid w:val="00D43F31"/>
    <w:rsid w:val="00D43FE8"/>
    <w:rsid w:val="00D44AD3"/>
    <w:rsid w:val="00D45271"/>
    <w:rsid w:val="00D456BC"/>
    <w:rsid w:val="00D457DC"/>
    <w:rsid w:val="00D45A05"/>
    <w:rsid w:val="00D45BE3"/>
    <w:rsid w:val="00D47353"/>
    <w:rsid w:val="00D475B8"/>
    <w:rsid w:val="00D47E0E"/>
    <w:rsid w:val="00D503EC"/>
    <w:rsid w:val="00D50C91"/>
    <w:rsid w:val="00D51F7B"/>
    <w:rsid w:val="00D524C0"/>
    <w:rsid w:val="00D5257E"/>
    <w:rsid w:val="00D52590"/>
    <w:rsid w:val="00D5276C"/>
    <w:rsid w:val="00D527A5"/>
    <w:rsid w:val="00D536B9"/>
    <w:rsid w:val="00D53724"/>
    <w:rsid w:val="00D53C61"/>
    <w:rsid w:val="00D53E89"/>
    <w:rsid w:val="00D53FFE"/>
    <w:rsid w:val="00D54A51"/>
    <w:rsid w:val="00D54A91"/>
    <w:rsid w:val="00D54B30"/>
    <w:rsid w:val="00D55000"/>
    <w:rsid w:val="00D5549F"/>
    <w:rsid w:val="00D5564A"/>
    <w:rsid w:val="00D558C5"/>
    <w:rsid w:val="00D566E0"/>
    <w:rsid w:val="00D571DD"/>
    <w:rsid w:val="00D57C2D"/>
    <w:rsid w:val="00D57F39"/>
    <w:rsid w:val="00D600DA"/>
    <w:rsid w:val="00D601E0"/>
    <w:rsid w:val="00D60254"/>
    <w:rsid w:val="00D60599"/>
    <w:rsid w:val="00D60CA1"/>
    <w:rsid w:val="00D61BCA"/>
    <w:rsid w:val="00D61F2F"/>
    <w:rsid w:val="00D62344"/>
    <w:rsid w:val="00D62EBE"/>
    <w:rsid w:val="00D63B1D"/>
    <w:rsid w:val="00D640A1"/>
    <w:rsid w:val="00D65421"/>
    <w:rsid w:val="00D6551E"/>
    <w:rsid w:val="00D658A4"/>
    <w:rsid w:val="00D65A2D"/>
    <w:rsid w:val="00D65E51"/>
    <w:rsid w:val="00D66200"/>
    <w:rsid w:val="00D66686"/>
    <w:rsid w:val="00D67011"/>
    <w:rsid w:val="00D67276"/>
    <w:rsid w:val="00D67380"/>
    <w:rsid w:val="00D67546"/>
    <w:rsid w:val="00D675B8"/>
    <w:rsid w:val="00D67B09"/>
    <w:rsid w:val="00D70DE8"/>
    <w:rsid w:val="00D711C7"/>
    <w:rsid w:val="00D71337"/>
    <w:rsid w:val="00D7155B"/>
    <w:rsid w:val="00D71D22"/>
    <w:rsid w:val="00D723F2"/>
    <w:rsid w:val="00D72532"/>
    <w:rsid w:val="00D72882"/>
    <w:rsid w:val="00D72A19"/>
    <w:rsid w:val="00D73235"/>
    <w:rsid w:val="00D732C7"/>
    <w:rsid w:val="00D740E3"/>
    <w:rsid w:val="00D7460B"/>
    <w:rsid w:val="00D746DA"/>
    <w:rsid w:val="00D75039"/>
    <w:rsid w:val="00D75795"/>
    <w:rsid w:val="00D75CD8"/>
    <w:rsid w:val="00D75F2D"/>
    <w:rsid w:val="00D75FAE"/>
    <w:rsid w:val="00D7639F"/>
    <w:rsid w:val="00D80252"/>
    <w:rsid w:val="00D808B9"/>
    <w:rsid w:val="00D80C86"/>
    <w:rsid w:val="00D80EBA"/>
    <w:rsid w:val="00D81D73"/>
    <w:rsid w:val="00D81D8B"/>
    <w:rsid w:val="00D82175"/>
    <w:rsid w:val="00D821BD"/>
    <w:rsid w:val="00D821C0"/>
    <w:rsid w:val="00D82869"/>
    <w:rsid w:val="00D82963"/>
    <w:rsid w:val="00D82DDC"/>
    <w:rsid w:val="00D82DE9"/>
    <w:rsid w:val="00D82FC7"/>
    <w:rsid w:val="00D83009"/>
    <w:rsid w:val="00D830DE"/>
    <w:rsid w:val="00D83D6E"/>
    <w:rsid w:val="00D83FC0"/>
    <w:rsid w:val="00D84879"/>
    <w:rsid w:val="00D85149"/>
    <w:rsid w:val="00D851DB"/>
    <w:rsid w:val="00D85491"/>
    <w:rsid w:val="00D85B01"/>
    <w:rsid w:val="00D85D9C"/>
    <w:rsid w:val="00D85FFD"/>
    <w:rsid w:val="00D86092"/>
    <w:rsid w:val="00D862E7"/>
    <w:rsid w:val="00D86515"/>
    <w:rsid w:val="00D866CD"/>
    <w:rsid w:val="00D86B41"/>
    <w:rsid w:val="00D87319"/>
    <w:rsid w:val="00D87CB7"/>
    <w:rsid w:val="00D90218"/>
    <w:rsid w:val="00D90884"/>
    <w:rsid w:val="00D908AE"/>
    <w:rsid w:val="00D90CDF"/>
    <w:rsid w:val="00D90DB3"/>
    <w:rsid w:val="00D9105D"/>
    <w:rsid w:val="00D917EF"/>
    <w:rsid w:val="00D91856"/>
    <w:rsid w:val="00D92059"/>
    <w:rsid w:val="00D923CE"/>
    <w:rsid w:val="00D92574"/>
    <w:rsid w:val="00D92829"/>
    <w:rsid w:val="00D92AE0"/>
    <w:rsid w:val="00D92E7D"/>
    <w:rsid w:val="00D93267"/>
    <w:rsid w:val="00D93BF8"/>
    <w:rsid w:val="00D94D95"/>
    <w:rsid w:val="00D94DD5"/>
    <w:rsid w:val="00D94EB3"/>
    <w:rsid w:val="00D9550B"/>
    <w:rsid w:val="00D959B3"/>
    <w:rsid w:val="00D95AB4"/>
    <w:rsid w:val="00D95B97"/>
    <w:rsid w:val="00D964CF"/>
    <w:rsid w:val="00D97690"/>
    <w:rsid w:val="00D97BC2"/>
    <w:rsid w:val="00DA0480"/>
    <w:rsid w:val="00DA07AA"/>
    <w:rsid w:val="00DA092B"/>
    <w:rsid w:val="00DA0E44"/>
    <w:rsid w:val="00DA1209"/>
    <w:rsid w:val="00DA214D"/>
    <w:rsid w:val="00DA26D3"/>
    <w:rsid w:val="00DA289B"/>
    <w:rsid w:val="00DA3411"/>
    <w:rsid w:val="00DA349F"/>
    <w:rsid w:val="00DA3F94"/>
    <w:rsid w:val="00DA4A59"/>
    <w:rsid w:val="00DA569B"/>
    <w:rsid w:val="00DA633C"/>
    <w:rsid w:val="00DA6937"/>
    <w:rsid w:val="00DA75BF"/>
    <w:rsid w:val="00DB188C"/>
    <w:rsid w:val="00DB194E"/>
    <w:rsid w:val="00DB1FBC"/>
    <w:rsid w:val="00DB2389"/>
    <w:rsid w:val="00DB2AA8"/>
    <w:rsid w:val="00DB406F"/>
    <w:rsid w:val="00DB411F"/>
    <w:rsid w:val="00DB438A"/>
    <w:rsid w:val="00DB4B00"/>
    <w:rsid w:val="00DB4D27"/>
    <w:rsid w:val="00DB52C0"/>
    <w:rsid w:val="00DB560A"/>
    <w:rsid w:val="00DB602C"/>
    <w:rsid w:val="00DB61F7"/>
    <w:rsid w:val="00DB62FB"/>
    <w:rsid w:val="00DB63C3"/>
    <w:rsid w:val="00DB68F7"/>
    <w:rsid w:val="00DB728C"/>
    <w:rsid w:val="00DB7571"/>
    <w:rsid w:val="00DB7B7E"/>
    <w:rsid w:val="00DB7BF9"/>
    <w:rsid w:val="00DB7C3B"/>
    <w:rsid w:val="00DC01B7"/>
    <w:rsid w:val="00DC0BBF"/>
    <w:rsid w:val="00DC0C1A"/>
    <w:rsid w:val="00DC1089"/>
    <w:rsid w:val="00DC13C2"/>
    <w:rsid w:val="00DC16F2"/>
    <w:rsid w:val="00DC174E"/>
    <w:rsid w:val="00DC18B8"/>
    <w:rsid w:val="00DC1C4D"/>
    <w:rsid w:val="00DC248E"/>
    <w:rsid w:val="00DC2572"/>
    <w:rsid w:val="00DC305F"/>
    <w:rsid w:val="00DC30EA"/>
    <w:rsid w:val="00DC38C9"/>
    <w:rsid w:val="00DC4298"/>
    <w:rsid w:val="00DC45FD"/>
    <w:rsid w:val="00DC4B3D"/>
    <w:rsid w:val="00DC4ECA"/>
    <w:rsid w:val="00DC502A"/>
    <w:rsid w:val="00DC547B"/>
    <w:rsid w:val="00DC5A47"/>
    <w:rsid w:val="00DC5E3A"/>
    <w:rsid w:val="00DC72DA"/>
    <w:rsid w:val="00DC7309"/>
    <w:rsid w:val="00DC78DF"/>
    <w:rsid w:val="00DC7C01"/>
    <w:rsid w:val="00DC7DE6"/>
    <w:rsid w:val="00DC7DF9"/>
    <w:rsid w:val="00DC7FE2"/>
    <w:rsid w:val="00DD0800"/>
    <w:rsid w:val="00DD0899"/>
    <w:rsid w:val="00DD1005"/>
    <w:rsid w:val="00DD11AD"/>
    <w:rsid w:val="00DD13BA"/>
    <w:rsid w:val="00DD13BE"/>
    <w:rsid w:val="00DD26A4"/>
    <w:rsid w:val="00DD271D"/>
    <w:rsid w:val="00DD29C6"/>
    <w:rsid w:val="00DD2E58"/>
    <w:rsid w:val="00DD3254"/>
    <w:rsid w:val="00DD3338"/>
    <w:rsid w:val="00DD4D3F"/>
    <w:rsid w:val="00DD51F9"/>
    <w:rsid w:val="00DD5717"/>
    <w:rsid w:val="00DD5992"/>
    <w:rsid w:val="00DD6C06"/>
    <w:rsid w:val="00DD715C"/>
    <w:rsid w:val="00DD7251"/>
    <w:rsid w:val="00DD7526"/>
    <w:rsid w:val="00DD78E1"/>
    <w:rsid w:val="00DE040D"/>
    <w:rsid w:val="00DE0F3F"/>
    <w:rsid w:val="00DE21B7"/>
    <w:rsid w:val="00DE259A"/>
    <w:rsid w:val="00DE2717"/>
    <w:rsid w:val="00DE27E7"/>
    <w:rsid w:val="00DE2899"/>
    <w:rsid w:val="00DE2A3B"/>
    <w:rsid w:val="00DE2C01"/>
    <w:rsid w:val="00DE2CC9"/>
    <w:rsid w:val="00DE324E"/>
    <w:rsid w:val="00DE33A6"/>
    <w:rsid w:val="00DE35AF"/>
    <w:rsid w:val="00DE3A51"/>
    <w:rsid w:val="00DE42C6"/>
    <w:rsid w:val="00DE4588"/>
    <w:rsid w:val="00DE4D53"/>
    <w:rsid w:val="00DE560C"/>
    <w:rsid w:val="00DE5B93"/>
    <w:rsid w:val="00DE6231"/>
    <w:rsid w:val="00DE64DE"/>
    <w:rsid w:val="00DE6A41"/>
    <w:rsid w:val="00DE6AD4"/>
    <w:rsid w:val="00DE6E72"/>
    <w:rsid w:val="00DE7245"/>
    <w:rsid w:val="00DE7868"/>
    <w:rsid w:val="00DE7B5A"/>
    <w:rsid w:val="00DF04B3"/>
    <w:rsid w:val="00DF1591"/>
    <w:rsid w:val="00DF1C0F"/>
    <w:rsid w:val="00DF1D4F"/>
    <w:rsid w:val="00DF1DC7"/>
    <w:rsid w:val="00DF2768"/>
    <w:rsid w:val="00DF29E5"/>
    <w:rsid w:val="00DF2C25"/>
    <w:rsid w:val="00DF2D43"/>
    <w:rsid w:val="00DF30DC"/>
    <w:rsid w:val="00DF314A"/>
    <w:rsid w:val="00DF3478"/>
    <w:rsid w:val="00DF3786"/>
    <w:rsid w:val="00DF3FE1"/>
    <w:rsid w:val="00DF4396"/>
    <w:rsid w:val="00DF45E0"/>
    <w:rsid w:val="00DF490D"/>
    <w:rsid w:val="00DF4B2F"/>
    <w:rsid w:val="00DF6492"/>
    <w:rsid w:val="00DF6B16"/>
    <w:rsid w:val="00DF6BAA"/>
    <w:rsid w:val="00E003A1"/>
    <w:rsid w:val="00E00779"/>
    <w:rsid w:val="00E00CD7"/>
    <w:rsid w:val="00E00E13"/>
    <w:rsid w:val="00E00FB7"/>
    <w:rsid w:val="00E01248"/>
    <w:rsid w:val="00E01508"/>
    <w:rsid w:val="00E016E9"/>
    <w:rsid w:val="00E01BD6"/>
    <w:rsid w:val="00E01DD6"/>
    <w:rsid w:val="00E02045"/>
    <w:rsid w:val="00E027DB"/>
    <w:rsid w:val="00E0280A"/>
    <w:rsid w:val="00E02BDC"/>
    <w:rsid w:val="00E02EEB"/>
    <w:rsid w:val="00E03095"/>
    <w:rsid w:val="00E0369F"/>
    <w:rsid w:val="00E03D7A"/>
    <w:rsid w:val="00E04352"/>
    <w:rsid w:val="00E04D68"/>
    <w:rsid w:val="00E05302"/>
    <w:rsid w:val="00E06721"/>
    <w:rsid w:val="00E06936"/>
    <w:rsid w:val="00E07554"/>
    <w:rsid w:val="00E07673"/>
    <w:rsid w:val="00E101BB"/>
    <w:rsid w:val="00E10232"/>
    <w:rsid w:val="00E106BC"/>
    <w:rsid w:val="00E11E98"/>
    <w:rsid w:val="00E120D6"/>
    <w:rsid w:val="00E120F8"/>
    <w:rsid w:val="00E127E9"/>
    <w:rsid w:val="00E12C53"/>
    <w:rsid w:val="00E12DC9"/>
    <w:rsid w:val="00E13215"/>
    <w:rsid w:val="00E14F5D"/>
    <w:rsid w:val="00E14FBA"/>
    <w:rsid w:val="00E159F5"/>
    <w:rsid w:val="00E15E06"/>
    <w:rsid w:val="00E163F4"/>
    <w:rsid w:val="00E16542"/>
    <w:rsid w:val="00E16A46"/>
    <w:rsid w:val="00E16BEE"/>
    <w:rsid w:val="00E16CF9"/>
    <w:rsid w:val="00E17081"/>
    <w:rsid w:val="00E20300"/>
    <w:rsid w:val="00E20730"/>
    <w:rsid w:val="00E20A6A"/>
    <w:rsid w:val="00E20B86"/>
    <w:rsid w:val="00E21F76"/>
    <w:rsid w:val="00E22294"/>
    <w:rsid w:val="00E22A32"/>
    <w:rsid w:val="00E23A09"/>
    <w:rsid w:val="00E23B40"/>
    <w:rsid w:val="00E24389"/>
    <w:rsid w:val="00E24DD4"/>
    <w:rsid w:val="00E25EB4"/>
    <w:rsid w:val="00E25F0E"/>
    <w:rsid w:val="00E2644C"/>
    <w:rsid w:val="00E26990"/>
    <w:rsid w:val="00E26C8A"/>
    <w:rsid w:val="00E27534"/>
    <w:rsid w:val="00E279EA"/>
    <w:rsid w:val="00E27AD0"/>
    <w:rsid w:val="00E27C42"/>
    <w:rsid w:val="00E300DA"/>
    <w:rsid w:val="00E30504"/>
    <w:rsid w:val="00E315DA"/>
    <w:rsid w:val="00E3207E"/>
    <w:rsid w:val="00E33174"/>
    <w:rsid w:val="00E33276"/>
    <w:rsid w:val="00E3501A"/>
    <w:rsid w:val="00E35074"/>
    <w:rsid w:val="00E357E7"/>
    <w:rsid w:val="00E35859"/>
    <w:rsid w:val="00E35B84"/>
    <w:rsid w:val="00E35FBC"/>
    <w:rsid w:val="00E36289"/>
    <w:rsid w:val="00E366C0"/>
    <w:rsid w:val="00E37194"/>
    <w:rsid w:val="00E3758B"/>
    <w:rsid w:val="00E37602"/>
    <w:rsid w:val="00E37BED"/>
    <w:rsid w:val="00E37FA6"/>
    <w:rsid w:val="00E37FBD"/>
    <w:rsid w:val="00E401D0"/>
    <w:rsid w:val="00E4028D"/>
    <w:rsid w:val="00E4122A"/>
    <w:rsid w:val="00E4123C"/>
    <w:rsid w:val="00E41B12"/>
    <w:rsid w:val="00E41C78"/>
    <w:rsid w:val="00E420AE"/>
    <w:rsid w:val="00E42274"/>
    <w:rsid w:val="00E42B8B"/>
    <w:rsid w:val="00E4310E"/>
    <w:rsid w:val="00E43319"/>
    <w:rsid w:val="00E43463"/>
    <w:rsid w:val="00E4353F"/>
    <w:rsid w:val="00E459AB"/>
    <w:rsid w:val="00E45E3B"/>
    <w:rsid w:val="00E4629A"/>
    <w:rsid w:val="00E46B85"/>
    <w:rsid w:val="00E4722D"/>
    <w:rsid w:val="00E47C36"/>
    <w:rsid w:val="00E50F07"/>
    <w:rsid w:val="00E51226"/>
    <w:rsid w:val="00E51872"/>
    <w:rsid w:val="00E51CD0"/>
    <w:rsid w:val="00E51D2E"/>
    <w:rsid w:val="00E52341"/>
    <w:rsid w:val="00E52813"/>
    <w:rsid w:val="00E52881"/>
    <w:rsid w:val="00E52911"/>
    <w:rsid w:val="00E52DA3"/>
    <w:rsid w:val="00E52F77"/>
    <w:rsid w:val="00E53079"/>
    <w:rsid w:val="00E530B9"/>
    <w:rsid w:val="00E530D8"/>
    <w:rsid w:val="00E53360"/>
    <w:rsid w:val="00E535C3"/>
    <w:rsid w:val="00E5379F"/>
    <w:rsid w:val="00E53896"/>
    <w:rsid w:val="00E53B1B"/>
    <w:rsid w:val="00E53FA6"/>
    <w:rsid w:val="00E54ED5"/>
    <w:rsid w:val="00E55776"/>
    <w:rsid w:val="00E5622C"/>
    <w:rsid w:val="00E5647F"/>
    <w:rsid w:val="00E565AD"/>
    <w:rsid w:val="00E5680F"/>
    <w:rsid w:val="00E57447"/>
    <w:rsid w:val="00E5776F"/>
    <w:rsid w:val="00E57ABE"/>
    <w:rsid w:val="00E60100"/>
    <w:rsid w:val="00E60343"/>
    <w:rsid w:val="00E60929"/>
    <w:rsid w:val="00E6109B"/>
    <w:rsid w:val="00E614C9"/>
    <w:rsid w:val="00E61C54"/>
    <w:rsid w:val="00E62139"/>
    <w:rsid w:val="00E62574"/>
    <w:rsid w:val="00E62C45"/>
    <w:rsid w:val="00E6317E"/>
    <w:rsid w:val="00E643A5"/>
    <w:rsid w:val="00E644DD"/>
    <w:rsid w:val="00E647D6"/>
    <w:rsid w:val="00E64D45"/>
    <w:rsid w:val="00E65436"/>
    <w:rsid w:val="00E65A7A"/>
    <w:rsid w:val="00E65B0F"/>
    <w:rsid w:val="00E65C23"/>
    <w:rsid w:val="00E66033"/>
    <w:rsid w:val="00E67411"/>
    <w:rsid w:val="00E67718"/>
    <w:rsid w:val="00E70A04"/>
    <w:rsid w:val="00E710A8"/>
    <w:rsid w:val="00E716CE"/>
    <w:rsid w:val="00E716D6"/>
    <w:rsid w:val="00E71B51"/>
    <w:rsid w:val="00E71E62"/>
    <w:rsid w:val="00E72AAB"/>
    <w:rsid w:val="00E732C7"/>
    <w:rsid w:val="00E73F28"/>
    <w:rsid w:val="00E75021"/>
    <w:rsid w:val="00E75194"/>
    <w:rsid w:val="00E75407"/>
    <w:rsid w:val="00E7596B"/>
    <w:rsid w:val="00E7631F"/>
    <w:rsid w:val="00E7677E"/>
    <w:rsid w:val="00E7703D"/>
    <w:rsid w:val="00E80204"/>
    <w:rsid w:val="00E80A4C"/>
    <w:rsid w:val="00E80EC0"/>
    <w:rsid w:val="00E81385"/>
    <w:rsid w:val="00E81ACD"/>
    <w:rsid w:val="00E834A5"/>
    <w:rsid w:val="00E835E8"/>
    <w:rsid w:val="00E83AE2"/>
    <w:rsid w:val="00E8406E"/>
    <w:rsid w:val="00E84B60"/>
    <w:rsid w:val="00E8542F"/>
    <w:rsid w:val="00E8564B"/>
    <w:rsid w:val="00E85B71"/>
    <w:rsid w:val="00E85D7F"/>
    <w:rsid w:val="00E85ED1"/>
    <w:rsid w:val="00E86338"/>
    <w:rsid w:val="00E87C66"/>
    <w:rsid w:val="00E9031F"/>
    <w:rsid w:val="00E90454"/>
    <w:rsid w:val="00E906CF"/>
    <w:rsid w:val="00E90883"/>
    <w:rsid w:val="00E90C04"/>
    <w:rsid w:val="00E913D8"/>
    <w:rsid w:val="00E91DAF"/>
    <w:rsid w:val="00E92081"/>
    <w:rsid w:val="00E9263C"/>
    <w:rsid w:val="00E92899"/>
    <w:rsid w:val="00E9326B"/>
    <w:rsid w:val="00E93CA8"/>
    <w:rsid w:val="00E943FF"/>
    <w:rsid w:val="00E9472F"/>
    <w:rsid w:val="00E94843"/>
    <w:rsid w:val="00E94977"/>
    <w:rsid w:val="00E954F9"/>
    <w:rsid w:val="00E95813"/>
    <w:rsid w:val="00E9638A"/>
    <w:rsid w:val="00E9650E"/>
    <w:rsid w:val="00E96871"/>
    <w:rsid w:val="00E96B20"/>
    <w:rsid w:val="00E96DC9"/>
    <w:rsid w:val="00E972FC"/>
    <w:rsid w:val="00E97B6F"/>
    <w:rsid w:val="00E97CC3"/>
    <w:rsid w:val="00EA031A"/>
    <w:rsid w:val="00EA0C9A"/>
    <w:rsid w:val="00EA0E6A"/>
    <w:rsid w:val="00EA0F35"/>
    <w:rsid w:val="00EA11F0"/>
    <w:rsid w:val="00EA1631"/>
    <w:rsid w:val="00EA1C85"/>
    <w:rsid w:val="00EA1FD8"/>
    <w:rsid w:val="00EA201F"/>
    <w:rsid w:val="00EA25AA"/>
    <w:rsid w:val="00EA2D69"/>
    <w:rsid w:val="00EA3A77"/>
    <w:rsid w:val="00EA3C49"/>
    <w:rsid w:val="00EA3D10"/>
    <w:rsid w:val="00EA4308"/>
    <w:rsid w:val="00EA4340"/>
    <w:rsid w:val="00EA4342"/>
    <w:rsid w:val="00EA4F12"/>
    <w:rsid w:val="00EA5656"/>
    <w:rsid w:val="00EA5AA3"/>
    <w:rsid w:val="00EA6704"/>
    <w:rsid w:val="00EA67A4"/>
    <w:rsid w:val="00EA6A11"/>
    <w:rsid w:val="00EA6FAD"/>
    <w:rsid w:val="00EA7829"/>
    <w:rsid w:val="00EA79BF"/>
    <w:rsid w:val="00EB029E"/>
    <w:rsid w:val="00EB05BF"/>
    <w:rsid w:val="00EB0874"/>
    <w:rsid w:val="00EB0D39"/>
    <w:rsid w:val="00EB0FA2"/>
    <w:rsid w:val="00EB1A8E"/>
    <w:rsid w:val="00EB26FF"/>
    <w:rsid w:val="00EB2786"/>
    <w:rsid w:val="00EB32E7"/>
    <w:rsid w:val="00EB3805"/>
    <w:rsid w:val="00EB3D29"/>
    <w:rsid w:val="00EB3F43"/>
    <w:rsid w:val="00EB40DF"/>
    <w:rsid w:val="00EB4A82"/>
    <w:rsid w:val="00EB4BC0"/>
    <w:rsid w:val="00EB5E6F"/>
    <w:rsid w:val="00EB61A4"/>
    <w:rsid w:val="00EB6416"/>
    <w:rsid w:val="00EB686C"/>
    <w:rsid w:val="00EB7167"/>
    <w:rsid w:val="00EB71C7"/>
    <w:rsid w:val="00EB7346"/>
    <w:rsid w:val="00EB7607"/>
    <w:rsid w:val="00EB7FE0"/>
    <w:rsid w:val="00EC0158"/>
    <w:rsid w:val="00EC02EA"/>
    <w:rsid w:val="00EC0364"/>
    <w:rsid w:val="00EC098B"/>
    <w:rsid w:val="00EC0AE7"/>
    <w:rsid w:val="00EC0C05"/>
    <w:rsid w:val="00EC0FA4"/>
    <w:rsid w:val="00EC138E"/>
    <w:rsid w:val="00EC17AA"/>
    <w:rsid w:val="00EC230B"/>
    <w:rsid w:val="00EC295E"/>
    <w:rsid w:val="00EC3263"/>
    <w:rsid w:val="00EC3722"/>
    <w:rsid w:val="00EC3BF9"/>
    <w:rsid w:val="00EC3D97"/>
    <w:rsid w:val="00EC490B"/>
    <w:rsid w:val="00EC4ED6"/>
    <w:rsid w:val="00EC521E"/>
    <w:rsid w:val="00EC56D3"/>
    <w:rsid w:val="00EC5988"/>
    <w:rsid w:val="00EC614D"/>
    <w:rsid w:val="00EC6193"/>
    <w:rsid w:val="00EC6252"/>
    <w:rsid w:val="00EC6EF3"/>
    <w:rsid w:val="00EC78C4"/>
    <w:rsid w:val="00EC7EE0"/>
    <w:rsid w:val="00EC7F79"/>
    <w:rsid w:val="00EC7FA3"/>
    <w:rsid w:val="00ED013D"/>
    <w:rsid w:val="00ED0F3F"/>
    <w:rsid w:val="00ED0F89"/>
    <w:rsid w:val="00ED1463"/>
    <w:rsid w:val="00ED1CFB"/>
    <w:rsid w:val="00ED1E9A"/>
    <w:rsid w:val="00ED2442"/>
    <w:rsid w:val="00ED253B"/>
    <w:rsid w:val="00ED2C0E"/>
    <w:rsid w:val="00ED370F"/>
    <w:rsid w:val="00ED41EB"/>
    <w:rsid w:val="00ED529A"/>
    <w:rsid w:val="00ED568E"/>
    <w:rsid w:val="00ED58B8"/>
    <w:rsid w:val="00ED6693"/>
    <w:rsid w:val="00ED6E87"/>
    <w:rsid w:val="00ED70CE"/>
    <w:rsid w:val="00ED7687"/>
    <w:rsid w:val="00EE02B4"/>
    <w:rsid w:val="00EE0B33"/>
    <w:rsid w:val="00EE0BCC"/>
    <w:rsid w:val="00EE0E2C"/>
    <w:rsid w:val="00EE19AE"/>
    <w:rsid w:val="00EE2334"/>
    <w:rsid w:val="00EE26B8"/>
    <w:rsid w:val="00EE2771"/>
    <w:rsid w:val="00EE2AFA"/>
    <w:rsid w:val="00EE3B68"/>
    <w:rsid w:val="00EE3DA0"/>
    <w:rsid w:val="00EE4593"/>
    <w:rsid w:val="00EE45CA"/>
    <w:rsid w:val="00EE4744"/>
    <w:rsid w:val="00EE48B6"/>
    <w:rsid w:val="00EE4B67"/>
    <w:rsid w:val="00EE4B83"/>
    <w:rsid w:val="00EE4BC5"/>
    <w:rsid w:val="00EE4BDD"/>
    <w:rsid w:val="00EE4E1D"/>
    <w:rsid w:val="00EE4F11"/>
    <w:rsid w:val="00EE4F96"/>
    <w:rsid w:val="00EE5CA7"/>
    <w:rsid w:val="00EE609B"/>
    <w:rsid w:val="00EE6165"/>
    <w:rsid w:val="00EE6257"/>
    <w:rsid w:val="00EE680D"/>
    <w:rsid w:val="00EE74CB"/>
    <w:rsid w:val="00EE7794"/>
    <w:rsid w:val="00EE7822"/>
    <w:rsid w:val="00EE7D9F"/>
    <w:rsid w:val="00EF0689"/>
    <w:rsid w:val="00EF07E7"/>
    <w:rsid w:val="00EF1E92"/>
    <w:rsid w:val="00EF3142"/>
    <w:rsid w:val="00EF49D5"/>
    <w:rsid w:val="00EF4CD5"/>
    <w:rsid w:val="00EF565E"/>
    <w:rsid w:val="00EF6AD9"/>
    <w:rsid w:val="00EF6AFA"/>
    <w:rsid w:val="00EF6D36"/>
    <w:rsid w:val="00EF7561"/>
    <w:rsid w:val="00EF7600"/>
    <w:rsid w:val="00EF781B"/>
    <w:rsid w:val="00EF7DD5"/>
    <w:rsid w:val="00F001B7"/>
    <w:rsid w:val="00F00C9B"/>
    <w:rsid w:val="00F00F7D"/>
    <w:rsid w:val="00F01E37"/>
    <w:rsid w:val="00F02227"/>
    <w:rsid w:val="00F028E3"/>
    <w:rsid w:val="00F02B32"/>
    <w:rsid w:val="00F02EE8"/>
    <w:rsid w:val="00F044AE"/>
    <w:rsid w:val="00F045F0"/>
    <w:rsid w:val="00F052D9"/>
    <w:rsid w:val="00F06D12"/>
    <w:rsid w:val="00F073FA"/>
    <w:rsid w:val="00F0760A"/>
    <w:rsid w:val="00F07814"/>
    <w:rsid w:val="00F07EC3"/>
    <w:rsid w:val="00F106C7"/>
    <w:rsid w:val="00F10EBA"/>
    <w:rsid w:val="00F10F3F"/>
    <w:rsid w:val="00F111CA"/>
    <w:rsid w:val="00F11B63"/>
    <w:rsid w:val="00F1288B"/>
    <w:rsid w:val="00F12F9E"/>
    <w:rsid w:val="00F1399C"/>
    <w:rsid w:val="00F13A4A"/>
    <w:rsid w:val="00F13C9F"/>
    <w:rsid w:val="00F14733"/>
    <w:rsid w:val="00F14EE3"/>
    <w:rsid w:val="00F14FD0"/>
    <w:rsid w:val="00F151DD"/>
    <w:rsid w:val="00F15744"/>
    <w:rsid w:val="00F1585B"/>
    <w:rsid w:val="00F15CCE"/>
    <w:rsid w:val="00F15CF8"/>
    <w:rsid w:val="00F15FA9"/>
    <w:rsid w:val="00F16583"/>
    <w:rsid w:val="00F1661B"/>
    <w:rsid w:val="00F1694A"/>
    <w:rsid w:val="00F169CE"/>
    <w:rsid w:val="00F16A47"/>
    <w:rsid w:val="00F17079"/>
    <w:rsid w:val="00F17C2B"/>
    <w:rsid w:val="00F17D26"/>
    <w:rsid w:val="00F2030A"/>
    <w:rsid w:val="00F2073F"/>
    <w:rsid w:val="00F20C91"/>
    <w:rsid w:val="00F2161E"/>
    <w:rsid w:val="00F2172C"/>
    <w:rsid w:val="00F219FD"/>
    <w:rsid w:val="00F21DE8"/>
    <w:rsid w:val="00F21FFF"/>
    <w:rsid w:val="00F22F41"/>
    <w:rsid w:val="00F2341B"/>
    <w:rsid w:val="00F234DB"/>
    <w:rsid w:val="00F23596"/>
    <w:rsid w:val="00F2383D"/>
    <w:rsid w:val="00F23D6C"/>
    <w:rsid w:val="00F23DD0"/>
    <w:rsid w:val="00F24069"/>
    <w:rsid w:val="00F245E6"/>
    <w:rsid w:val="00F25010"/>
    <w:rsid w:val="00F25983"/>
    <w:rsid w:val="00F26D5B"/>
    <w:rsid w:val="00F26E4F"/>
    <w:rsid w:val="00F272F4"/>
    <w:rsid w:val="00F275D8"/>
    <w:rsid w:val="00F30096"/>
    <w:rsid w:val="00F30129"/>
    <w:rsid w:val="00F302E9"/>
    <w:rsid w:val="00F3120F"/>
    <w:rsid w:val="00F3156D"/>
    <w:rsid w:val="00F31D20"/>
    <w:rsid w:val="00F32727"/>
    <w:rsid w:val="00F32829"/>
    <w:rsid w:val="00F328DA"/>
    <w:rsid w:val="00F33030"/>
    <w:rsid w:val="00F330D9"/>
    <w:rsid w:val="00F33C66"/>
    <w:rsid w:val="00F349E2"/>
    <w:rsid w:val="00F34EF7"/>
    <w:rsid w:val="00F3574F"/>
    <w:rsid w:val="00F375FD"/>
    <w:rsid w:val="00F37862"/>
    <w:rsid w:val="00F40A92"/>
    <w:rsid w:val="00F40B98"/>
    <w:rsid w:val="00F40E34"/>
    <w:rsid w:val="00F40F4C"/>
    <w:rsid w:val="00F40F9C"/>
    <w:rsid w:val="00F41276"/>
    <w:rsid w:val="00F41495"/>
    <w:rsid w:val="00F41790"/>
    <w:rsid w:val="00F42818"/>
    <w:rsid w:val="00F428E2"/>
    <w:rsid w:val="00F430FC"/>
    <w:rsid w:val="00F43177"/>
    <w:rsid w:val="00F43348"/>
    <w:rsid w:val="00F43359"/>
    <w:rsid w:val="00F4370D"/>
    <w:rsid w:val="00F43E5B"/>
    <w:rsid w:val="00F44BF9"/>
    <w:rsid w:val="00F45927"/>
    <w:rsid w:val="00F45DB1"/>
    <w:rsid w:val="00F5045D"/>
    <w:rsid w:val="00F504D0"/>
    <w:rsid w:val="00F508EE"/>
    <w:rsid w:val="00F51562"/>
    <w:rsid w:val="00F519C4"/>
    <w:rsid w:val="00F528C1"/>
    <w:rsid w:val="00F52B9A"/>
    <w:rsid w:val="00F538FF"/>
    <w:rsid w:val="00F53BE2"/>
    <w:rsid w:val="00F540E2"/>
    <w:rsid w:val="00F546B3"/>
    <w:rsid w:val="00F54DB4"/>
    <w:rsid w:val="00F54FA3"/>
    <w:rsid w:val="00F5590E"/>
    <w:rsid w:val="00F55A32"/>
    <w:rsid w:val="00F55C0C"/>
    <w:rsid w:val="00F55C4E"/>
    <w:rsid w:val="00F5630C"/>
    <w:rsid w:val="00F56387"/>
    <w:rsid w:val="00F5669E"/>
    <w:rsid w:val="00F60A2E"/>
    <w:rsid w:val="00F60C03"/>
    <w:rsid w:val="00F60D1C"/>
    <w:rsid w:val="00F60EDF"/>
    <w:rsid w:val="00F61836"/>
    <w:rsid w:val="00F62412"/>
    <w:rsid w:val="00F62451"/>
    <w:rsid w:val="00F624C7"/>
    <w:rsid w:val="00F62691"/>
    <w:rsid w:val="00F6298B"/>
    <w:rsid w:val="00F63283"/>
    <w:rsid w:val="00F63631"/>
    <w:rsid w:val="00F63EB0"/>
    <w:rsid w:val="00F6456B"/>
    <w:rsid w:val="00F64B95"/>
    <w:rsid w:val="00F64CF4"/>
    <w:rsid w:val="00F65015"/>
    <w:rsid w:val="00F6565C"/>
    <w:rsid w:val="00F65B7A"/>
    <w:rsid w:val="00F65CB3"/>
    <w:rsid w:val="00F664EF"/>
    <w:rsid w:val="00F668DC"/>
    <w:rsid w:val="00F66E1C"/>
    <w:rsid w:val="00F670E2"/>
    <w:rsid w:val="00F676E9"/>
    <w:rsid w:val="00F67AB1"/>
    <w:rsid w:val="00F70D20"/>
    <w:rsid w:val="00F70ED1"/>
    <w:rsid w:val="00F71C84"/>
    <w:rsid w:val="00F71DA3"/>
    <w:rsid w:val="00F72261"/>
    <w:rsid w:val="00F73789"/>
    <w:rsid w:val="00F744F6"/>
    <w:rsid w:val="00F746F3"/>
    <w:rsid w:val="00F74896"/>
    <w:rsid w:val="00F74A3D"/>
    <w:rsid w:val="00F74D62"/>
    <w:rsid w:val="00F75072"/>
    <w:rsid w:val="00F75A33"/>
    <w:rsid w:val="00F76E9B"/>
    <w:rsid w:val="00F76F02"/>
    <w:rsid w:val="00F77031"/>
    <w:rsid w:val="00F776EA"/>
    <w:rsid w:val="00F77EC9"/>
    <w:rsid w:val="00F80178"/>
    <w:rsid w:val="00F80FBB"/>
    <w:rsid w:val="00F81293"/>
    <w:rsid w:val="00F8149E"/>
    <w:rsid w:val="00F81DA1"/>
    <w:rsid w:val="00F81DA9"/>
    <w:rsid w:val="00F8297F"/>
    <w:rsid w:val="00F82B7C"/>
    <w:rsid w:val="00F8329E"/>
    <w:rsid w:val="00F83A9B"/>
    <w:rsid w:val="00F83FFE"/>
    <w:rsid w:val="00F84002"/>
    <w:rsid w:val="00F846D3"/>
    <w:rsid w:val="00F846E5"/>
    <w:rsid w:val="00F84FB7"/>
    <w:rsid w:val="00F85620"/>
    <w:rsid w:val="00F8586E"/>
    <w:rsid w:val="00F8601B"/>
    <w:rsid w:val="00F868F0"/>
    <w:rsid w:val="00F868FF"/>
    <w:rsid w:val="00F8720F"/>
    <w:rsid w:val="00F8744E"/>
    <w:rsid w:val="00F87518"/>
    <w:rsid w:val="00F8762F"/>
    <w:rsid w:val="00F879FF"/>
    <w:rsid w:val="00F87FE2"/>
    <w:rsid w:val="00F90AB7"/>
    <w:rsid w:val="00F90EBE"/>
    <w:rsid w:val="00F913FC"/>
    <w:rsid w:val="00F9141C"/>
    <w:rsid w:val="00F914B5"/>
    <w:rsid w:val="00F91848"/>
    <w:rsid w:val="00F91946"/>
    <w:rsid w:val="00F91A3B"/>
    <w:rsid w:val="00F93B62"/>
    <w:rsid w:val="00F93C23"/>
    <w:rsid w:val="00F94643"/>
    <w:rsid w:val="00F95DE9"/>
    <w:rsid w:val="00F961D6"/>
    <w:rsid w:val="00F962D0"/>
    <w:rsid w:val="00F96D62"/>
    <w:rsid w:val="00F970FF"/>
    <w:rsid w:val="00F97A61"/>
    <w:rsid w:val="00F97E42"/>
    <w:rsid w:val="00FA13CC"/>
    <w:rsid w:val="00FA19BC"/>
    <w:rsid w:val="00FA2240"/>
    <w:rsid w:val="00FA23EC"/>
    <w:rsid w:val="00FA2679"/>
    <w:rsid w:val="00FA2693"/>
    <w:rsid w:val="00FA2724"/>
    <w:rsid w:val="00FA274D"/>
    <w:rsid w:val="00FA2832"/>
    <w:rsid w:val="00FA353E"/>
    <w:rsid w:val="00FA4FAF"/>
    <w:rsid w:val="00FA620A"/>
    <w:rsid w:val="00FA6679"/>
    <w:rsid w:val="00FA6B11"/>
    <w:rsid w:val="00FA70D8"/>
    <w:rsid w:val="00FA763A"/>
    <w:rsid w:val="00FA7BE5"/>
    <w:rsid w:val="00FB0EDD"/>
    <w:rsid w:val="00FB1027"/>
    <w:rsid w:val="00FB1604"/>
    <w:rsid w:val="00FB29E8"/>
    <w:rsid w:val="00FB331A"/>
    <w:rsid w:val="00FB45EB"/>
    <w:rsid w:val="00FB4F9B"/>
    <w:rsid w:val="00FB5229"/>
    <w:rsid w:val="00FB556B"/>
    <w:rsid w:val="00FB5854"/>
    <w:rsid w:val="00FB5F8D"/>
    <w:rsid w:val="00FB5FF4"/>
    <w:rsid w:val="00FB65C6"/>
    <w:rsid w:val="00FB73DF"/>
    <w:rsid w:val="00FB759D"/>
    <w:rsid w:val="00FB7CDE"/>
    <w:rsid w:val="00FC02BC"/>
    <w:rsid w:val="00FC059D"/>
    <w:rsid w:val="00FC0A60"/>
    <w:rsid w:val="00FC0CEB"/>
    <w:rsid w:val="00FC1D6E"/>
    <w:rsid w:val="00FC20D7"/>
    <w:rsid w:val="00FC2151"/>
    <w:rsid w:val="00FC25AF"/>
    <w:rsid w:val="00FC2C2D"/>
    <w:rsid w:val="00FC3110"/>
    <w:rsid w:val="00FC392E"/>
    <w:rsid w:val="00FC3A9A"/>
    <w:rsid w:val="00FC5D9A"/>
    <w:rsid w:val="00FC6510"/>
    <w:rsid w:val="00FC6A74"/>
    <w:rsid w:val="00FC6BF6"/>
    <w:rsid w:val="00FC6E28"/>
    <w:rsid w:val="00FC6F7A"/>
    <w:rsid w:val="00FC6FEF"/>
    <w:rsid w:val="00FC7895"/>
    <w:rsid w:val="00FC7E6F"/>
    <w:rsid w:val="00FD14C9"/>
    <w:rsid w:val="00FD1E6F"/>
    <w:rsid w:val="00FD245D"/>
    <w:rsid w:val="00FD2589"/>
    <w:rsid w:val="00FD2891"/>
    <w:rsid w:val="00FD3AD4"/>
    <w:rsid w:val="00FD4078"/>
    <w:rsid w:val="00FD42AF"/>
    <w:rsid w:val="00FD5924"/>
    <w:rsid w:val="00FD6885"/>
    <w:rsid w:val="00FD6F00"/>
    <w:rsid w:val="00FD74D2"/>
    <w:rsid w:val="00FD7E54"/>
    <w:rsid w:val="00FE0186"/>
    <w:rsid w:val="00FE04C7"/>
    <w:rsid w:val="00FE0523"/>
    <w:rsid w:val="00FE1868"/>
    <w:rsid w:val="00FE1F31"/>
    <w:rsid w:val="00FE2C73"/>
    <w:rsid w:val="00FE307B"/>
    <w:rsid w:val="00FE30E1"/>
    <w:rsid w:val="00FE314B"/>
    <w:rsid w:val="00FE3607"/>
    <w:rsid w:val="00FE36F2"/>
    <w:rsid w:val="00FE4153"/>
    <w:rsid w:val="00FE4211"/>
    <w:rsid w:val="00FE462C"/>
    <w:rsid w:val="00FE46A4"/>
    <w:rsid w:val="00FE4865"/>
    <w:rsid w:val="00FE4AA5"/>
    <w:rsid w:val="00FE4CE1"/>
    <w:rsid w:val="00FE4E39"/>
    <w:rsid w:val="00FE4F3D"/>
    <w:rsid w:val="00FE5349"/>
    <w:rsid w:val="00FE5C06"/>
    <w:rsid w:val="00FE5D29"/>
    <w:rsid w:val="00FE5F5C"/>
    <w:rsid w:val="00FE6183"/>
    <w:rsid w:val="00FE6619"/>
    <w:rsid w:val="00FE6AEB"/>
    <w:rsid w:val="00FE7064"/>
    <w:rsid w:val="00FE736C"/>
    <w:rsid w:val="00FE739A"/>
    <w:rsid w:val="00FF0698"/>
    <w:rsid w:val="00FF0D9C"/>
    <w:rsid w:val="00FF11C6"/>
    <w:rsid w:val="00FF147C"/>
    <w:rsid w:val="00FF151C"/>
    <w:rsid w:val="00FF2A7B"/>
    <w:rsid w:val="00FF2E0A"/>
    <w:rsid w:val="00FF321A"/>
    <w:rsid w:val="00FF3497"/>
    <w:rsid w:val="00FF367A"/>
    <w:rsid w:val="00FF3A66"/>
    <w:rsid w:val="00FF3F88"/>
    <w:rsid w:val="00FF416D"/>
    <w:rsid w:val="00FF4262"/>
    <w:rsid w:val="00FF540F"/>
    <w:rsid w:val="00FF544E"/>
    <w:rsid w:val="00FF54C6"/>
    <w:rsid w:val="00FF565B"/>
    <w:rsid w:val="00FF5F7C"/>
    <w:rsid w:val="00FF6556"/>
    <w:rsid w:val="00FF69A9"/>
    <w:rsid w:val="00FF6B71"/>
    <w:rsid w:val="00FF6C6C"/>
    <w:rsid w:val="01142246"/>
    <w:rsid w:val="011D37A4"/>
    <w:rsid w:val="0144196D"/>
    <w:rsid w:val="01854416"/>
    <w:rsid w:val="01C56093"/>
    <w:rsid w:val="01EE1C47"/>
    <w:rsid w:val="01EF28AE"/>
    <w:rsid w:val="02225123"/>
    <w:rsid w:val="02981CD8"/>
    <w:rsid w:val="02BE31F1"/>
    <w:rsid w:val="02BE7B53"/>
    <w:rsid w:val="02C85633"/>
    <w:rsid w:val="03A509E7"/>
    <w:rsid w:val="03FA52A5"/>
    <w:rsid w:val="043A0699"/>
    <w:rsid w:val="048C693B"/>
    <w:rsid w:val="04BB5F00"/>
    <w:rsid w:val="04E15F32"/>
    <w:rsid w:val="05113E82"/>
    <w:rsid w:val="0573709C"/>
    <w:rsid w:val="05AC0A37"/>
    <w:rsid w:val="06744660"/>
    <w:rsid w:val="06911AA4"/>
    <w:rsid w:val="06A21C7D"/>
    <w:rsid w:val="06B01435"/>
    <w:rsid w:val="06D67FC8"/>
    <w:rsid w:val="07013FF0"/>
    <w:rsid w:val="07302736"/>
    <w:rsid w:val="0746398A"/>
    <w:rsid w:val="07BB77EE"/>
    <w:rsid w:val="07D13C07"/>
    <w:rsid w:val="07D452A2"/>
    <w:rsid w:val="07DA207F"/>
    <w:rsid w:val="08026145"/>
    <w:rsid w:val="08B63C61"/>
    <w:rsid w:val="091C18CB"/>
    <w:rsid w:val="099D59EE"/>
    <w:rsid w:val="09CA75BA"/>
    <w:rsid w:val="09F9139C"/>
    <w:rsid w:val="0A1E6F9D"/>
    <w:rsid w:val="0A4F6169"/>
    <w:rsid w:val="0A6F25A3"/>
    <w:rsid w:val="0A7B7DE4"/>
    <w:rsid w:val="0C355F47"/>
    <w:rsid w:val="0C9B3014"/>
    <w:rsid w:val="0C9B341C"/>
    <w:rsid w:val="0CCE30E1"/>
    <w:rsid w:val="0D05158A"/>
    <w:rsid w:val="0D21321E"/>
    <w:rsid w:val="0D2F6876"/>
    <w:rsid w:val="0D771634"/>
    <w:rsid w:val="0D7B48BC"/>
    <w:rsid w:val="0D887DA3"/>
    <w:rsid w:val="0D950586"/>
    <w:rsid w:val="0E2672B1"/>
    <w:rsid w:val="0E532A07"/>
    <w:rsid w:val="0EEF7BDD"/>
    <w:rsid w:val="0EF861B9"/>
    <w:rsid w:val="0EFA5977"/>
    <w:rsid w:val="0F90006A"/>
    <w:rsid w:val="0FA82417"/>
    <w:rsid w:val="102236BD"/>
    <w:rsid w:val="10A23B78"/>
    <w:rsid w:val="10C039EA"/>
    <w:rsid w:val="10F861AD"/>
    <w:rsid w:val="1143360D"/>
    <w:rsid w:val="114823B1"/>
    <w:rsid w:val="116C792E"/>
    <w:rsid w:val="11955ACF"/>
    <w:rsid w:val="11B609E8"/>
    <w:rsid w:val="11F67512"/>
    <w:rsid w:val="11FB7FC7"/>
    <w:rsid w:val="12211CA2"/>
    <w:rsid w:val="126D7EBF"/>
    <w:rsid w:val="128B68F2"/>
    <w:rsid w:val="129A48E4"/>
    <w:rsid w:val="12BF6ED7"/>
    <w:rsid w:val="1323339C"/>
    <w:rsid w:val="137A2776"/>
    <w:rsid w:val="13AC3161"/>
    <w:rsid w:val="13B7320E"/>
    <w:rsid w:val="13C10E88"/>
    <w:rsid w:val="13F426D6"/>
    <w:rsid w:val="148C24F0"/>
    <w:rsid w:val="149F5093"/>
    <w:rsid w:val="15010106"/>
    <w:rsid w:val="151C3FAF"/>
    <w:rsid w:val="154F4EEF"/>
    <w:rsid w:val="15A07558"/>
    <w:rsid w:val="15A476BB"/>
    <w:rsid w:val="15F5778D"/>
    <w:rsid w:val="160F594D"/>
    <w:rsid w:val="16385003"/>
    <w:rsid w:val="167825B5"/>
    <w:rsid w:val="1687291B"/>
    <w:rsid w:val="16A909D5"/>
    <w:rsid w:val="16B072BE"/>
    <w:rsid w:val="170A6DB9"/>
    <w:rsid w:val="172B1943"/>
    <w:rsid w:val="17454247"/>
    <w:rsid w:val="175903E5"/>
    <w:rsid w:val="176370B3"/>
    <w:rsid w:val="17966A2C"/>
    <w:rsid w:val="17A71CAB"/>
    <w:rsid w:val="17AA56F9"/>
    <w:rsid w:val="18707738"/>
    <w:rsid w:val="192E308D"/>
    <w:rsid w:val="19716777"/>
    <w:rsid w:val="19793885"/>
    <w:rsid w:val="19A66BBF"/>
    <w:rsid w:val="19FC0E92"/>
    <w:rsid w:val="1A00183C"/>
    <w:rsid w:val="1A0A1597"/>
    <w:rsid w:val="1A4D0023"/>
    <w:rsid w:val="1A79100A"/>
    <w:rsid w:val="1B1B7AF1"/>
    <w:rsid w:val="1B241AE2"/>
    <w:rsid w:val="1B4A2B8B"/>
    <w:rsid w:val="1B6C2C47"/>
    <w:rsid w:val="1B7C5461"/>
    <w:rsid w:val="1B9C06BB"/>
    <w:rsid w:val="1BA62700"/>
    <w:rsid w:val="1BEF43A3"/>
    <w:rsid w:val="1C1D6FF5"/>
    <w:rsid w:val="1C526567"/>
    <w:rsid w:val="1CA84B11"/>
    <w:rsid w:val="1CCE2131"/>
    <w:rsid w:val="1CF81AE7"/>
    <w:rsid w:val="1D5B02B4"/>
    <w:rsid w:val="1D5F62E2"/>
    <w:rsid w:val="1D983FED"/>
    <w:rsid w:val="1DA87466"/>
    <w:rsid w:val="1DCD4433"/>
    <w:rsid w:val="1DDB4DE8"/>
    <w:rsid w:val="1E503B16"/>
    <w:rsid w:val="1EA50336"/>
    <w:rsid w:val="1EB647D2"/>
    <w:rsid w:val="1EE45554"/>
    <w:rsid w:val="1F223901"/>
    <w:rsid w:val="1F4E7981"/>
    <w:rsid w:val="1F5648E3"/>
    <w:rsid w:val="1F5A4F75"/>
    <w:rsid w:val="1F5C27B0"/>
    <w:rsid w:val="1F9E3B20"/>
    <w:rsid w:val="1FA81A42"/>
    <w:rsid w:val="207A28AB"/>
    <w:rsid w:val="207F0B08"/>
    <w:rsid w:val="2090258A"/>
    <w:rsid w:val="20AE3791"/>
    <w:rsid w:val="20FC4A36"/>
    <w:rsid w:val="20FD35EF"/>
    <w:rsid w:val="21164D97"/>
    <w:rsid w:val="214C7740"/>
    <w:rsid w:val="215B7FC3"/>
    <w:rsid w:val="21735BD8"/>
    <w:rsid w:val="21904CE7"/>
    <w:rsid w:val="21975127"/>
    <w:rsid w:val="21FC588D"/>
    <w:rsid w:val="2206223F"/>
    <w:rsid w:val="225A1C5C"/>
    <w:rsid w:val="225A30F5"/>
    <w:rsid w:val="2275289D"/>
    <w:rsid w:val="22CA7929"/>
    <w:rsid w:val="23392C33"/>
    <w:rsid w:val="234A0BA5"/>
    <w:rsid w:val="238878FC"/>
    <w:rsid w:val="23C25170"/>
    <w:rsid w:val="23D3150A"/>
    <w:rsid w:val="243B0A2C"/>
    <w:rsid w:val="25A620D8"/>
    <w:rsid w:val="25C60106"/>
    <w:rsid w:val="25F27F51"/>
    <w:rsid w:val="270E20A3"/>
    <w:rsid w:val="272C7C0E"/>
    <w:rsid w:val="27357872"/>
    <w:rsid w:val="27542F6E"/>
    <w:rsid w:val="27795307"/>
    <w:rsid w:val="27C26AE0"/>
    <w:rsid w:val="27D97813"/>
    <w:rsid w:val="2828289C"/>
    <w:rsid w:val="284F21BA"/>
    <w:rsid w:val="28AE60C7"/>
    <w:rsid w:val="29C370E7"/>
    <w:rsid w:val="29D777DD"/>
    <w:rsid w:val="29ED5057"/>
    <w:rsid w:val="2A502D80"/>
    <w:rsid w:val="2A694BF7"/>
    <w:rsid w:val="2A6F3970"/>
    <w:rsid w:val="2A75124B"/>
    <w:rsid w:val="2A7D61DA"/>
    <w:rsid w:val="2A8839BB"/>
    <w:rsid w:val="2ABC1347"/>
    <w:rsid w:val="2B371B21"/>
    <w:rsid w:val="2B89163E"/>
    <w:rsid w:val="2B9174A7"/>
    <w:rsid w:val="2B973E43"/>
    <w:rsid w:val="2BD02F69"/>
    <w:rsid w:val="2BF33B79"/>
    <w:rsid w:val="2BFE184A"/>
    <w:rsid w:val="2C306B75"/>
    <w:rsid w:val="2CBB11AC"/>
    <w:rsid w:val="2CC748BE"/>
    <w:rsid w:val="2D092D18"/>
    <w:rsid w:val="2D817EA7"/>
    <w:rsid w:val="2DAE2A74"/>
    <w:rsid w:val="2DB54F3A"/>
    <w:rsid w:val="2E192CB1"/>
    <w:rsid w:val="2E1D1FBD"/>
    <w:rsid w:val="2E5C4036"/>
    <w:rsid w:val="2EC01F8E"/>
    <w:rsid w:val="2EC57584"/>
    <w:rsid w:val="2F125B2B"/>
    <w:rsid w:val="2F217A90"/>
    <w:rsid w:val="2F870ED4"/>
    <w:rsid w:val="2FB64B54"/>
    <w:rsid w:val="2FF50D97"/>
    <w:rsid w:val="30771349"/>
    <w:rsid w:val="307A7590"/>
    <w:rsid w:val="307E74CB"/>
    <w:rsid w:val="30831D9F"/>
    <w:rsid w:val="30936624"/>
    <w:rsid w:val="30BD1FC3"/>
    <w:rsid w:val="30EA4895"/>
    <w:rsid w:val="310F0C3D"/>
    <w:rsid w:val="317C6C55"/>
    <w:rsid w:val="3192698A"/>
    <w:rsid w:val="320954E0"/>
    <w:rsid w:val="32597B34"/>
    <w:rsid w:val="32FC58CA"/>
    <w:rsid w:val="332E09A4"/>
    <w:rsid w:val="33451E91"/>
    <w:rsid w:val="33C94A8D"/>
    <w:rsid w:val="33ED787A"/>
    <w:rsid w:val="34957500"/>
    <w:rsid w:val="34A21D82"/>
    <w:rsid w:val="34AF3AE1"/>
    <w:rsid w:val="34C7269A"/>
    <w:rsid w:val="34F63680"/>
    <w:rsid w:val="35686F23"/>
    <w:rsid w:val="358539A6"/>
    <w:rsid w:val="359D276A"/>
    <w:rsid w:val="35AB3146"/>
    <w:rsid w:val="35C409B7"/>
    <w:rsid w:val="35DC42C2"/>
    <w:rsid w:val="364476DD"/>
    <w:rsid w:val="366357BC"/>
    <w:rsid w:val="36644934"/>
    <w:rsid w:val="36676389"/>
    <w:rsid w:val="37883861"/>
    <w:rsid w:val="378A3FA2"/>
    <w:rsid w:val="37B06AE3"/>
    <w:rsid w:val="37BD3255"/>
    <w:rsid w:val="37D4119D"/>
    <w:rsid w:val="3809180B"/>
    <w:rsid w:val="383605F1"/>
    <w:rsid w:val="384707F9"/>
    <w:rsid w:val="38743FDC"/>
    <w:rsid w:val="38915AC1"/>
    <w:rsid w:val="38F440FC"/>
    <w:rsid w:val="38F85119"/>
    <w:rsid w:val="391D37C4"/>
    <w:rsid w:val="39343C23"/>
    <w:rsid w:val="3949294B"/>
    <w:rsid w:val="39501D08"/>
    <w:rsid w:val="396B0F98"/>
    <w:rsid w:val="397673F0"/>
    <w:rsid w:val="39B476BA"/>
    <w:rsid w:val="39C936B7"/>
    <w:rsid w:val="3A070E84"/>
    <w:rsid w:val="3A426494"/>
    <w:rsid w:val="3A524387"/>
    <w:rsid w:val="3B3F24E4"/>
    <w:rsid w:val="3B5025F6"/>
    <w:rsid w:val="3BB07BC3"/>
    <w:rsid w:val="3BB7191B"/>
    <w:rsid w:val="3BB87CB3"/>
    <w:rsid w:val="3BDB2168"/>
    <w:rsid w:val="3BF20038"/>
    <w:rsid w:val="3C1F3B93"/>
    <w:rsid w:val="3C3732FE"/>
    <w:rsid w:val="3C5B45C5"/>
    <w:rsid w:val="3C8E5A34"/>
    <w:rsid w:val="3C971BDD"/>
    <w:rsid w:val="3CAC681F"/>
    <w:rsid w:val="3D0E2205"/>
    <w:rsid w:val="3D2B0484"/>
    <w:rsid w:val="3D89231B"/>
    <w:rsid w:val="3DBF7D99"/>
    <w:rsid w:val="3E02463F"/>
    <w:rsid w:val="3E5C793C"/>
    <w:rsid w:val="3E6E5726"/>
    <w:rsid w:val="3F514571"/>
    <w:rsid w:val="3FAB3053"/>
    <w:rsid w:val="3FDC584F"/>
    <w:rsid w:val="401E15E8"/>
    <w:rsid w:val="402B448A"/>
    <w:rsid w:val="40445957"/>
    <w:rsid w:val="40B35CAE"/>
    <w:rsid w:val="40C2172E"/>
    <w:rsid w:val="40D526A4"/>
    <w:rsid w:val="40E27F5F"/>
    <w:rsid w:val="40E56A18"/>
    <w:rsid w:val="411E0F1B"/>
    <w:rsid w:val="41506A2E"/>
    <w:rsid w:val="415842D4"/>
    <w:rsid w:val="41620116"/>
    <w:rsid w:val="42555BC3"/>
    <w:rsid w:val="42830D1F"/>
    <w:rsid w:val="42A73411"/>
    <w:rsid w:val="43473004"/>
    <w:rsid w:val="43A81A43"/>
    <w:rsid w:val="43BC6AC6"/>
    <w:rsid w:val="43BD4E18"/>
    <w:rsid w:val="43D23575"/>
    <w:rsid w:val="44033D1B"/>
    <w:rsid w:val="44C96D76"/>
    <w:rsid w:val="45541303"/>
    <w:rsid w:val="45597C05"/>
    <w:rsid w:val="45711B43"/>
    <w:rsid w:val="45D22220"/>
    <w:rsid w:val="460E097F"/>
    <w:rsid w:val="4633000D"/>
    <w:rsid w:val="465107DD"/>
    <w:rsid w:val="46592CEA"/>
    <w:rsid w:val="465F57E7"/>
    <w:rsid w:val="467C7A66"/>
    <w:rsid w:val="46B80A68"/>
    <w:rsid w:val="470A6B5B"/>
    <w:rsid w:val="4711546A"/>
    <w:rsid w:val="474D1558"/>
    <w:rsid w:val="47BB6A1A"/>
    <w:rsid w:val="481850D5"/>
    <w:rsid w:val="48266969"/>
    <w:rsid w:val="4877490C"/>
    <w:rsid w:val="489754F6"/>
    <w:rsid w:val="48AA361A"/>
    <w:rsid w:val="48E52666"/>
    <w:rsid w:val="48E900BF"/>
    <w:rsid w:val="492B2155"/>
    <w:rsid w:val="493A614B"/>
    <w:rsid w:val="495D59F8"/>
    <w:rsid w:val="49762AF2"/>
    <w:rsid w:val="49973998"/>
    <w:rsid w:val="49B469FC"/>
    <w:rsid w:val="49F41DA1"/>
    <w:rsid w:val="4A402C33"/>
    <w:rsid w:val="4AC37129"/>
    <w:rsid w:val="4B7807A7"/>
    <w:rsid w:val="4B7F319F"/>
    <w:rsid w:val="4BA4581A"/>
    <w:rsid w:val="4BAA6105"/>
    <w:rsid w:val="4BE2013F"/>
    <w:rsid w:val="4C1E6FEB"/>
    <w:rsid w:val="4C202202"/>
    <w:rsid w:val="4C6A141F"/>
    <w:rsid w:val="4C831432"/>
    <w:rsid w:val="4C8F7F18"/>
    <w:rsid w:val="4CDD38C7"/>
    <w:rsid w:val="4D3152C2"/>
    <w:rsid w:val="4D5721AC"/>
    <w:rsid w:val="4D5E2DE2"/>
    <w:rsid w:val="4D6F4A78"/>
    <w:rsid w:val="4D7173C9"/>
    <w:rsid w:val="4D7576C7"/>
    <w:rsid w:val="4D912F79"/>
    <w:rsid w:val="4DA83A0C"/>
    <w:rsid w:val="4DB61C12"/>
    <w:rsid w:val="4DBC2C09"/>
    <w:rsid w:val="4E163A6F"/>
    <w:rsid w:val="4E18343D"/>
    <w:rsid w:val="4E20516F"/>
    <w:rsid w:val="4E4E00E7"/>
    <w:rsid w:val="4E54135A"/>
    <w:rsid w:val="4E8500DC"/>
    <w:rsid w:val="4E9D4DE7"/>
    <w:rsid w:val="4EAD1D62"/>
    <w:rsid w:val="4EEE1E4A"/>
    <w:rsid w:val="4F4E6A2C"/>
    <w:rsid w:val="4F667016"/>
    <w:rsid w:val="4FD07B55"/>
    <w:rsid w:val="504474D2"/>
    <w:rsid w:val="50836998"/>
    <w:rsid w:val="512F6113"/>
    <w:rsid w:val="51430327"/>
    <w:rsid w:val="51556895"/>
    <w:rsid w:val="519056A0"/>
    <w:rsid w:val="51940D00"/>
    <w:rsid w:val="521159CE"/>
    <w:rsid w:val="521160CF"/>
    <w:rsid w:val="52802F80"/>
    <w:rsid w:val="52EE22C1"/>
    <w:rsid w:val="52F24BC4"/>
    <w:rsid w:val="532B536C"/>
    <w:rsid w:val="53DD4956"/>
    <w:rsid w:val="54303282"/>
    <w:rsid w:val="543F1B08"/>
    <w:rsid w:val="54655B25"/>
    <w:rsid w:val="54B01374"/>
    <w:rsid w:val="54FA31E3"/>
    <w:rsid w:val="550D6C1E"/>
    <w:rsid w:val="551A71F1"/>
    <w:rsid w:val="5528752E"/>
    <w:rsid w:val="552F3332"/>
    <w:rsid w:val="5539612D"/>
    <w:rsid w:val="55654CEF"/>
    <w:rsid w:val="55A8117C"/>
    <w:rsid w:val="5603600D"/>
    <w:rsid w:val="564B72F8"/>
    <w:rsid w:val="56F86242"/>
    <w:rsid w:val="56FB6E83"/>
    <w:rsid w:val="570330F5"/>
    <w:rsid w:val="570F2111"/>
    <w:rsid w:val="5722575A"/>
    <w:rsid w:val="57271AC5"/>
    <w:rsid w:val="5737450E"/>
    <w:rsid w:val="574D72A6"/>
    <w:rsid w:val="575D7908"/>
    <w:rsid w:val="577F1938"/>
    <w:rsid w:val="57BD148A"/>
    <w:rsid w:val="57F65900"/>
    <w:rsid w:val="58470135"/>
    <w:rsid w:val="59083958"/>
    <w:rsid w:val="598440B4"/>
    <w:rsid w:val="59844173"/>
    <w:rsid w:val="59846EE8"/>
    <w:rsid w:val="5A644C0A"/>
    <w:rsid w:val="5A956132"/>
    <w:rsid w:val="5B375FF4"/>
    <w:rsid w:val="5B55270F"/>
    <w:rsid w:val="5BD8399F"/>
    <w:rsid w:val="5BEB1735"/>
    <w:rsid w:val="5BF32CB7"/>
    <w:rsid w:val="5BF96AE3"/>
    <w:rsid w:val="5C1146CD"/>
    <w:rsid w:val="5C345F0E"/>
    <w:rsid w:val="5C3632BE"/>
    <w:rsid w:val="5C8D0744"/>
    <w:rsid w:val="5CE700C3"/>
    <w:rsid w:val="5D067C95"/>
    <w:rsid w:val="5DA22059"/>
    <w:rsid w:val="5DBF5D10"/>
    <w:rsid w:val="5DD33820"/>
    <w:rsid w:val="5E23174E"/>
    <w:rsid w:val="5F462644"/>
    <w:rsid w:val="5F5449B7"/>
    <w:rsid w:val="5FA559EB"/>
    <w:rsid w:val="5FAF2E92"/>
    <w:rsid w:val="5FB00FD1"/>
    <w:rsid w:val="5FD6795C"/>
    <w:rsid w:val="5FE869F4"/>
    <w:rsid w:val="600D7973"/>
    <w:rsid w:val="60274B9F"/>
    <w:rsid w:val="603A62DF"/>
    <w:rsid w:val="604855EB"/>
    <w:rsid w:val="60560BF1"/>
    <w:rsid w:val="60632EBD"/>
    <w:rsid w:val="607C4CE8"/>
    <w:rsid w:val="607D6298"/>
    <w:rsid w:val="60BD4946"/>
    <w:rsid w:val="60D119C0"/>
    <w:rsid w:val="60F621A8"/>
    <w:rsid w:val="61506381"/>
    <w:rsid w:val="616764A0"/>
    <w:rsid w:val="61F11485"/>
    <w:rsid w:val="62684358"/>
    <w:rsid w:val="626A1C08"/>
    <w:rsid w:val="62705EC5"/>
    <w:rsid w:val="62720170"/>
    <w:rsid w:val="628A1F9F"/>
    <w:rsid w:val="628B2E59"/>
    <w:rsid w:val="633632AC"/>
    <w:rsid w:val="638C5988"/>
    <w:rsid w:val="6407089B"/>
    <w:rsid w:val="6416519B"/>
    <w:rsid w:val="642F5D1C"/>
    <w:rsid w:val="64EF5EFC"/>
    <w:rsid w:val="655360F4"/>
    <w:rsid w:val="655A27FC"/>
    <w:rsid w:val="655B53A5"/>
    <w:rsid w:val="657A24A3"/>
    <w:rsid w:val="65933CED"/>
    <w:rsid w:val="65CC7EE0"/>
    <w:rsid w:val="65D85924"/>
    <w:rsid w:val="66957177"/>
    <w:rsid w:val="66DF639E"/>
    <w:rsid w:val="66F32B99"/>
    <w:rsid w:val="670623B1"/>
    <w:rsid w:val="674D008B"/>
    <w:rsid w:val="675258EC"/>
    <w:rsid w:val="675B0879"/>
    <w:rsid w:val="67BD2BF5"/>
    <w:rsid w:val="684B6BE8"/>
    <w:rsid w:val="68967A35"/>
    <w:rsid w:val="68B0250D"/>
    <w:rsid w:val="68B20F7A"/>
    <w:rsid w:val="68C54EF9"/>
    <w:rsid w:val="68D11EA2"/>
    <w:rsid w:val="69785DA2"/>
    <w:rsid w:val="69902321"/>
    <w:rsid w:val="69A747CC"/>
    <w:rsid w:val="69C7702E"/>
    <w:rsid w:val="6A4C4C9C"/>
    <w:rsid w:val="6AA24366"/>
    <w:rsid w:val="6AB61B0D"/>
    <w:rsid w:val="6ACE32E3"/>
    <w:rsid w:val="6ACF08F6"/>
    <w:rsid w:val="6B5A205B"/>
    <w:rsid w:val="6B7908F1"/>
    <w:rsid w:val="6B952CA7"/>
    <w:rsid w:val="6BDC5F1C"/>
    <w:rsid w:val="6C35630F"/>
    <w:rsid w:val="6C561697"/>
    <w:rsid w:val="6C687438"/>
    <w:rsid w:val="6C6D2865"/>
    <w:rsid w:val="6CBB568B"/>
    <w:rsid w:val="6D227A1E"/>
    <w:rsid w:val="6D275406"/>
    <w:rsid w:val="6D4113E2"/>
    <w:rsid w:val="6D413AEC"/>
    <w:rsid w:val="6D7642BC"/>
    <w:rsid w:val="6D8F2E8B"/>
    <w:rsid w:val="6DB532A7"/>
    <w:rsid w:val="6DED6BE1"/>
    <w:rsid w:val="6E135436"/>
    <w:rsid w:val="6E3D74B5"/>
    <w:rsid w:val="6EA30111"/>
    <w:rsid w:val="6EB15EC0"/>
    <w:rsid w:val="6F310C03"/>
    <w:rsid w:val="6F591E17"/>
    <w:rsid w:val="6F67077B"/>
    <w:rsid w:val="6FDD42CD"/>
    <w:rsid w:val="701D6891"/>
    <w:rsid w:val="70921A43"/>
    <w:rsid w:val="70EA0286"/>
    <w:rsid w:val="71330265"/>
    <w:rsid w:val="71A0127C"/>
    <w:rsid w:val="71EA6FB9"/>
    <w:rsid w:val="721E1061"/>
    <w:rsid w:val="721F33D4"/>
    <w:rsid w:val="724D7B24"/>
    <w:rsid w:val="725C2563"/>
    <w:rsid w:val="72E67DDE"/>
    <w:rsid w:val="734321C6"/>
    <w:rsid w:val="73A656D2"/>
    <w:rsid w:val="73BE7D1C"/>
    <w:rsid w:val="74193EA6"/>
    <w:rsid w:val="742C0A2A"/>
    <w:rsid w:val="748972F3"/>
    <w:rsid w:val="74A80538"/>
    <w:rsid w:val="74AF6759"/>
    <w:rsid w:val="74B139A1"/>
    <w:rsid w:val="74C43B95"/>
    <w:rsid w:val="74C83058"/>
    <w:rsid w:val="74E252A9"/>
    <w:rsid w:val="74F37865"/>
    <w:rsid w:val="75214E6C"/>
    <w:rsid w:val="75551442"/>
    <w:rsid w:val="75707AF4"/>
    <w:rsid w:val="75C617B0"/>
    <w:rsid w:val="7616767A"/>
    <w:rsid w:val="767769ED"/>
    <w:rsid w:val="76961A8F"/>
    <w:rsid w:val="771B31EF"/>
    <w:rsid w:val="7771720C"/>
    <w:rsid w:val="77CF4FAE"/>
    <w:rsid w:val="78480D65"/>
    <w:rsid w:val="787B6443"/>
    <w:rsid w:val="78D50872"/>
    <w:rsid w:val="78DD74A0"/>
    <w:rsid w:val="78E200DC"/>
    <w:rsid w:val="79081533"/>
    <w:rsid w:val="79144D92"/>
    <w:rsid w:val="792F2193"/>
    <w:rsid w:val="7A1D07CD"/>
    <w:rsid w:val="7A206042"/>
    <w:rsid w:val="7A42313D"/>
    <w:rsid w:val="7A8E32D9"/>
    <w:rsid w:val="7A971B92"/>
    <w:rsid w:val="7AE0531A"/>
    <w:rsid w:val="7AE31FEB"/>
    <w:rsid w:val="7B731A68"/>
    <w:rsid w:val="7BA91F56"/>
    <w:rsid w:val="7BF84F3E"/>
    <w:rsid w:val="7C1959A1"/>
    <w:rsid w:val="7C4E5EDB"/>
    <w:rsid w:val="7CA07E1F"/>
    <w:rsid w:val="7D491E5D"/>
    <w:rsid w:val="7DA627A1"/>
    <w:rsid w:val="7DCA5CFD"/>
    <w:rsid w:val="7E45741A"/>
    <w:rsid w:val="7E5826E6"/>
    <w:rsid w:val="7E5832E6"/>
    <w:rsid w:val="7E903B3D"/>
    <w:rsid w:val="7E997213"/>
    <w:rsid w:val="7ED8261D"/>
    <w:rsid w:val="7EE349CD"/>
    <w:rsid w:val="7F063F72"/>
    <w:rsid w:val="7F223064"/>
    <w:rsid w:val="7F280BE5"/>
    <w:rsid w:val="7F312CCC"/>
    <w:rsid w:val="7FD4564C"/>
    <w:rsid w:val="7FEA0278"/>
    <w:rsid w:val="7FEB537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01"/>
    <w:qFormat/>
    <w:uiPriority w:val="0"/>
    <w:pPr>
      <w:autoSpaceDE w:val="0"/>
      <w:autoSpaceDN w:val="0"/>
      <w:adjustRightInd w:val="0"/>
      <w:snapToGrid w:val="0"/>
      <w:spacing w:line="360" w:lineRule="auto"/>
      <w:ind w:left="5998" w:hanging="1320"/>
      <w:jc w:val="center"/>
      <w:outlineLvl w:val="0"/>
    </w:pPr>
    <w:rPr>
      <w:rFonts w:eastAsia="黑体"/>
      <w:sz w:val="44"/>
      <w:szCs w:val="44"/>
    </w:rPr>
  </w:style>
  <w:style w:type="paragraph" w:styleId="4">
    <w:name w:val="heading 2"/>
    <w:basedOn w:val="1"/>
    <w:next w:val="1"/>
    <w:link w:val="130"/>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link w:val="118"/>
    <w:qFormat/>
    <w:uiPriority w:val="0"/>
    <w:pPr>
      <w:autoSpaceDE w:val="0"/>
      <w:autoSpaceDN w:val="0"/>
      <w:adjustRightInd w:val="0"/>
      <w:spacing w:before="16"/>
      <w:jc w:val="left"/>
      <w:outlineLvl w:val="2"/>
    </w:pPr>
    <w:rPr>
      <w:rFonts w:ascii="仿宋_GB2312" w:eastAsia="仿宋_GB2312"/>
      <w:b/>
      <w:kern w:val="0"/>
      <w:sz w:val="24"/>
      <w:szCs w:val="28"/>
    </w:rPr>
  </w:style>
  <w:style w:type="paragraph" w:styleId="6">
    <w:name w:val="heading 4"/>
    <w:basedOn w:val="1"/>
    <w:next w:val="1"/>
    <w:link w:val="72"/>
    <w:qFormat/>
    <w:uiPriority w:val="0"/>
    <w:pPr>
      <w:jc w:val="center"/>
      <w:outlineLvl w:val="3"/>
    </w:pPr>
  </w:style>
  <w:style w:type="paragraph" w:styleId="7">
    <w:name w:val="heading 5"/>
    <w:basedOn w:val="1"/>
    <w:next w:val="1"/>
    <w:link w:val="140"/>
    <w:qFormat/>
    <w:uiPriority w:val="0"/>
    <w:pPr>
      <w:keepNext/>
      <w:keepLines/>
      <w:spacing w:before="280" w:after="290" w:line="374" w:lineRule="auto"/>
      <w:outlineLvl w:val="4"/>
    </w:pPr>
    <w:rPr>
      <w:b/>
      <w:bCs/>
      <w:sz w:val="28"/>
      <w:szCs w:val="28"/>
    </w:rPr>
  </w:style>
  <w:style w:type="paragraph" w:styleId="8">
    <w:name w:val="heading 6"/>
    <w:basedOn w:val="1"/>
    <w:next w:val="1"/>
    <w:link w:val="90"/>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99"/>
    <w:qFormat/>
    <w:uiPriority w:val="0"/>
    <w:pPr>
      <w:keepNext/>
      <w:keepLines/>
      <w:spacing w:before="240" w:after="64" w:line="319" w:lineRule="auto"/>
      <w:outlineLvl w:val="6"/>
    </w:pPr>
    <w:rPr>
      <w:b/>
      <w:bCs/>
      <w:sz w:val="24"/>
      <w:szCs w:val="24"/>
    </w:rPr>
  </w:style>
  <w:style w:type="paragraph" w:styleId="10">
    <w:name w:val="heading 8"/>
    <w:basedOn w:val="1"/>
    <w:next w:val="1"/>
    <w:link w:val="122"/>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24"/>
    <w:qFormat/>
    <w:uiPriority w:val="0"/>
    <w:pPr>
      <w:keepNext/>
      <w:keepLines/>
      <w:spacing w:before="240" w:after="64" w:line="319" w:lineRule="auto"/>
      <w:outlineLvl w:val="8"/>
    </w:pPr>
    <w:rPr>
      <w:rFonts w:ascii="Arial" w:hAnsi="Arial" w:eastAsia="黑体"/>
      <w:szCs w:val="21"/>
    </w:rPr>
  </w:style>
  <w:style w:type="character" w:default="1" w:styleId="49">
    <w:name w:val="Default Paragraph Font"/>
    <w:unhideWhenUsed/>
    <w:qFormat/>
    <w:uiPriority w:val="1"/>
  </w:style>
  <w:style w:type="table" w:default="1" w:styleId="57">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70"/>
    <w:qFormat/>
    <w:uiPriority w:val="0"/>
    <w:rPr>
      <w:sz w:val="26"/>
    </w:rPr>
  </w:style>
  <w:style w:type="paragraph" w:styleId="12">
    <w:name w:val="annotation subject"/>
    <w:basedOn w:val="13"/>
    <w:next w:val="13"/>
    <w:link w:val="120"/>
    <w:qFormat/>
    <w:uiPriority w:val="0"/>
    <w:pPr>
      <w:adjustRightInd/>
      <w:spacing w:line="240" w:lineRule="auto"/>
      <w:textAlignment w:val="auto"/>
    </w:pPr>
    <w:rPr>
      <w:b/>
      <w:bCs/>
      <w:kern w:val="2"/>
      <w:sz w:val="21"/>
      <w:szCs w:val="24"/>
    </w:rPr>
  </w:style>
  <w:style w:type="paragraph" w:styleId="13">
    <w:name w:val="annotation text"/>
    <w:basedOn w:val="1"/>
    <w:link w:val="88"/>
    <w:qFormat/>
    <w:uiPriority w:val="0"/>
    <w:pPr>
      <w:adjustRightInd w:val="0"/>
      <w:spacing w:line="360" w:lineRule="atLeast"/>
      <w:jc w:val="left"/>
      <w:textAlignment w:val="baseline"/>
    </w:pPr>
    <w:rPr>
      <w:kern w:val="0"/>
      <w:sz w:val="24"/>
    </w:rPr>
  </w:style>
  <w:style w:type="paragraph" w:styleId="14">
    <w:name w:val="toc 7"/>
    <w:basedOn w:val="1"/>
    <w:next w:val="1"/>
    <w:qFormat/>
    <w:uiPriority w:val="0"/>
    <w:pPr>
      <w:ind w:left="2520" w:leftChars="1200"/>
    </w:pPr>
  </w:style>
  <w:style w:type="paragraph" w:styleId="15">
    <w:name w:val="List Bullet 4"/>
    <w:basedOn w:val="1"/>
    <w:qFormat/>
    <w:uiPriority w:val="0"/>
    <w:pPr>
      <w:tabs>
        <w:tab w:val="left" w:pos="1620"/>
      </w:tabs>
      <w:ind w:left="1620" w:hanging="36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Cambria" w:hAnsi="Cambria" w:eastAsia="黑体"/>
      <w:sz w:val="20"/>
    </w:rPr>
  </w:style>
  <w:style w:type="paragraph" w:styleId="18">
    <w:name w:val="List Bullet"/>
    <w:basedOn w:val="1"/>
    <w:qFormat/>
    <w:uiPriority w:val="0"/>
    <w:pPr>
      <w:tabs>
        <w:tab w:val="left" w:pos="360"/>
      </w:tabs>
      <w:ind w:left="360" w:hanging="360"/>
    </w:pPr>
  </w:style>
  <w:style w:type="paragraph" w:styleId="19">
    <w:name w:val="Document Map"/>
    <w:basedOn w:val="1"/>
    <w:link w:val="74"/>
    <w:qFormat/>
    <w:uiPriority w:val="0"/>
    <w:pPr>
      <w:shd w:val="clear" w:color="auto" w:fill="000080"/>
    </w:pPr>
    <w:rPr>
      <w:szCs w:val="24"/>
      <w:shd w:val="clear" w:color="auto" w:fill="000080"/>
    </w:rPr>
  </w:style>
  <w:style w:type="paragraph" w:styleId="20">
    <w:name w:val="Body Text 3"/>
    <w:basedOn w:val="1"/>
    <w:link w:val="60"/>
    <w:qFormat/>
    <w:uiPriority w:val="0"/>
    <w:pPr>
      <w:spacing w:after="120"/>
    </w:pPr>
    <w:rPr>
      <w:sz w:val="16"/>
      <w:szCs w:val="16"/>
    </w:rPr>
  </w:style>
  <w:style w:type="paragraph" w:styleId="21">
    <w:name w:val="List Bullet 3"/>
    <w:basedOn w:val="1"/>
    <w:qFormat/>
    <w:uiPriority w:val="0"/>
    <w:pPr>
      <w:tabs>
        <w:tab w:val="left" w:pos="1200"/>
      </w:tabs>
      <w:ind w:left="1200" w:hanging="360"/>
    </w:pPr>
  </w:style>
  <w:style w:type="paragraph" w:styleId="22">
    <w:name w:val="Body Text Indent"/>
    <w:basedOn w:val="1"/>
    <w:link w:val="79"/>
    <w:qFormat/>
    <w:uiPriority w:val="0"/>
    <w:pPr>
      <w:spacing w:line="360" w:lineRule="auto"/>
      <w:ind w:firstLine="560" w:firstLineChars="200"/>
    </w:pPr>
    <w:rPr>
      <w:rFonts w:ascii="黑体" w:hAnsi="宋体" w:eastAsia="黑体"/>
      <w:color w:val="000000"/>
      <w:sz w:val="28"/>
      <w:szCs w:val="32"/>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4">
    <w:name w:val="List Bullet 2"/>
    <w:basedOn w:val="1"/>
    <w:qFormat/>
    <w:uiPriority w:val="0"/>
    <w:pPr>
      <w:tabs>
        <w:tab w:val="left" w:pos="780"/>
      </w:tabs>
      <w:ind w:left="780" w:hanging="360"/>
    </w:p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link w:val="81"/>
    <w:qFormat/>
    <w:uiPriority w:val="0"/>
    <w:rPr>
      <w:rFonts w:ascii="宋体" w:hAnsi="Courier New"/>
      <w:sz w:val="28"/>
      <w:szCs w:val="28"/>
    </w:rPr>
  </w:style>
  <w:style w:type="paragraph" w:styleId="29">
    <w:name w:val="List Bullet 5"/>
    <w:basedOn w:val="1"/>
    <w:qFormat/>
    <w:uiPriority w:val="0"/>
    <w:pPr>
      <w:tabs>
        <w:tab w:val="left" w:pos="2040"/>
      </w:tabs>
      <w:ind w:left="2040" w:hanging="360"/>
    </w:pPr>
  </w:style>
  <w:style w:type="paragraph" w:styleId="30">
    <w:name w:val="toc 8"/>
    <w:basedOn w:val="1"/>
    <w:next w:val="1"/>
    <w:qFormat/>
    <w:uiPriority w:val="0"/>
    <w:pPr>
      <w:ind w:left="2940" w:leftChars="1400"/>
    </w:pPr>
  </w:style>
  <w:style w:type="paragraph" w:styleId="31">
    <w:name w:val="Date"/>
    <w:basedOn w:val="1"/>
    <w:next w:val="1"/>
    <w:link w:val="103"/>
    <w:qFormat/>
    <w:uiPriority w:val="0"/>
    <w:pPr>
      <w:ind w:left="100" w:leftChars="2500"/>
    </w:pPr>
    <w:rPr>
      <w:szCs w:val="24"/>
    </w:rPr>
  </w:style>
  <w:style w:type="paragraph" w:styleId="32">
    <w:name w:val="Body Text Indent 2"/>
    <w:basedOn w:val="1"/>
    <w:link w:val="80"/>
    <w:qFormat/>
    <w:uiPriority w:val="0"/>
    <w:pPr>
      <w:ind w:left="1005" w:hanging="1005"/>
    </w:pPr>
    <w:rPr>
      <w:rFonts w:eastAsia="仿宋_GB2312"/>
      <w:sz w:val="32"/>
    </w:rPr>
  </w:style>
  <w:style w:type="paragraph" w:styleId="33">
    <w:name w:val="Balloon Text"/>
    <w:basedOn w:val="1"/>
    <w:link w:val="106"/>
    <w:qFormat/>
    <w:uiPriority w:val="0"/>
    <w:rPr>
      <w:sz w:val="18"/>
      <w:szCs w:val="18"/>
    </w:rPr>
  </w:style>
  <w:style w:type="paragraph" w:styleId="34">
    <w:name w:val="footer"/>
    <w:basedOn w:val="1"/>
    <w:link w:val="141"/>
    <w:qFormat/>
    <w:uiPriority w:val="99"/>
    <w:pPr>
      <w:tabs>
        <w:tab w:val="center" w:pos="4153"/>
        <w:tab w:val="right" w:pos="8306"/>
      </w:tabs>
      <w:snapToGrid w:val="0"/>
      <w:jc w:val="left"/>
    </w:pPr>
    <w:rPr>
      <w:sz w:val="18"/>
      <w:szCs w:val="18"/>
    </w:rPr>
  </w:style>
  <w:style w:type="paragraph" w:styleId="35">
    <w:name w:val="Body Text First Indent 2"/>
    <w:basedOn w:val="22"/>
    <w:link w:val="89"/>
    <w:qFormat/>
    <w:uiPriority w:val="0"/>
    <w:pPr>
      <w:spacing w:after="120" w:line="240" w:lineRule="auto"/>
      <w:ind w:left="420" w:leftChars="200" w:firstLine="420"/>
    </w:pPr>
  </w:style>
  <w:style w:type="paragraph" w:styleId="36">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style>
  <w:style w:type="paragraph" w:styleId="38">
    <w:name w:val="toc 4"/>
    <w:basedOn w:val="1"/>
    <w:next w:val="1"/>
    <w:qFormat/>
    <w:uiPriority w:val="0"/>
    <w:pPr>
      <w:ind w:left="1260" w:leftChars="600"/>
    </w:pPr>
  </w:style>
  <w:style w:type="paragraph" w:styleId="39">
    <w:name w:val="Subtitle"/>
    <w:basedOn w:val="1"/>
    <w:link w:val="105"/>
    <w:qFormat/>
    <w:uiPriority w:val="0"/>
    <w:pPr>
      <w:widowControl/>
      <w:jc w:val="center"/>
    </w:pPr>
    <w:rPr>
      <w:kern w:val="0"/>
      <w:sz w:val="20"/>
      <w:szCs w:val="24"/>
      <w:u w:val="single"/>
      <w:lang w:eastAsia="en-US"/>
    </w:rPr>
  </w:style>
  <w:style w:type="paragraph" w:styleId="40">
    <w:name w:val="footnote text"/>
    <w:basedOn w:val="1"/>
    <w:qFormat/>
    <w:uiPriority w:val="0"/>
    <w:pPr>
      <w:snapToGrid w:val="0"/>
      <w:jc w:val="left"/>
    </w:pPr>
    <w:rPr>
      <w:sz w:val="18"/>
      <w:szCs w:val="18"/>
    </w:rPr>
  </w:style>
  <w:style w:type="paragraph" w:styleId="41">
    <w:name w:val="toc 6"/>
    <w:basedOn w:val="1"/>
    <w:next w:val="1"/>
    <w:qFormat/>
    <w:uiPriority w:val="0"/>
    <w:pPr>
      <w:ind w:left="2100" w:leftChars="1000"/>
    </w:pPr>
  </w:style>
  <w:style w:type="paragraph" w:styleId="42">
    <w:name w:val="Body Text Indent 3"/>
    <w:basedOn w:val="1"/>
    <w:qFormat/>
    <w:uiPriority w:val="0"/>
    <w:pPr>
      <w:spacing w:after="120"/>
      <w:ind w:left="420" w:leftChars="200"/>
    </w:pPr>
    <w:rPr>
      <w:sz w:val="16"/>
      <w:szCs w:val="16"/>
    </w:rPr>
  </w:style>
  <w:style w:type="paragraph" w:styleId="43">
    <w:name w:val="toc 2"/>
    <w:basedOn w:val="1"/>
    <w:next w:val="1"/>
    <w:qFormat/>
    <w:uiPriority w:val="39"/>
    <w:pPr>
      <w:ind w:left="420" w:leftChars="200"/>
    </w:pPr>
  </w:style>
  <w:style w:type="paragraph" w:styleId="44">
    <w:name w:val="toc 9"/>
    <w:basedOn w:val="1"/>
    <w:next w:val="1"/>
    <w:qFormat/>
    <w:uiPriority w:val="0"/>
    <w:pPr>
      <w:ind w:left="3360" w:leftChars="1600"/>
    </w:pPr>
  </w:style>
  <w:style w:type="paragraph" w:styleId="45">
    <w:name w:val="Body Text 2"/>
    <w:basedOn w:val="1"/>
    <w:qFormat/>
    <w:uiPriority w:val="0"/>
    <w:rPr>
      <w:i/>
      <w:iCs/>
      <w:sz w:val="26"/>
    </w:r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7">
    <w:name w:val="Normal (Web)"/>
    <w:basedOn w:val="1"/>
    <w:qFormat/>
    <w:uiPriority w:val="0"/>
    <w:pPr>
      <w:widowControl/>
      <w:spacing w:before="100" w:beforeAutospacing="1" w:after="100" w:afterAutospacing="1"/>
      <w:jc w:val="left"/>
    </w:pPr>
    <w:rPr>
      <w:kern w:val="0"/>
      <w:sz w:val="24"/>
    </w:rPr>
  </w:style>
  <w:style w:type="paragraph" w:styleId="48">
    <w:name w:val="Title"/>
    <w:basedOn w:val="1"/>
    <w:next w:val="1"/>
    <w:link w:val="78"/>
    <w:qFormat/>
    <w:uiPriority w:val="0"/>
    <w:pPr>
      <w:spacing w:before="240" w:after="60"/>
      <w:jc w:val="center"/>
      <w:outlineLvl w:val="0"/>
    </w:pPr>
    <w:rPr>
      <w:rFonts w:ascii="Cambria" w:hAnsi="Cambria"/>
      <w:b/>
      <w:bCs/>
      <w:sz w:val="32"/>
      <w:szCs w:val="32"/>
    </w:r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2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9">
    <w:name w:val="页脚 Char1"/>
    <w:semiHidden/>
    <w:qFormat/>
    <w:uiPriority w:val="99"/>
    <w:rPr>
      <w:kern w:val="2"/>
      <w:sz w:val="18"/>
      <w:szCs w:val="18"/>
    </w:rPr>
  </w:style>
  <w:style w:type="character" w:customStyle="1" w:styleId="60">
    <w:name w:val="正文文本 3 字符"/>
    <w:link w:val="20"/>
    <w:qFormat/>
    <w:uiPriority w:val="0"/>
    <w:rPr>
      <w:kern w:val="2"/>
      <w:sz w:val="16"/>
      <w:szCs w:val="16"/>
    </w:rPr>
  </w:style>
  <w:style w:type="character" w:customStyle="1" w:styleId="61">
    <w:name w:val="引用 Char"/>
    <w:link w:val="62"/>
    <w:qFormat/>
    <w:uiPriority w:val="0"/>
    <w:rPr>
      <w:i/>
      <w:iCs/>
      <w:color w:val="000000"/>
      <w:kern w:val="2"/>
      <w:sz w:val="21"/>
      <w:szCs w:val="22"/>
    </w:rPr>
  </w:style>
  <w:style w:type="paragraph" w:customStyle="1" w:styleId="62">
    <w:name w:val="引用1"/>
    <w:basedOn w:val="1"/>
    <w:next w:val="1"/>
    <w:link w:val="61"/>
    <w:qFormat/>
    <w:uiPriority w:val="0"/>
    <w:rPr>
      <w:i/>
      <w:iCs/>
      <w:color w:val="000000"/>
      <w:szCs w:val="22"/>
    </w:rPr>
  </w:style>
  <w:style w:type="character" w:customStyle="1" w:styleId="63">
    <w:name w:val="正文文本 2 Char Char"/>
    <w:qFormat/>
    <w:uiPriority w:val="0"/>
    <w:rPr>
      <w:i/>
      <w:iCs/>
      <w:kern w:val="2"/>
      <w:sz w:val="26"/>
      <w:szCs w:val="24"/>
    </w:rPr>
  </w:style>
  <w:style w:type="character" w:customStyle="1" w:styleId="64">
    <w:name w:val="明显参考1"/>
    <w:qFormat/>
    <w:uiPriority w:val="0"/>
    <w:rPr>
      <w:b/>
      <w:bCs/>
      <w:smallCaps/>
      <w:color w:val="C0504D"/>
      <w:spacing w:val="5"/>
      <w:u w:val="single"/>
    </w:rPr>
  </w:style>
  <w:style w:type="character" w:customStyle="1" w:styleId="65">
    <w:name w:val="引用 Char1"/>
    <w:qFormat/>
    <w:uiPriority w:val="29"/>
    <w:rPr>
      <w:i/>
      <w:iCs/>
      <w:color w:val="000000"/>
      <w:kern w:val="2"/>
      <w:sz w:val="21"/>
    </w:rPr>
  </w:style>
  <w:style w:type="character" w:customStyle="1" w:styleId="66">
    <w:name w:val="页眉 Char1"/>
    <w:semiHidden/>
    <w:qFormat/>
    <w:uiPriority w:val="99"/>
    <w:rPr>
      <w:kern w:val="2"/>
      <w:sz w:val="18"/>
      <w:szCs w:val="18"/>
    </w:rPr>
  </w:style>
  <w:style w:type="character" w:customStyle="1" w:styleId="67">
    <w:name w:val="小标题 Char"/>
    <w:link w:val="68"/>
    <w:qFormat/>
    <w:uiPriority w:val="0"/>
    <w:rPr>
      <w:rFonts w:ascii="宋体" w:eastAsia="宋体"/>
      <w:b/>
      <w:kern w:val="2"/>
      <w:sz w:val="24"/>
      <w:szCs w:val="24"/>
      <w:lang w:val="en-US" w:eastAsia="zh-CN" w:bidi="ar-SA"/>
    </w:rPr>
  </w:style>
  <w:style w:type="paragraph" w:customStyle="1" w:styleId="68">
    <w:name w:val="小标题"/>
    <w:basedOn w:val="1"/>
    <w:next w:val="22"/>
    <w:link w:val="67"/>
    <w:qFormat/>
    <w:uiPriority w:val="0"/>
    <w:pPr>
      <w:spacing w:beforeLines="50" w:afterLines="50"/>
      <w:jc w:val="center"/>
    </w:pPr>
    <w:rPr>
      <w:rFonts w:ascii="宋体"/>
      <w:b/>
      <w:sz w:val="24"/>
      <w:szCs w:val="24"/>
    </w:rPr>
  </w:style>
  <w:style w:type="character" w:customStyle="1" w:styleId="69">
    <w:name w:val="页眉 Char Char"/>
    <w:qFormat/>
    <w:uiPriority w:val="0"/>
    <w:rPr>
      <w:kern w:val="2"/>
      <w:sz w:val="18"/>
      <w:szCs w:val="18"/>
    </w:rPr>
  </w:style>
  <w:style w:type="character" w:customStyle="1" w:styleId="70">
    <w:name w:val="正文文本 字符"/>
    <w:link w:val="2"/>
    <w:qFormat/>
    <w:uiPriority w:val="0"/>
    <w:rPr>
      <w:kern w:val="2"/>
      <w:sz w:val="26"/>
    </w:rPr>
  </w:style>
  <w:style w:type="character" w:customStyle="1" w:styleId="71">
    <w:name w:val="标题 2 Char Char"/>
    <w:qFormat/>
    <w:uiPriority w:val="0"/>
    <w:rPr>
      <w:rFonts w:ascii="仿宋_GB2312" w:eastAsia="仿宋_GB2312" w:cs="MingLiU"/>
      <w:b/>
      <w:spacing w:val="1"/>
      <w:w w:val="99"/>
      <w:sz w:val="28"/>
      <w:szCs w:val="32"/>
    </w:rPr>
  </w:style>
  <w:style w:type="character" w:customStyle="1" w:styleId="72">
    <w:name w:val="标题 4 字符"/>
    <w:link w:val="6"/>
    <w:qFormat/>
    <w:uiPriority w:val="0"/>
    <w:rPr>
      <w:rFonts w:ascii="仿宋_GB2312" w:eastAsia="仿宋_GB2312" w:cs="MingLiU"/>
      <w:b/>
      <w:sz w:val="24"/>
      <w:szCs w:val="28"/>
    </w:rPr>
  </w:style>
  <w:style w:type="character" w:customStyle="1" w:styleId="73">
    <w:name w:val="批注框文本 Char Char"/>
    <w:qFormat/>
    <w:uiPriority w:val="0"/>
    <w:rPr>
      <w:kern w:val="2"/>
      <w:sz w:val="18"/>
      <w:szCs w:val="18"/>
    </w:rPr>
  </w:style>
  <w:style w:type="character" w:customStyle="1" w:styleId="74">
    <w:name w:val="文档结构图 字符"/>
    <w:link w:val="19"/>
    <w:qFormat/>
    <w:uiPriority w:val="0"/>
    <w:rPr>
      <w:kern w:val="2"/>
      <w:sz w:val="21"/>
      <w:szCs w:val="24"/>
      <w:shd w:val="clear" w:color="auto" w:fill="000080"/>
    </w:rPr>
  </w:style>
  <w:style w:type="character" w:customStyle="1" w:styleId="75">
    <w:name w:val="正文文本 Char Char"/>
    <w:qFormat/>
    <w:uiPriority w:val="0"/>
    <w:rPr>
      <w:kern w:val="2"/>
      <w:sz w:val="26"/>
      <w:szCs w:val="24"/>
    </w:rPr>
  </w:style>
  <w:style w:type="character" w:customStyle="1" w:styleId="76">
    <w:name w:val="文档结构图 Char2"/>
    <w:semiHidden/>
    <w:qFormat/>
    <w:uiPriority w:val="99"/>
    <w:rPr>
      <w:rFonts w:ascii="宋体"/>
      <w:kern w:val="2"/>
      <w:sz w:val="18"/>
      <w:szCs w:val="18"/>
    </w:rPr>
  </w:style>
  <w:style w:type="character" w:customStyle="1" w:styleId="77">
    <w:name w:val="Document Map Char"/>
    <w:qFormat/>
    <w:locked/>
    <w:uiPriority w:val="99"/>
    <w:rPr>
      <w:rFonts w:ascii="Times New Roman" w:hAnsi="Times New Roman" w:cs="Times New Roman"/>
      <w:sz w:val="24"/>
      <w:szCs w:val="24"/>
      <w:shd w:val="clear" w:color="auto" w:fill="000080"/>
    </w:rPr>
  </w:style>
  <w:style w:type="character" w:customStyle="1" w:styleId="78">
    <w:name w:val="标题 字符"/>
    <w:link w:val="48"/>
    <w:qFormat/>
    <w:uiPriority w:val="0"/>
    <w:rPr>
      <w:rFonts w:ascii="Cambria" w:hAnsi="Cambria"/>
      <w:b/>
      <w:bCs/>
      <w:kern w:val="2"/>
      <w:sz w:val="32"/>
      <w:szCs w:val="32"/>
    </w:rPr>
  </w:style>
  <w:style w:type="character" w:customStyle="1" w:styleId="79">
    <w:name w:val="正文文本缩进 字符"/>
    <w:link w:val="22"/>
    <w:qFormat/>
    <w:uiPriority w:val="0"/>
    <w:rPr>
      <w:rFonts w:ascii="黑体" w:hAnsi="宋体" w:eastAsia="黑体"/>
      <w:color w:val="000000"/>
      <w:kern w:val="2"/>
      <w:sz w:val="28"/>
      <w:szCs w:val="32"/>
    </w:rPr>
  </w:style>
  <w:style w:type="character" w:customStyle="1" w:styleId="80">
    <w:name w:val="正文文本缩进 2 字符"/>
    <w:link w:val="32"/>
    <w:qFormat/>
    <w:uiPriority w:val="0"/>
    <w:rPr>
      <w:rFonts w:eastAsia="仿宋_GB2312"/>
      <w:kern w:val="2"/>
      <w:sz w:val="32"/>
    </w:rPr>
  </w:style>
  <w:style w:type="character" w:customStyle="1" w:styleId="81">
    <w:name w:val="纯文本 字符"/>
    <w:link w:val="28"/>
    <w:qFormat/>
    <w:uiPriority w:val="0"/>
    <w:rPr>
      <w:rFonts w:ascii="宋体" w:hAnsi="Courier New" w:eastAsia="宋体"/>
      <w:kern w:val="2"/>
      <w:sz w:val="28"/>
      <w:szCs w:val="28"/>
      <w:lang w:val="en-US" w:eastAsia="zh-CN" w:bidi="ar-SA"/>
    </w:rPr>
  </w:style>
  <w:style w:type="character" w:customStyle="1" w:styleId="82">
    <w:name w:val="批注主题 Char2"/>
    <w:semiHidden/>
    <w:qFormat/>
    <w:uiPriority w:val="99"/>
    <w:rPr>
      <w:b/>
      <w:bCs/>
      <w:kern w:val="2"/>
      <w:sz w:val="21"/>
      <w:szCs w:val="22"/>
    </w:rPr>
  </w:style>
  <w:style w:type="character" w:customStyle="1" w:styleId="83">
    <w:name w:val="批注主题 Char1"/>
    <w:qFormat/>
    <w:uiPriority w:val="0"/>
    <w:rPr>
      <w:b/>
      <w:bCs/>
      <w:kern w:val="2"/>
      <w:sz w:val="21"/>
      <w:szCs w:val="22"/>
    </w:rPr>
  </w:style>
  <w:style w:type="character" w:customStyle="1" w:styleId="84">
    <w:name w:val="批注文字 Char Char"/>
    <w:qFormat/>
    <w:uiPriority w:val="0"/>
    <w:rPr>
      <w:sz w:val="24"/>
    </w:rPr>
  </w:style>
  <w:style w:type="character" w:customStyle="1" w:styleId="85">
    <w:name w:val="不明显强调1"/>
    <w:qFormat/>
    <w:uiPriority w:val="0"/>
    <w:rPr>
      <w:i/>
      <w:iCs/>
      <w:color w:val="808080"/>
    </w:rPr>
  </w:style>
  <w:style w:type="character" w:customStyle="1" w:styleId="86">
    <w:name w:val="批注主题 Char Char"/>
    <w:basedOn w:val="84"/>
    <w:qFormat/>
    <w:uiPriority w:val="0"/>
    <w:rPr>
      <w:sz w:val="24"/>
    </w:rPr>
  </w:style>
  <w:style w:type="character" w:customStyle="1" w:styleId="87">
    <w:name w:val="明显强调1"/>
    <w:qFormat/>
    <w:uiPriority w:val="0"/>
    <w:rPr>
      <w:b/>
      <w:bCs/>
      <w:i/>
      <w:iCs/>
      <w:color w:val="4F81BD"/>
    </w:rPr>
  </w:style>
  <w:style w:type="character" w:customStyle="1" w:styleId="88">
    <w:name w:val="批注文字 字符"/>
    <w:link w:val="13"/>
    <w:qFormat/>
    <w:uiPriority w:val="0"/>
    <w:rPr>
      <w:rFonts w:eastAsia="宋体"/>
      <w:sz w:val="24"/>
      <w:lang w:val="en-US" w:eastAsia="zh-CN" w:bidi="ar-SA"/>
    </w:rPr>
  </w:style>
  <w:style w:type="character" w:customStyle="1" w:styleId="89">
    <w:name w:val="正文文本首行缩进 2 字符"/>
    <w:basedOn w:val="79"/>
    <w:link w:val="35"/>
    <w:qFormat/>
    <w:uiPriority w:val="0"/>
    <w:rPr>
      <w:rFonts w:ascii="黑体" w:hAnsi="宋体" w:eastAsia="黑体"/>
      <w:color w:val="000000"/>
      <w:kern w:val="2"/>
      <w:sz w:val="28"/>
      <w:szCs w:val="32"/>
    </w:rPr>
  </w:style>
  <w:style w:type="character" w:customStyle="1" w:styleId="90">
    <w:name w:val="标题 6 字符"/>
    <w:link w:val="8"/>
    <w:qFormat/>
    <w:uiPriority w:val="0"/>
    <w:rPr>
      <w:rFonts w:ascii="Arial" w:hAnsi="Arial" w:eastAsia="黑体"/>
      <w:b/>
      <w:bCs/>
      <w:kern w:val="2"/>
      <w:sz w:val="24"/>
      <w:szCs w:val="24"/>
    </w:rPr>
  </w:style>
  <w:style w:type="character" w:customStyle="1" w:styleId="91">
    <w:name w:val="脚注文本 Char Char"/>
    <w:qFormat/>
    <w:uiPriority w:val="0"/>
    <w:rPr>
      <w:kern w:val="2"/>
      <w:sz w:val="18"/>
      <w:szCs w:val="18"/>
    </w:rPr>
  </w:style>
  <w:style w:type="character" w:customStyle="1" w:styleId="92">
    <w:name w:val="5号正文 Char Char"/>
    <w:link w:val="93"/>
    <w:qFormat/>
    <w:uiPriority w:val="0"/>
    <w:rPr>
      <w:rFonts w:ascii="楷体_GB2312" w:hAnsi="宋体" w:eastAsia="楷体_GB2312"/>
      <w:snapToGrid w:val="0"/>
      <w:sz w:val="24"/>
      <w:szCs w:val="28"/>
      <w:lang w:val="en-US" w:eastAsia="zh-CN" w:bidi="ar-SA"/>
    </w:rPr>
  </w:style>
  <w:style w:type="paragraph" w:customStyle="1" w:styleId="93">
    <w:name w:val="5号正文"/>
    <w:link w:val="92"/>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character" w:customStyle="1" w:styleId="94">
    <w:name w:val="标题5 Char Char"/>
    <w:link w:val="95"/>
    <w:qFormat/>
    <w:uiPriority w:val="0"/>
    <w:rPr>
      <w:rFonts w:ascii="Arial" w:hAnsi="Arial"/>
      <w:b/>
      <w:bCs/>
      <w:sz w:val="24"/>
      <w:szCs w:val="32"/>
    </w:rPr>
  </w:style>
  <w:style w:type="paragraph" w:customStyle="1" w:styleId="95">
    <w:name w:val="标题5"/>
    <w:basedOn w:val="5"/>
    <w:link w:val="94"/>
    <w:qFormat/>
    <w:uiPriority w:val="0"/>
    <w:pPr>
      <w:keepNext/>
      <w:keepLines/>
      <w:autoSpaceDE/>
      <w:autoSpaceDN/>
      <w:adjustRightInd/>
      <w:spacing w:before="260" w:after="260" w:line="413" w:lineRule="auto"/>
      <w:jc w:val="both"/>
    </w:pPr>
    <w:rPr>
      <w:rFonts w:ascii="Arial" w:hAnsi="Arial" w:eastAsia="宋体"/>
      <w:bCs/>
      <w:szCs w:val="32"/>
    </w:rPr>
  </w:style>
  <w:style w:type="character" w:customStyle="1" w:styleId="96">
    <w:name w:val="日期 Char1"/>
    <w:qFormat/>
    <w:uiPriority w:val="0"/>
    <w:rPr>
      <w:kern w:val="2"/>
      <w:sz w:val="21"/>
      <w:szCs w:val="22"/>
    </w:rPr>
  </w:style>
  <w:style w:type="character" w:customStyle="1" w:styleId="97">
    <w:name w:val="正文文本 Char2"/>
    <w:semiHidden/>
    <w:qFormat/>
    <w:uiPriority w:val="99"/>
    <w:rPr>
      <w:kern w:val="2"/>
      <w:sz w:val="21"/>
      <w:szCs w:val="22"/>
    </w:rPr>
  </w:style>
  <w:style w:type="character" w:customStyle="1" w:styleId="98">
    <w:name w:val="不明显参考1"/>
    <w:qFormat/>
    <w:uiPriority w:val="0"/>
    <w:rPr>
      <w:smallCaps/>
      <w:color w:val="C0504D"/>
      <w:u w:val="single"/>
    </w:rPr>
  </w:style>
  <w:style w:type="character" w:customStyle="1" w:styleId="99">
    <w:name w:val="标题 7 字符"/>
    <w:link w:val="9"/>
    <w:qFormat/>
    <w:uiPriority w:val="0"/>
    <w:rPr>
      <w:b/>
      <w:bCs/>
      <w:kern w:val="2"/>
      <w:sz w:val="24"/>
      <w:szCs w:val="24"/>
    </w:rPr>
  </w:style>
  <w:style w:type="character" w:customStyle="1" w:styleId="100">
    <w:name w:val="标题 6 Char Char"/>
    <w:qFormat/>
    <w:uiPriority w:val="0"/>
    <w:rPr>
      <w:rFonts w:ascii="Arial" w:hAnsi="Arial" w:eastAsia="黑体"/>
      <w:b/>
      <w:bCs/>
      <w:kern w:val="2"/>
      <w:sz w:val="24"/>
      <w:szCs w:val="24"/>
    </w:rPr>
  </w:style>
  <w:style w:type="character" w:customStyle="1" w:styleId="101">
    <w:name w:val="标题 1 字符"/>
    <w:link w:val="3"/>
    <w:qFormat/>
    <w:uiPriority w:val="0"/>
    <w:rPr>
      <w:rFonts w:eastAsia="黑体"/>
      <w:kern w:val="2"/>
      <w:sz w:val="44"/>
      <w:szCs w:val="44"/>
    </w:rPr>
  </w:style>
  <w:style w:type="character" w:customStyle="1" w:styleId="102">
    <w:name w:val="纯文本 Char Char"/>
    <w:qFormat/>
    <w:uiPriority w:val="0"/>
    <w:rPr>
      <w:rFonts w:ascii="宋体" w:hAnsi="Courier New"/>
      <w:kern w:val="2"/>
      <w:sz w:val="28"/>
      <w:szCs w:val="28"/>
    </w:rPr>
  </w:style>
  <w:style w:type="character" w:customStyle="1" w:styleId="103">
    <w:name w:val="日期 字符"/>
    <w:link w:val="31"/>
    <w:qFormat/>
    <w:uiPriority w:val="0"/>
    <w:rPr>
      <w:kern w:val="2"/>
      <w:sz w:val="21"/>
      <w:szCs w:val="24"/>
    </w:rPr>
  </w:style>
  <w:style w:type="character" w:customStyle="1" w:styleId="104">
    <w:name w:val="textcontents"/>
    <w:qFormat/>
    <w:uiPriority w:val="0"/>
    <w:rPr>
      <w:rFonts w:cs="Times New Roman"/>
    </w:rPr>
  </w:style>
  <w:style w:type="character" w:customStyle="1" w:styleId="105">
    <w:name w:val="副标题 字符"/>
    <w:link w:val="39"/>
    <w:qFormat/>
    <w:uiPriority w:val="0"/>
    <w:rPr>
      <w:szCs w:val="24"/>
      <w:u w:val="single"/>
      <w:lang w:eastAsia="en-US"/>
    </w:rPr>
  </w:style>
  <w:style w:type="character" w:customStyle="1" w:styleId="106">
    <w:name w:val="批注框文本 字符"/>
    <w:link w:val="33"/>
    <w:qFormat/>
    <w:uiPriority w:val="0"/>
    <w:rPr>
      <w:kern w:val="2"/>
      <w:sz w:val="18"/>
      <w:szCs w:val="18"/>
    </w:rPr>
  </w:style>
  <w:style w:type="character" w:customStyle="1" w:styleId="107">
    <w:name w:val="批注文字 Char1"/>
    <w:semiHidden/>
    <w:qFormat/>
    <w:uiPriority w:val="99"/>
    <w:rPr>
      <w:kern w:val="2"/>
      <w:sz w:val="21"/>
      <w:szCs w:val="22"/>
    </w:rPr>
  </w:style>
  <w:style w:type="character" w:customStyle="1" w:styleId="108">
    <w:name w:val="页眉 字符"/>
    <w:link w:val="36"/>
    <w:qFormat/>
    <w:uiPriority w:val="0"/>
    <w:rPr>
      <w:rFonts w:eastAsia="宋体"/>
      <w:kern w:val="2"/>
      <w:sz w:val="18"/>
      <w:szCs w:val="18"/>
      <w:lang w:val="en-US" w:eastAsia="zh-CN" w:bidi="ar-SA"/>
    </w:rPr>
  </w:style>
  <w:style w:type="character" w:customStyle="1" w:styleId="109">
    <w:name w:val="明显引用 Char"/>
    <w:link w:val="110"/>
    <w:qFormat/>
    <w:uiPriority w:val="0"/>
    <w:rPr>
      <w:b/>
      <w:bCs/>
      <w:i/>
      <w:iCs/>
      <w:color w:val="4F81BD"/>
      <w:kern w:val="2"/>
      <w:sz w:val="21"/>
      <w:szCs w:val="22"/>
    </w:rPr>
  </w:style>
  <w:style w:type="paragraph" w:customStyle="1" w:styleId="110">
    <w:name w:val="明显引用1"/>
    <w:basedOn w:val="1"/>
    <w:next w:val="1"/>
    <w:link w:val="109"/>
    <w:qFormat/>
    <w:uiPriority w:val="0"/>
    <w:pPr>
      <w:pBdr>
        <w:bottom w:val="single" w:color="4F81BD" w:sz="4" w:space="4"/>
      </w:pBdr>
      <w:spacing w:before="200" w:after="280"/>
      <w:ind w:left="936" w:right="936"/>
    </w:pPr>
    <w:rPr>
      <w:b/>
      <w:bCs/>
      <w:i/>
      <w:iCs/>
      <w:color w:val="4F81BD"/>
      <w:szCs w:val="22"/>
    </w:rPr>
  </w:style>
  <w:style w:type="character" w:customStyle="1" w:styleId="111">
    <w:name w:val="标题 4 Char Char"/>
    <w:qFormat/>
    <w:uiPriority w:val="0"/>
    <w:rPr>
      <w:rFonts w:ascii="仿宋_GB2312" w:eastAsia="仿宋_GB2312" w:cs="MingLiU"/>
      <w:b/>
      <w:sz w:val="24"/>
      <w:szCs w:val="28"/>
    </w:rPr>
  </w:style>
  <w:style w:type="character" w:customStyle="1" w:styleId="112">
    <w:name w:val="正文部分 Char"/>
    <w:link w:val="113"/>
    <w:qFormat/>
    <w:uiPriority w:val="0"/>
    <w:rPr>
      <w:rFonts w:ascii="宋体" w:hAnsi="宋体" w:eastAsia="宋体"/>
      <w:snapToGrid w:val="0"/>
      <w:kern w:val="2"/>
      <w:sz w:val="28"/>
      <w:szCs w:val="28"/>
      <w:lang w:val="en-US" w:eastAsia="zh-CN" w:bidi="ar-SA"/>
    </w:rPr>
  </w:style>
  <w:style w:type="paragraph" w:customStyle="1" w:styleId="113">
    <w:name w:val="正文部分"/>
    <w:basedOn w:val="1"/>
    <w:link w:val="112"/>
    <w:qFormat/>
    <w:uiPriority w:val="0"/>
    <w:pPr>
      <w:ind w:firstLine="200" w:firstLineChars="200"/>
    </w:pPr>
    <w:rPr>
      <w:rFonts w:ascii="宋体" w:hAnsi="宋体"/>
      <w:snapToGrid w:val="0"/>
      <w:sz w:val="28"/>
      <w:szCs w:val="28"/>
    </w:rPr>
  </w:style>
  <w:style w:type="character" w:customStyle="1" w:styleId="114">
    <w:name w:val="apple-converted-space"/>
    <w:basedOn w:val="49"/>
    <w:qFormat/>
    <w:uiPriority w:val="0"/>
  </w:style>
  <w:style w:type="character" w:customStyle="1" w:styleId="115">
    <w:name w:val="批注框文本 Char1"/>
    <w:qFormat/>
    <w:uiPriority w:val="0"/>
    <w:rPr>
      <w:kern w:val="2"/>
      <w:sz w:val="18"/>
      <w:szCs w:val="18"/>
    </w:rPr>
  </w:style>
  <w:style w:type="character" w:customStyle="1" w:styleId="116">
    <w:name w:val="样式3 Char Char"/>
    <w:basedOn w:val="117"/>
    <w:qFormat/>
    <w:uiPriority w:val="0"/>
    <w:rPr>
      <w:rFonts w:ascii="仿宋_GB2312" w:eastAsia="仿宋_GB2312" w:cs="MingLiU"/>
      <w:sz w:val="24"/>
      <w:szCs w:val="28"/>
    </w:rPr>
  </w:style>
  <w:style w:type="character" w:customStyle="1" w:styleId="117">
    <w:name w:val="标题 3 Char Char"/>
    <w:qFormat/>
    <w:uiPriority w:val="0"/>
    <w:rPr>
      <w:rFonts w:ascii="仿宋_GB2312" w:eastAsia="仿宋_GB2312" w:cs="MingLiU"/>
      <w:b/>
      <w:sz w:val="24"/>
      <w:szCs w:val="28"/>
    </w:rPr>
  </w:style>
  <w:style w:type="character" w:customStyle="1" w:styleId="118">
    <w:name w:val="标题 3 字符"/>
    <w:link w:val="5"/>
    <w:qFormat/>
    <w:uiPriority w:val="0"/>
    <w:rPr>
      <w:rFonts w:ascii="仿宋_GB2312" w:eastAsia="仿宋_GB2312" w:cs="MingLiU"/>
      <w:b/>
      <w:sz w:val="24"/>
      <w:szCs w:val="28"/>
    </w:rPr>
  </w:style>
  <w:style w:type="character" w:customStyle="1" w:styleId="119">
    <w:name w:val="文档结构图 Char1"/>
    <w:qFormat/>
    <w:uiPriority w:val="0"/>
    <w:rPr>
      <w:rFonts w:ascii="宋体"/>
      <w:kern w:val="2"/>
      <w:sz w:val="18"/>
      <w:szCs w:val="18"/>
    </w:rPr>
  </w:style>
  <w:style w:type="character" w:customStyle="1" w:styleId="120">
    <w:name w:val="批注主题 字符"/>
    <w:link w:val="12"/>
    <w:qFormat/>
    <w:uiPriority w:val="0"/>
    <w:rPr>
      <w:b/>
      <w:bCs/>
      <w:kern w:val="2"/>
      <w:sz w:val="21"/>
      <w:szCs w:val="24"/>
    </w:rPr>
  </w:style>
  <w:style w:type="character" w:customStyle="1" w:styleId="121">
    <w:name w:val="日期 Char2"/>
    <w:semiHidden/>
    <w:qFormat/>
    <w:uiPriority w:val="99"/>
    <w:rPr>
      <w:kern w:val="2"/>
      <w:sz w:val="21"/>
      <w:szCs w:val="22"/>
    </w:rPr>
  </w:style>
  <w:style w:type="character" w:customStyle="1" w:styleId="122">
    <w:name w:val="标题 8 字符"/>
    <w:link w:val="10"/>
    <w:qFormat/>
    <w:uiPriority w:val="0"/>
    <w:rPr>
      <w:rFonts w:ascii="Arial" w:hAnsi="Arial" w:eastAsia="黑体"/>
      <w:kern w:val="2"/>
      <w:sz w:val="24"/>
      <w:szCs w:val="24"/>
    </w:rPr>
  </w:style>
  <w:style w:type="character" w:customStyle="1" w:styleId="123">
    <w:name w:val="副标题 Char1"/>
    <w:qFormat/>
    <w:uiPriority w:val="11"/>
    <w:rPr>
      <w:rFonts w:ascii="Cambria" w:hAnsi="Cambria" w:cs="Times New Roman"/>
      <w:b/>
      <w:bCs/>
      <w:kern w:val="28"/>
      <w:sz w:val="32"/>
      <w:szCs w:val="32"/>
    </w:rPr>
  </w:style>
  <w:style w:type="character" w:customStyle="1" w:styleId="124">
    <w:name w:val="标题 9 字符"/>
    <w:link w:val="11"/>
    <w:qFormat/>
    <w:uiPriority w:val="0"/>
    <w:rPr>
      <w:rFonts w:ascii="Arial" w:hAnsi="Arial" w:eastAsia="黑体"/>
      <w:kern w:val="2"/>
      <w:sz w:val="21"/>
      <w:szCs w:val="21"/>
    </w:rPr>
  </w:style>
  <w:style w:type="character" w:customStyle="1" w:styleId="125">
    <w:name w:val="标题 #3_"/>
    <w:link w:val="126"/>
    <w:qFormat/>
    <w:uiPriority w:val="0"/>
    <w:rPr>
      <w:rFonts w:ascii="宋体" w:hAnsi="宋体" w:cs="宋体"/>
      <w:sz w:val="26"/>
      <w:szCs w:val="26"/>
      <w:shd w:val="clear" w:color="auto" w:fill="FFFFFF"/>
    </w:rPr>
  </w:style>
  <w:style w:type="paragraph" w:customStyle="1" w:styleId="126">
    <w:name w:val="标题 #3"/>
    <w:basedOn w:val="1"/>
    <w:link w:val="125"/>
    <w:qFormat/>
    <w:uiPriority w:val="0"/>
    <w:pPr>
      <w:shd w:val="clear" w:color="auto" w:fill="FFFFFF"/>
      <w:spacing w:after="360" w:line="0" w:lineRule="atLeast"/>
      <w:jc w:val="center"/>
      <w:outlineLvl w:val="2"/>
    </w:pPr>
    <w:rPr>
      <w:rFonts w:ascii="宋体" w:hAnsi="宋体"/>
      <w:kern w:val="0"/>
      <w:sz w:val="26"/>
      <w:szCs w:val="26"/>
    </w:rPr>
  </w:style>
  <w:style w:type="character" w:customStyle="1" w:styleId="127">
    <w:name w:val="批注框文本 Char2"/>
    <w:semiHidden/>
    <w:qFormat/>
    <w:uiPriority w:val="99"/>
    <w:rPr>
      <w:kern w:val="2"/>
      <w:sz w:val="18"/>
      <w:szCs w:val="18"/>
    </w:rPr>
  </w:style>
  <w:style w:type="character" w:customStyle="1" w:styleId="128">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29">
    <w:name w:val="页脚 Char Char"/>
    <w:qFormat/>
    <w:uiPriority w:val="0"/>
    <w:rPr>
      <w:kern w:val="2"/>
      <w:sz w:val="18"/>
      <w:szCs w:val="18"/>
    </w:rPr>
  </w:style>
  <w:style w:type="character" w:customStyle="1" w:styleId="130">
    <w:name w:val="标题 2 字符"/>
    <w:link w:val="4"/>
    <w:qFormat/>
    <w:uiPriority w:val="0"/>
    <w:rPr>
      <w:rFonts w:ascii="仿宋_GB2312" w:eastAsia="仿宋_GB2312"/>
      <w:b/>
      <w:spacing w:val="1"/>
      <w:w w:val="99"/>
      <w:sz w:val="28"/>
      <w:szCs w:val="32"/>
    </w:rPr>
  </w:style>
  <w:style w:type="character" w:customStyle="1" w:styleId="131">
    <w:name w:val="明显引用 Char1"/>
    <w:qFormat/>
    <w:uiPriority w:val="30"/>
    <w:rPr>
      <w:b/>
      <w:bCs/>
      <w:i/>
      <w:iCs/>
      <w:color w:val="4F81BD"/>
      <w:kern w:val="2"/>
      <w:sz w:val="21"/>
    </w:rPr>
  </w:style>
  <w:style w:type="character" w:customStyle="1" w:styleId="132">
    <w:name w:val="标题 #2_"/>
    <w:link w:val="133"/>
    <w:qFormat/>
    <w:uiPriority w:val="0"/>
    <w:rPr>
      <w:rFonts w:ascii="宋体" w:hAnsi="宋体" w:cs="宋体"/>
      <w:sz w:val="32"/>
      <w:szCs w:val="32"/>
      <w:shd w:val="clear" w:color="auto" w:fill="FFFFFF"/>
    </w:rPr>
  </w:style>
  <w:style w:type="paragraph" w:customStyle="1" w:styleId="133">
    <w:name w:val="标题 #2"/>
    <w:basedOn w:val="1"/>
    <w:link w:val="132"/>
    <w:qFormat/>
    <w:uiPriority w:val="0"/>
    <w:pPr>
      <w:shd w:val="clear" w:color="auto" w:fill="FFFFFF"/>
      <w:spacing w:before="780" w:after="420" w:line="0" w:lineRule="atLeast"/>
      <w:jc w:val="left"/>
      <w:outlineLvl w:val="1"/>
    </w:pPr>
    <w:rPr>
      <w:rFonts w:ascii="宋体" w:hAnsi="宋体"/>
      <w:kern w:val="0"/>
      <w:sz w:val="32"/>
      <w:szCs w:val="32"/>
    </w:rPr>
  </w:style>
  <w:style w:type="character" w:customStyle="1" w:styleId="134">
    <w:name w:val="标题 1 Char Char"/>
    <w:qFormat/>
    <w:uiPriority w:val="0"/>
    <w:rPr>
      <w:rFonts w:eastAsia="黑体"/>
      <w:kern w:val="2"/>
      <w:sz w:val="44"/>
      <w:szCs w:val="44"/>
      <w:lang w:val="en-US" w:eastAsia="zh-CN" w:bidi="ar-SA"/>
    </w:rPr>
  </w:style>
  <w:style w:type="character" w:customStyle="1" w:styleId="135">
    <w:name w:val="标题4 Char Char"/>
    <w:link w:val="136"/>
    <w:qFormat/>
    <w:uiPriority w:val="0"/>
    <w:rPr>
      <w:rFonts w:ascii="Arial" w:hAnsi="Arial"/>
      <w:b/>
      <w:bCs/>
      <w:sz w:val="24"/>
      <w:szCs w:val="32"/>
    </w:rPr>
  </w:style>
  <w:style w:type="paragraph" w:customStyle="1" w:styleId="136">
    <w:name w:val="标题4"/>
    <w:basedOn w:val="4"/>
    <w:next w:val="25"/>
    <w:link w:val="135"/>
    <w:qFormat/>
    <w:uiPriority w:val="0"/>
    <w:pPr>
      <w:keepNext/>
      <w:keepLines/>
      <w:autoSpaceDE/>
      <w:autoSpaceDN/>
      <w:adjustRightInd/>
      <w:snapToGrid/>
      <w:spacing w:before="260" w:after="260" w:line="413" w:lineRule="auto"/>
      <w:jc w:val="both"/>
    </w:pPr>
    <w:rPr>
      <w:rFonts w:ascii="Arial" w:hAnsi="Arial" w:eastAsia="宋体"/>
      <w:bCs/>
      <w:spacing w:val="0"/>
      <w:w w:val="100"/>
      <w:sz w:val="24"/>
    </w:rPr>
  </w:style>
  <w:style w:type="character" w:customStyle="1" w:styleId="137">
    <w:name w:val="正文文本 Char1"/>
    <w:qFormat/>
    <w:uiPriority w:val="0"/>
    <w:rPr>
      <w:kern w:val="2"/>
      <w:sz w:val="21"/>
      <w:szCs w:val="22"/>
    </w:rPr>
  </w:style>
  <w:style w:type="character" w:customStyle="1" w:styleId="138">
    <w:name w:val="书籍标题1"/>
    <w:qFormat/>
    <w:uiPriority w:val="0"/>
    <w:rPr>
      <w:b/>
      <w:bCs/>
      <w:smallCaps/>
      <w:spacing w:val="5"/>
    </w:rPr>
  </w:style>
  <w:style w:type="character" w:customStyle="1" w:styleId="139">
    <w:name w:val="Char Char11"/>
    <w:qFormat/>
    <w:uiPriority w:val="0"/>
    <w:rPr>
      <w:rFonts w:eastAsia="黑体"/>
      <w:kern w:val="2"/>
      <w:sz w:val="44"/>
      <w:szCs w:val="44"/>
      <w:lang w:val="en-US" w:eastAsia="zh-CN" w:bidi="ar-SA"/>
    </w:rPr>
  </w:style>
  <w:style w:type="character" w:customStyle="1" w:styleId="140">
    <w:name w:val="标题 5 字符"/>
    <w:link w:val="7"/>
    <w:qFormat/>
    <w:uiPriority w:val="0"/>
    <w:rPr>
      <w:b/>
      <w:bCs/>
      <w:kern w:val="2"/>
      <w:sz w:val="28"/>
      <w:szCs w:val="28"/>
    </w:rPr>
  </w:style>
  <w:style w:type="character" w:customStyle="1" w:styleId="141">
    <w:name w:val="页脚 字符"/>
    <w:link w:val="34"/>
    <w:qFormat/>
    <w:uiPriority w:val="99"/>
    <w:rPr>
      <w:kern w:val="2"/>
      <w:sz w:val="18"/>
      <w:szCs w:val="18"/>
    </w:rPr>
  </w:style>
  <w:style w:type="character" w:customStyle="1" w:styleId="142">
    <w:name w:val="标题 Char1"/>
    <w:qFormat/>
    <w:uiPriority w:val="10"/>
    <w:rPr>
      <w:rFonts w:ascii="Cambria" w:hAnsi="Cambria" w:cs="Times New Roman"/>
      <w:b/>
      <w:bCs/>
      <w:kern w:val="2"/>
      <w:sz w:val="32"/>
      <w:szCs w:val="32"/>
    </w:rPr>
  </w:style>
  <w:style w:type="paragraph" w:customStyle="1" w:styleId="143">
    <w:name w:val="Char Char Char Char Char Char Char"/>
    <w:basedOn w:val="1"/>
    <w:qFormat/>
    <w:uiPriority w:val="0"/>
  </w:style>
  <w:style w:type="paragraph" w:customStyle="1" w:styleId="144">
    <w:name w:val="样式 标题 3 + (中文) 黑体 小四 非加粗 段前: 7.8 磅 段后: 0 磅 行距: 固定值 20 磅"/>
    <w:basedOn w:val="5"/>
    <w:qFormat/>
    <w:uiPriority w:val="0"/>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145">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szCs w:val="20"/>
    </w:rPr>
  </w:style>
  <w:style w:type="paragraph" w:customStyle="1" w:styleId="146">
    <w:name w:val="reader-word-layer reader-word-s1-3 reader-word-s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148">
    <w:name w:val="Char"/>
    <w:basedOn w:val="1"/>
    <w:qFormat/>
    <w:uiPriority w:val="0"/>
    <w:pPr>
      <w:spacing w:beforeLines="50" w:afterLines="50"/>
      <w:ind w:firstLine="200" w:firstLineChars="200"/>
    </w:pPr>
  </w:style>
  <w:style w:type="paragraph" w:customStyle="1" w:styleId="149">
    <w:name w:val="Char1"/>
    <w:basedOn w:val="1"/>
    <w:qFormat/>
    <w:uiPriority w:val="0"/>
    <w:pPr>
      <w:spacing w:beforeLines="50" w:afterLines="50"/>
      <w:ind w:firstLine="200" w:firstLineChars="200"/>
    </w:pPr>
    <w:rPr>
      <w:rFonts w:ascii="宋体" w:hAnsi="宋体" w:cs="Courier New"/>
      <w:spacing w:val="-2"/>
      <w:sz w:val="22"/>
      <w:szCs w:val="32"/>
    </w:rPr>
  </w:style>
  <w:style w:type="paragraph" w:customStyle="1" w:styleId="150">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reader-word-layer reader-word-s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4">
    <w:name w:val="样式3"/>
    <w:basedOn w:val="5"/>
    <w:qFormat/>
    <w:uiPriority w:val="0"/>
    <w:pPr>
      <w:keepNext/>
      <w:keepLines/>
      <w:spacing w:before="0" w:line="360" w:lineRule="auto"/>
      <w:ind w:left="119" w:right="-23"/>
    </w:pPr>
    <w:rPr>
      <w:rFonts w:ascii="宋体" w:hAnsi="宋体"/>
      <w:bCs/>
      <w:szCs w:val="32"/>
    </w:rPr>
  </w:style>
  <w:style w:type="paragraph" w:customStyle="1" w:styleId="155">
    <w:name w:val="样式 正文文本缩进 + 幼圆 行距: 固定值 28 磅"/>
    <w:basedOn w:val="22"/>
    <w:qFormat/>
    <w:uiPriority w:val="0"/>
    <w:pPr>
      <w:spacing w:line="520" w:lineRule="exact"/>
      <w:ind w:firstLine="480"/>
    </w:pPr>
    <w:rPr>
      <w:rFonts w:ascii="宋体" w:eastAsia="宋体" w:cs="宋体"/>
      <w:color w:val="auto"/>
      <w:sz w:val="24"/>
      <w:szCs w:val="24"/>
    </w:rPr>
  </w:style>
  <w:style w:type="paragraph" w:customStyle="1" w:styleId="156">
    <w:name w:val="CM49"/>
    <w:basedOn w:val="157"/>
    <w:next w:val="157"/>
    <w:qFormat/>
    <w:uiPriority w:val="99"/>
    <w:pPr>
      <w:spacing w:line="293" w:lineRule="atLeast"/>
    </w:pPr>
    <w:rPr>
      <w:rFonts w:hAnsi="Times New Roman" w:cs="Times New Roman"/>
      <w:color w:val="auto"/>
      <w:szCs w:val="20"/>
    </w:rPr>
  </w:style>
  <w:style w:type="paragraph" w:customStyle="1" w:styleId="1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8">
    <w:name w:val="默认段落字体 Para Char Char Char Char Char Char Char Char Char Char Char Char Char"/>
    <w:basedOn w:val="1"/>
    <w:qFormat/>
    <w:uiPriority w:val="0"/>
  </w:style>
  <w:style w:type="paragraph" w:customStyle="1" w:styleId="159">
    <w:name w:val="正文 + 行距: 固定值 30 磅"/>
    <w:basedOn w:val="19"/>
    <w:qFormat/>
    <w:uiPriority w:val="0"/>
    <w:pPr>
      <w:widowControl/>
      <w:ind w:firstLine="454"/>
      <w:jc w:val="left"/>
    </w:pPr>
  </w:style>
  <w:style w:type="paragraph" w:customStyle="1" w:styleId="160">
    <w:name w:val="彩色列表 - 强调文字颜色 11"/>
    <w:basedOn w:val="1"/>
    <w:qFormat/>
    <w:uiPriority w:val="0"/>
    <w:pPr>
      <w:ind w:firstLine="420" w:firstLineChars="200"/>
    </w:pPr>
    <w:rPr>
      <w:szCs w:val="22"/>
    </w:rPr>
  </w:style>
  <w:style w:type="paragraph" w:customStyle="1" w:styleId="161">
    <w:name w:val="样式 标题 1 + (西文) 宋体 非加粗 黑色 两端对齐 左侧:  0 厘米 首行缩进:  0.89 厘米"/>
    <w:basedOn w:val="3"/>
    <w:qFormat/>
    <w:uiPriority w:val="0"/>
    <w:pPr>
      <w:keepNext/>
      <w:tabs>
        <w:tab w:val="left" w:pos="1140"/>
      </w:tabs>
      <w:autoSpaceDE/>
      <w:autoSpaceDN/>
      <w:ind w:left="1140" w:hanging="720"/>
      <w:textAlignment w:val="baseline"/>
    </w:pPr>
    <w:rPr>
      <w:rFonts w:ascii="宋体" w:hAnsi="宋体"/>
      <w:b/>
      <w:color w:val="000000"/>
      <w:kern w:val="0"/>
      <w:sz w:val="30"/>
      <w:szCs w:val="30"/>
    </w:rPr>
  </w:style>
  <w:style w:type="paragraph" w:customStyle="1" w:styleId="162">
    <w:name w:val="样式1"/>
    <w:basedOn w:val="3"/>
    <w:qFormat/>
    <w:uiPriority w:val="0"/>
    <w:pPr>
      <w:keepNext/>
      <w:keepLines/>
      <w:snapToGrid/>
      <w:spacing w:before="340" w:after="330" w:line="340" w:lineRule="exact"/>
      <w:ind w:left="0" w:right="-20" w:firstLine="0"/>
    </w:pPr>
    <w:rPr>
      <w:rFonts w:ascii="宋体" w:hAnsi="宋体" w:eastAsia="仿宋_GB2312"/>
      <w:b/>
      <w:bCs/>
      <w:kern w:val="0"/>
      <w:sz w:val="32"/>
      <w:szCs w:val="32"/>
    </w:rPr>
  </w:style>
  <w:style w:type="paragraph" w:customStyle="1" w:styleId="163">
    <w:name w:val="正文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64">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5">
    <w:name w:val="列出段落1"/>
    <w:basedOn w:val="1"/>
    <w:qFormat/>
    <w:uiPriority w:val="0"/>
    <w:pPr>
      <w:ind w:firstLine="420" w:firstLineChars="200"/>
    </w:pPr>
    <w:rPr>
      <w:sz w:val="28"/>
      <w:szCs w:val="28"/>
    </w:rPr>
  </w:style>
  <w:style w:type="paragraph" w:customStyle="1" w:styleId="166">
    <w:name w:val="reader-word-layer reader-word-s1-7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TOC 标题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168">
    <w:name w:val="修订1"/>
    <w:qFormat/>
    <w:uiPriority w:val="0"/>
    <w:rPr>
      <w:rFonts w:ascii="Calibri" w:hAnsi="Calibri" w:eastAsia="宋体" w:cs="Times New Roman"/>
      <w:kern w:val="2"/>
      <w:sz w:val="21"/>
      <w:szCs w:val="24"/>
      <w:lang w:val="en-US" w:eastAsia="zh-CN" w:bidi="ar-SA"/>
    </w:rPr>
  </w:style>
  <w:style w:type="paragraph" w:customStyle="1" w:styleId="16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70">
    <w:name w:val="Char Char Char Char Char Char Char Char Char"/>
    <w:basedOn w:val="1"/>
    <w:qFormat/>
    <w:uiPriority w:val="0"/>
  </w:style>
  <w:style w:type="paragraph" w:customStyle="1" w:styleId="17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目录"/>
    <w:basedOn w:val="1"/>
    <w:qFormat/>
    <w:uiPriority w:val="0"/>
    <w:pPr>
      <w:widowControl/>
      <w:jc w:val="center"/>
    </w:pPr>
    <w:rPr>
      <w:rFonts w:ascii="宋体"/>
      <w:b/>
      <w:kern w:val="0"/>
      <w:sz w:val="36"/>
    </w:rPr>
  </w:style>
  <w:style w:type="paragraph" w:customStyle="1" w:styleId="173">
    <w:name w:val="标准样式1"/>
    <w:basedOn w:val="1"/>
    <w:qFormat/>
    <w:uiPriority w:val="0"/>
    <w:pPr>
      <w:spacing w:line="600" w:lineRule="exact"/>
      <w:ind w:firstLine="567"/>
    </w:pPr>
    <w:rPr>
      <w:sz w:val="28"/>
    </w:rPr>
  </w:style>
  <w:style w:type="paragraph" w:customStyle="1" w:styleId="174">
    <w:name w:val="正  文"/>
    <w:basedOn w:val="1"/>
    <w:qFormat/>
    <w:uiPriority w:val="0"/>
    <w:pPr>
      <w:spacing w:line="360" w:lineRule="auto"/>
      <w:ind w:firstLine="200" w:firstLineChars="200"/>
    </w:pPr>
    <w:rPr>
      <w:rFonts w:ascii="宋体" w:hAnsi="Times New Roman"/>
      <w:sz w:val="24"/>
    </w:rPr>
  </w:style>
  <w:style w:type="paragraph" w:customStyle="1" w:styleId="175">
    <w:name w:val="Char Char1 Char Char Char Char Char Char Char Char Char Char"/>
    <w:basedOn w:val="1"/>
    <w:qFormat/>
    <w:uiPriority w:val="0"/>
    <w:pPr>
      <w:autoSpaceDE w:val="0"/>
      <w:autoSpaceDN w:val="0"/>
      <w:adjustRightInd w:val="0"/>
      <w:ind w:firstLine="482"/>
    </w:pPr>
  </w:style>
  <w:style w:type="paragraph" w:customStyle="1" w:styleId="176">
    <w:name w:val="Char Char Char Char Char Char Char Char Char Char Char Char Char Char Char Char Char Char Char Char Char Char"/>
    <w:basedOn w:val="1"/>
    <w:qFormat/>
    <w:uiPriority w:val="0"/>
    <w:pPr>
      <w:widowControl/>
      <w:spacing w:line="400" w:lineRule="exact"/>
      <w:jc w:val="center"/>
    </w:pPr>
  </w:style>
  <w:style w:type="paragraph" w:customStyle="1" w:styleId="177">
    <w:name w:val="样式2"/>
    <w:basedOn w:val="4"/>
    <w:qFormat/>
    <w:uiPriority w:val="0"/>
    <w:pPr>
      <w:keepNext/>
      <w:keepLines/>
      <w:snapToGrid/>
      <w:spacing w:before="260" w:after="260" w:line="300" w:lineRule="exact"/>
      <w:ind w:left="220" w:right="-20"/>
      <w:jc w:val="center"/>
    </w:pPr>
    <w:rPr>
      <w:rFonts w:ascii="宋体" w:hAnsi="宋体"/>
      <w:bCs/>
      <w:spacing w:val="0"/>
      <w:szCs w:val="28"/>
    </w:rPr>
  </w:style>
  <w:style w:type="paragraph" w:customStyle="1" w:styleId="178">
    <w:name w:val="xl31"/>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7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0">
    <w:name w:val="空半行"/>
    <w:basedOn w:val="1"/>
    <w:qFormat/>
    <w:uiPriority w:val="0"/>
    <w:pPr>
      <w:adjustRightInd w:val="0"/>
      <w:spacing w:line="120" w:lineRule="exact"/>
      <w:textAlignment w:val="baseline"/>
    </w:pPr>
    <w:rPr>
      <w:rFonts w:eastAsia="仿宋_GB2312"/>
      <w:color w:val="FFFFFF"/>
      <w:kern w:val="0"/>
      <w:sz w:val="30"/>
    </w:rPr>
  </w:style>
  <w:style w:type="table" w:customStyle="1" w:styleId="181">
    <w:name w:val="网格型1"/>
    <w:basedOn w:val="57"/>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82">
    <w:name w:val="p0"/>
    <w:basedOn w:val="1"/>
    <w:qFormat/>
    <w:uiPriority w:val="0"/>
    <w:pPr>
      <w:widowControl/>
      <w:spacing w:line="440" w:lineRule="exact"/>
      <w:ind w:firstLine="200" w:firstLineChars="200"/>
    </w:pPr>
    <w:rPr>
      <w:rFonts w:ascii="Times New Roman" w:hAnsi="Times New Roman"/>
      <w:kern w:val="0"/>
      <w:szCs w:val="21"/>
    </w:rPr>
  </w:style>
  <w:style w:type="character" w:customStyle="1" w:styleId="183">
    <w:name w:val="正文文本 Char4"/>
    <w:qFormat/>
    <w:uiPriority w:val="0"/>
    <w:rPr>
      <w:rFonts w:ascii="Times New Roman" w:hAnsi="Times New Roman" w:eastAsia="宋体" w:cs="Times New Roman"/>
      <w:szCs w:val="24"/>
    </w:rPr>
  </w:style>
  <w:style w:type="paragraph" w:customStyle="1" w:styleId="184">
    <w:name w:val="列出段落11"/>
    <w:basedOn w:val="1"/>
    <w:qFormat/>
    <w:uiPriority w:val="0"/>
    <w:pPr>
      <w:ind w:firstLine="42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Info spid="_x0000_s2051" textRotate="1"/>
    <customShpInfo spid="_x0000_s2052" textRotate="1"/>
    <customShpInfo spid="_x0000_s111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64B06F-4F24-40DD-8731-FEB79EE08F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163</Pages>
  <Words>18514</Words>
  <Characters>105536</Characters>
  <Lines>879</Lines>
  <Paragraphs>247</Paragraphs>
  <ScaleCrop>false</ScaleCrop>
  <LinksUpToDate>false</LinksUpToDate>
  <CharactersWithSpaces>123803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2021-05-27T10:58:00Z</dcterms:created>
  <dc:creator>USER</dc:creator>
  <cp:lastModifiedBy>王雅文</cp:lastModifiedBy>
  <cp:lastPrinted>2022-03-07T01:12:00Z</cp:lastPrinted>
  <dcterms:modified xsi:type="dcterms:W3CDTF">2022-03-10T07:45:19Z</dcterms:modified>
  <dc:title>杨家坪团结路口人行天桥工程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