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eastAsia="宋体" w:cs="宋体"/>
          <w:b/>
          <w:sz w:val="48"/>
          <w:szCs w:val="48"/>
          <w:lang w:eastAsia="zh-CN"/>
        </w:rPr>
      </w:pPr>
      <w:r>
        <w:rPr>
          <w:rFonts w:hint="eastAsia" w:ascii="宋体" w:hAnsi="宋体" w:cs="宋体"/>
          <w:b/>
          <w:sz w:val="48"/>
          <w:szCs w:val="48"/>
          <w:lang w:eastAsia="zh-CN"/>
        </w:rPr>
        <w:t>重庆市江津区支坪下道口扩建工程水泥稳定碎石混合料外协加工、运输（第三次）</w:t>
      </w:r>
    </w:p>
    <w:p>
      <w:pPr>
        <w:jc w:val="center"/>
        <w:rPr>
          <w:rFonts w:ascii="宋体" w:hAnsi="宋体" w:cs="宋体"/>
          <w:b/>
          <w:spacing w:val="20"/>
          <w:sz w:val="72"/>
          <w:szCs w:val="72"/>
        </w:rPr>
      </w:pPr>
    </w:p>
    <w:p>
      <w:pPr>
        <w:pStyle w:val="17"/>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2022年</w:t>
      </w:r>
      <w:r>
        <w:rPr>
          <w:rFonts w:hint="eastAsia" w:ascii="宋体" w:hAnsi="宋体" w:cs="宋体"/>
          <w:b/>
          <w:sz w:val="32"/>
          <w:szCs w:val="32"/>
          <w:lang w:val="en-US" w:eastAsia="zh-CN"/>
        </w:rPr>
        <w:t>3</w:t>
      </w:r>
      <w:r>
        <w:rPr>
          <w:rFonts w:hint="eastAsia" w:ascii="宋体" w:hAnsi="宋体" w:cs="宋体"/>
          <w:b/>
          <w:sz w:val="32"/>
          <w:szCs w:val="32"/>
        </w:rPr>
        <w:t>月</w:t>
      </w:r>
    </w:p>
    <w:p/>
    <w:p>
      <w:pPr>
        <w:pStyle w:val="2"/>
      </w:pPr>
    </w:p>
    <w:p>
      <w:pPr>
        <w:jc w:val="center"/>
        <w:rPr>
          <w:rFonts w:hint="eastAsia" w:ascii="宋体" w:hAnsi="宋体" w:eastAsia="宋体" w:cs="宋体"/>
          <w:b/>
          <w:sz w:val="30"/>
          <w:szCs w:val="30"/>
          <w:lang w:eastAsia="zh-CN"/>
        </w:rPr>
      </w:pPr>
      <w:r>
        <w:rPr>
          <w:rFonts w:hint="eastAsia" w:ascii="宋体" w:hAnsi="宋体" w:cs="宋体"/>
          <w:b/>
          <w:sz w:val="30"/>
          <w:szCs w:val="30"/>
        </w:rPr>
        <w:t>重庆通力高速公路养护工程有限公司</w:t>
      </w:r>
      <w:r>
        <w:rPr>
          <w:rFonts w:hint="eastAsia" w:ascii="宋体" w:hAnsi="宋体" w:cs="宋体"/>
          <w:b/>
          <w:sz w:val="30"/>
          <w:szCs w:val="30"/>
          <w:lang w:eastAsia="zh-CN"/>
        </w:rPr>
        <w:t>重庆市江津区支坪下道口扩建工程水泥稳定碎石混合料外协加工、运输（第三次）</w:t>
      </w:r>
    </w:p>
    <w:p>
      <w:pPr>
        <w:jc w:val="center"/>
        <w:rPr>
          <w:rFonts w:ascii="宋体" w:hAnsi="宋体" w:cs="宋体"/>
          <w:b/>
          <w:sz w:val="30"/>
          <w:szCs w:val="30"/>
        </w:rPr>
      </w:pPr>
      <w:r>
        <w:rPr>
          <w:rFonts w:hint="eastAsia" w:ascii="宋体" w:hAnsi="宋体" w:cs="宋体"/>
          <w:b/>
          <w:sz w:val="30"/>
          <w:szCs w:val="30"/>
        </w:rPr>
        <w:t>竞争性比选公告</w:t>
      </w:r>
      <w:bookmarkStart w:id="0" w:name="_Toc144974487"/>
      <w:bookmarkStart w:id="1" w:name="_Toc247085680"/>
      <w:bookmarkStart w:id="2" w:name="_Toc152042295"/>
      <w:bookmarkStart w:id="3" w:name="_Toc246996166"/>
      <w:bookmarkStart w:id="4" w:name="_Toc296602410"/>
      <w:bookmarkStart w:id="5" w:name="_Toc246996909"/>
      <w:bookmarkStart w:id="6" w:name="_Toc152045519"/>
      <w:bookmarkStart w:id="7" w:name="_Toc179632536"/>
    </w:p>
    <w:bookmarkEnd w:id="0"/>
    <w:bookmarkEnd w:id="1"/>
    <w:bookmarkEnd w:id="2"/>
    <w:bookmarkEnd w:id="3"/>
    <w:bookmarkEnd w:id="4"/>
    <w:bookmarkEnd w:id="5"/>
    <w:bookmarkEnd w:id="6"/>
    <w:bookmarkEnd w:id="7"/>
    <w:p>
      <w:pPr>
        <w:spacing w:line="400" w:lineRule="exact"/>
        <w:ind w:firstLine="420" w:firstLineChars="200"/>
        <w:rPr>
          <w:szCs w:val="21"/>
        </w:rPr>
      </w:pPr>
      <w:bookmarkStart w:id="8" w:name="_Toc247085681"/>
      <w:bookmarkStart w:id="9" w:name="_Toc179632537"/>
      <w:bookmarkStart w:id="10" w:name="_Toc144974488"/>
      <w:bookmarkStart w:id="11" w:name="_Toc246996167"/>
      <w:bookmarkStart w:id="12" w:name="_Toc152045520"/>
      <w:bookmarkStart w:id="13" w:name="_Toc152042296"/>
      <w:bookmarkStart w:id="14" w:name="_Toc246996910"/>
      <w:bookmarkStart w:id="15" w:name="_Toc296602411"/>
      <w:bookmarkStart w:id="16" w:name="_Toc152042297"/>
      <w:bookmarkStart w:id="17" w:name="_Toc179632538"/>
      <w:bookmarkStart w:id="18" w:name="_Toc296602412"/>
      <w:bookmarkStart w:id="19" w:name="_Toc152045521"/>
      <w:bookmarkStart w:id="20" w:name="_Toc246996168"/>
      <w:bookmarkStart w:id="21" w:name="_Toc247085682"/>
      <w:bookmarkStart w:id="22" w:name="_Toc144974489"/>
      <w:bookmarkStart w:id="23" w:name="_Toc246996911"/>
      <w:r>
        <w:rPr>
          <w:szCs w:val="21"/>
        </w:rPr>
        <w:t>本项目</w:t>
      </w:r>
      <w:r>
        <w:rPr>
          <w:rFonts w:hint="eastAsia"/>
          <w:b/>
          <w:bCs/>
          <w:szCs w:val="21"/>
        </w:rPr>
        <w:t>重庆市江津区支坪下道口扩建工程水泥稳定碎石混合料施工</w:t>
      </w:r>
      <w:r>
        <w:rPr>
          <w:szCs w:val="21"/>
        </w:rPr>
        <w:t>准备组织实施，重庆通力高速公路养护工程有限公司计划将水泥稳定碎石外协加工</w:t>
      </w:r>
      <w:r>
        <w:rPr>
          <w:rFonts w:hint="eastAsia"/>
          <w:szCs w:val="21"/>
        </w:rPr>
        <w:t>、</w:t>
      </w:r>
      <w:r>
        <w:rPr>
          <w:szCs w:val="21"/>
        </w:rPr>
        <w:t>运输以</w:t>
      </w:r>
      <w:r>
        <w:rPr>
          <w:rFonts w:hint="eastAsia"/>
          <w:szCs w:val="21"/>
        </w:rPr>
        <w:t>竞争性比选</w:t>
      </w:r>
      <w:r>
        <w:rPr>
          <w:szCs w:val="21"/>
        </w:rPr>
        <w:t>方式确定成交单位，具体情况如下：</w:t>
      </w:r>
    </w:p>
    <w:p>
      <w:pPr>
        <w:spacing w:line="400" w:lineRule="exact"/>
        <w:rPr>
          <w:b/>
          <w:szCs w:val="21"/>
        </w:rPr>
      </w:pPr>
      <w:r>
        <w:rPr>
          <w:b/>
          <w:szCs w:val="21"/>
        </w:rPr>
        <w:t>一、项目概况与</w:t>
      </w:r>
      <w:r>
        <w:rPr>
          <w:rFonts w:hint="eastAsia"/>
          <w:b/>
          <w:szCs w:val="21"/>
        </w:rPr>
        <w:t>竞争性比选</w:t>
      </w:r>
      <w:r>
        <w:rPr>
          <w:b/>
          <w:szCs w:val="21"/>
        </w:rPr>
        <w:t>范围</w:t>
      </w:r>
      <w:bookmarkEnd w:id="8"/>
      <w:bookmarkEnd w:id="9"/>
      <w:bookmarkEnd w:id="10"/>
      <w:bookmarkEnd w:id="11"/>
      <w:bookmarkEnd w:id="12"/>
      <w:bookmarkEnd w:id="13"/>
      <w:bookmarkEnd w:id="14"/>
      <w:bookmarkEnd w:id="15"/>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重庆通力高速公路养护工程有限公司重庆市江津区支坪下道口扩建工程水泥稳定碎石外协加工、运输分包项目。</w:t>
      </w:r>
    </w:p>
    <w:p>
      <w:pPr>
        <w:widowControl/>
        <w:numPr>
          <w:ilvl w:val="0"/>
          <w:numId w:val="1"/>
        </w:numPr>
        <w:spacing w:line="400" w:lineRule="exact"/>
        <w:ind w:firstLine="422" w:firstLineChars="200"/>
        <w:rPr>
          <w:b/>
          <w:bCs/>
          <w:szCs w:val="21"/>
        </w:rPr>
      </w:pPr>
      <w:r>
        <w:rPr>
          <w:rFonts w:hint="eastAsia"/>
          <w:b/>
          <w:bCs/>
          <w:szCs w:val="21"/>
        </w:rPr>
        <w:t xml:space="preserve">竞争性比选分包工程量清单详见下表：                        </w:t>
      </w:r>
      <w:r>
        <w:rPr>
          <w:rFonts w:hint="eastAsia"/>
          <w:szCs w:val="21"/>
        </w:rPr>
        <w:t>货币单位：人民币  元</w:t>
      </w:r>
    </w:p>
    <w:tbl>
      <w:tblPr>
        <w:tblStyle w:val="12"/>
        <w:tblW w:w="8465" w:type="dxa"/>
        <w:jc w:val="center"/>
        <w:tblLayout w:type="fixed"/>
        <w:tblCellMar>
          <w:top w:w="15" w:type="dxa"/>
          <w:left w:w="15" w:type="dxa"/>
          <w:bottom w:w="15" w:type="dxa"/>
          <w:right w:w="15" w:type="dxa"/>
        </w:tblCellMar>
      </w:tblPr>
      <w:tblGrid>
        <w:gridCol w:w="897"/>
        <w:gridCol w:w="1811"/>
        <w:gridCol w:w="1113"/>
        <w:gridCol w:w="1161"/>
        <w:gridCol w:w="1161"/>
        <w:gridCol w:w="1161"/>
        <w:gridCol w:w="1161"/>
      </w:tblGrid>
      <w:tr>
        <w:tblPrEx>
          <w:tblCellMar>
            <w:top w:w="15" w:type="dxa"/>
            <w:left w:w="15" w:type="dxa"/>
            <w:bottom w:w="15" w:type="dxa"/>
            <w:right w:w="15" w:type="dxa"/>
          </w:tblCellMar>
        </w:tblPrEx>
        <w:trPr>
          <w:trHeight w:val="66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序号</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细目名称</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单位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暂定数量</w:t>
            </w:r>
          </w:p>
        </w:tc>
        <w:tc>
          <w:tcPr>
            <w:tcW w:w="116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kern w:val="0"/>
                <w:sz w:val="20"/>
              </w:rPr>
            </w:pPr>
            <w:r>
              <w:rPr>
                <w:rFonts w:hint="eastAsia" w:ascii="宋体" w:hAnsi="宋体" w:cs="宋体"/>
                <w:kern w:val="0"/>
                <w:sz w:val="20"/>
              </w:rPr>
              <w:t>到场不含税单价限价</w:t>
            </w:r>
          </w:p>
        </w:tc>
        <w:tc>
          <w:tcPr>
            <w:tcW w:w="116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kern w:val="0"/>
                <w:sz w:val="20"/>
              </w:rPr>
            </w:pPr>
            <w:r>
              <w:rPr>
                <w:rFonts w:hint="eastAsia" w:ascii="宋体" w:hAnsi="宋体" w:cs="宋体"/>
                <w:kern w:val="0"/>
                <w:sz w:val="20"/>
              </w:rPr>
              <w:t>不含税限价金额</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备注</w:t>
            </w:r>
          </w:p>
        </w:tc>
      </w:tr>
      <w:tr>
        <w:tblPrEx>
          <w:tblCellMar>
            <w:top w:w="15" w:type="dxa"/>
            <w:left w:w="15" w:type="dxa"/>
            <w:bottom w:w="15" w:type="dxa"/>
            <w:right w:w="15" w:type="dxa"/>
          </w:tblCellMar>
        </w:tblPrEx>
        <w:trPr>
          <w:trHeight w:val="737" w:hRule="atLeast"/>
          <w:jc w:val="center"/>
        </w:trPr>
        <w:tc>
          <w:tcPr>
            <w:tcW w:w="8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1</w:t>
            </w:r>
          </w:p>
        </w:tc>
        <w:tc>
          <w:tcPr>
            <w:tcW w:w="181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ascii="宋体" w:hAnsi="宋体" w:cs="宋体"/>
                <w:color w:val="000000"/>
                <w:sz w:val="20"/>
              </w:rPr>
              <w:t>水泥稳定碎石加工</w:t>
            </w:r>
          </w:p>
        </w:tc>
        <w:tc>
          <w:tcPr>
            <w:tcW w:w="111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吨</w:t>
            </w:r>
          </w:p>
        </w:tc>
        <w:tc>
          <w:tcPr>
            <w:tcW w:w="11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24000</w:t>
            </w:r>
          </w:p>
        </w:tc>
        <w:tc>
          <w:tcPr>
            <w:tcW w:w="11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10</w:t>
            </w:r>
          </w:p>
        </w:tc>
        <w:tc>
          <w:tcPr>
            <w:tcW w:w="11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240000</w:t>
            </w:r>
          </w:p>
        </w:tc>
        <w:tc>
          <w:tcPr>
            <w:tcW w:w="116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r>
      <w:tr>
        <w:tblPrEx>
          <w:tblCellMar>
            <w:top w:w="15" w:type="dxa"/>
            <w:left w:w="15" w:type="dxa"/>
            <w:bottom w:w="15" w:type="dxa"/>
            <w:right w:w="15" w:type="dxa"/>
          </w:tblCellMar>
        </w:tblPrEx>
        <w:trPr>
          <w:trHeight w:val="664" w:hRule="atLeast"/>
          <w:jc w:val="center"/>
        </w:trPr>
        <w:tc>
          <w:tcPr>
            <w:tcW w:w="89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2</w:t>
            </w:r>
          </w:p>
        </w:tc>
        <w:tc>
          <w:tcPr>
            <w:tcW w:w="1811" w:type="dxa"/>
            <w:tcBorders>
              <w:top w:val="single" w:color="auto" w:sz="4" w:space="0"/>
              <w:bottom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kern w:val="0"/>
                <w:szCs w:val="21"/>
              </w:rPr>
              <w:t>水泥稳定碎石运输</w:t>
            </w:r>
          </w:p>
        </w:tc>
        <w:tc>
          <w:tcPr>
            <w:tcW w:w="11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吨</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kern w:val="0"/>
                <w:sz w:val="20"/>
              </w:rPr>
              <w:t>24000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10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240000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r>
      <w:tr>
        <w:tblPrEx>
          <w:tblCellMar>
            <w:top w:w="15" w:type="dxa"/>
            <w:left w:w="15" w:type="dxa"/>
            <w:bottom w:w="15" w:type="dxa"/>
            <w:right w:w="15" w:type="dxa"/>
          </w:tblCellMar>
        </w:tblPrEx>
        <w:trPr>
          <w:trHeight w:val="664" w:hRule="atLeast"/>
          <w:jc w:val="center"/>
        </w:trPr>
        <w:tc>
          <w:tcPr>
            <w:tcW w:w="89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3</w:t>
            </w:r>
          </w:p>
        </w:tc>
        <w:tc>
          <w:tcPr>
            <w:tcW w:w="1811" w:type="dxa"/>
            <w:tcBorders>
              <w:top w:val="single" w:color="auto" w:sz="4" w:space="0"/>
              <w:bottom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税前合计</w:t>
            </w:r>
          </w:p>
        </w:tc>
        <w:tc>
          <w:tcPr>
            <w:tcW w:w="11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480000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p>
        </w:tc>
      </w:tr>
    </w:tbl>
    <w:p>
      <w:pPr>
        <w:spacing w:line="360" w:lineRule="exact"/>
        <w:ind w:firstLine="422" w:firstLineChars="200"/>
        <w:rPr>
          <w:b/>
          <w:bCs/>
          <w:szCs w:val="21"/>
        </w:rPr>
      </w:pPr>
      <w:r>
        <w:rPr>
          <w:rFonts w:hint="eastAsia"/>
          <w:b/>
          <w:bCs/>
          <w:szCs w:val="21"/>
        </w:rPr>
        <w:t>备注：1、本次分包数量为暂估量，最终数量以实际结算数量为准且满足国家及行业的相关技术规范标准(具体规格型号以竞争性比选人实际要求为准)。</w:t>
      </w:r>
    </w:p>
    <w:p>
      <w:pPr>
        <w:ind w:firstLine="413" w:firstLineChars="196"/>
        <w:rPr>
          <w:kern w:val="0"/>
          <w:szCs w:val="21"/>
        </w:rPr>
      </w:pPr>
      <w:r>
        <w:rPr>
          <w:rFonts w:hint="eastAsia"/>
          <w:b/>
          <w:bCs/>
          <w:szCs w:val="21"/>
        </w:rPr>
        <w:t>2、供货期：</w:t>
      </w:r>
      <w:r>
        <w:rPr>
          <w:rFonts w:hint="eastAsia"/>
          <w:b/>
          <w:szCs w:val="21"/>
        </w:rPr>
        <w:t>本工程工期预计为2022年3月-2022年5月，具体以项目工期要求为准，竞标人必须保证竞争性比选人水泥稳定碎石的供应及时，竞争性比选人一般提前三天以电话（短信）通知计划用量</w:t>
      </w:r>
      <w:r>
        <w:rPr>
          <w:rFonts w:hint="eastAsia"/>
          <w:kern w:val="0"/>
          <w:szCs w:val="21"/>
        </w:rPr>
        <w:t>。</w:t>
      </w:r>
    </w:p>
    <w:p>
      <w:pPr>
        <w:spacing w:line="360" w:lineRule="exact"/>
        <w:ind w:firstLine="422" w:firstLineChars="200"/>
        <w:rPr>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bookmarkEnd w:id="16"/>
    <w:bookmarkEnd w:id="17"/>
    <w:bookmarkEnd w:id="18"/>
    <w:bookmarkEnd w:id="19"/>
    <w:bookmarkEnd w:id="20"/>
    <w:bookmarkEnd w:id="21"/>
    <w:bookmarkEnd w:id="22"/>
    <w:bookmarkEnd w:id="23"/>
    <w:p>
      <w:pPr>
        <w:spacing w:line="360" w:lineRule="exact"/>
        <w:rPr>
          <w:b/>
          <w:szCs w:val="21"/>
        </w:rPr>
      </w:pPr>
      <w:bookmarkStart w:id="24" w:name="_Toc152042298"/>
      <w:bookmarkStart w:id="25" w:name="_Toc152045522"/>
      <w:bookmarkStart w:id="26" w:name="_Toc247085683"/>
      <w:bookmarkStart w:id="27" w:name="_Toc144974490"/>
      <w:bookmarkStart w:id="28" w:name="_Toc296602413"/>
      <w:bookmarkStart w:id="29" w:name="_Toc179632539"/>
      <w:bookmarkStart w:id="30" w:name="_Toc246996912"/>
      <w:bookmarkStart w:id="31" w:name="_Toc246996169"/>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p>
      <w:pPr>
        <w:spacing w:line="360" w:lineRule="exact"/>
        <w:ind w:firstLine="420" w:firstLineChars="200"/>
        <w:rPr>
          <w:szCs w:val="21"/>
        </w:rPr>
      </w:pPr>
      <w:r>
        <w:rPr>
          <w:rFonts w:hint="eastAsia"/>
          <w:szCs w:val="21"/>
        </w:rPr>
        <w:t>具有独立法人资格、有效的营业执照、银行开户许可证。</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（1）竞标报价为全费用综合单价（不含税）。</w:t>
      </w:r>
      <w:r>
        <w:rPr>
          <w:rFonts w:hint="eastAsia" w:ascii="宋体" w:hAnsi="宋体"/>
          <w:bCs/>
          <w:szCs w:val="21"/>
        </w:rPr>
        <w:t>按税前合计金额进行评标，按含税单价签订合同</w:t>
      </w:r>
      <w:r>
        <w:rPr>
          <w:rFonts w:hint="eastAsia"/>
          <w:szCs w:val="21"/>
        </w:rPr>
        <w:t>。竟标人应提供合法有效且符合竞争性比选人要求的增值税专用发票，</w:t>
      </w:r>
      <w:r>
        <w:rPr>
          <w:rFonts w:hint="eastAsia"/>
          <w:b w:val="0"/>
          <w:bCs w:val="0"/>
          <w:szCs w:val="21"/>
        </w:rPr>
        <w:t>抵扣税率在报价清单上一并填报。</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szCs w:val="21"/>
        </w:rPr>
      </w:pPr>
      <w:r>
        <w:rPr>
          <w:rFonts w:hint="eastAsia"/>
          <w:szCs w:val="21"/>
        </w:rPr>
        <w:t>竞标人应按照竞争性比选人要求，及时向竞争性比选人开具可以抵扣税款的增值税专用发票。因竞标人开具发票不及时给竞争性比选人造成无法及时认证、抵扣发票等情形的，竞标人需向竞争性比选人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（3）不含税限价：</w:t>
      </w:r>
      <w:r>
        <w:rPr>
          <w:rFonts w:hint="eastAsia"/>
          <w:szCs w:val="21"/>
          <w:u w:val="single"/>
        </w:rPr>
        <w:t xml:space="preserve"> 480000 </w:t>
      </w:r>
      <w:r>
        <w:rPr>
          <w:rFonts w:hint="eastAsia"/>
          <w:szCs w:val="21"/>
        </w:rPr>
        <w:t>元（大写：</w:t>
      </w:r>
      <w:r>
        <w:rPr>
          <w:rFonts w:hint="eastAsia"/>
          <w:szCs w:val="21"/>
          <w:u w:val="single"/>
        </w:rPr>
        <w:t>肆拾捌万元整</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注：竞标人的竞标报价均不得超过比选人公布的相应最高限价（单价限价及总价限价）否则均为无效竞标（详见格式“五、已标价报价清单”）。</w:t>
      </w:r>
    </w:p>
    <w:p>
      <w:pPr>
        <w:spacing w:line="360" w:lineRule="exact"/>
        <w:ind w:firstLine="420" w:firstLineChars="200"/>
        <w:rPr>
          <w:szCs w:val="21"/>
        </w:rPr>
      </w:pPr>
      <w:r>
        <w:rPr>
          <w:rFonts w:hint="eastAsia"/>
          <w:szCs w:val="21"/>
        </w:rPr>
        <w:t>2、供货要求：</w:t>
      </w:r>
    </w:p>
    <w:p>
      <w:pPr>
        <w:spacing w:line="360" w:lineRule="auto"/>
        <w:ind w:firstLine="420" w:firstLineChars="200"/>
        <w:rPr>
          <w:rFonts w:ascii="宋体" w:hAnsi="宋体" w:cs="宋体"/>
          <w:bCs/>
          <w:sz w:val="24"/>
          <w:szCs w:val="24"/>
        </w:rPr>
      </w:pPr>
      <w:r>
        <w:rPr>
          <w:rFonts w:hint="eastAsia"/>
          <w:szCs w:val="21"/>
        </w:rPr>
        <w:t>（1）加工质量要求：</w:t>
      </w:r>
    </w:p>
    <w:p>
      <w:pPr>
        <w:spacing w:line="360" w:lineRule="auto"/>
        <w:ind w:firstLine="420" w:firstLineChars="200"/>
        <w:rPr>
          <w:szCs w:val="21"/>
        </w:rPr>
      </w:pPr>
      <w:r>
        <w:rPr>
          <w:rFonts w:hint="eastAsia"/>
          <w:szCs w:val="21"/>
        </w:rPr>
        <w:t>①投标（报价）方提供的水泥稳定碎石加工应严格按照比选人提供的施工配合比进行拌和。</w:t>
      </w:r>
    </w:p>
    <w:p>
      <w:pPr>
        <w:spacing w:line="360" w:lineRule="auto"/>
        <w:ind w:firstLine="420" w:firstLineChars="200"/>
        <w:rPr>
          <w:szCs w:val="21"/>
        </w:rPr>
      </w:pPr>
      <w:r>
        <w:rPr>
          <w:rFonts w:hint="eastAsia"/>
          <w:szCs w:val="21"/>
        </w:rPr>
        <w:t>②因质量不符合国家、行业规定的以及本比选函约定的相关标准而产生的一切后果责任由投标（报价）方承担；若由此而给比选方造成损失的，投标（报价）方应全额赔偿。</w:t>
      </w:r>
    </w:p>
    <w:p>
      <w:pPr>
        <w:spacing w:line="360" w:lineRule="exact"/>
        <w:ind w:firstLine="420" w:firstLineChars="200"/>
        <w:rPr>
          <w:szCs w:val="21"/>
        </w:rPr>
      </w:pPr>
      <w:r>
        <w:rPr>
          <w:rFonts w:hint="eastAsia"/>
          <w:szCs w:val="21"/>
        </w:rPr>
        <w:t>（2）运输：本竞争性比选文件约定的价格为比选人指定位置的税前到场单价，运输（包括装卸）的安全由竞标人负责，因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rPr>
        <w:t>①报价书；</w:t>
      </w:r>
    </w:p>
    <w:p>
      <w:pPr>
        <w:spacing w:line="360" w:lineRule="exact"/>
        <w:ind w:firstLine="420" w:firstLineChars="200"/>
        <w:rPr>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③竞争性比选响应单位有效的资质证书、营业执照、银行开户许可证；</w:t>
      </w:r>
    </w:p>
    <w:p>
      <w:pPr>
        <w:spacing w:line="360" w:lineRule="exact"/>
        <w:ind w:firstLine="420" w:firstLineChars="200"/>
        <w:rPr>
          <w:szCs w:val="21"/>
        </w:rPr>
      </w:pPr>
      <w:r>
        <w:rPr>
          <w:rFonts w:hint="eastAsia" w:ascii="宋体" w:hAnsi="宋体" w:eastAsia="宋体" w:cs="宋体"/>
          <w:szCs w:val="21"/>
        </w:rPr>
        <w:t>④</w:t>
      </w:r>
      <w:r>
        <w:rPr>
          <w:rFonts w:hint="eastAsia"/>
          <w:szCs w:val="21"/>
        </w:rPr>
        <w:t>已标价报价清单。</w:t>
      </w:r>
    </w:p>
    <w:p>
      <w:pPr>
        <w:spacing w:line="360" w:lineRule="exact"/>
        <w:ind w:firstLine="420" w:firstLineChars="200"/>
        <w:rPr>
          <w:szCs w:val="21"/>
        </w:rPr>
      </w:pPr>
      <w:r>
        <w:rPr>
          <w:rFonts w:hint="eastAsia"/>
          <w:szCs w:val="21"/>
        </w:rPr>
        <w:t>4、竞争性比选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default" w:ascii="宋体" w:hAnsi="宋体" w:cs="宋体"/>
          <w:szCs w:val="21"/>
        </w:rPr>
        <w:t>发布公告之日</w:t>
      </w:r>
      <w:r>
        <w:rPr>
          <w:rFonts w:hint="eastAsia" w:ascii="宋体" w:hAnsi="宋体" w:cs="宋体"/>
          <w:szCs w:val="21"/>
        </w:rPr>
        <w:t>起至竞争性比选响应文件递交截止时间前，详见竞争性比选公告及结果公示将在重庆高速集团官网（</w:t>
      </w:r>
      <w:r>
        <w:rPr>
          <w:rFonts w:hint="eastAsia" w:ascii="宋体" w:hAnsi="宋体" w:cs="宋体"/>
          <w:szCs w:val="21"/>
        </w:rPr>
        <w:drawing>
          <wp:inline distT="0" distB="0" distL="0" distR="0">
            <wp:extent cx="190500" cy="139700"/>
            <wp:effectExtent l="1905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noChangeArrowheads="1"/>
                    </pic:cNvPicPr>
                  </pic:nvPicPr>
                  <pic:blipFill>
                    <a:blip r:embed="rId9"/>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drawing>
          <wp:inline distT="0" distB="0" distL="0" distR="0">
            <wp:extent cx="190500" cy="139700"/>
            <wp:effectExtent l="19050" t="0" r="0" b="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noChangeArrowheads="1"/>
                    </pic:cNvPicPr>
                  </pic:nvPicPr>
                  <pic:blipFill>
                    <a:blip r:embed="rId9"/>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drawing>
          <wp:inline distT="0" distB="0" distL="0" distR="0">
            <wp:extent cx="190500" cy="139700"/>
            <wp:effectExtent l="19050" t="0" r="0" b="0"/>
            <wp:docPr id="8"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7"/>
                    <pic:cNvPicPr>
                      <a:picLocks noChangeAspect="1" noChangeArrowheads="1"/>
                    </pic:cNvPicPr>
                  </pic:nvPicPr>
                  <pic:blipFill>
                    <a:blip r:embed="rId9"/>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drawing>
          <wp:inline distT="0" distB="0" distL="0" distR="0">
            <wp:extent cx="190500" cy="139700"/>
            <wp:effectExtent l="19050" t="0" r="0" b="0"/>
            <wp:docPr id="7"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7"/>
                    <pic:cNvPicPr>
                      <a:picLocks noChangeAspect="1" noChangeArrowheads="1"/>
                    </pic:cNvPicPr>
                  </pic:nvPicPr>
                  <pic:blipFill>
                    <a:blip r:embed="rId9"/>
                    <a:srcRect/>
                    <a:stretch>
                      <a:fillRect/>
                    </a:stretch>
                  </pic:blipFill>
                  <pic:spPr>
                    <a:xfrm>
                      <a:off x="0" y="0"/>
                      <a:ext cx="190500" cy="139700"/>
                    </a:xfrm>
                    <a:prstGeom prst="rect">
                      <a:avLst/>
                    </a:prstGeom>
                    <a:noFill/>
                    <a:ln w="9525">
                      <a:noFill/>
                      <a:miter lim="800000"/>
                      <a:headEnd/>
                      <a:tailEnd/>
                    </a:ln>
                  </pic:spPr>
                </pic:pic>
              </a:graphicData>
            </a:graphic>
          </wp:inline>
        </w:drawing>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（三）竞争性比选响应文件递交地点：重庆通力高速公路养护工程有限公司</w:t>
      </w:r>
      <w:r>
        <w:rPr>
          <w:rFonts w:hint="eastAsia" w:ascii="宋体" w:hAnsi="宋体" w:cs="宋体"/>
          <w:szCs w:val="21"/>
          <w:lang w:val="en-US" w:eastAsia="zh-CN"/>
        </w:rPr>
        <w:t>306</w:t>
      </w:r>
      <w:r>
        <w:rPr>
          <w:rFonts w:hint="eastAsia" w:ascii="宋体" w:hAnsi="宋体" w:cs="宋体"/>
          <w:szCs w:val="21"/>
        </w:rPr>
        <w:t>办公室（重庆市沙坪坝区梨高路沙坪坝区档案馆旁重庆市公路养护管理段三楼）。</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szCs w:val="21"/>
          <w:highlight w:val="none"/>
        </w:rPr>
        <w:t>2022年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18 </w:t>
      </w:r>
      <w:r>
        <w:rPr>
          <w:rFonts w:hint="eastAsia" w:ascii="宋体" w:hAnsi="宋体" w:cs="宋体"/>
          <w:szCs w:val="21"/>
          <w:highlight w:val="none"/>
        </w:rPr>
        <w:t>日下</w:t>
      </w:r>
      <w:r>
        <w:rPr>
          <w:rFonts w:hint="eastAsia" w:ascii="宋体" w:hAnsi="宋体" w:cs="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6</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spacing w:line="360" w:lineRule="exact"/>
        <w:ind w:firstLine="420" w:firstLineChars="200"/>
        <w:jc w:val="center"/>
        <w:rPr>
          <w:rFonts w:ascii="宋体" w:hAnsi="宋体" w:cs="宋体"/>
          <w:szCs w:val="21"/>
          <w:u w:val="single"/>
        </w:rPr>
      </w:pPr>
      <w:r>
        <w:rPr>
          <w:rFonts w:hint="eastAsia"/>
          <w:szCs w:val="21"/>
          <w:u w:val="single"/>
        </w:rPr>
        <w:t>重庆通力高速公路养护工程有限公司</w:t>
      </w:r>
      <w:r>
        <w:rPr>
          <w:rFonts w:hint="eastAsia"/>
          <w:szCs w:val="21"/>
          <w:u w:val="single"/>
          <w:lang w:eastAsia="zh-CN"/>
        </w:rPr>
        <w:t>重庆市江津区支坪下道口扩建工程水泥稳定碎石混合料外协加工、运输（第三次）</w:t>
      </w:r>
      <w:r>
        <w:rPr>
          <w:rFonts w:hint="eastAsia" w:ascii="宋体" w:hAnsi="宋体" w:cs="宋体"/>
          <w:szCs w:val="21"/>
          <w:u w:val="single"/>
        </w:rPr>
        <w:t>竞争性比选响应性文件在</w:t>
      </w:r>
      <w:r>
        <w:rPr>
          <w:rFonts w:hint="eastAsia" w:ascii="宋体" w:hAnsi="宋体" w:cs="宋体"/>
          <w:szCs w:val="21"/>
          <w:highlight w:val="none"/>
          <w:u w:val="single"/>
        </w:rPr>
        <w:t>2022年</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 月 </w:t>
      </w:r>
      <w:r>
        <w:rPr>
          <w:rFonts w:hint="eastAsia" w:ascii="宋体" w:hAnsi="宋体" w:cs="宋体"/>
          <w:szCs w:val="21"/>
          <w:highlight w:val="none"/>
          <w:u w:val="single"/>
          <w:lang w:val="en-US" w:eastAsia="zh-CN"/>
        </w:rPr>
        <w:t>18</w:t>
      </w:r>
      <w:r>
        <w:rPr>
          <w:rFonts w:hint="eastAsia" w:ascii="宋体" w:hAnsi="宋体" w:cs="宋体"/>
          <w:szCs w:val="21"/>
          <w:highlight w:val="none"/>
          <w:u w:val="single"/>
        </w:rPr>
        <w:t>日下</w:t>
      </w:r>
      <w:r>
        <w:rPr>
          <w:rFonts w:hint="eastAsia" w:ascii="宋体" w:hAnsi="宋体" w:cs="宋体"/>
          <w:szCs w:val="21"/>
          <w:u w:val="single"/>
        </w:rPr>
        <w:t>午 1</w:t>
      </w:r>
      <w:r>
        <w:rPr>
          <w:rFonts w:hint="eastAsia" w:ascii="宋体" w:hAnsi="宋体" w:cs="宋体"/>
          <w:szCs w:val="21"/>
          <w:u w:val="single"/>
          <w:lang w:val="en-US" w:eastAsia="zh-CN"/>
        </w:rPr>
        <w:t>6</w:t>
      </w:r>
      <w:r>
        <w:rPr>
          <w:rFonts w:hint="eastAsia" w:ascii="宋体" w:hAnsi="宋体" w:cs="宋体"/>
          <w:szCs w:val="21"/>
          <w:u w:val="single"/>
        </w:rPr>
        <w:t xml:space="preserve"> 时 00 分前不得开启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（八）分包合同（附后）：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地址：重庆市沙坪坝区梨高路沙坪坝区档案馆旁重庆市公路养护管理段三楼</w:t>
      </w:r>
    </w:p>
    <w:p>
      <w:pPr>
        <w:spacing w:line="360" w:lineRule="exact"/>
        <w:ind w:firstLine="420" w:firstLineChars="200"/>
        <w:jc w:val="left"/>
        <w:rPr>
          <w:rFonts w:ascii="宋体" w:hAnsi="宋体" w:cs="宋体"/>
          <w:szCs w:val="21"/>
        </w:rPr>
      </w:pPr>
      <w:r>
        <w:rPr>
          <w:rFonts w:hint="eastAsia" w:ascii="宋体" w:hAnsi="宋体" w:cs="宋体"/>
          <w:szCs w:val="21"/>
        </w:rPr>
        <w:t>联系人：刘老师  电话：023-88563373</w:t>
      </w:r>
      <w:r>
        <w:rPr>
          <w:rFonts w:hint="eastAsia" w:ascii="宋体" w:hAnsi="宋体"/>
          <w:snapToGrid w:val="0"/>
          <w:kern w:val="0"/>
          <w:szCs w:val="21"/>
        </w:rPr>
        <w:t xml:space="preserve">    冉老师 电话：18008378920</w:t>
      </w: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rFonts w:hint="eastAsia"/>
          <w:b/>
          <w:sz w:val="24"/>
          <w:szCs w:val="21"/>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pStyle w:val="2"/>
      </w:pPr>
    </w:p>
    <w:p>
      <w:pPr>
        <w:spacing w:line="360" w:lineRule="auto"/>
        <w:jc w:val="left"/>
        <w:rPr>
          <w:rFonts w:ascii="宋体" w:hAnsi="宋体"/>
          <w:b/>
          <w:sz w:val="28"/>
          <w:szCs w:val="28"/>
        </w:rPr>
      </w:pPr>
    </w:p>
    <w:p>
      <w:pPr>
        <w:spacing w:line="360" w:lineRule="auto"/>
        <w:jc w:val="center"/>
        <w:rPr>
          <w:rFonts w:ascii="宋体" w:hAnsi="宋体" w:cs="宋体"/>
          <w:b/>
          <w:sz w:val="48"/>
          <w:szCs w:val="48"/>
        </w:rPr>
      </w:pPr>
      <w:sdt>
        <w:sdtPr>
          <w:rPr>
            <w:b/>
            <w:sz w:val="36"/>
            <w:szCs w:val="36"/>
          </w:rPr>
          <w:id w:val="501090502"/>
          <w:placeholder>
            <w:docPart w:val="{d7566065-4333-46d0-b529-01bd7a5b41e7}"/>
          </w:placeholder>
        </w:sdtPr>
        <w:sdtEndPr>
          <w:rPr>
            <w:rFonts w:ascii="宋体" w:hAnsi="宋体" w:cs="宋体"/>
            <w:b/>
            <w:sz w:val="48"/>
            <w:szCs w:val="48"/>
          </w:rPr>
        </w:sdtEndPr>
        <w:sdtContent>
          <w:r>
            <w:rPr>
              <w:rFonts w:hint="eastAsia" w:ascii="宋体" w:hAnsi="宋体" w:cs="宋体"/>
              <w:b/>
              <w:sz w:val="48"/>
              <w:szCs w:val="48"/>
            </w:rPr>
            <w:t>重庆市江津区支坪下道口扩建工程水泥稳定碎石混合料外协加工、运输合同</w:t>
          </w:r>
        </w:sdtContent>
      </w:sdt>
    </w:p>
    <w:p>
      <w:pPr>
        <w:spacing w:line="360" w:lineRule="auto"/>
        <w:rPr>
          <w:sz w:val="24"/>
        </w:rPr>
      </w:pPr>
      <w:r>
        <w:rPr>
          <w:rFonts w:hint="eastAsia"/>
          <w:sz w:val="24"/>
        </w:rPr>
        <w:t>甲方：重庆通力高速公路养护工程有限公司　</w:t>
      </w:r>
    </w:p>
    <w:p>
      <w:pPr>
        <w:spacing w:line="360" w:lineRule="auto"/>
        <w:rPr>
          <w:sz w:val="24"/>
        </w:rPr>
      </w:pPr>
      <w:commentRangeStart w:id="0"/>
      <w:r>
        <w:rPr>
          <w:rFonts w:hint="eastAsia"/>
          <w:sz w:val="24"/>
        </w:rPr>
        <w:t>乙方</w:t>
      </w:r>
      <w:commentRangeEnd w:id="0"/>
      <w:r>
        <w:rPr>
          <w:rStyle w:val="16"/>
          <w:rFonts w:eastAsiaTheme="minorEastAsia" w:cstheme="minorBidi"/>
        </w:rPr>
        <w:commentReference w:id="0"/>
      </w:r>
      <w:r>
        <w:rPr>
          <w:rFonts w:hint="eastAsia"/>
          <w:sz w:val="24"/>
        </w:rPr>
        <w:t>：</w:t>
      </w:r>
      <w:sdt>
        <w:sdtPr>
          <w:rPr>
            <w:rFonts w:hint="eastAsia"/>
            <w:sz w:val="24"/>
          </w:rPr>
          <w:id w:val="-1694221471"/>
          <w:placeholder>
            <w:docPart w:val="{398db0f2-6781-4b6d-bc7b-49d6e917c7dd}"/>
          </w:placeholder>
          <w:showingPlcHdr/>
        </w:sdtPr>
        <w:sdtEndPr>
          <w:rPr>
            <w:rFonts w:hint="eastAsia"/>
            <w:sz w:val="24"/>
          </w:rPr>
        </w:sdtEndPr>
        <w:sdtContent>
          <w:r>
            <w:rPr>
              <w:rStyle w:val="20"/>
              <w:rFonts w:hint="eastAsia"/>
              <w:color w:val="FF0000"/>
            </w:rPr>
            <w:t>单击此处输入文字。</w:t>
          </w:r>
        </w:sdtContent>
      </w:sdt>
    </w:p>
    <w:p>
      <w:pPr>
        <w:spacing w:line="360" w:lineRule="auto"/>
        <w:rPr>
          <w:sz w:val="24"/>
        </w:rPr>
      </w:pPr>
      <w:r>
        <w:rPr>
          <w:rFonts w:hint="eastAsia"/>
          <w:sz w:val="24"/>
        </w:rPr>
        <w:t xml:space="preserve">    甲方因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4"/>
            <w:szCs w:val="20"/>
            <w:u w:val="single"/>
          </w:rPr>
        </w:sdtEndPr>
        <w:sdtContent>
          <w:sdt>
            <w:sdtPr>
              <w:rPr>
                <w:rFonts w:hint="eastAsia" w:ascii="宋体" w:hAnsi="宋体"/>
                <w:b/>
                <w:sz w:val="22"/>
                <w:szCs w:val="22"/>
                <w:u w:val="single"/>
              </w:rPr>
              <w:id w:val="-726840248"/>
              <w:placeholder>
                <w:docPart w:val="{cc3e1155-99e9-477e-b4f1-8826c596e4d9}"/>
              </w:placeholder>
            </w:sdtPr>
            <w:sdtEndPr>
              <w:rPr>
                <w:rFonts w:hint="eastAsia" w:ascii="宋体" w:hAnsi="宋体"/>
                <w:b/>
                <w:sz w:val="24"/>
                <w:szCs w:val="20"/>
                <w:u w:val="single"/>
              </w:rPr>
            </w:sdtEndPr>
            <w:sdtContent>
              <w:r>
                <w:rPr>
                  <w:rFonts w:hint="eastAsia" w:ascii="宋体" w:hAnsi="宋体"/>
                  <w:b/>
                  <w:sz w:val="24"/>
                  <w:u w:val="single"/>
                </w:rPr>
                <w:t>重庆市江津区支坪下道口扩建工程施工</w:t>
              </w:r>
            </w:sdtContent>
          </w:sdt>
        </w:sdtContent>
      </w:sdt>
      <w:r>
        <w:rPr>
          <w:rFonts w:hint="eastAsia"/>
          <w:sz w:val="24"/>
        </w:rPr>
        <w:t>的需要，现将该工程的</w:t>
      </w:r>
      <w:r>
        <w:rPr>
          <w:rFonts w:hint="eastAsia" w:ascii="宋体" w:hAnsi="宋体"/>
          <w:b/>
          <w:sz w:val="24"/>
          <w:u w:val="single"/>
        </w:rPr>
        <w:t>水泥稳定碎石混合料外协加工、运输</w:t>
      </w:r>
      <w:r>
        <w:rPr>
          <w:rFonts w:hint="eastAsia"/>
          <w:sz w:val="24"/>
        </w:rPr>
        <w:t>委托给乙方实施；为了明确双方的责任、权利、义务，</w:t>
      </w:r>
      <w:r>
        <w:rPr>
          <w:rFonts w:hint="eastAsia" w:ascii="宋体" w:hAnsi="宋体"/>
          <w:sz w:val="24"/>
        </w:rPr>
        <w:t>依照《中华人民共和国合同法》、《中华人民共和国建筑法》及其他有关法律、行政法规，双方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440" w:lineRule="exact"/>
        <w:rPr>
          <w:rFonts w:ascii="宋体" w:hAnsi="宋体"/>
          <w:b/>
          <w:szCs w:val="21"/>
        </w:rPr>
      </w:pPr>
      <w:r>
        <w:rPr>
          <w:rFonts w:hint="eastAsia" w:ascii="宋体" w:hAnsi="宋体"/>
          <w:b/>
          <w:szCs w:val="21"/>
        </w:rPr>
        <w:t>一、具体内容</w:t>
      </w:r>
    </w:p>
    <w:p>
      <w:pPr>
        <w:jc w:val="left"/>
        <w:rPr>
          <w:sz w:val="24"/>
          <w:szCs w:val="24"/>
        </w:rPr>
      </w:pPr>
      <w:r>
        <w:rPr>
          <w:rFonts w:hint="eastAsia" w:ascii="宋体" w:hAnsi="宋体"/>
          <w:sz w:val="24"/>
          <w:szCs w:val="24"/>
        </w:rPr>
        <w:t xml:space="preserve">    1、工程量清单：</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1834"/>
        <w:gridCol w:w="797"/>
        <w:gridCol w:w="825"/>
        <w:gridCol w:w="1396"/>
        <w:gridCol w:w="1810"/>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81" w:type="dxa"/>
            <w:vAlign w:val="center"/>
          </w:tcPr>
          <w:p>
            <w:pPr>
              <w:jc w:val="center"/>
              <w:textAlignment w:val="baseline"/>
              <w:rPr>
                <w:b/>
                <w:sz w:val="24"/>
              </w:rPr>
            </w:pPr>
            <w:r>
              <w:rPr>
                <w:rFonts w:hint="eastAsia"/>
                <w:b/>
                <w:sz w:val="18"/>
                <w:szCs w:val="18"/>
              </w:rPr>
              <w:t>序号</w:t>
            </w:r>
          </w:p>
        </w:tc>
        <w:tc>
          <w:tcPr>
            <w:tcW w:w="1834" w:type="dxa"/>
            <w:vAlign w:val="center"/>
          </w:tcPr>
          <w:p>
            <w:pPr>
              <w:spacing w:line="360" w:lineRule="auto"/>
              <w:jc w:val="center"/>
              <w:textAlignment w:val="baseline"/>
              <w:rPr>
                <w:b/>
                <w:sz w:val="24"/>
              </w:rPr>
            </w:pPr>
            <w:r>
              <w:rPr>
                <w:rFonts w:hint="eastAsia"/>
                <w:b/>
                <w:sz w:val="18"/>
                <w:szCs w:val="18"/>
              </w:rPr>
              <w:t>细目名称</w:t>
            </w:r>
          </w:p>
        </w:tc>
        <w:tc>
          <w:tcPr>
            <w:tcW w:w="797" w:type="dxa"/>
            <w:vAlign w:val="center"/>
          </w:tcPr>
          <w:p>
            <w:pPr>
              <w:jc w:val="center"/>
              <w:textAlignment w:val="baseline"/>
              <w:rPr>
                <w:rFonts w:ascii="宋体" w:hAnsi="宋体" w:cs="宋体"/>
                <w:b/>
                <w:kern w:val="0"/>
                <w:sz w:val="18"/>
                <w:szCs w:val="18"/>
              </w:rPr>
            </w:pPr>
            <w:r>
              <w:rPr>
                <w:rFonts w:hint="eastAsia" w:ascii="宋体" w:hAnsi="宋体" w:cs="宋体"/>
                <w:b/>
                <w:kern w:val="0"/>
                <w:sz w:val="18"/>
                <w:szCs w:val="18"/>
              </w:rPr>
              <w:t>单位</w:t>
            </w:r>
          </w:p>
        </w:tc>
        <w:tc>
          <w:tcPr>
            <w:tcW w:w="825" w:type="dxa"/>
            <w:vAlign w:val="center"/>
          </w:tcPr>
          <w:p>
            <w:pPr>
              <w:jc w:val="center"/>
              <w:textAlignment w:val="baseline"/>
              <w:rPr>
                <w:b/>
                <w:sz w:val="24"/>
              </w:rPr>
            </w:pPr>
            <w:r>
              <w:rPr>
                <w:rFonts w:hint="eastAsia" w:ascii="宋体" w:hAnsi="宋体" w:cs="宋体"/>
                <w:b/>
                <w:kern w:val="0"/>
                <w:sz w:val="18"/>
                <w:szCs w:val="18"/>
              </w:rPr>
              <w:t>数量</w:t>
            </w:r>
          </w:p>
        </w:tc>
        <w:tc>
          <w:tcPr>
            <w:tcW w:w="1396" w:type="dxa"/>
            <w:vAlign w:val="center"/>
          </w:tcPr>
          <w:p>
            <w:pPr>
              <w:jc w:val="center"/>
              <w:textAlignment w:val="baseline"/>
              <w:rPr>
                <w:b/>
                <w:sz w:val="24"/>
              </w:rPr>
            </w:pPr>
            <w:r>
              <w:rPr>
                <w:rFonts w:hint="eastAsia" w:ascii="宋体" w:hAnsi="宋体"/>
                <w:b/>
              </w:rPr>
              <w:t>含税单价</w:t>
            </w:r>
          </w:p>
        </w:tc>
        <w:tc>
          <w:tcPr>
            <w:tcW w:w="1810" w:type="dxa"/>
            <w:vAlign w:val="center"/>
          </w:tcPr>
          <w:p>
            <w:pPr>
              <w:jc w:val="center"/>
              <w:textAlignment w:val="baseline"/>
              <w:rPr>
                <w:b/>
                <w:sz w:val="24"/>
              </w:rPr>
            </w:pPr>
            <w:r>
              <w:rPr>
                <w:rFonts w:hint="eastAsia" w:ascii="宋体" w:hAnsi="宋体"/>
                <w:b/>
              </w:rPr>
              <w:t>含税金额</w:t>
            </w:r>
          </w:p>
        </w:tc>
        <w:tc>
          <w:tcPr>
            <w:tcW w:w="2575" w:type="dxa"/>
            <w:vAlign w:val="center"/>
          </w:tcPr>
          <w:p>
            <w:pPr>
              <w:jc w:val="center"/>
              <w:textAlignment w:val="baseline"/>
              <w:rPr>
                <w:b/>
                <w:sz w:val="24"/>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681" w:type="dxa"/>
            <w:vAlign w:val="center"/>
          </w:tcPr>
          <w:p>
            <w:pPr>
              <w:spacing w:line="440" w:lineRule="exact"/>
              <w:jc w:val="center"/>
              <w:rPr>
                <w:rFonts w:ascii="宋体" w:hAnsi="宋体"/>
                <w:szCs w:val="21"/>
              </w:rPr>
            </w:pPr>
            <w:r>
              <w:rPr>
                <w:rFonts w:hint="eastAsia" w:ascii="宋体" w:hAnsi="宋体"/>
                <w:szCs w:val="21"/>
              </w:rPr>
              <w:t>1</w:t>
            </w:r>
          </w:p>
        </w:tc>
        <w:tc>
          <w:tcPr>
            <w:tcW w:w="1834" w:type="dxa"/>
            <w:vAlign w:val="center"/>
          </w:tcPr>
          <w:p>
            <w:pPr>
              <w:autoSpaceDN w:val="0"/>
              <w:jc w:val="center"/>
              <w:rPr>
                <w:rFonts w:ascii="宋体" w:hAnsi="宋体" w:cs="宋体"/>
                <w:szCs w:val="21"/>
              </w:rPr>
            </w:pPr>
            <w:r>
              <w:rPr>
                <w:rFonts w:hint="eastAsia" w:ascii="宋体" w:hAnsi="宋体" w:cs="宋体"/>
                <w:szCs w:val="21"/>
              </w:rPr>
              <w:t>加工</w:t>
            </w:r>
          </w:p>
        </w:tc>
        <w:tc>
          <w:tcPr>
            <w:tcW w:w="797" w:type="dxa"/>
            <w:vAlign w:val="center"/>
          </w:tcPr>
          <w:p>
            <w:pPr>
              <w:widowControl/>
              <w:jc w:val="center"/>
              <w:textAlignment w:val="center"/>
              <w:rPr>
                <w:rFonts w:ascii="宋体" w:hAnsi="宋体" w:cs="宋体"/>
                <w:szCs w:val="21"/>
              </w:rPr>
            </w:pPr>
            <w:r>
              <w:rPr>
                <w:rFonts w:hint="eastAsia" w:ascii="宋体" w:hAnsi="宋体" w:cs="宋体"/>
                <w:kern w:val="0"/>
                <w:szCs w:val="21"/>
              </w:rPr>
              <w:t>吨</w:t>
            </w:r>
          </w:p>
        </w:tc>
        <w:tc>
          <w:tcPr>
            <w:tcW w:w="825" w:type="dxa"/>
            <w:vAlign w:val="center"/>
          </w:tcPr>
          <w:p>
            <w:pPr>
              <w:spacing w:line="360" w:lineRule="auto"/>
              <w:jc w:val="center"/>
              <w:textAlignment w:val="baseline"/>
              <w:rPr>
                <w:rFonts w:ascii="宋体" w:hAnsi="宋体" w:cs="宋体"/>
                <w:szCs w:val="21"/>
              </w:rPr>
            </w:pPr>
            <w:r>
              <w:rPr>
                <w:rFonts w:hint="eastAsia" w:ascii="宋体" w:hAnsi="宋体" w:cs="宋体"/>
                <w:szCs w:val="21"/>
              </w:rPr>
              <w:t>24000</w:t>
            </w:r>
          </w:p>
        </w:tc>
        <w:tc>
          <w:tcPr>
            <w:tcW w:w="1396" w:type="dxa"/>
            <w:vAlign w:val="center"/>
          </w:tcPr>
          <w:p>
            <w:pPr>
              <w:spacing w:line="360" w:lineRule="auto"/>
              <w:jc w:val="center"/>
              <w:textAlignment w:val="baseline"/>
              <w:rPr>
                <w:rFonts w:ascii="宋体" w:hAnsi="宋体" w:cs="宋体"/>
                <w:szCs w:val="21"/>
              </w:rPr>
            </w:pPr>
          </w:p>
        </w:tc>
        <w:tc>
          <w:tcPr>
            <w:tcW w:w="1810" w:type="dxa"/>
            <w:vAlign w:val="center"/>
          </w:tcPr>
          <w:p>
            <w:pPr>
              <w:widowControl/>
              <w:jc w:val="center"/>
              <w:textAlignment w:val="center"/>
              <w:rPr>
                <w:rFonts w:ascii="宋体" w:hAnsi="宋体" w:cs="宋体"/>
                <w:szCs w:val="21"/>
              </w:rPr>
            </w:pPr>
          </w:p>
        </w:tc>
        <w:tc>
          <w:tcPr>
            <w:tcW w:w="2575" w:type="dxa"/>
            <w:vAlign w:val="center"/>
          </w:tcPr>
          <w:p>
            <w:pPr>
              <w:ind w:left="8" w:leftChars="4"/>
              <w:rPr>
                <w:rFonts w:ascii="宋体" w:hAnsi="宋体" w:cs="宋体"/>
                <w:sz w:val="18"/>
                <w:szCs w:val="18"/>
              </w:rPr>
            </w:pPr>
            <w:r>
              <w:rPr>
                <w:rFonts w:hint="eastAsia" w:ascii="宋体" w:hAnsi="宋体" w:cs="宋体"/>
                <w:sz w:val="18"/>
                <w:szCs w:val="18"/>
              </w:rPr>
              <w:t xml:space="preserve">  除粗集料、细集料、水泥由甲方提供外，加工场地、施工用水、电、燃油、机械设备、人工、临时生活设施、安全措施等均由乙方负责。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681" w:type="dxa"/>
            <w:vAlign w:val="center"/>
          </w:tcPr>
          <w:p>
            <w:pPr>
              <w:spacing w:line="440" w:lineRule="exact"/>
              <w:jc w:val="center"/>
              <w:rPr>
                <w:rFonts w:ascii="宋体" w:hAnsi="宋体"/>
                <w:szCs w:val="21"/>
              </w:rPr>
            </w:pPr>
            <w:r>
              <w:rPr>
                <w:rFonts w:hint="eastAsia" w:ascii="宋体" w:hAnsi="宋体"/>
                <w:szCs w:val="21"/>
              </w:rPr>
              <w:t>2</w:t>
            </w:r>
          </w:p>
        </w:tc>
        <w:tc>
          <w:tcPr>
            <w:tcW w:w="1834" w:type="dxa"/>
            <w:vAlign w:val="center"/>
          </w:tcPr>
          <w:p>
            <w:pPr>
              <w:autoSpaceDN w:val="0"/>
              <w:jc w:val="center"/>
              <w:rPr>
                <w:rFonts w:ascii="宋体" w:hAnsi="宋体" w:cs="宋体"/>
                <w:szCs w:val="21"/>
              </w:rPr>
            </w:pPr>
            <w:r>
              <w:rPr>
                <w:rFonts w:hint="eastAsia" w:ascii="宋体" w:hAnsi="宋体" w:cs="宋体"/>
                <w:szCs w:val="21"/>
              </w:rPr>
              <w:t>运输</w:t>
            </w:r>
          </w:p>
        </w:tc>
        <w:tc>
          <w:tcPr>
            <w:tcW w:w="797" w:type="dxa"/>
            <w:vAlign w:val="center"/>
          </w:tcPr>
          <w:p>
            <w:pPr>
              <w:widowControl/>
              <w:jc w:val="center"/>
              <w:textAlignment w:val="center"/>
              <w:rPr>
                <w:rFonts w:ascii="宋体" w:hAnsi="宋体" w:cs="宋体"/>
                <w:szCs w:val="21"/>
              </w:rPr>
            </w:pPr>
            <w:r>
              <w:rPr>
                <w:rFonts w:hint="eastAsia" w:ascii="宋体" w:hAnsi="宋体" w:cs="宋体"/>
                <w:kern w:val="0"/>
                <w:szCs w:val="21"/>
              </w:rPr>
              <w:t>吨</w:t>
            </w:r>
          </w:p>
        </w:tc>
        <w:tc>
          <w:tcPr>
            <w:tcW w:w="825" w:type="dxa"/>
            <w:vAlign w:val="center"/>
          </w:tcPr>
          <w:p>
            <w:pPr>
              <w:spacing w:line="360" w:lineRule="auto"/>
              <w:jc w:val="center"/>
              <w:textAlignment w:val="baseline"/>
              <w:rPr>
                <w:rFonts w:ascii="宋体" w:hAnsi="宋体" w:cs="宋体"/>
                <w:kern w:val="0"/>
                <w:szCs w:val="21"/>
              </w:rPr>
            </w:pPr>
            <w:r>
              <w:rPr>
                <w:rFonts w:hint="eastAsia" w:ascii="宋体" w:hAnsi="宋体"/>
                <w:szCs w:val="21"/>
              </w:rPr>
              <w:t>24000</w:t>
            </w:r>
          </w:p>
        </w:tc>
        <w:tc>
          <w:tcPr>
            <w:tcW w:w="1396" w:type="dxa"/>
            <w:vAlign w:val="center"/>
          </w:tcPr>
          <w:p>
            <w:pPr>
              <w:spacing w:line="360" w:lineRule="auto"/>
              <w:jc w:val="center"/>
              <w:textAlignment w:val="baseline"/>
              <w:rPr>
                <w:rFonts w:ascii="宋体" w:hAnsi="宋体" w:cs="宋体"/>
                <w:szCs w:val="21"/>
              </w:rPr>
            </w:pPr>
          </w:p>
        </w:tc>
        <w:tc>
          <w:tcPr>
            <w:tcW w:w="1810" w:type="dxa"/>
            <w:vAlign w:val="center"/>
          </w:tcPr>
          <w:p>
            <w:pPr>
              <w:spacing w:line="360" w:lineRule="auto"/>
              <w:jc w:val="center"/>
              <w:textAlignment w:val="baseline"/>
              <w:rPr>
                <w:rFonts w:ascii="宋体" w:hAnsi="宋体" w:cs="宋体"/>
                <w:szCs w:val="21"/>
              </w:rPr>
            </w:pPr>
          </w:p>
        </w:tc>
        <w:tc>
          <w:tcPr>
            <w:tcW w:w="2575" w:type="dxa"/>
            <w:vAlign w:val="center"/>
          </w:tcPr>
          <w:p>
            <w:pPr>
              <w:ind w:left="8" w:leftChars="4"/>
              <w:jc w:val="left"/>
              <w:rPr>
                <w:rFonts w:ascii="宋体" w:hAnsi="宋体" w:cs="宋体"/>
                <w:sz w:val="18"/>
                <w:szCs w:val="18"/>
              </w:rPr>
            </w:pPr>
            <w:r>
              <w:rPr>
                <w:rFonts w:hint="eastAsia" w:ascii="宋体" w:hAnsi="宋体" w:cs="宋体"/>
                <w:sz w:val="18"/>
                <w:szCs w:val="18"/>
              </w:rPr>
              <w:t xml:space="preserve">  须配置满足甲方施工进度所需运输车辆，运输车辆所发生人工、燃油、保险、高速费用、超限罚款等所有费用均由乙方承担。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1" w:type="dxa"/>
            <w:vAlign w:val="center"/>
          </w:tcPr>
          <w:p>
            <w:pPr>
              <w:spacing w:line="440" w:lineRule="exact"/>
              <w:jc w:val="center"/>
              <w:rPr>
                <w:rFonts w:ascii="宋体" w:hAnsi="宋体"/>
                <w:szCs w:val="21"/>
              </w:rPr>
            </w:pPr>
            <w:r>
              <w:rPr>
                <w:rFonts w:hint="eastAsia" w:ascii="宋体" w:hAnsi="宋体"/>
                <w:szCs w:val="21"/>
              </w:rPr>
              <w:t>3</w:t>
            </w:r>
          </w:p>
        </w:tc>
        <w:tc>
          <w:tcPr>
            <w:tcW w:w="1834" w:type="dxa"/>
            <w:vAlign w:val="center"/>
          </w:tcPr>
          <w:p>
            <w:pPr>
              <w:autoSpaceDN w:val="0"/>
              <w:jc w:val="center"/>
              <w:rPr>
                <w:rFonts w:ascii="宋体" w:hAnsi="宋体" w:cs="宋体"/>
                <w:szCs w:val="21"/>
              </w:rPr>
            </w:pPr>
            <w:r>
              <w:rPr>
                <w:rFonts w:hint="eastAsia" w:ascii="宋体" w:hAnsi="宋体" w:cs="宋体"/>
                <w:szCs w:val="21"/>
              </w:rPr>
              <w:t>合计</w:t>
            </w:r>
          </w:p>
        </w:tc>
        <w:tc>
          <w:tcPr>
            <w:tcW w:w="797" w:type="dxa"/>
            <w:vAlign w:val="center"/>
          </w:tcPr>
          <w:p>
            <w:pPr>
              <w:autoSpaceDN w:val="0"/>
              <w:jc w:val="center"/>
              <w:rPr>
                <w:rFonts w:ascii="宋体" w:hAnsi="宋体" w:cs="宋体"/>
                <w:szCs w:val="21"/>
              </w:rPr>
            </w:pPr>
          </w:p>
        </w:tc>
        <w:tc>
          <w:tcPr>
            <w:tcW w:w="825" w:type="dxa"/>
            <w:vAlign w:val="center"/>
          </w:tcPr>
          <w:p>
            <w:pPr>
              <w:autoSpaceDN w:val="0"/>
              <w:jc w:val="center"/>
              <w:rPr>
                <w:rFonts w:ascii="宋体" w:hAnsi="宋体" w:cs="宋体"/>
                <w:szCs w:val="21"/>
              </w:rPr>
            </w:pPr>
          </w:p>
        </w:tc>
        <w:tc>
          <w:tcPr>
            <w:tcW w:w="1396" w:type="dxa"/>
            <w:vAlign w:val="center"/>
          </w:tcPr>
          <w:p>
            <w:pPr>
              <w:autoSpaceDN w:val="0"/>
              <w:jc w:val="left"/>
              <w:rPr>
                <w:rFonts w:ascii="宋体" w:hAnsi="宋体" w:cs="宋体"/>
                <w:szCs w:val="21"/>
              </w:rPr>
            </w:pPr>
          </w:p>
        </w:tc>
        <w:tc>
          <w:tcPr>
            <w:tcW w:w="1810" w:type="dxa"/>
            <w:vAlign w:val="center"/>
          </w:tcPr>
          <w:p>
            <w:pPr>
              <w:widowControl/>
              <w:textAlignment w:val="center"/>
              <w:rPr>
                <w:rFonts w:ascii="Arial" w:hAnsi="Arial" w:cs="Arial"/>
                <w:bCs/>
                <w:szCs w:val="21"/>
              </w:rPr>
            </w:pPr>
          </w:p>
        </w:tc>
        <w:tc>
          <w:tcPr>
            <w:tcW w:w="2575" w:type="dxa"/>
            <w:vAlign w:val="center"/>
          </w:tcPr>
          <w:p>
            <w:pPr>
              <w:jc w:val="left"/>
              <w:rPr>
                <w:rFonts w:ascii="宋体" w:hAnsi="宋体" w:cs="宋体"/>
                <w:szCs w:val="21"/>
              </w:rPr>
            </w:pPr>
            <w:r>
              <w:rPr>
                <w:rFonts w:hint="eastAsia" w:ascii="宋体" w:hAnsi="宋体" w:cs="宋体"/>
                <w:sz w:val="18"/>
                <w:szCs w:val="18"/>
              </w:rPr>
              <w:t>税率（</w:t>
            </w:r>
            <w:r>
              <w:rPr>
                <w:rFonts w:hint="eastAsia" w:ascii="宋体" w:hAnsi="宋体" w:cs="宋体"/>
                <w:sz w:val="18"/>
                <w:szCs w:val="18"/>
                <w:u w:val="single"/>
              </w:rPr>
              <w:t xml:space="preserve">      </w:t>
            </w:r>
            <w:r>
              <w:rPr>
                <w:rFonts w:hint="eastAsia" w:ascii="宋体" w:hAnsi="宋体" w:cs="宋体"/>
                <w:sz w:val="18"/>
                <w:szCs w:val="18"/>
              </w:rPr>
              <w:t xml:space="preserve">） </w:t>
            </w:r>
          </w:p>
        </w:tc>
      </w:tr>
    </w:tbl>
    <w:p>
      <w:pPr>
        <w:spacing w:line="440" w:lineRule="exact"/>
        <w:ind w:firstLine="480" w:firstLineChars="200"/>
        <w:rPr>
          <w:rFonts w:ascii="宋体" w:hAnsi="宋体" w:cs="宋体"/>
          <w:bCs/>
          <w:sz w:val="24"/>
          <w:szCs w:val="24"/>
        </w:rPr>
      </w:pPr>
      <w:r>
        <w:rPr>
          <w:rFonts w:hint="eastAsia" w:ascii="宋体" w:hAnsi="宋体" w:cs="宋体"/>
          <w:sz w:val="24"/>
          <w:szCs w:val="24"/>
        </w:rPr>
        <w:t>2、合同有效时间：签订合同之日起至</w:t>
      </w:r>
      <w:sdt>
        <w:sdtPr>
          <w:rPr>
            <w:rFonts w:hint="eastAsia" w:ascii="宋体" w:hAnsi="宋体"/>
            <w:b/>
            <w:sz w:val="24"/>
            <w:szCs w:val="24"/>
            <w:u w:val="single"/>
          </w:rPr>
          <w:id w:val="531036065"/>
          <w:placeholder>
            <w:docPart w:val="4684512A91C244ACBBD6F5378590F502"/>
          </w:placeholder>
        </w:sdtPr>
        <w:sdtEndPr>
          <w:rPr>
            <w:rFonts w:hint="eastAsia" w:ascii="宋体" w:hAnsi="宋体" w:cs="宋体"/>
            <w:b w:val="0"/>
            <w:sz w:val="24"/>
            <w:szCs w:val="24"/>
            <w:u w:val="none"/>
          </w:rPr>
        </w:sdtEndPr>
        <w:sdtContent>
          <w:r>
            <w:rPr>
              <w:rFonts w:hint="eastAsia" w:ascii="宋体" w:hAnsi="宋体" w:cs="宋体"/>
              <w:sz w:val="24"/>
              <w:szCs w:val="24"/>
            </w:rPr>
            <w:t>重庆市江津区支坪下道口扩建工程</w:t>
          </w:r>
        </w:sdtContent>
      </w:sdt>
      <w:r>
        <w:rPr>
          <w:rFonts w:hint="eastAsia" w:ascii="宋体" w:hAnsi="宋体" w:cs="宋体"/>
          <w:sz w:val="24"/>
          <w:szCs w:val="24"/>
        </w:rPr>
        <w:t>项目</w:t>
      </w:r>
      <w:r>
        <w:rPr>
          <w:rFonts w:hint="eastAsia" w:ascii="宋体" w:hAnsi="宋体" w:cs="宋体"/>
          <w:bCs/>
          <w:sz w:val="24"/>
          <w:szCs w:val="24"/>
        </w:rPr>
        <w:t>完工。</w:t>
      </w:r>
    </w:p>
    <w:p>
      <w:pPr>
        <w:widowControl/>
        <w:spacing w:line="360" w:lineRule="auto"/>
        <w:ind w:firstLine="468"/>
        <w:jc w:val="left"/>
        <w:rPr>
          <w:rFonts w:ascii="宋体" w:hAnsi="宋体" w:cs="宋体"/>
          <w:sz w:val="24"/>
          <w:szCs w:val="24"/>
        </w:rPr>
      </w:pPr>
      <w:r>
        <w:rPr>
          <w:rFonts w:hint="eastAsia" w:ascii="宋体" w:hAnsi="宋体" w:cs="宋体"/>
          <w:sz w:val="24"/>
          <w:szCs w:val="24"/>
        </w:rPr>
        <w:t>3、乙方指定经办人：</w:t>
      </w:r>
      <w:r>
        <w:rPr>
          <w:rFonts w:hint="eastAsia" w:ascii="宋体" w:hAnsi="宋体" w:cs="宋体"/>
          <w:sz w:val="24"/>
          <w:szCs w:val="24"/>
          <w:u w:val="single"/>
        </w:rPr>
        <w:t xml:space="preserve">          </w:t>
      </w: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sz w:val="24"/>
          <w:szCs w:val="24"/>
        </w:rPr>
        <w:t>；联系电话：_______________；邮箱：_______________；微信：</w:t>
      </w:r>
      <w:r>
        <w:rPr>
          <w:rFonts w:hint="eastAsia" w:ascii="宋体" w:hAnsi="宋体" w:cs="宋体"/>
          <w:sz w:val="24"/>
          <w:szCs w:val="24"/>
          <w:u w:val="single"/>
        </w:rPr>
        <w:t xml:space="preserve">              </w:t>
      </w: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；联系地址：</w:t>
      </w:r>
      <w:r>
        <w:rPr>
          <w:rFonts w:hint="eastAsia" w:ascii="宋体" w:hAnsi="宋体" w:cs="宋体"/>
          <w:sz w:val="24"/>
          <w:szCs w:val="24"/>
          <w:u w:val="single"/>
        </w:rPr>
        <w:t xml:space="preserve">                    </w:t>
      </w:r>
      <w:r>
        <w:rPr>
          <w:rFonts w:hint="eastAsia" w:ascii="宋体" w:hAnsi="宋体" w:cs="宋体"/>
          <w:sz w:val="24"/>
          <w:szCs w:val="24"/>
        </w:rPr>
        <w:t>）全权代表乙方负责处理本合同项下各项事务，包括但不限于接收订单、与甲方沟通供货事宜、办理结算等，甲方向本条约定的联系方式发送订单，视为乙方已收到。</w:t>
      </w:r>
    </w:p>
    <w:p>
      <w:pPr>
        <w:widowControl/>
        <w:spacing w:line="360" w:lineRule="auto"/>
        <w:ind w:firstLine="468"/>
        <w:jc w:val="left"/>
        <w:rPr>
          <w:rFonts w:ascii="宋体" w:hAnsi="宋体" w:cs="宋体"/>
          <w:sz w:val="24"/>
          <w:szCs w:val="24"/>
        </w:rPr>
      </w:pPr>
      <w:r>
        <w:rPr>
          <w:rFonts w:hint="eastAsia" w:ascii="宋体" w:hAnsi="宋体" w:cs="宋体"/>
          <w:sz w:val="24"/>
          <w:szCs w:val="24"/>
        </w:rPr>
        <w:t>4、水泥稳定碎石质量：乙方须严格按照甲方提供的生产配合比进行拌和，成品质量检验不低于《公路路面基层施工技术细则》要求及甲方级配要求的质量要求。</w:t>
      </w:r>
    </w:p>
    <w:p>
      <w:pPr>
        <w:widowControl/>
        <w:spacing w:line="360" w:lineRule="auto"/>
        <w:ind w:firstLine="468"/>
        <w:jc w:val="left"/>
        <w:rPr>
          <w:rFonts w:ascii="宋体" w:hAnsi="宋体" w:cs="宋体"/>
          <w:sz w:val="24"/>
          <w:szCs w:val="24"/>
        </w:rPr>
      </w:pPr>
      <w:r>
        <w:rPr>
          <w:rFonts w:hint="eastAsia" w:ascii="宋体" w:hAnsi="宋体" w:cs="宋体"/>
          <w:sz w:val="24"/>
          <w:szCs w:val="24"/>
        </w:rPr>
        <w:t>5、水泥稳定碎石到场后应由双方共同取样，签字保存（甲方在对乙方提供的水泥稳定碎石质量存疑时，暂停使用该批次水泥稳定碎石，相关甲方提供材料损失及工期等损失费用由乙方承担）。乙方应负责水泥稳定碎石的自检工作，并对到场水泥稳定碎石质量负责。现场抽样送检工作由甲方进行，水泥稳定碎石的检测频率满足相关规范的要求，检测所需费用由甲方承担。</w:t>
      </w:r>
    </w:p>
    <w:p>
      <w:pPr>
        <w:spacing w:line="440" w:lineRule="exact"/>
        <w:ind w:left="120" w:hanging="120" w:hangingChars="50"/>
        <w:jc w:val="left"/>
        <w:rPr>
          <w:rFonts w:ascii="宋体" w:hAnsi="宋体" w:cs="宋体"/>
          <w:sz w:val="24"/>
          <w:szCs w:val="24"/>
        </w:rPr>
      </w:pPr>
      <w:r>
        <w:rPr>
          <w:rFonts w:hint="eastAsia" w:ascii="宋体" w:hAnsi="宋体" w:cs="宋体"/>
          <w:sz w:val="24"/>
          <w:szCs w:val="24"/>
        </w:rPr>
        <w:t xml:space="preserve">    6、乙方拌和站场地应满足重庆市标准化施工作业要求（如：场地必须硬化处理；原材料堆料仓应有不低于1.5米的隔离设施且不少于4个堆料仓，并有彩钢雨棚等防雨设施；2个50吨及以上卧式或立式散装水泥罐，），同时具备健全的质量、安全管控体系。</w:t>
      </w:r>
    </w:p>
    <w:p>
      <w:pPr>
        <w:spacing w:line="360" w:lineRule="auto"/>
        <w:ind w:firstLine="480" w:firstLineChars="200"/>
        <w:rPr>
          <w:rFonts w:ascii="宋体" w:hAnsi="宋体"/>
          <w:sz w:val="24"/>
          <w:szCs w:val="24"/>
        </w:rPr>
      </w:pPr>
      <w:r>
        <w:rPr>
          <w:rFonts w:hint="eastAsia" w:ascii="宋体" w:hAnsi="宋体" w:cs="宋体"/>
          <w:sz w:val="24"/>
          <w:szCs w:val="24"/>
        </w:rPr>
        <w:t>7、甲方提供原材料包括：粗集料、细集料、水泥，乙方提供拌和用水，</w:t>
      </w:r>
      <w:r>
        <w:rPr>
          <w:rFonts w:hint="eastAsia" w:ascii="宋体" w:hAnsi="宋体"/>
          <w:sz w:val="24"/>
          <w:szCs w:val="24"/>
        </w:rPr>
        <w:t>拌和用水符合一般饮用水即可，遇有可疑水源时，应进行实验鉴定，</w:t>
      </w:r>
      <w:r>
        <w:rPr>
          <w:rFonts w:ascii="宋体" w:hAnsi="宋体"/>
          <w:sz w:val="24"/>
          <w:szCs w:val="24"/>
        </w:rPr>
        <w:t>技术要求应符合</w:t>
      </w:r>
      <w:r>
        <w:rPr>
          <w:rFonts w:hint="eastAsia" w:ascii="宋体" w:hAnsi="宋体"/>
          <w:sz w:val="24"/>
          <w:szCs w:val="24"/>
        </w:rPr>
        <w:t>《公路</w:t>
      </w:r>
      <w:r>
        <w:rPr>
          <w:rFonts w:ascii="宋体" w:hAnsi="宋体"/>
          <w:sz w:val="24"/>
          <w:szCs w:val="24"/>
        </w:rPr>
        <w:t>路面基层施工技术细则》</w:t>
      </w:r>
      <w:r>
        <w:rPr>
          <w:rFonts w:hint="eastAsia" w:ascii="宋体" w:hAnsi="宋体"/>
          <w:sz w:val="24"/>
          <w:szCs w:val="24"/>
        </w:rPr>
        <w:t>(JTG/T F20-2015)中</w:t>
      </w:r>
      <w:r>
        <w:rPr>
          <w:rFonts w:ascii="宋体" w:hAnsi="宋体"/>
          <w:sz w:val="24"/>
          <w:szCs w:val="24"/>
        </w:rPr>
        <w:t>表</w:t>
      </w:r>
      <w:r>
        <w:rPr>
          <w:rFonts w:hint="eastAsia" w:ascii="宋体" w:hAnsi="宋体"/>
          <w:sz w:val="24"/>
          <w:szCs w:val="24"/>
        </w:rPr>
        <w:t>3.5.2的</w:t>
      </w:r>
      <w:r>
        <w:rPr>
          <w:rFonts w:ascii="宋体" w:hAnsi="宋体"/>
          <w:sz w:val="24"/>
          <w:szCs w:val="24"/>
        </w:rPr>
        <w:t>规定。</w:t>
      </w:r>
    </w:p>
    <w:p>
      <w:pPr>
        <w:spacing w:line="360" w:lineRule="auto"/>
        <w:jc w:val="center"/>
        <w:outlineLvl w:val="0"/>
        <w:rPr>
          <w:rFonts w:ascii="宋体" w:hAnsi="宋体"/>
          <w:sz w:val="24"/>
        </w:rPr>
      </w:pPr>
      <w:r>
        <w:rPr>
          <w:rFonts w:hint="eastAsia" w:ascii="宋体" w:hAnsi="宋体"/>
          <w:sz w:val="24"/>
        </w:rPr>
        <w:t>非</w:t>
      </w:r>
      <w:r>
        <w:rPr>
          <w:rFonts w:ascii="宋体" w:hAnsi="宋体"/>
          <w:sz w:val="24"/>
        </w:rPr>
        <w:t>饮用水技术要求</w:t>
      </w:r>
    </w:p>
    <w:tbl>
      <w:tblPr>
        <w:tblStyle w:val="12"/>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561"/>
        <w:gridCol w:w="2536"/>
        <w:gridCol w:w="21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19" w:type="dxa"/>
            <w:shd w:val="clear" w:color="auto" w:fill="auto"/>
            <w:vAlign w:val="center"/>
          </w:tcPr>
          <w:p>
            <w:pPr>
              <w:jc w:val="center"/>
              <w:rPr>
                <w:rFonts w:ascii="宋体" w:hAnsi="宋体"/>
                <w:szCs w:val="21"/>
              </w:rPr>
            </w:pPr>
            <w:r>
              <w:rPr>
                <w:rFonts w:hint="eastAsia" w:ascii="宋体" w:hAnsi="宋体"/>
                <w:szCs w:val="21"/>
              </w:rPr>
              <w:t>项 次</w:t>
            </w:r>
          </w:p>
        </w:tc>
        <w:tc>
          <w:tcPr>
            <w:tcW w:w="2561" w:type="dxa"/>
            <w:shd w:val="clear" w:color="auto" w:fill="auto"/>
            <w:vAlign w:val="center"/>
          </w:tcPr>
          <w:p>
            <w:pPr>
              <w:jc w:val="center"/>
              <w:rPr>
                <w:rFonts w:ascii="宋体" w:hAnsi="宋体"/>
                <w:szCs w:val="21"/>
              </w:rPr>
            </w:pPr>
            <w:r>
              <w:rPr>
                <w:rFonts w:hint="eastAsia" w:ascii="宋体" w:hAnsi="宋体"/>
                <w:szCs w:val="21"/>
              </w:rPr>
              <w:t>项 目</w:t>
            </w:r>
          </w:p>
        </w:tc>
        <w:tc>
          <w:tcPr>
            <w:tcW w:w="2536" w:type="dxa"/>
            <w:shd w:val="clear" w:color="auto" w:fill="auto"/>
            <w:vAlign w:val="center"/>
          </w:tcPr>
          <w:p>
            <w:pPr>
              <w:jc w:val="center"/>
              <w:rPr>
                <w:rFonts w:ascii="宋体" w:hAnsi="宋体"/>
                <w:szCs w:val="21"/>
              </w:rPr>
            </w:pPr>
            <w:r>
              <w:rPr>
                <w:rFonts w:hint="eastAsia" w:ascii="宋体" w:hAnsi="宋体"/>
                <w:szCs w:val="21"/>
              </w:rPr>
              <w:t xml:space="preserve">技 术 </w:t>
            </w:r>
            <w:r>
              <w:rPr>
                <w:rFonts w:ascii="宋体" w:hAnsi="宋体"/>
                <w:szCs w:val="21"/>
              </w:rPr>
              <w:t>要求</w:t>
            </w:r>
          </w:p>
        </w:tc>
        <w:tc>
          <w:tcPr>
            <w:tcW w:w="2184" w:type="dxa"/>
            <w:shd w:val="clear" w:color="auto" w:fill="auto"/>
            <w:vAlign w:val="center"/>
          </w:tcPr>
          <w:p>
            <w:pPr>
              <w:jc w:val="center"/>
              <w:rPr>
                <w:rFonts w:ascii="宋体" w:hAnsi="宋体"/>
                <w:szCs w:val="21"/>
              </w:rPr>
            </w:pPr>
            <w:r>
              <w:rPr>
                <w:rFonts w:hint="eastAsia" w:ascii="宋体" w:hAnsi="宋体"/>
                <w:szCs w:val="21"/>
              </w:rPr>
              <w:t>试 验 方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1</w:t>
            </w:r>
          </w:p>
        </w:tc>
        <w:tc>
          <w:tcPr>
            <w:tcW w:w="2561" w:type="dxa"/>
            <w:shd w:val="clear" w:color="auto" w:fill="auto"/>
            <w:vAlign w:val="center"/>
          </w:tcPr>
          <w:p>
            <w:pPr>
              <w:jc w:val="center"/>
              <w:rPr>
                <w:rFonts w:ascii="宋体" w:hAnsi="宋体"/>
                <w:szCs w:val="21"/>
              </w:rPr>
            </w:pPr>
            <w:r>
              <w:rPr>
                <w:rFonts w:ascii="宋体" w:hAnsi="宋体"/>
                <w:szCs w:val="21"/>
              </w:rPr>
              <w:t>pH</w:t>
            </w:r>
            <w:r>
              <w:rPr>
                <w:rFonts w:hint="eastAsia" w:ascii="宋体" w:hAnsi="宋体"/>
                <w:szCs w:val="21"/>
              </w:rPr>
              <w:t>值</w:t>
            </w:r>
          </w:p>
        </w:tc>
        <w:tc>
          <w:tcPr>
            <w:tcW w:w="2536" w:type="dxa"/>
            <w:shd w:val="clear" w:color="auto" w:fill="auto"/>
            <w:vAlign w:val="center"/>
          </w:tcPr>
          <w:p>
            <w:pPr>
              <w:jc w:val="center"/>
              <w:rPr>
                <w:rFonts w:ascii="宋体" w:hAnsi="宋体"/>
                <w:szCs w:val="21"/>
              </w:rPr>
            </w:pPr>
            <w:r>
              <w:rPr>
                <w:rFonts w:hint="eastAsia" w:ascii="宋体" w:hAnsi="宋体"/>
                <w:szCs w:val="21"/>
              </w:rPr>
              <w:t>≥4.5</w:t>
            </w:r>
          </w:p>
        </w:tc>
        <w:tc>
          <w:tcPr>
            <w:tcW w:w="2184" w:type="dxa"/>
            <w:vMerge w:val="restart"/>
            <w:shd w:val="clear" w:color="auto" w:fill="auto"/>
            <w:vAlign w:val="center"/>
          </w:tcPr>
          <w:p>
            <w:pPr>
              <w:jc w:val="center"/>
              <w:rPr>
                <w:rFonts w:ascii="宋体" w:hAnsi="宋体"/>
                <w:szCs w:val="21"/>
              </w:rPr>
            </w:pPr>
            <w:r>
              <w:rPr>
                <w:rFonts w:hint="eastAsia" w:ascii="宋体" w:hAnsi="宋体"/>
                <w:szCs w:val="21"/>
              </w:rPr>
              <w:t>JGJ 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2</w:t>
            </w:r>
          </w:p>
        </w:tc>
        <w:tc>
          <w:tcPr>
            <w:tcW w:w="2561" w:type="dxa"/>
            <w:shd w:val="clear" w:color="auto" w:fill="auto"/>
            <w:vAlign w:val="center"/>
          </w:tcPr>
          <w:p>
            <w:pPr>
              <w:jc w:val="center"/>
              <w:rPr>
                <w:rFonts w:ascii="宋体" w:hAnsi="宋体"/>
                <w:szCs w:val="21"/>
              </w:rPr>
            </w:pPr>
            <w:r>
              <w:rPr>
                <w:rFonts w:hint="eastAsia" w:ascii="宋体" w:hAnsi="宋体"/>
                <w:szCs w:val="21"/>
              </w:rPr>
              <w:t>CL-含量</w:t>
            </w:r>
            <w:r>
              <w:rPr>
                <w:rFonts w:ascii="宋体" w:hAnsi="宋体"/>
                <w:szCs w:val="21"/>
              </w:rPr>
              <w:t>(</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≤3500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3</w:t>
            </w:r>
          </w:p>
        </w:tc>
        <w:tc>
          <w:tcPr>
            <w:tcW w:w="2561" w:type="dxa"/>
            <w:shd w:val="clear" w:color="auto" w:fill="auto"/>
            <w:vAlign w:val="center"/>
          </w:tcPr>
          <w:p>
            <w:pPr>
              <w:jc w:val="center"/>
              <w:rPr>
                <w:rFonts w:ascii="宋体" w:hAnsi="宋体"/>
                <w:szCs w:val="21"/>
              </w:rPr>
            </w:pPr>
            <w:r>
              <w:rPr>
                <w:rFonts w:hint="eastAsia" w:ascii="宋体" w:hAnsi="宋体"/>
                <w:szCs w:val="21"/>
              </w:rPr>
              <w:t>SO42-含量</w:t>
            </w:r>
            <w:r>
              <w:rPr>
                <w:rFonts w:ascii="宋体" w:hAnsi="宋体"/>
                <w:szCs w:val="21"/>
              </w:rPr>
              <w:t>(</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≤2700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4</w:t>
            </w:r>
          </w:p>
        </w:tc>
        <w:tc>
          <w:tcPr>
            <w:tcW w:w="2561" w:type="dxa"/>
            <w:shd w:val="clear" w:color="auto" w:fill="auto"/>
            <w:vAlign w:val="center"/>
          </w:tcPr>
          <w:p>
            <w:pPr>
              <w:jc w:val="center"/>
              <w:rPr>
                <w:rFonts w:ascii="宋体" w:hAnsi="宋体"/>
                <w:szCs w:val="21"/>
              </w:rPr>
            </w:pPr>
            <w:r>
              <w:rPr>
                <w:rFonts w:hint="eastAsia" w:ascii="宋体" w:hAnsi="宋体"/>
                <w:szCs w:val="21"/>
              </w:rPr>
              <w:t>碱</w:t>
            </w:r>
            <w:r>
              <w:rPr>
                <w:rFonts w:ascii="宋体" w:hAnsi="宋体"/>
                <w:szCs w:val="21"/>
              </w:rPr>
              <w:t>含量(</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≤1500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5</w:t>
            </w:r>
          </w:p>
        </w:tc>
        <w:tc>
          <w:tcPr>
            <w:tcW w:w="2561" w:type="dxa"/>
            <w:shd w:val="clear" w:color="auto" w:fill="auto"/>
            <w:vAlign w:val="center"/>
          </w:tcPr>
          <w:p>
            <w:pPr>
              <w:jc w:val="center"/>
              <w:rPr>
                <w:rFonts w:ascii="宋体" w:hAnsi="宋体"/>
                <w:szCs w:val="21"/>
              </w:rPr>
            </w:pPr>
            <w:r>
              <w:rPr>
                <w:rFonts w:hint="eastAsia" w:ascii="宋体" w:hAnsi="宋体"/>
                <w:szCs w:val="21"/>
              </w:rPr>
              <w:t>可溶物</w:t>
            </w:r>
            <w:r>
              <w:rPr>
                <w:rFonts w:ascii="宋体" w:hAnsi="宋体"/>
                <w:szCs w:val="21"/>
              </w:rPr>
              <w:t>含量(</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≤10000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6</w:t>
            </w:r>
          </w:p>
        </w:tc>
        <w:tc>
          <w:tcPr>
            <w:tcW w:w="2561" w:type="dxa"/>
            <w:shd w:val="clear" w:color="auto" w:fill="auto"/>
            <w:vAlign w:val="center"/>
          </w:tcPr>
          <w:p>
            <w:pPr>
              <w:jc w:val="center"/>
              <w:rPr>
                <w:rFonts w:ascii="宋体" w:hAnsi="宋体"/>
                <w:szCs w:val="21"/>
              </w:rPr>
            </w:pPr>
            <w:r>
              <w:rPr>
                <w:rFonts w:hint="eastAsia" w:ascii="宋体" w:hAnsi="宋体"/>
                <w:szCs w:val="21"/>
              </w:rPr>
              <w:t>不</w:t>
            </w:r>
            <w:r>
              <w:rPr>
                <w:rFonts w:ascii="宋体" w:hAnsi="宋体"/>
                <w:szCs w:val="21"/>
              </w:rPr>
              <w:t>可溶物含量(</w:t>
            </w:r>
            <w:r>
              <w:rPr>
                <w:rFonts w:hint="eastAsia" w:ascii="宋体" w:hAnsi="宋体"/>
                <w:szCs w:val="21"/>
              </w:rPr>
              <w:t>mg</w:t>
            </w:r>
            <w:r>
              <w:rPr>
                <w:rFonts w:ascii="宋体" w:hAnsi="宋体"/>
                <w:szCs w:val="21"/>
              </w:rPr>
              <w:t>/L)</w:t>
            </w:r>
          </w:p>
        </w:tc>
        <w:tc>
          <w:tcPr>
            <w:tcW w:w="2536" w:type="dxa"/>
            <w:shd w:val="clear" w:color="auto" w:fill="auto"/>
            <w:vAlign w:val="center"/>
          </w:tcPr>
          <w:p>
            <w:pPr>
              <w:jc w:val="center"/>
              <w:rPr>
                <w:rFonts w:ascii="宋体" w:hAnsi="宋体"/>
                <w:szCs w:val="21"/>
              </w:rPr>
            </w:pPr>
            <w:r>
              <w:rPr>
                <w:rFonts w:hint="eastAsia" w:ascii="宋体" w:hAnsi="宋体"/>
                <w:szCs w:val="21"/>
              </w:rPr>
              <w:t>≤500</w:t>
            </w:r>
          </w:p>
        </w:tc>
        <w:tc>
          <w:tcPr>
            <w:tcW w:w="2184" w:type="dxa"/>
            <w:vMerge w:val="continue"/>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9" w:type="dxa"/>
            <w:shd w:val="clear" w:color="auto" w:fill="auto"/>
            <w:vAlign w:val="center"/>
          </w:tcPr>
          <w:p>
            <w:pPr>
              <w:jc w:val="center"/>
              <w:rPr>
                <w:rFonts w:ascii="宋体" w:hAnsi="宋体"/>
                <w:szCs w:val="21"/>
              </w:rPr>
            </w:pPr>
            <w:r>
              <w:rPr>
                <w:rFonts w:hint="eastAsia" w:ascii="宋体" w:hAnsi="宋体"/>
                <w:szCs w:val="21"/>
              </w:rPr>
              <w:t>7</w:t>
            </w:r>
          </w:p>
        </w:tc>
        <w:tc>
          <w:tcPr>
            <w:tcW w:w="2561" w:type="dxa"/>
            <w:shd w:val="clear" w:color="auto" w:fill="auto"/>
            <w:vAlign w:val="center"/>
          </w:tcPr>
          <w:p>
            <w:pPr>
              <w:jc w:val="center"/>
              <w:rPr>
                <w:rFonts w:ascii="宋体" w:hAnsi="宋体"/>
                <w:szCs w:val="21"/>
              </w:rPr>
            </w:pPr>
            <w:r>
              <w:rPr>
                <w:rFonts w:hint="eastAsia" w:ascii="宋体" w:hAnsi="宋体"/>
                <w:szCs w:val="21"/>
              </w:rPr>
              <w:t>其他</w:t>
            </w:r>
            <w:r>
              <w:rPr>
                <w:rFonts w:ascii="宋体" w:hAnsi="宋体"/>
                <w:szCs w:val="21"/>
              </w:rPr>
              <w:t>杂</w:t>
            </w:r>
            <w:r>
              <w:rPr>
                <w:rFonts w:hint="eastAsia" w:ascii="宋体" w:hAnsi="宋体"/>
                <w:szCs w:val="21"/>
              </w:rPr>
              <w:t>质</w:t>
            </w:r>
          </w:p>
        </w:tc>
        <w:tc>
          <w:tcPr>
            <w:tcW w:w="2536" w:type="dxa"/>
            <w:shd w:val="clear" w:color="auto" w:fill="auto"/>
            <w:vAlign w:val="center"/>
          </w:tcPr>
          <w:p>
            <w:pPr>
              <w:jc w:val="center"/>
              <w:rPr>
                <w:rFonts w:ascii="宋体" w:hAnsi="宋体"/>
                <w:szCs w:val="21"/>
              </w:rPr>
            </w:pPr>
            <w:r>
              <w:rPr>
                <w:rFonts w:hint="eastAsia" w:ascii="宋体" w:hAnsi="宋体"/>
                <w:szCs w:val="21"/>
              </w:rPr>
              <w:t>不应有</w:t>
            </w:r>
            <w:r>
              <w:rPr>
                <w:rFonts w:ascii="宋体" w:hAnsi="宋体"/>
                <w:szCs w:val="21"/>
              </w:rPr>
              <w:t>漂浮的油脂和泡沫及明显的颜色和异味</w:t>
            </w:r>
          </w:p>
        </w:tc>
        <w:tc>
          <w:tcPr>
            <w:tcW w:w="2184" w:type="dxa"/>
            <w:vMerge w:val="continue"/>
            <w:shd w:val="clear" w:color="auto" w:fill="auto"/>
            <w:vAlign w:val="center"/>
          </w:tcPr>
          <w:p>
            <w:pPr>
              <w:jc w:val="center"/>
              <w:rPr>
                <w:rFonts w:ascii="宋体" w:hAnsi="宋体"/>
                <w:szCs w:val="21"/>
              </w:rPr>
            </w:pPr>
          </w:p>
        </w:tc>
      </w:tr>
    </w:tbl>
    <w:p>
      <w:pPr>
        <w:spacing w:line="440" w:lineRule="exact"/>
        <w:ind w:left="105" w:hanging="105" w:hangingChars="50"/>
        <w:jc w:val="left"/>
        <w:rPr>
          <w:rFonts w:ascii="宋体" w:hAnsi="宋体" w:cs="宋体"/>
          <w:sz w:val="24"/>
          <w:szCs w:val="24"/>
        </w:rPr>
      </w:pPr>
      <w:r>
        <w:rPr>
          <w:rFonts w:hint="eastAsia" w:ascii="宋体" w:hAnsi="宋体" w:cs="宋体"/>
          <w:szCs w:val="21"/>
        </w:rPr>
        <w:t xml:space="preserve">　 </w:t>
      </w:r>
      <w:r>
        <w:rPr>
          <w:rFonts w:hint="eastAsia" w:ascii="宋体" w:hAnsi="宋体" w:cs="宋体"/>
          <w:sz w:val="24"/>
          <w:szCs w:val="24"/>
        </w:rPr>
        <w:t xml:space="preserve">　8、上述材料加工单价中已包含相关税金，结算时乙方需按甲方要求提供相应的增值税专用发票，且抵扣税率为 </w:t>
      </w:r>
      <w:r>
        <w:rPr>
          <w:rFonts w:hint="eastAsia" w:ascii="宋体" w:hAnsi="宋体" w:cs="宋体"/>
          <w:sz w:val="24"/>
          <w:szCs w:val="24"/>
          <w:u w:val="single"/>
        </w:rPr>
        <w:t xml:space="preserve">     </w:t>
      </w:r>
      <w:r>
        <w:rPr>
          <w:rFonts w:hint="eastAsia" w:ascii="宋体" w:hAnsi="宋体" w:cs="宋体"/>
          <w:sz w:val="24"/>
          <w:szCs w:val="24"/>
        </w:rPr>
        <w:t>。</w:t>
      </w:r>
    </w:p>
    <w:p>
      <w:pPr>
        <w:spacing w:line="440" w:lineRule="exact"/>
        <w:ind w:left="120" w:leftChars="57" w:firstLine="480" w:firstLineChars="200"/>
        <w:jc w:val="left"/>
        <w:rPr>
          <w:rFonts w:ascii="宋体" w:hAnsi="宋体" w:cs="宋体"/>
          <w:sz w:val="24"/>
          <w:szCs w:val="24"/>
        </w:rPr>
      </w:pPr>
      <w:r>
        <w:rPr>
          <w:rFonts w:hint="eastAsia" w:ascii="宋体" w:hAnsi="宋体" w:cs="宋体"/>
          <w:sz w:val="24"/>
          <w:szCs w:val="24"/>
        </w:rPr>
        <w:t>9、工程量清单中所列工程数量为暂定数量，不能作为最终结算与支付的依据，最终数量以甲方代表确认的实际生产的合格数量为准。</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b/>
          <w:sz w:val="24"/>
          <w:szCs w:val="24"/>
        </w:rPr>
        <w:t>二、履约保证金：</w:t>
      </w:r>
      <w:r>
        <w:rPr>
          <w:rFonts w:hint="eastAsia" w:asciiTheme="minorEastAsia" w:hAnsiTheme="minorEastAsia" w:eastAsiaTheme="minorEastAsia"/>
          <w:sz w:val="24"/>
          <w:szCs w:val="24"/>
        </w:rPr>
        <w:t>无</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三、计量与费用支付</w:t>
      </w:r>
    </w:p>
    <w:p>
      <w:pPr>
        <w:spacing w:line="480" w:lineRule="exact"/>
        <w:ind w:firstLine="480" w:firstLineChars="200"/>
        <w:rPr>
          <w:rFonts w:hint="eastAsia" w:ascii="宋体" w:hAnsi="宋体"/>
          <w:color w:val="000000"/>
          <w:sz w:val="24"/>
        </w:rPr>
      </w:pPr>
      <w:r>
        <w:rPr>
          <w:rFonts w:hint="eastAsia" w:cs="宋体" w:asciiTheme="minorEastAsia" w:hAnsiTheme="minorEastAsia" w:eastAsiaTheme="minorEastAsia"/>
          <w:sz w:val="24"/>
          <w:szCs w:val="24"/>
        </w:rPr>
        <w:t>1、计量：</w:t>
      </w:r>
      <w:r>
        <w:rPr>
          <w:rFonts w:hint="eastAsia" w:ascii="宋体" w:hAnsi="宋体"/>
          <w:color w:val="000000"/>
          <w:sz w:val="24"/>
        </w:rPr>
        <w:t>水泥稳定碎石混合料供应量按乙方运到施工现场甲方指定收货人实际签证的供货小票计算，以重量计量，以吨为计量单位。</w:t>
      </w:r>
    </w:p>
    <w:p>
      <w:pPr>
        <w:spacing w:line="480" w:lineRule="exact"/>
        <w:ind w:firstLine="480" w:firstLineChars="200"/>
        <w:rPr>
          <w:rFonts w:hint="eastAsia" w:ascii="黑体" w:hAnsi="黑体" w:eastAsia="黑体"/>
          <w:b/>
          <w:color w:val="000000"/>
          <w:sz w:val="24"/>
        </w:rPr>
      </w:pPr>
      <w:r>
        <w:rPr>
          <w:rFonts w:hint="eastAsia" w:ascii="宋体" w:hAnsi="宋体"/>
          <w:color w:val="000000"/>
          <w:sz w:val="24"/>
        </w:rPr>
        <w:t>甲方可随时对乙方的水泥稳定碎石混合料运输车实际装载量过磅抽检，</w:t>
      </w:r>
      <w:r>
        <w:rPr>
          <w:rFonts w:hint="eastAsia" w:cs="宋体"/>
          <w:color w:val="000000"/>
          <w:sz w:val="24"/>
        </w:rPr>
        <w:t>抽查数量不得低于当批次的30%（即10车中抽查不少于3车），</w:t>
      </w:r>
      <w:r>
        <w:rPr>
          <w:rFonts w:hint="eastAsia" w:ascii="宋体" w:hAnsi="宋体"/>
          <w:color w:val="000000"/>
          <w:sz w:val="24"/>
        </w:rPr>
        <w:t>若抽检中发现误差超过计量允许范围（±2%），则该日该批次供应的水泥稳定碎石混合料按抽检到的比例计算。抽检时，需有乙方工长在场，每批次抽检不得少于3车次。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2、费用支付：</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本项目无预付款，</w:t>
      </w:r>
    </w:p>
    <w:p>
      <w:pPr>
        <w:adjustRightInd w:val="0"/>
        <w:spacing w:line="480" w:lineRule="exact"/>
        <w:ind w:firstLine="480" w:firstLineChars="200"/>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结算方式：按月进行结算；</w:t>
      </w:r>
      <w:r>
        <w:rPr>
          <w:rFonts w:hint="eastAsia" w:asciiTheme="minorEastAsia" w:hAnsiTheme="minorEastAsia" w:eastAsiaTheme="minorEastAsia"/>
          <w:sz w:val="24"/>
          <w:szCs w:val="24"/>
        </w:rPr>
        <w:t>结算金额=该批次甲方代表确认的实际到货合格数量×（加工含税单价+运输含税单价）</w:t>
      </w:r>
      <w:r>
        <w:rPr>
          <w:rFonts w:hint="eastAsia" w:cs="宋体" w:asciiTheme="minorEastAsia" w:hAnsiTheme="minorEastAsia" w:eastAsiaTheme="minorEastAsia"/>
          <w:kern w:val="0"/>
          <w:sz w:val="24"/>
          <w:szCs w:val="24"/>
        </w:rPr>
        <w:t>。乙方向甲方提供有效增值税专用发票（抵扣税率</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）及供货凭证，甲方自乙方费用清单（按甲方代表实际验收的合格数量和合同综合单价计算）及发票送达之日起 35 日内（每月25日至次月5日不办理支付，时间相应顺延）以银行转账方式支付给乙方。乙方迟延提供发票和相关结算资料的，甲方的付款期限相应顺延。</w:t>
      </w:r>
    </w:p>
    <w:p>
      <w:pPr>
        <w:spacing w:line="44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kern w:val="0"/>
          <w:sz w:val="24"/>
          <w:szCs w:val="24"/>
        </w:rPr>
        <w:t>剩余材料处理</w:t>
      </w:r>
    </w:p>
    <w:p>
      <w:pPr>
        <w:adjustRightInd w:val="0"/>
        <w:spacing w:line="480" w:lineRule="exact"/>
        <w:ind w:firstLine="481"/>
        <w:textAlignment w:val="baselin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工程完工后，甲方提供的剩余原材料按甲方采购单价转让乙方，转让费用用于抵销结算费用。</w:t>
      </w:r>
    </w:p>
    <w:p>
      <w:pPr>
        <w:numPr>
          <w:ilvl w:val="0"/>
          <w:numId w:val="3"/>
        </w:numPr>
        <w:adjustRightInd w:val="0"/>
        <w:spacing w:line="480" w:lineRule="exact"/>
        <w:ind w:firstLine="481"/>
        <w:textAlignment w:val="baseline"/>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材料损耗</w:t>
      </w:r>
    </w:p>
    <w:p>
      <w:pPr>
        <w:adjustRightInd w:val="0"/>
        <w:spacing w:line="480" w:lineRule="exact"/>
        <w:textAlignment w:val="baselin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甲方提供粗集料、细集料、水泥，以甲方提供的生产配合比为依据进行计算并视不高于3%的损耗为正常损耗，由乙方负责承担超出3%损耗的相关材料费（以甲方运到乙方场地的实际合同单价*超出部分数量），超出的相关材料费用由甲方在结算金额中直接扣回。</w:t>
      </w:r>
    </w:p>
    <w:p>
      <w:pPr>
        <w:spacing w:line="44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四、双方的权利和义务</w:t>
      </w:r>
    </w:p>
    <w:p>
      <w:pPr>
        <w:spacing w:line="44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（一）甲方权利和义务：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1、在水泥稳定碎石混合料生产前甲方提供的粗集料、细集料、水泥应组织进场，提交地点为乙方拌和站，甲方确保运输到场的材料合格，并根据生产进度确保材料供应及时。 </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2、提前</w:t>
      </w:r>
      <w:r>
        <w:rPr>
          <w:rFonts w:hint="eastAsia" w:cs="宋体" w:asciiTheme="minorEastAsia" w:hAnsiTheme="minorEastAsia" w:eastAsiaTheme="minorEastAsia"/>
          <w:b/>
          <w:sz w:val="24"/>
          <w:szCs w:val="24"/>
          <w:u w:val="single"/>
        </w:rPr>
        <w:t>1</w:t>
      </w:r>
      <w:r>
        <w:rPr>
          <w:rFonts w:hint="eastAsia" w:cs="宋体" w:asciiTheme="minorEastAsia" w:hAnsiTheme="minorEastAsia" w:eastAsiaTheme="minorEastAsia"/>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在乙方生产水泥稳定碎石混合料期间，派现场管理、技术及实验人员进驻现场，负责与乙方拌和站、实验室的协调、对所有原材料进行过磅计量、试验检测生产配合比调整等相关事宜。甲方派驻人员必须严格遵守乙方拌和站安全生产操作规范及有关规章制度。  </w:t>
      </w:r>
    </w:p>
    <w:p>
      <w:pPr>
        <w:spacing w:line="440" w:lineRule="exact"/>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4、在合同执行期间，若因甲方通知不及时造成生产的水泥稳定碎石混合料不能及时运出而产生废弃等责任由甲方承担。</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5、甲方有义务对乙方出具的结算资料（加盖乙方公章）进行确认,甲方收到结算资料15个工作日内未提出异议的,视为认可该结算资料的数量和金额有效。</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6、按合同约定时间及数额支付结算费用。</w:t>
      </w:r>
    </w:p>
    <w:p>
      <w:pPr>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7、甲方支付方式按银行转账支付。</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（二）乙方权利和义务：</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确保其站内各称重计量系统（含搅拌设备计量系统）在有效的标定期内均处于完好状态，并向甲方提供检测报告原件及复印件，如因乙方设备因素导致水泥稳定碎石混合料质量出现问题，造成的一切损失由乙方承担，并且甲方有权从支付乙方结算费用中直接扣回。</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2、乙方应对整个水泥稳定碎石混合料的生产质量负责，确保生产质量合格。若双方现场抽检不合格非甲方提供材料不合格造成的，则乙方应承担由自身原因给甲方造成的一切损失。</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生产期间，配备拌和设备操作人员2人、装载机操作人员２人、设备维修人员2人及生产辅助人员3人以上，并确保设备维修保养及时，中途发生故障，务必确保在24小时内修复，且按甲方要求的时间及水泥稳定碎石混合料级配组织生产。</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4、保证按照甲方职责的第2条要求及时进行生产；若因其他原因，不能满足甲方需求，应提前告知甲方并协调解决。</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5、加强生产期间的安全教育和采取相应的安全措施，并自行承担生产、运输期间因拌和站或运输车辆引发的相应安全责任事故（如管道、供电线路、车辆等引发的安全责任事故）。</w:t>
      </w:r>
    </w:p>
    <w:p>
      <w:pPr>
        <w:spacing w:line="440" w:lineRule="exact"/>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6、拌和设备出现故障、停电等原因致使不能按甲方要求供料，乙方应及时告知甲方，并确保在24小时内修复（特殊故障、供电部门停电、自然灾害等不可抗力因素等除外），否则承担由此造成的一切责任。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7、生产期间，免费提供甲方管理人员、实验检测人员及其他相关人员住宿及伙食。</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在合同有效期内，乙方配合甲方按时完成生产任务，如确因自有工程项目施工需要，应于实施前与甲方协商，适时调整生产作业时间（如：调整白、夜班生产时间），确保甲方施工所需水泥稳定碎石混合料的及时生产，否则，乙方应承担由此给甲方造成的一切损失。</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9、按双方约定时间及生产数量，开据有效的发票。</w:t>
      </w:r>
    </w:p>
    <w:p>
      <w:pPr>
        <w:spacing w:line="360" w:lineRule="auto"/>
        <w:textAlignment w:val="baseline"/>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五、验收标准、方法</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出场材料由甲、乙双方现场代表负责初检（初检指标包括：外观颜色、外观洁净程度、表观级配等），甲方试验检测人员根据相关要求的自检频率对水泥稳定碎石混合料各项技术标准进行严格检测，不合格水泥稳定碎石混合料严禁运出乙方拌合站，若因此导致甲方影响项目工期，由此造成的损失由乙方承担。</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color w:val="000000"/>
          <w:kern w:val="0"/>
          <w:sz w:val="24"/>
          <w:szCs w:val="24"/>
        </w:rPr>
        <w:t>如在检测中发现有不合格、不满足技术要求的，乙方有争议的，</w:t>
      </w:r>
      <w:r>
        <w:rPr>
          <w:rFonts w:hint="eastAsia" w:cs="宋体" w:asciiTheme="minorEastAsia" w:hAnsiTheme="minorEastAsia" w:eastAsiaTheme="minorEastAsia"/>
          <w:sz w:val="24"/>
          <w:szCs w:val="24"/>
        </w:rPr>
        <w:t>可委托经甲乙双方认可的第三方检测机构进行检测，检测</w:t>
      </w:r>
      <w:r>
        <w:rPr>
          <w:rFonts w:hint="eastAsia" w:cs="宋体" w:asciiTheme="minorEastAsia" w:hAnsiTheme="minorEastAsia" w:eastAsiaTheme="minorEastAsia"/>
          <w:color w:val="000000"/>
          <w:kern w:val="0"/>
          <w:sz w:val="24"/>
          <w:szCs w:val="24"/>
        </w:rPr>
        <w:t>费用先由乙方垫付，最终由相应责任方承担（如合格费用由甲方支付，如不合格费用由乙方支付）。</w:t>
      </w:r>
      <w:r>
        <w:rPr>
          <w:rFonts w:hint="eastAsia" w:cs="宋体" w:asciiTheme="minorEastAsia" w:hAnsiTheme="minorEastAsia" w:eastAsiaTheme="minorEastAsia"/>
          <w:sz w:val="24"/>
          <w:szCs w:val="24"/>
        </w:rPr>
        <w:t>发生产品质量责任问题，乙方须承担由自身原因造成的一切损失及费用。</w:t>
      </w:r>
    </w:p>
    <w:p>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bCs/>
          <w:sz w:val="24"/>
          <w:szCs w:val="24"/>
        </w:rPr>
        <w:t>六</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发票的开具</w:t>
      </w:r>
    </w:p>
    <w:p>
      <w:pPr>
        <w:adjustRightInd w:val="0"/>
        <w:snapToGrid w:val="0"/>
        <w:spacing w:line="440" w:lineRule="exact"/>
        <w:ind w:firstLine="525" w:firstLineChars="219"/>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1、水泥稳定碎石混合料加工的全额发票由乙方开具真实有效的</w:t>
      </w:r>
      <w:r>
        <w:rPr>
          <w:rFonts w:hint="eastAsia" w:cs="宋体" w:asciiTheme="minorEastAsia" w:hAnsiTheme="minorEastAsia" w:eastAsiaTheme="minorEastAsia"/>
          <w:bCs/>
          <w:sz w:val="24"/>
          <w:szCs w:val="24"/>
        </w:rPr>
        <w:t>增值税专用发票（</w:t>
      </w:r>
      <w:r>
        <w:rPr>
          <w:rFonts w:hint="eastAsia" w:cs="宋体" w:asciiTheme="minorEastAsia" w:hAnsiTheme="minorEastAsia" w:eastAsiaTheme="minorEastAsia"/>
          <w:kern w:val="0"/>
          <w:sz w:val="24"/>
          <w:szCs w:val="24"/>
        </w:rPr>
        <w:t>抵扣税率</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sz w:val="24"/>
          <w:szCs w:val="24"/>
        </w:rPr>
        <w:t>给甲方，发票单位名称为本合同甲乙双方全称，加工、运输须单独开具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乙方应按照甲方要求，及时向甲方开具可以抵扣税款的有效增值税专用发票。因乙方开具发票不及时给甲方造成无法及时认证、抵扣发票等情形的，乙方需向甲方承担赔偿责任，包括但不限于税款、滞纳金、罚款及相关损失等。</w:t>
      </w:r>
    </w:p>
    <w:p>
      <w:pPr>
        <w:adjustRightInd w:val="0"/>
        <w:snapToGrid w:val="0"/>
        <w:spacing w:line="440" w:lineRule="exact"/>
        <w:ind w:firstLine="405" w:firstLineChars="169"/>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七</w:t>
      </w:r>
      <w:r>
        <w:rPr>
          <w:rFonts w:hint="eastAsia" w:cs="宋体" w:asciiTheme="minorEastAsia" w:hAnsiTheme="minorEastAsia" w:eastAsiaTheme="minorEastAsia"/>
          <w:b/>
          <w:sz w:val="24"/>
          <w:szCs w:val="24"/>
        </w:rPr>
        <w:t>、违约责任</w:t>
      </w:r>
      <w:r>
        <w:rPr>
          <w:rFonts w:hint="eastAsia" w:cs="宋体" w:asciiTheme="minorEastAsia" w:hAnsiTheme="minorEastAsia" w:eastAsiaTheme="minorEastAsia"/>
          <w:b/>
          <w:sz w:val="24"/>
          <w:szCs w:val="24"/>
        </w:rPr>
        <w:tab/>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cs="宋体" w:asciiTheme="minorEastAsia" w:hAnsiTheme="minorEastAsia" w:eastAsiaTheme="minorEastAsia"/>
          <w:sz w:val="24"/>
          <w:szCs w:val="24"/>
          <w:u w:val="single"/>
        </w:rPr>
        <w:t xml:space="preserve">  10 </w:t>
      </w:r>
      <w:r>
        <w:rPr>
          <w:rFonts w:hint="eastAsia" w:cs="宋体" w:asciiTheme="minorEastAsia" w:hAnsiTheme="minorEastAsia" w:eastAsiaTheme="minorEastAsia"/>
          <w:sz w:val="24"/>
          <w:szCs w:val="24"/>
        </w:rPr>
        <w:t>％的违约金，违约金不足以弥补守约方损失的，违约方应当继续补足赔偿。</w:t>
      </w:r>
    </w:p>
    <w:p>
      <w:pPr>
        <w:spacing w:line="440" w:lineRule="exact"/>
        <w:ind w:firstLine="472" w:firstLineChars="196"/>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八、争议的处理</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合同履行过程中，若出现争议，双方本着友好协商解决，若协商不成，可提请重庆仲裁委员会仲裁。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 xml:space="preserve">    九、</w:t>
      </w:r>
      <w:r>
        <w:rPr>
          <w:rFonts w:hint="eastAsia" w:cs="宋体" w:asciiTheme="minorEastAsia" w:hAnsiTheme="minorEastAsia" w:eastAsiaTheme="minorEastAsia"/>
          <w:sz w:val="24"/>
          <w:szCs w:val="24"/>
        </w:rPr>
        <w:t>合同签约地点：重庆市沙坪坝区梨高路沙坪坝区档案馆旁重庆市公路养护管理段三楼。</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十</w:t>
      </w:r>
      <w:r>
        <w:rPr>
          <w:rFonts w:hint="eastAsia" w:cs="宋体" w:asciiTheme="minorEastAsia" w:hAnsiTheme="minorEastAsia" w:eastAsiaTheme="minorEastAsia"/>
          <w:sz w:val="24"/>
          <w:szCs w:val="24"/>
        </w:rPr>
        <w:t>、本合同一式</w:t>
      </w:r>
      <w:r>
        <w:rPr>
          <w:rFonts w:hint="eastAsia" w:cs="宋体" w:asciiTheme="minorEastAsia" w:hAnsiTheme="minorEastAsia" w:eastAsiaTheme="minorEastAsia"/>
          <w:b/>
          <w:sz w:val="24"/>
          <w:szCs w:val="24"/>
          <w:u w:val="single"/>
        </w:rPr>
        <w:t xml:space="preserve"> 陆 </w:t>
      </w:r>
      <w:r>
        <w:rPr>
          <w:rFonts w:hint="eastAsia" w:cs="宋体" w:asciiTheme="minorEastAsia" w:hAnsiTheme="minorEastAsia" w:eastAsiaTheme="minorEastAsia"/>
          <w:sz w:val="24"/>
          <w:szCs w:val="24"/>
        </w:rPr>
        <w:t>份，甲方执</w:t>
      </w:r>
      <w:r>
        <w:rPr>
          <w:rFonts w:hint="eastAsia" w:cs="宋体" w:asciiTheme="minorEastAsia" w:hAnsiTheme="minorEastAsia" w:eastAsiaTheme="minorEastAsia"/>
          <w:b/>
          <w:sz w:val="24"/>
          <w:szCs w:val="24"/>
          <w:u w:val="single"/>
        </w:rPr>
        <w:t xml:space="preserve">伍 </w:t>
      </w:r>
      <w:r>
        <w:rPr>
          <w:rFonts w:hint="eastAsia" w:cs="宋体" w:asciiTheme="minorEastAsia" w:hAnsiTheme="minorEastAsia" w:eastAsiaTheme="minorEastAsia"/>
          <w:sz w:val="24"/>
          <w:szCs w:val="24"/>
        </w:rPr>
        <w:t>份，乙方执</w:t>
      </w:r>
      <w:r>
        <w:rPr>
          <w:rFonts w:hint="eastAsia" w:cs="宋体" w:asciiTheme="minorEastAsia" w:hAnsiTheme="minorEastAsia" w:eastAsiaTheme="minorEastAsia"/>
          <w:b/>
          <w:sz w:val="24"/>
          <w:szCs w:val="24"/>
          <w:u w:val="single"/>
        </w:rPr>
        <w:t xml:space="preserve">壹 </w:t>
      </w:r>
      <w:r>
        <w:rPr>
          <w:rFonts w:hint="eastAsia" w:cs="宋体" w:asciiTheme="minorEastAsia" w:hAnsiTheme="minorEastAsia" w:eastAsiaTheme="minorEastAsia"/>
          <w:sz w:val="24"/>
          <w:szCs w:val="24"/>
        </w:rPr>
        <w:t>份，各文本均具有同等法律效力；经双方签字盖章后生效；工程完工供料结束并结清财务手续后自动失效。</w:t>
      </w:r>
    </w:p>
    <w:p>
      <w:pPr>
        <w:spacing w:line="440" w:lineRule="exact"/>
        <w:rPr>
          <w:rFonts w:cs="宋体" w:asciiTheme="minorEastAsia" w:hAnsiTheme="minorEastAsia" w:eastAsiaTheme="minorEastAsia"/>
          <w:sz w:val="24"/>
          <w:szCs w:val="24"/>
        </w:rPr>
      </w:pPr>
    </w:p>
    <w:p>
      <w:pPr>
        <w:spacing w:line="440" w:lineRule="exact"/>
        <w:rPr>
          <w:rFonts w:ascii="宋体" w:hAnsi="宋体" w:cs="宋体"/>
          <w:szCs w:val="21"/>
        </w:rPr>
      </w:pPr>
      <w:r>
        <w:rPr>
          <w:rFonts w:hint="eastAsia" w:ascii="宋体" w:hAnsi="宋体" w:cs="宋体"/>
          <w:szCs w:val="21"/>
        </w:rPr>
        <w:t>甲 方</w:t>
      </w:r>
      <w:r>
        <w:rPr>
          <w:rFonts w:hint="eastAsia"/>
          <w:sz w:val="24"/>
          <w:szCs w:val="24"/>
        </w:rPr>
        <w:t>（盖章）：</w:t>
      </w:r>
      <w:r>
        <w:rPr>
          <w:rFonts w:hint="eastAsia" w:ascii="宋体" w:hAnsi="宋体" w:cs="宋体"/>
          <w:szCs w:val="21"/>
        </w:rPr>
        <w:t xml:space="preserve">                                           乙 方</w:t>
      </w:r>
      <w:r>
        <w:rPr>
          <w:rFonts w:hint="eastAsia"/>
          <w:sz w:val="24"/>
          <w:szCs w:val="24"/>
        </w:rPr>
        <w:t>（盖章）：</w:t>
      </w:r>
    </w:p>
    <w:p>
      <w:pPr>
        <w:rPr>
          <w:rFonts w:ascii="宋体" w:hAnsi="宋体" w:cs="宋体"/>
          <w:szCs w:val="21"/>
        </w:rPr>
      </w:pPr>
      <w:r>
        <w:rPr>
          <w:rFonts w:hint="eastAsia" w:ascii="宋体" w:hAnsi="宋体" w:cs="宋体"/>
          <w:szCs w:val="21"/>
        </w:rPr>
        <w:t xml:space="preserve">重庆通力高速公路养护工程有限公司                            　　　　　　　　　　　                                                           </w:t>
      </w:r>
    </w:p>
    <w:p>
      <w:pPr>
        <w:spacing w:line="440" w:lineRule="exact"/>
        <w:rPr>
          <w:rFonts w:ascii="宋体" w:hAnsi="宋体" w:cs="宋体"/>
          <w:szCs w:val="21"/>
        </w:rPr>
      </w:pPr>
      <w:r>
        <w:rPr>
          <w:rFonts w:hint="eastAsia" w:ascii="宋体" w:hAnsi="宋体" w:cs="宋体"/>
          <w:szCs w:val="21"/>
        </w:rPr>
        <w:t>法定代表人                                                 法定代表人</w:t>
      </w:r>
    </w:p>
    <w:p>
      <w:pPr>
        <w:spacing w:line="440" w:lineRule="exact"/>
        <w:rPr>
          <w:rFonts w:ascii="宋体" w:hAnsi="宋体" w:cs="宋体"/>
          <w:szCs w:val="21"/>
        </w:rPr>
      </w:pPr>
      <w:r>
        <w:rPr>
          <w:rFonts w:hint="eastAsia" w:ascii="宋体" w:hAnsi="宋体" w:cs="宋体"/>
          <w:szCs w:val="21"/>
        </w:rPr>
        <w:t>或委托代理人：                                             或委托代理人：</w:t>
      </w:r>
    </w:p>
    <w:p>
      <w:pPr>
        <w:spacing w:line="440" w:lineRule="exact"/>
        <w:rPr>
          <w:rFonts w:ascii="宋体" w:hAnsi="宋体" w:cs="宋体"/>
          <w:szCs w:val="21"/>
        </w:rPr>
      </w:pPr>
      <w:r>
        <w:rPr>
          <w:rFonts w:hint="eastAsia" w:ascii="宋体" w:hAnsi="宋体" w:cs="宋体"/>
          <w:szCs w:val="21"/>
        </w:rPr>
        <w:t>部门负责人：                                               部门负责人：</w:t>
      </w:r>
    </w:p>
    <w:p>
      <w:pPr>
        <w:spacing w:line="440" w:lineRule="exact"/>
        <w:rPr>
          <w:rFonts w:ascii="宋体" w:hAnsi="宋体" w:cs="宋体"/>
          <w:szCs w:val="21"/>
        </w:rPr>
      </w:pPr>
      <w:r>
        <w:rPr>
          <w:rFonts w:hint="eastAsia" w:ascii="宋体" w:hAnsi="宋体" w:cs="宋体"/>
          <w:szCs w:val="21"/>
        </w:rPr>
        <w:t>经办人：                                                   经办人：</w:t>
      </w:r>
    </w:p>
    <w:p>
      <w:pPr>
        <w:spacing w:line="360" w:lineRule="auto"/>
        <w:textAlignment w:val="baseline"/>
        <w:rPr>
          <w:rFonts w:ascii="宋体" w:hAnsi="宋体"/>
          <w:b/>
          <w:sz w:val="24"/>
        </w:rPr>
      </w:pPr>
      <w:r>
        <w:rPr>
          <w:rFonts w:hint="eastAsia" w:ascii="宋体" w:hAnsi="宋体" w:cs="宋体"/>
          <w:szCs w:val="21"/>
        </w:rPr>
        <w:t xml:space="preserve">签约时间： 2021年   月    日   　　                       签约时间：2021年   月    日     </w:t>
      </w: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jc w:val="center"/>
        <w:textAlignment w:val="baseline"/>
        <w:rPr>
          <w:rFonts w:ascii="宋体" w:hAnsi="宋体"/>
          <w:b/>
          <w:sz w:val="24"/>
        </w:rPr>
      </w:pPr>
    </w:p>
    <w:p>
      <w:pPr>
        <w:spacing w:line="360" w:lineRule="auto"/>
        <w:rPr>
          <w:sz w:val="24"/>
        </w:rPr>
      </w:pPr>
    </w:p>
    <w:p>
      <w:pPr>
        <w:spacing w:line="360" w:lineRule="auto"/>
        <w:rPr>
          <w:sz w:val="24"/>
        </w:rPr>
      </w:pPr>
    </w:p>
    <w:p>
      <w:pPr>
        <w:pStyle w:val="2"/>
      </w:pPr>
    </w:p>
    <w:p/>
    <w:p>
      <w:pPr>
        <w:pStyle w:val="2"/>
      </w:pPr>
    </w:p>
    <w:p/>
    <w:p>
      <w:pPr>
        <w:pStyle w:val="2"/>
      </w:pPr>
    </w:p>
    <w:p/>
    <w:p>
      <w:pPr>
        <w:pStyle w:val="2"/>
      </w:pPr>
    </w:p>
    <w:p/>
    <w:p>
      <w:pPr>
        <w:pStyle w:val="2"/>
      </w:pPr>
    </w:p>
    <w:p/>
    <w:p>
      <w:pPr>
        <w:pStyle w:val="2"/>
      </w:pPr>
    </w:p>
    <w:p/>
    <w:p>
      <w:pPr>
        <w:pStyle w:val="2"/>
      </w:pPr>
    </w:p>
    <w:p/>
    <w:p>
      <w:pPr>
        <w:spacing w:line="360" w:lineRule="auto"/>
        <w:jc w:val="center"/>
        <w:rPr>
          <w:b/>
          <w:sz w:val="36"/>
          <w:szCs w:val="22"/>
        </w:rPr>
      </w:pPr>
    </w:p>
    <w:p>
      <w:pPr>
        <w:spacing w:line="360" w:lineRule="auto"/>
        <w:jc w:val="center"/>
        <w:rPr>
          <w:b/>
          <w:sz w:val="36"/>
          <w:szCs w:val="22"/>
        </w:rPr>
      </w:pPr>
      <w:r>
        <w:rPr>
          <w:rFonts w:hint="eastAsia"/>
          <w:b/>
          <w:sz w:val="36"/>
          <w:szCs w:val="22"/>
        </w:rPr>
        <w:t>重庆市江津区支坪下道口扩建工程水泥稳定碎石       混合料外协加工、运输合同</w:t>
      </w:r>
      <w:r>
        <w:rPr>
          <w:rFonts w:hint="eastAsia"/>
          <w:b/>
          <w:sz w:val="36"/>
          <w:szCs w:val="36"/>
        </w:rPr>
        <w:t>之廉政合同</w:t>
      </w:r>
    </w:p>
    <w:p>
      <w:pPr>
        <w:pStyle w:val="2"/>
        <w:rPr>
          <w:sz w:val="24"/>
        </w:rPr>
      </w:pPr>
    </w:p>
    <w:p>
      <w:pPr>
        <w:spacing w:line="400" w:lineRule="exact"/>
        <w:ind w:firstLine="525" w:firstLineChars="250"/>
        <w:rPr>
          <w:rFonts w:ascii="宋体" w:hAnsi="宋体"/>
          <w:szCs w:val="21"/>
        </w:rPr>
      </w:pPr>
      <w:r>
        <w:rPr>
          <w:rFonts w:hint="eastAsia" w:ascii="宋体" w:hAnsi="宋体"/>
          <w:szCs w:val="21"/>
        </w:rPr>
        <w:t>为在</w:t>
      </w:r>
      <w:sdt>
        <w:sdtPr>
          <w:rPr>
            <w:rFonts w:hint="eastAsia" w:ascii="宋体" w:hAnsi="宋体"/>
            <w:b/>
            <w:sz w:val="22"/>
            <w:szCs w:val="22"/>
            <w:u w:val="single"/>
          </w:rPr>
          <w:id w:val="630883644"/>
          <w:placeholder>
            <w:docPart w:val="0EEE6C7279ED41CE8742B39AE36115BF"/>
          </w:placeholder>
        </w:sdtPr>
        <w:sdtEndPr>
          <w:rPr>
            <w:rFonts w:hint="eastAsia" w:ascii="宋体" w:hAnsi="宋体"/>
            <w:b/>
            <w:sz w:val="24"/>
            <w:szCs w:val="20"/>
            <w:u w:val="single"/>
          </w:rPr>
        </w:sdtEndPr>
        <w:sdtContent>
          <w:r>
            <w:rPr>
              <w:rFonts w:hint="eastAsia" w:ascii="宋体" w:hAnsi="宋体"/>
              <w:b/>
              <w:sz w:val="24"/>
              <w:u w:val="single"/>
            </w:rPr>
            <w:t>重庆市江津区支坪下道口扩建工程水泥稳定碎石混合料外协加工、运输</w:t>
          </w:r>
        </w:sdtContent>
      </w:sdt>
      <w:r>
        <w:rPr>
          <w:rFonts w:hint="eastAsia" w:ascii="宋体" w:hAnsi="宋体"/>
          <w:szCs w:val="21"/>
        </w:rPr>
        <w:t>实施过程中创造安全、高效的施工环境，切实搞好安全管理工作，本项目发包人</w:t>
      </w:r>
      <w:r>
        <w:rPr>
          <w:rFonts w:hint="eastAsia" w:ascii="宋体" w:hAnsi="宋体"/>
          <w:b/>
          <w:bCs/>
          <w:szCs w:val="21"/>
          <w:u w:val="single"/>
        </w:rPr>
        <w:t>重庆通力高速公路养护工程有限公司</w:t>
      </w:r>
      <w:r>
        <w:rPr>
          <w:rFonts w:hint="eastAsia" w:ascii="宋体" w:hAnsi="宋体"/>
          <w:szCs w:val="21"/>
        </w:rPr>
        <w:t>（以下简称“甲方”）与承包人</w:t>
      </w:r>
      <w:r>
        <w:rPr>
          <w:rFonts w:hint="eastAsia" w:ascii="宋体" w:hAnsi="宋体"/>
          <w:szCs w:val="21"/>
          <w:u w:val="single"/>
        </w:rPr>
        <w:t xml:space="preserve">                              </w:t>
      </w:r>
      <w:r>
        <w:rPr>
          <w:rFonts w:hint="eastAsia" w:ascii="宋体" w:hAnsi="宋体"/>
          <w:szCs w:val="21"/>
        </w:rPr>
        <w:t>（以下简称“乙方”）特此签订安全生产合同：</w:t>
      </w:r>
    </w:p>
    <w:p>
      <w:pPr>
        <w:widowControl/>
        <w:spacing w:line="400" w:lineRule="exact"/>
        <w:ind w:firstLine="420" w:firstLineChars="200"/>
        <w:jc w:val="left"/>
        <w:rPr>
          <w:rFonts w:ascii="宋体" w:hAnsi="宋体"/>
          <w:bCs/>
          <w:szCs w:val="21"/>
        </w:rPr>
      </w:pPr>
      <w:r>
        <w:rPr>
          <w:rFonts w:hint="eastAsia" w:ascii="宋体" w:hAnsi="宋体"/>
          <w:bCs/>
          <w:szCs w:val="21"/>
        </w:rPr>
        <w:t>一、协议有效期限</w:t>
      </w:r>
    </w:p>
    <w:p>
      <w:pPr>
        <w:widowControl/>
        <w:spacing w:line="400" w:lineRule="exact"/>
        <w:ind w:firstLine="420" w:firstLineChars="200"/>
        <w:jc w:val="left"/>
        <w:rPr>
          <w:rFonts w:ascii="宋体" w:hAnsi="宋体"/>
          <w:bCs/>
          <w:szCs w:val="21"/>
        </w:rPr>
      </w:pPr>
      <w:r>
        <w:rPr>
          <w:rFonts w:hint="eastAsia" w:ascii="宋体" w:hAnsi="宋体"/>
          <w:bCs/>
          <w:szCs w:val="21"/>
        </w:rPr>
        <w:t>本协议中所涉及的安全管理责任自合同签订之日起开始生效，至合同工程全部完工验收且缺陷责任期满之日终止。</w:t>
      </w:r>
    </w:p>
    <w:p>
      <w:pPr>
        <w:widowControl/>
        <w:spacing w:line="400" w:lineRule="exact"/>
        <w:ind w:firstLine="420" w:firstLineChars="200"/>
        <w:jc w:val="left"/>
        <w:rPr>
          <w:rFonts w:ascii="宋体" w:hAnsi="宋体"/>
          <w:bCs/>
          <w:szCs w:val="21"/>
        </w:rPr>
      </w:pPr>
      <w:r>
        <w:rPr>
          <w:rFonts w:hint="eastAsia" w:ascii="宋体" w:hAnsi="宋体"/>
          <w:bCs/>
          <w:szCs w:val="21"/>
        </w:rPr>
        <w:t>二、责任目标</w:t>
      </w:r>
    </w:p>
    <w:p>
      <w:pPr>
        <w:widowControl/>
        <w:spacing w:line="400" w:lineRule="exact"/>
        <w:ind w:firstLine="315" w:firstLineChars="150"/>
        <w:jc w:val="left"/>
        <w:rPr>
          <w:rFonts w:ascii="宋体" w:hAnsi="宋体"/>
          <w:bCs/>
          <w:szCs w:val="21"/>
        </w:rPr>
      </w:pPr>
      <w:r>
        <w:rPr>
          <w:rFonts w:hint="eastAsia" w:ascii="宋体" w:hAnsi="宋体"/>
          <w:bCs/>
          <w:szCs w:val="21"/>
        </w:rPr>
        <w:t>（一）乙方承诺承担和履行合同和发包人所规定的安全责任，且满足要求。</w:t>
      </w:r>
    </w:p>
    <w:p>
      <w:pPr>
        <w:widowControl/>
        <w:spacing w:line="400" w:lineRule="exact"/>
        <w:ind w:firstLine="315" w:firstLineChars="150"/>
        <w:jc w:val="left"/>
        <w:rPr>
          <w:rFonts w:ascii="宋体" w:hAnsi="宋体"/>
          <w:bCs/>
          <w:szCs w:val="21"/>
        </w:rPr>
      </w:pPr>
      <w:r>
        <w:rPr>
          <w:rFonts w:hint="eastAsia" w:ascii="宋体" w:hAnsi="宋体"/>
          <w:bCs/>
          <w:szCs w:val="21"/>
        </w:rPr>
        <w:t>（二）乙方的安全控制目标是确保本工程在实施过程中：</w:t>
      </w:r>
    </w:p>
    <w:p>
      <w:pPr>
        <w:widowControl/>
        <w:spacing w:line="400" w:lineRule="exact"/>
        <w:ind w:firstLine="420" w:firstLineChars="200"/>
        <w:jc w:val="left"/>
        <w:rPr>
          <w:rFonts w:ascii="宋体" w:hAnsi="宋体"/>
          <w:bCs/>
          <w:szCs w:val="21"/>
        </w:rPr>
      </w:pPr>
      <w:r>
        <w:rPr>
          <w:rFonts w:hint="eastAsia" w:ascii="宋体" w:hAnsi="宋体"/>
          <w:bCs/>
          <w:szCs w:val="21"/>
        </w:rPr>
        <w:t>1．不发生人身重伤及以上事故；</w:t>
      </w:r>
    </w:p>
    <w:p>
      <w:pPr>
        <w:widowControl/>
        <w:spacing w:line="400" w:lineRule="exact"/>
        <w:ind w:firstLine="420" w:firstLineChars="200"/>
        <w:jc w:val="left"/>
        <w:rPr>
          <w:rFonts w:ascii="宋体" w:hAnsi="宋体"/>
          <w:bCs/>
          <w:szCs w:val="21"/>
        </w:rPr>
      </w:pPr>
      <w:r>
        <w:rPr>
          <w:rFonts w:hint="eastAsia" w:ascii="宋体" w:hAnsi="宋体"/>
          <w:bCs/>
          <w:szCs w:val="21"/>
        </w:rPr>
        <w:t>2．不发生火灾事故；</w:t>
      </w:r>
    </w:p>
    <w:p>
      <w:pPr>
        <w:widowControl/>
        <w:spacing w:line="400" w:lineRule="exact"/>
        <w:ind w:firstLine="420" w:firstLineChars="200"/>
        <w:jc w:val="left"/>
        <w:rPr>
          <w:rFonts w:ascii="宋体" w:hAnsi="宋体"/>
          <w:bCs/>
          <w:szCs w:val="21"/>
        </w:rPr>
      </w:pPr>
      <w:r>
        <w:rPr>
          <w:rFonts w:hint="eastAsia" w:ascii="宋体" w:hAnsi="宋体"/>
          <w:bCs/>
          <w:szCs w:val="21"/>
        </w:rPr>
        <w:t>3．不发生负有同等及以上事故责任的造成人身重伤的一般交通事故；</w:t>
      </w:r>
    </w:p>
    <w:p>
      <w:pPr>
        <w:widowControl/>
        <w:spacing w:line="400" w:lineRule="exact"/>
        <w:ind w:firstLine="420" w:firstLineChars="200"/>
        <w:jc w:val="left"/>
        <w:rPr>
          <w:rFonts w:ascii="宋体" w:hAnsi="宋体"/>
          <w:bCs/>
          <w:szCs w:val="21"/>
        </w:rPr>
      </w:pPr>
      <w:r>
        <w:rPr>
          <w:rFonts w:hint="eastAsia" w:ascii="宋体" w:hAnsi="宋体"/>
          <w:bCs/>
          <w:szCs w:val="21"/>
        </w:rPr>
        <w:t>4．不发生集体食物中毒事件（同时3人及以上的食物中毒）；</w:t>
      </w:r>
    </w:p>
    <w:p>
      <w:pPr>
        <w:widowControl/>
        <w:spacing w:line="400" w:lineRule="exact"/>
        <w:ind w:firstLine="420" w:firstLineChars="200"/>
        <w:jc w:val="left"/>
        <w:rPr>
          <w:rFonts w:ascii="宋体" w:hAnsi="宋体"/>
          <w:bCs/>
          <w:szCs w:val="21"/>
        </w:rPr>
      </w:pPr>
      <w:r>
        <w:rPr>
          <w:rFonts w:hint="eastAsia" w:ascii="宋体" w:hAnsi="宋体"/>
          <w:bCs/>
          <w:szCs w:val="21"/>
        </w:rPr>
        <w:t>5．不发生流行性传染病 （无甲型传染病、其他常见传染病未形成多人同时患病）；</w:t>
      </w:r>
    </w:p>
    <w:p>
      <w:pPr>
        <w:widowControl/>
        <w:spacing w:line="400" w:lineRule="exact"/>
        <w:ind w:firstLine="420" w:firstLineChars="200"/>
        <w:jc w:val="left"/>
        <w:rPr>
          <w:rFonts w:ascii="宋体" w:hAnsi="宋体"/>
          <w:bCs/>
          <w:szCs w:val="21"/>
        </w:rPr>
      </w:pPr>
      <w:r>
        <w:rPr>
          <w:rFonts w:hint="eastAsia" w:ascii="宋体" w:hAnsi="宋体"/>
          <w:bCs/>
          <w:szCs w:val="21"/>
        </w:rPr>
        <w:t>6．不发生重大环境污染事件（生活、工业垃圾及其他污染物造成环境污染和大面积水土流失）；</w:t>
      </w:r>
    </w:p>
    <w:p>
      <w:pPr>
        <w:widowControl/>
        <w:spacing w:line="400" w:lineRule="exact"/>
        <w:ind w:firstLine="420" w:firstLineChars="200"/>
        <w:jc w:val="left"/>
        <w:rPr>
          <w:rFonts w:ascii="宋体" w:hAnsi="宋体"/>
          <w:bCs/>
          <w:szCs w:val="21"/>
        </w:rPr>
      </w:pPr>
      <w:r>
        <w:rPr>
          <w:rFonts w:hint="eastAsia" w:ascii="宋体" w:hAnsi="宋体"/>
          <w:bCs/>
          <w:szCs w:val="21"/>
        </w:rPr>
        <w:t>7．不发生对施工区附近生产、生活造成重大影响的事件（如造成重大设备损坏、重大财产损失、人员伤害等）；</w:t>
      </w:r>
    </w:p>
    <w:p>
      <w:pPr>
        <w:widowControl/>
        <w:spacing w:line="400" w:lineRule="exact"/>
        <w:ind w:firstLine="420" w:firstLineChars="200"/>
        <w:jc w:val="left"/>
        <w:rPr>
          <w:rFonts w:ascii="宋体" w:hAnsi="宋体"/>
          <w:bCs/>
          <w:szCs w:val="21"/>
        </w:rPr>
      </w:pPr>
      <w:r>
        <w:rPr>
          <w:rFonts w:hint="eastAsia" w:ascii="宋体" w:hAnsi="宋体"/>
          <w:bCs/>
          <w:szCs w:val="21"/>
        </w:rPr>
        <w:t>8．不发生治安保卫事件（构成刑事拘留及以上的事件、盗窃直接损失超过1万元人民币的事件）。</w:t>
      </w:r>
    </w:p>
    <w:p>
      <w:pPr>
        <w:widowControl/>
        <w:spacing w:line="400" w:lineRule="exact"/>
        <w:ind w:firstLine="420" w:firstLineChars="200"/>
        <w:jc w:val="left"/>
        <w:rPr>
          <w:rFonts w:ascii="宋体" w:hAnsi="宋体"/>
          <w:bCs/>
          <w:szCs w:val="21"/>
        </w:rPr>
      </w:pPr>
      <w:r>
        <w:rPr>
          <w:rFonts w:hint="eastAsia" w:ascii="宋体" w:hAnsi="宋体"/>
          <w:bCs/>
          <w:szCs w:val="21"/>
        </w:rPr>
        <w:t>三、安全责任</w:t>
      </w:r>
    </w:p>
    <w:p>
      <w:pPr>
        <w:widowControl/>
        <w:spacing w:line="400" w:lineRule="exact"/>
        <w:ind w:firstLine="420" w:firstLineChars="200"/>
        <w:jc w:val="left"/>
        <w:rPr>
          <w:rFonts w:ascii="宋体" w:hAnsi="宋体"/>
          <w:bCs/>
          <w:szCs w:val="21"/>
        </w:rPr>
      </w:pPr>
      <w:r>
        <w:rPr>
          <w:rFonts w:hint="eastAsia" w:ascii="宋体" w:hAnsi="宋体"/>
          <w:bCs/>
          <w:szCs w:val="21"/>
        </w:rPr>
        <w:t>1．乙方负有安全生产的管理责任和直接责任。</w:t>
      </w:r>
    </w:p>
    <w:p>
      <w:pPr>
        <w:widowControl/>
        <w:spacing w:line="400" w:lineRule="exact"/>
        <w:ind w:firstLine="420" w:firstLineChars="200"/>
        <w:jc w:val="left"/>
        <w:rPr>
          <w:rFonts w:ascii="宋体" w:hAnsi="宋体"/>
          <w:bCs/>
          <w:szCs w:val="21"/>
        </w:rPr>
      </w:pPr>
      <w:r>
        <w:rPr>
          <w:rFonts w:hint="eastAsia" w:ascii="宋体" w:hAnsi="宋体"/>
          <w:bCs/>
          <w:szCs w:val="21"/>
        </w:rPr>
        <w:t>2．乙方的法人或签署合同的公司总经理或受委托的代理人对合同安全负有全面的领导责任。</w:t>
      </w:r>
    </w:p>
    <w:p>
      <w:pPr>
        <w:widowControl/>
        <w:spacing w:line="400" w:lineRule="exact"/>
        <w:ind w:firstLine="420" w:firstLineChars="200"/>
        <w:jc w:val="left"/>
        <w:rPr>
          <w:rFonts w:ascii="宋体" w:hAnsi="宋体"/>
          <w:bCs/>
          <w:szCs w:val="21"/>
        </w:rPr>
      </w:pPr>
      <w:r>
        <w:rPr>
          <w:rFonts w:hint="eastAsia" w:ascii="宋体" w:hAnsi="宋体"/>
          <w:bCs/>
          <w:szCs w:val="21"/>
        </w:rPr>
        <w:t>3．乙方现场负责人对施工现场的安全工作负有全面的直接领导责任。</w:t>
      </w:r>
    </w:p>
    <w:p>
      <w:pPr>
        <w:widowControl/>
        <w:spacing w:line="400" w:lineRule="exact"/>
        <w:ind w:firstLine="420" w:firstLineChars="200"/>
        <w:jc w:val="left"/>
        <w:rPr>
          <w:rFonts w:ascii="宋体" w:hAnsi="宋体"/>
          <w:bCs/>
          <w:szCs w:val="21"/>
        </w:rPr>
      </w:pPr>
      <w:r>
        <w:rPr>
          <w:rFonts w:hint="eastAsia" w:ascii="宋体" w:hAnsi="宋体"/>
          <w:bCs/>
          <w:szCs w:val="21"/>
        </w:rPr>
        <w:t>4．乙方保证执行“谁施工、谁负责”的施工安全原则。</w:t>
      </w:r>
    </w:p>
    <w:p>
      <w:pPr>
        <w:widowControl/>
        <w:spacing w:line="400" w:lineRule="exact"/>
        <w:ind w:firstLine="420" w:firstLineChars="200"/>
        <w:jc w:val="left"/>
        <w:rPr>
          <w:rFonts w:ascii="宋体" w:hAnsi="宋体"/>
          <w:bCs/>
          <w:szCs w:val="21"/>
        </w:rPr>
      </w:pPr>
      <w:r>
        <w:rPr>
          <w:rFonts w:hint="eastAsia" w:ascii="宋体" w:hAnsi="宋体"/>
          <w:bCs/>
          <w:szCs w:val="21"/>
        </w:rPr>
        <w:t>5．乙方保证服从发包人对安全工作的统一协调和管理。</w:t>
      </w:r>
    </w:p>
    <w:p>
      <w:pPr>
        <w:widowControl/>
        <w:spacing w:line="400" w:lineRule="exact"/>
        <w:ind w:firstLine="420" w:firstLineChars="200"/>
        <w:jc w:val="left"/>
        <w:rPr>
          <w:rFonts w:ascii="宋体" w:hAnsi="宋体"/>
          <w:bCs/>
          <w:szCs w:val="21"/>
        </w:rPr>
      </w:pPr>
      <w:r>
        <w:rPr>
          <w:rFonts w:hint="eastAsia" w:ascii="宋体" w:hAnsi="宋体"/>
          <w:bCs/>
          <w:szCs w:val="21"/>
        </w:rPr>
        <w:t>6．乙方保证对本工程项目安全生产条件及其管理资源自行投入，保证安全资金的专款专用。</w:t>
      </w:r>
    </w:p>
    <w:p>
      <w:pPr>
        <w:widowControl/>
        <w:spacing w:line="400" w:lineRule="exact"/>
        <w:ind w:firstLine="420" w:firstLineChars="200"/>
        <w:jc w:val="left"/>
        <w:rPr>
          <w:rFonts w:ascii="宋体" w:hAnsi="宋体"/>
          <w:bCs/>
          <w:szCs w:val="21"/>
        </w:rPr>
      </w:pPr>
      <w:r>
        <w:rPr>
          <w:rFonts w:hint="eastAsia" w:ascii="宋体" w:hAnsi="宋体"/>
          <w:bCs/>
          <w:szCs w:val="21"/>
        </w:rPr>
        <w:t>7．乙方保证为现场所有工作人员配备符合国家标准的个人基本劳动保护用品。</w:t>
      </w:r>
    </w:p>
    <w:p>
      <w:pPr>
        <w:widowControl/>
        <w:spacing w:line="400" w:lineRule="exact"/>
        <w:ind w:firstLine="420" w:firstLineChars="200"/>
        <w:jc w:val="left"/>
        <w:rPr>
          <w:rFonts w:ascii="宋体" w:hAnsi="宋体"/>
          <w:bCs/>
          <w:szCs w:val="21"/>
        </w:rPr>
      </w:pPr>
      <w:r>
        <w:rPr>
          <w:rFonts w:hint="eastAsia" w:ascii="宋体" w:hAnsi="宋体"/>
          <w:bCs/>
          <w:szCs w:val="21"/>
        </w:rPr>
        <w:t>8．乙方保证按照本合同约定为现场所有工作人员购买保险。</w:t>
      </w:r>
    </w:p>
    <w:p>
      <w:pPr>
        <w:widowControl/>
        <w:spacing w:line="400" w:lineRule="exact"/>
        <w:ind w:firstLine="420" w:firstLineChars="200"/>
        <w:jc w:val="left"/>
        <w:rPr>
          <w:rFonts w:ascii="宋体" w:hAnsi="宋体"/>
          <w:bCs/>
          <w:szCs w:val="21"/>
        </w:rPr>
      </w:pPr>
      <w:r>
        <w:rPr>
          <w:rFonts w:hint="eastAsia" w:ascii="宋体" w:hAnsi="宋体"/>
          <w:bCs/>
          <w:szCs w:val="21"/>
        </w:rPr>
        <w:t>9．乙方应保持施工现场的良好秩序和整洁的作业环境。</w:t>
      </w:r>
    </w:p>
    <w:p>
      <w:pPr>
        <w:widowControl/>
        <w:spacing w:line="400" w:lineRule="exact"/>
        <w:ind w:firstLine="420" w:firstLineChars="200"/>
        <w:jc w:val="left"/>
        <w:rPr>
          <w:rFonts w:ascii="宋体" w:hAnsi="宋体"/>
          <w:bCs/>
          <w:szCs w:val="21"/>
        </w:rPr>
      </w:pPr>
      <w:r>
        <w:rPr>
          <w:rFonts w:hint="eastAsia" w:ascii="宋体" w:hAnsi="宋体"/>
          <w:bCs/>
          <w:szCs w:val="21"/>
        </w:rPr>
        <w:t>四、甲方职责</w:t>
      </w:r>
    </w:p>
    <w:p>
      <w:pPr>
        <w:widowControl/>
        <w:spacing w:line="400" w:lineRule="exact"/>
        <w:ind w:firstLine="420" w:firstLineChars="200"/>
        <w:jc w:val="left"/>
        <w:rPr>
          <w:rFonts w:ascii="宋体" w:hAnsi="宋体"/>
          <w:bCs/>
          <w:szCs w:val="21"/>
        </w:rPr>
      </w:pPr>
      <w:r>
        <w:rPr>
          <w:rFonts w:hint="eastAsia" w:ascii="宋体" w:hAnsi="宋体"/>
          <w:bCs/>
          <w:szCs w:val="21"/>
        </w:rPr>
        <w:t>1、严格遵守并贯彻执行国家有关安全生产法律法规和通力公司【2020】19号《协作（分包）单位安全生产考核办法》规定，认真履行安全监督管理职责。</w:t>
      </w:r>
    </w:p>
    <w:p>
      <w:pPr>
        <w:widowControl/>
        <w:spacing w:line="400" w:lineRule="exact"/>
        <w:ind w:firstLine="420" w:firstLineChars="200"/>
        <w:jc w:val="left"/>
        <w:rPr>
          <w:rFonts w:ascii="宋体" w:hAnsi="宋体"/>
          <w:bCs/>
          <w:szCs w:val="21"/>
        </w:rPr>
      </w:pPr>
      <w:r>
        <w:rPr>
          <w:rFonts w:hint="eastAsia" w:ascii="宋体" w:hAnsi="宋体"/>
          <w:bCs/>
          <w:szCs w:val="21"/>
        </w:rPr>
        <w:t>2、按照“安全第一、预防为主、综合治理”和 “谁主管，谁负责”的原则进行安全生产管理，做到生产与安全工作同时计划、布置、检查、总结。</w:t>
      </w:r>
    </w:p>
    <w:p>
      <w:pPr>
        <w:widowControl/>
        <w:spacing w:line="400" w:lineRule="exact"/>
        <w:ind w:firstLine="420" w:firstLineChars="200"/>
        <w:jc w:val="left"/>
        <w:rPr>
          <w:rFonts w:ascii="宋体" w:hAnsi="宋体"/>
          <w:bCs/>
          <w:szCs w:val="21"/>
        </w:rPr>
      </w:pPr>
      <w:r>
        <w:rPr>
          <w:rFonts w:hint="eastAsia" w:ascii="宋体" w:hAnsi="宋体"/>
          <w:bCs/>
          <w:szCs w:val="21"/>
        </w:rPr>
        <w:t>3、监督乙方安全生产费用的提取和使用。</w:t>
      </w:r>
    </w:p>
    <w:p>
      <w:pPr>
        <w:widowControl/>
        <w:spacing w:line="400" w:lineRule="exact"/>
        <w:ind w:firstLine="420" w:firstLineChars="200"/>
        <w:jc w:val="left"/>
        <w:rPr>
          <w:rFonts w:ascii="宋体" w:hAnsi="宋体"/>
          <w:bCs/>
          <w:szCs w:val="21"/>
        </w:rPr>
      </w:pPr>
      <w:r>
        <w:rPr>
          <w:rFonts w:hint="eastAsia" w:ascii="宋体" w:hAnsi="宋体"/>
          <w:bCs/>
          <w:szCs w:val="21"/>
        </w:rPr>
        <w:t>4、定期召开安全生产会议，及时传达有关安全生产的精神，协调解决乙方安全生产过程中出现的有关问题。</w:t>
      </w:r>
    </w:p>
    <w:p>
      <w:pPr>
        <w:widowControl/>
        <w:spacing w:line="400" w:lineRule="exact"/>
        <w:ind w:firstLine="420" w:firstLineChars="200"/>
        <w:jc w:val="left"/>
        <w:rPr>
          <w:rFonts w:ascii="宋体" w:hAnsi="宋体"/>
          <w:bCs/>
          <w:szCs w:val="21"/>
        </w:rPr>
      </w:pPr>
      <w:r>
        <w:rPr>
          <w:rFonts w:hint="eastAsia" w:ascii="宋体" w:hAnsi="宋体"/>
          <w:bCs/>
          <w:szCs w:val="21"/>
        </w:rPr>
        <w:t>5、在施工前组织对乙方管理人员进行有关高速公路施工作业的安全知识教育培训和安全技术交底，监督检查乙方对其作业人员的安全教育培训和安全技术交底工作，审核乙方进场人员有关资格。</w:t>
      </w:r>
    </w:p>
    <w:p>
      <w:pPr>
        <w:widowControl/>
        <w:spacing w:line="400" w:lineRule="exact"/>
        <w:ind w:firstLine="420" w:firstLineChars="200"/>
        <w:jc w:val="left"/>
        <w:rPr>
          <w:rFonts w:ascii="宋体" w:hAnsi="宋体"/>
          <w:bCs/>
          <w:szCs w:val="21"/>
        </w:rPr>
      </w:pPr>
      <w:r>
        <w:rPr>
          <w:rFonts w:hint="eastAsia" w:ascii="宋体" w:hAnsi="宋体"/>
          <w:bCs/>
          <w:szCs w:val="21"/>
        </w:rPr>
        <w:t>6、不定期组织人员对乙方安全生产行为、安全措施落实情况进行检查，监督乙方及时处理和整改发现的各种安全隐患，督促各项安全措施落到实处。</w:t>
      </w:r>
    </w:p>
    <w:p>
      <w:pPr>
        <w:widowControl/>
        <w:spacing w:line="400" w:lineRule="exact"/>
        <w:ind w:firstLine="420" w:firstLineChars="200"/>
        <w:jc w:val="left"/>
        <w:rPr>
          <w:rFonts w:ascii="宋体" w:hAnsi="宋体"/>
          <w:bCs/>
          <w:szCs w:val="21"/>
        </w:rPr>
      </w:pPr>
      <w:r>
        <w:rPr>
          <w:rFonts w:hint="eastAsia" w:ascii="宋体" w:hAnsi="宋体"/>
          <w:bCs/>
          <w:szCs w:val="21"/>
        </w:rPr>
        <w:t>7、对乙方违反安全生产的各种违法违纪行为，应予纠正并按照相关规定进行处罚。</w:t>
      </w:r>
    </w:p>
    <w:p>
      <w:pPr>
        <w:widowControl/>
        <w:spacing w:line="400" w:lineRule="exact"/>
        <w:ind w:firstLine="420" w:firstLineChars="200"/>
        <w:jc w:val="left"/>
        <w:rPr>
          <w:rFonts w:ascii="宋体" w:hAnsi="宋体"/>
          <w:bCs/>
          <w:szCs w:val="21"/>
        </w:rPr>
      </w:pPr>
      <w:r>
        <w:rPr>
          <w:rFonts w:hint="eastAsia" w:ascii="宋体" w:hAnsi="宋体"/>
          <w:bCs/>
          <w:szCs w:val="21"/>
        </w:rPr>
        <w:t>五、乙方职责</w:t>
      </w:r>
    </w:p>
    <w:p>
      <w:pPr>
        <w:widowControl/>
        <w:spacing w:line="400" w:lineRule="exact"/>
        <w:ind w:firstLine="420" w:firstLineChars="200"/>
        <w:jc w:val="left"/>
        <w:rPr>
          <w:rFonts w:ascii="宋体" w:hAnsi="宋体"/>
          <w:bCs/>
          <w:szCs w:val="21"/>
        </w:rPr>
      </w:pPr>
      <w:r>
        <w:rPr>
          <w:rFonts w:hint="eastAsia" w:ascii="宋体" w:hAnsi="宋体"/>
          <w:bCs/>
          <w:szCs w:val="21"/>
        </w:rPr>
        <w:t>1、严格遵守并贯彻执行国家有关安全生产的法律法规，认真履行安全职责。乙方作为承包方，是施工安全生产的责任主体，在施工过程中所发生的一切安全事故，由乙方承担全部责任。</w:t>
      </w:r>
    </w:p>
    <w:p>
      <w:pPr>
        <w:widowControl/>
        <w:spacing w:line="400" w:lineRule="exact"/>
        <w:ind w:firstLine="420" w:firstLineChars="200"/>
        <w:jc w:val="left"/>
        <w:rPr>
          <w:rFonts w:ascii="宋体" w:hAnsi="宋体"/>
          <w:bCs/>
          <w:szCs w:val="21"/>
        </w:rPr>
      </w:pPr>
      <w:r>
        <w:rPr>
          <w:rFonts w:hint="eastAsia" w:ascii="宋体" w:hAnsi="宋体"/>
          <w:bCs/>
          <w:szCs w:val="21"/>
        </w:rPr>
        <w:t>2、严格执行《公路工程施工安全技术规程》(JTGF90—2015)和《公路养护安全作业规程》(JTGH30—2015)、《营运高速公路施工管理规范DB50∕T 959-2019 》、《公路筑养路机械操作规程》、《养护工程项目安全文明施工管理办法》等有关规定，认真执行工程承包合同以及本合同中的有关安全要求。</w:t>
      </w:r>
    </w:p>
    <w:p>
      <w:pPr>
        <w:widowControl/>
        <w:spacing w:line="400" w:lineRule="exact"/>
        <w:ind w:firstLine="420" w:firstLineChars="200"/>
        <w:jc w:val="left"/>
        <w:rPr>
          <w:rFonts w:ascii="宋体" w:hAnsi="宋体"/>
          <w:bCs/>
          <w:szCs w:val="21"/>
        </w:rPr>
      </w:pPr>
      <w:r>
        <w:rPr>
          <w:rFonts w:hint="eastAsia" w:ascii="宋体" w:hAnsi="宋体"/>
          <w:bCs/>
          <w:szCs w:val="21"/>
        </w:rPr>
        <w:t>3、坚持“以人为本，安全第一，预防为主，综合治理”方针。依照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参建人员，必须熟悉和遵守有关安全规定及本条款的各项规定，做好安全生产工作。</w:t>
      </w:r>
    </w:p>
    <w:p>
      <w:pPr>
        <w:widowControl/>
        <w:spacing w:line="400" w:lineRule="exact"/>
        <w:ind w:firstLine="420" w:firstLineChars="200"/>
        <w:jc w:val="left"/>
        <w:rPr>
          <w:rFonts w:ascii="宋体" w:hAnsi="宋体"/>
          <w:bCs/>
          <w:szCs w:val="21"/>
        </w:rPr>
      </w:pPr>
      <w:r>
        <w:rPr>
          <w:rFonts w:hint="eastAsia" w:ascii="宋体" w:hAnsi="宋体"/>
          <w:bCs/>
          <w:szCs w:val="21"/>
        </w:rPr>
        <w:t>4、建立健全安全生产责任制。安全生产保障体系必须做到纵向到底，横向到边，一环不漏，将安全生产责任制落到每个人或岗位上，做到安全生产人人有责。项目负责人是安全生产的第一责任人。现场应按规定配备安全人员，专门负责施工现场人员、设备、交通标志标牌、交通疏导、治安保卫等安全管理工作，有效防止各种安全事故发生。乙方应服从甲方的安全监督管理。</w:t>
      </w:r>
    </w:p>
    <w:p>
      <w:pPr>
        <w:widowControl/>
        <w:spacing w:line="400" w:lineRule="exact"/>
        <w:ind w:firstLine="420" w:firstLineChars="200"/>
        <w:jc w:val="left"/>
        <w:rPr>
          <w:rFonts w:ascii="宋体" w:hAnsi="宋体"/>
          <w:bCs/>
          <w:szCs w:val="21"/>
        </w:rPr>
      </w:pPr>
      <w:r>
        <w:rPr>
          <w:rFonts w:hint="eastAsia" w:ascii="宋体" w:hAnsi="宋体"/>
          <w:bCs/>
          <w:szCs w:val="21"/>
        </w:rPr>
        <w:t>5、乙方作业人员不得有“三违”行为。因“三违”造成的安全事故，由乙方承担一切责任和经济损失。</w:t>
      </w:r>
    </w:p>
    <w:p>
      <w:pPr>
        <w:widowControl/>
        <w:spacing w:line="400" w:lineRule="exact"/>
        <w:ind w:firstLine="420" w:firstLineChars="200"/>
        <w:jc w:val="left"/>
        <w:rPr>
          <w:rFonts w:ascii="宋体" w:hAnsi="宋体"/>
          <w:bCs/>
          <w:szCs w:val="21"/>
        </w:rPr>
      </w:pPr>
      <w:r>
        <w:rPr>
          <w:rFonts w:hint="eastAsia" w:ascii="宋体" w:hAnsi="宋体"/>
          <w:bCs/>
          <w:szCs w:val="21"/>
        </w:rPr>
        <w:t>6、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widowControl/>
        <w:spacing w:line="400" w:lineRule="exact"/>
        <w:ind w:firstLine="420" w:firstLineChars="200"/>
        <w:jc w:val="left"/>
        <w:rPr>
          <w:rFonts w:ascii="宋体" w:hAnsi="宋体"/>
          <w:bCs/>
          <w:szCs w:val="21"/>
        </w:rPr>
      </w:pPr>
      <w:r>
        <w:rPr>
          <w:rFonts w:hint="eastAsia" w:ascii="宋体" w:hAnsi="宋体"/>
          <w:bCs/>
          <w:szCs w:val="21"/>
        </w:rPr>
        <w:t>7、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w:t>
      </w:r>
    </w:p>
    <w:p>
      <w:pPr>
        <w:widowControl/>
        <w:spacing w:line="400" w:lineRule="exact"/>
        <w:ind w:firstLine="420" w:firstLineChars="200"/>
        <w:jc w:val="left"/>
        <w:rPr>
          <w:rFonts w:ascii="宋体" w:hAnsi="宋体"/>
          <w:bCs/>
          <w:szCs w:val="21"/>
        </w:rPr>
      </w:pPr>
      <w:r>
        <w:rPr>
          <w:rFonts w:hint="eastAsia" w:ascii="宋体" w:hAnsi="宋体"/>
          <w:bCs/>
          <w:szCs w:val="21"/>
        </w:rPr>
        <w:t>8、所有施工机具设备和高空作业的设备均应定期检查，施工车辆必须符合《道路安全法》、《车辆安全技术规定》等规定，并有管理人员的检查签字记录，保证其始终处于完好状态。不合格的机具、设备严禁使用。因违反相关规定和要求，所造成的安全事故，由乙方承担一切责任和经济损失。</w:t>
      </w:r>
    </w:p>
    <w:p>
      <w:pPr>
        <w:widowControl/>
        <w:spacing w:line="400" w:lineRule="exact"/>
        <w:ind w:firstLine="420" w:firstLineChars="200"/>
        <w:jc w:val="left"/>
        <w:rPr>
          <w:rFonts w:ascii="宋体" w:hAnsi="宋体"/>
          <w:bCs/>
          <w:szCs w:val="21"/>
        </w:rPr>
      </w:pPr>
      <w:r>
        <w:rPr>
          <w:rFonts w:hint="eastAsia" w:ascii="宋体" w:hAnsi="宋体"/>
          <w:bCs/>
          <w:szCs w:val="21"/>
        </w:rPr>
        <w:t>9、施工中采用新技术、新工艺、新设备、新材料时，必须执行落实相应的安全技术措施。</w:t>
      </w:r>
    </w:p>
    <w:p>
      <w:pPr>
        <w:widowControl/>
        <w:spacing w:line="400" w:lineRule="exact"/>
        <w:ind w:firstLine="420" w:firstLineChars="200"/>
        <w:jc w:val="left"/>
        <w:rPr>
          <w:rFonts w:ascii="宋体" w:hAnsi="宋体"/>
          <w:bCs/>
          <w:szCs w:val="21"/>
        </w:rPr>
      </w:pPr>
      <w:r>
        <w:rPr>
          <w:rFonts w:hint="eastAsia" w:ascii="宋体" w:hAnsi="宋体"/>
          <w:bCs/>
          <w:szCs w:val="21"/>
        </w:rPr>
        <w:t>10、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widowControl/>
        <w:spacing w:line="400" w:lineRule="exact"/>
        <w:ind w:firstLine="420" w:firstLineChars="200"/>
        <w:jc w:val="left"/>
        <w:rPr>
          <w:rFonts w:ascii="宋体" w:hAnsi="宋体"/>
          <w:bCs/>
          <w:szCs w:val="21"/>
        </w:rPr>
      </w:pPr>
      <w:r>
        <w:rPr>
          <w:rFonts w:hint="eastAsia" w:ascii="宋体" w:hAnsi="宋体"/>
          <w:bCs/>
          <w:szCs w:val="21"/>
        </w:rPr>
        <w:t>11、乙方如在工作中发生的上路作业人员伤、亡事故，或违反安全施工，野蛮操作等造成的人员伤亡和车辆财产损失均由乙方自行承担全部法律责任和经济责任，甲方概不负责。</w:t>
      </w:r>
    </w:p>
    <w:p>
      <w:pPr>
        <w:widowControl/>
        <w:spacing w:line="400" w:lineRule="exact"/>
        <w:ind w:firstLine="420" w:firstLineChars="200"/>
        <w:jc w:val="left"/>
        <w:rPr>
          <w:rFonts w:ascii="宋体" w:hAnsi="宋体"/>
          <w:bCs/>
          <w:szCs w:val="21"/>
        </w:rPr>
      </w:pPr>
      <w:r>
        <w:rPr>
          <w:rFonts w:hint="eastAsia" w:ascii="宋体" w:hAnsi="宋体"/>
          <w:bCs/>
          <w:szCs w:val="21"/>
        </w:rPr>
        <w:t>12、乙方必须严格执行本工程实施中的生产安全事故应急救援预案；如果发生安全事故，应按照《生产安全事故报告和调查处理条例》以及其他有关规定，及时上报有关部门。</w:t>
      </w:r>
    </w:p>
    <w:p>
      <w:pPr>
        <w:widowControl/>
        <w:spacing w:line="400" w:lineRule="exact"/>
        <w:ind w:firstLine="420" w:firstLineChars="200"/>
        <w:jc w:val="left"/>
        <w:rPr>
          <w:rFonts w:ascii="宋体" w:hAnsi="宋体"/>
          <w:bCs/>
          <w:szCs w:val="21"/>
        </w:rPr>
      </w:pPr>
      <w:r>
        <w:rPr>
          <w:rFonts w:hint="eastAsia" w:ascii="宋体" w:hAnsi="宋体"/>
          <w:bCs/>
          <w:szCs w:val="21"/>
        </w:rPr>
        <w:t>六、违约责任</w:t>
      </w:r>
    </w:p>
    <w:p>
      <w:pPr>
        <w:widowControl/>
        <w:spacing w:line="400" w:lineRule="exact"/>
        <w:ind w:firstLine="420" w:firstLineChars="200"/>
        <w:jc w:val="left"/>
        <w:rPr>
          <w:rFonts w:ascii="宋体" w:hAnsi="宋体"/>
          <w:bCs/>
          <w:szCs w:val="21"/>
        </w:rPr>
      </w:pPr>
      <w:r>
        <w:rPr>
          <w:rFonts w:hint="eastAsia" w:ascii="宋体" w:hAnsi="宋体"/>
          <w:bCs/>
          <w:szCs w:val="21"/>
        </w:rPr>
        <w:t>1、本合同有效期内，如乙方违约，甲方依据有关条款对乙方给予违约处罚；因乙方原因造成安全事故的，由乙方承担全部责任。</w:t>
      </w:r>
    </w:p>
    <w:p>
      <w:pPr>
        <w:widowControl/>
        <w:spacing w:line="400" w:lineRule="exact"/>
        <w:ind w:firstLine="420" w:firstLineChars="200"/>
        <w:jc w:val="left"/>
        <w:rPr>
          <w:rFonts w:ascii="宋体" w:hAnsi="宋体"/>
          <w:bCs/>
          <w:szCs w:val="21"/>
        </w:rPr>
      </w:pPr>
      <w:r>
        <w:rPr>
          <w:rFonts w:hint="eastAsia" w:ascii="宋体" w:hAnsi="宋体"/>
          <w:bCs/>
          <w:szCs w:val="21"/>
        </w:rPr>
        <w:t>2、本合同有效期内，如因乙方或乙方工作人员过错给甲方造成损失，由乙方负责向甲方赔偿，甲方有权直接从乙方工程款中将相关损失赔偿款进行抵扣。</w:t>
      </w:r>
    </w:p>
    <w:p>
      <w:pPr>
        <w:widowControl/>
        <w:spacing w:line="400" w:lineRule="exact"/>
        <w:ind w:firstLine="420" w:firstLineChars="200"/>
        <w:jc w:val="left"/>
        <w:rPr>
          <w:rFonts w:ascii="宋体" w:hAnsi="宋体"/>
          <w:bCs/>
          <w:szCs w:val="21"/>
        </w:rPr>
      </w:pPr>
      <w:r>
        <w:rPr>
          <w:rFonts w:hint="eastAsia" w:ascii="宋体" w:hAnsi="宋体"/>
          <w:bCs/>
          <w:szCs w:val="21"/>
        </w:rPr>
        <w:t>3、如因甲方或乙方违约造成安全事故，将依法按照国家有关法律法规进行处理。</w:t>
      </w:r>
    </w:p>
    <w:p>
      <w:pPr>
        <w:widowControl/>
        <w:spacing w:line="400" w:lineRule="exact"/>
        <w:ind w:firstLine="420" w:firstLineChars="200"/>
        <w:jc w:val="left"/>
        <w:rPr>
          <w:rFonts w:ascii="宋体" w:hAnsi="宋体"/>
          <w:bCs/>
          <w:szCs w:val="21"/>
        </w:rPr>
      </w:pPr>
      <w:r>
        <w:rPr>
          <w:rFonts w:hint="eastAsia" w:ascii="宋体" w:hAnsi="宋体"/>
          <w:bCs/>
          <w:szCs w:val="21"/>
        </w:rPr>
        <w:t>七、本合同作为</w:t>
      </w:r>
      <w:r>
        <w:rPr>
          <w:rFonts w:hint="eastAsia" w:ascii="宋体" w:hAnsi="宋体"/>
          <w:b/>
          <w:szCs w:val="21"/>
        </w:rPr>
        <w:t>《</w:t>
      </w:r>
      <w:sdt>
        <w:sdtPr>
          <w:rPr>
            <w:b/>
            <w:sz w:val="36"/>
            <w:szCs w:val="36"/>
          </w:rPr>
          <w:id w:val="630883661"/>
          <w:placeholder>
            <w:docPart w:val="9960FD292E934E99B220428E241498E6"/>
          </w:placeholder>
        </w:sdtPr>
        <w:sdtEndPr>
          <w:rPr>
            <w:rFonts w:ascii="宋体" w:hAnsi="宋体" w:cs="宋体"/>
            <w:b/>
            <w:sz w:val="48"/>
            <w:szCs w:val="48"/>
          </w:rPr>
        </w:sdtEndPr>
        <w:sdtContent>
          <w:r>
            <w:rPr>
              <w:rFonts w:hint="eastAsia" w:ascii="宋体" w:hAnsi="宋体"/>
              <w:bCs/>
              <w:szCs w:val="21"/>
            </w:rPr>
            <w:t>重庆市江津区支坪下道口扩建工程水泥稳定碎石混合料外协加工、运输合同</w:t>
          </w:r>
        </w:sdtContent>
      </w:sdt>
      <w:r>
        <w:rPr>
          <w:rFonts w:hint="eastAsia" w:ascii="宋体" w:hAnsi="宋体"/>
          <w:b/>
          <w:szCs w:val="21"/>
        </w:rPr>
        <w:t>》</w:t>
      </w:r>
      <w:r>
        <w:rPr>
          <w:rFonts w:hint="eastAsia" w:ascii="宋体" w:hAnsi="宋体"/>
          <w:bCs/>
          <w:szCs w:val="21"/>
        </w:rPr>
        <w:t>的附件，与工程施工合同具有同等的法律效力。</w:t>
      </w:r>
    </w:p>
    <w:p>
      <w:pPr>
        <w:widowControl/>
        <w:spacing w:line="400" w:lineRule="exact"/>
        <w:ind w:firstLine="420" w:firstLineChars="200"/>
        <w:jc w:val="left"/>
        <w:rPr>
          <w:rFonts w:ascii="宋体" w:hAnsi="宋体"/>
          <w:bCs/>
          <w:szCs w:val="21"/>
        </w:rPr>
      </w:pPr>
      <w:r>
        <w:rPr>
          <w:rFonts w:hint="eastAsia" w:ascii="宋体" w:hAnsi="宋体"/>
          <w:bCs/>
          <w:szCs w:val="21"/>
        </w:rPr>
        <w:t>八、合同签约地：重庆市沙坪坝区梨高路沙坪坝区档案馆旁重庆市公路养护管理段三楼。</w:t>
      </w:r>
    </w:p>
    <w:p>
      <w:pPr>
        <w:widowControl/>
        <w:spacing w:line="400" w:lineRule="exact"/>
        <w:ind w:firstLine="420" w:firstLineChars="200"/>
        <w:jc w:val="left"/>
        <w:rPr>
          <w:rFonts w:ascii="宋体" w:hAnsi="宋体"/>
          <w:bCs/>
          <w:szCs w:val="21"/>
        </w:rPr>
      </w:pPr>
      <w:r>
        <w:rPr>
          <w:rFonts w:hint="eastAsia" w:ascii="宋体" w:hAnsi="宋体"/>
          <w:bCs/>
          <w:szCs w:val="21"/>
        </w:rPr>
        <w:t>九、本合同一式</w:t>
      </w:r>
      <w:r>
        <w:rPr>
          <w:rFonts w:hint="eastAsia" w:ascii="宋体" w:hAnsi="宋体"/>
          <w:bCs/>
          <w:szCs w:val="21"/>
          <w:u w:val="single"/>
        </w:rPr>
        <w:t xml:space="preserve"> 捌 </w:t>
      </w:r>
      <w:r>
        <w:rPr>
          <w:rFonts w:hint="eastAsia" w:ascii="宋体" w:hAnsi="宋体"/>
          <w:bCs/>
          <w:szCs w:val="21"/>
        </w:rPr>
        <w:t>份，甲方执 肆 份，乙方执</w:t>
      </w:r>
      <w:r>
        <w:rPr>
          <w:rFonts w:hint="eastAsia" w:ascii="宋体" w:hAnsi="宋体"/>
          <w:bCs/>
          <w:szCs w:val="21"/>
          <w:u w:val="single"/>
        </w:rPr>
        <w:t xml:space="preserve"> 肆 </w:t>
      </w:r>
      <w:r>
        <w:rPr>
          <w:rFonts w:hint="eastAsia" w:ascii="宋体" w:hAnsi="宋体"/>
          <w:bCs/>
          <w:szCs w:val="21"/>
        </w:rPr>
        <w:t>份；由双方法定代表人或其授权代表签署与加盖公章后生效，全部工程竣工验收后终止。</w:t>
      </w:r>
    </w:p>
    <w:p>
      <w:pPr>
        <w:spacing w:line="360" w:lineRule="auto"/>
        <w:rPr>
          <w:rFonts w:ascii="宋体" w:hAnsi="宋体"/>
          <w:szCs w:val="21"/>
        </w:rPr>
      </w:pPr>
      <w:r>
        <w:rPr>
          <w:rFonts w:hint="eastAsia" w:ascii="宋体" w:hAnsi="宋体"/>
          <w:szCs w:val="21"/>
        </w:rPr>
        <w:t>甲方（委托方）：                               乙方（受托方）：</w:t>
      </w:r>
    </w:p>
    <w:p>
      <w:pPr>
        <w:spacing w:line="360" w:lineRule="auto"/>
        <w:jc w:val="left"/>
        <w:rPr>
          <w:rFonts w:ascii="宋体" w:hAnsi="宋体"/>
          <w:szCs w:val="21"/>
        </w:rPr>
      </w:pPr>
      <w:r>
        <w:rPr>
          <w:rFonts w:hint="eastAsia" w:ascii="宋体" w:hAnsi="宋体"/>
          <w:szCs w:val="21"/>
        </w:rPr>
        <w:t xml:space="preserve">重庆通力高速公路养护工程有限公司              </w:t>
      </w:r>
    </w:p>
    <w:p>
      <w:pPr>
        <w:pStyle w:val="6"/>
        <w:adjustRightInd w:val="0"/>
        <w:snapToGrid w:val="0"/>
        <w:spacing w:line="360" w:lineRule="auto"/>
        <w:rPr>
          <w:rFonts w:hAnsi="宋体"/>
        </w:rPr>
      </w:pPr>
      <w:r>
        <w:rPr>
          <w:rFonts w:hint="eastAsia" w:hAnsi="宋体"/>
        </w:rPr>
        <w:t>法定代表人                         法定代表人</w:t>
      </w:r>
    </w:p>
    <w:p>
      <w:pPr>
        <w:pStyle w:val="6"/>
        <w:adjustRightInd w:val="0"/>
        <w:snapToGrid w:val="0"/>
        <w:spacing w:line="360" w:lineRule="auto"/>
        <w:rPr>
          <w:rFonts w:hAnsi="宋体"/>
        </w:rPr>
      </w:pPr>
      <w:r>
        <w:rPr>
          <w:rFonts w:hint="eastAsia" w:hAnsi="宋体"/>
        </w:rPr>
        <w:t>或授权代理人：                     或授权代理人：</w:t>
      </w:r>
    </w:p>
    <w:p>
      <w:pPr>
        <w:pStyle w:val="6"/>
        <w:tabs>
          <w:tab w:val="left" w:pos="5220"/>
        </w:tabs>
        <w:spacing w:line="360" w:lineRule="auto"/>
        <w:rPr>
          <w:rFonts w:hAnsi="宋体"/>
        </w:rPr>
      </w:pPr>
      <w:r>
        <w:rPr>
          <w:rFonts w:hint="eastAsia" w:hAnsi="宋体"/>
        </w:rPr>
        <w:t xml:space="preserve">部门负责人：                        </w:t>
      </w:r>
    </w:p>
    <w:p>
      <w:pPr>
        <w:pStyle w:val="6"/>
        <w:tabs>
          <w:tab w:val="left" w:pos="5220"/>
        </w:tabs>
        <w:spacing w:line="360" w:lineRule="auto"/>
        <w:rPr>
          <w:rFonts w:hAnsi="宋体"/>
        </w:rPr>
      </w:pPr>
      <w:r>
        <w:rPr>
          <w:rFonts w:hint="eastAsia" w:hAnsi="宋体"/>
        </w:rPr>
        <w:t>经办人：                           经办人：</w:t>
      </w:r>
    </w:p>
    <w:p>
      <w:pPr>
        <w:spacing w:line="360" w:lineRule="auto"/>
        <w:rPr>
          <w:rFonts w:ascii="宋体" w:hAnsi="宋体"/>
          <w:szCs w:val="21"/>
        </w:rPr>
      </w:pPr>
      <w:r>
        <w:rPr>
          <w:rFonts w:hint="eastAsia" w:ascii="宋体" w:hAnsi="宋体"/>
          <w:szCs w:val="21"/>
        </w:rPr>
        <w:t>日 期：                                       日  期：</w:t>
      </w:r>
    </w:p>
    <w:p>
      <w:pPr>
        <w:spacing w:line="360" w:lineRule="auto"/>
        <w:jc w:val="center"/>
        <w:rPr>
          <w:b/>
          <w:sz w:val="36"/>
          <w:szCs w:val="22"/>
        </w:rPr>
      </w:pPr>
      <w:r>
        <w:rPr>
          <w:rFonts w:hint="eastAsia"/>
          <w:b/>
          <w:sz w:val="36"/>
          <w:szCs w:val="22"/>
        </w:rPr>
        <w:t>重庆市江津区支坪下道口扩建工程水泥稳定碎石       混合料外协加工、运输合同</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sz w:val="24"/>
          <w:szCs w:val="22"/>
        </w:rPr>
        <w:t>《重庆通力高速公路养护工程有限公司重庆市江津区支坪下道口水泥稳定碎石很合料外协加工、运输合同》</w:t>
      </w:r>
      <w:r>
        <w:rPr>
          <w:rFonts w:hint="eastAsia"/>
          <w:sz w:val="24"/>
        </w:rPr>
        <w:t>的相关条款，自觉按合同办事。</w:t>
      </w:r>
    </w:p>
    <w:p>
      <w:pPr>
        <w:spacing w:line="360" w:lineRule="auto"/>
        <w:ind w:firstLine="480" w:firstLineChars="200"/>
        <w:rPr>
          <w:sz w:val="24"/>
        </w:rPr>
      </w:pPr>
      <w:r>
        <w:rPr>
          <w:rFonts w:hint="eastAsia"/>
          <w:sz w:val="24"/>
        </w:rPr>
        <w:t>3、</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同作为《重庆通力高速公路养护工程有限公司重庆市江津区支坪下道口水泥稳定碎石混合料外协加工、运输合同》的附件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rPr>
        <w:t>陆</w:t>
      </w:r>
      <w:r>
        <w:rPr>
          <w:rFonts w:hint="eastAsia" w:ascii="宋体"/>
          <w:sz w:val="24"/>
        </w:rPr>
        <w:t>份，甲方执</w:t>
      </w:r>
      <w:r>
        <w:rPr>
          <w:rFonts w:hint="eastAsia" w:ascii="宋体"/>
          <w:b/>
          <w:color w:val="FF0000"/>
          <w:sz w:val="24"/>
          <w:u w:val="single"/>
        </w:rPr>
        <w:t>肆</w:t>
      </w:r>
      <w:r>
        <w:rPr>
          <w:rFonts w:hint="eastAsia" w:ascii="宋体"/>
          <w:sz w:val="24"/>
        </w:rPr>
        <w:t>份，乙方执</w:t>
      </w:r>
      <w:r>
        <w:rPr>
          <w:rFonts w:hint="eastAsia" w:ascii="宋体"/>
          <w:b/>
          <w:color w:val="FF0000"/>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
      <w:pPr>
        <w:spacing w:line="360" w:lineRule="exact"/>
        <w:rPr>
          <w:szCs w:val="21"/>
        </w:rPr>
      </w:pPr>
    </w:p>
    <w:p>
      <w:pPr>
        <w:spacing w:line="360" w:lineRule="exact"/>
        <w:rPr>
          <w:szCs w:val="21"/>
        </w:rPr>
      </w:pPr>
    </w:p>
    <w:p>
      <w:pPr>
        <w:pStyle w:val="17"/>
        <w:adjustRightInd/>
        <w:spacing w:line="360" w:lineRule="exact"/>
        <w:jc w:val="both"/>
        <w:rPr>
          <w:color w:val="auto"/>
          <w:sz w:val="21"/>
          <w:szCs w:val="21"/>
        </w:rPr>
      </w:pPr>
    </w:p>
    <w:p>
      <w:pPr>
        <w:spacing w:line="360" w:lineRule="auto"/>
        <w:ind w:left="2036" w:hanging="2036" w:hangingChars="845"/>
        <w:jc w:val="center"/>
        <w:rPr>
          <w:b/>
          <w:sz w:val="32"/>
          <w:szCs w:val="32"/>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rPr>
        <w:t>协作（分包）单位安全生产考核办法</w:t>
      </w:r>
    </w:p>
    <w:p>
      <w:pPr>
        <w:widowControl/>
        <w:spacing w:line="420" w:lineRule="exact"/>
        <w:ind w:firstLine="360" w:firstLineChars="150"/>
        <w:jc w:val="left"/>
        <w:rPr>
          <w:sz w:val="24"/>
          <w:szCs w:val="24"/>
        </w:rPr>
      </w:pPr>
    </w:p>
    <w:p>
      <w:pPr>
        <w:widowControl/>
        <w:spacing w:line="420" w:lineRule="exact"/>
        <w:ind w:firstLine="480" w:firstLineChars="200"/>
        <w:jc w:val="left"/>
        <w:rPr>
          <w:sz w:val="24"/>
        </w:rPr>
      </w:pPr>
      <w:r>
        <w:rPr>
          <w:rFonts w:hint="eastAsia"/>
          <w:sz w:val="24"/>
          <w:szCs w:val="24"/>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rPr>
        <w:t xml:space="preserve">一、适用范围 </w:t>
      </w:r>
    </w:p>
    <w:p>
      <w:pPr>
        <w:widowControl/>
        <w:spacing w:line="420" w:lineRule="exact"/>
        <w:ind w:firstLine="360" w:firstLineChars="150"/>
        <w:jc w:val="left"/>
        <w:rPr>
          <w:sz w:val="24"/>
        </w:rPr>
      </w:pPr>
      <w:r>
        <w:rPr>
          <w:rFonts w:hint="eastAsia"/>
          <w:sz w:val="24"/>
          <w:szCs w:val="24"/>
        </w:rPr>
        <w:t xml:space="preserve">本考核办法适用于通力高速公路养护工程有限公司对各路段养护协作（分包）单位实施安全生产考核工作，从本考核办法实行之日起，《项目施工现场安全文明施工管理办法（试行）》（通力高司[2010]13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rPr>
      </w:pPr>
      <w:r>
        <w:rPr>
          <w:rFonts w:hint="eastAsia"/>
          <w:b/>
          <w:sz w:val="24"/>
          <w:szCs w:val="24"/>
        </w:rPr>
        <w:t xml:space="preserve">二、 考核依据 </w:t>
      </w:r>
    </w:p>
    <w:p>
      <w:pPr>
        <w:widowControl/>
        <w:spacing w:line="420" w:lineRule="exact"/>
        <w:ind w:firstLine="360" w:firstLineChars="150"/>
        <w:jc w:val="left"/>
        <w:rPr>
          <w:sz w:val="24"/>
        </w:rPr>
      </w:pPr>
      <w:r>
        <w:rPr>
          <w:rFonts w:hint="eastAsia"/>
          <w:sz w:val="24"/>
          <w:szCs w:val="24"/>
        </w:rPr>
        <w:t xml:space="preserve">（一）国家和行业现行的有关高速公路养护工程生产安全法律法规、部门规章和规范性文件； </w:t>
      </w:r>
    </w:p>
    <w:p>
      <w:pPr>
        <w:widowControl/>
        <w:spacing w:line="420" w:lineRule="exact"/>
        <w:ind w:firstLine="360" w:firstLineChars="150"/>
        <w:jc w:val="left"/>
        <w:rPr>
          <w:sz w:val="24"/>
        </w:rPr>
      </w:pPr>
      <w:r>
        <w:rPr>
          <w:rFonts w:hint="eastAsia"/>
          <w:sz w:val="24"/>
          <w:szCs w:val="24"/>
        </w:rPr>
        <w:t xml:space="preserve">（二）行业标准、规范、规程、强制性条文； </w:t>
      </w:r>
    </w:p>
    <w:p>
      <w:pPr>
        <w:widowControl/>
        <w:spacing w:line="420" w:lineRule="exact"/>
        <w:ind w:firstLine="360" w:firstLineChars="150"/>
        <w:jc w:val="left"/>
        <w:rPr>
          <w:sz w:val="24"/>
        </w:rPr>
      </w:pPr>
      <w:r>
        <w:rPr>
          <w:rFonts w:hint="eastAsia"/>
          <w:sz w:val="24"/>
          <w:szCs w:val="24"/>
        </w:rPr>
        <w:t xml:space="preserve">（三）地方性管理条例、办法； </w:t>
      </w:r>
    </w:p>
    <w:p>
      <w:pPr>
        <w:widowControl/>
        <w:spacing w:line="420" w:lineRule="exact"/>
        <w:ind w:firstLine="360" w:firstLineChars="150"/>
        <w:jc w:val="left"/>
        <w:rPr>
          <w:sz w:val="24"/>
        </w:rPr>
      </w:pPr>
      <w:r>
        <w:rPr>
          <w:rFonts w:hint="eastAsia"/>
          <w:sz w:val="24"/>
          <w:szCs w:val="24"/>
        </w:rPr>
        <w:t xml:space="preserve">（四）设计文件、合同文件及相关管理办法。 </w:t>
      </w:r>
    </w:p>
    <w:p>
      <w:pPr>
        <w:widowControl/>
        <w:spacing w:line="420" w:lineRule="exact"/>
        <w:ind w:firstLine="723" w:firstLineChars="300"/>
        <w:jc w:val="left"/>
        <w:rPr>
          <w:b/>
          <w:sz w:val="24"/>
        </w:rPr>
      </w:pPr>
      <w:r>
        <w:rPr>
          <w:rFonts w:hint="eastAsia"/>
          <w:b/>
          <w:sz w:val="24"/>
          <w:szCs w:val="24"/>
        </w:rPr>
        <w:t xml:space="preserve">三、考核责任部门 </w:t>
      </w:r>
    </w:p>
    <w:p>
      <w:pPr>
        <w:widowControl/>
        <w:ind w:firstLine="480" w:firstLineChars="200"/>
        <w:jc w:val="left"/>
        <w:rPr>
          <w:rFonts w:ascii="宋体" w:hAnsi="宋体" w:cs="宋体"/>
          <w:color w:val="000000"/>
          <w:kern w:val="0"/>
          <w:sz w:val="32"/>
          <w:szCs w:val="32"/>
        </w:rPr>
      </w:pPr>
      <w:r>
        <w:rPr>
          <w:rFonts w:hint="eastAsia"/>
          <w:sz w:val="24"/>
          <w:szCs w:val="24"/>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rPr>
      </w:pPr>
      <w:r>
        <w:rPr>
          <w:rFonts w:hint="eastAsia"/>
          <w:b/>
          <w:sz w:val="24"/>
          <w:szCs w:val="24"/>
        </w:rPr>
        <w:t xml:space="preserve">四、考核对象 </w:t>
      </w:r>
    </w:p>
    <w:p>
      <w:pPr>
        <w:widowControl/>
        <w:ind w:firstLine="480" w:firstLineChars="200"/>
        <w:jc w:val="left"/>
      </w:pPr>
      <w:r>
        <w:rPr>
          <w:rFonts w:hint="eastAsia"/>
          <w:sz w:val="24"/>
          <w:szCs w:val="24"/>
        </w:rPr>
        <w:t>各路段养护维护日常、专项工程协作（分包）单位为考核对象。</w:t>
      </w:r>
    </w:p>
    <w:p>
      <w:pPr>
        <w:widowControl/>
        <w:spacing w:line="420" w:lineRule="exact"/>
        <w:ind w:firstLine="723" w:firstLineChars="300"/>
        <w:jc w:val="left"/>
        <w:rPr>
          <w:b/>
          <w:sz w:val="24"/>
        </w:rPr>
      </w:pPr>
      <w:r>
        <w:rPr>
          <w:rFonts w:hint="eastAsia"/>
          <w:b/>
          <w:sz w:val="24"/>
          <w:szCs w:val="24"/>
        </w:rPr>
        <w:t xml:space="preserve">五、考核工作程序 </w:t>
      </w:r>
    </w:p>
    <w:p>
      <w:pPr>
        <w:widowControl/>
        <w:spacing w:line="420" w:lineRule="exact"/>
        <w:ind w:firstLine="723" w:firstLineChars="300"/>
        <w:jc w:val="left"/>
        <w:rPr>
          <w:b/>
          <w:sz w:val="24"/>
        </w:rPr>
      </w:pPr>
      <w:r>
        <w:rPr>
          <w:rFonts w:hint="eastAsia"/>
          <w:b/>
          <w:sz w:val="24"/>
          <w:szCs w:val="24"/>
        </w:rPr>
        <w:t xml:space="preserve">（一）开展安全检查 </w:t>
      </w:r>
    </w:p>
    <w:p>
      <w:pPr>
        <w:widowControl/>
        <w:ind w:firstLine="480" w:firstLineChars="200"/>
        <w:jc w:val="left"/>
        <w:rPr>
          <w:sz w:val="24"/>
        </w:rPr>
      </w:pPr>
      <w:r>
        <w:rPr>
          <w:rFonts w:hint="eastAsia"/>
          <w:sz w:val="24"/>
          <w:szCs w:val="24"/>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ind w:firstLine="480" w:firstLineChars="200"/>
        <w:jc w:val="left"/>
        <w:rPr>
          <w:sz w:val="24"/>
        </w:rPr>
      </w:pPr>
      <w:r>
        <w:rPr>
          <w:rFonts w:hint="eastAsia"/>
          <w:sz w:val="24"/>
          <w:szCs w:val="24"/>
        </w:rPr>
        <w:t xml:space="preserve">2.安全检查记录中必须留下必要的影像资料，如实填写检查情况，由检查部门、检查对象签字确认。 </w:t>
      </w:r>
    </w:p>
    <w:p>
      <w:pPr>
        <w:widowControl/>
        <w:ind w:firstLine="480" w:firstLineChars="200"/>
        <w:jc w:val="left"/>
        <w:rPr>
          <w:sz w:val="24"/>
        </w:rPr>
      </w:pPr>
      <w:r>
        <w:rPr>
          <w:rFonts w:hint="eastAsia"/>
          <w:sz w:val="24"/>
          <w:szCs w:val="24"/>
        </w:rPr>
        <w:t xml:space="preserve">3.安全管理部门可将检查记录复印件送至业务主管部门实施考核。 </w:t>
      </w:r>
    </w:p>
    <w:p>
      <w:pPr>
        <w:widowControl/>
        <w:spacing w:line="420" w:lineRule="exact"/>
        <w:ind w:firstLine="723" w:firstLineChars="300"/>
        <w:jc w:val="left"/>
        <w:rPr>
          <w:b/>
          <w:sz w:val="24"/>
        </w:rPr>
      </w:pPr>
      <w:r>
        <w:rPr>
          <w:rFonts w:hint="eastAsia"/>
          <w:b/>
          <w:sz w:val="24"/>
          <w:szCs w:val="24"/>
        </w:rPr>
        <w:t xml:space="preserve">（二）发布考核通知 </w:t>
      </w:r>
    </w:p>
    <w:p>
      <w:pPr>
        <w:widowControl/>
        <w:ind w:firstLine="480" w:firstLineChars="200"/>
        <w:jc w:val="left"/>
        <w:rPr>
          <w:sz w:val="24"/>
        </w:rPr>
      </w:pPr>
      <w:r>
        <w:rPr>
          <w:rFonts w:hint="eastAsia"/>
          <w:sz w:val="24"/>
          <w:szCs w:val="24"/>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rPr>
      </w:pPr>
      <w:r>
        <w:rPr>
          <w:rFonts w:hint="eastAsia"/>
          <w:b/>
          <w:sz w:val="24"/>
          <w:szCs w:val="24"/>
        </w:rPr>
        <w:t xml:space="preserve">（三）考核结果反馈 </w:t>
      </w:r>
    </w:p>
    <w:p>
      <w:pPr>
        <w:widowControl/>
        <w:ind w:firstLine="480" w:firstLineChars="200"/>
        <w:jc w:val="left"/>
        <w:rPr>
          <w:sz w:val="24"/>
        </w:rPr>
      </w:pPr>
      <w:r>
        <w:rPr>
          <w:rFonts w:hint="eastAsia"/>
          <w:sz w:val="24"/>
          <w:szCs w:val="24"/>
        </w:rPr>
        <w:t xml:space="preserve">1.协作（分包）单位在规定时限内将安全违规行为、安全生产一般问题及隐患整改落实情况以书面形式回复业务主管部门； </w:t>
      </w:r>
    </w:p>
    <w:p>
      <w:pPr>
        <w:widowControl/>
        <w:ind w:firstLine="480" w:firstLineChars="200"/>
        <w:jc w:val="left"/>
        <w:rPr>
          <w:sz w:val="24"/>
          <w:szCs w:val="24"/>
        </w:rPr>
      </w:pPr>
      <w:r>
        <w:rPr>
          <w:rFonts w:hint="eastAsia"/>
          <w:sz w:val="24"/>
          <w:szCs w:val="24"/>
        </w:rPr>
        <w:t>2.协作（分包）单位根据处罚通知书向公司账户汇入足额罚金，银行回单送至业务主管部门审查。</w:t>
      </w:r>
    </w:p>
    <w:p>
      <w:pPr>
        <w:widowControl/>
        <w:spacing w:line="420" w:lineRule="exact"/>
        <w:ind w:firstLine="723" w:firstLineChars="300"/>
        <w:jc w:val="left"/>
        <w:rPr>
          <w:b/>
          <w:sz w:val="24"/>
        </w:rPr>
      </w:pPr>
      <w:r>
        <w:rPr>
          <w:rFonts w:hint="eastAsia"/>
          <w:b/>
          <w:sz w:val="24"/>
          <w:szCs w:val="24"/>
        </w:rPr>
        <w:t xml:space="preserve">六、考核工作要求 </w:t>
      </w:r>
    </w:p>
    <w:p>
      <w:pPr>
        <w:widowControl/>
        <w:ind w:firstLine="480" w:firstLineChars="200"/>
        <w:jc w:val="left"/>
        <w:rPr>
          <w:sz w:val="24"/>
        </w:rPr>
      </w:pPr>
      <w:r>
        <w:rPr>
          <w:rFonts w:hint="eastAsia"/>
          <w:sz w:val="24"/>
          <w:szCs w:val="24"/>
        </w:rPr>
        <w:t xml:space="preserve">（一）协作（分包）单位安全生产考核工作必须坚持“严肃、科学、客观、公正”的原则，考核人员应自觉遵守各项廉政规定。 </w:t>
      </w:r>
    </w:p>
    <w:p>
      <w:pPr>
        <w:widowControl/>
        <w:ind w:firstLine="480" w:firstLineChars="200"/>
        <w:jc w:val="left"/>
        <w:rPr>
          <w:sz w:val="24"/>
          <w:szCs w:val="24"/>
        </w:rPr>
      </w:pPr>
      <w:r>
        <w:rPr>
          <w:rFonts w:hint="eastAsia"/>
          <w:sz w:val="24"/>
          <w:szCs w:val="24"/>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spacing w:line="420" w:lineRule="exact"/>
        <w:ind w:firstLine="960" w:firstLineChars="3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640" w:firstLineChars="200"/>
        <w:jc w:val="left"/>
        <w:rPr>
          <w:rFonts w:ascii="宋体" w:hAnsi="宋体" w:cs="宋体"/>
          <w:color w:val="000000"/>
          <w:kern w:val="0"/>
          <w:sz w:val="32"/>
          <w:szCs w:val="32"/>
        </w:rPr>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10"/>
                    <a:stretch>
                      <a:fillRect/>
                    </a:stretch>
                  </pic:blipFill>
                  <pic:spPr>
                    <a:xfrm>
                      <a:off x="0" y="0"/>
                      <a:ext cx="6105525" cy="7734300"/>
                    </a:xfrm>
                    <a:prstGeom prst="rect">
                      <a:avLst/>
                    </a:prstGeom>
                  </pic:spPr>
                </pic:pic>
              </a:graphicData>
            </a:graphic>
          </wp:inline>
        </w:drawing>
      </w:r>
    </w:p>
    <w:p/>
    <w:p>
      <w:pPr>
        <w:pStyle w:val="2"/>
      </w:pPr>
    </w:p>
    <w:p>
      <w:pPr>
        <w:spacing w:line="360" w:lineRule="auto"/>
        <w:textAlignment w:val="baseline"/>
        <w:rPr>
          <w:b/>
          <w:sz w:val="36"/>
        </w:rPr>
      </w:pP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lang w:eastAsia="zh-CN"/>
        </w:rPr>
        <w:t>重庆市江津区支坪下道口扩建工程水泥稳定碎石混合料外协加工、运输（第三次）</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7"/>
        <w:rPr>
          <w:color w:val="auto"/>
        </w:rPr>
      </w:pPr>
    </w:p>
    <w:p>
      <w:pPr>
        <w:pStyle w:val="17"/>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szCs w:val="21"/>
        </w:rPr>
      </w:pPr>
      <w:r>
        <w:rPr>
          <w:rFonts w:hint="eastAsia"/>
          <w:szCs w:val="21"/>
        </w:rPr>
        <w:t>三、竞争性比选响应单位有效的资质证书、营业执照、银行开户许可证</w:t>
      </w:r>
    </w:p>
    <w:p>
      <w:pPr>
        <w:tabs>
          <w:tab w:val="left" w:pos="900"/>
          <w:tab w:val="left" w:pos="1080"/>
        </w:tabs>
        <w:spacing w:line="360" w:lineRule="auto"/>
        <w:outlineLvl w:val="0"/>
        <w:rPr>
          <w:szCs w:val="21"/>
        </w:rPr>
      </w:pPr>
      <w:r>
        <w:rPr>
          <w:rFonts w:hint="eastAsia"/>
          <w:szCs w:val="21"/>
          <w:lang w:val="en-US" w:eastAsia="zh-CN"/>
        </w:rPr>
        <w:t>四</w:t>
      </w:r>
      <w:r>
        <w:rPr>
          <w:rFonts w:hint="eastAsia"/>
          <w:szCs w:val="21"/>
        </w:rPr>
        <w:t>、已标价报价清单</w:t>
      </w: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pStyle w:val="17"/>
      </w:pP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pStyle w:val="17"/>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2" w:name="_Toc265510122"/>
      <w:r>
        <w:rPr>
          <w:rFonts w:hint="eastAsia" w:ascii="宋体" w:hAnsi="宋体" w:cs="宋体"/>
          <w:b/>
          <w:sz w:val="28"/>
          <w:szCs w:val="28"/>
        </w:rPr>
        <w:t>一、报价书</w:t>
      </w:r>
      <w:bookmarkEnd w:id="32"/>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b/>
          <w:bCs/>
          <w:szCs w:val="21"/>
          <w:u w:val="single"/>
          <w:lang w:eastAsia="zh-CN"/>
        </w:rPr>
        <w:t>重庆市江津区支坪下道口扩建工程水泥稳定碎石混合料外协加工、运输（第三次）</w:t>
      </w:r>
      <w:r>
        <w:rPr>
          <w:rFonts w:hint="eastAsia"/>
          <w:szCs w:val="21"/>
        </w:rPr>
        <w:t>竞争性比选</w:t>
      </w:r>
      <w:r>
        <w:rPr>
          <w:szCs w:val="21"/>
        </w:rPr>
        <w:t>文件的全部内容，</w:t>
      </w:r>
      <w:r>
        <w:rPr>
          <w:rFonts w:hint="eastAsia"/>
          <w:szCs w:val="21"/>
        </w:rPr>
        <w:t>根据相关取费标准，愿意以总报价</w:t>
      </w:r>
      <w:r>
        <w:rPr>
          <w:rFonts w:hint="eastAsia"/>
          <w:szCs w:val="21"/>
          <w:u w:val="single"/>
          <w:lang w:val="en-US" w:eastAsia="zh-CN"/>
        </w:rPr>
        <w:t xml:space="preserve">     </w:t>
      </w:r>
      <w:r>
        <w:rPr>
          <w:rFonts w:hint="eastAsia"/>
          <w:szCs w:val="21"/>
        </w:rPr>
        <w:t>（大写）</w:t>
      </w:r>
      <w:r>
        <w:rPr>
          <w:rFonts w:hint="eastAsia"/>
          <w:szCs w:val="21"/>
          <w:u w:val="single"/>
          <w:lang w:val="en-US" w:eastAsia="zh-CN"/>
        </w:rPr>
        <w:t xml:space="preserve">     </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人：（盖单位章）</w:t>
      </w:r>
    </w:p>
    <w:p>
      <w:pPr>
        <w:spacing w:line="440" w:lineRule="exact"/>
        <w:ind w:firstLine="3675" w:firstLineChars="1750"/>
        <w:rPr>
          <w:szCs w:val="21"/>
        </w:rPr>
      </w:pPr>
      <w:r>
        <w:rPr>
          <w:szCs w:val="21"/>
        </w:rPr>
        <w:t>法定代表人或其委托代理人：（签字）</w:t>
      </w:r>
    </w:p>
    <w:p>
      <w:pPr>
        <w:spacing w:line="440" w:lineRule="exact"/>
        <w:ind w:firstLine="3675" w:firstLineChars="1750"/>
        <w:rPr>
          <w:szCs w:val="21"/>
        </w:rPr>
      </w:pPr>
      <w:r>
        <w:rPr>
          <w:szCs w:val="21"/>
        </w:rPr>
        <w:t>地址：</w:t>
      </w:r>
    </w:p>
    <w:p>
      <w:pPr>
        <w:spacing w:line="440" w:lineRule="exact"/>
        <w:ind w:firstLine="3675" w:firstLineChars="1750"/>
        <w:rPr>
          <w:szCs w:val="21"/>
        </w:rPr>
      </w:pPr>
      <w:r>
        <w:rPr>
          <w:szCs w:val="21"/>
        </w:rPr>
        <w:t>网址：</w:t>
      </w:r>
    </w:p>
    <w:p>
      <w:pPr>
        <w:spacing w:line="440" w:lineRule="exact"/>
        <w:ind w:firstLine="3675" w:firstLineChars="1750"/>
        <w:rPr>
          <w:szCs w:val="21"/>
        </w:rPr>
      </w:pPr>
      <w:r>
        <w:rPr>
          <w:szCs w:val="21"/>
        </w:rPr>
        <w:t>电话：</w:t>
      </w:r>
    </w:p>
    <w:p>
      <w:pPr>
        <w:spacing w:line="440" w:lineRule="exact"/>
        <w:ind w:firstLine="3675" w:firstLineChars="1750"/>
        <w:rPr>
          <w:szCs w:val="21"/>
        </w:rPr>
      </w:pPr>
      <w:r>
        <w:rPr>
          <w:szCs w:val="21"/>
        </w:rPr>
        <w:t>传真：</w:t>
      </w:r>
    </w:p>
    <w:p>
      <w:pPr>
        <w:spacing w:line="440" w:lineRule="exact"/>
        <w:ind w:firstLine="3675" w:firstLineChars="1750"/>
        <w:rPr>
          <w:szCs w:val="21"/>
        </w:rPr>
      </w:pPr>
      <w:r>
        <w:rPr>
          <w:szCs w:val="21"/>
        </w:rPr>
        <w:t>邮政编码：</w:t>
      </w:r>
    </w:p>
    <w:p>
      <w:pPr>
        <w:spacing w:line="440" w:lineRule="exact"/>
        <w:ind w:firstLine="3675" w:firstLineChars="1750"/>
        <w:rPr>
          <w:szCs w:val="21"/>
        </w:rPr>
      </w:pPr>
    </w:p>
    <w:p>
      <w:pPr>
        <w:spacing w:line="400" w:lineRule="atLeast"/>
        <w:jc w:val="right"/>
        <w:rPr>
          <w:szCs w:val="21"/>
        </w:rPr>
      </w:pPr>
      <w:r>
        <w:rPr>
          <w:szCs w:val="21"/>
        </w:rPr>
        <w:t>年</w:t>
      </w:r>
      <w:r>
        <w:rPr>
          <w:rFonts w:hint="eastAsia"/>
          <w:szCs w:val="21"/>
          <w:lang w:val="en-US" w:eastAsia="zh-CN"/>
        </w:rPr>
        <w:t xml:space="preserve">   </w:t>
      </w:r>
      <w:r>
        <w:rPr>
          <w:szCs w:val="21"/>
        </w:rPr>
        <w:t>月</w:t>
      </w:r>
      <w:r>
        <w:rPr>
          <w:rFonts w:hint="eastAsia"/>
          <w:szCs w:val="21"/>
          <w:lang w:val="en-US" w:eastAsia="zh-CN"/>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7"/>
        <w:rPr>
          <w:color w:val="auto"/>
        </w:rPr>
      </w:pPr>
    </w:p>
    <w:p>
      <w:pPr>
        <w:pStyle w:val="17"/>
        <w:rPr>
          <w:rFonts w:ascii="宋体" w:hAnsi="宋体" w:cs="宋体"/>
          <w:b/>
          <w:color w:val="auto"/>
        </w:rPr>
      </w:pPr>
    </w:p>
    <w:p>
      <w:pPr>
        <w:pStyle w:val="17"/>
        <w:rPr>
          <w:rFonts w:ascii="宋体" w:hAnsi="宋体" w:cs="宋体"/>
          <w:b/>
          <w:color w:val="auto"/>
        </w:rPr>
      </w:pPr>
    </w:p>
    <w:p>
      <w:pPr>
        <w:spacing w:line="440" w:lineRule="exact"/>
        <w:jc w:val="center"/>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p>
    <w:p>
      <w:pPr>
        <w:spacing w:line="440" w:lineRule="exact"/>
        <w:rPr>
          <w:szCs w:val="21"/>
        </w:rPr>
      </w:pPr>
      <w:r>
        <w:rPr>
          <w:rFonts w:hint="eastAsia"/>
          <w:szCs w:val="21"/>
        </w:rPr>
        <w:t>单位性质：</w:t>
      </w:r>
    </w:p>
    <w:p>
      <w:pPr>
        <w:spacing w:line="440" w:lineRule="exact"/>
        <w:rPr>
          <w:szCs w:val="21"/>
        </w:rPr>
      </w:pPr>
      <w:r>
        <w:rPr>
          <w:rFonts w:hint="eastAsia"/>
          <w:szCs w:val="21"/>
        </w:rPr>
        <w:t>地址：</w:t>
      </w:r>
    </w:p>
    <w:p>
      <w:pPr>
        <w:spacing w:line="440" w:lineRule="exact"/>
        <w:rPr>
          <w:szCs w:val="21"/>
        </w:rPr>
      </w:pPr>
      <w:r>
        <w:rPr>
          <w:rFonts w:hint="eastAsia"/>
          <w:szCs w:val="21"/>
        </w:rPr>
        <w:t>成立时间：</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bookmarkStart w:id="35" w:name="_GoBack"/>
      <w:bookmarkEnd w:id="35"/>
    </w:p>
    <w:p>
      <w:pPr>
        <w:spacing w:line="440" w:lineRule="exact"/>
        <w:rPr>
          <w:szCs w:val="21"/>
        </w:rPr>
      </w:pPr>
      <w:r>
        <w:rPr>
          <w:rFonts w:hint="eastAsia"/>
          <w:szCs w:val="21"/>
        </w:rPr>
        <w:t>经营期限：</w:t>
      </w:r>
    </w:p>
    <w:p>
      <w:pPr>
        <w:spacing w:line="440" w:lineRule="exact"/>
        <w:rPr>
          <w:szCs w:val="21"/>
        </w:rPr>
      </w:pPr>
      <w:r>
        <w:rPr>
          <w:rFonts w:hint="eastAsia"/>
          <w:szCs w:val="21"/>
        </w:rPr>
        <w:t>姓名：</w:t>
      </w:r>
      <w:r>
        <w:rPr>
          <w:rFonts w:hint="eastAsia"/>
          <w:szCs w:val="21"/>
          <w:u w:val="single"/>
        </w:rPr>
        <w:t xml:space="preserve">   （法人手签）</w:t>
      </w:r>
      <w:r>
        <w:rPr>
          <w:rFonts w:hint="eastAsia"/>
          <w:szCs w:val="21"/>
        </w:rPr>
        <w:t>性别：年龄：职务：</w:t>
      </w:r>
    </w:p>
    <w:p>
      <w:pPr>
        <w:spacing w:line="440" w:lineRule="exact"/>
        <w:rPr>
          <w:szCs w:val="21"/>
        </w:rPr>
      </w:pPr>
      <w:r>
        <w:rPr>
          <w:rFonts w:hint="eastAsia"/>
          <w:szCs w:val="21"/>
        </w:rPr>
        <w:t>系（竞标人名称）的法定代表人。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jc w:val="right"/>
        <w:rPr>
          <w:szCs w:val="21"/>
        </w:rPr>
      </w:pPr>
      <w:r>
        <w:rPr>
          <w:rFonts w:hint="eastAsia"/>
          <w:szCs w:val="21"/>
        </w:rPr>
        <w:t>竞标人：（盖单位章）</w:t>
      </w:r>
    </w:p>
    <w:p>
      <w:pPr>
        <w:spacing w:line="440" w:lineRule="exact"/>
        <w:jc w:val="right"/>
        <w:rPr>
          <w:szCs w:val="21"/>
        </w:rPr>
      </w:pP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ab/>
      </w:r>
      <w:r>
        <w:rPr>
          <w:rFonts w:hint="eastAsia" w:ascii="宋体" w:hAnsi="宋体" w:cs="宋体"/>
          <w:kern w:val="0"/>
          <w:szCs w:val="21"/>
        </w:rPr>
        <w:t>（姓名）系（竞标人名称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重庆市江津区支坪下道口扩建工程水泥稳定碎石混合料外协加工、运输（第三次）</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4200" w:firstLineChars="2000"/>
        <w:jc w:val="left"/>
        <w:rPr>
          <w:rFonts w:ascii="宋体" w:hAnsi="宋体" w:cs="宋体"/>
          <w:kern w:val="0"/>
          <w:szCs w:val="21"/>
        </w:rPr>
      </w:pP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 xml:space="preserve">月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7"/>
        <w:rPr>
          <w:color w:val="auto"/>
        </w:r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三、竞争性比选响应单位有效的资质证书、营业执照、银行开户许可证</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五、已标价报价清单</w:t>
      </w:r>
    </w:p>
    <w:p>
      <w:pPr>
        <w:spacing w:line="360" w:lineRule="auto"/>
        <w:jc w:val="right"/>
        <w:textAlignment w:val="baseline"/>
        <w:rPr>
          <w:sz w:val="24"/>
        </w:rPr>
      </w:pPr>
      <w:r>
        <w:rPr>
          <w:rFonts w:hint="eastAsia"/>
          <w:szCs w:val="21"/>
        </w:rPr>
        <w:t xml:space="preserve">  货币单位：人民币  元</w:t>
      </w:r>
    </w:p>
    <w:tbl>
      <w:tblPr>
        <w:tblStyle w:val="1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16"/>
        <w:gridCol w:w="545"/>
        <w:gridCol w:w="965"/>
        <w:gridCol w:w="1270"/>
        <w:gridCol w:w="1056"/>
        <w:gridCol w:w="1270"/>
        <w:gridCol w:w="100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vAlign w:val="center"/>
          </w:tcPr>
          <w:p>
            <w:pPr>
              <w:jc w:val="center"/>
              <w:textAlignment w:val="baseline"/>
              <w:rPr>
                <w:b/>
                <w:sz w:val="24"/>
              </w:rPr>
            </w:pPr>
            <w:r>
              <w:rPr>
                <w:rFonts w:hint="eastAsia"/>
                <w:b/>
                <w:sz w:val="18"/>
                <w:szCs w:val="18"/>
              </w:rPr>
              <w:t>序号</w:t>
            </w:r>
          </w:p>
        </w:tc>
        <w:tc>
          <w:tcPr>
            <w:tcW w:w="1316" w:type="dxa"/>
            <w:tcBorders>
              <w:bottom w:val="single" w:color="auto" w:sz="4" w:space="0"/>
            </w:tcBorders>
            <w:vAlign w:val="center"/>
          </w:tcPr>
          <w:p>
            <w:pPr>
              <w:jc w:val="center"/>
              <w:textAlignment w:val="baseline"/>
              <w:rPr>
                <w:b/>
                <w:sz w:val="18"/>
                <w:szCs w:val="18"/>
              </w:rPr>
            </w:pPr>
            <w:r>
              <w:rPr>
                <w:rFonts w:hint="eastAsia"/>
                <w:b/>
                <w:sz w:val="18"/>
                <w:szCs w:val="18"/>
              </w:rPr>
              <w:t>材料名称</w:t>
            </w:r>
          </w:p>
        </w:tc>
        <w:tc>
          <w:tcPr>
            <w:tcW w:w="545" w:type="dxa"/>
            <w:vAlign w:val="center"/>
          </w:tcPr>
          <w:p>
            <w:pPr>
              <w:jc w:val="center"/>
              <w:textAlignment w:val="baseline"/>
              <w:rPr>
                <w:rFonts w:ascii="宋体" w:hAnsi="宋体" w:cs="宋体"/>
                <w:b/>
                <w:kern w:val="0"/>
                <w:sz w:val="18"/>
                <w:szCs w:val="18"/>
              </w:rPr>
            </w:pPr>
            <w:r>
              <w:rPr>
                <w:rFonts w:hint="eastAsia" w:ascii="宋体" w:hAnsi="宋体" w:cs="宋体"/>
                <w:b/>
                <w:kern w:val="0"/>
                <w:sz w:val="18"/>
                <w:szCs w:val="18"/>
              </w:rPr>
              <w:t>单位</w:t>
            </w:r>
          </w:p>
        </w:tc>
        <w:tc>
          <w:tcPr>
            <w:tcW w:w="965" w:type="dxa"/>
            <w:vAlign w:val="center"/>
          </w:tcPr>
          <w:p>
            <w:pPr>
              <w:jc w:val="center"/>
              <w:textAlignment w:val="baseline"/>
              <w:rPr>
                <w:b/>
                <w:sz w:val="24"/>
              </w:rPr>
            </w:pPr>
            <w:r>
              <w:rPr>
                <w:rFonts w:hint="eastAsia" w:ascii="宋体" w:hAnsi="宋体" w:cs="宋体"/>
                <w:b/>
                <w:kern w:val="0"/>
                <w:sz w:val="18"/>
                <w:szCs w:val="18"/>
              </w:rPr>
              <w:t>暂定数量</w:t>
            </w:r>
          </w:p>
        </w:tc>
        <w:tc>
          <w:tcPr>
            <w:tcW w:w="1270" w:type="dxa"/>
            <w:vAlign w:val="center"/>
          </w:tcPr>
          <w:p>
            <w:pPr>
              <w:jc w:val="center"/>
              <w:textAlignment w:val="baseline"/>
              <w:rPr>
                <w:b/>
                <w:sz w:val="24"/>
              </w:rPr>
            </w:pPr>
            <w:r>
              <w:rPr>
                <w:rFonts w:hint="eastAsia" w:ascii="宋体" w:hAnsi="宋体" w:cs="宋体"/>
                <w:b/>
                <w:kern w:val="0"/>
                <w:sz w:val="18"/>
                <w:szCs w:val="18"/>
              </w:rPr>
              <w:t>到场不含税单价限价</w:t>
            </w:r>
          </w:p>
        </w:tc>
        <w:tc>
          <w:tcPr>
            <w:tcW w:w="1056" w:type="dxa"/>
            <w:vAlign w:val="center"/>
          </w:tcPr>
          <w:p>
            <w:pPr>
              <w:jc w:val="center"/>
              <w:textAlignment w:val="baseline"/>
              <w:rPr>
                <w:b/>
                <w:sz w:val="24"/>
              </w:rPr>
            </w:pPr>
            <w:r>
              <w:rPr>
                <w:rFonts w:hint="eastAsia" w:ascii="宋体" w:hAnsi="宋体" w:cs="宋体"/>
                <w:b/>
                <w:kern w:val="0"/>
                <w:sz w:val="18"/>
                <w:szCs w:val="18"/>
              </w:rPr>
              <w:t>不含税限价金额</w:t>
            </w:r>
          </w:p>
        </w:tc>
        <w:tc>
          <w:tcPr>
            <w:tcW w:w="1270" w:type="dxa"/>
            <w:vAlign w:val="center"/>
          </w:tcPr>
          <w:p>
            <w:pPr>
              <w:jc w:val="center"/>
              <w:textAlignment w:val="baseline"/>
              <w:rPr>
                <w:b/>
                <w:sz w:val="24"/>
              </w:rPr>
            </w:pPr>
            <w:r>
              <w:rPr>
                <w:rFonts w:hint="eastAsia" w:ascii="宋体" w:hAnsi="宋体" w:cs="宋体"/>
                <w:b/>
                <w:kern w:val="0"/>
                <w:sz w:val="18"/>
                <w:szCs w:val="18"/>
              </w:rPr>
              <w:t>到场不含税单价报价</w:t>
            </w:r>
          </w:p>
        </w:tc>
        <w:tc>
          <w:tcPr>
            <w:tcW w:w="1003" w:type="dxa"/>
            <w:vAlign w:val="center"/>
          </w:tcPr>
          <w:p>
            <w:pPr>
              <w:jc w:val="center"/>
              <w:textAlignment w:val="baseline"/>
              <w:rPr>
                <w:b/>
                <w:sz w:val="24"/>
              </w:rPr>
            </w:pPr>
            <w:r>
              <w:rPr>
                <w:rFonts w:hint="eastAsia" w:ascii="宋体" w:hAnsi="宋体" w:cs="宋体"/>
                <w:b/>
                <w:kern w:val="0"/>
                <w:sz w:val="18"/>
                <w:szCs w:val="18"/>
              </w:rPr>
              <w:t>不含税报价金额</w:t>
            </w:r>
          </w:p>
        </w:tc>
        <w:tc>
          <w:tcPr>
            <w:tcW w:w="764" w:type="dxa"/>
            <w:vAlign w:val="center"/>
          </w:tcPr>
          <w:p>
            <w:pPr>
              <w:jc w:val="center"/>
              <w:textAlignment w:val="baseline"/>
              <w:rPr>
                <w:b/>
                <w:sz w:val="24"/>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652" w:type="dxa"/>
            <w:tcBorders>
              <w:right w:val="single" w:color="auto" w:sz="4" w:space="0"/>
            </w:tcBorders>
            <w:vAlign w:val="center"/>
          </w:tcPr>
          <w:p>
            <w:pPr>
              <w:jc w:val="center"/>
              <w:textAlignment w:val="baseline"/>
              <w:rPr>
                <w:rFonts w:ascii="宋体" w:hAnsi="宋体" w:cs="宋体"/>
                <w:sz w:val="24"/>
                <w:szCs w:val="24"/>
              </w:rPr>
            </w:pPr>
            <w:r>
              <w:rPr>
                <w:rFonts w:hint="eastAsia" w:ascii="宋体" w:hAnsi="宋体" w:cs="宋体"/>
                <w:kern w:val="0"/>
                <w:sz w:val="24"/>
                <w:szCs w:val="24"/>
              </w:rPr>
              <w:t>1</w:t>
            </w:r>
          </w:p>
        </w:tc>
        <w:tc>
          <w:tcPr>
            <w:tcW w:w="1316" w:type="dxa"/>
            <w:tcBorders>
              <w:top w:val="single" w:color="auto" w:sz="4" w:space="0"/>
              <w:left w:val="single" w:color="auto" w:sz="4" w:space="0"/>
              <w:right w:val="single" w:color="auto" w:sz="4" w:space="0"/>
            </w:tcBorders>
            <w:vAlign w:val="center"/>
          </w:tcPr>
          <w:p>
            <w:pPr>
              <w:jc w:val="center"/>
              <w:textAlignment w:val="baseline"/>
              <w:rPr>
                <w:rFonts w:ascii="宋体" w:hAnsi="宋体" w:cs="宋体"/>
                <w:sz w:val="24"/>
                <w:szCs w:val="24"/>
              </w:rPr>
            </w:pPr>
            <w:r>
              <w:rPr>
                <w:rFonts w:hint="eastAsia" w:ascii="宋体" w:hAnsi="宋体" w:cs="宋体"/>
                <w:color w:val="000000"/>
                <w:kern w:val="0"/>
                <w:sz w:val="24"/>
                <w:szCs w:val="24"/>
              </w:rPr>
              <w:t>加工</w:t>
            </w:r>
          </w:p>
        </w:tc>
        <w:tc>
          <w:tcPr>
            <w:tcW w:w="545" w:type="dxa"/>
            <w:tcBorders>
              <w:left w:val="single" w:color="auto" w:sz="4" w:space="0"/>
            </w:tcBorders>
            <w:vAlign w:val="center"/>
          </w:tcPr>
          <w:p>
            <w:pPr>
              <w:spacing w:line="360" w:lineRule="auto"/>
              <w:jc w:val="center"/>
              <w:textAlignment w:val="baseline"/>
              <w:rPr>
                <w:rFonts w:ascii="宋体" w:hAnsi="宋体" w:cs="宋体"/>
                <w:sz w:val="24"/>
                <w:szCs w:val="24"/>
              </w:rPr>
            </w:pPr>
            <w:r>
              <w:rPr>
                <w:rFonts w:hint="eastAsia" w:ascii="宋体" w:hAnsi="宋体" w:cs="宋体"/>
                <w:sz w:val="24"/>
                <w:szCs w:val="24"/>
              </w:rPr>
              <w:t>吨</w:t>
            </w:r>
          </w:p>
        </w:tc>
        <w:tc>
          <w:tcPr>
            <w:tcW w:w="965" w:type="dxa"/>
            <w:vAlign w:val="center"/>
          </w:tcPr>
          <w:p>
            <w:pPr>
              <w:widowControl/>
              <w:jc w:val="center"/>
              <w:textAlignment w:val="center"/>
              <w:rPr>
                <w:rFonts w:ascii="宋体" w:hAnsi="宋体" w:cs="宋体"/>
                <w:sz w:val="24"/>
                <w:szCs w:val="24"/>
              </w:rPr>
            </w:pPr>
            <w:r>
              <w:rPr>
                <w:rFonts w:hint="eastAsia" w:ascii="宋体" w:hAnsi="宋体" w:cs="宋体"/>
                <w:sz w:val="24"/>
                <w:szCs w:val="24"/>
              </w:rPr>
              <w:t>24000</w:t>
            </w:r>
          </w:p>
        </w:tc>
        <w:tc>
          <w:tcPr>
            <w:tcW w:w="1270" w:type="dxa"/>
            <w:vAlign w:val="center"/>
          </w:tcPr>
          <w:p>
            <w:pPr>
              <w:widowControl/>
              <w:jc w:val="center"/>
              <w:textAlignment w:val="center"/>
              <w:rPr>
                <w:sz w:val="24"/>
                <w:szCs w:val="24"/>
              </w:rPr>
            </w:pPr>
            <w:r>
              <w:rPr>
                <w:rFonts w:hint="eastAsia"/>
                <w:sz w:val="24"/>
                <w:szCs w:val="24"/>
              </w:rPr>
              <w:t>10</w:t>
            </w:r>
          </w:p>
        </w:tc>
        <w:tc>
          <w:tcPr>
            <w:tcW w:w="1056" w:type="dxa"/>
            <w:vAlign w:val="center"/>
          </w:tcPr>
          <w:p>
            <w:pPr>
              <w:widowControl/>
              <w:textAlignment w:val="center"/>
              <w:rPr>
                <w:sz w:val="24"/>
                <w:szCs w:val="24"/>
              </w:rPr>
            </w:pPr>
            <w:r>
              <w:rPr>
                <w:rFonts w:hint="eastAsia"/>
                <w:sz w:val="24"/>
                <w:szCs w:val="24"/>
              </w:rPr>
              <w:t>240000</w:t>
            </w:r>
          </w:p>
        </w:tc>
        <w:tc>
          <w:tcPr>
            <w:tcW w:w="1270" w:type="dxa"/>
            <w:vAlign w:val="center"/>
          </w:tcPr>
          <w:p>
            <w:pPr>
              <w:widowControl/>
              <w:ind w:left="420"/>
              <w:jc w:val="center"/>
              <w:textAlignment w:val="center"/>
              <w:rPr>
                <w:sz w:val="24"/>
                <w:szCs w:val="24"/>
              </w:rPr>
            </w:pPr>
          </w:p>
        </w:tc>
        <w:tc>
          <w:tcPr>
            <w:tcW w:w="1003" w:type="dxa"/>
            <w:vAlign w:val="center"/>
          </w:tcPr>
          <w:p>
            <w:pPr>
              <w:jc w:val="center"/>
              <w:textAlignment w:val="baseline"/>
              <w:rPr>
                <w:sz w:val="24"/>
                <w:szCs w:val="24"/>
              </w:rPr>
            </w:pPr>
          </w:p>
        </w:tc>
        <w:tc>
          <w:tcPr>
            <w:tcW w:w="764" w:type="dxa"/>
            <w:vAlign w:val="center"/>
          </w:tcPr>
          <w:p>
            <w:pPr>
              <w:jc w:val="center"/>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52" w:type="dxa"/>
            <w:vAlign w:val="center"/>
          </w:tcPr>
          <w:p>
            <w:pPr>
              <w:jc w:val="center"/>
              <w:textAlignment w:val="baseline"/>
              <w:rPr>
                <w:rFonts w:ascii="宋体" w:hAnsi="宋体" w:cs="宋体"/>
                <w:sz w:val="24"/>
                <w:szCs w:val="24"/>
              </w:rPr>
            </w:pPr>
            <w:r>
              <w:rPr>
                <w:rFonts w:hint="eastAsia" w:ascii="宋体" w:hAnsi="宋体" w:cs="宋体"/>
                <w:kern w:val="0"/>
                <w:sz w:val="24"/>
                <w:szCs w:val="24"/>
              </w:rPr>
              <w:t>2</w:t>
            </w:r>
          </w:p>
        </w:tc>
        <w:tc>
          <w:tcPr>
            <w:tcW w:w="1316" w:type="dxa"/>
            <w:tcBorders>
              <w:top w:val="single" w:color="auto" w:sz="4" w:space="0"/>
              <w:bottom w:val="single" w:color="auto" w:sz="4" w:space="0"/>
            </w:tcBorders>
            <w:vAlign w:val="center"/>
          </w:tcPr>
          <w:p>
            <w:pPr>
              <w:jc w:val="center"/>
              <w:textAlignment w:val="baseline"/>
              <w:rPr>
                <w:rFonts w:ascii="宋体" w:hAnsi="宋体" w:cs="宋体"/>
                <w:sz w:val="24"/>
                <w:szCs w:val="24"/>
              </w:rPr>
            </w:pPr>
            <w:r>
              <w:rPr>
                <w:rFonts w:hint="eastAsia" w:ascii="宋体" w:hAnsi="宋体" w:cs="宋体"/>
                <w:color w:val="000000"/>
                <w:kern w:val="0"/>
                <w:sz w:val="24"/>
                <w:szCs w:val="24"/>
              </w:rPr>
              <w:t>运输</w:t>
            </w:r>
          </w:p>
        </w:tc>
        <w:tc>
          <w:tcPr>
            <w:tcW w:w="545" w:type="dxa"/>
            <w:vAlign w:val="center"/>
          </w:tcPr>
          <w:p>
            <w:pPr>
              <w:spacing w:line="360" w:lineRule="auto"/>
              <w:jc w:val="center"/>
              <w:textAlignment w:val="baseline"/>
              <w:rPr>
                <w:rFonts w:ascii="宋体" w:hAnsi="宋体" w:cs="宋体"/>
                <w:sz w:val="24"/>
                <w:szCs w:val="24"/>
              </w:rPr>
            </w:pPr>
            <w:r>
              <w:rPr>
                <w:rFonts w:hint="eastAsia" w:ascii="宋体" w:hAnsi="宋体" w:cs="宋体"/>
                <w:color w:val="000000"/>
                <w:kern w:val="0"/>
                <w:sz w:val="24"/>
                <w:szCs w:val="24"/>
              </w:rPr>
              <w:t>吨</w:t>
            </w:r>
          </w:p>
        </w:tc>
        <w:tc>
          <w:tcPr>
            <w:tcW w:w="965" w:type="dxa"/>
            <w:vAlign w:val="center"/>
          </w:tcPr>
          <w:p>
            <w:pPr>
              <w:widowControl/>
              <w:jc w:val="center"/>
              <w:textAlignment w:val="center"/>
              <w:rPr>
                <w:rFonts w:ascii="宋体" w:hAnsi="宋体" w:cs="宋体"/>
                <w:sz w:val="24"/>
                <w:szCs w:val="24"/>
              </w:rPr>
            </w:pPr>
            <w:r>
              <w:rPr>
                <w:rFonts w:hint="eastAsia" w:ascii="宋体" w:hAnsi="宋体" w:cs="宋体"/>
                <w:sz w:val="24"/>
                <w:szCs w:val="24"/>
              </w:rPr>
              <w:t>24000</w:t>
            </w:r>
          </w:p>
        </w:tc>
        <w:tc>
          <w:tcPr>
            <w:tcW w:w="1270" w:type="dxa"/>
            <w:vAlign w:val="center"/>
          </w:tcPr>
          <w:p>
            <w:pPr>
              <w:widowControl/>
              <w:jc w:val="center"/>
              <w:textAlignment w:val="center"/>
              <w:rPr>
                <w:sz w:val="24"/>
                <w:szCs w:val="24"/>
              </w:rPr>
            </w:pPr>
            <w:r>
              <w:rPr>
                <w:rFonts w:hint="eastAsia"/>
                <w:sz w:val="24"/>
                <w:szCs w:val="24"/>
              </w:rPr>
              <w:t>10</w:t>
            </w:r>
          </w:p>
        </w:tc>
        <w:tc>
          <w:tcPr>
            <w:tcW w:w="1056" w:type="dxa"/>
            <w:vAlign w:val="center"/>
          </w:tcPr>
          <w:p>
            <w:pPr>
              <w:widowControl/>
              <w:jc w:val="center"/>
              <w:textAlignment w:val="center"/>
              <w:rPr>
                <w:sz w:val="24"/>
                <w:szCs w:val="24"/>
              </w:rPr>
            </w:pPr>
            <w:r>
              <w:rPr>
                <w:rFonts w:hint="eastAsia"/>
                <w:sz w:val="24"/>
                <w:szCs w:val="24"/>
              </w:rPr>
              <w:t>240000</w:t>
            </w:r>
          </w:p>
        </w:tc>
        <w:tc>
          <w:tcPr>
            <w:tcW w:w="1270" w:type="dxa"/>
            <w:vAlign w:val="center"/>
          </w:tcPr>
          <w:p>
            <w:pPr>
              <w:widowControl/>
              <w:ind w:left="420"/>
              <w:jc w:val="center"/>
              <w:textAlignment w:val="center"/>
              <w:rPr>
                <w:sz w:val="24"/>
                <w:szCs w:val="24"/>
              </w:rPr>
            </w:pPr>
          </w:p>
        </w:tc>
        <w:tc>
          <w:tcPr>
            <w:tcW w:w="1003" w:type="dxa"/>
            <w:vAlign w:val="center"/>
          </w:tcPr>
          <w:p>
            <w:pPr>
              <w:jc w:val="center"/>
              <w:textAlignment w:val="baseline"/>
              <w:rPr>
                <w:sz w:val="24"/>
                <w:szCs w:val="24"/>
              </w:rPr>
            </w:pPr>
          </w:p>
        </w:tc>
        <w:tc>
          <w:tcPr>
            <w:tcW w:w="764" w:type="dxa"/>
            <w:vAlign w:val="center"/>
          </w:tcPr>
          <w:p>
            <w:pPr>
              <w:jc w:val="center"/>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52" w:type="dxa"/>
            <w:vAlign w:val="center"/>
          </w:tcPr>
          <w:p>
            <w:pPr>
              <w:jc w:val="center"/>
              <w:textAlignment w:val="baseline"/>
              <w:rPr>
                <w:rFonts w:ascii="宋体" w:hAnsi="宋体" w:cs="宋体"/>
                <w:kern w:val="0"/>
                <w:sz w:val="24"/>
                <w:szCs w:val="24"/>
              </w:rPr>
            </w:pPr>
            <w:r>
              <w:rPr>
                <w:rFonts w:hint="eastAsia" w:ascii="宋体" w:hAnsi="宋体" w:cs="宋体"/>
                <w:kern w:val="0"/>
                <w:sz w:val="24"/>
                <w:szCs w:val="24"/>
              </w:rPr>
              <w:t>3</w:t>
            </w:r>
          </w:p>
        </w:tc>
        <w:tc>
          <w:tcPr>
            <w:tcW w:w="1316" w:type="dxa"/>
            <w:tcBorders>
              <w:top w:val="single" w:color="auto" w:sz="4" w:space="0"/>
            </w:tcBorders>
            <w:vAlign w:val="center"/>
          </w:tcPr>
          <w:p>
            <w:pPr>
              <w:jc w:val="center"/>
              <w:textAlignment w:val="baseline"/>
              <w:rPr>
                <w:rFonts w:ascii="宋体" w:hAnsi="宋体" w:cs="宋体"/>
                <w:color w:val="000000"/>
                <w:kern w:val="0"/>
                <w:sz w:val="24"/>
                <w:szCs w:val="24"/>
              </w:rPr>
            </w:pPr>
            <w:r>
              <w:rPr>
                <w:rFonts w:hint="eastAsia" w:ascii="宋体" w:hAnsi="宋体" w:cs="宋体"/>
                <w:color w:val="000000"/>
                <w:kern w:val="0"/>
                <w:sz w:val="24"/>
                <w:szCs w:val="24"/>
              </w:rPr>
              <w:t>税前合计</w:t>
            </w:r>
          </w:p>
        </w:tc>
        <w:tc>
          <w:tcPr>
            <w:tcW w:w="545" w:type="dxa"/>
            <w:vAlign w:val="center"/>
          </w:tcPr>
          <w:p>
            <w:pPr>
              <w:spacing w:line="360" w:lineRule="auto"/>
              <w:jc w:val="center"/>
              <w:textAlignment w:val="baseline"/>
              <w:rPr>
                <w:rFonts w:ascii="宋体" w:hAnsi="宋体" w:cs="宋体"/>
                <w:color w:val="000000"/>
                <w:kern w:val="0"/>
                <w:sz w:val="24"/>
                <w:szCs w:val="24"/>
              </w:rPr>
            </w:pPr>
          </w:p>
        </w:tc>
        <w:tc>
          <w:tcPr>
            <w:tcW w:w="965" w:type="dxa"/>
            <w:vAlign w:val="center"/>
          </w:tcPr>
          <w:p>
            <w:pPr>
              <w:widowControl/>
              <w:jc w:val="center"/>
              <w:textAlignment w:val="center"/>
              <w:rPr>
                <w:rFonts w:ascii="宋体" w:hAnsi="宋体" w:cs="宋体"/>
                <w:sz w:val="24"/>
                <w:szCs w:val="24"/>
              </w:rPr>
            </w:pPr>
          </w:p>
        </w:tc>
        <w:tc>
          <w:tcPr>
            <w:tcW w:w="1270" w:type="dxa"/>
            <w:vAlign w:val="center"/>
          </w:tcPr>
          <w:p>
            <w:pPr>
              <w:widowControl/>
              <w:jc w:val="center"/>
              <w:textAlignment w:val="center"/>
              <w:rPr>
                <w:sz w:val="24"/>
                <w:szCs w:val="24"/>
              </w:rPr>
            </w:pPr>
          </w:p>
        </w:tc>
        <w:tc>
          <w:tcPr>
            <w:tcW w:w="1056" w:type="dxa"/>
            <w:vAlign w:val="center"/>
          </w:tcPr>
          <w:p>
            <w:pPr>
              <w:widowControl/>
              <w:jc w:val="center"/>
              <w:textAlignment w:val="center"/>
              <w:rPr>
                <w:sz w:val="24"/>
                <w:szCs w:val="24"/>
              </w:rPr>
            </w:pPr>
            <w:r>
              <w:rPr>
                <w:rFonts w:hint="eastAsia"/>
                <w:sz w:val="24"/>
                <w:szCs w:val="24"/>
              </w:rPr>
              <w:t>480000</w:t>
            </w:r>
          </w:p>
        </w:tc>
        <w:tc>
          <w:tcPr>
            <w:tcW w:w="1270" w:type="dxa"/>
            <w:vAlign w:val="center"/>
          </w:tcPr>
          <w:p>
            <w:pPr>
              <w:widowControl/>
              <w:ind w:left="420"/>
              <w:jc w:val="center"/>
              <w:textAlignment w:val="center"/>
              <w:rPr>
                <w:sz w:val="24"/>
                <w:szCs w:val="24"/>
              </w:rPr>
            </w:pPr>
          </w:p>
        </w:tc>
        <w:tc>
          <w:tcPr>
            <w:tcW w:w="1003" w:type="dxa"/>
            <w:vAlign w:val="center"/>
          </w:tcPr>
          <w:p>
            <w:pPr>
              <w:jc w:val="center"/>
              <w:textAlignment w:val="baseline"/>
              <w:rPr>
                <w:sz w:val="24"/>
                <w:szCs w:val="24"/>
              </w:rPr>
            </w:pPr>
          </w:p>
        </w:tc>
        <w:tc>
          <w:tcPr>
            <w:tcW w:w="764" w:type="dxa"/>
            <w:vAlign w:val="center"/>
          </w:tcPr>
          <w:p>
            <w:pPr>
              <w:jc w:val="center"/>
              <w:textAlignment w:val="baseline"/>
              <w:rPr>
                <w:sz w:val="24"/>
                <w:szCs w:val="24"/>
              </w:rPr>
            </w:pPr>
          </w:p>
        </w:tc>
      </w:tr>
    </w:tbl>
    <w:p>
      <w:pPr>
        <w:spacing w:line="400" w:lineRule="atLeast"/>
        <w:textAlignment w:val="baseline"/>
        <w:rPr>
          <w:rFonts w:ascii="宋体" w:hAnsi="宋体"/>
          <w:bCs/>
          <w:sz w:val="20"/>
        </w:rPr>
      </w:pPr>
      <w:r>
        <w:rPr>
          <w:rFonts w:hint="eastAsia" w:ascii="宋体" w:hAnsi="宋体" w:cs="宋体"/>
          <w:bCs/>
          <w:sz w:val="20"/>
        </w:rPr>
        <w:t>注：1、</w:t>
      </w:r>
      <w:r>
        <w:rPr>
          <w:rFonts w:hint="eastAsia" w:ascii="宋体" w:hAnsi="宋体"/>
          <w:bCs/>
          <w:sz w:val="20"/>
        </w:rPr>
        <w:t>本合同为综合单价合同，乙方提供的发票应为增值税专用发票，且抵扣税率为</w:t>
      </w:r>
      <w:r>
        <w:rPr>
          <w:rFonts w:hint="eastAsia" w:ascii="宋体" w:hAnsi="宋体"/>
          <w:bCs/>
          <w:sz w:val="20"/>
          <w:u w:val="single"/>
        </w:rPr>
        <w:t xml:space="preserve">    </w:t>
      </w:r>
      <w:r>
        <w:rPr>
          <w:rFonts w:hint="eastAsia" w:ascii="宋体" w:hAnsi="宋体"/>
          <w:bCs/>
          <w:sz w:val="20"/>
        </w:rPr>
        <w:t>%、</w:t>
      </w:r>
      <w:r>
        <w:rPr>
          <w:rFonts w:hint="eastAsia" w:ascii="宋体" w:hAnsi="宋体"/>
          <w:b/>
          <w:sz w:val="20"/>
        </w:rPr>
        <w:t>（请填报）</w:t>
      </w:r>
      <w:r>
        <w:rPr>
          <w:rFonts w:hint="eastAsia" w:ascii="宋体" w:hAnsi="宋体"/>
          <w:bCs/>
          <w:sz w:val="20"/>
        </w:rPr>
        <w:t>。工程完工后，按照甲方代表确认的工程量结算；双方约定的合同单价已包含了全部风险范围的费用，在合同签订后，任何一方不得擅自改变或调整。</w:t>
      </w:r>
    </w:p>
    <w:p>
      <w:pPr>
        <w:numPr>
          <w:ilvl w:val="0"/>
          <w:numId w:val="4"/>
        </w:numPr>
        <w:spacing w:line="440" w:lineRule="atLeast"/>
        <w:rPr>
          <w:rFonts w:ascii="宋体" w:hAnsi="宋体"/>
          <w:bCs/>
          <w:sz w:val="20"/>
        </w:rPr>
      </w:pPr>
      <w:r>
        <w:rPr>
          <w:rFonts w:hint="eastAsia" w:ascii="宋体" w:hAnsi="宋体"/>
          <w:bCs/>
          <w:sz w:val="20"/>
        </w:rPr>
        <w:t>按税前合计金额进行评标，按含税单价签订合同。报价保留两位小数，含税单价=不含税单价×（1+抵扣税率），四舍五入保留两位小数。</w:t>
      </w:r>
    </w:p>
    <w:p>
      <w:pPr>
        <w:spacing w:line="480" w:lineRule="exact"/>
        <w:jc w:val="left"/>
        <w:rPr>
          <w:sz w:val="24"/>
          <w:szCs w:val="28"/>
        </w:rPr>
      </w:pPr>
      <w:r>
        <w:rPr>
          <w:rFonts w:hint="eastAsia" w:ascii="宋体" w:hAnsi="宋体"/>
          <w:bCs/>
          <w:sz w:val="20"/>
        </w:rPr>
        <w:t>3、暂估量仅作为评标的依据与基础，各规格型号材料实际采购数量以招标人最终需求数量为准。</w:t>
      </w:r>
    </w:p>
    <w:p>
      <w:pPr>
        <w:pStyle w:val="2"/>
      </w:pPr>
    </w:p>
    <w:p/>
    <w:p>
      <w:pPr>
        <w:spacing w:line="360" w:lineRule="auto"/>
        <w:jc w:val="center"/>
        <w:textAlignment w:val="baseline"/>
        <w:rPr>
          <w:sz w:val="24"/>
        </w:rPr>
      </w:pPr>
    </w:p>
    <w:p>
      <w:pPr>
        <w:spacing w:line="480" w:lineRule="exact"/>
        <w:ind w:left="2852" w:leftChars="1358"/>
        <w:rPr>
          <w:sz w:val="24"/>
          <w:szCs w:val="24"/>
          <w:u w:val="single"/>
        </w:rPr>
      </w:pPr>
      <w:r>
        <w:rPr>
          <w:rFonts w:hint="eastAsia"/>
          <w:sz w:val="24"/>
          <w:szCs w:val="24"/>
        </w:rPr>
        <w:t>竞标人（盖单位公章）：</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p>
    <w:p>
      <w:pPr>
        <w:pStyle w:val="17"/>
        <w:jc w:val="right"/>
        <w:rPr>
          <w:color w:val="auto"/>
          <w:szCs w:val="28"/>
        </w:rPr>
      </w:pPr>
    </w:p>
    <w:p>
      <w:pPr>
        <w:pStyle w:val="17"/>
        <w:ind w:firstLine="5520" w:firstLineChars="2300"/>
        <w:jc w:val="right"/>
        <w:rPr>
          <w:color w:val="auto"/>
        </w:rPr>
      </w:pPr>
      <w:r>
        <w:rPr>
          <w:rFonts w:hint="eastAsia"/>
          <w:color w:val="auto"/>
          <w:szCs w:val="28"/>
        </w:rPr>
        <w:t>日期：   年    月    日</w:t>
      </w:r>
    </w:p>
    <w:p/>
    <w:p/>
    <w:sectPr>
      <w:headerReference r:id="rId7"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16-09-20T16:12:00Z" w:initials="l">
    <w:p w14:paraId="7C4C1017">
      <w:pPr>
        <w:pStyle w:val="3"/>
      </w:pPr>
      <w:r>
        <w:rPr>
          <w:rFonts w:hint="eastAsia"/>
        </w:rPr>
        <w:t>建议核实乙方是否具备履行本合同所需资质。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4C10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BCE3A"/>
    <w:multiLevelType w:val="singleLevel"/>
    <w:tmpl w:val="FD0BCE3A"/>
    <w:lvl w:ilvl="0" w:tentative="0">
      <w:start w:val="2"/>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89AB4D9"/>
    <w:multiLevelType w:val="singleLevel"/>
    <w:tmpl w:val="589AB4D9"/>
    <w:lvl w:ilvl="0" w:tentative="0">
      <w:start w:val="4"/>
      <w:numFmt w:val="chineseCounting"/>
      <w:suff w:val="nothing"/>
      <w:lvlText w:val="%1、"/>
      <w:lvlJc w:val="left"/>
    </w:lvl>
  </w:abstractNum>
  <w:abstractNum w:abstractNumId="3">
    <w:nsid w:val="5F322F6B"/>
    <w:multiLevelType w:val="singleLevel"/>
    <w:tmpl w:val="5F322F6B"/>
    <w:lvl w:ilvl="0" w:tentative="0">
      <w:start w:val="4"/>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书">
    <w15:presenceInfo w15:providerId="None" w15:userId="罗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2029C"/>
    <w:rsid w:val="00080FBE"/>
    <w:rsid w:val="00116107"/>
    <w:rsid w:val="00170E5F"/>
    <w:rsid w:val="001B3C41"/>
    <w:rsid w:val="001E361B"/>
    <w:rsid w:val="002106CA"/>
    <w:rsid w:val="00272150"/>
    <w:rsid w:val="002952A4"/>
    <w:rsid w:val="003236F3"/>
    <w:rsid w:val="0039353E"/>
    <w:rsid w:val="003B72B4"/>
    <w:rsid w:val="003F4ED6"/>
    <w:rsid w:val="0041620E"/>
    <w:rsid w:val="00491AE0"/>
    <w:rsid w:val="00516982"/>
    <w:rsid w:val="00604153"/>
    <w:rsid w:val="006A3C41"/>
    <w:rsid w:val="006D4EDC"/>
    <w:rsid w:val="00732B46"/>
    <w:rsid w:val="007B6396"/>
    <w:rsid w:val="008011E8"/>
    <w:rsid w:val="00803411"/>
    <w:rsid w:val="0082682F"/>
    <w:rsid w:val="008600DF"/>
    <w:rsid w:val="00887323"/>
    <w:rsid w:val="008C0604"/>
    <w:rsid w:val="008E5385"/>
    <w:rsid w:val="009163FE"/>
    <w:rsid w:val="009510F3"/>
    <w:rsid w:val="009562D3"/>
    <w:rsid w:val="0097200C"/>
    <w:rsid w:val="0097374F"/>
    <w:rsid w:val="0099363F"/>
    <w:rsid w:val="0099378E"/>
    <w:rsid w:val="009B2A28"/>
    <w:rsid w:val="00A23CD1"/>
    <w:rsid w:val="00AA55FE"/>
    <w:rsid w:val="00AC2A73"/>
    <w:rsid w:val="00AD079D"/>
    <w:rsid w:val="00AF09E3"/>
    <w:rsid w:val="00B15502"/>
    <w:rsid w:val="00B475DC"/>
    <w:rsid w:val="00B60E94"/>
    <w:rsid w:val="00B6549E"/>
    <w:rsid w:val="00C234AB"/>
    <w:rsid w:val="00C56A3F"/>
    <w:rsid w:val="00C73703"/>
    <w:rsid w:val="00CA665A"/>
    <w:rsid w:val="00D04A56"/>
    <w:rsid w:val="00D40EEA"/>
    <w:rsid w:val="00D5305C"/>
    <w:rsid w:val="00DC424E"/>
    <w:rsid w:val="00E45633"/>
    <w:rsid w:val="00EB32EB"/>
    <w:rsid w:val="00ED73DB"/>
    <w:rsid w:val="00F2509F"/>
    <w:rsid w:val="00F6779C"/>
    <w:rsid w:val="00F767E7"/>
    <w:rsid w:val="00FA618F"/>
    <w:rsid w:val="049F291F"/>
    <w:rsid w:val="078E08C5"/>
    <w:rsid w:val="08646E76"/>
    <w:rsid w:val="108524BA"/>
    <w:rsid w:val="11B00F7A"/>
    <w:rsid w:val="13ED78ED"/>
    <w:rsid w:val="15A72344"/>
    <w:rsid w:val="16C95D33"/>
    <w:rsid w:val="16FA1392"/>
    <w:rsid w:val="19770AA6"/>
    <w:rsid w:val="215178E7"/>
    <w:rsid w:val="28FC6925"/>
    <w:rsid w:val="331D6661"/>
    <w:rsid w:val="33487689"/>
    <w:rsid w:val="3CB75ACD"/>
    <w:rsid w:val="419B2C3E"/>
    <w:rsid w:val="43AC526B"/>
    <w:rsid w:val="495D0879"/>
    <w:rsid w:val="4A0E1E23"/>
    <w:rsid w:val="4BA32DDE"/>
    <w:rsid w:val="4FAD5649"/>
    <w:rsid w:val="522C4140"/>
    <w:rsid w:val="5A53783C"/>
    <w:rsid w:val="5A7C3BC9"/>
    <w:rsid w:val="5BAC35E9"/>
    <w:rsid w:val="611671C4"/>
    <w:rsid w:val="61F71336"/>
    <w:rsid w:val="63482CD4"/>
    <w:rsid w:val="64977E90"/>
    <w:rsid w:val="6696340C"/>
    <w:rsid w:val="67682B2A"/>
    <w:rsid w:val="6D714989"/>
    <w:rsid w:val="75536727"/>
    <w:rsid w:val="779C13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rPr>
      <w:sz w:val="26"/>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99"/>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_x000B__x000C_" w:hAnsi="_x000B__x000C_"/>
      <w:kern w:val="0"/>
      <w:sz w:val="24"/>
    </w:rPr>
  </w:style>
  <w:style w:type="character" w:styleId="14">
    <w:name w:val="FollowedHyperlink"/>
    <w:basedOn w:val="13"/>
    <w:qFormat/>
    <w:uiPriority w:val="0"/>
    <w:rPr>
      <w:rFonts w:ascii="Arial" w:hAnsi="Arial" w:eastAsia="Arial" w:cs="Arial"/>
      <w:color w:val="333333"/>
      <w:sz w:val="21"/>
      <w:szCs w:val="21"/>
      <w:u w:val="none"/>
    </w:rPr>
  </w:style>
  <w:style w:type="character" w:styleId="15">
    <w:name w:val="Hyperlink"/>
    <w:basedOn w:val="13"/>
    <w:qFormat/>
    <w:uiPriority w:val="0"/>
    <w:rPr>
      <w:rFonts w:hint="default" w:ascii="Arial" w:hAnsi="Arial" w:eastAsia="Arial" w:cs="Arial"/>
      <w:color w:val="333333"/>
      <w:sz w:val="21"/>
      <w:szCs w:val="21"/>
      <w:u w:val="none"/>
    </w:r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lockquote"/>
    <w:basedOn w:val="1"/>
    <w:qFormat/>
    <w:uiPriority w:val="0"/>
    <w:pPr>
      <w:autoSpaceDE w:val="0"/>
      <w:autoSpaceDN w:val="0"/>
      <w:adjustRightInd w:val="0"/>
      <w:ind w:left="360" w:right="360"/>
      <w:jc w:val="left"/>
    </w:pPr>
    <w:rPr>
      <w:kern w:val="0"/>
      <w:sz w:val="24"/>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0">
    <w:name w:val="占位符文本1"/>
    <w:basedOn w:val="13"/>
    <w:semiHidden/>
    <w:qFormat/>
    <w:uiPriority w:val="99"/>
    <w:rPr>
      <w:color w:val="808080"/>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批注框文本 Char"/>
    <w:basedOn w:val="13"/>
    <w:link w:val="8"/>
    <w:qFormat/>
    <w:uiPriority w:val="0"/>
    <w:rPr>
      <w:kern w:val="2"/>
      <w:sz w:val="18"/>
      <w:szCs w:val="18"/>
    </w:rPr>
  </w:style>
  <w:style w:type="character" w:customStyle="1" w:styleId="23">
    <w:name w:val="credit"/>
    <w:basedOn w:val="13"/>
    <w:qFormat/>
    <w:uiPriority w:val="0"/>
    <w:rPr>
      <w:sz w:val="18"/>
      <w:szCs w:val="18"/>
    </w:rPr>
  </w:style>
  <w:style w:type="character" w:customStyle="1" w:styleId="24">
    <w:name w:val="after"/>
    <w:basedOn w:val="13"/>
    <w:qFormat/>
    <w:uiPriority w:val="0"/>
    <w:rPr>
      <w:bdr w:val="dashed" w:color="auto" w:sz="48" w:space="0"/>
    </w:rPr>
  </w:style>
  <w:style w:type="character" w:customStyle="1" w:styleId="25">
    <w:name w:val="before"/>
    <w:basedOn w:val="13"/>
    <w:qFormat/>
    <w:uiPriority w:val="0"/>
    <w:rPr>
      <w:bdr w:val="single" w:color="auto" w:sz="48" w:space="0"/>
    </w:rPr>
  </w:style>
  <w:style w:type="character" w:customStyle="1" w:styleId="26">
    <w:name w:val="hover48"/>
    <w:basedOn w:val="13"/>
    <w:qFormat/>
    <w:uiPriority w:val="0"/>
    <w:rPr>
      <w:shd w:val="clear" w:fill="346AC3"/>
    </w:rPr>
  </w:style>
  <w:style w:type="character" w:customStyle="1" w:styleId="27">
    <w:name w:val="hover49"/>
    <w:basedOn w:val="13"/>
    <w:qFormat/>
    <w:uiPriority w:val="0"/>
    <w:rPr>
      <w:color w:val="4285F4"/>
    </w:rPr>
  </w:style>
  <w:style w:type="character" w:customStyle="1" w:styleId="28">
    <w:name w:val="hover50"/>
    <w:basedOn w:val="13"/>
    <w:qFormat/>
    <w:uiPriority w:val="0"/>
    <w:rPr>
      <w:color w:val="4285F4"/>
      <w:u w:val="none"/>
    </w:rPr>
  </w:style>
  <w:style w:type="character" w:customStyle="1" w:styleId="29">
    <w:name w:val="hover51"/>
    <w:basedOn w:val="13"/>
    <w:qFormat/>
    <w:uiPriority w:val="0"/>
    <w:rPr>
      <w:color w:val="1A85D7"/>
    </w:rPr>
  </w:style>
  <w:style w:type="character" w:customStyle="1" w:styleId="30">
    <w:name w:val="hover52"/>
    <w:basedOn w:val="13"/>
    <w:qFormat/>
    <w:uiPriority w:val="0"/>
  </w:style>
  <w:style w:type="character" w:customStyle="1" w:styleId="31">
    <w:name w:val="first-chi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398db0f2-6781-4b6d-bc7b-49d6e917c7dd}"/>
        <w:style w:val=""/>
        <w:category>
          <w:name w:val="常规"/>
          <w:gallery w:val="placeholder"/>
        </w:category>
        <w:types>
          <w:type w:val="bbPlcHdr"/>
        </w:types>
        <w:behaviors>
          <w:behavior w:val="content"/>
        </w:behaviors>
        <w:description w:val=""/>
        <w:guid w:val="{398DB0F2-6781-4B6D-BC7B-49D6E917C7DD}"/>
      </w:docPartPr>
      <w:docPartBody>
        <w:p>
          <w:pPr>
            <w:pStyle w:val="13"/>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4684512A91C244ACBBD6F5378590F502"/>
        <w:style w:val=""/>
        <w:category>
          <w:name w:val="常规"/>
          <w:gallery w:val="placeholder"/>
        </w:category>
        <w:types>
          <w:type w:val="bbPlcHdr"/>
        </w:types>
        <w:behaviors>
          <w:behavior w:val="content"/>
        </w:behaviors>
        <w:description w:val=""/>
        <w:guid w:val="{AB563A72-CBB9-44AE-873E-023B791F6CA3}"/>
      </w:docPartPr>
      <w:docPartBody>
        <w:p>
          <w:pPr>
            <w:pStyle w:val="36"/>
          </w:pPr>
          <w:r>
            <w:rPr>
              <w:rStyle w:val="4"/>
              <w:rFonts w:hint="eastAsia"/>
            </w:rPr>
            <w:t>单击此处输入文字。</w:t>
          </w:r>
        </w:p>
      </w:docPartBody>
    </w:docPart>
    <w:docPart>
      <w:docPartPr>
        <w:name w:val="0EEE6C7279ED41CE8742B39AE36115BF"/>
        <w:style w:val=""/>
        <w:category>
          <w:name w:val="常规"/>
          <w:gallery w:val="placeholder"/>
        </w:category>
        <w:types>
          <w:type w:val="bbPlcHdr"/>
        </w:types>
        <w:behaviors>
          <w:behavior w:val="content"/>
        </w:behaviors>
        <w:description w:val=""/>
        <w:guid w:val="{C2C05864-E426-45A6-820D-B582D69D27BB}"/>
      </w:docPartPr>
      <w:docPartBody>
        <w:p>
          <w:pPr>
            <w:pStyle w:val="37"/>
          </w:pPr>
          <w:r>
            <w:rPr>
              <w:rStyle w:val="4"/>
              <w:rFonts w:hint="eastAsia"/>
            </w:rPr>
            <w:t>单击此处输入文字。</w:t>
          </w:r>
        </w:p>
      </w:docPartBody>
    </w:docPart>
    <w:docPart>
      <w:docPartPr>
        <w:name w:val="9960FD292E934E99B220428E241498E6"/>
        <w:style w:val=""/>
        <w:category>
          <w:name w:val="常规"/>
          <w:gallery w:val="placeholder"/>
        </w:category>
        <w:types>
          <w:type w:val="bbPlcHdr"/>
        </w:types>
        <w:behaviors>
          <w:behavior w:val="content"/>
        </w:behaviors>
        <w:description w:val=""/>
        <w:guid w:val="{5EC19FF8-9F9A-4C6E-A062-E0DEBB95E155}"/>
      </w:docPartPr>
      <w:docPartBody>
        <w:p>
          <w:pPr>
            <w:pStyle w:val="38"/>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75FC7"/>
    <w:rsid w:val="004300AC"/>
    <w:rsid w:val="0066084A"/>
    <w:rsid w:val="007B7BCD"/>
    <w:rsid w:val="00865469"/>
    <w:rsid w:val="00875FC7"/>
    <w:rsid w:val="0095416C"/>
    <w:rsid w:val="00B46932"/>
    <w:rsid w:val="00F33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4684512A91C244ACBBD6F5378590F5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0EEE6C7279ED41CE8742B39AE36115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9960FD292E934E99B220428E241498E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C6E50-E4A9-4DF8-A1B9-44B23C4A7D76}">
  <ds:schemaRefs/>
</ds:datastoreItem>
</file>

<file path=docProps/app.xml><?xml version="1.0" encoding="utf-8"?>
<Properties xmlns="http://schemas.openxmlformats.org/officeDocument/2006/extended-properties" xmlns:vt="http://schemas.openxmlformats.org/officeDocument/2006/docPropsVTypes">
  <Template>Normal</Template>
  <Pages>28</Pages>
  <Words>13354</Words>
  <Characters>13831</Characters>
  <Lines>111</Lines>
  <Paragraphs>31</Paragraphs>
  <TotalTime>146</TotalTime>
  <ScaleCrop>false</ScaleCrop>
  <LinksUpToDate>false</LinksUpToDate>
  <CharactersWithSpaces>14964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2020-04-28T03:44:00Z</dcterms:created>
  <dc:creator>Just Do It</dc:creator>
  <cp:lastModifiedBy>嘻嘻哈哈</cp:lastModifiedBy>
  <dcterms:modified xsi:type="dcterms:W3CDTF">2022-03-14T07:11:51Z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61706CA212F44538B71BE8DAE3E0C592</vt:lpwstr>
  </property>
</Properties>
</file>