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重庆高速公路集团有限公司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关于征集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企业国有资产评估机构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备选库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非必须招标项目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临时合格供方库单位的公告</w:t>
      </w:r>
    </w:p>
    <w:p>
      <w:pPr>
        <w:spacing w:line="560" w:lineRule="exac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33"/>
          <w:szCs w:val="33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</w:t>
      </w:r>
    </w:p>
    <w:p>
      <w:pPr>
        <w:spacing w:line="5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重庆高速集团拟建立部分业务临时非必须招标项目合格供方库，现诚邀满足条件的单位申请入库。现将有关事项公告如下：</w:t>
      </w:r>
    </w:p>
    <w:p>
      <w:pPr>
        <w:numPr>
          <w:ilvl w:val="0"/>
          <w:numId w:val="1"/>
        </w:numPr>
        <w:spacing w:line="560" w:lineRule="exact"/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合格供方库内容</w:t>
      </w:r>
    </w:p>
    <w:tbl>
      <w:tblPr>
        <w:tblStyle w:val="8"/>
        <w:tblW w:w="8852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3032"/>
        <w:gridCol w:w="3032"/>
        <w:gridCol w:w="193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序号</w:t>
            </w:r>
          </w:p>
        </w:tc>
        <w:tc>
          <w:tcPr>
            <w:tcW w:w="3032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合格供方库方向（一级）</w:t>
            </w:r>
          </w:p>
        </w:tc>
        <w:tc>
          <w:tcPr>
            <w:tcW w:w="3032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合格供方库类别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（二级）</w:t>
            </w:r>
          </w:p>
        </w:tc>
        <w:tc>
          <w:tcPr>
            <w:tcW w:w="1934" w:type="dxa"/>
            <w:tcBorders>
              <w:top w:val="inset" w:color="auto" w:sz="6" w:space="0"/>
              <w:left w:val="single" w:color="auto" w:sz="4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入库单位数量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01</w:t>
            </w:r>
          </w:p>
        </w:tc>
        <w:tc>
          <w:tcPr>
            <w:tcW w:w="3032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咨询服务方向</w:t>
            </w:r>
          </w:p>
        </w:tc>
        <w:tc>
          <w:tcPr>
            <w:tcW w:w="3032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企业国有资产评估机构备选库</w:t>
            </w:r>
          </w:p>
        </w:tc>
        <w:tc>
          <w:tcPr>
            <w:tcW w:w="1934" w:type="dxa"/>
            <w:tcBorders>
              <w:top w:val="inset" w:color="auto" w:sz="6" w:space="0"/>
              <w:left w:val="single" w:color="auto" w:sz="4" w:space="0"/>
              <w:bottom w:val="inset" w:color="auto" w:sz="6" w:space="0"/>
              <w:right w:val="in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≥4家</w:t>
            </w:r>
          </w:p>
        </w:tc>
      </w:tr>
    </w:tbl>
    <w:p>
      <w:pPr>
        <w:spacing w:line="560" w:lineRule="exact"/>
        <w:ind w:firstLine="560" w:firstLineChars="200"/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二、申请入库资格要求</w:t>
      </w:r>
    </w:p>
    <w:p>
      <w:pPr>
        <w:spacing w:line="5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（一）具有独立法人资格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或法人授权经营书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</w:p>
    <w:p>
      <w:pPr>
        <w:spacing w:line="5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（二）</w:t>
      </w:r>
      <w:r>
        <w:rPr>
          <w:rFonts w:ascii="方正仿宋_GBK" w:hAnsi="方正仿宋_GBK" w:eastAsia="方正仿宋_GBK" w:cs="方正仿宋_GBK"/>
          <w:sz w:val="28"/>
          <w:szCs w:val="28"/>
        </w:rPr>
        <w:t>具备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资产综合评估B级资质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</w:p>
    <w:p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）未被“信用中国”网站(www.creditchina.gov.cn/)中列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</w:rPr>
        <w:t>入失信被执行人名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单。</w:t>
      </w:r>
    </w:p>
    <w:p>
      <w:pPr>
        <w:spacing w:line="560" w:lineRule="exact"/>
        <w:ind w:firstLine="560" w:firstLineChars="200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四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应在国资委合格供方库存名单《关于公布企业国有资产评估机构备选库名单的通知》（渝国资[2018]374号）。</w:t>
      </w:r>
    </w:p>
    <w:p>
      <w:pPr>
        <w:spacing w:line="560" w:lineRule="exact"/>
        <w:ind w:firstLine="560" w:firstLineChars="200"/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三、申请入库材料要求</w:t>
      </w:r>
    </w:p>
    <w:p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（一）企业营业执照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分所需提供营业执照或法人授权经营书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</w:p>
    <w:p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（二）法定代表人身份证及法定代表人授权委托书</w:t>
      </w:r>
    </w:p>
    <w:p>
      <w:pPr>
        <w:spacing w:line="5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资产综合评估B级资质证书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</w:p>
    <w:p>
      <w:pPr>
        <w:spacing w:line="5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四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）企业征信证明（提供“信用中国”查询截图）</w:t>
      </w:r>
    </w:p>
    <w:p>
      <w:pPr>
        <w:spacing w:line="5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）企业联系人身份证及社保缴纳证明（截图）</w:t>
      </w:r>
    </w:p>
    <w:p>
      <w:pPr>
        <w:spacing w:line="560" w:lineRule="exact"/>
        <w:ind w:firstLine="560" w:firstLineChars="200"/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四、申请入库注意事项</w:t>
      </w:r>
    </w:p>
    <w:p>
      <w:pPr>
        <w:spacing w:line="5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（一）申请入库单位符合资格条件可进行申请；对存在不良行为被联合惩戒的单位申请将被拒绝。</w:t>
      </w:r>
    </w:p>
    <w:p>
      <w:pPr>
        <w:spacing w:line="560" w:lineRule="exact"/>
        <w:ind w:firstLine="560" w:firstLineChars="200"/>
        <w:rPr>
          <w:rFonts w:ascii="方正仿宋_GBK" w:hAnsi="方正仿宋_GBK" w:eastAsia="方正仿宋_GBK" w:cs="方正仿宋_GBK"/>
          <w:color w:val="FF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（二）申请入库单位登陆重庆高速公路集团招投标系统（http://43.240.249.109:8081）注册并按要求上传相关材料扫描件。</w:t>
      </w:r>
    </w:p>
    <w:p>
      <w:pPr>
        <w:snapToGrid w:val="0"/>
        <w:spacing w:line="5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）入库申请单位须于202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月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17时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之前提交申请，逾期不再受理（另行通知除外）。</w:t>
      </w:r>
    </w:p>
    <w:p>
      <w:pPr>
        <w:spacing w:line="560" w:lineRule="exact"/>
        <w:ind w:firstLine="700" w:firstLineChars="250"/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五、其他事项</w:t>
      </w:r>
    </w:p>
    <w:p>
      <w:pPr>
        <w:snapToGrid w:val="0"/>
        <w:spacing w:line="560" w:lineRule="exact"/>
        <w:ind w:firstLine="700" w:firstLineChars="25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入库申请单位提供的资质、业绩、人员等资料存在弄虚作假情况的，将取消其入选资格，并禁止其参与重庆高速公路集团有限公司其它业务。</w:t>
      </w:r>
    </w:p>
    <w:p>
      <w:pPr>
        <w:spacing w:line="560" w:lineRule="exact"/>
        <w:ind w:firstLine="4480" w:firstLineChars="1600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spacing w:line="560" w:lineRule="exact"/>
        <w:ind w:firstLine="4480" w:firstLineChars="1600"/>
        <w:jc w:val="right"/>
        <w:rPr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202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27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sectPr>
      <w:footerReference r:id="rId3" w:type="default"/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E9CFC"/>
    <w:multiLevelType w:val="multilevel"/>
    <w:tmpl w:val="107E9CFC"/>
    <w:lvl w:ilvl="0" w:tentative="0">
      <w:start w:val="1"/>
      <w:numFmt w:val="japaneseCounting"/>
      <w:lvlText w:val="%1、"/>
      <w:lvlJc w:val="left"/>
      <w:pPr>
        <w:ind w:left="1380" w:hanging="720"/>
      </w:pPr>
    </w:lvl>
    <w:lvl w:ilvl="1" w:tentative="0">
      <w:start w:val="1"/>
      <w:numFmt w:val="lowerLetter"/>
      <w:lvlText w:val="%2)"/>
      <w:lvlJc w:val="left"/>
      <w:pPr>
        <w:ind w:left="1500" w:hanging="420"/>
      </w:pPr>
    </w:lvl>
    <w:lvl w:ilvl="2" w:tentative="0">
      <w:start w:val="1"/>
      <w:numFmt w:val="lowerRoman"/>
      <w:lvlText w:val="%3."/>
      <w:lvlJc w:val="right"/>
      <w:pPr>
        <w:ind w:left="1920" w:hanging="420"/>
      </w:pPr>
    </w:lvl>
    <w:lvl w:ilvl="3" w:tentative="0">
      <w:start w:val="1"/>
      <w:numFmt w:val="decimal"/>
      <w:lvlText w:val="%4."/>
      <w:lvlJc w:val="left"/>
      <w:pPr>
        <w:ind w:left="2340" w:hanging="420"/>
      </w:pPr>
    </w:lvl>
    <w:lvl w:ilvl="4" w:tentative="0">
      <w:start w:val="1"/>
      <w:numFmt w:val="lowerLetter"/>
      <w:lvlText w:val="%5)"/>
      <w:lvlJc w:val="left"/>
      <w:pPr>
        <w:ind w:left="2760" w:hanging="420"/>
      </w:pPr>
    </w:lvl>
    <w:lvl w:ilvl="5" w:tentative="0">
      <w:start w:val="1"/>
      <w:numFmt w:val="lowerRoman"/>
      <w:lvlText w:val="%6."/>
      <w:lvlJc w:val="right"/>
      <w:pPr>
        <w:ind w:left="3180" w:hanging="420"/>
      </w:pPr>
    </w:lvl>
    <w:lvl w:ilvl="6" w:tentative="0">
      <w:start w:val="1"/>
      <w:numFmt w:val="decimal"/>
      <w:lvlText w:val="%7."/>
      <w:lvlJc w:val="left"/>
      <w:pPr>
        <w:ind w:left="3600" w:hanging="420"/>
      </w:pPr>
    </w:lvl>
    <w:lvl w:ilvl="7" w:tentative="0">
      <w:start w:val="1"/>
      <w:numFmt w:val="lowerLetter"/>
      <w:lvlText w:val="%8)"/>
      <w:lvlJc w:val="left"/>
      <w:pPr>
        <w:ind w:left="4020" w:hanging="420"/>
      </w:pPr>
    </w:lvl>
    <w:lvl w:ilvl="8" w:tentative="0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30B1BAE"/>
    <w:rsid w:val="0002251A"/>
    <w:rsid w:val="00033750"/>
    <w:rsid w:val="00145EC3"/>
    <w:rsid w:val="00182AD2"/>
    <w:rsid w:val="00184D07"/>
    <w:rsid w:val="001A0EF7"/>
    <w:rsid w:val="001F020D"/>
    <w:rsid w:val="00235157"/>
    <w:rsid w:val="002D4D0F"/>
    <w:rsid w:val="002E22AD"/>
    <w:rsid w:val="003B486F"/>
    <w:rsid w:val="00414D3C"/>
    <w:rsid w:val="00444D44"/>
    <w:rsid w:val="004E526F"/>
    <w:rsid w:val="0059461A"/>
    <w:rsid w:val="006766E9"/>
    <w:rsid w:val="006B7EAB"/>
    <w:rsid w:val="00741D28"/>
    <w:rsid w:val="00782C09"/>
    <w:rsid w:val="00844A6F"/>
    <w:rsid w:val="009022BC"/>
    <w:rsid w:val="009544BD"/>
    <w:rsid w:val="00971013"/>
    <w:rsid w:val="00981998"/>
    <w:rsid w:val="00AC1B39"/>
    <w:rsid w:val="00B96A02"/>
    <w:rsid w:val="00BD27F2"/>
    <w:rsid w:val="00C26A12"/>
    <w:rsid w:val="00D42798"/>
    <w:rsid w:val="00E54086"/>
    <w:rsid w:val="00E74C88"/>
    <w:rsid w:val="030B1BAE"/>
    <w:rsid w:val="05410AD9"/>
    <w:rsid w:val="18964631"/>
    <w:rsid w:val="18EC329E"/>
    <w:rsid w:val="1F7F0195"/>
    <w:rsid w:val="20F665CE"/>
    <w:rsid w:val="27C52D3E"/>
    <w:rsid w:val="30BB28F3"/>
    <w:rsid w:val="34D6086B"/>
    <w:rsid w:val="354A7F02"/>
    <w:rsid w:val="35897FD4"/>
    <w:rsid w:val="35EE3851"/>
    <w:rsid w:val="36431CBB"/>
    <w:rsid w:val="390453B3"/>
    <w:rsid w:val="3B83693A"/>
    <w:rsid w:val="41C42C2B"/>
    <w:rsid w:val="45DA23A2"/>
    <w:rsid w:val="49E50B0E"/>
    <w:rsid w:val="4AA966EF"/>
    <w:rsid w:val="4C0D0501"/>
    <w:rsid w:val="4D3F1624"/>
    <w:rsid w:val="500125F6"/>
    <w:rsid w:val="54B108D8"/>
    <w:rsid w:val="5D5A0088"/>
    <w:rsid w:val="60E606EC"/>
    <w:rsid w:val="62453B46"/>
    <w:rsid w:val="646B41E1"/>
    <w:rsid w:val="683777E6"/>
    <w:rsid w:val="6C7256DB"/>
    <w:rsid w:val="6DDB0DDD"/>
    <w:rsid w:val="724103F4"/>
    <w:rsid w:val="76E2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2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line="450" w:lineRule="atLeast"/>
      <w:jc w:val="left"/>
    </w:pPr>
    <w:rPr>
      <w:rFonts w:hint="eastAsia" w:ascii="宋体" w:hAnsi="宋体" w:eastAsia="宋体" w:cs="Times New Roman"/>
      <w:kern w:val="0"/>
      <w:sz w:val="24"/>
    </w:rPr>
  </w:style>
  <w:style w:type="character" w:styleId="6">
    <w:name w:val="FollowedHyperlink"/>
    <w:basedOn w:val="5"/>
    <w:qFormat/>
    <w:uiPriority w:val="0"/>
    <w:rPr>
      <w:rFonts w:hint="default" w:ascii="Arial" w:hAnsi="Arial" w:eastAsia="Arial" w:cs="Arial"/>
      <w:color w:val="333333"/>
      <w:sz w:val="21"/>
      <w:szCs w:val="21"/>
      <w:u w:val="none"/>
    </w:rPr>
  </w:style>
  <w:style w:type="character" w:styleId="7">
    <w:name w:val="Hyperlink"/>
    <w:basedOn w:val="5"/>
    <w:qFormat/>
    <w:uiPriority w:val="0"/>
    <w:rPr>
      <w:rFonts w:ascii="Arial" w:hAnsi="Arial" w:eastAsia="Arial" w:cs="Arial"/>
      <w:color w:val="333333"/>
      <w:sz w:val="21"/>
      <w:szCs w:val="21"/>
      <w:u w:val="none"/>
    </w:rPr>
  </w:style>
  <w:style w:type="character" w:customStyle="1" w:styleId="9">
    <w:name w:val="hover48"/>
    <w:basedOn w:val="5"/>
    <w:qFormat/>
    <w:uiPriority w:val="0"/>
    <w:rPr>
      <w:shd w:val="clear" w:color="auto" w:fill="346AC3"/>
    </w:rPr>
  </w:style>
  <w:style w:type="character" w:customStyle="1" w:styleId="10">
    <w:name w:val="hover49"/>
    <w:basedOn w:val="5"/>
    <w:qFormat/>
    <w:uiPriority w:val="0"/>
    <w:rPr>
      <w:color w:val="4285F4"/>
      <w:u w:val="none"/>
    </w:rPr>
  </w:style>
  <w:style w:type="character" w:customStyle="1" w:styleId="11">
    <w:name w:val="hover50"/>
    <w:basedOn w:val="5"/>
    <w:qFormat/>
    <w:uiPriority w:val="0"/>
    <w:rPr>
      <w:color w:val="4285F4"/>
    </w:rPr>
  </w:style>
  <w:style w:type="character" w:customStyle="1" w:styleId="12">
    <w:name w:val="hover51"/>
    <w:basedOn w:val="5"/>
    <w:qFormat/>
    <w:uiPriority w:val="0"/>
    <w:rPr>
      <w:color w:val="1A85D7"/>
    </w:rPr>
  </w:style>
  <w:style w:type="character" w:customStyle="1" w:styleId="13">
    <w:name w:val="hover52"/>
    <w:basedOn w:val="5"/>
    <w:qFormat/>
    <w:uiPriority w:val="0"/>
  </w:style>
  <w:style w:type="character" w:customStyle="1" w:styleId="14">
    <w:name w:val="credit"/>
    <w:basedOn w:val="5"/>
    <w:qFormat/>
    <w:uiPriority w:val="0"/>
    <w:rPr>
      <w:sz w:val="18"/>
      <w:szCs w:val="18"/>
    </w:rPr>
  </w:style>
  <w:style w:type="character" w:customStyle="1" w:styleId="15">
    <w:name w:val="after"/>
    <w:basedOn w:val="5"/>
    <w:qFormat/>
    <w:uiPriority w:val="0"/>
    <w:rPr>
      <w:bdr w:val="dashed" w:color="auto" w:sz="48" w:space="0"/>
    </w:rPr>
  </w:style>
  <w:style w:type="character" w:customStyle="1" w:styleId="16">
    <w:name w:val="before"/>
    <w:basedOn w:val="5"/>
    <w:qFormat/>
    <w:uiPriority w:val="0"/>
    <w:rPr>
      <w:bdr w:val="single" w:color="auto" w:sz="48" w:space="0"/>
    </w:rPr>
  </w:style>
  <w:style w:type="character" w:customStyle="1" w:styleId="17">
    <w:name w:val="first-child"/>
    <w:basedOn w:val="5"/>
    <w:qFormat/>
    <w:uiPriority w:val="0"/>
  </w:style>
  <w:style w:type="character" w:customStyle="1" w:styleId="18">
    <w:name w:val="hover"/>
    <w:basedOn w:val="5"/>
    <w:qFormat/>
    <w:uiPriority w:val="0"/>
    <w:rPr>
      <w:shd w:val="clear" w:color="auto" w:fill="346AC3"/>
    </w:rPr>
  </w:style>
  <w:style w:type="character" w:customStyle="1" w:styleId="19">
    <w:name w:val="hover1"/>
    <w:basedOn w:val="5"/>
    <w:qFormat/>
    <w:uiPriority w:val="0"/>
    <w:rPr>
      <w:color w:val="1A85D7"/>
    </w:rPr>
  </w:style>
  <w:style w:type="character" w:customStyle="1" w:styleId="20">
    <w:name w:val="hover2"/>
    <w:basedOn w:val="5"/>
    <w:qFormat/>
    <w:uiPriority w:val="0"/>
    <w:rPr>
      <w:color w:val="4285F4"/>
    </w:rPr>
  </w:style>
  <w:style w:type="character" w:customStyle="1" w:styleId="21">
    <w:name w:val="hover3"/>
    <w:basedOn w:val="5"/>
    <w:qFormat/>
    <w:uiPriority w:val="0"/>
    <w:rPr>
      <w:color w:val="4285F4"/>
      <w:u w:val="none"/>
    </w:rPr>
  </w:style>
  <w:style w:type="character" w:customStyle="1" w:styleId="22">
    <w:name w:val="hover4"/>
    <w:basedOn w:val="5"/>
    <w:qFormat/>
    <w:uiPriority w:val="0"/>
  </w:style>
  <w:style w:type="character" w:customStyle="1" w:styleId="23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24">
    <w:name w:val="页眉 Char1"/>
    <w:basedOn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114</Words>
  <Characters>655</Characters>
  <Lines>5</Lines>
  <Paragraphs>1</Paragraphs>
  <TotalTime>1</TotalTime>
  <ScaleCrop>false</ScaleCrop>
  <LinksUpToDate>false</LinksUpToDate>
  <CharactersWithSpaces>768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2020-03-25T03:27:00Z</dcterms:created>
  <dc:creator>陈艳</dc:creator>
  <cp:lastModifiedBy>HP</cp:lastModifiedBy>
  <cp:lastPrinted>2020-03-09T01:37:00Z</cp:lastPrinted>
  <dcterms:modified xsi:type="dcterms:W3CDTF">2020-09-28T09:03:14Z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