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color w:val="000000"/>
          <w:sz w:val="32"/>
          <w:szCs w:val="32"/>
        </w:rPr>
      </w:pPr>
    </w:p>
    <w:p>
      <w:pPr>
        <w:rPr>
          <w:rFonts w:ascii="方正仿宋_GBK" w:eastAsia="方正仿宋_GBK"/>
          <w:color w:val="000000"/>
          <w:sz w:val="32"/>
          <w:szCs w:val="32"/>
        </w:rPr>
      </w:pPr>
    </w:p>
    <w:p>
      <w:pPr>
        <w:rPr>
          <w:rFonts w:ascii="方正仿宋_GBK" w:eastAsia="方正仿宋_GBK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</w:rPr>
      </w:pPr>
      <w:r>
        <w:rPr>
          <w:rFonts w:ascii="方正小标宋_GBK" w:eastAsia="方正小标宋_GBK"/>
          <w:color w:val="FF0000"/>
          <w:sz w:val="88"/>
          <w:szCs w:val="88"/>
        </w:rPr>
        <w:pict>
          <v:shape id="_x0000_i1025" o:spt="136" type="#_x0000_t136" style="height:53.25pt;width:426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交通职业学校会议纪要" style="font-family:方正小标宋_GBK;font-size:36pt;v-same-letter-heights:t;v-text-align:center;"/>
            <w10:wrap type="none"/>
            <w10:anchorlock/>
          </v:shape>
        </w:pict>
      </w:r>
    </w:p>
    <w:p>
      <w:pPr>
        <w:jc w:val="center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eastAsia="方正仿宋_GBK"/>
          <w:sz w:val="32"/>
        </w:rPr>
      </w:pPr>
      <w:bookmarkStart w:id="0" w:name="SignStart"/>
      <w:bookmarkEnd w:id="0"/>
      <w:bookmarkStart w:id="1" w:name="SignEnd"/>
      <w:bookmarkEnd w:id="1"/>
      <w:r>
        <w:rPr>
          <w:rFonts w:hint="eastAsia" w:eastAsia="方正小标宋_GBK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415925</wp:posOffset>
                </wp:positionV>
                <wp:extent cx="5572125" cy="47625"/>
                <wp:effectExtent l="0" t="13970" r="952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476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05pt;margin-top:32.75pt;height:3.75pt;width:438.75pt;z-index:251658240;mso-width-relative:page;mso-height-relative:page;" filled="f" stroked="t" coordsize="21600,21600" o:gfxdata="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JjUMdoAAAAI&#10;AQAADwAAAAAAAAABACAAAAAiAAAAZHJzL2Rvd25yZXYueG1sUEsBAhQAFAAAAAgAh07iQGec5gPh&#10;AQAApwMAAA4AAAAAAAAAAQAgAAAAKQ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</w:rPr>
        <w:t>渝交职纪要〔202</w:t>
      </w:r>
      <w:r>
        <w:rPr>
          <w:rFonts w:hint="eastAsia" w:eastAsia="方正仿宋_GBK"/>
          <w:sz w:val="32"/>
          <w:lang w:val="en-US" w:eastAsia="zh-CN"/>
        </w:rPr>
        <w:t>2</w:t>
      </w:r>
      <w:r>
        <w:rPr>
          <w:rFonts w:hint="eastAsia" w:eastAsia="方正仿宋_GBK"/>
          <w:sz w:val="32"/>
        </w:rPr>
        <w:t>〕</w:t>
      </w:r>
      <w:r>
        <w:rPr>
          <w:rFonts w:hint="eastAsia" w:eastAsia="方正仿宋_GBK"/>
          <w:sz w:val="32"/>
          <w:lang w:val="en-US" w:eastAsia="zh-CN"/>
        </w:rPr>
        <w:t>5</w:t>
      </w:r>
      <w:bookmarkStart w:id="4" w:name="_GoBack"/>
      <w:bookmarkEnd w:id="4"/>
      <w:r>
        <w:rPr>
          <w:rFonts w:hint="eastAsia" w:eastAsia="方正仿宋_GBK"/>
          <w:sz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b/>
          <w:sz w:val="28"/>
          <w:szCs w:val="28"/>
        </w:rPr>
      </w:pPr>
      <w:bookmarkStart w:id="2" w:name="BodyStart"/>
      <w:bookmarkEnd w:id="2"/>
      <w:bookmarkStart w:id="3" w:name="ContentEnd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重庆市交通职业学校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次校长办公会</w:t>
      </w:r>
      <w:r>
        <w:rPr>
          <w:rFonts w:hint="eastAsia" w:ascii="方正小标宋_GBK" w:hAnsi="华文中宋" w:eastAsia="方正小标宋_GBK" w:cs="宋体"/>
          <w:kern w:val="0"/>
          <w:sz w:val="44"/>
          <w:szCs w:val="44"/>
        </w:rPr>
        <w:t>纪要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日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下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午，</w:t>
      </w:r>
      <w:r>
        <w:rPr>
          <w:rFonts w:hint="eastAsia" w:ascii="方正仿宋_GBK" w:hAnsi="仿宋" w:eastAsia="方正仿宋_GBK"/>
          <w:sz w:val="32"/>
          <w:szCs w:val="32"/>
        </w:rPr>
        <w:t>重庆市交通职业学校（以下简称“学校”）校长屈鹏飞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在综合办公楼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520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会议室主持召开了202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年第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次校长办公会，学校领导、相关部门负责人参加了会议。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一、审议事项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会议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审议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通过了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联勤保障部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关于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建议对重庆市交通职业学校安保服务外包项目进行竞争性比选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的议题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。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会议同意该议题。会议要求，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联勤保障部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根据相关流程提请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理事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审议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会议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审议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通过了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联勤保障部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关于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建议对重庆市交通职业学校保洁服务外包项目进行竞争性比选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的议题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。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会议同意该议题。会议要求，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联勤保障部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根据相关流程提请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理事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审议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二、决策事项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仿宋" w:eastAsia="方正黑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会议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决策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通过了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联勤保障部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关于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建议对公寓楼屋顶防水项目进行公开询价比选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的议题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。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会议同意该议题。会议要求，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联勤保障部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根据相关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要求在高速集团官网和招投标管理平台上面向社会公开询价比选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仿宋" w:eastAsia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仿宋" w:eastAsia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出席</w:t>
      </w:r>
      <w:r>
        <w:rPr>
          <w:rFonts w:hint="eastAsia" w:ascii="方正仿宋_GBK" w:hAnsi="仿宋" w:eastAsia="方正仿宋_GBK"/>
          <w:sz w:val="32"/>
          <w:szCs w:val="32"/>
        </w:rPr>
        <w:t>：</w:t>
      </w:r>
      <w:r>
        <w:rPr>
          <w:rFonts w:ascii="方正仿宋_GBK" w:hAnsi="仿宋" w:eastAsia="方正仿宋_GBK"/>
          <w:sz w:val="32"/>
          <w:szCs w:val="32"/>
        </w:rPr>
        <w:t>屈鹏飞</w:t>
      </w:r>
      <w:r>
        <w:rPr>
          <w:rFonts w:hint="eastAsia" w:ascii="方正仿宋_GBK" w:hAnsi="仿宋" w:eastAsia="方正仿宋_GBK"/>
          <w:sz w:val="32"/>
          <w:szCs w:val="32"/>
        </w:rPr>
        <w:t>、张  瑞、</w:t>
      </w:r>
      <w:r>
        <w:rPr>
          <w:rFonts w:ascii="方正仿宋_GBK" w:hAnsi="仿宋" w:eastAsia="方正仿宋_GBK"/>
          <w:sz w:val="32"/>
          <w:szCs w:val="32"/>
        </w:rPr>
        <w:t>裴红波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0" w:leftChars="300" w:right="0" w:rightChars="0" w:hanging="960" w:hanging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/>
          <w:sz w:val="32"/>
          <w:szCs w:val="32"/>
        </w:rPr>
        <w:t>列席：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肖应刚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、周  杰</w:t>
      </w:r>
    </w:p>
    <w:tbl>
      <w:tblPr>
        <w:tblStyle w:val="5"/>
        <w:tblpPr w:leftFromText="180" w:rightFromText="180" w:vertAnchor="text" w:horzAnchor="page" w:tblpX="1493" w:tblpY="5918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3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600" w:lineRule="exact"/>
              <w:ind w:right="-27" w:firstLine="280" w:firstLineChars="100"/>
              <w:textAlignment w:val="bottom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重庆市交通职业学校综合办公室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tabs>
                <w:tab w:val="right" w:pos="7920"/>
              </w:tabs>
              <w:spacing w:line="600" w:lineRule="exact"/>
              <w:ind w:left="302" w:right="147"/>
              <w:jc w:val="right"/>
              <w:textAlignment w:val="bottom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印发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13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m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4354830</wp:posOffset>
              </wp:positionH>
              <wp:positionV relativeFrom="paragraph">
                <wp:posOffset>-133985</wp:posOffset>
              </wp:positionV>
              <wp:extent cx="1261745" cy="2800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1745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2.9pt;margin-top:-10.55pt;height:22.05pt;width:99.35pt;mso-position-horizontal-relative:margin;z-index:251660288;mso-width-relative:page;mso-height-relative:page;" filled="f" stroked="f" coordsize="21600,21600" o:gfxdata="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jmB7fZAAAA&#10;CgEAAA8AAAAAAAAAAQAgAAAAIgAAAGRycy9kb3ducmV2LnhtbFBLAQIUABQAAAAIAIdO4kDzL2pb&#10;HAIAABQEAAAOAAAAAAAAAAEAIAAAACg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-28575</wp:posOffset>
              </wp:positionH>
              <wp:positionV relativeFrom="paragraph">
                <wp:posOffset>-163830</wp:posOffset>
              </wp:positionV>
              <wp:extent cx="1037590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759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25pt;margin-top:-12.9pt;height:18.65pt;width:81.7pt;mso-position-horizontal-relative:margin;z-index:251659264;mso-width-relative:page;mso-height-relative:page;" filled="f" stroked="f" coordsize="21600,21600" o:gfxdata="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NmSk9gAAAAJ&#10;AQAADwAAAAAAAAABACAAAAAiAAAAZHJzL2Rvd25yZXYueG1sUEsBAhQAFAAAAAgAh07iQNMi6k4c&#10;AgAAFgQAAA4AAAAAAAAAAQAgAAAAJw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5283"/>
    <w:rsid w:val="06B8404C"/>
    <w:rsid w:val="0DBB3D52"/>
    <w:rsid w:val="0E5B7A39"/>
    <w:rsid w:val="120F02D1"/>
    <w:rsid w:val="1A2579F9"/>
    <w:rsid w:val="25CB42BC"/>
    <w:rsid w:val="2D4C47F6"/>
    <w:rsid w:val="38FB36C0"/>
    <w:rsid w:val="65021D17"/>
    <w:rsid w:val="69D24690"/>
    <w:rsid w:val="78EB66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胥鹏飞</cp:lastModifiedBy>
  <dcterms:modified xsi:type="dcterms:W3CDTF">2022-02-17T02:33:15Z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