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楷体_GB2312" w:hAnsi="楷体_GB2312" w:eastAsia="楷体_GB2312" w:cs="楷体_GB2312"/>
          <w:bCs/>
          <w:color w:val="auto"/>
          <w:sz w:val="48"/>
          <w:szCs w:val="48"/>
          <w:highlight w:val="none"/>
          <w:lang w:val="zh-CN" w:eastAsia="zh-CN"/>
        </w:rPr>
      </w:pPr>
    </w:p>
    <w:p>
      <w:pPr>
        <w:autoSpaceDE w:val="0"/>
        <w:autoSpaceDN w:val="0"/>
        <w:adjustRightInd w:val="0"/>
        <w:spacing w:line="360" w:lineRule="auto"/>
        <w:jc w:val="center"/>
        <w:rPr>
          <w:rFonts w:hint="eastAsia" w:ascii="楷体_GB2312" w:hAnsi="楷体_GB2312" w:eastAsia="楷体_GB2312" w:cs="楷体_GB2312"/>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佛耳岩码头保险购买</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eastAsia" w:ascii="楷体_GB2312" w:hAnsi="楷体_GB2312" w:eastAsia="楷体_GB2312" w:cs="楷体_GB2312"/>
          <w:color w:val="auto"/>
          <w:sz w:val="24"/>
          <w:szCs w:val="24"/>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ind w:firstLine="400"/>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ind w:firstLine="400"/>
        <w:jc w:val="center"/>
        <w:rPr>
          <w:rFonts w:hint="eastAsia" w:ascii="楷体_GB2312" w:hAnsi="楷体_GB2312" w:eastAsia="楷体_GB2312" w:cs="楷体_GB2312"/>
          <w:color w:val="auto"/>
          <w:sz w:val="36"/>
          <w:szCs w:val="36"/>
          <w:highlight w:val="none"/>
          <w:lang w:eastAsia="zh-CN"/>
        </w:rPr>
      </w:pPr>
    </w:p>
    <w:tbl>
      <w:tblPr>
        <w:tblStyle w:val="13"/>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color w:val="auto"/>
                <w:sz w:val="32"/>
                <w:szCs w:val="32"/>
                <w:highlight w:val="none"/>
                <w:lang w:val="en-US" w:eastAsia="zh-CN"/>
              </w:rPr>
            </w:pPr>
            <w:r>
              <w:rPr>
                <w:rFonts w:hint="eastAsia" w:ascii="Times New Roman" w:hAnsi="Times New Roman" w:eastAsia="方正小标宋_GBK" w:cs="Times New Roman"/>
                <w:bCs/>
                <w:color w:val="auto"/>
                <w:sz w:val="32"/>
                <w:szCs w:val="32"/>
                <w:highlight w:val="no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eastAsia" w:ascii="楷体_GB2312" w:hAnsi="楷体_GB2312" w:eastAsia="楷体_GB2312" w:cs="楷体_GB2312"/>
          <w:bCs/>
          <w:color w:val="000000" w:themeColor="text1"/>
          <w:sz w:val="32"/>
          <w:szCs w:val="32"/>
          <w:highlight w:val="none"/>
          <w:lang w:val="zh-CN" w:eastAsia="zh-CN"/>
          <w14:textFill>
            <w14:solidFill>
              <w14:schemeClr w14:val="tx1"/>
            </w14:solidFill>
          </w14:textFill>
        </w:rPr>
      </w:pPr>
    </w:p>
    <w:p>
      <w:pPr>
        <w:autoSpaceDE w:val="0"/>
        <w:autoSpaceDN w:val="0"/>
        <w:adjustRightInd w:val="0"/>
        <w:jc w:val="center"/>
        <w:rPr>
          <w:rFonts w:hint="eastAsia" w:ascii="楷体_GB2312" w:hAnsi="楷体_GB2312" w:eastAsia="楷体_GB2312" w:cs="楷体_GB2312"/>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ascii="Times New Roman" w:hAnsi="Times New Roman" w:eastAsia="方正小标宋_GBK" w:cs="Times New Roman"/>
          <w:bCs/>
          <w:color w:val="auto"/>
          <w:sz w:val="32"/>
          <w:szCs w:val="32"/>
          <w:highlight w:val="none"/>
          <w:lang w:val="en-US" w:eastAsia="zh-CN"/>
        </w:rPr>
        <w:t>2023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eastAsia" w:ascii="楷体_GB2312" w:hAnsi="楷体_GB2312" w:eastAsia="楷体_GB2312" w:cs="楷体_GB2312"/>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16"/>
            <w:jc w:val="center"/>
            <w:rPr>
              <w:rFonts w:hint="eastAsia" w:ascii="楷体_GB2312" w:hAnsi="楷体_GB2312" w:eastAsia="楷体_GB2312" w:cs="楷体_GB2312"/>
              <w:b w:val="0"/>
              <w:bCs w:val="0"/>
              <w:color w:val="auto"/>
              <w:sz w:val="44"/>
              <w:szCs w:val="44"/>
              <w:highlight w:val="none"/>
              <w:lang w:val="zh-CN"/>
            </w:rPr>
          </w:pPr>
          <w:r>
            <w:rPr>
              <w:rFonts w:hint="default" w:ascii="Times New Roman" w:hAnsi="Times New Roman" w:cs="Times New Roman"/>
              <w:color w:val="auto"/>
              <w:highlight w:val="none"/>
              <w:lang w:val="zh-CN"/>
            </w:rPr>
            <w:t>目录</w:t>
          </w:r>
        </w:p>
        <w:p>
          <w:pPr>
            <w:pStyle w:val="9"/>
            <w:tabs>
              <w:tab w:val="right" w:leader="dot" w:pos="9054"/>
            </w:tabs>
            <w:spacing w:line="510" w:lineRule="exact"/>
            <w:rPr>
              <w:rFonts w:hint="eastAsia" w:ascii="楷体_GB2312" w:hAnsi="楷体_GB2312" w:eastAsia="楷体_GB2312" w:cs="楷体_GB2312"/>
              <w:color w:val="auto"/>
              <w:kern w:val="2"/>
              <w:sz w:val="32"/>
              <w:szCs w:val="22"/>
              <w:highlight w:val="none"/>
              <w:lang w:eastAsia="zh-CN"/>
            </w:rPr>
          </w:pPr>
          <w:r>
            <w:rPr>
              <w:rFonts w:hint="eastAsia" w:ascii="楷体_GB2312" w:hAnsi="楷体_GB2312" w:eastAsia="楷体_GB2312" w:cs="楷体_GB2312"/>
              <w:color w:val="auto"/>
              <w:sz w:val="32"/>
              <w:highlight w:val="none"/>
            </w:rPr>
            <w:fldChar w:fldCharType="begin"/>
          </w:r>
          <w:r>
            <w:rPr>
              <w:rFonts w:hint="eastAsia" w:ascii="楷体_GB2312" w:hAnsi="楷体_GB2312" w:eastAsia="楷体_GB2312" w:cs="楷体_GB2312"/>
              <w:color w:val="auto"/>
              <w:sz w:val="32"/>
              <w:highlight w:val="none"/>
            </w:rPr>
            <w:instrText xml:space="preserve"> TOC \o "1-3" \h \z \u </w:instrText>
          </w:r>
          <w:r>
            <w:rPr>
              <w:rFonts w:hint="eastAsia" w:ascii="楷体_GB2312" w:hAnsi="楷体_GB2312" w:eastAsia="楷体_GB2312" w:cs="楷体_GB2312"/>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15"/>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eastAsia" w:ascii="楷体_GB2312" w:hAnsi="楷体_GB2312" w:eastAsia="楷体_GB2312" w:cs="楷体_GB2312"/>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0"/>
            <w:rPr>
              <w:rFonts w:hint="default" w:ascii="黑体" w:hAnsi="黑体" w:eastAsia="方正仿宋_GBK" w:cs="黑体"/>
              <w:color w:val="auto"/>
              <w:sz w:val="32"/>
              <w:highlight w:val="none"/>
              <w:lang w:val="en-US" w:eastAsia="zh-CN"/>
            </w:rPr>
          </w:pPr>
          <w:r>
            <w:rPr>
              <w:rFonts w:hint="eastAsia" w:ascii="黑体" w:hAnsi="黑体" w:eastAsia="黑体" w:cs="黑体"/>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6</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1.报价文件要求</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6</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2.评审办法</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7</w:t>
          </w:r>
        </w:p>
        <w:p>
          <w:pPr>
            <w:pStyle w:val="10"/>
            <w:tabs>
              <w:tab w:val="right" w:leader="dot" w:pos="9054"/>
            </w:tabs>
            <w:spacing w:line="510" w:lineRule="exact"/>
            <w:ind w:left="0"/>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eastAsia="zh-CN"/>
            </w:rPr>
            <w:t>第三章 合同条款与合同签订</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8</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1.合同条款</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8</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2.合同签订</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8</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3</w:t>
          </w:r>
          <w:r>
            <w:rPr>
              <w:rStyle w:val="15"/>
              <w:rFonts w:hint="eastAsia" w:ascii="Times New Roman" w:hAnsi="Times New Roman" w:eastAsia="方正仿宋_GBK" w:cs="Times New Roman"/>
              <w:color w:val="auto"/>
              <w:sz w:val="32"/>
              <w:szCs w:val="22"/>
              <w:highlight w:val="none"/>
              <w:lang w:val="en-US" w:eastAsia="zh-CN"/>
            </w:rPr>
            <w:t>.合同价格与</w:t>
          </w:r>
          <w:r>
            <w:rPr>
              <w:rStyle w:val="15"/>
              <w:rFonts w:hint="eastAsia" w:ascii="Times New Roman" w:hAnsi="Times New Roman" w:eastAsia="方正仿宋_GBK" w:cs="Times New Roman"/>
              <w:color w:val="auto"/>
              <w:sz w:val="32"/>
              <w:szCs w:val="22"/>
              <w:highlight w:val="none"/>
              <w:lang w:eastAsia="zh-CN"/>
            </w:rPr>
            <w:t>支付方式</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8</w:t>
          </w:r>
        </w:p>
        <w:p>
          <w:pPr>
            <w:pStyle w:val="10"/>
            <w:tabs>
              <w:tab w:val="right" w:leader="dot" w:pos="9054"/>
            </w:tabs>
            <w:spacing w:line="510" w:lineRule="exact"/>
            <w:ind w:left="496" w:leftChars="236" w:firstLine="160" w:firstLineChars="50"/>
            <w:rPr>
              <w:rStyle w:val="15"/>
              <w:rFonts w:hint="eastAsia"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t>4.合同期限</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9</w:t>
          </w:r>
        </w:p>
        <w:p>
          <w:pPr>
            <w:rPr>
              <w:rFonts w:hint="default"/>
              <w:lang w:val="en-US" w:eastAsia="zh-CN"/>
            </w:rPr>
          </w:pPr>
          <w:r>
            <w:rPr>
              <w:rStyle w:val="15"/>
              <w:rFonts w:hint="eastAsia" w:ascii="Times New Roman" w:hAnsi="Times New Roman" w:eastAsia="方正仿宋_GBK" w:cs="Times New Roman"/>
              <w:color w:val="auto"/>
              <w:sz w:val="32"/>
              <w:szCs w:val="22"/>
              <w:highlight w:val="none"/>
              <w:lang w:val="en-US" w:eastAsia="zh-CN"/>
            </w:rPr>
            <w:t xml:space="preserve">    5.附件............................................................................................9</w:t>
          </w:r>
        </w:p>
        <w:p>
          <w:pPr>
            <w:pStyle w:val="9"/>
            <w:tabs>
              <w:tab w:val="right" w:leader="dot" w:pos="9054"/>
            </w:tabs>
            <w:spacing w:line="510" w:lineRule="exact"/>
            <w:rPr>
              <w:rFonts w:hint="default" w:ascii="黑体" w:hAnsi="黑体" w:eastAsia="黑体" w:cs="黑体"/>
              <w:color w:val="auto"/>
              <w:kern w:val="2"/>
              <w:sz w:val="32"/>
              <w:szCs w:val="22"/>
              <w:highlight w:val="none"/>
              <w:lang w:val="en-US" w:eastAsia="zh-CN"/>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"_Toc52097515" </w:instrText>
          </w:r>
          <w:r>
            <w:rPr>
              <w:rFonts w:hint="eastAsia" w:ascii="黑体" w:hAnsi="黑体" w:eastAsia="黑体" w:cs="黑体"/>
              <w:color w:val="auto"/>
              <w:highlight w:val="none"/>
            </w:rPr>
            <w:fldChar w:fldCharType="separate"/>
          </w:r>
          <w:r>
            <w:rPr>
              <w:rFonts w:hint="eastAsia" w:ascii="黑体" w:hAnsi="黑体" w:eastAsia="黑体" w:cs="黑体"/>
              <w:color w:val="auto"/>
              <w:sz w:val="32"/>
              <w:szCs w:val="32"/>
              <w:highlight w:val="none"/>
            </w:rPr>
            <w:t>第四章 报价格式</w:t>
          </w:r>
          <w:r>
            <w:rPr>
              <w:rFonts w:hint="eastAsia" w:ascii="黑体" w:hAnsi="黑体" w:eastAsia="黑体" w:cs="黑体"/>
              <w:color w:val="auto"/>
              <w:sz w:val="32"/>
              <w:highlight w:val="none"/>
              <w:lang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15</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fldChar w:fldCharType="begin"/>
          </w:r>
          <w:r>
            <w:rPr>
              <w:rStyle w:val="15"/>
              <w:rFonts w:hint="eastAsia" w:ascii="Times New Roman" w:hAnsi="Times New Roman" w:eastAsia="方正仿宋_GBK" w:cs="Times New Roman"/>
              <w:color w:val="auto"/>
              <w:sz w:val="32"/>
              <w:szCs w:val="22"/>
              <w:highlight w:val="none"/>
              <w:lang w:val="en-US" w:eastAsia="zh-CN"/>
            </w:rPr>
            <w:instrText xml:space="preserve"> HYPERLINK \l "_Toc52097543" </w:instrText>
          </w:r>
          <w:r>
            <w:rPr>
              <w:rStyle w:val="15"/>
              <w:rFonts w:hint="eastAsia" w:ascii="Times New Roman" w:hAnsi="Times New Roman" w:eastAsia="方正仿宋_GBK" w:cs="Times New Roman"/>
              <w:color w:val="auto"/>
              <w:sz w:val="32"/>
              <w:szCs w:val="22"/>
              <w:highlight w:val="none"/>
              <w:lang w:val="en-US" w:eastAsia="zh-CN"/>
            </w:rPr>
            <w:fldChar w:fldCharType="separate"/>
          </w:r>
          <w:r>
            <w:rPr>
              <w:rStyle w:val="15"/>
              <w:rFonts w:hint="eastAsia" w:ascii="Times New Roman" w:hAnsi="Times New Roman" w:eastAsia="方正仿宋_GBK" w:cs="Times New Roman"/>
              <w:color w:val="auto"/>
              <w:sz w:val="32"/>
              <w:szCs w:val="22"/>
              <w:highlight w:val="none"/>
              <w:lang w:val="en-US" w:eastAsia="zh-CN"/>
            </w:rPr>
            <w:t>一、法定代表人身份证明或授权委托书</w:t>
          </w:r>
          <w:r>
            <w:rPr>
              <w:rStyle w:val="15"/>
              <w:rFonts w:hint="eastAsia" w:ascii="Times New Roman" w:hAnsi="Times New Roman" w:eastAsia="方正仿宋_GBK" w:cs="Times New Roman"/>
              <w:color w:val="auto"/>
              <w:sz w:val="32"/>
              <w:szCs w:val="22"/>
              <w:highlight w:val="none"/>
              <w:lang w:val="en-US"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17</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fldChar w:fldCharType="begin"/>
          </w:r>
          <w:r>
            <w:rPr>
              <w:rStyle w:val="15"/>
              <w:rFonts w:hint="eastAsia" w:ascii="Times New Roman" w:hAnsi="Times New Roman" w:eastAsia="方正仿宋_GBK" w:cs="Times New Roman"/>
              <w:color w:val="auto"/>
              <w:sz w:val="32"/>
              <w:szCs w:val="22"/>
              <w:highlight w:val="none"/>
              <w:lang w:val="en-US" w:eastAsia="zh-CN"/>
            </w:rPr>
            <w:instrText xml:space="preserve"> HYPERLINK \l "_Toc52097544" </w:instrText>
          </w:r>
          <w:r>
            <w:rPr>
              <w:rStyle w:val="15"/>
              <w:rFonts w:hint="eastAsia" w:ascii="Times New Roman" w:hAnsi="Times New Roman" w:eastAsia="方正仿宋_GBK" w:cs="Times New Roman"/>
              <w:color w:val="auto"/>
              <w:sz w:val="32"/>
              <w:szCs w:val="22"/>
              <w:highlight w:val="none"/>
              <w:lang w:val="en-US" w:eastAsia="zh-CN"/>
            </w:rPr>
            <w:fldChar w:fldCharType="separate"/>
          </w:r>
          <w:r>
            <w:rPr>
              <w:rStyle w:val="15"/>
              <w:rFonts w:hint="eastAsia" w:ascii="Times New Roman" w:hAnsi="Times New Roman" w:eastAsia="方正仿宋_GBK" w:cs="Times New Roman"/>
              <w:color w:val="auto"/>
              <w:sz w:val="32"/>
              <w:szCs w:val="22"/>
              <w:highlight w:val="none"/>
              <w:lang w:val="en-US" w:eastAsia="zh-CN"/>
            </w:rPr>
            <w:t>二、报价函</w:t>
          </w:r>
          <w:r>
            <w:rPr>
              <w:rStyle w:val="15"/>
              <w:rFonts w:hint="eastAsia" w:ascii="Times New Roman" w:hAnsi="Times New Roman" w:eastAsia="方正仿宋_GBK" w:cs="Times New Roman"/>
              <w:color w:val="auto"/>
              <w:sz w:val="32"/>
              <w:szCs w:val="22"/>
              <w:highlight w:val="none"/>
              <w:lang w:val="en-US"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18</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fldChar w:fldCharType="begin"/>
          </w:r>
          <w:r>
            <w:rPr>
              <w:rStyle w:val="15"/>
              <w:rFonts w:hint="eastAsia" w:ascii="Times New Roman" w:hAnsi="Times New Roman" w:eastAsia="方正仿宋_GBK" w:cs="Times New Roman"/>
              <w:color w:val="auto"/>
              <w:sz w:val="32"/>
              <w:szCs w:val="22"/>
              <w:highlight w:val="none"/>
              <w:lang w:val="en-US" w:eastAsia="zh-CN"/>
            </w:rPr>
            <w:instrText xml:space="preserve"> HYPERLINK \l "_Toc52097545" </w:instrText>
          </w:r>
          <w:r>
            <w:rPr>
              <w:rStyle w:val="15"/>
              <w:rFonts w:hint="eastAsia" w:ascii="Times New Roman" w:hAnsi="Times New Roman" w:eastAsia="方正仿宋_GBK" w:cs="Times New Roman"/>
              <w:color w:val="auto"/>
              <w:sz w:val="32"/>
              <w:szCs w:val="22"/>
              <w:highlight w:val="none"/>
              <w:lang w:val="en-US" w:eastAsia="zh-CN"/>
            </w:rPr>
            <w:fldChar w:fldCharType="separate"/>
          </w:r>
          <w:r>
            <w:rPr>
              <w:rStyle w:val="15"/>
              <w:rFonts w:hint="eastAsia" w:ascii="Times New Roman" w:hAnsi="Times New Roman" w:eastAsia="方正仿宋_GBK" w:cs="Times New Roman"/>
              <w:color w:val="auto"/>
              <w:sz w:val="32"/>
              <w:szCs w:val="22"/>
              <w:highlight w:val="none"/>
              <w:lang w:val="en-US" w:eastAsia="zh-CN"/>
            </w:rPr>
            <w:t>三、</w:t>
          </w:r>
          <w:r>
            <w:rPr>
              <w:rStyle w:val="15"/>
              <w:rFonts w:hint="eastAsia" w:ascii="Times New Roman" w:hAnsi="Times New Roman" w:eastAsia="方正仿宋_GBK" w:cs="Times New Roman"/>
              <w:color w:val="auto"/>
              <w:sz w:val="32"/>
              <w:szCs w:val="22"/>
              <w:highlight w:val="none"/>
              <w:lang w:val="zh-CN" w:eastAsia="zh-CN"/>
            </w:rPr>
            <w:t>报价表</w:t>
          </w:r>
          <w:r>
            <w:rPr>
              <w:rStyle w:val="15"/>
              <w:rFonts w:hint="eastAsia" w:ascii="Times New Roman" w:hAnsi="Times New Roman" w:eastAsia="方正仿宋_GBK" w:cs="Times New Roman"/>
              <w:color w:val="auto"/>
              <w:sz w:val="32"/>
              <w:szCs w:val="22"/>
              <w:highlight w:val="none"/>
              <w:lang w:val="en-US"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20</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fldChar w:fldCharType="begin"/>
          </w:r>
          <w:r>
            <w:rPr>
              <w:rStyle w:val="15"/>
              <w:rFonts w:hint="eastAsia" w:ascii="Times New Roman" w:hAnsi="Times New Roman" w:eastAsia="方正仿宋_GBK" w:cs="Times New Roman"/>
              <w:color w:val="auto"/>
              <w:sz w:val="32"/>
              <w:szCs w:val="22"/>
              <w:highlight w:val="none"/>
              <w:lang w:val="en-US" w:eastAsia="zh-CN"/>
            </w:rPr>
            <w:instrText xml:space="preserve"> HYPERLINK \l "_Toc52097546" </w:instrText>
          </w:r>
          <w:r>
            <w:rPr>
              <w:rStyle w:val="15"/>
              <w:rFonts w:hint="eastAsia" w:ascii="Times New Roman" w:hAnsi="Times New Roman" w:eastAsia="方正仿宋_GBK" w:cs="Times New Roman"/>
              <w:color w:val="auto"/>
              <w:sz w:val="32"/>
              <w:szCs w:val="22"/>
              <w:highlight w:val="none"/>
              <w:lang w:val="en-US" w:eastAsia="zh-CN"/>
            </w:rPr>
            <w:fldChar w:fldCharType="separate"/>
          </w:r>
          <w:r>
            <w:rPr>
              <w:rStyle w:val="15"/>
              <w:rFonts w:hint="eastAsia" w:ascii="Times New Roman" w:hAnsi="Times New Roman" w:eastAsia="方正仿宋_GBK" w:cs="Times New Roman"/>
              <w:color w:val="auto"/>
              <w:sz w:val="32"/>
              <w:szCs w:val="22"/>
              <w:highlight w:val="none"/>
              <w:lang w:val="en-US" w:eastAsia="zh-CN"/>
            </w:rPr>
            <w:t>四、资格审查资料</w:t>
          </w:r>
          <w:r>
            <w:rPr>
              <w:rStyle w:val="15"/>
              <w:rFonts w:hint="eastAsia" w:ascii="Times New Roman" w:hAnsi="Times New Roman" w:eastAsia="方正仿宋_GBK" w:cs="Times New Roman"/>
              <w:color w:val="auto"/>
              <w:sz w:val="32"/>
              <w:szCs w:val="22"/>
              <w:highlight w:val="none"/>
              <w:lang w:val="en-US"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22</w:t>
          </w:r>
        </w:p>
        <w:p>
          <w:pPr>
            <w:pStyle w:val="10"/>
            <w:tabs>
              <w:tab w:val="right" w:leader="dot" w:pos="9054"/>
            </w:tabs>
            <w:spacing w:line="510" w:lineRule="exact"/>
            <w:ind w:left="496" w:leftChars="236" w:firstLine="160" w:firstLineChars="50"/>
            <w:rPr>
              <w:rFonts w:hint="default" w:ascii="楷体_GB2312" w:hAnsi="楷体_GB2312" w:eastAsia="楷体_GB2312" w:cs="楷体_GB2312"/>
              <w:color w:val="auto"/>
              <w:kern w:val="2"/>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t>五、其他资料</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25</w:t>
          </w:r>
        </w:p>
        <w:p>
          <w:pPr>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ascii="楷体_GB2312" w:hAnsi="楷体_GB2312" w:eastAsia="楷体_GB2312" w:cs="楷体_GB2312"/>
              <w:b/>
              <w:bCs/>
              <w:color w:val="auto"/>
              <w:sz w:val="32"/>
              <w:highlight w:val="none"/>
              <w:lang w:val="zh-CN"/>
            </w:rPr>
            <w:fldChar w:fldCharType="end"/>
          </w:r>
        </w:p>
      </w:sdtContent>
    </w:sdt>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p>
    <w:p>
      <w:pPr>
        <w:keepNext w:val="0"/>
        <w:keepLines w:val="0"/>
        <w:widowControl/>
        <w:numPr>
          <w:ilvl w:val="0"/>
          <w:numId w:val="0"/>
        </w:numPr>
        <w:suppressLineNumbers w:val="0"/>
        <w:jc w:val="left"/>
        <w:rPr>
          <w:rFonts w:ascii="方正小标宋_GBK" w:hAnsi="方正小标宋_GBK" w:eastAsia="方正小标宋_GBK" w:cs="方正小标宋_GBK"/>
          <w:color w:val="000000"/>
          <w:kern w:val="0"/>
          <w:sz w:val="44"/>
          <w:szCs w:val="44"/>
          <w:lang w:val="en-US" w:eastAsia="zh-CN" w:bidi="ar"/>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36"/>
          <w:szCs w:val="36"/>
          <w:highlight w:val="none"/>
          <w:lang w:val="zh-CN" w:eastAsia="zh-CN"/>
        </w:rPr>
      </w:pPr>
      <w:r>
        <w:rPr>
          <w:rFonts w:hint="eastAsia" w:ascii="Times New Roman" w:hAnsi="Times New Roman" w:eastAsia="方正小标宋_GBK" w:cs="Times New Roman"/>
          <w:bCs/>
          <w:color w:val="auto"/>
          <w:sz w:val="36"/>
          <w:szCs w:val="36"/>
          <w:highlight w:val="none"/>
          <w:lang w:val="en-US" w:eastAsia="zh-CN"/>
        </w:rPr>
        <w:t>佛耳岩码头保险购买项目</w:t>
      </w:r>
    </w:p>
    <w:p>
      <w:pPr>
        <w:keepNext w:val="0"/>
        <w:keepLines w:val="0"/>
        <w:widowControl/>
        <w:numPr>
          <w:ilvl w:val="0"/>
          <w:numId w:val="0"/>
        </w:numPr>
        <w:suppressLineNumbers w:val="0"/>
        <w:jc w:val="center"/>
        <w:rPr>
          <w:rFonts w:hint="eastAsia" w:ascii="楷体_GB2312" w:hAnsi="楷体_GB2312" w:eastAsia="楷体_GB2312" w:cs="楷体_GB2312"/>
          <w:color w:val="000000"/>
          <w:kern w:val="0"/>
          <w:sz w:val="32"/>
          <w:szCs w:val="32"/>
          <w:lang w:val="en-US" w:eastAsia="zh-CN" w:bidi="ar"/>
        </w:rPr>
      </w:pPr>
    </w:p>
    <w:p>
      <w:pPr>
        <w:keepNext w:val="0"/>
        <w:keepLines w:val="0"/>
        <w:widowControl/>
        <w:numPr>
          <w:ilvl w:val="0"/>
          <w:numId w:val="1"/>
        </w:numPr>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询价条件（公开询价） </w:t>
      </w:r>
    </w:p>
    <w:p>
      <w:pPr>
        <w:keepNext w:val="0"/>
        <w:keepLines w:val="0"/>
        <w:widowControl/>
        <w:numPr>
          <w:ilvl w:val="0"/>
          <w:numId w:val="0"/>
        </w:numPr>
        <w:suppressLineNumbers w:val="0"/>
        <w:ind w:firstLine="640"/>
        <w:jc w:val="left"/>
        <w:rPr>
          <w:rFonts w:hint="eastAsia" w:ascii="仿宋_GB2312" w:hAnsi="仿宋_GB2312" w:eastAsia="仿宋_GB2312" w:cs="仿宋_GB2312"/>
          <w:color w:val="000000"/>
          <w:kern w:val="0"/>
          <w:sz w:val="32"/>
          <w:szCs w:val="32"/>
          <w:u w:val="none"/>
          <w:lang w:val="en-US" w:eastAsia="zh-CN" w:bidi="ar"/>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佛耳岩码头保险购买</w:t>
      </w:r>
      <w:r>
        <w:rPr>
          <w:rFonts w:hint="eastAsia" w:ascii="Times New Roman" w:hAnsi="Times New Roman" w:eastAsia="方正仿宋_GBK" w:cs="Times New Roman"/>
          <w:bCs/>
          <w:color w:val="auto"/>
          <w:sz w:val="32"/>
          <w:szCs w:val="32"/>
          <w:highlight w:val="none"/>
          <w:lang w:val="en-US" w:eastAsia="zh-CN"/>
        </w:rPr>
        <w:t>已具备发包条件，询价人为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eastAsia" w:ascii="Times New Roman" w:hAnsi="Times New Roman" w:eastAsia="方正仿宋_GBK" w:cs="Times New Roman"/>
          <w:bCs/>
          <w:color w:val="auto"/>
          <w:sz w:val="32"/>
          <w:szCs w:val="32"/>
          <w:highlight w:val="none"/>
          <w:lang w:val="en-US"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eastAsia" w:ascii="Times New Roman" w:hAnsi="Times New Roman" w:eastAsia="方正仿宋_GBK" w:cs="Times New Roman"/>
          <w:bCs/>
          <w:color w:val="auto"/>
          <w:sz w:val="32"/>
          <w:szCs w:val="32"/>
          <w:highlight w:val="none"/>
          <w:lang w:val="en-US"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佛耳岩码头保险购买</w:t>
      </w:r>
      <w:r>
        <w:rPr>
          <w:rFonts w:hint="eastAsia" w:ascii="Times New Roman" w:hAnsi="Times New Roman" w:eastAsia="方正仿宋_GBK" w:cs="Times New Roman"/>
          <w:bCs/>
          <w:color w:val="auto"/>
          <w:sz w:val="32"/>
          <w:szCs w:val="32"/>
          <w:highlight w:val="none"/>
          <w:lang w:val="en-US" w:eastAsia="zh-CN"/>
        </w:rPr>
        <w:t>采取公开询价方式确定服务单位。</w:t>
      </w:r>
    </w:p>
    <w:p>
      <w:pPr>
        <w:keepNext w:val="0"/>
        <w:keepLines w:val="0"/>
        <w:widowControl/>
        <w:numPr>
          <w:ilvl w:val="0"/>
          <w:numId w:val="0"/>
        </w:numPr>
        <w:suppressLineNumbers w:val="0"/>
        <w:ind w:firstLine="640"/>
        <w:jc w:val="left"/>
        <w:rPr>
          <w:rFonts w:hint="eastAsia" w:ascii="仿宋_GB2312" w:hAnsi="仿宋_GB2312" w:eastAsia="仿宋_GB2312" w:cs="仿宋_GB2312"/>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rPr>
          <w:rFonts w:hint="eastAsia" w:ascii="黑体" w:hAnsi="黑体" w:eastAsia="黑体" w:cs="黑体"/>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项目概况与询价工作范围</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仿宋_GB2312" w:hAnsi="仿宋_GB2312" w:eastAsia="仿宋_GB2312" w:cs="仿宋_GB2312"/>
          <w:color w:val="000000"/>
          <w:kern w:val="0"/>
          <w:sz w:val="32"/>
          <w:szCs w:val="32"/>
          <w:u w:val="none"/>
          <w:lang w:val="en-US" w:eastAsia="zh-CN" w:bidi="ar"/>
        </w:rPr>
        <w:t xml:space="preserve">  </w:t>
      </w:r>
      <w:r>
        <w:rPr>
          <w:rFonts w:hint="eastAsia" w:ascii="Times New Roman" w:hAnsi="Times New Roman" w:eastAsia="方正仿宋_GBK" w:cs="Times New Roman"/>
          <w:bCs/>
          <w:color w:val="auto"/>
          <w:sz w:val="32"/>
          <w:szCs w:val="32"/>
          <w:highlight w:val="none"/>
          <w:lang w:val="en-US" w:eastAsia="zh-CN"/>
        </w:rPr>
        <w:t>2.1项目地址</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重庆市巴南区鱼洞滨江路佛耳岩码头</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2.2项目概况</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航发三江港埠有限公司佛耳岩码头位于重庆市巴南区境内，鱼洞滨江路末端的鱼洞镇金子沟村，距鱼洞镇约3.5km,下距朝天门约36km的长江南岸，距重庆市区约28公里。码头分两期建设，总投资5亿元，有4个泊位5条生产线，码头以木材作业为主，件杂货、集装箱作业为辅。现工作生产需要，拟购买安全生产责任险及码头营运人责任险。</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2.3本次询价项目最高限价金额：</w:t>
      </w:r>
      <w:r>
        <w:rPr>
          <w:rFonts w:hint="eastAsia" w:ascii="Times New Roman" w:hAnsi="Times New Roman" w:eastAsia="方正仿宋_GBK" w:cs="Times New Roman"/>
          <w:bCs/>
          <w:color w:val="auto"/>
          <w:sz w:val="32"/>
          <w:szCs w:val="32"/>
          <w:highlight w:val="none"/>
          <w:u w:val="single"/>
          <w:lang w:val="en-US" w:eastAsia="zh-CN"/>
        </w:rPr>
        <w:t xml:space="preserve">    195000    </w:t>
      </w:r>
      <w:r>
        <w:rPr>
          <w:rFonts w:hint="eastAsia" w:ascii="Times New Roman" w:hAnsi="Times New Roman" w:eastAsia="方正仿宋_GBK" w:cs="Times New Roman"/>
          <w:bCs/>
          <w:color w:val="auto"/>
          <w:sz w:val="32"/>
          <w:szCs w:val="32"/>
          <w:highlight w:val="none"/>
          <w:lang w:val="en-US" w:eastAsia="zh-CN"/>
        </w:rPr>
        <w:t>元。</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2.4询价范围：</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安全生产责任险内容： 佛耳岩码头、石盘沱码头、下塘口码头的安全生产责任险包括各码头自身人员和派遣人员的安全生产责任险，保险赔偿范围要包括死亡赔偿和医疗赔偿，参保人数约98人以系统提供的人员清单为准；三者责任险，保险赔偿范围与自身人员及派遣人员一样。</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码头营运人责任险内容：1.佛耳岩码头（含一期和二期）装卸作业全过程中仓储及落地后所有货物的损失；2.因佛耳岩码头（含一期和二期）的作业行为对第三者的财产和人身的伤害及损失。</w:t>
      </w:r>
    </w:p>
    <w:p>
      <w:pPr>
        <w:keepNext w:val="0"/>
        <w:keepLines w:val="0"/>
        <w:widowControl/>
        <w:numPr>
          <w:ilvl w:val="0"/>
          <w:numId w:val="0"/>
        </w:numPr>
        <w:suppressLineNumbers w:val="0"/>
        <w:ind w:firstLine="640"/>
        <w:jc w:val="left"/>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2.5服务期限：1年，自合同签订之日起。</w:t>
      </w:r>
    </w:p>
    <w:p>
      <w:pPr>
        <w:keepNext w:val="0"/>
        <w:keepLines w:val="0"/>
        <w:widowControl/>
        <w:numPr>
          <w:ilvl w:val="0"/>
          <w:numId w:val="0"/>
        </w:numPr>
        <w:suppressLineNumbers w:val="0"/>
        <w:ind w:left="320" w:leftChars="0"/>
        <w:jc w:val="left"/>
        <w:rPr>
          <w:rFonts w:hint="eastAsia" w:ascii="黑体" w:hAnsi="黑体" w:eastAsia="黑体" w:cs="黑体"/>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3.报价人资格要求</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仿宋_GB2312" w:hAnsi="仿宋_GB2312" w:eastAsia="仿宋_GB2312" w:cs="仿宋_GB2312"/>
          <w:color w:val="000000"/>
          <w:kern w:val="0"/>
          <w:sz w:val="32"/>
          <w:szCs w:val="32"/>
          <w:u w:val="none"/>
          <w:lang w:val="en-US" w:eastAsia="zh-CN" w:bidi="ar"/>
        </w:rPr>
        <w:t xml:space="preserve">  </w:t>
      </w:r>
      <w:r>
        <w:rPr>
          <w:rFonts w:hint="default" w:ascii="Times New Roman" w:hAnsi="Times New Roman" w:eastAsia="方正仿宋_GBK" w:cs="Times New Roman"/>
          <w:bCs/>
          <w:color w:val="auto"/>
          <w:sz w:val="32"/>
          <w:szCs w:val="32"/>
          <w:highlight w:val="none"/>
          <w:lang w:val="en-US" w:eastAsia="zh-CN"/>
        </w:rPr>
        <w:t xml:space="preserve">3.1 </w:t>
      </w:r>
      <w:r>
        <w:rPr>
          <w:rFonts w:hint="eastAsia" w:ascii="Times New Roman" w:hAnsi="Times New Roman" w:eastAsia="方正仿宋_GBK" w:cs="Times New Roman"/>
          <w:bCs/>
          <w:color w:val="auto"/>
          <w:sz w:val="32"/>
          <w:szCs w:val="32"/>
          <w:highlight w:val="none"/>
          <w:lang w:val="en-US" w:eastAsia="zh-CN"/>
        </w:rPr>
        <w:t xml:space="preserve">本次询价实行资格后审，报价人应同时满足下列资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格条件：</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（1）报价人为中国境内注册的独立法人企业。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（2）报价人具有以下全部资质：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①</w:t>
      </w:r>
      <w:r>
        <w:rPr>
          <w:rFonts w:hint="default" w:ascii="Times New Roman" w:hAnsi="Times New Roman" w:eastAsia="方正仿宋_GBK" w:cs="Times New Roman"/>
          <w:bCs/>
          <w:color w:val="auto"/>
          <w:sz w:val="32"/>
          <w:szCs w:val="32"/>
          <w:highlight w:val="none"/>
          <w:lang w:val="en-US" w:eastAsia="zh-CN"/>
        </w:rPr>
        <w:t xml:space="preserve">具有有效营业执照、税务登记证、组织机构代码证的 </w:t>
      </w:r>
    </w:p>
    <w:p>
      <w:pPr>
        <w:keepNext w:val="0"/>
        <w:keepLines w:val="0"/>
        <w:widowControl/>
        <w:numPr>
          <w:ilvl w:val="0"/>
          <w:numId w:val="0"/>
        </w:numPr>
        <w:suppressLineNumbers w:val="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单位，多证合一的需备注；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②</w:t>
      </w:r>
      <w:r>
        <w:rPr>
          <w:rFonts w:hint="default" w:ascii="Times New Roman" w:hAnsi="Times New Roman" w:eastAsia="方正仿宋_GBK" w:cs="Times New Roman"/>
          <w:bCs/>
          <w:color w:val="auto"/>
          <w:sz w:val="32"/>
          <w:szCs w:val="32"/>
          <w:highlight w:val="none"/>
          <w:lang w:val="en-US" w:eastAsia="zh-CN"/>
        </w:rPr>
        <w:t>具有</w:t>
      </w:r>
      <w:r>
        <w:rPr>
          <w:rFonts w:hint="eastAsia" w:ascii="Times New Roman" w:hAnsi="Times New Roman" w:eastAsia="方正仿宋_GBK" w:cs="Times New Roman"/>
          <w:bCs/>
          <w:color w:val="auto"/>
          <w:sz w:val="32"/>
          <w:szCs w:val="32"/>
          <w:highlight w:val="none"/>
          <w:lang w:val="en-US" w:eastAsia="zh-CN"/>
        </w:rPr>
        <w:t>中国银行保险监督管理委员会签发的保险许可证</w:t>
      </w:r>
      <w:r>
        <w:rPr>
          <w:rFonts w:hint="default" w:ascii="Times New Roman" w:hAnsi="Times New Roman" w:eastAsia="方正仿宋_GBK" w:cs="Times New Roman"/>
          <w:bCs/>
          <w:color w:val="auto"/>
          <w:sz w:val="32"/>
          <w:szCs w:val="32"/>
          <w:highlight w:val="none"/>
          <w:lang w:val="en-US" w:eastAsia="zh-CN"/>
        </w:rPr>
        <w:t>；</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报价人自2022年1月1日至报价截止日（以合同签订时间为准），至少具有1个港口保险业务的相关业绩。</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3.2 报价人没有被列入重庆高速公路集团有限公司黑名单。</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3.3 本项目不接受联合体询价。 </w:t>
      </w:r>
    </w:p>
    <w:p>
      <w:pPr>
        <w:keepNext w:val="0"/>
        <w:keepLines w:val="0"/>
        <w:widowControl/>
        <w:numPr>
          <w:ilvl w:val="0"/>
          <w:numId w:val="0"/>
        </w:numPr>
        <w:suppressLineNumbers w:val="0"/>
        <w:ind w:left="320" w:leftChars="0"/>
        <w:jc w:val="left"/>
        <w:rPr>
          <w:rFonts w:hint="eastAsia" w:ascii="黑体" w:hAnsi="黑体" w:eastAsia="黑体" w:cs="黑体"/>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 xml:space="preserve">4. 报价文件的递交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4.1 报价文件递交地点：</w:t>
      </w:r>
      <w:r>
        <w:rPr>
          <w:rFonts w:hint="eastAsia" w:ascii="Times New Roman" w:hAnsi="Times New Roman" w:eastAsia="方正仿宋_GBK" w:cs="Times New Roman"/>
          <w:bCs/>
          <w:color w:val="auto"/>
          <w:sz w:val="32"/>
          <w:szCs w:val="32"/>
          <w:highlight w:val="non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商贸</w:t>
      </w:r>
      <w:r>
        <w:rPr>
          <w:rFonts w:hint="default" w:ascii="Times New Roman" w:hAnsi="Times New Roman" w:eastAsia="方正仿宋_GBK" w:cs="Times New Roman"/>
          <w:bCs/>
          <w:color w:val="auto"/>
          <w:sz w:val="32"/>
          <w:szCs w:val="32"/>
          <w:highlight w:val="none"/>
          <w:lang w:val="en-US" w:eastAsia="zh-CN"/>
        </w:rPr>
        <w:t xml:space="preserve">部）。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4.2 报价文件递交截止时间：</w:t>
      </w:r>
      <w:r>
        <w:rPr>
          <w:rFonts w:hint="eastAsia" w:ascii="Times New Roman" w:hAnsi="Times New Roman" w:eastAsia="方正仿宋_GBK" w:cs="Times New Roman"/>
          <w:bCs/>
          <w:color w:val="auto"/>
          <w:sz w:val="32"/>
          <w:szCs w:val="32"/>
          <w:highlight w:val="none"/>
          <w:lang w:val="en-US" w:eastAsia="zh-CN"/>
        </w:rPr>
        <w:t>询价文件挂网截止日期后第1个工作日上午10点整。（公示时间为5个工作日）</w:t>
      </w:r>
      <w:r>
        <w:rPr>
          <w:rFonts w:hint="default" w:ascii="Times New Roman" w:hAnsi="Times New Roman" w:eastAsia="方正仿宋_GBK" w:cs="Times New Roman"/>
          <w:bCs/>
          <w:color w:val="auto"/>
          <w:sz w:val="32"/>
          <w:szCs w:val="32"/>
          <w:highlight w:val="none"/>
          <w:lang w:val="en-US" w:eastAsia="zh-CN"/>
        </w:rPr>
        <w:t xml:space="preserve">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4.3 逾期送达的、未送达指定地点的或者不按照询价文件要求密封的报价文件，将予以拒收。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4.4 采用邮寄等其他方式递交报价文件的，所有风险由报价人自行承担。 </w:t>
      </w:r>
    </w:p>
    <w:p>
      <w:pPr>
        <w:pStyle w:val="6"/>
        <w:spacing w:line="510" w:lineRule="exact"/>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黑体" w:cs="Times New Roman"/>
          <w:b w:val="0"/>
          <w:color w:val="auto"/>
          <w:highlight w:val="none"/>
          <w:lang w:eastAsia="zh-CN"/>
        </w:rPr>
        <w:t>5.发布公告的媒介</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5.1（公开询价）本次询价公告及结果公示将在重庆高速公路集团官方网站（http://www.cegc.com.cn/gw/newsInfoMenu.html?id=42&amp;key=2）、重庆高速公路集团有限公司招投标管理平台（</w:t>
      </w:r>
      <w:r>
        <w:rPr>
          <w:rFonts w:hint="default" w:ascii="Times New Roman" w:hAnsi="Times New Roman" w:eastAsia="方正仿宋_GBK" w:cs="Times New Roman"/>
          <w:bCs/>
          <w:color w:val="auto"/>
          <w:sz w:val="32"/>
          <w:szCs w:val="32"/>
          <w:highlight w:val="none"/>
          <w:lang w:val="en-US" w:eastAsia="zh-CN"/>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eastAsia="方正仿宋_GBK" w:cs="Times New Roman"/>
          <w:bCs/>
          <w:color w:val="auto"/>
          <w:sz w:val="32"/>
          <w:szCs w:val="32"/>
          <w:highlight w:val="none"/>
          <w:lang w:val="en-US" w:eastAsia="zh-CN"/>
        </w:rPr>
        <w:t xml:space="preserve">http://112.35.165.219:8088/PMS/）上发布。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5.2 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 </w:t>
      </w:r>
    </w:p>
    <w:p>
      <w:pPr>
        <w:keepNext w:val="0"/>
        <w:keepLines w:val="0"/>
        <w:widowControl/>
        <w:numPr>
          <w:ilvl w:val="0"/>
          <w:numId w:val="0"/>
        </w:numPr>
        <w:suppressLineNumbers w:val="0"/>
        <w:ind w:left="320" w:leftChars="0"/>
        <w:jc w:val="left"/>
        <w:rPr>
          <w:rFonts w:hint="default" w:ascii="仿宋_GB2312" w:hAnsi="仿宋_GB2312" w:eastAsia="仿宋_GB2312" w:cs="仿宋_GB2312"/>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6.联系方式</w:t>
      </w:r>
      <w:r>
        <w:rPr>
          <w:rFonts w:hint="default" w:ascii="仿宋_GB2312" w:hAnsi="仿宋_GB2312" w:eastAsia="仿宋_GB2312" w:cs="仿宋_GB2312"/>
          <w:color w:val="000000"/>
          <w:kern w:val="0"/>
          <w:sz w:val="32"/>
          <w:szCs w:val="32"/>
          <w:u w:val="none"/>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询价人：</w:t>
      </w:r>
      <w:r>
        <w:rPr>
          <w:rFonts w:hint="eastAsia" w:ascii="Times New Roman" w:hAnsi="Times New Roman" w:eastAsia="方正仿宋_GBK" w:cs="Times New Roman"/>
          <w:bCs/>
          <w:color w:val="auto"/>
          <w:sz w:val="32"/>
          <w:szCs w:val="32"/>
          <w:highlight w:val="none"/>
          <w:lang w:val="en-US" w:eastAsia="zh-CN"/>
        </w:rPr>
        <w:t xml:space="preserve">重庆航发三江港埠有限公司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地 址： 重庆市巴南区鱼洞滨江路佛耳岩码头</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联系人： </w:t>
      </w:r>
      <w:r>
        <w:rPr>
          <w:rFonts w:hint="eastAsia" w:ascii="Times New Roman" w:hAnsi="Times New Roman" w:eastAsia="方正仿宋_GBK" w:cs="Times New Roman"/>
          <w:bCs/>
          <w:color w:val="auto"/>
          <w:sz w:val="32"/>
          <w:szCs w:val="32"/>
          <w:highlight w:val="none"/>
          <w:lang w:val="en-US" w:eastAsia="zh-CN"/>
        </w:rPr>
        <w:t>宁女士</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电 话： </w:t>
      </w:r>
      <w:r>
        <w:rPr>
          <w:rFonts w:hint="eastAsia" w:ascii="Times New Roman" w:hAnsi="Times New Roman" w:eastAsia="方正仿宋_GBK" w:cs="Times New Roman"/>
          <w:bCs/>
          <w:color w:val="auto"/>
          <w:sz w:val="32"/>
          <w:szCs w:val="32"/>
          <w:highlight w:val="none"/>
          <w:lang w:val="en-US" w:eastAsia="zh-CN"/>
        </w:rPr>
        <w:t>13650567981</w:t>
      </w:r>
      <w:bookmarkStart w:id="0" w:name="_GoBack"/>
      <w:bookmarkEnd w:id="0"/>
    </w:p>
    <w:p>
      <w:pPr>
        <w:keepNext w:val="0"/>
        <w:keepLines w:val="0"/>
        <w:widowControl/>
        <w:numPr>
          <w:ilvl w:val="0"/>
          <w:numId w:val="0"/>
        </w:numPr>
        <w:suppressLineNumbers w:val="0"/>
        <w:ind w:left="320" w:leftChars="0"/>
        <w:jc w:val="left"/>
        <w:rPr>
          <w:rFonts w:hint="default" w:ascii="仿宋_GB2312" w:hAnsi="仿宋_GB2312" w:eastAsia="仿宋_GB2312" w:cs="仿宋_GB2312"/>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7.监督部门</w:t>
      </w:r>
      <w:r>
        <w:rPr>
          <w:rFonts w:hint="default" w:ascii="仿宋_GB2312" w:hAnsi="仿宋_GB2312" w:eastAsia="仿宋_GB2312" w:cs="仿宋_GB2312"/>
          <w:color w:val="000000"/>
          <w:kern w:val="0"/>
          <w:sz w:val="32"/>
          <w:szCs w:val="32"/>
          <w:u w:val="none"/>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监督部门：</w:t>
      </w:r>
      <w:r>
        <w:rPr>
          <w:rFonts w:hint="eastAsia" w:ascii="Times New Roman" w:hAnsi="Times New Roman" w:eastAsia="方正仿宋_GBK" w:cs="Times New Roman"/>
          <w:bCs/>
          <w:color w:val="auto"/>
          <w:sz w:val="32"/>
          <w:szCs w:val="32"/>
          <w:highlight w:val="none"/>
          <w:lang w:val="en-US" w:eastAsia="zh-CN"/>
        </w:rPr>
        <w:t xml:space="preserve">重庆航发三江港埠有限公司综合部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联系电话：</w:t>
      </w:r>
      <w:r>
        <w:rPr>
          <w:rFonts w:hint="eastAsia" w:ascii="Times New Roman" w:hAnsi="Times New Roman" w:eastAsia="方正仿宋_GBK" w:cs="Times New Roman"/>
          <w:bCs/>
          <w:color w:val="auto"/>
          <w:sz w:val="32"/>
          <w:szCs w:val="32"/>
          <w:highlight w:val="none"/>
          <w:lang w:val="en-US" w:eastAsia="zh-CN"/>
        </w:rPr>
        <w:t>023-89153175</w:t>
      </w:r>
      <w:r>
        <w:rPr>
          <w:rFonts w:hint="default" w:ascii="Times New Roman" w:hAnsi="Times New Roman" w:eastAsia="方正仿宋_GBK" w:cs="Times New Roman"/>
          <w:bCs/>
          <w:color w:val="auto"/>
          <w:sz w:val="32"/>
          <w:szCs w:val="32"/>
          <w:highlight w:val="none"/>
          <w:lang w:val="en-US" w:eastAsia="zh-CN"/>
        </w:rPr>
        <w:t xml:space="preserve">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en-US" w:eastAsia="zh-CN"/>
        </w:rPr>
        <w:t>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 xml:space="preserve"> 年</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 xml:space="preserve">月 </w:t>
      </w:r>
      <w:r>
        <w:rPr>
          <w:rFonts w:hint="eastAsia" w:ascii="Times New Roman" w:hAnsi="Times New Roman" w:eastAsia="方正仿宋_GBK" w:cs="Times New Roman"/>
          <w:bCs/>
          <w:color w:val="auto"/>
          <w:sz w:val="32"/>
          <w:szCs w:val="32"/>
          <w:highlight w:val="none"/>
          <w:lang w:val="en-US" w:eastAsia="zh-CN"/>
        </w:rPr>
        <w:t>14</w:t>
      </w:r>
      <w:r>
        <w:rPr>
          <w:rFonts w:hint="default" w:ascii="Times New Roman" w:hAnsi="Times New Roman" w:eastAsia="方正仿宋_GBK" w:cs="Times New Roman"/>
          <w:bCs/>
          <w:color w:val="auto"/>
          <w:sz w:val="32"/>
          <w:szCs w:val="32"/>
          <w:highlight w:val="none"/>
          <w:lang w:val="en-US" w:eastAsia="zh-CN"/>
        </w:rPr>
        <w:t xml:space="preserve"> 日</w:t>
      </w: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6"/>
        <w:spacing w:line="510" w:lineRule="exact"/>
        <w:rPr>
          <w:rFonts w:hint="eastAsia" w:ascii="仿宋_GB2312" w:hAnsi="仿宋_GB2312" w:eastAsia="仿宋_GB2312" w:cs="仿宋_GB2312"/>
          <w:b w:val="0"/>
          <w:color w:val="auto"/>
          <w:highlight w:val="none"/>
          <w:lang w:eastAsia="zh-CN"/>
        </w:rPr>
      </w:pPr>
    </w:p>
    <w:p>
      <w:pPr>
        <w:pStyle w:val="6"/>
        <w:spacing w:line="510" w:lineRule="exact"/>
        <w:rPr>
          <w:rFonts w:hint="eastAsia" w:ascii="黑体" w:hAnsi="黑体" w:eastAsia="黑体" w:cs="黑体"/>
          <w:b w:val="0"/>
          <w:color w:val="auto"/>
          <w:highlight w:val="none"/>
          <w:lang w:eastAsia="zh-CN"/>
        </w:rPr>
      </w:pPr>
      <w:r>
        <w:rPr>
          <w:rFonts w:hint="eastAsia" w:ascii="黑体" w:hAnsi="黑体" w:eastAsia="黑体" w:cs="黑体"/>
          <w:b w:val="0"/>
          <w:color w:val="auto"/>
          <w:highlight w:val="none"/>
          <w:lang w:eastAsia="zh-CN"/>
        </w:rPr>
        <w:t>1.报价文件要求</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1.1本项目总价最高限价为人民币壹拾玖万伍仟元（￥</w:t>
      </w:r>
      <w:r>
        <w:rPr>
          <w:rFonts w:hint="eastAsia" w:ascii="Times New Roman" w:hAnsi="Times New Roman" w:eastAsia="方正仿宋_GBK" w:cs="Times New Roman"/>
          <w:bCs/>
          <w:color w:val="auto"/>
          <w:sz w:val="32"/>
          <w:szCs w:val="32"/>
          <w:highlight w:val="none"/>
          <w:u w:val="single"/>
          <w:lang w:val="en-US" w:eastAsia="zh-CN"/>
        </w:rPr>
        <w:t>19.5万</w:t>
      </w:r>
      <w:r>
        <w:rPr>
          <w:rFonts w:hint="eastAsia" w:ascii="Times New Roman" w:hAnsi="Times New Roman" w:eastAsia="方正仿宋_GBK" w:cs="Times New Roman"/>
          <w:bCs/>
          <w:color w:val="auto"/>
          <w:sz w:val="32"/>
          <w:szCs w:val="32"/>
          <w:highlight w:val="none"/>
          <w:lang w:val="en-US" w:eastAsia="zh-CN"/>
        </w:rPr>
        <w:t>元）。报价人的报价不得高于最高限价，否则其报价文件将被否决。其它要求详见报价表中的报价说明。</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1.2报价文件内容格式详见第四章格式要求；装订采用A4纸幅面，不得采用活页夹等可随时拆换的方式装订，目录、页码齐全，正副本分开装订，封面注明正副本字样。</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1.3报价文件正本1份，副本1份，副本可以为正本的复印件。当副本与正本不一致时，以正本文件为准。</w:t>
      </w:r>
    </w:p>
    <w:p>
      <w:pPr>
        <w:keepNext w:val="0"/>
        <w:keepLines w:val="0"/>
        <w:widowControl/>
        <w:numPr>
          <w:ilvl w:val="0"/>
          <w:numId w:val="0"/>
        </w:numPr>
        <w:suppressLineNumbers w:val="0"/>
        <w:ind w:firstLine="640"/>
        <w:jc w:val="left"/>
        <w:rPr>
          <w:rFonts w:hint="eastAsia" w:ascii="仿宋_GB2312" w:hAnsi="仿宋_GB2312" w:eastAsia="仿宋_GB2312" w:cs="仿宋_GB2312"/>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1.4报价文件正副本一并装入一个封套中，密封完好并在封口处加盖报价人单位公章，否则其报价文件将被否决。封套上应注明：航发三江港埠公司保险购买项目，报价文件在询价文件挂网截止日期后第1个工作日上午10点整前不得开启。</w:t>
      </w:r>
    </w:p>
    <w:p>
      <w:pPr>
        <w:pStyle w:val="6"/>
        <w:spacing w:line="510" w:lineRule="exact"/>
        <w:rPr>
          <w:rFonts w:hint="eastAsia" w:ascii="黑体" w:hAnsi="黑体" w:eastAsia="黑体" w:cs="黑体"/>
          <w:b w:val="0"/>
          <w:color w:val="auto"/>
          <w:highlight w:val="none"/>
          <w:lang w:eastAsia="zh-CN"/>
        </w:rPr>
      </w:pPr>
      <w:r>
        <w:rPr>
          <w:rFonts w:hint="eastAsia" w:ascii="黑体" w:hAnsi="黑体" w:eastAsia="黑体" w:cs="黑体"/>
          <w:b w:val="0"/>
          <w:color w:val="auto"/>
          <w:highlight w:val="none"/>
          <w:lang w:eastAsia="zh-CN"/>
        </w:rPr>
        <w:t>2.评审办法</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1.本项目采用经评审的最低价法。</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评审小组按照</w:t>
      </w:r>
      <w:r>
        <w:rPr>
          <w:rFonts w:hint="eastAsia" w:ascii="Times New Roman" w:hAnsi="Times New Roman" w:eastAsia="方正仿宋_GBK" w:cs="Times New Roman"/>
          <w:bCs/>
          <w:color w:val="auto"/>
          <w:sz w:val="32"/>
          <w:szCs w:val="32"/>
          <w:highlight w:val="none"/>
          <w:lang w:val="en-US" w:eastAsia="zh-CN"/>
        </w:rPr>
        <w:t>询价文件内容要求对报价文件进行审查。包括以下方面：</w:t>
      </w:r>
    </w:p>
    <w:p>
      <w:pPr>
        <w:pStyle w:val="2"/>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形式审查：按第四章报价文件内容进行审查。</w:t>
      </w:r>
      <w:r>
        <w:rPr>
          <w:rFonts w:hint="eastAsia" w:ascii="Times New Roman" w:hAnsi="Times New Roman" w:eastAsia="方正仿宋_GBK" w:cs="Times New Roman"/>
          <w:bCs/>
          <w:color w:val="auto"/>
          <w:sz w:val="32"/>
          <w:szCs w:val="32"/>
          <w:lang w:val="en-US" w:eastAsia="zh-CN"/>
        </w:rPr>
        <w:t>（形式审查的内容一般包括：投标人名称一致性、投标文件格式、投标文件的签署、</w:t>
      </w:r>
      <w:r>
        <w:rPr>
          <w:rFonts w:hint="eastAsia" w:ascii="Times New Roman" w:hAnsi="Times New Roman" w:eastAsia="方正仿宋_GBK" w:cs="Times New Roman"/>
          <w:bCs/>
          <w:color w:val="auto"/>
          <w:sz w:val="32"/>
          <w:szCs w:val="32"/>
          <w:highlight w:val="none"/>
          <w:lang w:val="en-US" w:eastAsia="zh-CN"/>
        </w:rPr>
        <w:t>委托代理人</w:t>
      </w:r>
      <w:r>
        <w:rPr>
          <w:rFonts w:hint="eastAsia" w:ascii="Times New Roman" w:hAnsi="Times New Roman" w:eastAsia="方正仿宋_GBK"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资格审查</w:t>
      </w:r>
      <w:r>
        <w:rPr>
          <w:rFonts w:hint="eastAsia" w:ascii="Times New Roman" w:hAnsi="Times New Roman" w:eastAsia="方正仿宋_GBK" w:cs="Times New Roman"/>
          <w:bCs/>
          <w:color w:val="auto"/>
          <w:sz w:val="32"/>
          <w:szCs w:val="32"/>
          <w:highlight w:val="none"/>
          <w:lang w:val="en-US" w:eastAsia="zh-CN"/>
        </w:rPr>
        <w:t>：按</w:t>
      </w:r>
      <w:r>
        <w:rPr>
          <w:rFonts w:hint="default" w:ascii="Times New Roman" w:hAnsi="Times New Roman" w:eastAsia="方正仿宋_GBK" w:cs="Times New Roman"/>
          <w:bCs/>
          <w:color w:val="auto"/>
          <w:sz w:val="32"/>
          <w:szCs w:val="32"/>
          <w:highlight w:val="none"/>
          <w:lang w:val="en-US" w:eastAsia="zh-CN"/>
        </w:rPr>
        <w:t>第一章第</w:t>
      </w:r>
      <w:r>
        <w:rPr>
          <w:rFonts w:hint="eastAsia" w:ascii="Times New Roman" w:hAnsi="Times New Roman" w:eastAsia="方正仿宋_GBK" w:cs="Times New Roman"/>
          <w:bCs/>
          <w:color w:val="auto"/>
          <w:sz w:val="32"/>
          <w:szCs w:val="32"/>
          <w:highlight w:val="none"/>
          <w:lang w:val="en-US" w:eastAsia="zh-CN"/>
        </w:rPr>
        <w:t>3条</w:t>
      </w:r>
      <w:r>
        <w:rPr>
          <w:rFonts w:hint="default" w:ascii="Times New Roman" w:hAnsi="Times New Roman" w:eastAsia="方正仿宋_GBK" w:cs="Times New Roman"/>
          <w:bCs/>
          <w:color w:val="auto"/>
          <w:sz w:val="32"/>
          <w:szCs w:val="32"/>
          <w:highlight w:val="none"/>
          <w:lang w:val="en-US" w:eastAsia="zh-CN"/>
        </w:rPr>
        <w:t>款进行</w:t>
      </w:r>
      <w:r>
        <w:rPr>
          <w:rFonts w:hint="eastAsia"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资格审查的内容一般包括：资质、营业执照、安全生产条件、财务要求、业绩要求、项目经理资格要求、其他要求。）</w:t>
      </w:r>
    </w:p>
    <w:p>
      <w:pPr>
        <w:pStyle w:val="2"/>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响应性评审：按第三章进行。</w:t>
      </w:r>
      <w:r>
        <w:rPr>
          <w:rFonts w:hint="eastAsia" w:ascii="Times New Roman" w:hAnsi="Times New Roman" w:eastAsia="方正仿宋_GBK" w:cs="Times New Roman"/>
          <w:bCs/>
          <w:color w:val="auto"/>
          <w:sz w:val="32"/>
          <w:szCs w:val="32"/>
          <w:lang w:val="en-US" w:eastAsia="zh-CN"/>
        </w:rPr>
        <w:t>（响应性评审的内容一般包括：投标内容、权利义务、实质性要求）</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highlight w:val="none"/>
          <w:lang w:val="en-US" w:eastAsia="zh-CN"/>
        </w:rPr>
        <w:t>投标函部分及经济部分评审标准：按第三章、第四章进行。</w:t>
      </w:r>
      <w:r>
        <w:rPr>
          <w:rFonts w:hint="eastAsia" w:ascii="Times New Roman" w:hAnsi="Times New Roman" w:eastAsia="方正仿宋_GBK" w:cs="Times New Roman"/>
          <w:bCs/>
          <w:color w:val="auto"/>
          <w:sz w:val="32"/>
          <w:szCs w:val="32"/>
          <w:lang w:val="en-US" w:eastAsia="zh-CN"/>
        </w:rPr>
        <w:t>（这部分的审查一般包括：投标函的签署、工期、工程质量、投标有效期、投标总报价、报价唯一、暂定金额、已标价工程量清单、投标报价算数错误校正。）</w:t>
      </w:r>
    </w:p>
    <w:p>
      <w:pPr>
        <w:pStyle w:val="2"/>
        <w:numPr>
          <w:ilvl w:val="0"/>
          <w:numId w:val="0"/>
        </w:numPr>
        <w:ind w:leftChars="0"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3.对于经评审不合格的报价人的投标，将作为废标处理。</w:t>
      </w:r>
    </w:p>
    <w:p>
      <w:pPr>
        <w:pStyle w:val="2"/>
        <w:numPr>
          <w:ilvl w:val="0"/>
          <w:numId w:val="0"/>
        </w:numPr>
        <w:ind w:firstLine="640" w:firstLineChars="200"/>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4.对于经评审合格的</w:t>
      </w:r>
      <w:r>
        <w:rPr>
          <w:rFonts w:hint="default" w:ascii="Times New Roman" w:hAnsi="Times New Roman" w:eastAsia="方正仿宋_GBK" w:cs="Times New Roman"/>
          <w:bCs/>
          <w:color w:val="auto"/>
          <w:kern w:val="2"/>
          <w:sz w:val="32"/>
          <w:szCs w:val="32"/>
          <w:highlight w:val="none"/>
          <w:lang w:val="en-US" w:eastAsia="zh-CN" w:bidi="ar-SA"/>
        </w:rPr>
        <w:t>报价人</w:t>
      </w:r>
      <w:r>
        <w:rPr>
          <w:rFonts w:hint="eastAsia" w:ascii="Times New Roman" w:hAnsi="Times New Roman" w:eastAsia="方正仿宋_GBK" w:cs="Times New Roman"/>
          <w:bCs/>
          <w:color w:val="auto"/>
          <w:kern w:val="2"/>
          <w:sz w:val="32"/>
          <w:szCs w:val="32"/>
          <w:highlight w:val="none"/>
          <w:lang w:val="en-US" w:eastAsia="zh-CN" w:bidi="ar-SA"/>
        </w:rPr>
        <w:t>，评审小组</w:t>
      </w:r>
      <w:r>
        <w:rPr>
          <w:rFonts w:hint="default" w:ascii="Times New Roman" w:hAnsi="Times New Roman" w:eastAsia="方正仿宋_GBK" w:cs="Times New Roman"/>
          <w:bCs/>
          <w:color w:val="auto"/>
          <w:kern w:val="2"/>
          <w:sz w:val="32"/>
          <w:szCs w:val="32"/>
          <w:highlight w:val="none"/>
          <w:lang w:val="en-US" w:eastAsia="zh-CN" w:bidi="ar-SA"/>
        </w:rPr>
        <w:t>按报价由低到高推荐中标候选人。若出现报价人投标报价相同的，单个业绩合同金额大的优先。</w:t>
      </w:r>
    </w:p>
    <w:p>
      <w:pPr>
        <w:pStyle w:val="11"/>
        <w:bidi w:val="0"/>
        <w:rPr>
          <w:rFonts w:hint="default"/>
          <w:lang w:val="en-US" w:eastAsia="zh-CN"/>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en-US" w:eastAsia="zh-CN"/>
        </w:rPr>
        <w:t>第三章 合同条款与格式</w:t>
      </w:r>
    </w:p>
    <w:p>
      <w:pPr>
        <w:keepNext w:val="0"/>
        <w:keepLines w:val="0"/>
        <w:widowControl/>
        <w:suppressLineNumbers w:val="0"/>
        <w:jc w:val="left"/>
        <w:rPr>
          <w:rFonts w:hint="eastAsia" w:ascii="楷体_GB2312" w:hAnsi="楷体_GB2312" w:eastAsia="楷体_GB2312" w:cs="楷体_GB2312"/>
        </w:rPr>
      </w:pPr>
      <w:r>
        <w:rPr>
          <w:rFonts w:hint="eastAsia" w:ascii="楷体_GB2312" w:hAnsi="楷体_GB2312" w:eastAsia="楷体_GB2312" w:cs="楷体_GB2312"/>
          <w:color w:val="000000"/>
          <w:kern w:val="0"/>
          <w:sz w:val="31"/>
          <w:szCs w:val="31"/>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参考保险公司提供的保险合同内容条款及格式。</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黑体" w:hAnsi="黑体" w:eastAsia="黑体" w:cs="黑体"/>
          <w:color w:val="000000"/>
          <w:kern w:val="0"/>
          <w:sz w:val="32"/>
          <w:szCs w:val="32"/>
          <w:lang w:val="en-US" w:eastAsia="zh-CN" w:bidi="ar"/>
        </w:rPr>
        <w:t>1.合同范围</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（1）安全生产责任险内容： 佛耳岩码头、石盘沱码头、下塘口码头的安全生产责任险包括各码头自身人员和派遣人员的安全生产责任险，保险赔偿范围要包括死亡赔偿和医疗赔偿，参保人数约98人以系统提供的人员清单为准；三者责任险，保险赔偿范围与自身人员及派遣人员一样。</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保险赔付限额：死亡最高赔付30万元/人，医疗最高赔付3万元/人，免赔限额无。</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（2）码头营运人责任险内容：佛耳岩码头（含一期和二期）装卸作业全过程中仓储及落地后所有货物的损失；因佛耳岩码头（含一期和二期）的作业行为对第三者的财产和人身的伤害及损失。</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保险赔付限额：年度保险最高赔付总额300万元，单次保险最高赔付金额100万元，免赔限额无。</w:t>
      </w:r>
    </w:p>
    <w:p>
      <w:pPr>
        <w:keepNext w:val="0"/>
        <w:keepLines w:val="0"/>
        <w:widowControl/>
        <w:suppressLineNumbers w:val="0"/>
        <w:jc w:val="left"/>
        <w:rPr>
          <w:rFonts w:hint="eastAsia" w:ascii="仿宋_GB2312" w:hAnsi="仿宋_GB2312" w:eastAsia="仿宋_GB2312" w:cs="仿宋_GB2312"/>
        </w:rPr>
      </w:pPr>
      <w:r>
        <w:rPr>
          <w:rFonts w:hint="eastAsia" w:ascii="黑体" w:hAnsi="黑体" w:eastAsia="黑体" w:cs="黑体"/>
          <w:color w:val="000000"/>
          <w:kern w:val="0"/>
          <w:sz w:val="32"/>
          <w:szCs w:val="32"/>
          <w:lang w:val="en-US" w:eastAsia="zh-CN" w:bidi="ar"/>
        </w:rPr>
        <w:t>2.合同签订</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甲方：重庆航发三江港埠有限公司佛耳岩码头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u w:val="single"/>
          <w:lang w:val="en-US" w:eastAsia="zh-CN"/>
        </w:rPr>
      </w:pPr>
      <w:r>
        <w:rPr>
          <w:rFonts w:hint="eastAsia" w:ascii="Times New Roman" w:hAnsi="Times New Roman" w:eastAsia="方正仿宋_GBK" w:cs="Times New Roman"/>
          <w:bCs/>
          <w:color w:val="auto"/>
          <w:sz w:val="32"/>
          <w:szCs w:val="32"/>
          <w:highlight w:val="none"/>
          <w:lang w:val="en-US" w:eastAsia="zh-CN"/>
        </w:rPr>
        <w:t>乙方：</w:t>
      </w:r>
      <w:r>
        <w:rPr>
          <w:rFonts w:hint="eastAsia" w:ascii="Times New Roman" w:hAnsi="Times New Roman" w:eastAsia="方正仿宋_GBK" w:cs="Times New Roman"/>
          <w:bCs/>
          <w:color w:val="auto"/>
          <w:sz w:val="32"/>
          <w:szCs w:val="32"/>
          <w:highlight w:val="none"/>
          <w:u w:val="single"/>
          <w:lang w:val="en-US" w:eastAsia="zh-CN"/>
        </w:rPr>
        <w:t xml:space="preserve">               </w:t>
      </w:r>
    </w:p>
    <w:p>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3.合同价格与支付方式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3.1 合同价格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价格：合同总价（大写）</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lang w:val="en-US" w:eastAsia="zh-CN"/>
        </w:rPr>
        <w:t>元整，（¥         ）。</w:t>
      </w:r>
    </w:p>
    <w:p>
      <w:pPr>
        <w:keepNext w:val="0"/>
        <w:keepLines w:val="0"/>
        <w:widowControl/>
        <w:suppressLineNumbers w:val="0"/>
        <w:ind w:firstLine="640" w:firstLineChars="200"/>
        <w:jc w:val="left"/>
        <w:rPr>
          <w:rFonts w:hint="eastAsia" w:ascii="仿宋_GB2312" w:hAnsi="仿宋_GB2312" w:eastAsia="仿宋_GB2312" w:cs="仿宋_GB2312"/>
        </w:rPr>
      </w:pPr>
      <w:r>
        <w:rPr>
          <w:rFonts w:hint="eastAsia" w:ascii="Times New Roman" w:hAnsi="Times New Roman" w:eastAsia="方正仿宋_GBK" w:cs="Times New Roman"/>
          <w:bCs/>
          <w:color w:val="auto"/>
          <w:sz w:val="32"/>
          <w:szCs w:val="32"/>
          <w:highlight w:val="none"/>
          <w:lang w:val="en-US" w:eastAsia="zh-CN"/>
        </w:rPr>
        <w:t>本项目为固定总价合同。合同总价包括但不限于乙方完成合同内容所需的保险费、劳务费、差旅食宿、工本费、管理法、利润、税费，以及合同明示或暗示的风险、责任和义务等所发生的其他全部费用。乙方所报总价在合同有效期内固定不变，即合同总价不因国家和地方政策调整、物价变动等因数的影响而调整。</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3.2 合同支付 </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（1）付款方式：发包人采用银行转账方式支付。</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（2）签订合同之后，乙方提出合同支付申请，甲方在10个工作日内支付全部合同总额。乙方应在提出支付申请的同时，开具等额增值税专用发票给甲方，否则甲方有权不予支付相应款项。</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（3）乙方的收款账户</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户名：</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开户行：</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账号：</w:t>
      </w:r>
    </w:p>
    <w:p>
      <w:pPr>
        <w:pStyle w:val="11"/>
        <w:ind w:left="0" w:leftChars="0" w:firstLine="0" w:firstLineChars="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4.合同期限</w:t>
      </w:r>
    </w:p>
    <w:p>
      <w:pPr>
        <w:pStyle w:val="11"/>
        <w:ind w:left="0" w:leftChars="0" w:firstLine="620" w:firstLineChars="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合同期限以合同签订之日起一年有效。</w:t>
      </w:r>
    </w:p>
    <w:p>
      <w:pPr>
        <w:pStyle w:val="11"/>
        <w:numPr>
          <w:ilvl w:val="0"/>
          <w:numId w:val="2"/>
        </w:numPr>
        <w:ind w:left="0" w:leftChars="0" w:firstLine="0" w:firstLineChars="0"/>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附件</w:t>
      </w:r>
    </w:p>
    <w:p>
      <w:pPr>
        <w:keepNext w:val="0"/>
        <w:keepLines w:val="0"/>
        <w:widowControl/>
        <w:suppressLineNumbers w:val="0"/>
        <w:jc w:val="left"/>
        <w:rPr>
          <w:rFonts w:hint="eastAsia" w:ascii="Times New Roman" w:hAnsi="Times New Roman" w:eastAsia="方正仿宋_GBK" w:cs="Times New Roman"/>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 xml:space="preserve">  附件：</w:t>
      </w:r>
      <w:r>
        <w:rPr>
          <w:rFonts w:hint="eastAsia" w:ascii="Times New Roman" w:hAnsi="Times New Roman" w:eastAsia="方正仿宋_GBK" w:cs="Times New Roman"/>
          <w:bCs/>
          <w:color w:val="auto"/>
          <w:kern w:val="2"/>
          <w:sz w:val="32"/>
          <w:szCs w:val="32"/>
          <w:highlight w:val="none"/>
          <w:lang w:val="en-US" w:eastAsia="zh-CN" w:bidi="ar-SA"/>
        </w:rPr>
        <w:t xml:space="preserve"> 廉政合同</w:t>
      </w:r>
    </w:p>
    <w:p>
      <w:pPr>
        <w:keepNext w:val="0"/>
        <w:keepLines w:val="0"/>
        <w:widowControl/>
        <w:suppressLineNumbers w:val="0"/>
        <w:jc w:val="left"/>
        <w:rPr>
          <w:rFonts w:hint="default" w:ascii="黑体" w:hAnsi="黑体" w:eastAsia="黑体" w:cs="黑体"/>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 xml:space="preserve">  </w:t>
      </w:r>
      <w:r>
        <w:rPr>
          <w:rFonts w:hint="eastAsia" w:ascii="黑体" w:hAnsi="黑体" w:eastAsia="黑体" w:cs="黑体"/>
          <w:bCs/>
          <w:color w:val="auto"/>
          <w:kern w:val="2"/>
          <w:sz w:val="32"/>
          <w:szCs w:val="32"/>
          <w:highlight w:val="none"/>
          <w:lang w:val="en-US" w:eastAsia="zh-CN" w:bidi="ar-SA"/>
        </w:rPr>
        <w:t xml:space="preserve"> </w:t>
      </w:r>
    </w:p>
    <w:p>
      <w:pPr>
        <w:pStyle w:val="11"/>
        <w:ind w:left="0" w:leftChars="0" w:firstLine="0" w:firstLineChars="0"/>
        <w:rPr>
          <w:rFonts w:hint="default"/>
          <w:lang w:val="en-US" w:eastAsia="zh-CN"/>
        </w:rPr>
      </w:pPr>
    </w:p>
    <w:p>
      <w:pPr>
        <w:keepNext w:val="0"/>
        <w:keepLines w:val="0"/>
        <w:widowControl/>
        <w:suppressLineNumbers w:val="0"/>
        <w:jc w:val="left"/>
        <w:rPr>
          <w:rFonts w:hint="eastAsia" w:ascii="黑体" w:hAnsi="黑体" w:eastAsia="黑体" w:cs="黑体"/>
          <w:bCs/>
          <w:color w:val="auto"/>
          <w:kern w:val="2"/>
          <w:sz w:val="32"/>
          <w:szCs w:val="32"/>
          <w:highlight w:val="none"/>
          <w:lang w:val="en-US" w:eastAsia="zh-CN" w:bidi="ar-SA"/>
        </w:rPr>
      </w:pPr>
    </w:p>
    <w:p>
      <w:pPr>
        <w:keepNext w:val="0"/>
        <w:keepLines w:val="0"/>
        <w:widowControl/>
        <w:suppressLineNumbers w:val="0"/>
        <w:jc w:val="left"/>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 xml:space="preserve">附件  </w:t>
      </w:r>
    </w:p>
    <w:p>
      <w:pPr>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廉政合同</w:t>
      </w:r>
    </w:p>
    <w:p>
      <w:pPr>
        <w:pStyle w:val="11"/>
        <w:rPr>
          <w:rFonts w:hint="eastAsia"/>
        </w:rPr>
      </w:pP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根据有关工程建设、廉政建设的规定，为做好工程建设中的党风廉政建设，保证工程建设高效优质，保证建设资金的安全和有效使用以及投资效益，建设工程的业主方（以下简称业主方）、与中标单位（全称）（以下简称“设计方”），特订立如下合同。</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l.双方的权利和义务</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（1）严格遵守党的政策规定和国家有关法律法规的有关规定。</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（2）严格执行（项目名称）工程的合同文件，自觉按合同办事。</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（3）双方的业务活动坚持公开、公正、诚信、透明的原则（法律认定的商业秘密和合同文件另有规定除外），不得损害国家和集体利益，违反工程建设管理规章制度。</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（4）建立健全廉政制度，开展廉政教育，设立廉政告示牌，公布举报电话，监督并认真查处违法违纪行为。</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（5）发现对方在业务活动中有违反廉政规定的行为，有及时提醒对方纠正的权利和义务。</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（6）发现对方严重违反本合同义务条款的行为，有向其上级有关部门举报、建议给予处理并要求告知处理结果的权利。</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2.业主方的义务</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（1）业主方及其工作人员不得索要或接受设计方的礼金、有价证券和贵重物品，不得在设计方报销任何应由业主方或业主方工作人员个人支付的费用等。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（2）业主方及工作人员不得参加设计方安排的超标准宴请和娱乐活动；不得接受设计方提供的通讯工具、交通工具和高档办公用品等。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（3）业主方及其工作人员不得要求或者接受设计方为其住房装修、婚丧嫁娶活动、配偶子女的工作安排以及出国出境、旅游等提供方便等。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（4）业主方及工作人员及其配偶、子女不得从事与工程有关的材料设备供应、工程分包、劳务等经济活动等。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（5）业主方及其工作人员不得以任何理由向设计方推荐分包单位或推销材料，不得要求设计方购买合同现定外的材料和设备。</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（6）业主方及工作人员要秉公办事，不准营私舞弊，不准利用职权从事各种个人有偿中介活动和安排个人施工队伍。</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3.设计方义务</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（1）设计方不得以任何理由向业主方及其工作人员行贿或馈赠礼金、有价证券、贵重礼品。</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（2）设计方不得以任何名义为业主方及其工作人员报销应由业主方及项目管理方单位或个人支付的任何费用。</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（3）设计方不得以任何理由安排业主方工作人员参加超标准宴请及娱乐活动。</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（4）设计方不得为业主方及项目管理方单位和个人购置或提供通讯工具、交通工具和高档办公用品等。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4.违约责任</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（1）业主方及项目管理方及其工作人员违反本合同第一、二条，按管理权限，依据有关规定给予党纪、政纪或组织处理；涉嫌犯罪的，移交司法机关追究刑事责任；给设计方单位造成经济损失的，应予以赔偿。</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设计方及其工作人员违反本合同第一、三条，按管理权限，依据有关规定给予党纪、政纪或组织处理；给业主方及项目管理方单位造成经济损失的，应予以赔偿；情节严重的，业主方及项目管理方建议行政主管部门给予设计方一至三年内不得进人其主管的工程建设市场的处罚。</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5.反商业贿赂</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（5）如因一方或一方经办人违反上述第（2）款、第（3）款、第（4）款之规定，给其他方造成损失的，应承担损害赔偿责任。</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（6）本条所称“其他相关人员”是指各方经办人以外的与合同有直接或间接利益关系的人员，包括但不仅限于合同经办人的亲友。</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7.本合同有效期为签署之日起至该工程项目竣工验收后止。</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8.本合同作为本设计合同的附件，与设计合同具有同等的法律效力，经合同三方签署立即生效。</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9.本合同一式拾贰份，由双方各执伍份，送交双方的监督单位各一份。</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业主：</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 xml:space="preserve">法定代表人 ： </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或委托代理人：</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地址：</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电话：</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日期：</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 xml:space="preserve">监督单位：（全称）（盖章） </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设计方：</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法定代表人：</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或委托代理人：</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地址：</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电话：</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日期：</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乙方监督单位：（全称）（盖章）</w:t>
      </w:r>
    </w:p>
    <w:p>
      <w:pPr>
        <w:pStyle w:val="11"/>
        <w:ind w:left="0" w:leftChars="0" w:firstLine="0" w:firstLineChars="0"/>
        <w:rPr>
          <w:rFonts w:hint="eastAsia" w:ascii="Times New Roman" w:hAnsi="Times New Roman" w:eastAsia="方正仿宋_GBK" w:cs="Times New Roman"/>
          <w:bCs/>
          <w:color w:val="auto"/>
          <w:kern w:val="2"/>
          <w:sz w:val="32"/>
          <w:szCs w:val="32"/>
          <w:highlight w:val="none"/>
          <w:lang w:val="en-US" w:eastAsia="zh-CN" w:bidi="ar-SA"/>
        </w:rPr>
      </w:pPr>
    </w:p>
    <w:p>
      <w:pPr>
        <w:pStyle w:val="11"/>
        <w:ind w:left="0" w:leftChars="0" w:firstLine="0" w:firstLineChars="0"/>
        <w:rPr>
          <w:rFonts w:hint="eastAsia" w:ascii="Times New Roman" w:hAnsi="Times New Roman" w:eastAsia="方正仿宋_GBK" w:cs="Times New Roman"/>
          <w:bCs/>
          <w:color w:val="auto"/>
          <w:kern w:val="2"/>
          <w:sz w:val="32"/>
          <w:szCs w:val="32"/>
          <w:highlight w:val="none"/>
          <w:lang w:val="en-US" w:eastAsia="zh-CN" w:bidi="ar-SA"/>
        </w:r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kern w:val="0"/>
          <w:sz w:val="44"/>
          <w:szCs w:val="44"/>
          <w:highlight w:val="none"/>
          <w:lang w:val="en-US" w:eastAsia="zh-CN"/>
        </w:rPr>
      </w:pPr>
      <w:r>
        <w:rPr>
          <w:rFonts w:hint="eastAsia" w:ascii="Times New Roman" w:hAnsi="Times New Roman" w:eastAsia="方正小标宋_GBK" w:cs="Times New Roman"/>
          <w:bCs/>
          <w:color w:val="auto"/>
          <w:kern w:val="0"/>
          <w:sz w:val="44"/>
          <w:szCs w:val="44"/>
          <w:highlight w:val="none"/>
          <w:lang w:val="en-US" w:eastAsia="zh-CN"/>
        </w:rPr>
        <w:t>报价文件格式</w:t>
      </w:r>
    </w:p>
    <w:p>
      <w:pPr>
        <w:pStyle w:val="11"/>
        <w:rPr>
          <w:rFonts w:hint="eastAsia" w:ascii="仿宋_GB2312" w:hAnsi="仿宋_GB2312" w:eastAsia="仿宋_GB2312" w:cs="仿宋_GB2312"/>
          <w:color w:val="000000"/>
          <w:kern w:val="0"/>
          <w:sz w:val="43"/>
          <w:szCs w:val="43"/>
          <w:lang w:val="en-US" w:eastAsia="zh-CN" w:bidi="ar"/>
        </w:rPr>
      </w:pPr>
    </w:p>
    <w:p>
      <w:pPr>
        <w:pStyle w:val="11"/>
        <w:rPr>
          <w:rFonts w:hint="eastAsia" w:ascii="仿宋_GB2312" w:hAnsi="仿宋_GB2312" w:eastAsia="仿宋_GB2312" w:cs="仿宋_GB2312"/>
          <w:color w:val="000000"/>
          <w:kern w:val="0"/>
          <w:sz w:val="43"/>
          <w:szCs w:val="43"/>
          <w:lang w:val="en-US" w:eastAsia="zh-CN" w:bidi="ar"/>
        </w:rPr>
      </w:pPr>
    </w:p>
    <w:p>
      <w:pPr>
        <w:pStyle w:val="11"/>
        <w:rPr>
          <w:rFonts w:hint="eastAsia" w:ascii="仿宋_GB2312" w:hAnsi="仿宋_GB2312" w:eastAsia="仿宋_GB2312" w:cs="仿宋_GB2312"/>
          <w:color w:val="000000"/>
          <w:kern w:val="0"/>
          <w:sz w:val="43"/>
          <w:szCs w:val="43"/>
          <w:lang w:val="en-US" w:eastAsia="zh-CN" w:bidi="ar"/>
        </w:rPr>
      </w:pPr>
    </w:p>
    <w:p>
      <w:pPr>
        <w:autoSpaceDE w:val="0"/>
        <w:autoSpaceDN w:val="0"/>
        <w:adjustRightInd w:val="0"/>
        <w:spacing w:line="360" w:lineRule="auto"/>
        <w:jc w:val="center"/>
        <w:rPr>
          <w:rFonts w:hint="eastAsia" w:ascii="Times New Roman" w:hAnsi="Times New Roman" w:eastAsia="方正小标宋_GBK" w:cs="Times New Roman"/>
          <w:bCs/>
          <w:color w:val="auto"/>
          <w:kern w:val="0"/>
          <w:sz w:val="48"/>
          <w:szCs w:val="48"/>
          <w:highlight w:val="none"/>
          <w:lang w:val="en-US" w:eastAsia="zh-CN"/>
        </w:rPr>
      </w:pPr>
      <w:r>
        <w:rPr>
          <w:rFonts w:hint="eastAsia" w:ascii="Times New Roman" w:hAnsi="Times New Roman" w:eastAsia="方正小标宋_GBK" w:cs="Times New Roman"/>
          <w:bCs/>
          <w:color w:val="auto"/>
          <w:kern w:val="0"/>
          <w:sz w:val="48"/>
          <w:szCs w:val="48"/>
          <w:highlight w:val="none"/>
          <w:lang w:val="en-US" w:eastAsia="zh-CN"/>
        </w:rPr>
        <w:t>XXXX项目</w:t>
      </w:r>
    </w:p>
    <w:p>
      <w:pPr>
        <w:pStyle w:val="11"/>
        <w:rPr>
          <w:rFonts w:hint="eastAsia" w:ascii="仿宋_GB2312" w:hAnsi="仿宋_GB2312" w:eastAsia="仿宋_GB2312" w:cs="仿宋_GB2312"/>
          <w:color w:val="000000"/>
          <w:kern w:val="0"/>
          <w:sz w:val="48"/>
          <w:szCs w:val="48"/>
          <w:lang w:val="en-US" w:eastAsia="zh-CN" w:bidi="ar"/>
        </w:rPr>
      </w:pPr>
    </w:p>
    <w:p>
      <w:pPr>
        <w:pStyle w:val="11"/>
        <w:rPr>
          <w:rFonts w:hint="eastAsia" w:ascii="仿宋_GB2312" w:hAnsi="仿宋_GB2312" w:eastAsia="仿宋_GB2312" w:cs="仿宋_GB2312"/>
          <w:color w:val="000000"/>
          <w:kern w:val="0"/>
          <w:sz w:val="48"/>
          <w:szCs w:val="48"/>
          <w:lang w:val="en-US" w:eastAsia="zh-CN" w:bidi="ar"/>
        </w:rPr>
      </w:pPr>
    </w:p>
    <w:p>
      <w:pPr>
        <w:pStyle w:val="11"/>
        <w:rPr>
          <w:rFonts w:hint="eastAsia" w:ascii="仿宋_GB2312" w:hAnsi="仿宋_GB2312" w:eastAsia="仿宋_GB2312" w:cs="仿宋_GB2312"/>
          <w:color w:val="000000"/>
          <w:kern w:val="0"/>
          <w:sz w:val="48"/>
          <w:szCs w:val="48"/>
          <w:lang w:val="en-US" w:eastAsia="zh-CN" w:bidi="ar"/>
        </w:rPr>
      </w:pPr>
    </w:p>
    <w:p>
      <w:pPr>
        <w:pStyle w:val="11"/>
        <w:rPr>
          <w:rFonts w:hint="eastAsia" w:ascii="仿宋_GB2312" w:hAnsi="仿宋_GB2312" w:eastAsia="仿宋_GB2312" w:cs="仿宋_GB2312"/>
          <w:color w:val="000000"/>
          <w:kern w:val="0"/>
          <w:sz w:val="48"/>
          <w:szCs w:val="48"/>
          <w:lang w:val="en-US" w:eastAsia="zh-CN" w:bidi="ar"/>
        </w:rPr>
      </w:pPr>
    </w:p>
    <w:p>
      <w:pPr>
        <w:jc w:val="center"/>
        <w:rPr>
          <w:rFonts w:hint="eastAsia" w:ascii="Times New Roman" w:hAnsi="Times New Roman" w:eastAsia="方正小标宋_GBK" w:cs="Times New Roman"/>
          <w:color w:val="auto"/>
          <w:kern w:val="0"/>
          <w:sz w:val="72"/>
          <w:szCs w:val="72"/>
          <w:highlight w:val="none"/>
          <w:lang w:val="en-US" w:eastAsia="zh-CN"/>
        </w:rPr>
      </w:pPr>
      <w:r>
        <w:rPr>
          <w:rFonts w:hint="eastAsia" w:ascii="Times New Roman" w:hAnsi="Times New Roman" w:eastAsia="方正小标宋_GBK" w:cs="Times New Roman"/>
          <w:color w:val="auto"/>
          <w:kern w:val="0"/>
          <w:sz w:val="72"/>
          <w:szCs w:val="72"/>
          <w:highlight w:val="none"/>
          <w:lang w:val="en-US" w:eastAsia="zh-CN"/>
        </w:rPr>
        <w:t>报价文件</w:t>
      </w:r>
    </w:p>
    <w:p>
      <w:pPr>
        <w:pStyle w:val="11"/>
        <w:ind w:left="0" w:leftChars="0" w:firstLine="0" w:firstLineChars="0"/>
        <w:rPr>
          <w:rFonts w:hint="eastAsia" w:ascii="仿宋_GB2312" w:hAnsi="仿宋_GB2312" w:eastAsia="仿宋_GB2312" w:cs="仿宋_GB2312"/>
          <w:color w:val="000000"/>
          <w:kern w:val="0"/>
          <w:sz w:val="72"/>
          <w:szCs w:val="72"/>
          <w:lang w:val="en-US" w:eastAsia="zh-CN" w:bidi="ar"/>
        </w:rPr>
      </w:pPr>
    </w:p>
    <w:p>
      <w:pPr>
        <w:jc w:val="center"/>
        <w:rPr>
          <w:rFonts w:hint="eastAsia" w:ascii="Times New Roman" w:hAnsi="Times New Roman" w:eastAsia="方正仿宋_GBK" w:cs="Times New Roman"/>
          <w:color w:val="auto"/>
          <w:kern w:val="0"/>
          <w:sz w:val="32"/>
          <w:szCs w:val="32"/>
          <w:highlight w:val="none"/>
          <w:lang w:val="en-US" w:eastAsia="zh-CN"/>
        </w:rPr>
      </w:pPr>
    </w:p>
    <w:p>
      <w:pPr>
        <w:jc w:val="center"/>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报价人：</w:t>
      </w: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（盖单位章） </w:t>
      </w:r>
    </w:p>
    <w:p>
      <w:pPr>
        <w:jc w:val="center"/>
        <w:rPr>
          <w:rFonts w:hint="eastAsia" w:ascii="Times New Roman" w:hAnsi="Times New Roman" w:eastAsia="方正仿宋_GBK" w:cs="Times New Roman"/>
          <w:color w:val="auto"/>
          <w:kern w:val="0"/>
          <w:sz w:val="32"/>
          <w:szCs w:val="32"/>
          <w:highlight w:val="none"/>
          <w:lang w:eastAsia="zh-CN"/>
        </w:rPr>
      </w:pPr>
    </w:p>
    <w:p>
      <w:pPr>
        <w:jc w:val="center"/>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法定代表人或其委托代理人:</w:t>
      </w: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（签字） </w:t>
      </w:r>
    </w:p>
    <w:p>
      <w:pPr>
        <w:jc w:val="center"/>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2023 年    月     日</w:t>
      </w:r>
    </w:p>
    <w:p>
      <w:pPr>
        <w:pStyle w:val="11"/>
        <w:ind w:left="0" w:leftChars="0" w:firstLine="0" w:firstLineChars="0"/>
        <w:rPr>
          <w:rFonts w:hint="eastAsia" w:ascii="楷体_GB2312" w:hAnsi="楷体_GB2312" w:eastAsia="楷体_GB2312" w:cs="楷体_GB2312"/>
          <w:color w:val="000000"/>
          <w:kern w:val="0"/>
          <w:sz w:val="43"/>
          <w:szCs w:val="43"/>
          <w:lang w:val="en-US" w:eastAsia="zh-CN" w:bidi="ar"/>
        </w:rPr>
      </w:pPr>
    </w:p>
    <w:p>
      <w:pPr>
        <w:keepNext w:val="0"/>
        <w:keepLines w:val="0"/>
        <w:widowControl/>
        <w:suppressLineNumbers w:val="0"/>
        <w:jc w:val="center"/>
        <w:rPr>
          <w:rFonts w:hint="eastAsia" w:ascii="Times New Roman" w:hAnsi="Times New Roman" w:eastAsia="方正小标宋_GBK" w:cs="Times New Roman"/>
          <w:snapToGrid w:val="0"/>
          <w:color w:val="auto"/>
          <w:kern w:val="2"/>
          <w:sz w:val="44"/>
          <w:szCs w:val="44"/>
          <w:highlight w:val="none"/>
          <w:lang w:val="en-US" w:eastAsia="zh-CN" w:bidi="ar-SA"/>
        </w:rPr>
      </w:pPr>
      <w:r>
        <w:rPr>
          <w:rFonts w:hint="eastAsia" w:ascii="Times New Roman" w:hAnsi="Times New Roman" w:eastAsia="方正小标宋_GBK" w:cs="Times New Roman"/>
          <w:snapToGrid w:val="0"/>
          <w:color w:val="auto"/>
          <w:kern w:val="2"/>
          <w:sz w:val="44"/>
          <w:szCs w:val="44"/>
          <w:highlight w:val="none"/>
          <w:lang w:val="en-US" w:eastAsia="zh-CN" w:bidi="ar-SA"/>
        </w:rPr>
        <w:t>目 录</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一、法定代表人身份证明（适用于无委托代理人的情况)或授权委托书（适用于有委托代理人的情况） </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二、投标函 </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三、报价表 </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四、资格审查资料 </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五、其他资料</w:t>
      </w: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Times New Roman" w:hAnsi="Times New Roman" w:eastAsia="方正小标宋_GBK" w:cs="Times New Roman"/>
          <w:color w:val="auto"/>
          <w:kern w:val="2"/>
          <w:sz w:val="44"/>
          <w:szCs w:val="44"/>
          <w:highlight w:val="none"/>
          <w:lang w:val="en-US" w:eastAsia="zh-CN" w:bidi="ar-SA"/>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一、法定代表人身份证明或授权委托书</w:t>
      </w: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rPr>
          <w:rFonts w:hint="eastAsia"/>
          <w:lang w:val="en-US" w:eastAsia="zh-CN"/>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二、报价函</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(询价人名称）：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1.我方己仔细研究了            项目询价文件的全部内容，愿意以人民币（大写） (¥ )的总报价提供相关服务，并按合 同约定履行义务。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2.我方的报价文件包括下列内容：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（1）投标函；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（2）法定代表人身份证明或授权委托书；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（3）报价表；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（4）资格审查资料；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（5）其它。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报价文件的上述组成部分如存在内容不一致的，以投标函为准。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3.我方承诺除商务和技术偏差表列出的偏差外，我方响应询价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文件的全部要求。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4.我方承诺在询价文件规定的投标有效期内不撤销报价文件。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5.如我方中标，我方承诺：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（1）在收到中标通知后，在规定的期限内与你方签订合同；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（2）在签订合同时不向你方提出附加条件；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（3）按照询价文件要求提交履约保证金；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（4）在合同约定的期限内完成合同规定的全部义务。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6.我方在此声明，所递交的报价文件及有关资料内容完整、真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实和准确，且不存在第二章“报价人须知”第 1.4.3 项规定的任何一种情形。</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7.(其他补充说明）。</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报 价 人 ： (盖单位章）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法定代表人或其委托代理人：(签字）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地 址：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网 址：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电 话：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传 真：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邮政编码：</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三、报价表</w:t>
      </w:r>
    </w:p>
    <w:p>
      <w:pPr>
        <w:keepNext w:val="0"/>
        <w:keepLines w:val="0"/>
        <w:widowControl/>
        <w:suppressLineNumbers w:val="0"/>
        <w:jc w:val="left"/>
        <w:rPr>
          <w:rFonts w:hint="eastAsia" w:ascii="仿宋_GB2312" w:hAnsi="仿宋_GB2312" w:eastAsia="仿宋_GB2312" w:cs="仿宋_GB2312"/>
        </w:rPr>
      </w:pPr>
      <w:r>
        <w:rPr>
          <w:rFonts w:hint="eastAsia" w:ascii="黑体" w:hAnsi="黑体" w:eastAsia="黑体" w:cs="黑体"/>
          <w:color w:val="000000"/>
          <w:kern w:val="0"/>
          <w:sz w:val="31"/>
          <w:szCs w:val="31"/>
          <w:lang w:val="en-US" w:eastAsia="zh-CN" w:bidi="ar"/>
        </w:rPr>
        <w:t>1.报价说明</w:t>
      </w:r>
      <w:r>
        <w:rPr>
          <w:rFonts w:hint="eastAsia" w:ascii="仿宋_GB2312" w:hAnsi="仿宋_GB2312" w:eastAsia="仿宋_GB2312" w:cs="仿宋_GB2312"/>
          <w:color w:val="000000"/>
          <w:kern w:val="0"/>
          <w:sz w:val="31"/>
          <w:szCs w:val="31"/>
          <w:lang w:val="en-US" w:eastAsia="zh-CN" w:bidi="ar"/>
        </w:rPr>
        <w:t xml:space="preserve">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仿宋_GB2312" w:hAnsi="仿宋_GB2312" w:eastAsia="仿宋_GB2312" w:cs="仿宋_GB2312"/>
          <w:color w:val="000000"/>
          <w:kern w:val="0"/>
          <w:sz w:val="31"/>
          <w:szCs w:val="31"/>
          <w:lang w:val="en-US" w:eastAsia="zh-CN" w:bidi="ar"/>
        </w:rPr>
        <w:t>（</w:t>
      </w:r>
      <w:r>
        <w:rPr>
          <w:rFonts w:hint="eastAsia" w:ascii="Times New Roman" w:hAnsi="Times New Roman" w:eastAsia="方正仿宋_GBK" w:cs="Times New Roman"/>
          <w:color w:val="auto"/>
          <w:kern w:val="0"/>
          <w:sz w:val="32"/>
          <w:szCs w:val="32"/>
          <w:highlight w:val="none"/>
          <w:lang w:val="en-US" w:eastAsia="zh-CN"/>
        </w:rPr>
        <w:t xml:space="preserve">1）价格应按照本说明的要求报价，以人民币计价，单位为元，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精确到个数位。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（2）报价表中的价格，应包括报价单位完成合同内容所需的保险费、劳务费、差旅食宿、工本费、管理法、利润、税费，以及合同明示或暗示的风险、责任和义务等所发生的其他全部费用。</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（3）依据国家法律、行政法规、国务院有关部门的规章以及重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庆市的法规和规章的规定应由承包人缴纳的税金、费用均应按规定计入报价中。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（5）报价在合同有效期内固定不变，即合同价格不因国家和地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方政策调整、物价变动等因数的影响而调整。 </w:t>
      </w: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黑体" w:hAnsi="黑体" w:eastAsia="黑体" w:cs="黑体"/>
          <w:sz w:val="44"/>
          <w:szCs w:val="44"/>
        </w:rPr>
      </w:pPr>
      <w:r>
        <w:rPr>
          <w:rFonts w:hint="eastAsia" w:ascii="黑体" w:hAnsi="黑体" w:eastAsia="黑体" w:cs="黑体"/>
          <w:color w:val="000000"/>
          <w:kern w:val="0"/>
          <w:sz w:val="32"/>
          <w:szCs w:val="32"/>
          <w:lang w:val="en-US" w:eastAsia="zh-CN" w:bidi="ar"/>
        </w:rPr>
        <w:t>2.报价表</w:t>
      </w:r>
    </w:p>
    <w:p>
      <w:pPr>
        <w:spacing w:line="510" w:lineRule="exact"/>
        <w:ind w:firstLine="557" w:firstLineChars="199"/>
        <w:jc w:val="left"/>
        <w:rPr>
          <w:rFonts w:hint="eastAsia" w:ascii="Times New Roman" w:hAnsi="Times New Roman" w:eastAsia="方正仿宋_GBK" w:cs="Times New Roman"/>
          <w:i/>
          <w:iCs/>
          <w:color w:val="auto"/>
          <w:kern w:val="0"/>
          <w:sz w:val="28"/>
          <w:szCs w:val="28"/>
          <w:highlight w:val="none"/>
          <w:lang w:val="en-US" w:eastAsia="zh-CN"/>
        </w:rPr>
      </w:pPr>
      <w:r>
        <w:rPr>
          <w:rFonts w:hint="eastAsia" w:ascii="Times New Roman" w:hAnsi="Times New Roman" w:eastAsia="方正仿宋_GBK" w:cs="Times New Roman"/>
          <w:i/>
          <w:iCs/>
          <w:color w:val="auto"/>
          <w:kern w:val="0"/>
          <w:sz w:val="28"/>
          <w:szCs w:val="28"/>
          <w:highlight w:val="none"/>
          <w:lang w:val="en-US" w:eastAsia="zh-CN"/>
        </w:rPr>
        <w:t>根据项目实际情况列明。</w:t>
      </w:r>
    </w:p>
    <w:p>
      <w:pPr>
        <w:pStyle w:val="11"/>
        <w:ind w:left="0" w:leftChars="0" w:firstLine="0" w:firstLineChars="0"/>
        <w:rPr>
          <w:rFonts w:hint="eastAsia" w:ascii="仿宋_GB2312" w:hAnsi="仿宋_GB2312" w:eastAsia="仿宋_GB2312" w:cs="仿宋_GB2312"/>
          <w:color w:val="000000"/>
          <w:kern w:val="0"/>
          <w:sz w:val="31"/>
          <w:szCs w:val="31"/>
          <w:lang w:val="en-US" w:eastAsia="zh-CN" w:bidi="ar"/>
        </w:rPr>
      </w:pPr>
    </w:p>
    <w:p>
      <w:pPr>
        <w:spacing w:line="360" w:lineRule="auto"/>
        <w:jc w:val="center"/>
        <w:rPr>
          <w:rFonts w:hint="eastAsia" w:ascii="Times New Roman" w:hAnsi="Times New Roman" w:eastAsia="方正小标宋_GBK" w:cs="Times New Roman"/>
          <w:bCs/>
          <w:color w:val="auto"/>
          <w:kern w:val="0"/>
          <w:sz w:val="44"/>
          <w:szCs w:val="44"/>
          <w:highlight w:val="none"/>
          <w:lang w:val="en-US" w:eastAsia="zh-CN"/>
        </w:rPr>
      </w:pPr>
      <w:r>
        <w:rPr>
          <w:rFonts w:hint="eastAsia" w:ascii="Times New Roman" w:hAnsi="Times New Roman" w:eastAsia="方正小标宋_GBK" w:cs="Times New Roman"/>
          <w:bCs/>
          <w:color w:val="auto"/>
          <w:kern w:val="0"/>
          <w:sz w:val="44"/>
          <w:szCs w:val="44"/>
          <w:highlight w:val="none"/>
          <w:lang w:val="en-US" w:eastAsia="zh-CN"/>
        </w:rPr>
        <w:t>报价表</w:t>
      </w:r>
    </w:p>
    <w:p>
      <w:pPr>
        <w:pStyle w:val="11"/>
        <w:rPr>
          <w:rFonts w:hint="eastAsia" w:ascii="仿宋_GB2312" w:hAnsi="仿宋_GB2312" w:eastAsia="仿宋_GB2312" w:cs="仿宋_GB2312"/>
          <w:lang w:val="en-US" w:eastAsia="zh-CN"/>
        </w:rPr>
      </w:pPr>
    </w:p>
    <w:p>
      <w:pPr>
        <w:tabs>
          <w:tab w:val="left" w:leader="underscore" w:pos="7582"/>
        </w:tabs>
        <w:ind w:firstLine="6820" w:firstLineChars="3100"/>
        <w:jc w:val="left"/>
        <w:rPr>
          <w:rFonts w:hint="eastAsia"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单位：人民币元</w:t>
      </w:r>
    </w:p>
    <w:tbl>
      <w:tblPr>
        <w:tblStyle w:val="13"/>
        <w:tblW w:w="0" w:type="auto"/>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95"/>
        <w:gridCol w:w="1410"/>
        <w:gridCol w:w="11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95" w:type="dxa"/>
          </w:tcPr>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1395"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保险项目</w:t>
            </w:r>
          </w:p>
        </w:tc>
        <w:tc>
          <w:tcPr>
            <w:tcW w:w="1410" w:type="dxa"/>
          </w:tcPr>
          <w:p>
            <w:pPr>
              <w:pStyle w:val="11"/>
              <w:ind w:left="0" w:leftChars="0" w:firstLine="0" w:firstLineChars="0"/>
              <w:jc w:val="left"/>
              <w:rPr>
                <w:rFonts w:hint="eastAsia" w:ascii="宋体" w:hAnsi="宋体" w:eastAsia="宋体" w:cs="宋体"/>
                <w:sz w:val="22"/>
                <w:szCs w:val="22"/>
                <w:vertAlign w:val="baseline"/>
                <w:lang w:val="en-US" w:eastAsia="zh-CN"/>
              </w:rPr>
            </w:pPr>
          </w:p>
          <w:p>
            <w:pPr>
              <w:pStyle w:val="11"/>
              <w:ind w:left="0" w:leftChars="0" w:firstLine="0" w:firstLineChars="0"/>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保障内容</w:t>
            </w:r>
          </w:p>
        </w:tc>
        <w:tc>
          <w:tcPr>
            <w:tcW w:w="1110" w:type="dxa"/>
          </w:tcPr>
          <w:p>
            <w:pPr>
              <w:pStyle w:val="11"/>
              <w:ind w:left="0" w:leftChars="0" w:firstLine="0" w:firstLineChars="0"/>
              <w:jc w:val="left"/>
              <w:rPr>
                <w:rFonts w:hint="eastAsia" w:ascii="宋体" w:hAnsi="宋体" w:eastAsia="宋体" w:cs="宋体"/>
                <w:sz w:val="22"/>
                <w:szCs w:val="22"/>
                <w:vertAlign w:val="baseline"/>
                <w:lang w:val="en-US" w:eastAsia="zh-CN"/>
              </w:rPr>
            </w:pPr>
          </w:p>
          <w:p>
            <w:pPr>
              <w:pStyle w:val="11"/>
              <w:ind w:left="0" w:leftChars="0" w:firstLine="0" w:firstLineChars="0"/>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保险金额</w:t>
            </w:r>
          </w:p>
        </w:tc>
        <w:tc>
          <w:tcPr>
            <w:tcW w:w="1440" w:type="dxa"/>
          </w:tcPr>
          <w:p>
            <w:pPr>
              <w:pStyle w:val="11"/>
              <w:ind w:left="0" w:leftChars="0" w:firstLine="0" w:firstLineChars="0"/>
              <w:rPr>
                <w:rFonts w:hint="eastAsia" w:ascii="宋体" w:hAnsi="宋体" w:eastAsia="宋体" w:cs="宋体"/>
                <w:sz w:val="22"/>
                <w:szCs w:val="22"/>
                <w:vertAlign w:val="baseline"/>
                <w:lang w:val="en-US" w:eastAsia="zh-CN"/>
              </w:rPr>
            </w:pPr>
          </w:p>
          <w:p>
            <w:pPr>
              <w:pStyle w:val="11"/>
              <w:ind w:left="0" w:leftChars="0" w:firstLine="0" w:firstLineChars="0"/>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保险费（万元）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395" w:type="dxa"/>
          </w:tcPr>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1395"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安全生产责任险</w:t>
            </w:r>
          </w:p>
        </w:tc>
        <w:tc>
          <w:tcPr>
            <w:tcW w:w="1410" w:type="dxa"/>
          </w:tcPr>
          <w:p>
            <w:pPr>
              <w:pStyle w:val="11"/>
              <w:ind w:left="0" w:leftChars="0" w:firstLine="0" w:firstLineChars="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自身人员和三者责任（约98人）</w:t>
            </w:r>
          </w:p>
        </w:tc>
        <w:tc>
          <w:tcPr>
            <w:tcW w:w="1110" w:type="dxa"/>
          </w:tcPr>
          <w:p>
            <w:pPr>
              <w:pStyle w:val="11"/>
              <w:ind w:left="0" w:leftChars="0" w:firstLine="0" w:firstLineChars="0"/>
              <w:jc w:val="left"/>
              <w:rPr>
                <w:rFonts w:hint="eastAsia" w:ascii="宋体" w:hAnsi="宋体" w:eastAsia="宋体" w:cs="宋体"/>
                <w:sz w:val="22"/>
                <w:szCs w:val="22"/>
                <w:vertAlign w:val="baseline"/>
                <w:lang w:val="en-US" w:eastAsia="zh-CN"/>
              </w:rPr>
            </w:pPr>
            <w:r>
              <w:rPr>
                <w:rFonts w:hint="eastAsia" w:ascii="宋体" w:hAnsi="宋体" w:eastAsia="宋体" w:cs="宋体"/>
                <w:color w:val="000000"/>
                <w:kern w:val="0"/>
                <w:sz w:val="22"/>
                <w:szCs w:val="22"/>
                <w:u w:val="none"/>
                <w:lang w:val="en-US" w:eastAsia="zh-CN" w:bidi="ar"/>
              </w:rPr>
              <w:t>死亡最高赔偿30万/人和医疗最高赔偿3万/人，</w:t>
            </w:r>
            <w:r>
              <w:rPr>
                <w:rFonts w:hint="eastAsia" w:ascii="宋体" w:hAnsi="宋体" w:eastAsia="宋体" w:cs="宋体"/>
                <w:color w:val="000000" w:themeColor="text1"/>
                <w:sz w:val="22"/>
                <w:szCs w:val="22"/>
                <w:vertAlign w:val="baseline"/>
                <w:lang w:val="en-US" w:eastAsia="zh-CN"/>
                <w14:textFill>
                  <w14:solidFill>
                    <w14:schemeClr w14:val="tx1"/>
                  </w14:solidFill>
                </w14:textFill>
              </w:rPr>
              <w:t>免赔限额无。</w:t>
            </w:r>
          </w:p>
        </w:tc>
        <w:tc>
          <w:tcPr>
            <w:tcW w:w="1440"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395" w:type="dxa"/>
          </w:tcPr>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1395"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码头营运人责任险</w:t>
            </w:r>
          </w:p>
        </w:tc>
        <w:tc>
          <w:tcPr>
            <w:tcW w:w="1410" w:type="dxa"/>
          </w:tcPr>
          <w:p>
            <w:pPr>
              <w:pStyle w:val="11"/>
              <w:ind w:left="0" w:leftChars="0" w:firstLine="0" w:firstLineChars="0"/>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1.作业全过程中仓储及落地后所有货物的损失。2.作业过程中对第三者造成财产和人身的伤害和损失。</w:t>
            </w:r>
          </w:p>
        </w:tc>
        <w:tc>
          <w:tcPr>
            <w:tcW w:w="1110" w:type="dxa"/>
          </w:tcPr>
          <w:p>
            <w:pPr>
              <w:pStyle w:val="11"/>
              <w:ind w:left="0" w:leftChars="0" w:firstLine="0" w:firstLineChars="0"/>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年度保险赔偿总额不超过300万（含），单次赔偿限额不超过100万（含），</w:t>
            </w:r>
            <w:r>
              <w:rPr>
                <w:rFonts w:hint="eastAsia" w:ascii="宋体" w:hAnsi="宋体" w:eastAsia="宋体" w:cs="宋体"/>
                <w:color w:val="000000" w:themeColor="text1"/>
                <w:sz w:val="22"/>
                <w:szCs w:val="22"/>
                <w:vertAlign w:val="baseline"/>
                <w:lang w:val="en-US" w:eastAsia="zh-CN"/>
                <w14:textFill>
                  <w14:solidFill>
                    <w14:schemeClr w14:val="tx1"/>
                  </w14:solidFill>
                </w14:textFill>
              </w:rPr>
              <w:t>免赔限额无。</w:t>
            </w:r>
          </w:p>
        </w:tc>
        <w:tc>
          <w:tcPr>
            <w:tcW w:w="1440"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395"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3915" w:type="dxa"/>
            <w:gridSpan w:val="3"/>
          </w:tcPr>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1540" w:firstLineChars="70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合计：</w:t>
            </w:r>
          </w:p>
        </w:tc>
        <w:tc>
          <w:tcPr>
            <w:tcW w:w="1440" w:type="dxa"/>
          </w:tcPr>
          <w:p>
            <w:pPr>
              <w:pStyle w:val="11"/>
              <w:ind w:left="0" w:leftChars="0" w:firstLine="0" w:firstLineChars="0"/>
              <w:jc w:val="both"/>
              <w:rPr>
                <w:rFonts w:hint="eastAsia" w:ascii="宋体" w:hAnsi="宋体" w:eastAsia="宋体" w:cs="宋体"/>
                <w:sz w:val="22"/>
                <w:szCs w:val="22"/>
                <w:vertAlign w:val="baseline"/>
                <w:lang w:val="en-US" w:eastAsia="zh-CN"/>
              </w:rPr>
            </w:pPr>
          </w:p>
        </w:tc>
      </w:tr>
    </w:tbl>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四、资格审查资料</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1.营业执照、法定代表人身份证明及授权委托书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2.资质证书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3.业绩证明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4.其他。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5.信用承诺书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*注：以上报价文件均需加盖鲜章并装订成册。装订采用 A4 纸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幅面，不得采用活页夹等可随时拆换的方式装订，目录、页码齐全。否则其报价文件将被否决。</w:t>
      </w: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信用承诺书</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重庆航发三江港埠有限公司佛耳岩码头：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我公司（报价人名称）参加了贵单位</w:t>
      </w: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项目的询价，自愿作出以下承诺：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1.询价截止日投标资格情况不存在下列情形之一：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（1）被人民法院在“信用中国”网站（www.creditchina.gov.cn）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列入失信被执行人名单且在被执行期内；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（2）被列入《重庆市工程建设领域招标投标信用管理暂行办法》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规定的重点关注名单且记分达到 12 分且在记分有效期内；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（3）被列入《重庆市工程建设领域招标投标信用管理暂行办法》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规定的黑名单且在有效期内；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（4）被国家、重庆市（含市或任意区县）有关行政部门处以暂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停投标资格行政处罚，且在处罚期限内；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（5）被重庆市相关行政主管部门暂停在渝承揽新业务且在暂停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期内。</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2.我司在本资格审查部分中的相关证明材料真实有效，不存在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弄虚作假情形。招标人在合同签订前均有权对我司提供的资料（如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业绩截图信息等相关证明材料）进行核实，若发现弄虚作假，取消中标资格，并按相关法律法规报招标投标监督部门处理，投标保证 金不予退还，我司自愿承担因此造成的相关责任并赔偿相应损失。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3.询价文件符合 “合同条款与格式”规定，询价文件中没有询价人不能接受的条件。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4.询价文件符合 “技术标准和要求”规定。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5.其他： _____</w:t>
      </w: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__。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特此承诺。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                    报价人：         （盖单位法人章） </w:t>
      </w:r>
    </w:p>
    <w:p>
      <w:pPr>
        <w:adjustRightInd w:val="0"/>
        <w:snapToGrid w:val="0"/>
        <w:spacing w:after="120" w:line="510" w:lineRule="exact"/>
        <w:ind w:firstLine="3200" w:firstLineChars="1000"/>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法定代表人：       （签字或盖章）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p>
    <w:p>
      <w:pPr>
        <w:adjustRightInd w:val="0"/>
        <w:snapToGrid w:val="0"/>
        <w:spacing w:after="120" w:line="510" w:lineRule="exact"/>
        <w:ind w:firstLine="5440" w:firstLineChars="1700"/>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年      月      日</w:t>
      </w:r>
    </w:p>
    <w:p>
      <w:pPr>
        <w:pStyle w:val="11"/>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rPr>
      </w:pPr>
    </w:p>
    <w:p>
      <w:pPr>
        <w:pStyle w:val="11"/>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jc w:val="center"/>
        <w:rPr>
          <w:rFonts w:hint="eastAsia" w:ascii="楷体_GB2312" w:hAnsi="楷体_GB2312" w:eastAsia="楷体_GB2312" w:cs="楷体_GB2312"/>
        </w:rPr>
      </w:pPr>
    </w:p>
    <w:p>
      <w:pPr>
        <w:pStyle w:val="11"/>
        <w:numPr>
          <w:ilvl w:val="0"/>
          <w:numId w:val="0"/>
        </w:numPr>
        <w:rPr>
          <w:rFonts w:hint="eastAsia"/>
          <w:lang w:val="en-US" w:eastAsia="zh-CN"/>
        </w:rPr>
      </w:pPr>
    </w:p>
    <w:p>
      <w:pPr>
        <w:pStyle w:val="11"/>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rPr>
      </w:pP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center"/>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p>
    <w:p>
      <w:pPr>
        <w:pStyle w:val="11"/>
        <w:rPr>
          <w:rFonts w:hint="eastAsia"/>
          <w:lang w:val="en-US" w:eastAsia="zh-CN"/>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五、其他资料</w:t>
      </w: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sectPr>
      <w:pgSz w:w="11906" w:h="16838"/>
      <w:pgMar w:top="12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11DA4"/>
    <w:multiLevelType w:val="singleLevel"/>
    <w:tmpl w:val="B6211DA4"/>
    <w:lvl w:ilvl="0" w:tentative="0">
      <w:start w:val="1"/>
      <w:numFmt w:val="decimal"/>
      <w:lvlText w:val="%1."/>
      <w:lvlJc w:val="left"/>
      <w:pPr>
        <w:tabs>
          <w:tab w:val="left" w:pos="312"/>
        </w:tabs>
      </w:pPr>
    </w:lvl>
  </w:abstractNum>
  <w:abstractNum w:abstractNumId="1">
    <w:nsid w:val="37C55C90"/>
    <w:multiLevelType w:val="singleLevel"/>
    <w:tmpl w:val="37C55C90"/>
    <w:lvl w:ilvl="0" w:tentative="0">
      <w:start w:val="5"/>
      <w:numFmt w:val="decimal"/>
      <w:lvlText w:val="%1."/>
      <w:lvlJc w:val="left"/>
      <w:pPr>
        <w:tabs>
          <w:tab w:val="left" w:pos="312"/>
        </w:tabs>
      </w:pPr>
    </w:lvl>
  </w:abstractNum>
  <w:abstractNum w:abstractNumId="2">
    <w:nsid w:val="613823A3"/>
    <w:multiLevelType w:val="singleLevel"/>
    <w:tmpl w:val="613823A3"/>
    <w:lvl w:ilvl="0" w:tentative="0">
      <w:start w:val="4"/>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577CC"/>
    <w:rsid w:val="016135F1"/>
    <w:rsid w:val="01DD1BB9"/>
    <w:rsid w:val="02E33845"/>
    <w:rsid w:val="043403B8"/>
    <w:rsid w:val="04965898"/>
    <w:rsid w:val="052F35E9"/>
    <w:rsid w:val="054C1026"/>
    <w:rsid w:val="086D02C0"/>
    <w:rsid w:val="098554DD"/>
    <w:rsid w:val="0A921D19"/>
    <w:rsid w:val="0C7C66AA"/>
    <w:rsid w:val="0D5B61B0"/>
    <w:rsid w:val="0D7B1D3D"/>
    <w:rsid w:val="0DAA0082"/>
    <w:rsid w:val="0DD903F8"/>
    <w:rsid w:val="0E80463A"/>
    <w:rsid w:val="0ECB563C"/>
    <w:rsid w:val="0F7A5942"/>
    <w:rsid w:val="10936C25"/>
    <w:rsid w:val="12866406"/>
    <w:rsid w:val="135D09FC"/>
    <w:rsid w:val="147D13F2"/>
    <w:rsid w:val="14BA6384"/>
    <w:rsid w:val="17894987"/>
    <w:rsid w:val="18D85DD5"/>
    <w:rsid w:val="19041B7B"/>
    <w:rsid w:val="193C7FF8"/>
    <w:rsid w:val="196F0DC9"/>
    <w:rsid w:val="1A673AF3"/>
    <w:rsid w:val="1D290379"/>
    <w:rsid w:val="1D8713BD"/>
    <w:rsid w:val="1D8754AC"/>
    <w:rsid w:val="1DE81A0E"/>
    <w:rsid w:val="1E730F43"/>
    <w:rsid w:val="1EE942EA"/>
    <w:rsid w:val="1F3369EC"/>
    <w:rsid w:val="20224E3E"/>
    <w:rsid w:val="22793A00"/>
    <w:rsid w:val="22D01675"/>
    <w:rsid w:val="23FD7052"/>
    <w:rsid w:val="254D6EA5"/>
    <w:rsid w:val="282548D8"/>
    <w:rsid w:val="28C13393"/>
    <w:rsid w:val="29080B45"/>
    <w:rsid w:val="2C6515FE"/>
    <w:rsid w:val="2D063B95"/>
    <w:rsid w:val="2D38436E"/>
    <w:rsid w:val="2DAE413D"/>
    <w:rsid w:val="2DD87C5B"/>
    <w:rsid w:val="2E5D6F7A"/>
    <w:rsid w:val="2FB74EE5"/>
    <w:rsid w:val="300C0330"/>
    <w:rsid w:val="3347796F"/>
    <w:rsid w:val="335F1C54"/>
    <w:rsid w:val="34FD0529"/>
    <w:rsid w:val="37771FDE"/>
    <w:rsid w:val="3A1A342C"/>
    <w:rsid w:val="3A473627"/>
    <w:rsid w:val="3B1B6599"/>
    <w:rsid w:val="3DAA522A"/>
    <w:rsid w:val="3EDB4984"/>
    <w:rsid w:val="3FA84F48"/>
    <w:rsid w:val="3FA96C12"/>
    <w:rsid w:val="3FB43538"/>
    <w:rsid w:val="43A47FDD"/>
    <w:rsid w:val="440B4424"/>
    <w:rsid w:val="45FF6E61"/>
    <w:rsid w:val="460F72EF"/>
    <w:rsid w:val="461563E5"/>
    <w:rsid w:val="493C639B"/>
    <w:rsid w:val="495D7DB4"/>
    <w:rsid w:val="49857757"/>
    <w:rsid w:val="49B5479E"/>
    <w:rsid w:val="4C8D4B24"/>
    <w:rsid w:val="4D4523AB"/>
    <w:rsid w:val="4DBB654E"/>
    <w:rsid w:val="51550DBF"/>
    <w:rsid w:val="5240441E"/>
    <w:rsid w:val="528B015E"/>
    <w:rsid w:val="52C618F6"/>
    <w:rsid w:val="551A2EDB"/>
    <w:rsid w:val="571A2961"/>
    <w:rsid w:val="58343D95"/>
    <w:rsid w:val="5901239F"/>
    <w:rsid w:val="598D7B25"/>
    <w:rsid w:val="59F1479B"/>
    <w:rsid w:val="5AEA74D8"/>
    <w:rsid w:val="5B2D5066"/>
    <w:rsid w:val="5B93362B"/>
    <w:rsid w:val="5C2330A1"/>
    <w:rsid w:val="5C3A2E8C"/>
    <w:rsid w:val="5C7673E5"/>
    <w:rsid w:val="5D372247"/>
    <w:rsid w:val="5F520D02"/>
    <w:rsid w:val="62607F19"/>
    <w:rsid w:val="63556933"/>
    <w:rsid w:val="6390045A"/>
    <w:rsid w:val="64B03EAD"/>
    <w:rsid w:val="65EC4D3D"/>
    <w:rsid w:val="66253445"/>
    <w:rsid w:val="66595BBF"/>
    <w:rsid w:val="6AAD3773"/>
    <w:rsid w:val="6B10167E"/>
    <w:rsid w:val="6D642100"/>
    <w:rsid w:val="6DC04AC7"/>
    <w:rsid w:val="6E0465C4"/>
    <w:rsid w:val="6E3B4811"/>
    <w:rsid w:val="6E5F6218"/>
    <w:rsid w:val="6EA02743"/>
    <w:rsid w:val="6F282BA8"/>
    <w:rsid w:val="706347C3"/>
    <w:rsid w:val="70884FB7"/>
    <w:rsid w:val="70F53CF8"/>
    <w:rsid w:val="71573EDF"/>
    <w:rsid w:val="719755E2"/>
    <w:rsid w:val="72FD0D86"/>
    <w:rsid w:val="74904CA5"/>
    <w:rsid w:val="757E78BD"/>
    <w:rsid w:val="76837F97"/>
    <w:rsid w:val="76D6409B"/>
    <w:rsid w:val="7714146C"/>
    <w:rsid w:val="77441411"/>
    <w:rsid w:val="774D0E45"/>
    <w:rsid w:val="78FD46BF"/>
    <w:rsid w:val="7AAB4CC5"/>
    <w:rsid w:val="7AF3009C"/>
    <w:rsid w:val="7B5F30A0"/>
    <w:rsid w:val="7DFD4E3F"/>
    <w:rsid w:val="7E656124"/>
    <w:rsid w:val="7E8D1DB2"/>
    <w:rsid w:val="7EA56DFB"/>
    <w:rsid w:val="7EBD21AB"/>
    <w:rsid w:val="7F5821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7">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8">
    <w:name w:val="footer"/>
    <w:basedOn w:val="1"/>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9">
    <w:name w:val="toc 1"/>
    <w:basedOn w:val="1"/>
    <w:next w:val="1"/>
    <w:qFormat/>
    <w:uiPriority w:val="39"/>
    <w:pPr>
      <w:spacing w:line="272" w:lineRule="exact"/>
      <w:ind w:left="100"/>
    </w:pPr>
    <w:rPr>
      <w:sz w:val="21"/>
      <w:szCs w:val="21"/>
    </w:rPr>
  </w:style>
  <w:style w:type="paragraph" w:styleId="10">
    <w:name w:val="toc 2"/>
    <w:basedOn w:val="1"/>
    <w:next w:val="1"/>
    <w:qFormat/>
    <w:uiPriority w:val="39"/>
    <w:pPr>
      <w:spacing w:line="272" w:lineRule="exact"/>
      <w:ind w:left="520"/>
    </w:pPr>
    <w:rPr>
      <w:sz w:val="21"/>
      <w:szCs w:val="21"/>
    </w:rPr>
  </w:style>
  <w:style w:type="paragraph" w:styleId="11">
    <w:name w:val="Body Text First Indent 2"/>
    <w:basedOn w:val="7"/>
    <w:unhideWhenUsed/>
    <w:qFormat/>
    <w:uiPriority w:val="99"/>
    <w:pPr>
      <w:ind w:firstLine="420"/>
    </w:p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TOC Heading"/>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17">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8">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2023-01-11T08:21:00Z</cp:lastPrinted>
  <dcterms:modified xsi:type="dcterms:W3CDTF">2023-03-14T02:07:12Z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83672D5EDF884A31B6C600A2F9A9631A</vt:lpwstr>
  </property>
</Properties>
</file>