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szCs w:val="21"/>
        </w:rPr>
      </w:pPr>
    </w:p>
    <w:p>
      <w:pPr>
        <w:jc w:val="center"/>
        <w:rPr>
          <w:rFonts w:ascii="宋体" w:hAnsi="宋体"/>
          <w:b/>
          <w:color w:val="auto"/>
          <w:spacing w:val="20"/>
          <w:sz w:val="72"/>
          <w:szCs w:val="72"/>
        </w:rPr>
      </w:pPr>
    </w:p>
    <w:p>
      <w:pPr>
        <w:jc w:val="center"/>
        <w:rPr>
          <w:rFonts w:ascii="宋体" w:hAnsi="宋体"/>
          <w:b/>
          <w:color w:val="auto"/>
          <w:spacing w:val="20"/>
          <w:sz w:val="72"/>
          <w:szCs w:val="72"/>
        </w:rPr>
      </w:pPr>
      <w:r>
        <w:rPr>
          <w:rFonts w:hint="eastAsia" w:ascii="宋体" w:hAnsi="宋体"/>
          <w:b/>
          <w:color w:val="auto"/>
          <w:spacing w:val="20"/>
          <w:sz w:val="72"/>
          <w:szCs w:val="72"/>
        </w:rPr>
        <w:t>渝广梁忠公司网络安全服务</w:t>
      </w:r>
    </w:p>
    <w:p>
      <w:pPr>
        <w:rPr>
          <w:rFonts w:ascii="宋体" w:hAnsi="宋体"/>
          <w:color w:val="auto"/>
          <w:szCs w:val="21"/>
        </w:rPr>
      </w:pPr>
    </w:p>
    <w:p>
      <w:pPr>
        <w:jc w:val="center"/>
        <w:rPr>
          <w:rFonts w:ascii="宋体" w:hAnsi="宋体"/>
          <w:b/>
          <w:color w:val="auto"/>
          <w:spacing w:val="20"/>
          <w:sz w:val="72"/>
          <w:szCs w:val="72"/>
        </w:rPr>
      </w:pPr>
      <w:r>
        <w:rPr>
          <w:rFonts w:hint="eastAsia" w:ascii="宋体" w:hAnsi="宋体"/>
          <w:b/>
          <w:color w:val="auto"/>
          <w:spacing w:val="20"/>
          <w:sz w:val="72"/>
          <w:szCs w:val="72"/>
        </w:rPr>
        <w:t>竞争性比选文件</w:t>
      </w:r>
    </w:p>
    <w:p>
      <w:pPr>
        <w:jc w:val="center"/>
        <w:rPr>
          <w:rFonts w:ascii="宋体" w:hAnsi="宋体"/>
          <w:b/>
          <w:color w:val="auto"/>
          <w:spacing w:val="20"/>
          <w:sz w:val="72"/>
          <w:szCs w:val="72"/>
        </w:rPr>
      </w:pPr>
    </w:p>
    <w:p>
      <w:pPr>
        <w:jc w:val="center"/>
        <w:rPr>
          <w:rFonts w:ascii="宋体" w:hAnsi="宋体"/>
          <w:b/>
          <w:color w:val="auto"/>
          <w:spacing w:val="20"/>
          <w:sz w:val="72"/>
          <w:szCs w:val="72"/>
        </w:rPr>
      </w:pPr>
    </w:p>
    <w:p>
      <w:pPr>
        <w:jc w:val="center"/>
        <w:rPr>
          <w:rFonts w:ascii="宋体" w:hAnsi="宋体"/>
          <w:b/>
          <w:color w:val="auto"/>
          <w:spacing w:val="20"/>
          <w:sz w:val="72"/>
          <w:szCs w:val="72"/>
        </w:rPr>
      </w:pPr>
    </w:p>
    <w:p>
      <w:pPr>
        <w:jc w:val="center"/>
        <w:rPr>
          <w:rFonts w:ascii="宋体" w:hAnsi="宋体"/>
          <w:b/>
          <w:color w:val="auto"/>
          <w:spacing w:val="20"/>
          <w:sz w:val="72"/>
          <w:szCs w:val="72"/>
        </w:rPr>
      </w:pPr>
    </w:p>
    <w:p>
      <w:pPr>
        <w:pStyle w:val="8"/>
        <w:snapToGrid w:val="0"/>
        <w:ind w:firstLine="574" w:firstLineChars="150"/>
        <w:jc w:val="center"/>
        <w:rPr>
          <w:rFonts w:ascii="宋体" w:hAnsi="宋体"/>
          <w:color w:val="auto"/>
          <w:sz w:val="32"/>
          <w:szCs w:val="32"/>
        </w:rPr>
      </w:pPr>
      <w:r>
        <w:rPr>
          <w:rFonts w:hint="eastAsia" w:ascii="宋体" w:hAnsi="宋体"/>
          <w:color w:val="auto"/>
          <w:sz w:val="32"/>
          <w:szCs w:val="32"/>
        </w:rPr>
        <w:t>重庆首讯科技股份有限公司</w:t>
      </w:r>
    </w:p>
    <w:p>
      <w:pPr>
        <w:pStyle w:val="8"/>
        <w:snapToGrid w:val="0"/>
        <w:ind w:firstLine="574" w:firstLineChars="150"/>
        <w:jc w:val="center"/>
        <w:rPr>
          <w:rFonts w:ascii="宋体" w:hAnsi="宋体"/>
          <w:color w:val="auto"/>
          <w:sz w:val="32"/>
          <w:szCs w:val="32"/>
        </w:rPr>
      </w:pPr>
      <w:r>
        <w:rPr>
          <w:rFonts w:hint="eastAsia" w:ascii="宋体" w:hAnsi="宋体"/>
          <w:color w:val="auto"/>
          <w:sz w:val="32"/>
          <w:szCs w:val="32"/>
        </w:rPr>
        <w:t>202</w:t>
      </w:r>
      <w:r>
        <w:rPr>
          <w:rFonts w:ascii="宋体" w:hAnsi="宋体"/>
          <w:color w:val="auto"/>
          <w:sz w:val="32"/>
          <w:szCs w:val="32"/>
        </w:rPr>
        <w:t>1</w:t>
      </w:r>
      <w:r>
        <w:rPr>
          <w:rFonts w:hint="eastAsia" w:ascii="宋体" w:hAnsi="宋体"/>
          <w:color w:val="auto"/>
          <w:sz w:val="32"/>
          <w:szCs w:val="32"/>
        </w:rPr>
        <w:t>年11月</w:t>
      </w:r>
    </w:p>
    <w:p>
      <w:pPr>
        <w:rPr>
          <w:color w:val="auto"/>
        </w:rPr>
      </w:pPr>
    </w:p>
    <w:p>
      <w:pPr>
        <w:pStyle w:val="2"/>
        <w:rPr>
          <w:color w:val="auto"/>
        </w:rPr>
      </w:pPr>
    </w:p>
    <w:p>
      <w:pPr>
        <w:rPr>
          <w:color w:val="auto"/>
        </w:rPr>
      </w:pPr>
    </w:p>
    <w:p>
      <w:pPr>
        <w:rPr>
          <w:color w:val="auto"/>
        </w:rPr>
      </w:pPr>
    </w:p>
    <w:p>
      <w:pPr>
        <w:pStyle w:val="2"/>
        <w:rPr>
          <w:color w:val="auto"/>
        </w:rPr>
        <w:sectPr>
          <w:headerReference r:id="rId3" w:type="default"/>
          <w:footerReference r:id="rId4" w:type="default"/>
          <w:pgSz w:w="11906" w:h="16838"/>
          <w:pgMar w:top="1440" w:right="1797" w:bottom="1440" w:left="1797" w:header="851" w:footer="992" w:gutter="0"/>
          <w:cols w:space="720" w:num="1"/>
          <w:docGrid w:type="linesAndChars" w:linePitch="317" w:charSpace="640"/>
        </w:sectPr>
      </w:pPr>
    </w:p>
    <w:p>
      <w:pPr>
        <w:pStyle w:val="3"/>
        <w:spacing w:before="0" w:after="0" w:line="360" w:lineRule="auto"/>
        <w:rPr>
          <w:rFonts w:ascii="宋体" w:hAnsi="宋体" w:cs="宋体"/>
          <w:bCs/>
          <w:color w:val="auto"/>
          <w:sz w:val="48"/>
          <w:szCs w:val="48"/>
        </w:rPr>
      </w:pPr>
      <w:r>
        <w:rPr>
          <w:rFonts w:hint="eastAsia"/>
          <w:color w:val="auto"/>
          <w:spacing w:val="10"/>
          <w:sz w:val="48"/>
          <w:szCs w:val="48"/>
        </w:rPr>
        <w:t>第一章 竞争性比选公告</w:t>
      </w:r>
    </w:p>
    <w:p>
      <w:pPr>
        <w:spacing w:line="360" w:lineRule="auto"/>
        <w:ind w:firstLine="486" w:firstLineChars="200"/>
        <w:rPr>
          <w:color w:val="auto"/>
          <w:sz w:val="24"/>
          <w:szCs w:val="28"/>
        </w:rPr>
      </w:pPr>
    </w:p>
    <w:p>
      <w:pPr>
        <w:pStyle w:val="4"/>
        <w:spacing w:before="0" w:after="0" w:line="360" w:lineRule="auto"/>
        <w:rPr>
          <w:rFonts w:ascii="宋体" w:hAnsi="宋体" w:cs="宋体"/>
          <w:color w:val="auto"/>
        </w:rPr>
      </w:pPr>
      <w:bookmarkStart w:id="0" w:name="_Toc152042288"/>
      <w:bookmarkStart w:id="1" w:name="_Toc507319891"/>
      <w:bookmarkStart w:id="2" w:name="_Toc11329213"/>
      <w:bookmarkStart w:id="3" w:name="_Toc12048"/>
      <w:bookmarkStart w:id="4" w:name="_Toc6549"/>
      <w:bookmarkStart w:id="5" w:name="_Toc246996158"/>
      <w:bookmarkStart w:id="6" w:name="_Toc144974480"/>
      <w:bookmarkStart w:id="7" w:name="_Toc179632528"/>
      <w:bookmarkStart w:id="8" w:name="_Toc10076"/>
      <w:bookmarkStart w:id="9" w:name="_Toc247085672"/>
      <w:bookmarkStart w:id="10" w:name="_Toc152045512"/>
      <w:bookmarkStart w:id="11" w:name="_Toc246996901"/>
      <w:bookmarkStart w:id="12" w:name="_Toc24874"/>
      <w:r>
        <w:rPr>
          <w:rFonts w:hint="eastAsia" w:ascii="宋体" w:hAnsi="宋体" w:cs="宋体"/>
          <w:color w:val="auto"/>
        </w:rPr>
        <w:t>1.比选条件</w:t>
      </w:r>
      <w:bookmarkEnd w:id="0"/>
      <w:bookmarkEnd w:id="1"/>
      <w:bookmarkEnd w:id="2"/>
      <w:bookmarkEnd w:id="3"/>
      <w:bookmarkEnd w:id="4"/>
      <w:bookmarkEnd w:id="5"/>
      <w:bookmarkEnd w:id="6"/>
      <w:bookmarkEnd w:id="7"/>
      <w:bookmarkEnd w:id="8"/>
      <w:bookmarkEnd w:id="9"/>
      <w:bookmarkEnd w:id="10"/>
      <w:bookmarkEnd w:id="11"/>
      <w:bookmarkEnd w:id="12"/>
    </w:p>
    <w:p>
      <w:pPr>
        <w:spacing w:line="360" w:lineRule="auto"/>
        <w:ind w:firstLine="486" w:firstLineChars="200"/>
        <w:rPr>
          <w:color w:val="auto"/>
          <w:sz w:val="24"/>
          <w:szCs w:val="28"/>
        </w:rPr>
      </w:pPr>
      <w:r>
        <w:rPr>
          <w:rFonts w:hint="eastAsia"/>
          <w:color w:val="auto"/>
          <w:sz w:val="24"/>
          <w:szCs w:val="28"/>
        </w:rPr>
        <w:t>本竞争性比选项目</w:t>
      </w:r>
      <w:r>
        <w:rPr>
          <w:rFonts w:hint="eastAsia"/>
          <w:color w:val="auto"/>
          <w:sz w:val="24"/>
          <w:szCs w:val="28"/>
          <w:u w:val="single"/>
        </w:rPr>
        <w:t>渝广梁忠公司网络安全服务项目</w:t>
      </w:r>
      <w:r>
        <w:rPr>
          <w:rFonts w:hint="eastAsia"/>
          <w:color w:val="auto"/>
          <w:sz w:val="24"/>
          <w:szCs w:val="28"/>
        </w:rPr>
        <w:t>，采购人为</w:t>
      </w:r>
      <w:r>
        <w:rPr>
          <w:rFonts w:hint="eastAsia"/>
          <w:color w:val="auto"/>
          <w:sz w:val="24"/>
          <w:szCs w:val="28"/>
          <w:u w:val="single"/>
        </w:rPr>
        <w:t>重庆首讯科技股份有限公司</w:t>
      </w:r>
      <w:r>
        <w:rPr>
          <w:rFonts w:hint="eastAsia"/>
          <w:color w:val="auto"/>
          <w:sz w:val="24"/>
          <w:szCs w:val="28"/>
        </w:rPr>
        <w:t>，该项目已具备比选条件，现对该项目进行竞争性比选。</w:t>
      </w:r>
    </w:p>
    <w:p>
      <w:pPr>
        <w:pStyle w:val="4"/>
        <w:spacing w:before="0" w:after="0" w:line="360" w:lineRule="auto"/>
        <w:rPr>
          <w:rFonts w:ascii="宋体" w:hAnsi="宋体" w:cs="宋体"/>
          <w:color w:val="auto"/>
        </w:rPr>
      </w:pPr>
      <w:r>
        <w:rPr>
          <w:rFonts w:hint="eastAsia" w:ascii="宋体" w:hAnsi="宋体" w:cs="宋体"/>
          <w:color w:val="auto"/>
        </w:rPr>
        <w:t>2.项目概述</w:t>
      </w:r>
    </w:p>
    <w:p>
      <w:pPr>
        <w:tabs>
          <w:tab w:val="left" w:pos="3621"/>
        </w:tabs>
        <w:spacing w:line="360" w:lineRule="auto"/>
        <w:ind w:firstLine="486" w:firstLineChars="200"/>
        <w:rPr>
          <w:color w:val="auto"/>
          <w:sz w:val="24"/>
          <w:szCs w:val="28"/>
        </w:rPr>
      </w:pPr>
      <w:r>
        <w:rPr>
          <w:rFonts w:hint="eastAsia"/>
          <w:color w:val="auto"/>
          <w:sz w:val="24"/>
          <w:szCs w:val="28"/>
        </w:rPr>
        <w:t>2.1服务内容：本次服务按路段收费，服务单位包含渝广梁忠公司（2个路段）相关网络业务系统及基础设施的网络安全服务。路段收费站、门架数量发生增减或基础设施数目发生变化，维护费用不变。</w:t>
      </w:r>
    </w:p>
    <w:p>
      <w:pPr>
        <w:tabs>
          <w:tab w:val="left" w:pos="3621"/>
        </w:tabs>
        <w:spacing w:line="360" w:lineRule="auto"/>
        <w:ind w:firstLine="486" w:firstLineChars="200"/>
        <w:rPr>
          <w:color w:val="auto"/>
          <w:sz w:val="24"/>
          <w:szCs w:val="28"/>
        </w:rPr>
      </w:pPr>
      <w:r>
        <w:rPr>
          <w:rFonts w:hint="eastAsia"/>
          <w:color w:val="auto"/>
          <w:sz w:val="24"/>
          <w:szCs w:val="28"/>
        </w:rPr>
        <w:t>根据《网络安全法》及GB/T 22239-2019《信息安全技术 网络安全等级保护要求》（以下简称“等保2.0”）等要求，对其提供包括且不限于安全管理体系建设、培训及演练服务、应急响应服务、网络安全检查、安全咨询服务、专项通报服务等服务，具体详“网络安全服务清单”。</w:t>
      </w:r>
    </w:p>
    <w:p>
      <w:pPr>
        <w:tabs>
          <w:tab w:val="left" w:pos="3621"/>
        </w:tabs>
        <w:spacing w:line="360" w:lineRule="auto"/>
        <w:ind w:firstLine="486" w:firstLineChars="200"/>
        <w:rPr>
          <w:color w:val="auto"/>
          <w:sz w:val="24"/>
          <w:szCs w:val="28"/>
        </w:rPr>
      </w:pPr>
      <w:r>
        <w:rPr>
          <w:rFonts w:hint="eastAsia"/>
          <w:color w:val="auto"/>
          <w:sz w:val="24"/>
          <w:szCs w:val="28"/>
        </w:rPr>
        <w:t>2.2服务地点：项目所在地。</w:t>
      </w:r>
    </w:p>
    <w:p>
      <w:pPr>
        <w:tabs>
          <w:tab w:val="left" w:pos="3621"/>
        </w:tabs>
        <w:spacing w:line="360" w:lineRule="auto"/>
        <w:ind w:firstLine="486" w:firstLineChars="200"/>
        <w:rPr>
          <w:color w:val="auto"/>
          <w:sz w:val="24"/>
          <w:szCs w:val="28"/>
        </w:rPr>
      </w:pPr>
      <w:r>
        <w:rPr>
          <w:rFonts w:hint="eastAsia"/>
          <w:color w:val="auto"/>
          <w:sz w:val="24"/>
          <w:szCs w:val="28"/>
        </w:rPr>
        <w:t>2.3服务期：自签订合同之日起至2021年12月31日。</w:t>
      </w:r>
    </w:p>
    <w:p>
      <w:pPr>
        <w:pStyle w:val="4"/>
        <w:spacing w:before="0" w:after="0" w:line="360" w:lineRule="auto"/>
        <w:rPr>
          <w:rFonts w:ascii="宋体" w:hAnsi="宋体" w:cs="宋体"/>
          <w:color w:val="auto"/>
        </w:rPr>
      </w:pPr>
      <w:r>
        <w:rPr>
          <w:rFonts w:hint="eastAsia" w:ascii="宋体" w:hAnsi="宋体" w:cs="宋体"/>
          <w:color w:val="auto"/>
        </w:rPr>
        <w:t>3.报价人资格要求</w:t>
      </w:r>
    </w:p>
    <w:p>
      <w:pPr>
        <w:spacing w:line="360" w:lineRule="auto"/>
        <w:ind w:firstLine="486" w:firstLineChars="200"/>
        <w:rPr>
          <w:color w:val="auto"/>
          <w:sz w:val="24"/>
          <w:szCs w:val="28"/>
        </w:rPr>
      </w:pPr>
      <w:r>
        <w:rPr>
          <w:rFonts w:hint="eastAsia"/>
          <w:color w:val="auto"/>
          <w:sz w:val="24"/>
          <w:szCs w:val="28"/>
        </w:rPr>
        <w:t>3.1资质要求：</w:t>
      </w:r>
    </w:p>
    <w:p>
      <w:pPr>
        <w:numPr>
          <w:ilvl w:val="0"/>
          <w:numId w:val="1"/>
        </w:numPr>
        <w:spacing w:line="360" w:lineRule="auto"/>
        <w:ind w:firstLine="486" w:firstLineChars="200"/>
        <w:rPr>
          <w:color w:val="auto"/>
          <w:sz w:val="24"/>
          <w:szCs w:val="28"/>
        </w:rPr>
      </w:pPr>
      <w:r>
        <w:rPr>
          <w:rFonts w:hint="eastAsia"/>
          <w:color w:val="auto"/>
          <w:sz w:val="24"/>
          <w:szCs w:val="28"/>
        </w:rPr>
        <w:t>具有独立法人资格，具有有效的营业执照；</w:t>
      </w:r>
    </w:p>
    <w:p>
      <w:pPr>
        <w:spacing w:line="360" w:lineRule="auto"/>
        <w:ind w:firstLine="486" w:firstLineChars="200"/>
        <w:rPr>
          <w:color w:val="auto"/>
          <w:sz w:val="24"/>
          <w:szCs w:val="28"/>
        </w:rPr>
      </w:pPr>
      <w:r>
        <w:rPr>
          <w:rFonts w:hint="eastAsia"/>
          <w:color w:val="auto"/>
          <w:sz w:val="24"/>
          <w:szCs w:val="28"/>
        </w:rPr>
        <w:t>2.具备有效的《质量管理体系认证证书》（ISO9001）</w:t>
      </w:r>
    </w:p>
    <w:p>
      <w:pPr>
        <w:spacing w:line="360" w:lineRule="auto"/>
        <w:ind w:firstLine="486" w:firstLineChars="200"/>
        <w:rPr>
          <w:color w:val="auto"/>
          <w:sz w:val="24"/>
          <w:szCs w:val="28"/>
        </w:rPr>
      </w:pPr>
      <w:r>
        <w:rPr>
          <w:rFonts w:hint="eastAsia"/>
          <w:color w:val="auto"/>
          <w:sz w:val="24"/>
          <w:szCs w:val="28"/>
        </w:rPr>
        <w:t>3.具备中国信息安全测评中心颁发的有效的《信息安全服务资质认证证书》安全工程类一级及以上的资质。</w:t>
      </w:r>
    </w:p>
    <w:p>
      <w:pPr>
        <w:spacing w:line="360" w:lineRule="auto"/>
        <w:ind w:firstLine="486" w:firstLineChars="200"/>
        <w:rPr>
          <w:color w:val="auto"/>
          <w:sz w:val="24"/>
          <w:szCs w:val="28"/>
        </w:rPr>
      </w:pPr>
      <w:r>
        <w:rPr>
          <w:rFonts w:hint="eastAsia"/>
          <w:color w:val="auto"/>
          <w:sz w:val="24"/>
          <w:szCs w:val="28"/>
        </w:rPr>
        <w:t>4．信誉良好：在国家企业信用信息公示系统（http://www.gsxt.gov.cn/）中未被列入严重违法失信企业名单（黑名单）信息；在“信用中国”网站（http://www.creditchina.gov.cn/）中未被列入失信惩戒执行人名单；</w:t>
      </w:r>
    </w:p>
    <w:p>
      <w:pPr>
        <w:spacing w:line="360" w:lineRule="auto"/>
        <w:ind w:firstLine="486" w:firstLineChars="200"/>
        <w:rPr>
          <w:color w:val="auto"/>
        </w:rPr>
      </w:pPr>
      <w:r>
        <w:rPr>
          <w:rFonts w:hint="eastAsia"/>
          <w:b/>
          <w:bCs/>
          <w:color w:val="auto"/>
          <w:sz w:val="24"/>
          <w:szCs w:val="28"/>
        </w:rPr>
        <w:t>说明：本项目安全服务内容均需要安全服务提供商提供原厂服务，如代理商投标，则需要提供安全服务提供商原厂出具对此项目的授权函、原厂技术支持及售后服务承诺函，从而代表安全服务提供商参与本项目。</w:t>
      </w:r>
    </w:p>
    <w:p>
      <w:pPr>
        <w:spacing w:line="360" w:lineRule="auto"/>
        <w:ind w:firstLine="486" w:firstLineChars="200"/>
        <w:rPr>
          <w:color w:val="auto"/>
          <w:sz w:val="24"/>
          <w:szCs w:val="28"/>
        </w:rPr>
      </w:pPr>
      <w:r>
        <w:rPr>
          <w:rFonts w:hint="eastAsia"/>
          <w:color w:val="auto"/>
          <w:sz w:val="24"/>
          <w:szCs w:val="28"/>
        </w:rPr>
        <w:t>3.2 本次比选不接受联合体报价。</w:t>
      </w:r>
    </w:p>
    <w:p>
      <w:pPr>
        <w:spacing w:line="360" w:lineRule="auto"/>
        <w:ind w:firstLine="486" w:firstLineChars="200"/>
        <w:rPr>
          <w:color w:val="auto"/>
          <w:sz w:val="24"/>
          <w:szCs w:val="28"/>
        </w:rPr>
      </w:pPr>
      <w:r>
        <w:rPr>
          <w:rFonts w:hint="eastAsia"/>
          <w:color w:val="auto"/>
          <w:sz w:val="24"/>
          <w:szCs w:val="28"/>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cs="宋体"/>
          <w:color w:val="auto"/>
        </w:rPr>
      </w:pPr>
      <w:bookmarkStart w:id="13" w:name="_Toc17662"/>
      <w:bookmarkStart w:id="14" w:name="_Toc25619"/>
      <w:bookmarkStart w:id="15" w:name="_Toc12460"/>
      <w:bookmarkStart w:id="16" w:name="_Toc14361"/>
      <w:bookmarkStart w:id="17" w:name="_Toc507319894"/>
      <w:bookmarkStart w:id="18" w:name="_Toc11329216"/>
      <w:r>
        <w:rPr>
          <w:rFonts w:hint="eastAsia" w:ascii="宋体" w:hAnsi="宋体" w:cs="宋体"/>
          <w:color w:val="auto"/>
        </w:rPr>
        <w:t>4. 比选文件的获取</w:t>
      </w:r>
      <w:bookmarkEnd w:id="13"/>
      <w:bookmarkEnd w:id="14"/>
      <w:bookmarkEnd w:id="15"/>
      <w:bookmarkEnd w:id="16"/>
      <w:bookmarkEnd w:id="17"/>
      <w:bookmarkEnd w:id="18"/>
    </w:p>
    <w:p>
      <w:pPr>
        <w:spacing w:line="360" w:lineRule="auto"/>
        <w:ind w:firstLine="486" w:firstLineChars="200"/>
        <w:rPr>
          <w:rFonts w:ascii="宋体" w:hAnsi="宋体"/>
          <w:color w:val="auto"/>
          <w:sz w:val="24"/>
        </w:rPr>
      </w:pPr>
      <w:bookmarkStart w:id="19" w:name="_Toc507319895"/>
      <w:bookmarkStart w:id="20" w:name="_Toc179632532"/>
      <w:bookmarkStart w:id="21" w:name="_Toc11329217"/>
      <w:bookmarkStart w:id="22" w:name="_Toc246996905"/>
      <w:bookmarkStart w:id="23" w:name="_Toc247085676"/>
      <w:bookmarkStart w:id="24" w:name="_Toc246996162"/>
      <w:bookmarkStart w:id="25" w:name="_Toc152045516"/>
      <w:bookmarkStart w:id="26" w:name="_Toc144974484"/>
      <w:bookmarkStart w:id="27" w:name="_Toc152042292"/>
      <w:r>
        <w:rPr>
          <w:rFonts w:ascii="宋体" w:hAnsi="宋体"/>
          <w:color w:val="auto"/>
          <w:sz w:val="24"/>
        </w:rPr>
        <w:t>凡愿意参加的潜在</w:t>
      </w:r>
      <w:r>
        <w:rPr>
          <w:rFonts w:hint="eastAsia" w:ascii="宋体" w:hAnsi="宋体"/>
          <w:color w:val="auto"/>
          <w:sz w:val="24"/>
        </w:rPr>
        <w:t>报价</w:t>
      </w:r>
      <w:r>
        <w:rPr>
          <w:rFonts w:ascii="宋体" w:hAnsi="宋体"/>
          <w:color w:val="auto"/>
          <w:sz w:val="24"/>
        </w:rPr>
        <w:t>人，</w:t>
      </w:r>
      <w:r>
        <w:rPr>
          <w:rFonts w:hint="eastAsia" w:ascii="宋体" w:hAnsi="宋体"/>
          <w:color w:val="auto"/>
          <w:sz w:val="24"/>
        </w:rPr>
        <w:t>在2021年11月11日15:00前在重庆高速集团官网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cs="宋体"/>
          <w:color w:val="auto"/>
        </w:rPr>
      </w:pPr>
      <w:bookmarkStart w:id="28" w:name="_Toc16686"/>
      <w:bookmarkStart w:id="29" w:name="_Toc9131"/>
      <w:bookmarkStart w:id="30" w:name="_Toc31493"/>
      <w:bookmarkStart w:id="31" w:name="_Toc6426"/>
      <w:r>
        <w:rPr>
          <w:rFonts w:hint="eastAsia" w:ascii="宋体" w:hAnsi="宋体" w:cs="宋体"/>
          <w:color w:val="auto"/>
        </w:rPr>
        <w:t>5. 竞争性比选响应文件的递交</w:t>
      </w:r>
      <w:bookmarkEnd w:id="19"/>
      <w:bookmarkEnd w:id="20"/>
      <w:bookmarkEnd w:id="21"/>
      <w:bookmarkEnd w:id="22"/>
      <w:bookmarkEnd w:id="23"/>
      <w:bookmarkEnd w:id="24"/>
      <w:bookmarkEnd w:id="25"/>
      <w:bookmarkEnd w:id="26"/>
      <w:bookmarkEnd w:id="27"/>
      <w:r>
        <w:rPr>
          <w:rFonts w:hint="eastAsia" w:ascii="宋体" w:hAnsi="宋体" w:cs="宋体"/>
          <w:color w:val="auto"/>
        </w:rPr>
        <w:t>及相关事宜</w:t>
      </w:r>
      <w:bookmarkEnd w:id="28"/>
      <w:bookmarkEnd w:id="29"/>
      <w:bookmarkEnd w:id="30"/>
      <w:bookmarkEnd w:id="31"/>
    </w:p>
    <w:p>
      <w:pPr>
        <w:spacing w:line="360" w:lineRule="auto"/>
        <w:ind w:firstLine="486" w:firstLineChars="200"/>
        <w:rPr>
          <w:rFonts w:ascii="宋体" w:hAnsi="宋体"/>
          <w:color w:val="auto"/>
          <w:sz w:val="24"/>
        </w:rPr>
      </w:pPr>
      <w:r>
        <w:rPr>
          <w:rFonts w:hint="eastAsia" w:ascii="宋体" w:hAnsi="宋体"/>
          <w:color w:val="auto"/>
          <w:sz w:val="24"/>
        </w:rPr>
        <w:t>5.1报价截止时间和开标时间：2021年11月 11日15 时 00 分（北京时间）。</w:t>
      </w:r>
    </w:p>
    <w:p>
      <w:pPr>
        <w:spacing w:line="360" w:lineRule="auto"/>
        <w:ind w:firstLine="486" w:firstLineChars="200"/>
        <w:rPr>
          <w:rFonts w:ascii="宋体" w:hAnsi="宋体"/>
          <w:color w:val="auto"/>
          <w:sz w:val="24"/>
        </w:rPr>
      </w:pPr>
      <w:r>
        <w:rPr>
          <w:rFonts w:hint="eastAsia" w:ascii="宋体" w:hAnsi="宋体"/>
          <w:color w:val="auto"/>
          <w:sz w:val="24"/>
        </w:rPr>
        <w:t>5.2报价的递交：重庆市南岸区四公里内环入口200米处重庆首讯科技大楼</w:t>
      </w:r>
    </w:p>
    <w:p>
      <w:pPr>
        <w:tabs>
          <w:tab w:val="left" w:pos="360"/>
        </w:tabs>
        <w:spacing w:line="400" w:lineRule="exact"/>
        <w:ind w:firstLine="486" w:firstLineChars="200"/>
        <w:rPr>
          <w:rFonts w:ascii="宋体" w:hAnsi="宋体" w:cs="宋体"/>
          <w:color w:val="auto"/>
          <w:sz w:val="24"/>
        </w:rPr>
      </w:pPr>
      <w:r>
        <w:rPr>
          <w:rFonts w:hint="eastAsia" w:ascii="宋体" w:hAnsi="宋体" w:cs="宋体"/>
          <w:color w:val="auto"/>
          <w:sz w:val="24"/>
        </w:rPr>
        <w:t>5.3</w:t>
      </w:r>
      <w:r>
        <w:rPr>
          <w:rFonts w:ascii="宋体" w:hAnsi="宋体" w:cs="宋体"/>
          <w:color w:val="auto"/>
          <w:sz w:val="24"/>
        </w:rPr>
        <w:t>采购人不组织工程现场踏勘，不召开报价预备会。</w:t>
      </w:r>
    </w:p>
    <w:p>
      <w:pPr>
        <w:pStyle w:val="4"/>
        <w:spacing w:before="120" w:after="0" w:line="400" w:lineRule="exact"/>
        <w:rPr>
          <w:rFonts w:ascii="宋体" w:hAnsi="宋体" w:cs="宋体"/>
          <w:color w:val="auto"/>
        </w:rPr>
      </w:pPr>
      <w:bookmarkStart w:id="32" w:name="_Toc246996164"/>
      <w:bookmarkStart w:id="33" w:name="_Toc144974485"/>
      <w:bookmarkStart w:id="34" w:name="_Toc179632534"/>
      <w:bookmarkStart w:id="35" w:name="_Toc152042293"/>
      <w:bookmarkStart w:id="36" w:name="_Toc247085678"/>
      <w:bookmarkStart w:id="37" w:name="_Toc393"/>
      <w:bookmarkStart w:id="38" w:name="_Toc3341"/>
      <w:bookmarkStart w:id="39" w:name="_Toc152045517"/>
      <w:bookmarkStart w:id="40" w:name="_Toc246996907"/>
      <w:bookmarkStart w:id="41" w:name="_Toc18402"/>
      <w:bookmarkStart w:id="42" w:name="_Toc21615"/>
      <w:bookmarkStart w:id="43" w:name="_Toc11329219"/>
      <w:bookmarkStart w:id="44" w:name="_Toc507319897"/>
      <w:r>
        <w:rPr>
          <w:rFonts w:hint="eastAsia" w:ascii="宋体" w:hAnsi="宋体" w:cs="宋体"/>
          <w:color w:val="auto"/>
        </w:rPr>
        <w:t>6. 联系方式</w:t>
      </w:r>
      <w:bookmarkEnd w:id="32"/>
      <w:bookmarkEnd w:id="33"/>
      <w:bookmarkEnd w:id="34"/>
      <w:bookmarkEnd w:id="35"/>
      <w:bookmarkEnd w:id="36"/>
      <w:bookmarkEnd w:id="37"/>
      <w:bookmarkEnd w:id="38"/>
      <w:bookmarkEnd w:id="39"/>
      <w:bookmarkEnd w:id="40"/>
      <w:bookmarkEnd w:id="41"/>
      <w:bookmarkEnd w:id="42"/>
      <w:bookmarkEnd w:id="43"/>
      <w:bookmarkEnd w:id="44"/>
    </w:p>
    <w:tbl>
      <w:tblPr>
        <w:tblStyle w:val="17"/>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29"/>
              <w:spacing w:before="0" w:beforeAutospacing="0" w:after="0" w:afterAutospacing="0" w:line="400" w:lineRule="exact"/>
              <w:ind w:firstLine="486" w:firstLineChars="200"/>
              <w:jc w:val="both"/>
              <w:rPr>
                <w:rFonts w:ascii="宋体" w:hAnsi="宋体" w:cs="宋体"/>
                <w:color w:val="auto"/>
                <w:kern w:val="2"/>
                <w:sz w:val="24"/>
                <w:szCs w:val="24"/>
              </w:rPr>
            </w:pPr>
            <w:r>
              <w:rPr>
                <w:rFonts w:hint="eastAsia" w:ascii="宋体" w:hAnsi="宋体" w:cs="宋体"/>
                <w:color w:val="auto"/>
                <w:kern w:val="2"/>
                <w:sz w:val="24"/>
                <w:szCs w:val="24"/>
              </w:rPr>
              <w:t>采购人：重庆首讯科技股份有限公司</w:t>
            </w:r>
          </w:p>
        </w:tc>
        <w:tc>
          <w:tcPr>
            <w:tcW w:w="1415" w:type="dxa"/>
            <w:vAlign w:val="center"/>
          </w:tcPr>
          <w:p>
            <w:pPr>
              <w:pStyle w:val="29"/>
              <w:spacing w:before="0" w:beforeAutospacing="0" w:after="0" w:afterAutospacing="0" w:line="400" w:lineRule="exact"/>
              <w:ind w:firstLine="486" w:firstLineChars="200"/>
              <w:jc w:val="both"/>
              <w:rPr>
                <w:rFonts w:ascii="宋体" w:hAnsi="宋体" w:cs="宋体"/>
                <w:color w:val="auto"/>
                <w:kern w:val="2"/>
                <w:sz w:val="24"/>
                <w:szCs w:val="24"/>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155" w:leftChars="200" w:hanging="729" w:hangingChars="300"/>
              <w:rPr>
                <w:rFonts w:ascii="宋体" w:hAnsi="宋体" w:cs="宋体"/>
                <w:color w:val="auto"/>
                <w:sz w:val="24"/>
              </w:rPr>
            </w:pPr>
            <w:r>
              <w:rPr>
                <w:rFonts w:hint="eastAsia" w:ascii="宋体" w:hAnsi="宋体" w:cs="宋体"/>
                <w:color w:val="auto"/>
                <w:sz w:val="24"/>
              </w:rPr>
              <w:t xml:space="preserve"> 地址：重庆市南岸区四公里内环入口高速集团首讯科技大楼</w:t>
            </w:r>
          </w:p>
        </w:tc>
        <w:tc>
          <w:tcPr>
            <w:tcW w:w="1415" w:type="dxa"/>
            <w:vAlign w:val="center"/>
          </w:tcPr>
          <w:p>
            <w:pPr>
              <w:spacing w:line="400" w:lineRule="exact"/>
              <w:ind w:firstLine="486" w:firstLineChars="200"/>
              <w:rPr>
                <w:rFonts w:ascii="宋体" w:hAnsi="宋体" w:cs="宋体"/>
                <w:color w:val="auto"/>
                <w:sz w:val="24"/>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86" w:firstLineChars="200"/>
              <w:rPr>
                <w:rFonts w:ascii="宋体" w:hAnsi="宋体" w:cs="宋体"/>
                <w:color w:val="auto"/>
                <w:sz w:val="24"/>
              </w:rPr>
            </w:pPr>
            <w:r>
              <w:rPr>
                <w:rFonts w:hint="eastAsia" w:ascii="宋体" w:hAnsi="宋体" w:cs="宋体"/>
                <w:color w:val="auto"/>
                <w:sz w:val="24"/>
              </w:rPr>
              <w:t>联系人：费老师/邵老师</w:t>
            </w:r>
          </w:p>
        </w:tc>
        <w:tc>
          <w:tcPr>
            <w:tcW w:w="1415" w:type="dxa"/>
            <w:vAlign w:val="center"/>
          </w:tcPr>
          <w:p>
            <w:pPr>
              <w:spacing w:line="400" w:lineRule="exact"/>
              <w:ind w:firstLine="486" w:firstLineChars="200"/>
              <w:rPr>
                <w:rFonts w:ascii="宋体" w:hAnsi="宋体" w:cs="宋体"/>
                <w:color w:val="auto"/>
                <w:sz w:val="24"/>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86" w:firstLineChars="200"/>
              <w:rPr>
                <w:color w:val="auto"/>
                <w:sz w:val="24"/>
              </w:rPr>
            </w:pPr>
            <w:r>
              <w:rPr>
                <w:rFonts w:hint="eastAsia" w:ascii="宋体" w:hAnsi="宋体" w:cs="宋体"/>
                <w:color w:val="auto"/>
                <w:sz w:val="24"/>
              </w:rPr>
              <w:t>电 话：</w:t>
            </w:r>
            <w:r>
              <w:rPr>
                <w:rFonts w:hint="eastAsia" w:ascii="宋体" w:hAnsi="宋体"/>
                <w:color w:val="auto"/>
                <w:sz w:val="24"/>
              </w:rPr>
              <w:t xml:space="preserve">13438076652/13527396256  </w:t>
            </w:r>
          </w:p>
        </w:tc>
        <w:tc>
          <w:tcPr>
            <w:tcW w:w="1415" w:type="dxa"/>
            <w:vAlign w:val="center"/>
          </w:tcPr>
          <w:p>
            <w:pPr>
              <w:spacing w:line="400" w:lineRule="exact"/>
              <w:ind w:firstLine="486" w:firstLineChars="200"/>
              <w:rPr>
                <w:rFonts w:ascii="宋体" w:hAnsi="宋体" w:cs="宋体"/>
                <w:color w:val="auto"/>
                <w:sz w:val="24"/>
              </w:rPr>
            </w:pPr>
          </w:p>
        </w:tc>
      </w:tr>
    </w:tbl>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widowControl/>
        <w:jc w:val="left"/>
        <w:rPr>
          <w:color w:val="auto"/>
        </w:rPr>
      </w:pPr>
      <w:r>
        <w:rPr>
          <w:color w:val="auto"/>
        </w:rPr>
        <w:br w:type="page"/>
      </w:r>
    </w:p>
    <w:p>
      <w:pPr>
        <w:rPr>
          <w:color w:val="auto"/>
        </w:rPr>
      </w:pPr>
    </w:p>
    <w:p>
      <w:pPr>
        <w:pStyle w:val="3"/>
        <w:spacing w:before="0" w:after="0" w:line="360" w:lineRule="auto"/>
        <w:rPr>
          <w:color w:val="auto"/>
          <w:spacing w:val="10"/>
          <w:sz w:val="48"/>
          <w:szCs w:val="48"/>
        </w:rPr>
      </w:pPr>
      <w:r>
        <w:rPr>
          <w:rFonts w:hint="eastAsia"/>
          <w:color w:val="auto"/>
          <w:spacing w:val="10"/>
          <w:sz w:val="48"/>
          <w:szCs w:val="48"/>
        </w:rPr>
        <w:t>第二章 报价人须知</w:t>
      </w:r>
    </w:p>
    <w:p>
      <w:pPr>
        <w:pStyle w:val="4"/>
        <w:spacing w:before="120" w:after="0" w:line="400" w:lineRule="exact"/>
        <w:rPr>
          <w:rFonts w:ascii="宋体" w:hAnsi="宋体" w:cs="宋体"/>
          <w:color w:val="auto"/>
          <w:sz w:val="24"/>
          <w:szCs w:val="24"/>
        </w:rPr>
      </w:pPr>
      <w:r>
        <w:rPr>
          <w:rFonts w:hint="eastAsia" w:ascii="宋体" w:hAnsi="宋体" w:cs="宋体"/>
          <w:color w:val="auto"/>
          <w:sz w:val="24"/>
          <w:szCs w:val="24"/>
        </w:rPr>
        <w:t>1.网络安全服务内容</w:t>
      </w:r>
    </w:p>
    <w:tbl>
      <w:tblPr>
        <w:tblStyle w:val="17"/>
        <w:tblpPr w:leftFromText="180" w:rightFromText="180" w:vertAnchor="text" w:horzAnchor="page" w:tblpX="1493" w:tblpY="451"/>
        <w:tblOverlap w:val="never"/>
        <w:tblW w:w="9493" w:type="dxa"/>
        <w:tblInd w:w="0" w:type="dxa"/>
        <w:tblLayout w:type="fixed"/>
        <w:tblCellMar>
          <w:top w:w="0" w:type="dxa"/>
          <w:left w:w="0" w:type="dxa"/>
          <w:bottom w:w="0" w:type="dxa"/>
          <w:right w:w="0" w:type="dxa"/>
        </w:tblCellMar>
      </w:tblPr>
      <w:tblGrid>
        <w:gridCol w:w="812"/>
        <w:gridCol w:w="680"/>
        <w:gridCol w:w="1120"/>
        <w:gridCol w:w="6881"/>
      </w:tblGrid>
      <w:tr>
        <w:tblPrEx>
          <w:tblCellMar>
            <w:top w:w="0" w:type="dxa"/>
            <w:left w:w="0" w:type="dxa"/>
            <w:bottom w:w="0" w:type="dxa"/>
            <w:right w:w="0" w:type="dxa"/>
          </w:tblCellMar>
        </w:tblPrEx>
        <w:trPr>
          <w:trHeight w:val="345" w:hRule="atLeast"/>
        </w:trPr>
        <w:tc>
          <w:tcPr>
            <w:tcW w:w="812"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widowControl/>
              <w:jc w:val="center"/>
              <w:textAlignment w:val="center"/>
              <w:rPr>
                <w:rFonts w:ascii="宋体" w:hAnsi="宋体" w:cs="微软雅黑"/>
                <w:b/>
                <w:color w:val="auto"/>
                <w:sz w:val="24"/>
              </w:rPr>
            </w:pPr>
            <w:r>
              <w:rPr>
                <w:rFonts w:hint="eastAsia" w:ascii="宋体" w:hAnsi="宋体" w:cs="微软雅黑"/>
                <w:b/>
                <w:color w:val="auto"/>
                <w:kern w:val="0"/>
                <w:sz w:val="24"/>
                <w:lang w:bidi="ar"/>
              </w:rPr>
              <w:t>序号</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widowControl/>
              <w:jc w:val="center"/>
              <w:textAlignment w:val="center"/>
              <w:rPr>
                <w:rFonts w:ascii="宋体" w:hAnsi="宋体" w:cs="微软雅黑"/>
                <w:b/>
                <w:color w:val="auto"/>
                <w:sz w:val="24"/>
              </w:rPr>
            </w:pPr>
            <w:r>
              <w:rPr>
                <w:rFonts w:hint="eastAsia" w:ascii="宋体" w:hAnsi="宋体" w:cs="微软雅黑"/>
                <w:b/>
                <w:color w:val="auto"/>
                <w:kern w:val="0"/>
                <w:sz w:val="24"/>
                <w:lang w:bidi="ar"/>
              </w:rPr>
              <w:t>服务类型</w:t>
            </w:r>
          </w:p>
        </w:tc>
        <w:tc>
          <w:tcPr>
            <w:tcW w:w="6881"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widowControl/>
              <w:jc w:val="center"/>
              <w:textAlignment w:val="center"/>
              <w:rPr>
                <w:rFonts w:ascii="宋体" w:hAnsi="宋体" w:cs="微软雅黑"/>
                <w:b/>
                <w:color w:val="auto"/>
                <w:sz w:val="24"/>
              </w:rPr>
            </w:pPr>
            <w:r>
              <w:rPr>
                <w:rFonts w:hint="eastAsia" w:ascii="宋体" w:hAnsi="宋体" w:cs="微软雅黑"/>
                <w:b/>
                <w:color w:val="auto"/>
                <w:kern w:val="0"/>
                <w:sz w:val="24"/>
                <w:lang w:bidi="ar"/>
              </w:rPr>
              <w:t>服务要求</w:t>
            </w:r>
          </w:p>
        </w:tc>
      </w:tr>
      <w:tr>
        <w:tblPrEx>
          <w:tblCellMar>
            <w:top w:w="0" w:type="dxa"/>
            <w:left w:w="0" w:type="dxa"/>
            <w:bottom w:w="0" w:type="dxa"/>
            <w:right w:w="0" w:type="dxa"/>
          </w:tblCellMar>
        </w:tblPrEx>
        <w:trPr>
          <w:trHeight w:val="165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安全管理体系建设服务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参照国家及行业相关政策要求以及国内国际权威安全管理体系标准，结合工作实际，配合业主单位完善和修订网络安全制度、应急预案、个人信息管理办法等相关安全管理制度，完善安全管理体系，并对制度的可实施性、可操作性提出相关合理建议。</w:t>
            </w:r>
          </w:p>
        </w:tc>
      </w:tr>
      <w:tr>
        <w:tblPrEx>
          <w:tblCellMar>
            <w:top w:w="0" w:type="dxa"/>
            <w:left w:w="0" w:type="dxa"/>
            <w:bottom w:w="0" w:type="dxa"/>
            <w:right w:w="0" w:type="dxa"/>
          </w:tblCellMar>
        </w:tblPrEx>
        <w:trPr>
          <w:trHeight w:val="26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等保服务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根据等保2.0等相关文件要求，协助业主单位对需要备案的信息系统完成定级备案，协调和邀请专家对所有需要定级备案的信息系统进行定级报告评审；针对二级及以上信息系统进行差距分析，出具可实施的《差距分析报告与整改方案》，协助业主开展整改工作，确保顺利通过等保；协助开展等保测评工作，根据等保测评结果，制订合理的整改方案，并提供多种形式的技术响应和支持协助落实。</w:t>
            </w:r>
          </w:p>
        </w:tc>
      </w:tr>
      <w:tr>
        <w:tblPrEx>
          <w:tblCellMar>
            <w:top w:w="0" w:type="dxa"/>
            <w:left w:w="0" w:type="dxa"/>
            <w:bottom w:w="0" w:type="dxa"/>
            <w:right w:w="0" w:type="dxa"/>
          </w:tblCellMar>
        </w:tblPrEx>
        <w:trPr>
          <w:trHeight w:val="1665" w:hRule="atLeast"/>
        </w:trPr>
        <w:tc>
          <w:tcPr>
            <w:tcW w:w="8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培训及演练服务</w:t>
            </w:r>
          </w:p>
        </w:tc>
        <w:tc>
          <w:tcPr>
            <w:tcW w:w="68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根据业主安排，提供培训、演练服务，合同期限内至少一次；提供完善的培训实施计划、培训材料，由有网络安全相关资质的讲师承担；提供全面的演练实施方案，提供相关应急物资，提供演练技术服务，并形成完整的演练资料，根据演练情况完善或修改应急预案；根据业主单位完成保网/护网工作，提供全面的保网/护网方案，提供技术支撑，并形成完整的保网/护网材料，并在保网/护网期间安排驻场值守人员。</w:t>
            </w:r>
          </w:p>
        </w:tc>
      </w:tr>
      <w:tr>
        <w:tblPrEx>
          <w:tblCellMar>
            <w:top w:w="0" w:type="dxa"/>
            <w:left w:w="0" w:type="dxa"/>
            <w:bottom w:w="0" w:type="dxa"/>
            <w:right w:w="0" w:type="dxa"/>
          </w:tblCellMar>
        </w:tblPrEx>
        <w:trPr>
          <w:trHeight w:val="23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应急响应服务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提供重大时刻安全保障；对业主网站提供7*24小时实时监测服务；当业主单位发生网络安全事件或事件预警时，应半小时响应，并根据情况派出安全专家团队开展事件响应工作，制订应急处置方案，现场排查处理安全事件，保障业务系统的连续性，阻止和减小安全事件带来的负面影响；专家团队必须第一时间通过电话进行远程指导，一小时内到达现场；事后完善相关过程资料。</w:t>
            </w:r>
          </w:p>
        </w:tc>
      </w:tr>
      <w:tr>
        <w:tblPrEx>
          <w:tblCellMar>
            <w:top w:w="0" w:type="dxa"/>
            <w:left w:w="0" w:type="dxa"/>
            <w:bottom w:w="0" w:type="dxa"/>
            <w:right w:w="0" w:type="dxa"/>
          </w:tblCellMar>
        </w:tblPrEx>
        <w:trPr>
          <w:trHeight w:val="2415"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5</w:t>
            </w:r>
          </w:p>
        </w:tc>
        <w:tc>
          <w:tcPr>
            <w:tcW w:w="6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网络安全检查服务</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专项安全检查</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配合业主对业主及下属单位网络安全情况进行季度检查和不定期抽查，编制检查方案，形成检查记录，汇总分析，并提供可行整改方案；配合业主接受上级单位安全检查，编制迎检方案，协助准备迎检材料，做好前期迎检工作，现场协助检查，提供相关技术支持，对检查情况进行问题汇总分析，并提供可行整改方案；协助业主开展问题整改。</w:t>
            </w:r>
          </w:p>
        </w:tc>
      </w:tr>
      <w:tr>
        <w:tblPrEx>
          <w:tblCellMar>
            <w:top w:w="0" w:type="dxa"/>
            <w:left w:w="0" w:type="dxa"/>
            <w:bottom w:w="0" w:type="dxa"/>
            <w:right w:w="0" w:type="dxa"/>
          </w:tblCellMar>
        </w:tblPrEx>
        <w:trPr>
          <w:trHeight w:val="1095"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6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重大节假日、重要会议、重大活动、敏感时期等重要期间前期配合业主开展节前巡检、安全自查、检查与整改，期间安全值守，形成相关方案、记录等。</w:t>
            </w:r>
          </w:p>
        </w:tc>
      </w:tr>
      <w:tr>
        <w:tblPrEx>
          <w:tblCellMar>
            <w:top w:w="0" w:type="dxa"/>
            <w:left w:w="0" w:type="dxa"/>
            <w:bottom w:w="0" w:type="dxa"/>
            <w:right w:w="0" w:type="dxa"/>
          </w:tblCellMar>
        </w:tblPrEx>
        <w:trPr>
          <w:trHeight w:val="99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新建信息化项目安全检查</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对新系统发布上线前进行安全漏洞扫描、渗透测试等，并提供检测报告。</w:t>
            </w:r>
          </w:p>
        </w:tc>
      </w:tr>
      <w:tr>
        <w:tblPrEx>
          <w:tblCellMar>
            <w:top w:w="0" w:type="dxa"/>
            <w:left w:w="0" w:type="dxa"/>
            <w:bottom w:w="0" w:type="dxa"/>
            <w:right w:w="0" w:type="dxa"/>
          </w:tblCellMar>
        </w:tblPrEx>
        <w:trPr>
          <w:trHeight w:val="1035"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日常巡检</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提供资产梳理及日常巡检服务，7*24小时网站实时安全监测、不定期对服务器、网络、终端关键设备开展日常巡检，并形成记录文档，并及时更新资产。</w:t>
            </w:r>
          </w:p>
        </w:tc>
      </w:tr>
      <w:tr>
        <w:tblPrEx>
          <w:tblCellMar>
            <w:top w:w="0" w:type="dxa"/>
            <w:left w:w="0" w:type="dxa"/>
            <w:bottom w:w="0" w:type="dxa"/>
            <w:right w:w="0" w:type="dxa"/>
          </w:tblCellMar>
        </w:tblPrEx>
        <w:trPr>
          <w:trHeight w:val="75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风险评估</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合同期限内至少开展一次风险评估。</w:t>
            </w:r>
          </w:p>
        </w:tc>
      </w:tr>
      <w:tr>
        <w:tblPrEx>
          <w:tblCellMar>
            <w:top w:w="0" w:type="dxa"/>
            <w:left w:w="0" w:type="dxa"/>
            <w:bottom w:w="0" w:type="dxa"/>
            <w:right w:w="0" w:type="dxa"/>
          </w:tblCellMar>
        </w:tblPrEx>
        <w:trPr>
          <w:trHeight w:val="138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季度巡检</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2021年10月-12月开展不少于一次的巡检服务，内容包括且不限于渗透测试、风险评估、基线核查、WEB扫描、漏洞扫描、基线检查、弱口令、恶意代码检查、日志审计等。</w:t>
            </w:r>
          </w:p>
        </w:tc>
      </w:tr>
      <w:tr>
        <w:tblPrEx>
          <w:tblCellMar>
            <w:top w:w="0" w:type="dxa"/>
            <w:left w:w="0" w:type="dxa"/>
            <w:bottom w:w="0" w:type="dxa"/>
            <w:right w:w="0" w:type="dxa"/>
          </w:tblCellMar>
        </w:tblPrEx>
        <w:trPr>
          <w:trHeight w:val="99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6</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加固服务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提供安全漏洞修复、安全基线配置、网络及主机安全策略优化等服务，若需外单位协助整改，提供整改细则说明及相关配合工作。</w:t>
            </w:r>
          </w:p>
        </w:tc>
      </w:tr>
      <w:tr>
        <w:tblPrEx>
          <w:tblCellMar>
            <w:top w:w="0" w:type="dxa"/>
            <w:left w:w="0" w:type="dxa"/>
            <w:bottom w:w="0" w:type="dxa"/>
            <w:right w:w="0" w:type="dxa"/>
          </w:tblCellMar>
        </w:tblPrEx>
        <w:trPr>
          <w:trHeight w:val="132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7</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安全咨询服务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包含且不限于按照路网公司要求落实网络安全整体建设规划、设计网络结构改造及优化方案、网络技术咨询、安全技术咨询、安全需求分析、建设期间安全咨询、相关政策文件及上级单位文件落实咨询等服务。</w:t>
            </w:r>
          </w:p>
        </w:tc>
      </w:tr>
      <w:tr>
        <w:tblPrEx>
          <w:tblCellMar>
            <w:top w:w="0" w:type="dxa"/>
            <w:left w:w="0" w:type="dxa"/>
            <w:bottom w:w="0" w:type="dxa"/>
            <w:right w:w="0" w:type="dxa"/>
          </w:tblCellMar>
        </w:tblPrEx>
        <w:trPr>
          <w:trHeight w:val="19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8</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专项通报服务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根据上级单位要求及本单位通报规范，提供通报数据来源分析、通报信息汇总等服务；针对网监、网信办、交通部、交通局等上级单位及互联网安全漏洞预警通知、安全通报、安全风险排查等响应，提供技术解决方案并处理，提交处理反馈报告；制定重大时刻工作计划与工作方案等。</w:t>
            </w:r>
          </w:p>
        </w:tc>
      </w:tr>
      <w:tr>
        <w:tblPrEx>
          <w:tblCellMar>
            <w:top w:w="0" w:type="dxa"/>
            <w:left w:w="0" w:type="dxa"/>
            <w:bottom w:w="0" w:type="dxa"/>
            <w:right w:w="0" w:type="dxa"/>
          </w:tblCellMar>
        </w:tblPrEx>
        <w:trPr>
          <w:trHeight w:val="605"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sz w:val="24"/>
              </w:rPr>
              <w:t>9</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其它</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按季度提供全过程服务资料及工作总结。</w:t>
            </w:r>
          </w:p>
        </w:tc>
      </w:tr>
      <w:tr>
        <w:tblPrEx>
          <w:tblCellMar>
            <w:top w:w="0" w:type="dxa"/>
            <w:left w:w="0" w:type="dxa"/>
            <w:bottom w:w="0" w:type="dxa"/>
            <w:right w:w="0" w:type="dxa"/>
          </w:tblCellMar>
        </w:tblPrEx>
        <w:trPr>
          <w:trHeight w:val="99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根据业主需要，提供多种排名领先品牌的专业漏扫工具、基线核查工具、U盘接入检测工具、违规外联/内联检测工具等。</w:t>
            </w:r>
          </w:p>
        </w:tc>
      </w:tr>
    </w:tbl>
    <w:p>
      <w:pPr>
        <w:rPr>
          <w:color w:val="auto"/>
        </w:rPr>
      </w:pPr>
    </w:p>
    <w:p>
      <w:pPr>
        <w:pStyle w:val="14"/>
        <w:numPr>
          <w:ilvl w:val="0"/>
          <w:numId w:val="2"/>
        </w:numPr>
        <w:spacing w:before="0" w:line="360" w:lineRule="auto"/>
        <w:ind w:firstLine="486" w:firstLineChars="200"/>
        <w:jc w:val="left"/>
        <w:rPr>
          <w:rFonts w:asciiTheme="minorEastAsia" w:hAnsiTheme="minorEastAsia" w:eastAsiaTheme="minorEastAsia" w:cstheme="minorEastAsia"/>
          <w:b w:val="0"/>
          <w:bCs w:val="0"/>
          <w:color w:val="auto"/>
          <w:sz w:val="24"/>
          <w:szCs w:val="24"/>
        </w:rPr>
      </w:pPr>
      <w:r>
        <w:rPr>
          <w:rFonts w:hint="eastAsia" w:ascii="宋体" w:hAnsi="宋体" w:cs="宋体"/>
          <w:color w:val="auto"/>
          <w:kern w:val="0"/>
          <w:sz w:val="24"/>
          <w:szCs w:val="24"/>
        </w:rPr>
        <w:t>报价人需按路段分别完成以上工作内容</w:t>
      </w:r>
      <w:r>
        <w:rPr>
          <w:rFonts w:hint="eastAsia" w:asciiTheme="minorEastAsia" w:hAnsiTheme="minorEastAsia" w:eastAsiaTheme="minorEastAsia" w:cstheme="minorEastAsia"/>
          <w:b w:val="0"/>
          <w:bCs w:val="0"/>
          <w:color w:val="auto"/>
          <w:sz w:val="24"/>
          <w:szCs w:val="24"/>
        </w:rPr>
        <w:t>，如部分内容不分路段共同实施需经采购人同意，否则采购人有权视情况收取合同金额2%的违约金。</w:t>
      </w:r>
    </w:p>
    <w:p>
      <w:pPr>
        <w:pStyle w:val="14"/>
        <w:numPr>
          <w:ilvl w:val="0"/>
          <w:numId w:val="2"/>
        </w:numPr>
        <w:spacing w:before="0" w:line="360" w:lineRule="auto"/>
        <w:ind w:firstLine="486" w:firstLineChars="200"/>
        <w:jc w:val="left"/>
        <w:rPr>
          <w:rFonts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rPr>
        <w:t>本项目期限及支付方式</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 w:val="0"/>
          <w:bCs w:val="0"/>
          <w:color w:val="auto"/>
          <w:sz w:val="24"/>
        </w:rPr>
        <w:t>自签订合同之日起至2021年12月31日。</w:t>
      </w:r>
      <w:r>
        <w:rPr>
          <w:rFonts w:hint="eastAsia" w:asciiTheme="minorEastAsia" w:hAnsiTheme="minorEastAsia" w:eastAsiaTheme="minorEastAsia" w:cstheme="minorEastAsia"/>
          <w:b w:val="0"/>
          <w:bCs w:val="0"/>
          <w:color w:val="auto"/>
          <w:sz w:val="24"/>
          <w:szCs w:val="24"/>
        </w:rPr>
        <w:t>合同签订完成，乙方履行合同要求工作后，并根据合同内容输出全套流程资料及相应的专业安全报告后，支付合同金额100%。。</w:t>
      </w:r>
    </w:p>
    <w:p>
      <w:pPr>
        <w:numPr>
          <w:ilvl w:val="0"/>
          <w:numId w:val="2"/>
        </w:numPr>
        <w:spacing w:line="360" w:lineRule="auto"/>
        <w:ind w:firstLine="486" w:firstLineChars="2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sz w:val="24"/>
        </w:rPr>
        <w:t>本项目最高限价54666元，</w:t>
      </w:r>
      <w:r>
        <w:rPr>
          <w:rFonts w:hint="eastAsia" w:asciiTheme="minorEastAsia" w:hAnsiTheme="minorEastAsia" w:eastAsiaTheme="minorEastAsia" w:cstheme="minorEastAsia"/>
          <w:color w:val="auto"/>
          <w:sz w:val="24"/>
        </w:rPr>
        <w:t>报</w:t>
      </w:r>
      <w:r>
        <w:rPr>
          <w:rFonts w:hint="eastAsia" w:asciiTheme="minorEastAsia" w:hAnsiTheme="minorEastAsia" w:eastAsiaTheme="minorEastAsia" w:cstheme="minorEastAsia"/>
          <w:color w:val="auto"/>
          <w:sz w:val="24"/>
        </w:rPr>
        <w:t>价人总价及单项目报价均不得高于采购人发布的最高限价和单项目限价，否则其竞争性比选响应文件视为重大偏差，竞争性比选响应文件将按否决报价处理</w:t>
      </w:r>
      <w:r>
        <w:rPr>
          <w:rFonts w:hint="eastAsia" w:asciiTheme="minorEastAsia" w:hAnsiTheme="minorEastAsia" w:eastAsiaTheme="minorEastAsia" w:cstheme="minorEastAsia"/>
          <w:color w:val="auto"/>
          <w:kern w:val="0"/>
          <w:sz w:val="24"/>
        </w:rPr>
        <w:t>。</w:t>
      </w:r>
    </w:p>
    <w:p>
      <w:pPr>
        <w:pStyle w:val="7"/>
        <w:numPr>
          <w:ilvl w:val="0"/>
          <w:numId w:val="2"/>
        </w:numPr>
        <w:spacing w:line="360" w:lineRule="auto"/>
        <w:ind w:firstLine="486"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若在报价人服务期间，采购人网络安全受到威胁，报价人应在第一时间相应并配合采购人处理相关问题。</w:t>
      </w:r>
    </w:p>
    <w:p>
      <w:pPr>
        <w:pStyle w:val="7"/>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 xml:space="preserve">    6.</w:t>
      </w:r>
      <w:r>
        <w:rPr>
          <w:rFonts w:hint="eastAsia" w:asciiTheme="minorEastAsia" w:hAnsiTheme="minorEastAsia" w:eastAsiaTheme="minorEastAsia" w:cstheme="minorEastAsia"/>
          <w:b/>
          <w:bCs/>
          <w:color w:val="auto"/>
          <w:sz w:val="24"/>
        </w:rPr>
        <w:t>资格要求：详见附录</w:t>
      </w:r>
    </w:p>
    <w:p>
      <w:pPr>
        <w:pStyle w:val="4"/>
        <w:jc w:val="center"/>
        <w:rPr>
          <w:rFonts w:ascii="宋体" w:hAnsi="宋体" w:cs="宋体"/>
          <w:color w:val="auto"/>
          <w:sz w:val="24"/>
          <w:szCs w:val="24"/>
        </w:rPr>
      </w:pPr>
      <w:bookmarkStart w:id="45" w:name="_Toc31095"/>
      <w:bookmarkStart w:id="46" w:name="_Toc11284"/>
      <w:bookmarkStart w:id="47" w:name="_Toc11329222"/>
      <w:bookmarkStart w:id="48" w:name="_Toc17532"/>
      <w:bookmarkStart w:id="49" w:name="_Toc30198"/>
      <w:r>
        <w:rPr>
          <w:rFonts w:hint="eastAsia" w:ascii="宋体" w:hAnsi="宋体" w:cs="宋体"/>
          <w:color w:val="auto"/>
          <w:sz w:val="24"/>
          <w:szCs w:val="24"/>
        </w:rPr>
        <w:t>附录1  资格审查条件（资质最低要求）</w:t>
      </w:r>
      <w:bookmarkEnd w:id="45"/>
      <w:bookmarkEnd w:id="46"/>
      <w:bookmarkEnd w:id="47"/>
      <w:bookmarkEnd w:id="48"/>
      <w:bookmarkEnd w:id="49"/>
    </w:p>
    <w:tbl>
      <w:tblPr>
        <w:tblStyle w:val="1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08" w:type="dxa"/>
            <w:vAlign w:val="center"/>
          </w:tcPr>
          <w:p>
            <w:pPr>
              <w:spacing w:line="400" w:lineRule="exact"/>
              <w:jc w:val="center"/>
              <w:rPr>
                <w:rFonts w:ascii="宋体" w:hAnsi="宋体" w:cs="宋体"/>
                <w:color w:val="auto"/>
                <w:szCs w:val="21"/>
              </w:rPr>
            </w:pPr>
            <w:r>
              <w:rPr>
                <w:rFonts w:hint="eastAsia" w:ascii="宋体" w:hAnsi="宋体" w:cs="宋体"/>
                <w:color w:val="auto"/>
                <w:sz w:val="24"/>
              </w:rPr>
              <w:t>安全服务提供商企业资质要求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9108" w:type="dxa"/>
          </w:tcPr>
          <w:p>
            <w:pPr>
              <w:spacing w:line="360" w:lineRule="auto"/>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1.具有有效的营业执照;</w:t>
            </w:r>
          </w:p>
          <w:p>
            <w:pPr>
              <w:pStyle w:val="7"/>
              <w:rPr>
                <w:rFonts w:asciiTheme="minorEastAsia" w:hAnsiTheme="minorEastAsia" w:eastAsiaTheme="minorEastAsia" w:cstheme="minorEastAsia"/>
                <w:color w:val="auto"/>
                <w:sz w:val="24"/>
                <w:szCs w:val="32"/>
              </w:rPr>
            </w:pPr>
            <w:r>
              <w:rPr>
                <w:rFonts w:asciiTheme="minorEastAsia" w:hAnsiTheme="minorEastAsia" w:eastAsiaTheme="minorEastAsia" w:cstheme="minorEastAsia"/>
                <w:color w:val="auto"/>
                <w:sz w:val="24"/>
                <w:szCs w:val="32"/>
              </w:rPr>
              <w:t>2</w:t>
            </w:r>
            <w:r>
              <w:rPr>
                <w:rFonts w:hint="eastAsia" w:asciiTheme="minorEastAsia" w:hAnsiTheme="minorEastAsia" w:eastAsiaTheme="minorEastAsia" w:cstheme="minorEastAsia"/>
                <w:color w:val="auto"/>
                <w:sz w:val="24"/>
                <w:szCs w:val="32"/>
              </w:rPr>
              <w:t>.具备有效的《质量管理体系认证证书》（ISO9001）</w:t>
            </w:r>
          </w:p>
          <w:p>
            <w:pPr>
              <w:pStyle w:val="7"/>
              <w:rPr>
                <w:rFonts w:asciiTheme="minorEastAsia" w:hAnsiTheme="minorEastAsia" w:eastAsiaTheme="minorEastAsia" w:cstheme="minorEastAsia"/>
                <w:color w:val="auto"/>
              </w:rPr>
            </w:pPr>
            <w:r>
              <w:rPr>
                <w:rFonts w:asciiTheme="minorEastAsia" w:hAnsiTheme="minorEastAsia" w:eastAsiaTheme="minorEastAsia" w:cstheme="minorEastAsia"/>
                <w:color w:val="auto"/>
                <w:sz w:val="24"/>
                <w:szCs w:val="32"/>
              </w:rPr>
              <w:t>3</w:t>
            </w:r>
            <w:r>
              <w:rPr>
                <w:rFonts w:hint="eastAsia" w:asciiTheme="minorEastAsia" w:hAnsiTheme="minorEastAsia" w:eastAsiaTheme="minorEastAsia" w:cstheme="minorEastAsia"/>
                <w:color w:val="auto"/>
                <w:sz w:val="24"/>
                <w:szCs w:val="32"/>
              </w:rPr>
              <w:t>.具备中国信息安全测评中心颁发的有效的《信息安全服务资质认证证书》安全工程类一级及以上的资质。</w:t>
            </w:r>
          </w:p>
        </w:tc>
      </w:tr>
    </w:tbl>
    <w:p>
      <w:pPr>
        <w:spacing w:line="360" w:lineRule="auto"/>
        <w:rPr>
          <w:rFonts w:asciiTheme="minorEastAsia" w:hAnsiTheme="minorEastAsia" w:eastAsiaTheme="minorEastAsia" w:cstheme="minorEastAsia"/>
          <w:b/>
          <w:bCs/>
          <w:caps/>
          <w:color w:val="auto"/>
          <w:szCs w:val="21"/>
        </w:rPr>
      </w:pPr>
      <w:bookmarkStart w:id="50" w:name="_Toc26749"/>
      <w:bookmarkStart w:id="51" w:name="_Toc10083"/>
      <w:bookmarkStart w:id="52" w:name="_Toc12296"/>
      <w:bookmarkStart w:id="53" w:name="_Toc11329225"/>
      <w:bookmarkStart w:id="54" w:name="_Toc2766"/>
      <w:r>
        <w:rPr>
          <w:rFonts w:hint="eastAsia"/>
          <w:color w:val="auto"/>
        </w:rPr>
        <w:t xml:space="preserve">   </w:t>
      </w:r>
      <w:r>
        <w:rPr>
          <w:rFonts w:hint="eastAsia" w:asciiTheme="minorEastAsia" w:hAnsiTheme="minorEastAsia" w:eastAsiaTheme="minorEastAsia" w:cstheme="minorEastAsia"/>
          <w:color w:val="auto"/>
        </w:rPr>
        <w:t xml:space="preserve"> 注：</w:t>
      </w:r>
      <w:r>
        <w:rPr>
          <w:rFonts w:hint="eastAsia" w:asciiTheme="minorEastAsia" w:hAnsiTheme="minorEastAsia" w:eastAsiaTheme="minorEastAsia" w:cstheme="minorEastAsia"/>
          <w:b/>
          <w:bCs/>
          <w:caps/>
          <w:color w:val="auto"/>
          <w:szCs w:val="21"/>
        </w:rPr>
        <w:t>1.提供营业执照复印件</w:t>
      </w:r>
    </w:p>
    <w:p>
      <w:pPr>
        <w:spacing w:line="360" w:lineRule="auto"/>
        <w:ind w:firstLine="426" w:firstLineChars="200"/>
        <w:rPr>
          <w:rFonts w:asciiTheme="minorEastAsia" w:hAnsiTheme="minorEastAsia" w:eastAsiaTheme="minorEastAsia" w:cstheme="minorEastAsia"/>
          <w:b/>
          <w:bCs/>
          <w:caps/>
          <w:color w:val="auto"/>
          <w:szCs w:val="21"/>
        </w:rPr>
      </w:pPr>
      <w:r>
        <w:rPr>
          <w:rFonts w:hint="eastAsia" w:asciiTheme="minorEastAsia" w:hAnsiTheme="minorEastAsia" w:eastAsiaTheme="minorEastAsia" w:cstheme="minorEastAsia"/>
          <w:b/>
          <w:bCs/>
          <w:caps/>
          <w:color w:val="auto"/>
          <w:szCs w:val="21"/>
        </w:rPr>
        <w:t xml:space="preserve">    2.本项目安全服务内容均需要安全服务提供商提供原厂服务，如代理商投标，则需要提供安全服务提供商原厂出具对此项目的授权函、原厂技术支持及售后服务承诺函，从而代表安全服务提供商参与本项目。</w:t>
      </w:r>
    </w:p>
    <w:p>
      <w:pPr>
        <w:pStyle w:val="4"/>
        <w:jc w:val="center"/>
        <w:rPr>
          <w:rFonts w:ascii="宋体" w:hAnsi="宋体" w:cs="宋体"/>
          <w:color w:val="auto"/>
          <w:sz w:val="24"/>
          <w:szCs w:val="24"/>
        </w:rPr>
      </w:pPr>
      <w:r>
        <w:rPr>
          <w:rFonts w:hint="eastAsia" w:ascii="宋体" w:hAnsi="宋体" w:cs="宋体"/>
          <w:color w:val="auto"/>
          <w:sz w:val="24"/>
          <w:szCs w:val="24"/>
        </w:rPr>
        <w:t>附录2资格审查条件（信誉最低要求）</w:t>
      </w:r>
      <w:bookmarkEnd w:id="50"/>
      <w:bookmarkEnd w:id="51"/>
      <w:bookmarkEnd w:id="52"/>
      <w:bookmarkEnd w:id="53"/>
      <w:bookmarkEnd w:id="54"/>
    </w:p>
    <w:tbl>
      <w:tblPr>
        <w:tblStyle w:val="1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color w:val="auto"/>
                <w:szCs w:val="21"/>
              </w:rPr>
            </w:pPr>
            <w:r>
              <w:rPr>
                <w:rFonts w:hint="eastAsia" w:ascii="宋体" w:hAnsi="宋体" w:cs="宋体"/>
                <w:color w:val="auto"/>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360" w:lineRule="auto"/>
              <w:jc w:val="left"/>
              <w:rPr>
                <w:rFonts w:ascii="宋体" w:hAnsi="宋体" w:cs="宋体"/>
                <w:color w:val="auto"/>
                <w:sz w:val="24"/>
                <w:szCs w:val="32"/>
              </w:rPr>
            </w:pPr>
            <w:r>
              <w:rPr>
                <w:rFonts w:hint="eastAsia" w:ascii="宋体" w:hAnsi="宋体" w:cs="宋体"/>
                <w:color w:val="auto"/>
                <w:sz w:val="24"/>
                <w:szCs w:val="32"/>
              </w:rPr>
              <w:t>1、在国家企业信用信息公示系统（http://www.gsxt.gov.cn/）中未被列入严重违法失信企业名单（</w:t>
            </w:r>
            <w:r>
              <w:rPr>
                <w:rFonts w:ascii="宋体" w:hAnsi="宋体" w:cs="宋体"/>
                <w:color w:val="auto"/>
                <w:sz w:val="24"/>
                <w:szCs w:val="32"/>
              </w:rPr>
              <w:t>黑名单）信息</w:t>
            </w:r>
            <w:r>
              <w:rPr>
                <w:rFonts w:hint="eastAsia" w:ascii="宋体" w:hAnsi="宋体" w:cs="宋体"/>
                <w:color w:val="auto"/>
                <w:sz w:val="24"/>
                <w:szCs w:val="32"/>
              </w:rPr>
              <w:t>；</w:t>
            </w:r>
          </w:p>
          <w:p>
            <w:pPr>
              <w:spacing w:line="360" w:lineRule="auto"/>
              <w:rPr>
                <w:rFonts w:ascii="宋体" w:hAnsi="宋体" w:cs="宋体"/>
                <w:color w:val="auto"/>
                <w:szCs w:val="21"/>
                <w:shd w:val="clear" w:color="auto" w:fill="FFFFFF"/>
              </w:rPr>
            </w:pPr>
            <w:r>
              <w:rPr>
                <w:rFonts w:hint="eastAsia" w:ascii="宋体" w:hAnsi="宋体" w:cs="宋体"/>
                <w:color w:val="auto"/>
                <w:sz w:val="24"/>
                <w:szCs w:val="32"/>
              </w:rPr>
              <w:t>2、在“信用中国”网站（http://www.creditchina.gov.cn/）中未被列入失信惩戒执行人名单。</w:t>
            </w:r>
          </w:p>
        </w:tc>
      </w:tr>
    </w:tbl>
    <w:p>
      <w:pPr>
        <w:spacing w:line="360" w:lineRule="auto"/>
        <w:ind w:firstLine="426" w:firstLineChars="200"/>
        <w:rPr>
          <w:rFonts w:ascii="宋体" w:hAnsi="宋体"/>
          <w:b/>
          <w:bCs/>
          <w:color w:val="auto"/>
          <w:sz w:val="24"/>
        </w:rPr>
      </w:pPr>
      <w:r>
        <w:rPr>
          <w:rFonts w:hint="eastAsia" w:asciiTheme="minorEastAsia" w:hAnsiTheme="minorEastAsia" w:eastAsiaTheme="minorEastAsia" w:cstheme="minorEastAsia"/>
          <w:b/>
          <w:bCs/>
          <w:caps/>
          <w:color w:val="auto"/>
          <w:szCs w:val="21"/>
        </w:rPr>
        <w:t>注：须提供以上材料的截图的扫描件或复印件，并加盖单位鲜公章。</w:t>
      </w:r>
    </w:p>
    <w:p>
      <w:pPr>
        <w:pStyle w:val="34"/>
        <w:spacing w:before="158" w:beforeLines="50" w:line="360" w:lineRule="auto"/>
        <w:ind w:firstLine="486"/>
        <w:rPr>
          <w:rFonts w:ascii="宋体" w:hAnsi="宋体"/>
          <w:color w:val="auto"/>
          <w:sz w:val="24"/>
        </w:rPr>
      </w:pPr>
      <w:r>
        <w:rPr>
          <w:rFonts w:hint="eastAsia" w:ascii="宋体" w:hAnsi="宋体"/>
          <w:color w:val="auto"/>
          <w:sz w:val="24"/>
        </w:rPr>
        <w:t>7.</w:t>
      </w:r>
      <w:r>
        <w:rPr>
          <w:rFonts w:hint="eastAsia" w:ascii="宋体" w:hAnsi="宋体"/>
          <w:b/>
          <w:bCs/>
          <w:color w:val="auto"/>
          <w:sz w:val="24"/>
        </w:rPr>
        <w:t>竞争性比选文件份数</w:t>
      </w:r>
    </w:p>
    <w:p>
      <w:pPr>
        <w:spacing w:before="158" w:beforeLines="50" w:line="360" w:lineRule="auto"/>
        <w:ind w:firstLine="486" w:firstLineChars="200"/>
        <w:rPr>
          <w:rFonts w:ascii="宋体" w:hAnsi="宋体"/>
          <w:color w:val="auto"/>
          <w:sz w:val="24"/>
        </w:rPr>
      </w:pPr>
      <w:r>
        <w:rPr>
          <w:rFonts w:hint="eastAsia" w:ascii="宋体" w:hAnsi="宋体"/>
          <w:color w:val="auto"/>
          <w:sz w:val="24"/>
        </w:rPr>
        <w:t>竞争性比选响应文件提交正本1份，副本2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pStyle w:val="14"/>
        <w:spacing w:before="0" w:after="0" w:line="360" w:lineRule="auto"/>
        <w:ind w:firstLine="486" w:firstLineChars="200"/>
        <w:jc w:val="left"/>
        <w:rPr>
          <w:rFonts w:ascii="宋体" w:hAnsi="宋体"/>
          <w:color w:val="auto"/>
          <w:sz w:val="24"/>
          <w:szCs w:val="24"/>
        </w:rPr>
      </w:pPr>
      <w:r>
        <w:rPr>
          <w:rFonts w:hint="eastAsia" w:ascii="宋体" w:hAnsi="宋体"/>
          <w:b w:val="0"/>
          <w:bCs w:val="0"/>
          <w:color w:val="auto"/>
          <w:sz w:val="24"/>
          <w:szCs w:val="24"/>
        </w:rPr>
        <w:t>8.</w:t>
      </w:r>
      <w:r>
        <w:rPr>
          <w:rFonts w:hint="eastAsia" w:ascii="宋体" w:hAnsi="宋体"/>
          <w:color w:val="auto"/>
          <w:sz w:val="24"/>
          <w:szCs w:val="24"/>
        </w:rPr>
        <w:t>本次竞争性比选响应文件的组成</w:t>
      </w:r>
    </w:p>
    <w:p>
      <w:pPr>
        <w:spacing w:line="360" w:lineRule="auto"/>
        <w:ind w:firstLine="486" w:firstLineChars="200"/>
        <w:rPr>
          <w:color w:val="auto"/>
        </w:rPr>
      </w:pPr>
      <w:r>
        <w:rPr>
          <w:rFonts w:hint="eastAsia" w:ascii="宋体" w:hAnsi="宋体"/>
          <w:color w:val="auto"/>
          <w:sz w:val="24"/>
        </w:rPr>
        <w:t>竞争性比选响应声明书、法定代表人身份证明和法定代表人授权委托书、报价一览表、资格要求材料、承诺书、报价人认为需要提供的其他相关文件（注：以上所有文件均须加盖报价人的公章）。</w:t>
      </w:r>
    </w:p>
    <w:p>
      <w:pPr>
        <w:pStyle w:val="14"/>
        <w:spacing w:before="0" w:after="0" w:line="360" w:lineRule="auto"/>
        <w:ind w:firstLine="486" w:firstLineChars="200"/>
        <w:jc w:val="left"/>
        <w:rPr>
          <w:rFonts w:ascii="宋体" w:hAnsi="宋体"/>
          <w:color w:val="auto"/>
          <w:sz w:val="24"/>
          <w:szCs w:val="24"/>
        </w:rPr>
      </w:pPr>
      <w:r>
        <w:rPr>
          <w:rFonts w:hint="eastAsia" w:ascii="宋体" w:hAnsi="宋体"/>
          <w:b w:val="0"/>
          <w:bCs w:val="0"/>
          <w:color w:val="auto"/>
          <w:sz w:val="24"/>
          <w:szCs w:val="24"/>
        </w:rPr>
        <w:t>9.</w:t>
      </w:r>
      <w:r>
        <w:rPr>
          <w:rFonts w:hint="eastAsia" w:ascii="宋体" w:hAnsi="宋体"/>
          <w:color w:val="auto"/>
          <w:sz w:val="24"/>
          <w:szCs w:val="24"/>
        </w:rPr>
        <w:t>密封要求</w:t>
      </w:r>
    </w:p>
    <w:p>
      <w:pPr>
        <w:spacing w:line="360" w:lineRule="auto"/>
        <w:ind w:firstLine="486" w:firstLineChars="200"/>
        <w:rPr>
          <w:rFonts w:ascii="宋体" w:hAnsi="宋体"/>
          <w:color w:val="auto"/>
          <w:sz w:val="24"/>
        </w:rPr>
      </w:pPr>
      <w:r>
        <w:rPr>
          <w:rFonts w:hint="eastAsia" w:ascii="宋体" w:hAnsi="宋体"/>
          <w:color w:val="auto"/>
          <w:sz w:val="24"/>
        </w:rPr>
        <w:t>竞争性比选响应文件密封到一个封袋中，在封套上写明：</w:t>
      </w:r>
    </w:p>
    <w:p>
      <w:pPr>
        <w:spacing w:line="360" w:lineRule="auto"/>
        <w:ind w:firstLine="486" w:firstLineChars="200"/>
        <w:rPr>
          <w:rFonts w:ascii="宋体" w:hAnsi="宋体"/>
          <w:color w:val="auto"/>
          <w:sz w:val="24"/>
          <w:u w:val="single"/>
        </w:rPr>
      </w:pPr>
      <w:r>
        <w:rPr>
          <w:rFonts w:hint="eastAsia" w:ascii="宋体" w:hAnsi="宋体"/>
          <w:color w:val="auto"/>
          <w:sz w:val="24"/>
          <w:u w:val="single"/>
        </w:rPr>
        <w:t>渝广梁忠公司网络安全服务竞争性比选响应文件</w:t>
      </w:r>
    </w:p>
    <w:p>
      <w:pPr>
        <w:spacing w:line="360" w:lineRule="auto"/>
        <w:ind w:left="426" w:leftChars="200"/>
        <w:rPr>
          <w:rFonts w:ascii="宋体" w:hAnsi="宋体"/>
          <w:color w:val="auto"/>
          <w:sz w:val="24"/>
        </w:rPr>
      </w:pPr>
      <w:r>
        <w:rPr>
          <w:rFonts w:hint="eastAsia" w:ascii="宋体" w:hAnsi="宋体"/>
          <w:color w:val="auto"/>
          <w:sz w:val="24"/>
        </w:rPr>
        <w:t>在202</w:t>
      </w:r>
      <w:r>
        <w:rPr>
          <w:rFonts w:ascii="宋体" w:hAnsi="宋体"/>
          <w:color w:val="auto"/>
          <w:sz w:val="24"/>
        </w:rPr>
        <w:t>1</w:t>
      </w:r>
      <w:r>
        <w:rPr>
          <w:rFonts w:hint="eastAsia" w:ascii="宋体" w:hAnsi="宋体"/>
          <w:color w:val="auto"/>
          <w:sz w:val="24"/>
        </w:rPr>
        <w:t>年</w:t>
      </w:r>
      <w:r>
        <w:rPr>
          <w:rFonts w:hint="eastAsia" w:ascii="宋体" w:hAnsi="宋体"/>
          <w:color w:val="auto"/>
          <w:sz w:val="24"/>
          <w:u w:val="single"/>
        </w:rPr>
        <w:t>11</w:t>
      </w:r>
      <w:r>
        <w:rPr>
          <w:rFonts w:hint="eastAsia" w:ascii="宋体" w:hAnsi="宋体"/>
          <w:color w:val="auto"/>
          <w:sz w:val="24"/>
        </w:rPr>
        <w:t>月</w:t>
      </w:r>
      <w:r>
        <w:rPr>
          <w:rFonts w:hint="eastAsia" w:ascii="宋体" w:hAnsi="宋体"/>
          <w:color w:val="auto"/>
          <w:sz w:val="24"/>
          <w:u w:val="single"/>
        </w:rPr>
        <w:t>11</w:t>
      </w:r>
      <w:r>
        <w:rPr>
          <w:rFonts w:hint="eastAsia" w:ascii="宋体" w:hAnsi="宋体"/>
          <w:color w:val="auto"/>
          <w:sz w:val="24"/>
        </w:rPr>
        <w:t>日15：00时前不得开启</w:t>
      </w:r>
    </w:p>
    <w:p>
      <w:pPr>
        <w:pStyle w:val="14"/>
        <w:spacing w:before="0" w:after="0" w:line="360" w:lineRule="auto"/>
        <w:ind w:firstLine="486" w:firstLineChars="200"/>
        <w:jc w:val="left"/>
        <w:rPr>
          <w:rFonts w:ascii="宋体" w:hAnsi="宋体"/>
          <w:color w:val="auto"/>
          <w:sz w:val="24"/>
          <w:szCs w:val="24"/>
        </w:rPr>
      </w:pPr>
      <w:r>
        <w:rPr>
          <w:rFonts w:hint="eastAsia" w:ascii="宋体" w:hAnsi="宋体"/>
          <w:b w:val="0"/>
          <w:bCs w:val="0"/>
          <w:color w:val="auto"/>
          <w:sz w:val="24"/>
          <w:szCs w:val="24"/>
        </w:rPr>
        <w:t>10.</w:t>
      </w:r>
      <w:r>
        <w:rPr>
          <w:rFonts w:hint="eastAsia" w:ascii="宋体" w:hAnsi="宋体"/>
          <w:color w:val="auto"/>
          <w:sz w:val="24"/>
          <w:szCs w:val="24"/>
        </w:rPr>
        <w:t>竞争性</w:t>
      </w:r>
      <w:r>
        <w:rPr>
          <w:rFonts w:ascii="宋体" w:hAnsi="宋体"/>
          <w:color w:val="auto"/>
          <w:sz w:val="24"/>
          <w:szCs w:val="24"/>
        </w:rPr>
        <w:t>比选响应文件的递交</w:t>
      </w:r>
    </w:p>
    <w:p>
      <w:pPr>
        <w:spacing w:line="360" w:lineRule="auto"/>
        <w:ind w:left="426" w:leftChars="200"/>
        <w:rPr>
          <w:rFonts w:ascii="宋体" w:hAnsi="宋体"/>
          <w:color w:val="auto"/>
          <w:sz w:val="24"/>
        </w:rPr>
      </w:pPr>
      <w:r>
        <w:rPr>
          <w:rFonts w:hint="eastAsia" w:ascii="宋体" w:hAnsi="宋体"/>
          <w:color w:val="auto"/>
          <w:sz w:val="24"/>
        </w:rPr>
        <w:t>（1）</w:t>
      </w:r>
      <w:r>
        <w:rPr>
          <w:rFonts w:ascii="宋体" w:hAnsi="宋体"/>
          <w:color w:val="auto"/>
          <w:sz w:val="24"/>
        </w:rPr>
        <w:t>报价截止时间和开标时间：2021年</w:t>
      </w:r>
      <w:r>
        <w:rPr>
          <w:rFonts w:hint="eastAsia" w:ascii="宋体" w:hAnsi="宋体"/>
          <w:color w:val="auto"/>
          <w:sz w:val="24"/>
          <w:u w:val="single"/>
        </w:rPr>
        <w:t>11</w:t>
      </w:r>
      <w:r>
        <w:rPr>
          <w:rFonts w:ascii="宋体" w:hAnsi="宋体"/>
          <w:color w:val="auto"/>
          <w:sz w:val="24"/>
        </w:rPr>
        <w:t>月</w:t>
      </w:r>
      <w:r>
        <w:rPr>
          <w:rFonts w:hint="eastAsia" w:ascii="宋体" w:hAnsi="宋体"/>
          <w:color w:val="auto"/>
          <w:sz w:val="24"/>
          <w:u w:val="single"/>
        </w:rPr>
        <w:t>11</w:t>
      </w:r>
      <w:r>
        <w:rPr>
          <w:rFonts w:ascii="宋体" w:hAnsi="宋体"/>
          <w:color w:val="auto"/>
          <w:sz w:val="24"/>
        </w:rPr>
        <w:t>日1</w:t>
      </w:r>
      <w:r>
        <w:rPr>
          <w:rFonts w:hint="eastAsia" w:ascii="宋体" w:hAnsi="宋体"/>
          <w:color w:val="auto"/>
          <w:sz w:val="24"/>
        </w:rPr>
        <w:t>5:00</w:t>
      </w:r>
      <w:r>
        <w:rPr>
          <w:rFonts w:ascii="宋体" w:hAnsi="宋体"/>
          <w:color w:val="auto"/>
          <w:sz w:val="24"/>
        </w:rPr>
        <w:t>分（北京时间）。</w:t>
      </w:r>
    </w:p>
    <w:p>
      <w:pPr>
        <w:spacing w:line="360" w:lineRule="auto"/>
        <w:ind w:left="426" w:leftChars="200"/>
        <w:rPr>
          <w:rFonts w:ascii="宋体" w:hAnsi="宋体"/>
          <w:color w:val="auto"/>
          <w:sz w:val="24"/>
        </w:rPr>
      </w:pPr>
      <w:r>
        <w:rPr>
          <w:rFonts w:hint="eastAsia" w:ascii="宋体" w:hAnsi="宋体"/>
          <w:color w:val="auto"/>
          <w:sz w:val="24"/>
        </w:rPr>
        <w:t>（2）</w:t>
      </w:r>
      <w:r>
        <w:rPr>
          <w:rFonts w:ascii="宋体" w:hAnsi="宋体"/>
          <w:color w:val="auto"/>
          <w:sz w:val="24"/>
        </w:rPr>
        <w:t>报价地点和开标地点：</w:t>
      </w:r>
      <w:r>
        <w:rPr>
          <w:rFonts w:hint="eastAsia" w:ascii="宋体" w:hAnsi="宋体"/>
          <w:color w:val="auto"/>
          <w:sz w:val="24"/>
        </w:rPr>
        <w:t>重庆市南岸区四公里内环入口200米处重庆首讯科技大楼一楼接待室。</w:t>
      </w:r>
    </w:p>
    <w:p>
      <w:pPr>
        <w:spacing w:line="360" w:lineRule="auto"/>
        <w:ind w:left="426" w:leftChars="200"/>
        <w:rPr>
          <w:rFonts w:ascii="宋体" w:hAnsi="宋体"/>
          <w:color w:val="auto"/>
          <w:sz w:val="24"/>
        </w:rPr>
      </w:pPr>
      <w:r>
        <w:rPr>
          <w:rFonts w:hint="eastAsia" w:ascii="宋体" w:hAnsi="宋体"/>
          <w:color w:val="auto"/>
          <w:sz w:val="24"/>
        </w:rPr>
        <w:t>（3）</w:t>
      </w:r>
      <w:r>
        <w:rPr>
          <w:rFonts w:ascii="宋体" w:hAnsi="宋体"/>
          <w:color w:val="auto"/>
          <w:sz w:val="24"/>
        </w:rPr>
        <w:t>逾期送达，或未送达指定地点，或未密封的竞争性比选响应文件，采购人不予受理。</w:t>
      </w:r>
    </w:p>
    <w:p>
      <w:pPr>
        <w:spacing w:line="360" w:lineRule="auto"/>
        <w:ind w:left="426" w:leftChars="20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）递交报价文件时，报价文件递交人员须出示由采购人出具的盖有采购人公章及有邀请单位名称文件。</w:t>
      </w:r>
    </w:p>
    <w:p>
      <w:pPr>
        <w:pStyle w:val="14"/>
        <w:spacing w:before="0" w:after="0" w:line="360" w:lineRule="auto"/>
        <w:jc w:val="left"/>
        <w:rPr>
          <w:rFonts w:ascii="宋体" w:hAnsi="宋体" w:cs="宋体"/>
          <w:color w:val="auto"/>
          <w:sz w:val="24"/>
          <w:szCs w:val="24"/>
        </w:rPr>
      </w:pPr>
      <w:r>
        <w:rPr>
          <w:rFonts w:hint="eastAsia" w:ascii="宋体" w:hAnsi="宋体"/>
          <w:b w:val="0"/>
          <w:bCs w:val="0"/>
          <w:color w:val="auto"/>
          <w:sz w:val="24"/>
          <w:szCs w:val="24"/>
        </w:rPr>
        <w:t xml:space="preserve">   10.</w:t>
      </w:r>
      <w:r>
        <w:rPr>
          <w:rFonts w:hint="eastAsia" w:ascii="宋体" w:hAnsi="宋体"/>
          <w:color w:val="auto"/>
          <w:sz w:val="24"/>
          <w:szCs w:val="24"/>
        </w:rPr>
        <w:t>联系方式</w:t>
      </w:r>
    </w:p>
    <w:p>
      <w:pPr>
        <w:spacing w:line="360" w:lineRule="auto"/>
        <w:ind w:left="426" w:leftChars="200"/>
        <w:rPr>
          <w:rFonts w:ascii="宋体" w:hAnsi="宋体"/>
          <w:color w:val="auto"/>
          <w:sz w:val="24"/>
        </w:rPr>
      </w:pPr>
      <w:r>
        <w:rPr>
          <w:rFonts w:hint="eastAsia" w:ascii="宋体" w:hAnsi="宋体"/>
          <w:color w:val="auto"/>
          <w:sz w:val="24"/>
        </w:rPr>
        <w:t xml:space="preserve">联系人:费老师/邵老师       </w:t>
      </w:r>
    </w:p>
    <w:p>
      <w:pPr>
        <w:spacing w:line="360" w:lineRule="auto"/>
        <w:ind w:left="426" w:leftChars="200"/>
        <w:rPr>
          <w:rFonts w:ascii="宋体" w:hAnsi="宋体"/>
          <w:color w:val="auto"/>
          <w:sz w:val="24"/>
        </w:rPr>
      </w:pPr>
      <w:r>
        <w:rPr>
          <w:rFonts w:hint="eastAsia" w:ascii="宋体" w:hAnsi="宋体"/>
          <w:color w:val="auto"/>
          <w:sz w:val="24"/>
        </w:rPr>
        <w:t xml:space="preserve">电话：13438076652/13527396256   </w:t>
      </w:r>
    </w:p>
    <w:p>
      <w:pPr>
        <w:spacing w:line="360" w:lineRule="auto"/>
        <w:ind w:left="426" w:leftChars="200"/>
        <w:rPr>
          <w:rFonts w:ascii="宋体" w:hAnsi="宋体"/>
          <w:color w:val="auto"/>
          <w:sz w:val="24"/>
        </w:rPr>
      </w:pPr>
      <w:r>
        <w:rPr>
          <w:rFonts w:hint="eastAsia" w:ascii="宋体" w:hAnsi="宋体"/>
          <w:color w:val="auto"/>
          <w:sz w:val="24"/>
        </w:rPr>
        <w:t>地址：庆市南岸区四公里内环入口200米处重庆首讯科技大楼</w:t>
      </w:r>
    </w:p>
    <w:p>
      <w:pPr>
        <w:rPr>
          <w:color w:val="auto"/>
        </w:rPr>
      </w:pPr>
    </w:p>
    <w:p>
      <w:pPr>
        <w:jc w:val="center"/>
        <w:rPr>
          <w:color w:val="auto"/>
        </w:rPr>
      </w:pPr>
    </w:p>
    <w:p>
      <w:pPr>
        <w:rPr>
          <w:color w:val="auto"/>
        </w:rPr>
      </w:pPr>
    </w:p>
    <w:p>
      <w:pPr>
        <w:widowControl/>
        <w:jc w:val="left"/>
        <w:rPr>
          <w:rFonts w:ascii="宋体" w:hAnsi="宋体" w:cs="宋体"/>
          <w:smallCaps/>
          <w:color w:val="auto"/>
          <w:sz w:val="48"/>
          <w:szCs w:val="48"/>
        </w:rPr>
      </w:pPr>
      <w:r>
        <w:rPr>
          <w:color w:val="auto"/>
        </w:rPr>
        <w:br w:type="page"/>
      </w:r>
    </w:p>
    <w:p>
      <w:pPr>
        <w:pStyle w:val="3"/>
        <w:spacing w:before="0" w:after="0" w:line="360" w:lineRule="auto"/>
        <w:rPr>
          <w:color w:val="auto"/>
          <w:spacing w:val="10"/>
          <w:sz w:val="48"/>
          <w:szCs w:val="48"/>
        </w:rPr>
      </w:pPr>
      <w:bookmarkStart w:id="55" w:name="_Toc152045587"/>
      <w:bookmarkStart w:id="56" w:name="_Toc152042364"/>
      <w:bookmarkStart w:id="57" w:name="_Toc246996230"/>
      <w:bookmarkStart w:id="58" w:name="_Toc7682"/>
      <w:bookmarkStart w:id="59" w:name="_Toc144974554"/>
      <w:bookmarkStart w:id="60" w:name="_Toc247085745"/>
      <w:bookmarkStart w:id="61" w:name="_Toc179632605"/>
      <w:bookmarkStart w:id="62" w:name="_Toc507319957"/>
      <w:bookmarkStart w:id="63" w:name="_Toc246996973"/>
      <w:bookmarkStart w:id="64" w:name="_Toc2000406"/>
      <w:r>
        <w:rPr>
          <w:rFonts w:hint="eastAsia"/>
          <w:color w:val="auto"/>
          <w:spacing w:val="10"/>
          <w:sz w:val="48"/>
          <w:szCs w:val="48"/>
        </w:rPr>
        <w:t>第三章 评标办法（经评审的最低投标价法）</w:t>
      </w:r>
      <w:bookmarkEnd w:id="55"/>
      <w:bookmarkEnd w:id="56"/>
      <w:bookmarkEnd w:id="57"/>
      <w:bookmarkEnd w:id="58"/>
      <w:bookmarkEnd w:id="59"/>
      <w:bookmarkEnd w:id="60"/>
      <w:bookmarkEnd w:id="61"/>
      <w:bookmarkEnd w:id="62"/>
      <w:bookmarkEnd w:id="63"/>
      <w:bookmarkEnd w:id="64"/>
    </w:p>
    <w:p>
      <w:pPr>
        <w:rPr>
          <w:color w:val="auto"/>
        </w:rPr>
      </w:pPr>
    </w:p>
    <w:tbl>
      <w:tblPr>
        <w:tblStyle w:val="17"/>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940"/>
        <w:gridCol w:w="5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条款号</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评审因素</w:t>
            </w:r>
          </w:p>
        </w:tc>
        <w:tc>
          <w:tcPr>
            <w:tcW w:w="5181" w:type="dxa"/>
            <w:tcBorders>
              <w:top w:val="single" w:color="auto" w:sz="4" w:space="0"/>
              <w:left w:val="single" w:color="auto" w:sz="4" w:space="0"/>
              <w:bottom w:val="single" w:color="auto" w:sz="4" w:space="0"/>
            </w:tcBorders>
            <w:vAlign w:val="center"/>
          </w:tcPr>
          <w:p>
            <w:pPr>
              <w:spacing w:line="400" w:lineRule="exact"/>
              <w:jc w:val="center"/>
              <w:rPr>
                <w:b/>
                <w:color w:val="auto"/>
              </w:rPr>
            </w:pPr>
            <w:r>
              <w:rPr>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auto"/>
              </w:rPr>
            </w:pPr>
            <w:r>
              <w:rPr>
                <w:color w:val="auto"/>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auto"/>
              </w:rPr>
            </w:pPr>
            <w:r>
              <w:rPr>
                <w:color w:val="auto"/>
              </w:rPr>
              <w:t>评标方法</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中标候选人排序方法</w:t>
            </w:r>
          </w:p>
        </w:tc>
        <w:tc>
          <w:tcPr>
            <w:tcW w:w="5181" w:type="dxa"/>
            <w:tcBorders>
              <w:top w:val="single" w:color="auto" w:sz="4" w:space="0"/>
              <w:left w:val="single" w:color="auto" w:sz="4" w:space="0"/>
              <w:bottom w:val="single" w:color="auto" w:sz="4" w:space="0"/>
            </w:tcBorders>
          </w:tcPr>
          <w:p>
            <w:pPr>
              <w:spacing w:line="360" w:lineRule="auto"/>
              <w:rPr>
                <w:color w:val="auto"/>
              </w:rPr>
            </w:pPr>
            <w:r>
              <w:rPr>
                <w:color w:val="auto"/>
              </w:rPr>
              <w:t>如出现报价相等时，评审小组按以下原则确定第一中标候选人：</w:t>
            </w:r>
          </w:p>
          <w:p>
            <w:pPr>
              <w:spacing w:line="360" w:lineRule="auto"/>
              <w:rPr>
                <w:color w:val="auto"/>
              </w:rPr>
            </w:pPr>
            <w:r>
              <w:rPr>
                <w:rFonts w:hint="eastAsia"/>
                <w:color w:val="auto"/>
              </w:rPr>
              <w:t>以系统记录的最早提交报价文件的投标人为第一中标候选人</w:t>
            </w:r>
            <w:r>
              <w:rPr>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auto"/>
              </w:rPr>
            </w:pPr>
            <w:r>
              <w:rPr>
                <w:rFonts w:hint="eastAsia"/>
                <w:color w:val="auto"/>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auto"/>
              </w:rPr>
            </w:pPr>
            <w:r>
              <w:rPr>
                <w:color w:val="auto"/>
              </w:rPr>
              <w:t>形式评审标准</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报价</w:t>
            </w:r>
            <w:r>
              <w:rPr>
                <w:color w:val="auto"/>
              </w:rPr>
              <w:t>人名称</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报价</w:t>
            </w:r>
            <w:r>
              <w:rPr>
                <w:color w:val="auto"/>
              </w:rPr>
              <w:t>函签字盖章</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竞争性</w:t>
            </w:r>
            <w:r>
              <w:rPr>
                <w:color w:val="auto"/>
              </w:rPr>
              <w:t>比选响应文件格式</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w:t>
            </w:r>
            <w:r>
              <w:rPr>
                <w:rFonts w:hint="eastAsia"/>
                <w:color w:val="auto"/>
              </w:rPr>
              <w:t>六</w:t>
            </w:r>
            <w:r>
              <w:rPr>
                <w:color w:val="auto"/>
              </w:rPr>
              <w:t>章“</w:t>
            </w:r>
            <w:r>
              <w:rPr>
                <w:rFonts w:hint="eastAsia"/>
                <w:color w:val="auto"/>
              </w:rPr>
              <w:t>竞争性</w:t>
            </w:r>
            <w:r>
              <w:rPr>
                <w:color w:val="auto"/>
              </w:rPr>
              <w:t>比选响应文件格式”的要求，字迹清晰可辨。</w:t>
            </w:r>
          </w:p>
          <w:p>
            <w:pPr>
              <w:spacing w:line="400" w:lineRule="exact"/>
              <w:rPr>
                <w:color w:val="auto"/>
              </w:rPr>
            </w:pPr>
            <w:r>
              <w:rPr>
                <w:color w:val="auto"/>
              </w:rPr>
              <w:t>1.</w:t>
            </w:r>
            <w:r>
              <w:rPr>
                <w:rFonts w:hint="eastAsia"/>
                <w:color w:val="auto"/>
              </w:rPr>
              <w:t>报价</w:t>
            </w:r>
            <w:r>
              <w:rPr>
                <w:color w:val="auto"/>
              </w:rPr>
              <w:t>函的所有数据均符合</w:t>
            </w:r>
            <w:r>
              <w:rPr>
                <w:rFonts w:hint="eastAsia"/>
                <w:color w:val="auto"/>
              </w:rPr>
              <w:t>比选</w:t>
            </w:r>
            <w:r>
              <w:rPr>
                <w:color w:val="auto"/>
              </w:rPr>
              <w:t>文件的规定；</w:t>
            </w:r>
          </w:p>
          <w:p>
            <w:pPr>
              <w:spacing w:line="400" w:lineRule="exact"/>
              <w:rPr>
                <w:color w:val="auto"/>
              </w:rPr>
            </w:pPr>
            <w:r>
              <w:rPr>
                <w:color w:val="auto"/>
              </w:rPr>
              <w:t>2.</w:t>
            </w:r>
            <w:r>
              <w:rPr>
                <w:rFonts w:hint="eastAsia"/>
                <w:color w:val="auto"/>
              </w:rPr>
              <w:t>竞争性</w:t>
            </w:r>
            <w:r>
              <w:rPr>
                <w:color w:val="auto"/>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rPr>
            </w:pPr>
            <w:r>
              <w:rPr>
                <w:color w:val="auto"/>
              </w:rPr>
              <w:t>已标价工程量清单</w:t>
            </w:r>
          </w:p>
        </w:tc>
        <w:tc>
          <w:tcPr>
            <w:tcW w:w="5181" w:type="dxa"/>
            <w:tcBorders>
              <w:top w:val="single" w:color="auto" w:sz="4" w:space="0"/>
              <w:left w:val="single" w:color="auto" w:sz="4" w:space="0"/>
              <w:bottom w:val="single" w:color="auto" w:sz="4" w:space="0"/>
            </w:tcBorders>
            <w:vAlign w:val="center"/>
          </w:tcPr>
          <w:p>
            <w:pPr>
              <w:spacing w:line="440" w:lineRule="exact"/>
              <w:rPr>
                <w:color w:val="auto"/>
              </w:rPr>
            </w:pPr>
            <w:r>
              <w:rPr>
                <w:color w:val="auto"/>
              </w:rPr>
              <w:t>符合第</w:t>
            </w:r>
            <w:r>
              <w:rPr>
                <w:rFonts w:hint="eastAsia"/>
                <w:color w:val="auto"/>
              </w:rPr>
              <w:t>四</w:t>
            </w:r>
            <w:r>
              <w:rPr>
                <w:color w:val="auto"/>
              </w:rPr>
              <w:t>章“工程量清单”给出的范围及数量</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rPr>
            </w:pPr>
            <w:r>
              <w:rPr>
                <w:color w:val="auto"/>
              </w:rPr>
              <w:t>报价其它要求</w:t>
            </w:r>
          </w:p>
        </w:tc>
        <w:tc>
          <w:tcPr>
            <w:tcW w:w="5181" w:type="dxa"/>
            <w:tcBorders>
              <w:top w:val="single" w:color="auto" w:sz="4" w:space="0"/>
              <w:left w:val="single" w:color="auto" w:sz="4" w:space="0"/>
              <w:bottom w:val="single" w:color="auto" w:sz="4" w:space="0"/>
            </w:tcBorders>
            <w:vAlign w:val="center"/>
          </w:tcPr>
          <w:p>
            <w:pPr>
              <w:spacing w:line="440" w:lineRule="exact"/>
              <w:rPr>
                <w:color w:val="auto"/>
              </w:rPr>
            </w:pPr>
            <w:r>
              <w:rPr>
                <w:rFonts w:hint="eastAsia"/>
                <w:color w:val="auto"/>
              </w:rPr>
              <w:t>竞争性</w:t>
            </w:r>
            <w:r>
              <w:rPr>
                <w:color w:val="auto"/>
              </w:rPr>
              <w:t>比选响应文件报价表中的报价与</w:t>
            </w:r>
            <w:r>
              <w:rPr>
                <w:rFonts w:hint="eastAsia"/>
                <w:color w:val="auto"/>
              </w:rPr>
              <w:t>报价</w:t>
            </w:r>
            <w:r>
              <w:rPr>
                <w:color w:val="auto"/>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auto"/>
              </w:rPr>
            </w:pPr>
          </w:p>
        </w:tc>
        <w:tc>
          <w:tcPr>
            <w:tcW w:w="1124" w:type="dxa"/>
            <w:vMerge w:val="continue"/>
            <w:tcBorders>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right w:val="single" w:color="auto" w:sz="4" w:space="0"/>
            </w:tcBorders>
            <w:vAlign w:val="center"/>
          </w:tcPr>
          <w:p>
            <w:pPr>
              <w:spacing w:line="400" w:lineRule="exact"/>
              <w:jc w:val="center"/>
              <w:rPr>
                <w:color w:val="auto"/>
              </w:rPr>
            </w:pPr>
            <w:r>
              <w:rPr>
                <w:rFonts w:hint="eastAsia"/>
                <w:color w:val="auto"/>
              </w:rPr>
              <w:t>竞争性</w:t>
            </w:r>
            <w:r>
              <w:rPr>
                <w:color w:val="auto"/>
              </w:rPr>
              <w:t>比选响应文件正本中法定代表人或其授权代理人签署</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rFonts w:hint="eastAsia"/>
                <w:color w:val="auto"/>
              </w:rPr>
              <w:t>竞争性</w:t>
            </w:r>
            <w:r>
              <w:rPr>
                <w:color w:val="auto"/>
              </w:rPr>
              <w:t>比选响应文件正本中法定代表人或授权代理人签署姓名齐全，符合</w:t>
            </w:r>
            <w:r>
              <w:rPr>
                <w:rFonts w:hint="eastAsia"/>
                <w:color w:val="auto"/>
              </w:rPr>
              <w:t>比选</w:t>
            </w:r>
            <w:r>
              <w:rPr>
                <w:color w:val="auto"/>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auto"/>
              </w:rPr>
            </w:pPr>
          </w:p>
        </w:tc>
        <w:tc>
          <w:tcPr>
            <w:tcW w:w="1124" w:type="dxa"/>
            <w:vMerge w:val="continue"/>
            <w:tcBorders>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right w:val="single" w:color="auto" w:sz="4" w:space="0"/>
            </w:tcBorders>
            <w:vAlign w:val="center"/>
          </w:tcPr>
          <w:p>
            <w:pPr>
              <w:spacing w:line="400" w:lineRule="exact"/>
              <w:jc w:val="center"/>
              <w:rPr>
                <w:color w:val="auto"/>
              </w:rPr>
            </w:pPr>
            <w:r>
              <w:rPr>
                <w:color w:val="auto"/>
              </w:rPr>
              <w:t>其它材料</w:t>
            </w:r>
          </w:p>
        </w:tc>
        <w:tc>
          <w:tcPr>
            <w:tcW w:w="5181" w:type="dxa"/>
            <w:tcBorders>
              <w:top w:val="single" w:color="auto" w:sz="4" w:space="0"/>
              <w:left w:val="single" w:color="auto" w:sz="4" w:space="0"/>
            </w:tcBorders>
            <w:vAlign w:val="center"/>
          </w:tcPr>
          <w:p>
            <w:pPr>
              <w:spacing w:line="400" w:lineRule="exact"/>
              <w:rPr>
                <w:color w:val="auto"/>
              </w:rPr>
            </w:pPr>
            <w:r>
              <w:rPr>
                <w:color w:val="auto"/>
              </w:rPr>
              <w:t>与</w:t>
            </w:r>
            <w:r>
              <w:rPr>
                <w:rFonts w:hint="eastAsia"/>
                <w:color w:val="auto"/>
              </w:rPr>
              <w:t>采购人</w:t>
            </w:r>
            <w:r>
              <w:rPr>
                <w:color w:val="auto"/>
              </w:rPr>
              <w:t>存在利害关系可能影响</w:t>
            </w:r>
            <w:r>
              <w:rPr>
                <w:rFonts w:hint="eastAsia"/>
                <w:color w:val="auto"/>
              </w:rPr>
              <w:t>比选</w:t>
            </w:r>
            <w:r>
              <w:rPr>
                <w:color w:val="auto"/>
              </w:rPr>
              <w:t>公正性的法人、其他组织或者个人，不得参加</w:t>
            </w:r>
            <w:r>
              <w:rPr>
                <w:rFonts w:hint="eastAsia"/>
                <w:color w:val="auto"/>
              </w:rPr>
              <w:t>报价</w:t>
            </w:r>
            <w:r>
              <w:rPr>
                <w:color w:val="auto"/>
              </w:rPr>
              <w:t>；单位负责人为同一人或者存在控股、管理关系的不同单位，不得同时参加</w:t>
            </w:r>
            <w:r>
              <w:rPr>
                <w:rFonts w:hint="eastAsia"/>
                <w:color w:val="auto"/>
              </w:rPr>
              <w:t>报价</w:t>
            </w:r>
            <w:r>
              <w:rPr>
                <w:color w:val="auto"/>
              </w:rPr>
              <w:t>，否则相关</w:t>
            </w:r>
            <w:r>
              <w:rPr>
                <w:rFonts w:hint="eastAsia"/>
                <w:color w:val="auto"/>
              </w:rPr>
              <w:t>报价</w:t>
            </w:r>
            <w:r>
              <w:rPr>
                <w:color w:val="auto"/>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资格评审标准</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营业执照</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中的</w:t>
            </w:r>
            <w:r>
              <w:rPr>
                <w:color w:val="auto"/>
              </w:rPr>
              <w:t>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资质要求</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信誉要求</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附表附录</w:t>
            </w:r>
            <w:r>
              <w:rPr>
                <w:rFonts w:hint="eastAsia"/>
                <w:color w:val="auto"/>
              </w:rPr>
              <w:t>2</w:t>
            </w:r>
            <w:r>
              <w:rPr>
                <w:color w:val="auto"/>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响应性评审标准</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投标内容</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中的</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auto"/>
              </w:rPr>
            </w:pPr>
          </w:p>
        </w:tc>
        <w:tc>
          <w:tcPr>
            <w:tcW w:w="1124" w:type="dxa"/>
            <w:vMerge w:val="continue"/>
            <w:tcBorders>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报价</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符合比选文件给出的范围及数量，且报价不得超过</w:t>
            </w:r>
            <w:r>
              <w:rPr>
                <w:rFonts w:hint="eastAsia"/>
                <w:color w:val="auto"/>
              </w:rPr>
              <w:t>采购人</w:t>
            </w:r>
            <w:r>
              <w:rPr>
                <w:color w:val="auto"/>
              </w:rPr>
              <w:t>公布的最高限价，但也不得低于</w:t>
            </w:r>
            <w:r>
              <w:rPr>
                <w:rFonts w:hint="eastAsia"/>
                <w:color w:val="auto"/>
              </w:rPr>
              <w:t>报价</w:t>
            </w:r>
            <w:r>
              <w:rPr>
                <w:color w:val="auto"/>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工期</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施工地点</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质量标准</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安全目标</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auto"/>
              </w:rPr>
            </w:pPr>
            <w:r>
              <w:rPr>
                <w:color w:val="auto"/>
              </w:rPr>
              <w:t>补充细化：</w:t>
            </w:r>
          </w:p>
          <w:p>
            <w:pPr>
              <w:spacing w:line="400" w:lineRule="exact"/>
              <w:ind w:firstLine="426" w:firstLineChars="200"/>
              <w:rPr>
                <w:color w:val="auto"/>
              </w:rPr>
            </w:pPr>
            <w:r>
              <w:rPr>
                <w:b/>
                <w:bCs/>
                <w:color w:val="auto"/>
              </w:rPr>
              <w:t>本项目评标采用经评审的最低投标价法，对评审的</w:t>
            </w:r>
            <w:r>
              <w:rPr>
                <w:rFonts w:hint="eastAsia"/>
                <w:b/>
                <w:bCs/>
                <w:color w:val="auto"/>
              </w:rPr>
              <w:t>报价</w:t>
            </w:r>
            <w:r>
              <w:rPr>
                <w:b/>
                <w:bCs/>
                <w:color w:val="auto"/>
              </w:rPr>
              <w:t>人按照</w:t>
            </w:r>
            <w:r>
              <w:rPr>
                <w:rFonts w:hint="eastAsia"/>
                <w:b/>
                <w:bCs/>
                <w:color w:val="auto"/>
              </w:rPr>
              <w:t>报</w:t>
            </w:r>
            <w:r>
              <w:rPr>
                <w:b/>
                <w:bCs/>
                <w:color w:val="auto"/>
              </w:rPr>
              <w:t>价从低到高的先后顺序，推荐中标候选人。</w:t>
            </w:r>
          </w:p>
        </w:tc>
      </w:tr>
    </w:tbl>
    <w:p>
      <w:pPr>
        <w:rPr>
          <w:rFonts w:ascii="宋体" w:hAnsi="宋体" w:cs="宋体"/>
          <w:color w:val="auto"/>
        </w:rPr>
      </w:pPr>
    </w:p>
    <w:p>
      <w:pPr>
        <w:pStyle w:val="4"/>
        <w:spacing w:before="158" w:beforeLines="50" w:after="158" w:afterLines="50" w:line="400" w:lineRule="exact"/>
        <w:rPr>
          <w:rFonts w:ascii="宋体" w:hAnsi="宋体"/>
          <w:color w:val="auto"/>
          <w:sz w:val="21"/>
          <w:szCs w:val="21"/>
        </w:rPr>
      </w:pPr>
      <w:r>
        <w:rPr>
          <w:rFonts w:hint="eastAsia" w:ascii="宋体" w:hAnsi="宋体"/>
          <w:color w:val="auto"/>
          <w:sz w:val="21"/>
          <w:szCs w:val="21"/>
        </w:rPr>
        <w:t>1. 评标方法</w:t>
      </w:r>
    </w:p>
    <w:p>
      <w:pPr>
        <w:spacing w:line="400" w:lineRule="exact"/>
        <w:ind w:firstLine="426" w:firstLineChars="200"/>
        <w:rPr>
          <w:rFonts w:ascii="宋体" w:hAnsi="宋体"/>
          <w:color w:val="auto"/>
          <w:szCs w:val="21"/>
        </w:rPr>
      </w:pPr>
      <w:r>
        <w:rPr>
          <w:rFonts w:ascii="宋体" w:hAnsi="宋体"/>
          <w:color w:val="auto"/>
          <w:szCs w:val="21"/>
        </w:rPr>
        <w:t>本次评标采用经</w:t>
      </w:r>
      <w:r>
        <w:rPr>
          <w:rFonts w:hint="eastAsia" w:ascii="宋体" w:hAnsi="宋体"/>
          <w:color w:val="auto"/>
          <w:szCs w:val="21"/>
        </w:rPr>
        <w:t>评审的最低投标价法</w:t>
      </w:r>
      <w:r>
        <w:rPr>
          <w:rFonts w:ascii="宋体" w:hAnsi="宋体"/>
          <w:color w:val="auto"/>
          <w:szCs w:val="21"/>
        </w:rPr>
        <w:t>。评标委员会对满足招标文件实质性要求的投标文件，并按照投标价由低到高的顺序推荐中</w:t>
      </w:r>
      <w:bookmarkStart w:id="65" w:name="_Toc152042385"/>
      <w:bookmarkStart w:id="66" w:name="_Toc300835017"/>
      <w:bookmarkStart w:id="67" w:name="_Toc384308281"/>
      <w:bookmarkStart w:id="68" w:name="_Toc30581"/>
      <w:bookmarkStart w:id="69" w:name="_Toc361508655"/>
      <w:bookmarkStart w:id="70" w:name="_Toc247527632"/>
      <w:bookmarkStart w:id="71" w:name="_Toc144974575"/>
      <w:bookmarkStart w:id="72" w:name="_Toc152045607"/>
      <w:bookmarkStart w:id="73" w:name="_Toc369531586"/>
      <w:bookmarkStart w:id="74" w:name="_Toc247514031"/>
      <w:bookmarkStart w:id="75" w:name="_Toc352691542"/>
      <w:r>
        <w:rPr>
          <w:rFonts w:ascii="宋体" w:hAnsi="宋体"/>
          <w:color w:val="auto"/>
          <w:szCs w:val="21"/>
        </w:rPr>
        <w:t>标候选人，</w:t>
      </w:r>
      <w:bookmarkEnd w:id="65"/>
      <w:bookmarkEnd w:id="66"/>
      <w:bookmarkEnd w:id="67"/>
      <w:bookmarkEnd w:id="68"/>
      <w:bookmarkEnd w:id="69"/>
      <w:bookmarkEnd w:id="70"/>
      <w:bookmarkEnd w:id="71"/>
      <w:bookmarkEnd w:id="72"/>
      <w:bookmarkEnd w:id="73"/>
      <w:bookmarkEnd w:id="74"/>
      <w:bookmarkEnd w:id="75"/>
      <w:r>
        <w:rPr>
          <w:rFonts w:ascii="宋体" w:hAnsi="宋体"/>
          <w:color w:val="auto"/>
          <w:szCs w:val="21"/>
        </w:rPr>
        <w:t>但投标报价低于其成本的除外。经评审的投标价相等时，</w:t>
      </w:r>
      <w:r>
        <w:rPr>
          <w:rFonts w:hint="eastAsia" w:ascii="宋体" w:hAnsi="宋体"/>
          <w:color w:val="auto"/>
          <w:szCs w:val="21"/>
        </w:rPr>
        <w:t>以</w:t>
      </w:r>
      <w:r>
        <w:rPr>
          <w:rFonts w:ascii="宋体" w:hAnsi="宋体"/>
          <w:color w:val="auto"/>
          <w:szCs w:val="21"/>
        </w:rPr>
        <w:t>投标报价低的优先；投标报价也相等的，按照评标办法前附表中的规定确定中标候选人顺序。</w:t>
      </w:r>
    </w:p>
    <w:p>
      <w:pPr>
        <w:pStyle w:val="4"/>
        <w:spacing w:before="158" w:beforeLines="50" w:after="158" w:afterLines="50" w:line="400" w:lineRule="exact"/>
        <w:rPr>
          <w:rFonts w:ascii="宋体" w:hAnsi="宋体"/>
          <w:color w:val="auto"/>
          <w:sz w:val="21"/>
          <w:szCs w:val="21"/>
        </w:rPr>
      </w:pPr>
      <w:bookmarkStart w:id="76" w:name="_Toc38881389"/>
      <w:bookmarkStart w:id="77" w:name="_Toc30500"/>
      <w:r>
        <w:rPr>
          <w:rFonts w:hint="eastAsia" w:ascii="宋体" w:hAnsi="宋体"/>
          <w:color w:val="auto"/>
          <w:sz w:val="21"/>
          <w:szCs w:val="21"/>
        </w:rPr>
        <w:t>2. 评审标准</w:t>
      </w:r>
      <w:bookmarkEnd w:id="76"/>
      <w:bookmarkEnd w:id="77"/>
    </w:p>
    <w:p>
      <w:pPr>
        <w:spacing w:line="400" w:lineRule="exact"/>
        <w:ind w:firstLine="426" w:firstLineChars="200"/>
        <w:rPr>
          <w:rFonts w:ascii="宋体" w:hAnsi="宋体" w:cs="宋体"/>
          <w:color w:val="auto"/>
        </w:rPr>
      </w:pPr>
      <w:r>
        <w:rPr>
          <w:rFonts w:hint="eastAsia" w:ascii="宋体" w:hAnsi="宋体" w:cs="宋体"/>
          <w:color w:val="auto"/>
        </w:rPr>
        <w:t>2.1 初步评审标准</w:t>
      </w:r>
    </w:p>
    <w:p>
      <w:pPr>
        <w:spacing w:line="400" w:lineRule="exact"/>
        <w:ind w:firstLine="426" w:firstLineChars="200"/>
        <w:rPr>
          <w:rFonts w:ascii="宋体" w:hAnsi="宋体" w:cs="宋体"/>
          <w:color w:val="auto"/>
        </w:rPr>
      </w:pPr>
      <w:r>
        <w:rPr>
          <w:rFonts w:hint="eastAsia" w:ascii="宋体" w:hAnsi="宋体" w:cs="宋体"/>
          <w:color w:val="auto"/>
        </w:rPr>
        <w:t>2.1.1 形式评审标准：见评标办法前附表。</w:t>
      </w:r>
    </w:p>
    <w:p>
      <w:pPr>
        <w:spacing w:line="400" w:lineRule="exact"/>
        <w:ind w:firstLine="426" w:firstLineChars="200"/>
        <w:rPr>
          <w:rFonts w:ascii="宋体" w:hAnsi="宋体" w:cs="宋体"/>
          <w:color w:val="auto"/>
        </w:rPr>
      </w:pPr>
      <w:r>
        <w:rPr>
          <w:rFonts w:hint="eastAsia" w:ascii="宋体" w:hAnsi="宋体" w:cs="宋体"/>
          <w:color w:val="auto"/>
        </w:rPr>
        <w:t>2.1.2 资格评审标准：见评标办法前附表。</w:t>
      </w:r>
    </w:p>
    <w:p>
      <w:pPr>
        <w:spacing w:line="400" w:lineRule="exact"/>
        <w:ind w:firstLine="426" w:firstLineChars="200"/>
        <w:rPr>
          <w:rFonts w:ascii="宋体" w:hAnsi="宋体" w:cs="宋体"/>
          <w:color w:val="auto"/>
        </w:rPr>
      </w:pPr>
      <w:r>
        <w:rPr>
          <w:rFonts w:hint="eastAsia" w:ascii="宋体" w:hAnsi="宋体" w:cs="宋体"/>
          <w:color w:val="auto"/>
        </w:rPr>
        <w:t>2.1.3 响应性评审标准：见评标办法前附表。</w:t>
      </w:r>
    </w:p>
    <w:p>
      <w:pPr>
        <w:pStyle w:val="4"/>
        <w:spacing w:before="158" w:beforeLines="50" w:after="158" w:afterLines="50" w:line="400" w:lineRule="exact"/>
        <w:rPr>
          <w:rFonts w:ascii="宋体" w:hAnsi="宋体"/>
          <w:color w:val="auto"/>
          <w:sz w:val="21"/>
          <w:szCs w:val="21"/>
        </w:rPr>
      </w:pPr>
      <w:bookmarkStart w:id="78" w:name="_Toc38881390"/>
      <w:bookmarkStart w:id="79" w:name="_Toc29287"/>
      <w:r>
        <w:rPr>
          <w:rFonts w:hint="eastAsia" w:ascii="宋体" w:hAnsi="宋体"/>
          <w:color w:val="auto"/>
          <w:sz w:val="21"/>
          <w:szCs w:val="21"/>
        </w:rPr>
        <w:t>3. 评标程序</w:t>
      </w:r>
      <w:bookmarkEnd w:id="78"/>
      <w:bookmarkEnd w:id="79"/>
    </w:p>
    <w:p>
      <w:pPr>
        <w:spacing w:line="400" w:lineRule="exact"/>
        <w:ind w:firstLine="426" w:firstLineChars="200"/>
        <w:rPr>
          <w:rFonts w:ascii="宋体" w:hAnsi="宋体" w:cs="宋体"/>
          <w:color w:val="auto"/>
        </w:rPr>
      </w:pPr>
      <w:r>
        <w:rPr>
          <w:rFonts w:hint="eastAsia" w:ascii="宋体" w:hAnsi="宋体" w:cs="宋体"/>
          <w:color w:val="auto"/>
        </w:rPr>
        <w:t>3.1初步评审</w:t>
      </w:r>
    </w:p>
    <w:p>
      <w:pPr>
        <w:spacing w:line="400" w:lineRule="exact"/>
        <w:ind w:firstLine="426" w:firstLineChars="200"/>
        <w:rPr>
          <w:rFonts w:ascii="宋体" w:hAnsi="宋体" w:cs="宋体"/>
          <w:color w:val="auto"/>
        </w:rPr>
      </w:pPr>
      <w:r>
        <w:rPr>
          <w:rFonts w:hint="eastAsia" w:ascii="宋体" w:hAnsi="宋体" w:cs="宋体"/>
          <w:color w:val="auto"/>
        </w:rPr>
        <w:t>3.1.1 评标委员会可以要求投标人提交第二章“投标人须知”中规定的有关证明和证件的原件，以便核验。评标委员会依据本章第 2款规定的标准对投标文件进行初步评审。有一项不符合评审标准的，评标委员会应否决其投标。（适用于未进行资格预审的）</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  投标报价有算术错误的，评标委员会按以下原则对投标报价进行修正，修正的价格经投标人书面确认后具有约束力。投标人不接受修正价格的，评标委员会应否决其投标。</w:t>
      </w:r>
    </w:p>
    <w:p>
      <w:pPr>
        <w:spacing w:line="400" w:lineRule="exact"/>
        <w:ind w:firstLine="426" w:firstLineChars="200"/>
        <w:rPr>
          <w:rFonts w:ascii="宋体" w:hAnsi="宋体" w:cs="宋体"/>
          <w:color w:val="auto"/>
        </w:rPr>
      </w:pPr>
      <w:r>
        <w:rPr>
          <w:rFonts w:hint="eastAsia" w:ascii="宋体" w:hAnsi="宋体" w:cs="宋体"/>
          <w:color w:val="auto"/>
        </w:rPr>
        <w:t>（1）投标文件中的大写金额与小写金额不一致的，以大写金额为准；</w:t>
      </w:r>
    </w:p>
    <w:p>
      <w:pPr>
        <w:spacing w:line="400" w:lineRule="exact"/>
        <w:ind w:firstLine="426" w:firstLineChars="200"/>
        <w:rPr>
          <w:rFonts w:ascii="宋体" w:hAnsi="宋体" w:cs="宋体"/>
          <w:color w:val="auto"/>
        </w:rPr>
      </w:pPr>
      <w:r>
        <w:rPr>
          <w:rFonts w:hint="eastAsia" w:ascii="宋体" w:hAnsi="宋体" w:cs="宋体"/>
          <w:color w:val="auto"/>
        </w:rPr>
        <w:t>（2）总价金额与依据单价计算出的结果不一致的，以单价金额为准修正总价，但单价金额小数点有明显错误的除外；</w:t>
      </w:r>
    </w:p>
    <w:p>
      <w:pPr>
        <w:spacing w:line="400" w:lineRule="exact"/>
        <w:ind w:firstLine="426" w:firstLineChars="200"/>
        <w:rPr>
          <w:rFonts w:ascii="宋体" w:hAnsi="宋体" w:cs="宋体"/>
          <w:color w:val="auto"/>
        </w:rPr>
      </w:pPr>
      <w:r>
        <w:rPr>
          <w:rFonts w:hint="eastAsia" w:ascii="宋体" w:hAnsi="宋体" w:cs="宋体"/>
          <w:color w:val="auto"/>
        </w:rPr>
        <w:t>（3）当单价与数量相乘不等于合价时，以单价计算为准，如果单价有明显的小数点位置差错，应以标出的合价为准，同时对单价予以修正；</w:t>
      </w:r>
    </w:p>
    <w:p>
      <w:pPr>
        <w:spacing w:line="400" w:lineRule="exact"/>
        <w:ind w:firstLine="426" w:firstLineChars="200"/>
        <w:rPr>
          <w:rFonts w:ascii="宋体" w:hAnsi="宋体" w:cs="宋体"/>
          <w:color w:val="auto"/>
        </w:rPr>
      </w:pPr>
      <w:r>
        <w:rPr>
          <w:rFonts w:hint="eastAsia" w:ascii="宋体" w:hAnsi="宋体" w:cs="宋体"/>
          <w:color w:val="auto"/>
        </w:rPr>
        <w:t>（4）当各子目的合价累计不等于总价时，应以各子目合价累计数为准，修正总价。</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w:t>
      </w:r>
      <w:r>
        <w:rPr>
          <w:rFonts w:ascii="宋体" w:hAnsi="宋体" w:cs="宋体"/>
          <w:color w:val="auto"/>
        </w:rPr>
        <w:t>3</w:t>
      </w:r>
      <w:r>
        <w:rPr>
          <w:rFonts w:hint="eastAsia" w:ascii="宋体" w:hAnsi="宋体" w:cs="宋体"/>
          <w:color w:val="auto"/>
        </w:rPr>
        <w:t xml:space="preserve"> 修正后的最终投标报价若超过最高投标限价（如有），评标委员会应否决其投标。</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w:t>
      </w:r>
      <w:r>
        <w:rPr>
          <w:rFonts w:ascii="宋体" w:hAnsi="宋体" w:cs="宋体"/>
          <w:color w:val="auto"/>
        </w:rPr>
        <w:t>4</w:t>
      </w:r>
      <w:r>
        <w:rPr>
          <w:rFonts w:hint="eastAsia" w:ascii="宋体" w:hAnsi="宋体" w:cs="宋体"/>
          <w:color w:val="auto"/>
        </w:rPr>
        <w:t>修正后的最终投标报价仅作为签订合同的一个依据，不参与评标价得分的计算。</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2</w:t>
      </w:r>
      <w:r>
        <w:rPr>
          <w:rFonts w:hint="eastAsia" w:ascii="宋体" w:hAnsi="宋体" w:cs="宋体"/>
          <w:color w:val="auto"/>
        </w:rPr>
        <w:t>详细评审</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2</w:t>
      </w:r>
      <w:r>
        <w:rPr>
          <w:rFonts w:hint="eastAsia" w:ascii="宋体" w:hAnsi="宋体" w:cs="宋体"/>
          <w:color w:val="auto"/>
        </w:rPr>
        <w:t>.1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3</w:t>
      </w:r>
      <w:r>
        <w:rPr>
          <w:rFonts w:hint="eastAsia" w:ascii="宋体" w:hAnsi="宋体" w:cs="宋体"/>
          <w:color w:val="auto"/>
        </w:rPr>
        <w:t xml:space="preserve"> 投标文件相关信息的核查</w:t>
      </w:r>
    </w:p>
    <w:p>
      <w:pPr>
        <w:spacing w:line="400" w:lineRule="exact"/>
        <w:ind w:firstLine="426" w:firstLineChars="200"/>
        <w:rPr>
          <w:rFonts w:ascii="宋体" w:hAnsi="宋体" w:cs="宋体"/>
          <w:color w:val="auto"/>
        </w:rPr>
      </w:pPr>
      <w:r>
        <w:rPr>
          <w:rFonts w:hint="eastAsia" w:ascii="宋体" w:hAnsi="宋体" w:cs="宋体"/>
          <w:color w:val="auto"/>
        </w:rPr>
        <w:t>3.5.2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26" w:firstLineChars="200"/>
        <w:rPr>
          <w:rFonts w:ascii="宋体" w:hAnsi="宋体" w:cs="宋体"/>
          <w:color w:val="auto"/>
        </w:rPr>
      </w:pPr>
      <w:r>
        <w:rPr>
          <w:rFonts w:hint="eastAsia" w:ascii="宋体" w:hAnsi="宋体" w:cs="宋体"/>
          <w:color w:val="auto"/>
        </w:rPr>
        <w:t>（1）有下列情形之一的，属于投标人相互串通投标：</w:t>
      </w:r>
    </w:p>
    <w:p>
      <w:pPr>
        <w:spacing w:line="400" w:lineRule="exact"/>
        <w:ind w:firstLine="426" w:firstLineChars="200"/>
        <w:rPr>
          <w:rFonts w:ascii="宋体" w:hAnsi="宋体" w:cs="宋体"/>
          <w:color w:val="auto"/>
        </w:rPr>
      </w:pPr>
      <w:r>
        <w:rPr>
          <w:rFonts w:hint="eastAsia" w:ascii="宋体" w:hAnsi="宋体" w:cs="宋体"/>
          <w:color w:val="auto"/>
        </w:rPr>
        <w:t>a.投标人之间协商投标报价等投标文件的实质性内容；</w:t>
      </w:r>
    </w:p>
    <w:p>
      <w:pPr>
        <w:spacing w:line="400" w:lineRule="exact"/>
        <w:ind w:firstLine="426" w:firstLineChars="200"/>
        <w:rPr>
          <w:rFonts w:ascii="宋体" w:hAnsi="宋体" w:cs="宋体"/>
          <w:color w:val="auto"/>
        </w:rPr>
      </w:pPr>
      <w:r>
        <w:rPr>
          <w:rFonts w:hint="eastAsia" w:ascii="宋体" w:hAnsi="宋体" w:cs="宋体"/>
          <w:color w:val="auto"/>
        </w:rPr>
        <w:t>b.投标人之间约定中标人；</w:t>
      </w:r>
    </w:p>
    <w:p>
      <w:pPr>
        <w:spacing w:line="400" w:lineRule="exact"/>
        <w:ind w:firstLine="426" w:firstLineChars="200"/>
        <w:rPr>
          <w:rFonts w:ascii="宋体" w:hAnsi="宋体" w:cs="宋体"/>
          <w:color w:val="auto"/>
        </w:rPr>
      </w:pPr>
      <w:r>
        <w:rPr>
          <w:rFonts w:hint="eastAsia" w:ascii="宋体" w:hAnsi="宋体" w:cs="宋体"/>
          <w:color w:val="auto"/>
        </w:rPr>
        <w:t>c.投标人之间约定部分投标人放弃投标或中标；</w:t>
      </w:r>
    </w:p>
    <w:p>
      <w:pPr>
        <w:spacing w:line="400" w:lineRule="exact"/>
        <w:ind w:firstLine="426" w:firstLineChars="200"/>
        <w:rPr>
          <w:rFonts w:ascii="宋体" w:hAnsi="宋体" w:cs="宋体"/>
          <w:color w:val="auto"/>
        </w:rPr>
      </w:pPr>
      <w:r>
        <w:rPr>
          <w:rFonts w:hint="eastAsia" w:ascii="宋体" w:hAnsi="宋体" w:cs="宋体"/>
          <w:color w:val="auto"/>
        </w:rPr>
        <w:t>d.属于同一集团、协会、商会等组织成员的投标人按照该组织要求协同投标；</w:t>
      </w:r>
    </w:p>
    <w:p>
      <w:pPr>
        <w:spacing w:line="400" w:lineRule="exact"/>
        <w:ind w:firstLine="426" w:firstLineChars="200"/>
        <w:rPr>
          <w:rFonts w:ascii="宋体" w:hAnsi="宋体" w:cs="宋体"/>
          <w:color w:val="auto"/>
        </w:rPr>
      </w:pPr>
      <w:r>
        <w:rPr>
          <w:rFonts w:hint="eastAsia" w:ascii="宋体" w:hAnsi="宋体" w:cs="宋体"/>
          <w:color w:val="auto"/>
        </w:rPr>
        <w:t>e.投标人之间为谋取中标或排斥特定投标人而采取的其他联合行动。</w:t>
      </w:r>
    </w:p>
    <w:p>
      <w:pPr>
        <w:spacing w:line="400" w:lineRule="exact"/>
        <w:ind w:firstLine="426" w:firstLineChars="200"/>
        <w:rPr>
          <w:rFonts w:ascii="宋体" w:hAnsi="宋体" w:cs="宋体"/>
          <w:color w:val="auto"/>
        </w:rPr>
      </w:pPr>
      <w:r>
        <w:rPr>
          <w:rFonts w:hint="eastAsia" w:ascii="宋体" w:hAnsi="宋体" w:cs="宋体"/>
          <w:color w:val="auto"/>
        </w:rPr>
        <w:t>（2）有下列情形之一的，视为投标人相互串通投标：</w:t>
      </w:r>
    </w:p>
    <w:p>
      <w:pPr>
        <w:spacing w:line="400" w:lineRule="exact"/>
        <w:ind w:firstLine="426" w:firstLineChars="200"/>
        <w:rPr>
          <w:rFonts w:ascii="宋体" w:hAnsi="宋体" w:cs="宋体"/>
          <w:color w:val="auto"/>
        </w:rPr>
      </w:pPr>
      <w:r>
        <w:rPr>
          <w:rFonts w:hint="eastAsia" w:ascii="宋体" w:hAnsi="宋体" w:cs="宋体"/>
          <w:color w:val="auto"/>
        </w:rPr>
        <w:t>a.不同投标人的投标文件由同一单位或个人编制；</w:t>
      </w:r>
    </w:p>
    <w:p>
      <w:pPr>
        <w:spacing w:line="400" w:lineRule="exact"/>
        <w:ind w:firstLine="426" w:firstLineChars="200"/>
        <w:rPr>
          <w:rFonts w:ascii="宋体" w:hAnsi="宋体" w:cs="宋体"/>
          <w:color w:val="auto"/>
        </w:rPr>
      </w:pPr>
      <w:r>
        <w:rPr>
          <w:rFonts w:hint="eastAsia" w:ascii="宋体" w:hAnsi="宋体" w:cs="宋体"/>
          <w:color w:val="auto"/>
        </w:rPr>
        <w:t>b.不同投标人委托同一单位或个人办理投标事宜；</w:t>
      </w:r>
    </w:p>
    <w:p>
      <w:pPr>
        <w:spacing w:line="400" w:lineRule="exact"/>
        <w:ind w:firstLine="426" w:firstLineChars="200"/>
        <w:rPr>
          <w:rFonts w:ascii="宋体" w:hAnsi="宋体" w:cs="宋体"/>
          <w:color w:val="auto"/>
        </w:rPr>
      </w:pPr>
      <w:r>
        <w:rPr>
          <w:rFonts w:hint="eastAsia" w:ascii="宋体" w:hAnsi="宋体" w:cs="宋体"/>
          <w:color w:val="auto"/>
        </w:rPr>
        <w:t>c.不同投标人的投标文件载明的项目管理成员为同一人；</w:t>
      </w:r>
    </w:p>
    <w:p>
      <w:pPr>
        <w:spacing w:line="400" w:lineRule="exact"/>
        <w:ind w:firstLine="426" w:firstLineChars="200"/>
        <w:rPr>
          <w:rFonts w:ascii="宋体" w:hAnsi="宋体" w:cs="宋体"/>
          <w:color w:val="auto"/>
        </w:rPr>
      </w:pPr>
      <w:r>
        <w:rPr>
          <w:rFonts w:hint="eastAsia" w:ascii="宋体" w:hAnsi="宋体" w:cs="宋体"/>
          <w:color w:val="auto"/>
        </w:rPr>
        <w:t>d.不同投标人的投标文件异常一致或投标报价呈规律性差异；</w:t>
      </w:r>
    </w:p>
    <w:p>
      <w:pPr>
        <w:spacing w:line="400" w:lineRule="exact"/>
        <w:ind w:firstLine="426" w:firstLineChars="200"/>
        <w:rPr>
          <w:rFonts w:ascii="宋体" w:hAnsi="宋体" w:cs="宋体"/>
          <w:color w:val="auto"/>
        </w:rPr>
      </w:pPr>
      <w:r>
        <w:rPr>
          <w:rFonts w:hint="eastAsia" w:ascii="宋体" w:hAnsi="宋体" w:cs="宋体"/>
          <w:color w:val="auto"/>
        </w:rPr>
        <w:t>e.不同投标人的投标文件相互混装；</w:t>
      </w:r>
    </w:p>
    <w:p>
      <w:pPr>
        <w:spacing w:line="400" w:lineRule="exact"/>
        <w:ind w:firstLine="426" w:firstLineChars="200"/>
        <w:rPr>
          <w:rFonts w:ascii="宋体" w:hAnsi="宋体" w:cs="宋体"/>
          <w:color w:val="auto"/>
        </w:rPr>
      </w:pPr>
      <w:r>
        <w:rPr>
          <w:rFonts w:hint="eastAsia" w:ascii="宋体" w:hAnsi="宋体" w:cs="宋体"/>
          <w:color w:val="auto"/>
        </w:rPr>
        <w:t>f.不同投标人的投标保证金从同一单位或个人的账户转出。</w:t>
      </w:r>
    </w:p>
    <w:p>
      <w:pPr>
        <w:spacing w:line="400" w:lineRule="exact"/>
        <w:ind w:firstLine="426" w:firstLineChars="200"/>
        <w:rPr>
          <w:rFonts w:ascii="宋体" w:hAnsi="宋体" w:cs="宋体"/>
          <w:color w:val="auto"/>
        </w:rPr>
      </w:pPr>
      <w:r>
        <w:rPr>
          <w:rFonts w:hint="eastAsia" w:ascii="宋体" w:hAnsi="宋体" w:cs="宋体"/>
          <w:color w:val="auto"/>
        </w:rPr>
        <w:t>（3）有下列情形之一的，属于招标人与投标人串通投标：</w:t>
      </w:r>
    </w:p>
    <w:p>
      <w:pPr>
        <w:spacing w:line="400" w:lineRule="exact"/>
        <w:ind w:firstLine="426" w:firstLineChars="200"/>
        <w:rPr>
          <w:rFonts w:ascii="宋体" w:hAnsi="宋体" w:cs="宋体"/>
          <w:color w:val="auto"/>
        </w:rPr>
      </w:pPr>
      <w:r>
        <w:rPr>
          <w:rFonts w:hint="eastAsia" w:ascii="宋体" w:hAnsi="宋体" w:cs="宋体"/>
          <w:color w:val="auto"/>
        </w:rPr>
        <w:t>a.招标人在开标前开启投标文件并将有关信息泄露给其他投标人;</w:t>
      </w:r>
    </w:p>
    <w:p>
      <w:pPr>
        <w:spacing w:line="400" w:lineRule="exact"/>
        <w:ind w:firstLine="426" w:firstLineChars="200"/>
        <w:rPr>
          <w:rFonts w:ascii="宋体" w:hAnsi="宋体" w:cs="宋体"/>
          <w:color w:val="auto"/>
        </w:rPr>
      </w:pPr>
      <w:r>
        <w:rPr>
          <w:rFonts w:hint="eastAsia" w:ascii="宋体" w:hAnsi="宋体" w:cs="宋体"/>
          <w:color w:val="auto"/>
        </w:rPr>
        <w:t>b.招标人直接或间接向投标人泄露标底、评标委员会成员等信息；</w:t>
      </w:r>
    </w:p>
    <w:p>
      <w:pPr>
        <w:spacing w:line="400" w:lineRule="exact"/>
        <w:ind w:firstLine="426" w:firstLineChars="200"/>
        <w:rPr>
          <w:rFonts w:ascii="宋体" w:hAnsi="宋体" w:cs="宋体"/>
          <w:color w:val="auto"/>
        </w:rPr>
      </w:pPr>
      <w:r>
        <w:rPr>
          <w:rFonts w:hint="eastAsia" w:ascii="宋体" w:hAnsi="宋体" w:cs="宋体"/>
          <w:color w:val="auto"/>
        </w:rPr>
        <w:t>c.招标人明示或暗示投标人压低或抬高投标报价；</w:t>
      </w:r>
    </w:p>
    <w:p>
      <w:pPr>
        <w:spacing w:line="400" w:lineRule="exact"/>
        <w:ind w:firstLine="426" w:firstLineChars="200"/>
        <w:rPr>
          <w:rFonts w:ascii="宋体" w:hAnsi="宋体" w:cs="宋体"/>
          <w:color w:val="auto"/>
        </w:rPr>
      </w:pPr>
      <w:r>
        <w:rPr>
          <w:rFonts w:hint="eastAsia" w:ascii="宋体" w:hAnsi="宋体" w:cs="宋体"/>
          <w:color w:val="auto"/>
        </w:rPr>
        <w:t>d.招标人授意投标人撤换、修改投标文件；</w:t>
      </w:r>
    </w:p>
    <w:p>
      <w:pPr>
        <w:spacing w:line="400" w:lineRule="exact"/>
        <w:ind w:firstLine="426" w:firstLineChars="200"/>
        <w:rPr>
          <w:rFonts w:ascii="宋体" w:hAnsi="宋体" w:cs="宋体"/>
          <w:color w:val="auto"/>
        </w:rPr>
      </w:pPr>
      <w:r>
        <w:rPr>
          <w:rFonts w:hint="eastAsia" w:ascii="宋体" w:hAnsi="宋体" w:cs="宋体"/>
          <w:color w:val="auto"/>
        </w:rPr>
        <w:t>e.招标人明示或暗示投标人为特定投标人中标提供方便；</w:t>
      </w:r>
    </w:p>
    <w:p>
      <w:pPr>
        <w:spacing w:line="400" w:lineRule="exact"/>
        <w:ind w:firstLine="426" w:firstLineChars="200"/>
        <w:rPr>
          <w:rFonts w:ascii="宋体" w:hAnsi="宋体" w:cs="宋体"/>
          <w:color w:val="auto"/>
        </w:rPr>
      </w:pPr>
      <w:r>
        <w:rPr>
          <w:rFonts w:hint="eastAsia" w:ascii="宋体" w:hAnsi="宋体" w:cs="宋体"/>
          <w:color w:val="auto"/>
        </w:rPr>
        <w:t>f.招标人与投标人为谋求特定投标人中标而采取的其他串通行为。</w:t>
      </w:r>
    </w:p>
    <w:p>
      <w:pPr>
        <w:spacing w:line="400" w:lineRule="exact"/>
        <w:ind w:firstLine="426" w:firstLineChars="200"/>
        <w:rPr>
          <w:rFonts w:ascii="宋体" w:hAnsi="宋体" w:cs="宋体"/>
          <w:color w:val="auto"/>
        </w:rPr>
      </w:pPr>
      <w:r>
        <w:rPr>
          <w:rFonts w:hint="eastAsia" w:ascii="宋体" w:hAnsi="宋体" w:cs="宋体"/>
          <w:color w:val="auto"/>
        </w:rPr>
        <w:t>（4）投标人有下列情形之一的，属于弄虚作假的行为：</w:t>
      </w:r>
    </w:p>
    <w:p>
      <w:pPr>
        <w:spacing w:line="400" w:lineRule="exact"/>
        <w:ind w:firstLine="426" w:firstLineChars="200"/>
        <w:rPr>
          <w:rFonts w:ascii="宋体" w:hAnsi="宋体" w:cs="宋体"/>
          <w:color w:val="auto"/>
        </w:rPr>
      </w:pPr>
      <w:r>
        <w:rPr>
          <w:rFonts w:hint="eastAsia" w:ascii="宋体" w:hAnsi="宋体" w:cs="宋体"/>
          <w:color w:val="auto"/>
        </w:rPr>
        <w:t>a.使用通过受让或租借等方式获取的资格、资质证书投标；</w:t>
      </w:r>
    </w:p>
    <w:p>
      <w:pPr>
        <w:spacing w:line="400" w:lineRule="exact"/>
        <w:ind w:firstLine="426" w:firstLineChars="200"/>
        <w:rPr>
          <w:rFonts w:ascii="宋体" w:hAnsi="宋体" w:cs="宋体"/>
          <w:color w:val="auto"/>
        </w:rPr>
      </w:pPr>
      <w:r>
        <w:rPr>
          <w:rFonts w:hint="eastAsia" w:ascii="宋体" w:hAnsi="宋体" w:cs="宋体"/>
          <w:color w:val="auto"/>
        </w:rPr>
        <w:t>b.使用伪造、变造的许可证件；</w:t>
      </w:r>
    </w:p>
    <w:p>
      <w:pPr>
        <w:spacing w:line="400" w:lineRule="exact"/>
        <w:ind w:firstLine="426" w:firstLineChars="200"/>
        <w:rPr>
          <w:rFonts w:ascii="宋体" w:hAnsi="宋体" w:cs="宋体"/>
          <w:color w:val="auto"/>
        </w:rPr>
      </w:pPr>
      <w:r>
        <w:rPr>
          <w:rFonts w:hint="eastAsia" w:ascii="宋体" w:hAnsi="宋体" w:cs="宋体"/>
          <w:color w:val="auto"/>
        </w:rPr>
        <w:t>c.提供虚假的财务状况或业绩；</w:t>
      </w:r>
    </w:p>
    <w:p>
      <w:pPr>
        <w:spacing w:line="400" w:lineRule="exact"/>
        <w:ind w:firstLine="426" w:firstLineChars="200"/>
        <w:rPr>
          <w:rFonts w:ascii="宋体" w:hAnsi="宋体" w:cs="宋体"/>
          <w:color w:val="auto"/>
        </w:rPr>
      </w:pPr>
      <w:r>
        <w:rPr>
          <w:rFonts w:hint="eastAsia" w:ascii="宋体" w:hAnsi="宋体" w:cs="宋体"/>
          <w:color w:val="auto"/>
        </w:rPr>
        <w:t>d.提供虚假的项目负责人或主要技术人员简历、劳动关系证明；</w:t>
      </w:r>
    </w:p>
    <w:p>
      <w:pPr>
        <w:spacing w:line="400" w:lineRule="exact"/>
        <w:ind w:firstLine="426" w:firstLineChars="200"/>
        <w:rPr>
          <w:rFonts w:ascii="宋体" w:hAnsi="宋体" w:cs="宋体"/>
          <w:color w:val="auto"/>
        </w:rPr>
      </w:pPr>
      <w:r>
        <w:rPr>
          <w:rFonts w:hint="eastAsia" w:ascii="宋体" w:hAnsi="宋体" w:cs="宋体"/>
          <w:color w:val="auto"/>
        </w:rPr>
        <w:t>e.提供虚假的信用状况；</w:t>
      </w:r>
    </w:p>
    <w:p>
      <w:pPr>
        <w:spacing w:line="400" w:lineRule="exact"/>
        <w:ind w:firstLine="426" w:firstLineChars="200"/>
        <w:rPr>
          <w:rFonts w:ascii="宋体" w:hAnsi="宋体" w:cs="宋体"/>
          <w:color w:val="auto"/>
        </w:rPr>
      </w:pPr>
      <w:r>
        <w:rPr>
          <w:rFonts w:hint="eastAsia" w:ascii="宋体" w:hAnsi="宋体" w:cs="宋体"/>
          <w:color w:val="auto"/>
        </w:rPr>
        <w:t>f.其他弄虚作假的行为。</w:t>
      </w:r>
    </w:p>
    <w:p>
      <w:pPr>
        <w:spacing w:line="400" w:lineRule="exact"/>
        <w:ind w:firstLine="426" w:firstLineChars="200"/>
        <w:rPr>
          <w:rFonts w:ascii="宋体" w:hAnsi="宋体" w:cs="宋体"/>
          <w:color w:val="auto"/>
        </w:rPr>
      </w:pPr>
      <w:r>
        <w:rPr>
          <w:rFonts w:hint="eastAsia" w:ascii="宋体" w:hAnsi="宋体" w:cs="宋体"/>
          <w:color w:val="auto"/>
        </w:rPr>
        <w:t>3.6 投标文件的澄清和说明</w:t>
      </w:r>
    </w:p>
    <w:p>
      <w:pPr>
        <w:spacing w:line="400" w:lineRule="exact"/>
        <w:ind w:firstLine="426" w:firstLineChars="200"/>
        <w:rPr>
          <w:rFonts w:ascii="宋体" w:hAnsi="宋体" w:cs="宋体"/>
          <w:color w:val="auto"/>
        </w:rPr>
      </w:pPr>
      <w:r>
        <w:rPr>
          <w:rFonts w:hint="eastAsia" w:ascii="宋体" w:hAnsi="宋体" w:cs="宋体"/>
          <w:color w:val="auto"/>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26" w:firstLineChars="200"/>
        <w:rPr>
          <w:rFonts w:ascii="宋体" w:hAnsi="宋体" w:cs="宋体"/>
          <w:color w:val="auto"/>
        </w:rPr>
      </w:pPr>
      <w:r>
        <w:rPr>
          <w:rFonts w:hint="eastAsia" w:ascii="宋体" w:hAnsi="宋体" w:cs="宋体"/>
          <w:color w:val="auto"/>
        </w:rPr>
        <w:t>3.6.2 澄清和说明不得超出投标文件的范围或改变投标文件的实质性内容（算术性错误的修正除外）。投标人的书面澄清、说明属于投标文件的组成部分。</w:t>
      </w:r>
    </w:p>
    <w:p>
      <w:pPr>
        <w:spacing w:line="400" w:lineRule="exact"/>
        <w:ind w:firstLine="426" w:firstLineChars="200"/>
        <w:rPr>
          <w:rFonts w:ascii="宋体" w:hAnsi="宋体" w:cs="宋体"/>
          <w:color w:val="auto"/>
        </w:rPr>
      </w:pPr>
      <w:r>
        <w:rPr>
          <w:rFonts w:hint="eastAsia" w:ascii="宋体" w:hAnsi="宋体" w:cs="宋体"/>
          <w:color w:val="auto"/>
        </w:rPr>
        <w:t>3.6.3 评标委员会不得暗示或诱导投标人作出澄清、说明，对投标人提交的澄清、说明有疑问的，可以要求投标人进一步澄清或说明，直至满足评标委员会的要求。</w:t>
      </w:r>
    </w:p>
    <w:p>
      <w:pPr>
        <w:spacing w:line="400" w:lineRule="exact"/>
        <w:ind w:firstLine="426" w:firstLineChars="200"/>
        <w:rPr>
          <w:rFonts w:ascii="宋体" w:hAnsi="宋体" w:cs="宋体"/>
          <w:color w:val="auto"/>
        </w:rPr>
      </w:pPr>
      <w:r>
        <w:rPr>
          <w:rFonts w:hint="eastAsia" w:ascii="宋体" w:hAnsi="宋体" w:cs="宋体"/>
          <w:color w:val="auto"/>
        </w:rPr>
        <w:t>3.6.4 凡超出招标文件规定的或给发包人带来未曾要求的利益的变化、偏差或其他因素在评标时不予考虑。</w:t>
      </w:r>
    </w:p>
    <w:p>
      <w:pPr>
        <w:spacing w:line="400" w:lineRule="exact"/>
        <w:ind w:firstLine="426" w:firstLineChars="200"/>
        <w:rPr>
          <w:rFonts w:ascii="宋体" w:hAnsi="宋体" w:cs="宋体"/>
          <w:color w:val="auto"/>
        </w:rPr>
      </w:pPr>
      <w:r>
        <w:rPr>
          <w:rFonts w:hint="eastAsia" w:ascii="宋体" w:hAnsi="宋体" w:cs="宋体"/>
          <w:color w:val="auto"/>
        </w:rPr>
        <w:t>3.7评标结果</w:t>
      </w:r>
    </w:p>
    <w:p>
      <w:pPr>
        <w:spacing w:line="400" w:lineRule="exact"/>
        <w:ind w:firstLine="426" w:firstLineChars="200"/>
        <w:rPr>
          <w:rFonts w:ascii="宋体" w:hAnsi="宋体" w:cs="宋体"/>
          <w:color w:val="auto"/>
        </w:rPr>
      </w:pPr>
      <w:r>
        <w:rPr>
          <w:rFonts w:hint="eastAsia" w:ascii="宋体" w:hAnsi="宋体" w:cs="宋体"/>
          <w:color w:val="auto"/>
        </w:rPr>
        <w:t>3.7.1 除第二章“投标人须知”前附表授权直接确定中标人外，评标委员会按照报价由低到高的顺序推荐中标候选人，并标明排序。</w:t>
      </w:r>
    </w:p>
    <w:p>
      <w:pPr>
        <w:spacing w:line="400" w:lineRule="exact"/>
        <w:ind w:firstLine="426" w:firstLineChars="200"/>
        <w:rPr>
          <w:rFonts w:ascii="宋体" w:hAnsi="宋体"/>
          <w:color w:val="auto"/>
        </w:rPr>
      </w:pPr>
      <w:r>
        <w:rPr>
          <w:rFonts w:hint="eastAsia" w:ascii="宋体" w:hAnsi="宋体" w:cs="宋体"/>
          <w:color w:val="auto"/>
          <w:lang w:val="ru-RU"/>
        </w:rPr>
        <w:t>3.</w:t>
      </w:r>
      <w:r>
        <w:rPr>
          <w:rFonts w:hint="eastAsia" w:ascii="宋体" w:hAnsi="宋体" w:cs="宋体"/>
          <w:color w:val="auto"/>
        </w:rPr>
        <w:t>7</w:t>
      </w:r>
      <w:r>
        <w:rPr>
          <w:rFonts w:hint="eastAsia" w:ascii="宋体" w:hAnsi="宋体" w:cs="宋体"/>
          <w:color w:val="auto"/>
          <w:lang w:val="ru-RU"/>
        </w:rPr>
        <w:t>.2 评标委员会完成评标后，应向招标人提交书面评标报告。</w:t>
      </w:r>
    </w:p>
    <w:p>
      <w:pPr>
        <w:spacing w:line="360" w:lineRule="auto"/>
        <w:jc w:val="center"/>
        <w:rPr>
          <w:rFonts w:asciiTheme="majorEastAsia" w:hAnsiTheme="majorEastAsia" w:eastAsiaTheme="majorEastAsia" w:cstheme="majorEastAsia"/>
          <w:b/>
          <w:bCs/>
          <w:color w:val="auto"/>
          <w:sz w:val="48"/>
          <w:szCs w:val="48"/>
        </w:rPr>
      </w:pPr>
    </w:p>
    <w:p>
      <w:pPr>
        <w:spacing w:line="360" w:lineRule="auto"/>
        <w:jc w:val="center"/>
        <w:rPr>
          <w:rFonts w:asciiTheme="majorEastAsia" w:hAnsiTheme="majorEastAsia" w:eastAsiaTheme="majorEastAsia" w:cstheme="majorEastAsia"/>
          <w:b/>
          <w:bCs/>
          <w:color w:val="auto"/>
          <w:sz w:val="48"/>
          <w:szCs w:val="48"/>
        </w:rPr>
      </w:pPr>
    </w:p>
    <w:p>
      <w:pPr>
        <w:spacing w:line="360" w:lineRule="auto"/>
        <w:jc w:val="center"/>
        <w:rPr>
          <w:rFonts w:asciiTheme="majorEastAsia" w:hAnsiTheme="majorEastAsia" w:eastAsiaTheme="majorEastAsia" w:cstheme="majorEastAsia"/>
          <w:b/>
          <w:bCs/>
          <w:color w:val="auto"/>
          <w:sz w:val="48"/>
          <w:szCs w:val="48"/>
        </w:rPr>
      </w:pPr>
    </w:p>
    <w:p>
      <w:pPr>
        <w:widowControl/>
        <w:jc w:val="left"/>
        <w:rPr>
          <w:rFonts w:asciiTheme="majorEastAsia" w:hAnsiTheme="majorEastAsia" w:eastAsiaTheme="majorEastAsia" w:cstheme="majorEastAsia"/>
          <w:b/>
          <w:bCs/>
          <w:color w:val="auto"/>
          <w:sz w:val="48"/>
          <w:szCs w:val="48"/>
        </w:rPr>
      </w:pPr>
      <w:r>
        <w:rPr>
          <w:rFonts w:asciiTheme="majorEastAsia" w:hAnsiTheme="majorEastAsia" w:eastAsiaTheme="majorEastAsia" w:cstheme="majorEastAsia"/>
          <w:b/>
          <w:bCs/>
          <w:color w:val="auto"/>
          <w:sz w:val="48"/>
          <w:szCs w:val="48"/>
        </w:rPr>
        <w:br w:type="page"/>
      </w:r>
    </w:p>
    <w:p>
      <w:pPr>
        <w:pStyle w:val="3"/>
        <w:spacing w:before="0" w:after="0" w:line="360" w:lineRule="auto"/>
        <w:rPr>
          <w:color w:val="auto"/>
          <w:spacing w:val="10"/>
          <w:sz w:val="48"/>
          <w:szCs w:val="48"/>
        </w:rPr>
      </w:pPr>
      <w:r>
        <w:rPr>
          <w:rFonts w:hint="eastAsia"/>
          <w:color w:val="auto"/>
          <w:spacing w:val="10"/>
          <w:sz w:val="48"/>
          <w:szCs w:val="48"/>
        </w:rPr>
        <w:t>第四章  投标报价</w:t>
      </w:r>
    </w:p>
    <w:p>
      <w:pPr>
        <w:pStyle w:val="5"/>
        <w:rPr>
          <w:color w:val="auto"/>
        </w:rPr>
      </w:pPr>
      <w:r>
        <w:rPr>
          <w:rFonts w:hint="eastAsia" w:ascii="宋体" w:hAnsi="宋体"/>
          <w:color w:val="auto"/>
          <w:sz w:val="24"/>
          <w:szCs w:val="24"/>
        </w:rPr>
        <w:t xml:space="preserve">    1.报价说明</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（2）报价人在分项报价表中填报的综合单价承包到现场所产生的路费、差旅费等。</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（3）报价有算术错误的，评审小组按以下原则对报价进行修正，修正的价格经报价人书面确认后具有约束力。报价人不接受修正价格的，其报价应当予以否决。</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①竞争性比选响应文件中的大写金额与小写金额不一致的，以大写金额为准；</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②总价金额与依据单价计算出的结果不一致的，以单价金额为准修正总价，但单价金额小数点有明显错误的除外。</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（4）实际采购数量以采购人最终需求数量为准</w:t>
      </w:r>
      <w:r>
        <w:rPr>
          <w:rFonts w:hint="eastAsia" w:asciiTheme="minorEastAsia" w:hAnsiTheme="minorEastAsia" w:eastAsiaTheme="minorEastAsia" w:cstheme="minorEastAsia"/>
          <w:b/>
          <w:color w:val="auto"/>
          <w:sz w:val="24"/>
          <w:szCs w:val="28"/>
        </w:rPr>
        <w:t>，</w:t>
      </w:r>
      <w:r>
        <w:rPr>
          <w:rFonts w:hint="eastAsia" w:asciiTheme="minorEastAsia" w:hAnsiTheme="minorEastAsia" w:eastAsiaTheme="minorEastAsia" w:cstheme="minorEastAsia"/>
          <w:color w:val="auto"/>
          <w:sz w:val="24"/>
          <w:szCs w:val="28"/>
        </w:rPr>
        <w:t>报价清单中单价在合同执行过程中保持固定不变，报价人不得以实际采购数量的变化提出调整合同单价。</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（5）报价清单中各项金额均以人民币（元）结算。</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（6）需缴纳的一切税费均由报价单位承担，所有税费均由供货单位自行缴纳；</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rPr>
        <w:t>（7）</w:t>
      </w:r>
      <w:r>
        <w:rPr>
          <w:rFonts w:hint="eastAsia" w:asciiTheme="minorEastAsia" w:hAnsiTheme="minorEastAsia" w:eastAsiaTheme="minorEastAsia" w:cstheme="minorEastAsia"/>
          <w:color w:val="auto"/>
          <w:sz w:val="24"/>
          <w:szCs w:val="28"/>
        </w:rPr>
        <w:t>本次服务按路段收费，服务单位渝广梁忠公司（2条路）所有的收费网、视频网、监控网、办公网相关信息系统及基础设施的网络安全服务及重庆高速集团相关信息系统及基础设施网络安全服务。路段收费站、门架数量发生增减或基础设施数目发生变化，维护费用不变。</w:t>
      </w:r>
    </w:p>
    <w:p>
      <w:pPr>
        <w:rPr>
          <w:rFonts w:asciiTheme="minorEastAsia" w:hAnsiTheme="minorEastAsia" w:eastAsiaTheme="minorEastAsia" w:cstheme="minorEastAsia"/>
          <w:color w:val="auto"/>
          <w:sz w:val="24"/>
        </w:rPr>
      </w:pPr>
    </w:p>
    <w:p>
      <w:pPr>
        <w:widowControl/>
        <w:jc w:val="left"/>
        <w:rPr>
          <w:color w:val="auto"/>
        </w:rPr>
      </w:pPr>
      <w:r>
        <w:rPr>
          <w:color w:val="auto"/>
        </w:rPr>
        <w:br w:type="page"/>
      </w:r>
    </w:p>
    <w:p>
      <w:pPr>
        <w:rPr>
          <w:color w:val="auto"/>
        </w:rPr>
      </w:pPr>
    </w:p>
    <w:p>
      <w:pPr>
        <w:rPr>
          <w:color w:val="auto"/>
        </w:rPr>
      </w:pPr>
    </w:p>
    <w:p>
      <w:pPr>
        <w:rPr>
          <w:color w:val="auto"/>
        </w:rPr>
      </w:pPr>
    </w:p>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2.报价一览表</w:t>
      </w:r>
    </w:p>
    <w:p>
      <w:pPr>
        <w:rPr>
          <w:color w:val="auto"/>
        </w:rPr>
      </w:pPr>
    </w:p>
    <w:p>
      <w:pPr>
        <w:pStyle w:val="7"/>
        <w:rPr>
          <w:color w:val="auto"/>
        </w:rPr>
      </w:pPr>
    </w:p>
    <w:tbl>
      <w:tblPr>
        <w:tblStyle w:val="18"/>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01"/>
        <w:gridCol w:w="3203"/>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服务单位及路段</w:t>
            </w:r>
          </w:p>
        </w:tc>
        <w:tc>
          <w:tcPr>
            <w:tcW w:w="3786"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渝广梁忠公司（渝广路）</w:t>
            </w:r>
          </w:p>
        </w:tc>
        <w:tc>
          <w:tcPr>
            <w:tcW w:w="3786" w:type="dxa"/>
            <w:vMerge w:val="restart"/>
            <w:vAlign w:val="center"/>
          </w:tcPr>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收费网、视频网、监控网、办公网相关信息系统及基础设施的网络安全服务，详见下表。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渝广梁忠公司（梁忠路）</w:t>
            </w:r>
          </w:p>
        </w:tc>
        <w:tc>
          <w:tcPr>
            <w:tcW w:w="3786" w:type="dxa"/>
            <w:vMerge w:val="continue"/>
            <w:vAlign w:val="center"/>
          </w:tcPr>
          <w:p>
            <w:pPr>
              <w:spacing w:line="360" w:lineRule="auto"/>
              <w:jc w:val="center"/>
              <w:rPr>
                <w:rFonts w:asciiTheme="minorEastAsia" w:hAnsiTheme="minorEastAsia" w:eastAsiaTheme="minorEastAsia" w:cs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w:t>
            </w:r>
          </w:p>
        </w:tc>
        <w:tc>
          <w:tcPr>
            <w:tcW w:w="1801" w:type="dxa"/>
            <w:vAlign w:val="center"/>
          </w:tcPr>
          <w:p>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报价（元）</w:t>
            </w:r>
          </w:p>
        </w:tc>
        <w:tc>
          <w:tcPr>
            <w:tcW w:w="3203" w:type="dxa"/>
            <w:vAlign w:val="center"/>
          </w:tcPr>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大写：</w:t>
            </w:r>
          </w:p>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小写：</w:t>
            </w:r>
          </w:p>
        </w:tc>
        <w:tc>
          <w:tcPr>
            <w:tcW w:w="3786" w:type="dxa"/>
            <w:vAlign w:val="center"/>
          </w:tcPr>
          <w:p>
            <w:pPr>
              <w:spacing w:line="360" w:lineRule="auto"/>
              <w:jc w:val="center"/>
              <w:rPr>
                <w:rFonts w:asciiTheme="minorEastAsia" w:hAnsiTheme="minorEastAsia" w:eastAsiaTheme="minorEastAsia" w:cstheme="minorEastAsia"/>
                <w:b/>
                <w:bCs/>
                <w:color w:val="auto"/>
                <w:sz w:val="24"/>
              </w:rPr>
            </w:pPr>
          </w:p>
        </w:tc>
      </w:tr>
    </w:tbl>
    <w:p>
      <w:pPr>
        <w:rPr>
          <w:color w:val="auto"/>
        </w:rPr>
      </w:pPr>
    </w:p>
    <w:p>
      <w:pPr>
        <w:pStyle w:val="7"/>
        <w:rPr>
          <w:color w:val="auto"/>
        </w:rPr>
      </w:pPr>
      <w:r>
        <w:rPr>
          <w:color w:val="auto"/>
        </w:rPr>
        <w:br w:type="page"/>
      </w:r>
    </w:p>
    <w:p>
      <w:pPr>
        <w:rPr>
          <w:color w:val="auto"/>
        </w:rPr>
      </w:pPr>
    </w:p>
    <w:p>
      <w:pPr>
        <w:pStyle w:val="3"/>
        <w:spacing w:before="0" w:after="0" w:line="360" w:lineRule="auto"/>
        <w:rPr>
          <w:color w:val="auto"/>
          <w:spacing w:val="10"/>
          <w:sz w:val="48"/>
          <w:szCs w:val="48"/>
        </w:rPr>
      </w:pPr>
      <w:r>
        <w:rPr>
          <w:rFonts w:hint="eastAsia"/>
          <w:color w:val="auto"/>
          <w:spacing w:val="10"/>
          <w:sz w:val="48"/>
          <w:szCs w:val="48"/>
        </w:rPr>
        <w:t>第五章  技术标准和要求</w:t>
      </w:r>
    </w:p>
    <w:p>
      <w:pPr>
        <w:rPr>
          <w:b/>
          <w:bCs/>
          <w:color w:val="auto"/>
        </w:rPr>
      </w:pPr>
      <w:r>
        <w:rPr>
          <w:rFonts w:hint="eastAsia"/>
          <w:color w:val="auto"/>
          <w:szCs w:val="32"/>
        </w:rPr>
        <w:t>详见第二章报价人须知</w:t>
      </w:r>
      <w:r>
        <w:rPr>
          <w:rFonts w:hint="eastAsia"/>
          <w:color w:val="auto"/>
        </w:rPr>
        <w:t>网络安全服务内容及相关要求。</w:t>
      </w:r>
    </w:p>
    <w:p>
      <w:pPr>
        <w:rPr>
          <w:color w:val="auto"/>
          <w:sz w:val="24"/>
          <w:szCs w:val="32"/>
        </w:rPr>
      </w:pPr>
    </w:p>
    <w:p>
      <w:pPr>
        <w:rPr>
          <w:color w:val="auto"/>
        </w:rPr>
      </w:pPr>
    </w:p>
    <w:p>
      <w:pPr>
        <w:widowControl/>
        <w:jc w:val="left"/>
        <w:rPr>
          <w:color w:val="auto"/>
        </w:rPr>
      </w:pPr>
      <w:r>
        <w:rPr>
          <w:color w:val="auto"/>
        </w:rPr>
        <w:br w:type="page"/>
      </w:r>
    </w:p>
    <w:p>
      <w:pPr>
        <w:rPr>
          <w:color w:val="auto"/>
        </w:rPr>
      </w:pPr>
    </w:p>
    <w:p>
      <w:pPr>
        <w:pStyle w:val="3"/>
        <w:spacing w:before="0" w:after="0" w:line="360" w:lineRule="auto"/>
        <w:rPr>
          <w:rFonts w:asciiTheme="majorEastAsia" w:hAnsiTheme="majorEastAsia" w:eastAsiaTheme="majorEastAsia" w:cstheme="majorEastAsia"/>
          <w:b w:val="0"/>
          <w:bCs/>
          <w:color w:val="auto"/>
          <w:sz w:val="52"/>
          <w:szCs w:val="52"/>
        </w:rPr>
      </w:pPr>
      <w:r>
        <w:rPr>
          <w:rFonts w:hint="eastAsia"/>
          <w:color w:val="auto"/>
          <w:spacing w:val="10"/>
          <w:sz w:val="48"/>
          <w:szCs w:val="48"/>
        </w:rPr>
        <w:t>第六章  竞争性比选响应文件格式</w:t>
      </w: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r>
        <w:rPr>
          <w:rFonts w:hint="eastAsia"/>
          <w:b/>
          <w:color w:val="auto"/>
          <w:sz w:val="24"/>
        </w:rPr>
        <w:t>参考格式</w:t>
      </w:r>
    </w:p>
    <w:p>
      <w:pPr>
        <w:jc w:val="center"/>
        <w:rPr>
          <w:b/>
          <w:color w:val="auto"/>
          <w:sz w:val="24"/>
        </w:rPr>
      </w:pPr>
    </w:p>
    <w:p>
      <w:pPr>
        <w:jc w:val="center"/>
        <w:rPr>
          <w:b/>
          <w:color w:val="auto"/>
          <w:sz w:val="24"/>
        </w:rPr>
      </w:pPr>
      <w:r>
        <w:rPr>
          <w:rFonts w:hint="eastAsia"/>
          <w:b/>
          <w:color w:val="auto"/>
          <w:sz w:val="24"/>
        </w:rPr>
        <w:t>竞争性比选响应文件封面</w:t>
      </w:r>
    </w:p>
    <w:p>
      <w:pPr>
        <w:jc w:val="center"/>
        <w:rPr>
          <w:b/>
          <w:color w:val="auto"/>
          <w:sz w:val="24"/>
        </w:rPr>
      </w:pPr>
      <w:r>
        <w:rPr>
          <w:rFonts w:hint="eastAsia"/>
          <w:b/>
          <w:color w:val="auto"/>
          <w:sz w:val="24"/>
        </w:rPr>
        <w:t>（以下内容为示例）</w:t>
      </w:r>
    </w:p>
    <w:p>
      <w:pPr>
        <w:jc w:val="center"/>
        <w:rPr>
          <w:b/>
          <w:color w:val="auto"/>
          <w:sz w:val="24"/>
        </w:rPr>
      </w:pPr>
    </w:p>
    <w:p>
      <w:pPr>
        <w:jc w:val="right"/>
        <w:rPr>
          <w:b/>
          <w:color w:val="auto"/>
          <w:sz w:val="24"/>
        </w:rPr>
      </w:pPr>
      <w:r>
        <w:rPr>
          <w:rFonts w:hint="eastAsia"/>
          <w:b/>
          <w:color w:val="auto"/>
          <w:sz w:val="24"/>
        </w:rPr>
        <w:t xml:space="preserve">                           </w:t>
      </w:r>
      <w:r>
        <w:rPr>
          <w:rFonts w:hint="eastAsia"/>
          <w:b/>
          <w:color w:val="auto"/>
          <w:sz w:val="40"/>
        </w:rPr>
        <w:t>（正本或副本）</w:t>
      </w:r>
    </w:p>
    <w:p>
      <w:pPr>
        <w:jc w:val="right"/>
        <w:rPr>
          <w:b/>
          <w:color w:val="auto"/>
          <w:sz w:val="24"/>
        </w:rPr>
      </w:pPr>
    </w:p>
    <w:p>
      <w:pPr>
        <w:jc w:val="right"/>
        <w:rPr>
          <w:b/>
          <w:color w:val="auto"/>
          <w:sz w:val="24"/>
        </w:rPr>
      </w:pPr>
    </w:p>
    <w:p>
      <w:pPr>
        <w:jc w:val="right"/>
        <w:rPr>
          <w:b/>
          <w:color w:val="auto"/>
          <w:sz w:val="24"/>
        </w:rPr>
      </w:pPr>
    </w:p>
    <w:p>
      <w:pPr>
        <w:jc w:val="center"/>
        <w:rPr>
          <w:b/>
          <w:color w:val="auto"/>
          <w:sz w:val="32"/>
          <w:szCs w:val="32"/>
        </w:rPr>
      </w:pPr>
      <w:r>
        <w:rPr>
          <w:rFonts w:hint="eastAsia" w:ascii="宋体"/>
          <w:b/>
          <w:color w:val="auto"/>
          <w:sz w:val="44"/>
          <w:szCs w:val="44"/>
        </w:rPr>
        <w:t>渝广梁忠公司网络安全服务</w:t>
      </w:r>
    </w:p>
    <w:p>
      <w:pPr>
        <w:jc w:val="center"/>
        <w:rPr>
          <w:b/>
          <w:color w:val="auto"/>
          <w:sz w:val="52"/>
          <w:szCs w:val="52"/>
        </w:rPr>
      </w:pPr>
      <w:r>
        <w:rPr>
          <w:rFonts w:hint="eastAsia"/>
          <w:b/>
          <w:color w:val="auto"/>
          <w:sz w:val="52"/>
          <w:szCs w:val="52"/>
        </w:rPr>
        <w:t>竞争性比选响应文件</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u w:val="single"/>
        </w:rPr>
      </w:pPr>
      <w:r>
        <w:rPr>
          <w:rFonts w:hint="eastAsia"/>
          <w:color w:val="auto"/>
          <w:sz w:val="32"/>
          <w:szCs w:val="32"/>
          <w:u w:val="single"/>
        </w:rPr>
        <w:t>报价人名称全称（盖单位公章）</w:t>
      </w:r>
    </w:p>
    <w:p>
      <w:pPr>
        <w:pStyle w:val="8"/>
        <w:snapToGrid w:val="0"/>
        <w:ind w:firstLine="574" w:firstLineChars="150"/>
        <w:jc w:val="center"/>
        <w:rPr>
          <w:rFonts w:ascii="宋体" w:hAnsi="宋体"/>
          <w:color w:val="auto"/>
          <w:sz w:val="32"/>
          <w:szCs w:val="32"/>
        </w:rPr>
      </w:pPr>
      <w:r>
        <w:rPr>
          <w:rFonts w:hint="eastAsia" w:ascii="宋体" w:hAnsi="宋体"/>
          <w:color w:val="auto"/>
          <w:sz w:val="32"/>
          <w:szCs w:val="32"/>
        </w:rPr>
        <w:t>202</w:t>
      </w:r>
      <w:r>
        <w:rPr>
          <w:rFonts w:ascii="宋体" w:hAnsi="宋体"/>
          <w:color w:val="auto"/>
          <w:sz w:val="32"/>
          <w:szCs w:val="32"/>
        </w:rPr>
        <w:t>1</w:t>
      </w:r>
      <w:r>
        <w:rPr>
          <w:rFonts w:hint="eastAsia" w:ascii="宋体" w:hAnsi="宋体"/>
          <w:color w:val="auto"/>
          <w:sz w:val="32"/>
          <w:szCs w:val="32"/>
        </w:rPr>
        <w:t>年11月</w:t>
      </w:r>
    </w:p>
    <w:p>
      <w:pPr>
        <w:pStyle w:val="14"/>
        <w:rPr>
          <w:color w:val="auto"/>
        </w:rPr>
      </w:pPr>
      <w:r>
        <w:rPr>
          <w:rFonts w:hint="eastAsia" w:ascii="宋体" w:hAnsi="宋体"/>
          <w:color w:val="auto"/>
        </w:rPr>
        <w:br w:type="page"/>
      </w:r>
      <w:r>
        <w:rPr>
          <w:rFonts w:hint="eastAsia"/>
          <w:color w:val="auto"/>
        </w:rPr>
        <w:t>一、竞争性比选响应声明书</w:t>
      </w:r>
    </w:p>
    <w:p>
      <w:pPr>
        <w:tabs>
          <w:tab w:val="left" w:pos="900"/>
        </w:tabs>
        <w:spacing w:line="360" w:lineRule="auto"/>
        <w:ind w:firstLine="486" w:firstLineChars="200"/>
        <w:rPr>
          <w:rFonts w:ascii="Arial" w:hAnsi="Arial" w:cs="Arial"/>
          <w:color w:val="auto"/>
          <w:sz w:val="24"/>
        </w:rPr>
      </w:pPr>
      <w:r>
        <w:rPr>
          <w:rFonts w:ascii="Arial" w:hAnsi="Arial" w:cs="Arial"/>
          <w:color w:val="auto"/>
          <w:sz w:val="24"/>
        </w:rPr>
        <w:t xml:space="preserve"> </w:t>
      </w:r>
      <w:r>
        <w:rPr>
          <w:rFonts w:hint="eastAsia" w:ascii="Arial" w:hAnsi="Arial" w:cs="Arial"/>
          <w:b/>
          <w:color w:val="auto"/>
          <w:sz w:val="24"/>
        </w:rPr>
        <w:t>致：</w:t>
      </w:r>
      <w:r>
        <w:rPr>
          <w:rFonts w:hint="eastAsia" w:ascii="Arial" w:hAnsi="Arial" w:cs="Arial"/>
          <w:b/>
          <w:bCs/>
          <w:color w:val="auto"/>
          <w:sz w:val="24"/>
          <w:u w:val="single"/>
        </w:rPr>
        <w:t>重庆首讯科技股份有限公司</w:t>
      </w:r>
    </w:p>
    <w:p>
      <w:pPr>
        <w:spacing w:line="360" w:lineRule="auto"/>
        <w:ind w:firstLine="486" w:firstLineChars="200"/>
        <w:rPr>
          <w:rFonts w:ascii="Arial" w:hAnsi="Arial" w:cs="Arial"/>
          <w:color w:val="auto"/>
          <w:sz w:val="24"/>
        </w:rPr>
      </w:pPr>
      <w:r>
        <w:rPr>
          <w:rFonts w:hint="eastAsia" w:ascii="Arial" w:hAnsi="Arial" w:cs="Arial"/>
          <w:color w:val="auto"/>
          <w:sz w:val="24"/>
        </w:rPr>
        <w:t>根据贵方</w:t>
      </w:r>
      <w:r>
        <w:rPr>
          <w:rFonts w:hint="eastAsia" w:ascii="宋体" w:hAnsi="宋体"/>
          <w:color w:val="auto"/>
          <w:sz w:val="24"/>
          <w:u w:val="single"/>
        </w:rPr>
        <w:t>渝广梁忠公司网络安全服务</w:t>
      </w:r>
      <w:r>
        <w:rPr>
          <w:rFonts w:hint="eastAsia" w:ascii="Arial" w:hAnsi="Arial" w:cs="Arial"/>
          <w:color w:val="auto"/>
          <w:sz w:val="24"/>
        </w:rPr>
        <w:t>竞争性比选文件要求，签字代表</w:t>
      </w:r>
      <w:r>
        <w:rPr>
          <w:rFonts w:ascii="Arial" w:hAnsi="Arial" w:cs="Arial"/>
          <w:color w:val="auto"/>
          <w:sz w:val="24"/>
          <w:u w:val="single"/>
        </w:rPr>
        <w:t xml:space="preserve">            </w:t>
      </w:r>
      <w:r>
        <w:rPr>
          <w:rFonts w:hint="eastAsia" w:ascii="Arial" w:hAnsi="Arial" w:cs="Arial"/>
          <w:color w:val="auto"/>
          <w:sz w:val="24"/>
          <w:u w:val="single"/>
        </w:rPr>
        <w:t>（全名、职务）</w:t>
      </w:r>
      <w:r>
        <w:rPr>
          <w:rFonts w:hint="eastAsia" w:ascii="Arial" w:hAnsi="Arial" w:cs="Arial"/>
          <w:color w:val="auto"/>
          <w:sz w:val="24"/>
        </w:rPr>
        <w:t>经正式授权并代表报价人</w:t>
      </w:r>
      <w:r>
        <w:rPr>
          <w:rFonts w:ascii="Arial" w:hAnsi="Arial" w:cs="Arial"/>
          <w:color w:val="auto"/>
          <w:sz w:val="24"/>
          <w:u w:val="single"/>
        </w:rPr>
        <w:t xml:space="preserve"> </w:t>
      </w:r>
      <w:r>
        <w:rPr>
          <w:rFonts w:hint="eastAsia" w:ascii="Arial" w:hAnsi="Arial" w:cs="Arial"/>
          <w:color w:val="auto"/>
          <w:sz w:val="24"/>
          <w:u w:val="single"/>
        </w:rPr>
        <w:t>（报价人名称、地址）</w:t>
      </w:r>
      <w:r>
        <w:rPr>
          <w:rFonts w:ascii="Arial" w:hAnsi="Arial" w:cs="Arial"/>
          <w:color w:val="auto"/>
          <w:sz w:val="24"/>
          <w:u w:val="single"/>
        </w:rPr>
        <w:t xml:space="preserve"> </w:t>
      </w:r>
      <w:r>
        <w:rPr>
          <w:rFonts w:hint="eastAsia" w:ascii="Arial" w:hAnsi="Arial" w:cs="Arial"/>
          <w:color w:val="auto"/>
          <w:sz w:val="24"/>
        </w:rPr>
        <w:t>提交以下文件正本一份、副本两份和电子文件1份。</w:t>
      </w:r>
    </w:p>
    <w:p>
      <w:pPr>
        <w:spacing w:line="360" w:lineRule="auto"/>
        <w:ind w:firstLine="486" w:firstLineChars="200"/>
        <w:rPr>
          <w:rFonts w:ascii="Arial" w:hAnsi="Arial" w:cs="Arial"/>
          <w:color w:val="auto"/>
          <w:sz w:val="24"/>
        </w:rPr>
      </w:pPr>
      <w:r>
        <w:rPr>
          <w:rFonts w:hint="eastAsia" w:ascii="Arial" w:hAnsi="Arial" w:cs="Arial"/>
          <w:color w:val="auto"/>
          <w:sz w:val="24"/>
          <w:u w:val="single"/>
        </w:rPr>
        <w:t>我方愿以人民币：              元（大写              元）</w:t>
      </w:r>
      <w:r>
        <w:rPr>
          <w:rFonts w:hint="eastAsia" w:ascii="Arial" w:hAnsi="Arial" w:cs="Arial"/>
          <w:color w:val="auto"/>
          <w:sz w:val="24"/>
        </w:rPr>
        <w:t>的总报价（含6%增值税），按照竞争性比选文件的要求，承担本次竞争性比选文件要求的设备及售后服务。</w:t>
      </w:r>
    </w:p>
    <w:p>
      <w:pPr>
        <w:tabs>
          <w:tab w:val="left" w:pos="540"/>
          <w:tab w:val="left" w:pos="900"/>
        </w:tabs>
        <w:spacing w:line="360" w:lineRule="auto"/>
        <w:ind w:firstLine="486" w:firstLineChars="200"/>
        <w:rPr>
          <w:rFonts w:ascii="Arial" w:hAnsi="Arial" w:cs="Arial"/>
          <w:color w:val="auto"/>
          <w:sz w:val="24"/>
        </w:rPr>
      </w:pPr>
      <w:r>
        <w:rPr>
          <w:rFonts w:hint="eastAsia" w:ascii="Arial" w:hAnsi="Arial" w:cs="Arial"/>
          <w:color w:val="auto"/>
          <w:sz w:val="24"/>
        </w:rPr>
        <w:t>据此函，签字代表宣布同意如下：</w:t>
      </w:r>
    </w:p>
    <w:p>
      <w:pPr>
        <w:tabs>
          <w:tab w:val="left" w:pos="540"/>
          <w:tab w:val="left" w:pos="900"/>
        </w:tabs>
        <w:spacing w:line="360" w:lineRule="auto"/>
        <w:ind w:firstLine="486" w:firstLineChars="200"/>
        <w:rPr>
          <w:rFonts w:ascii="Arial" w:hAnsi="Arial" w:cs="Arial"/>
          <w:color w:val="auto"/>
          <w:sz w:val="24"/>
        </w:rPr>
      </w:pPr>
      <w:r>
        <w:rPr>
          <w:rFonts w:ascii="Arial" w:hAnsi="Arial" w:cs="Arial"/>
          <w:color w:val="auto"/>
          <w:sz w:val="24"/>
        </w:rPr>
        <w:t>1</w:t>
      </w:r>
      <w:r>
        <w:rPr>
          <w:rFonts w:hint="eastAsia" w:ascii="Arial" w:hAnsi="Arial" w:cs="Arial"/>
          <w:color w:val="auto"/>
          <w:sz w:val="24"/>
        </w:rPr>
        <w:t>、报价人将按竞争性比选文件规定履行合同责任和义务。</w:t>
      </w:r>
    </w:p>
    <w:p>
      <w:pPr>
        <w:tabs>
          <w:tab w:val="left" w:pos="900"/>
        </w:tabs>
        <w:spacing w:line="360" w:lineRule="auto"/>
        <w:ind w:firstLine="486" w:firstLineChars="200"/>
        <w:rPr>
          <w:rFonts w:ascii="Arial" w:hAnsi="Arial" w:cs="Arial"/>
          <w:b/>
          <w:color w:val="auto"/>
          <w:sz w:val="24"/>
        </w:rPr>
      </w:pPr>
      <w:r>
        <w:rPr>
          <w:rFonts w:ascii="Arial" w:hAnsi="Arial" w:cs="Arial"/>
          <w:color w:val="auto"/>
          <w:sz w:val="24"/>
        </w:rPr>
        <w:t>2</w:t>
      </w:r>
      <w:r>
        <w:rPr>
          <w:rFonts w:hint="eastAsia" w:ascii="Arial" w:hAnsi="Arial" w:cs="Arial"/>
          <w:color w:val="auto"/>
          <w:sz w:val="24"/>
        </w:rPr>
        <w:t>、报价人已详细审查全部竞争性比选文件，包括修改文件（如有的话）以及全部参考资料和相关附件。我们完全理解并同意放弃对这方面有不明及误解的权利。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6" w:firstLineChars="200"/>
        <w:rPr>
          <w:rFonts w:ascii="Arial" w:hAnsi="Arial" w:cs="Arial"/>
          <w:b/>
          <w:color w:val="auto"/>
          <w:sz w:val="24"/>
        </w:rPr>
      </w:pPr>
      <w:r>
        <w:rPr>
          <w:rFonts w:hint="eastAsia" w:ascii="Arial" w:hAnsi="Arial" w:cs="Arial"/>
          <w:color w:val="auto"/>
          <w:sz w:val="24"/>
        </w:rPr>
        <w:t>3、报价人同意提供采购人可能要求的与其竞争性比选响应文件有关的一切数据或资料。</w:t>
      </w:r>
    </w:p>
    <w:p>
      <w:pPr>
        <w:tabs>
          <w:tab w:val="left" w:pos="900"/>
        </w:tabs>
        <w:spacing w:line="360" w:lineRule="auto"/>
        <w:ind w:firstLine="486" w:firstLineChars="200"/>
        <w:rPr>
          <w:rFonts w:ascii="Arial" w:hAnsi="Arial" w:cs="Arial"/>
          <w:b/>
          <w:color w:val="auto"/>
          <w:sz w:val="24"/>
        </w:rPr>
      </w:pPr>
      <w:r>
        <w:rPr>
          <w:rFonts w:hint="eastAsia" w:ascii="Arial" w:hAnsi="Arial" w:cs="Arial"/>
          <w:color w:val="auto"/>
          <w:sz w:val="24"/>
        </w:rPr>
        <w:t>4、与本竞争性比选响应有关的一切正式往来通讯请寄：</w:t>
      </w:r>
    </w:p>
    <w:p>
      <w:pPr>
        <w:tabs>
          <w:tab w:val="left" w:pos="900"/>
        </w:tabs>
        <w:spacing w:line="360" w:lineRule="auto"/>
        <w:ind w:firstLine="486" w:firstLineChars="200"/>
        <w:rPr>
          <w:rFonts w:ascii="Arial" w:hAnsi="Arial" w:cs="Arial"/>
          <w:b/>
          <w:color w:val="auto"/>
          <w:sz w:val="24"/>
        </w:rPr>
      </w:pPr>
      <w:r>
        <w:rPr>
          <w:rFonts w:hint="eastAsia" w:ascii="Arial" w:hAnsi="Arial" w:cs="Arial"/>
          <w:color w:val="auto"/>
          <w:sz w:val="24"/>
        </w:rPr>
        <w:t>地址：</w:t>
      </w:r>
      <w:r>
        <w:rPr>
          <w:rFonts w:ascii="Arial" w:hAnsi="Arial" w:cs="Arial"/>
          <w:color w:val="auto"/>
          <w:sz w:val="24"/>
          <w:u w:val="single"/>
        </w:rPr>
        <w:t xml:space="preserve">                         </w:t>
      </w:r>
      <w:r>
        <w:rPr>
          <w:rFonts w:ascii="Arial" w:hAnsi="Arial" w:cs="Arial"/>
          <w:color w:val="auto"/>
          <w:sz w:val="24"/>
        </w:rPr>
        <w:t xml:space="preserve">   </w:t>
      </w:r>
      <w:r>
        <w:rPr>
          <w:rFonts w:hint="eastAsia" w:ascii="Arial" w:hAnsi="Arial" w:cs="Arial"/>
          <w:color w:val="auto"/>
          <w:sz w:val="24"/>
        </w:rPr>
        <w:t>邮编：</w:t>
      </w:r>
      <w:r>
        <w:rPr>
          <w:rFonts w:ascii="Arial" w:hAnsi="Arial" w:cs="Arial"/>
          <w:color w:val="auto"/>
          <w:sz w:val="24"/>
          <w:u w:val="single"/>
        </w:rPr>
        <w:t xml:space="preserve">            </w:t>
      </w:r>
      <w:r>
        <w:rPr>
          <w:rFonts w:ascii="Arial" w:hAnsi="Arial" w:cs="Arial"/>
          <w:b/>
          <w:color w:val="auto"/>
          <w:sz w:val="24"/>
        </w:rPr>
        <w:t xml:space="preserve">  </w:t>
      </w:r>
    </w:p>
    <w:p>
      <w:pPr>
        <w:tabs>
          <w:tab w:val="left" w:pos="900"/>
        </w:tabs>
        <w:spacing w:line="360" w:lineRule="auto"/>
        <w:ind w:firstLine="486" w:firstLineChars="200"/>
        <w:rPr>
          <w:rFonts w:ascii="Arial" w:hAnsi="Arial" w:cs="Arial"/>
          <w:color w:val="auto"/>
          <w:sz w:val="24"/>
          <w:u w:val="single"/>
        </w:rPr>
      </w:pPr>
      <w:r>
        <w:rPr>
          <w:rFonts w:hint="eastAsia" w:ascii="Arial" w:hAnsi="Arial" w:cs="Arial"/>
          <w:color w:val="auto"/>
          <w:sz w:val="24"/>
        </w:rPr>
        <w:t>电话：</w:t>
      </w:r>
      <w:r>
        <w:rPr>
          <w:rFonts w:ascii="Arial" w:hAnsi="Arial" w:cs="Arial"/>
          <w:color w:val="auto"/>
          <w:sz w:val="24"/>
          <w:u w:val="single"/>
        </w:rPr>
        <w:t xml:space="preserve">                   </w:t>
      </w:r>
      <w:r>
        <w:rPr>
          <w:rFonts w:ascii="Arial" w:hAnsi="Arial" w:cs="Arial"/>
          <w:color w:val="auto"/>
          <w:sz w:val="24"/>
        </w:rPr>
        <w:t xml:space="preserve">         </w:t>
      </w:r>
      <w:r>
        <w:rPr>
          <w:rFonts w:hint="eastAsia" w:ascii="Arial" w:hAnsi="Arial" w:cs="Arial"/>
          <w:color w:val="auto"/>
          <w:sz w:val="24"/>
        </w:rPr>
        <w:t>传真：</w:t>
      </w:r>
      <w:r>
        <w:rPr>
          <w:rFonts w:ascii="Arial" w:hAnsi="Arial" w:cs="Arial"/>
          <w:color w:val="auto"/>
          <w:sz w:val="24"/>
          <w:u w:val="single"/>
        </w:rPr>
        <w:t xml:space="preserve">            </w:t>
      </w:r>
    </w:p>
    <w:p>
      <w:pPr>
        <w:tabs>
          <w:tab w:val="left" w:pos="900"/>
        </w:tabs>
        <w:spacing w:line="360" w:lineRule="auto"/>
        <w:ind w:firstLine="486" w:firstLineChars="200"/>
        <w:rPr>
          <w:rFonts w:ascii="Arial" w:hAnsi="Arial" w:cs="Arial"/>
          <w:b/>
          <w:color w:val="auto"/>
          <w:sz w:val="24"/>
        </w:rPr>
      </w:pPr>
      <w:r>
        <w:rPr>
          <w:rFonts w:hint="eastAsia" w:ascii="Arial" w:hAnsi="Arial" w:cs="Arial"/>
          <w:b/>
          <w:color w:val="auto"/>
          <w:sz w:val="24"/>
        </w:rPr>
        <w:t>报价人法定代表人或授权代表人（签字）：</w:t>
      </w:r>
      <w:r>
        <w:rPr>
          <w:rFonts w:ascii="Arial" w:hAnsi="Arial" w:cs="Arial"/>
          <w:b/>
          <w:color w:val="auto"/>
          <w:sz w:val="24"/>
          <w:u w:val="single"/>
        </w:rPr>
        <w:t xml:space="preserve">               </w:t>
      </w:r>
    </w:p>
    <w:p>
      <w:pPr>
        <w:tabs>
          <w:tab w:val="left" w:pos="900"/>
        </w:tabs>
        <w:spacing w:line="360" w:lineRule="auto"/>
        <w:ind w:firstLine="486" w:firstLineChars="200"/>
        <w:rPr>
          <w:rFonts w:ascii="Arial" w:hAnsi="Arial" w:cs="Arial"/>
          <w:b/>
          <w:color w:val="auto"/>
          <w:sz w:val="24"/>
        </w:rPr>
      </w:pPr>
      <w:r>
        <w:rPr>
          <w:rFonts w:hint="eastAsia" w:ascii="Arial" w:hAnsi="Arial" w:cs="Arial"/>
          <w:b/>
          <w:color w:val="auto"/>
          <w:sz w:val="24"/>
        </w:rPr>
        <w:t>报价人法定代表人或授权代表人职务：</w:t>
      </w:r>
      <w:r>
        <w:rPr>
          <w:rFonts w:ascii="Arial" w:hAnsi="Arial" w:cs="Arial"/>
          <w:b/>
          <w:color w:val="auto"/>
          <w:sz w:val="24"/>
          <w:u w:val="single"/>
        </w:rPr>
        <w:t xml:space="preserve">                      </w:t>
      </w:r>
      <w:r>
        <w:rPr>
          <w:rFonts w:ascii="Arial" w:hAnsi="Arial" w:cs="Arial"/>
          <w:b/>
          <w:color w:val="auto"/>
          <w:sz w:val="24"/>
        </w:rPr>
        <w:t xml:space="preserve">      </w:t>
      </w:r>
    </w:p>
    <w:p>
      <w:pPr>
        <w:tabs>
          <w:tab w:val="left" w:pos="900"/>
        </w:tabs>
        <w:spacing w:line="360" w:lineRule="auto"/>
        <w:ind w:firstLine="486" w:firstLineChars="200"/>
        <w:rPr>
          <w:rFonts w:ascii="Arial" w:hAnsi="Arial" w:cs="Arial"/>
          <w:color w:val="auto"/>
          <w:sz w:val="24"/>
        </w:rPr>
      </w:pPr>
      <w:r>
        <w:rPr>
          <w:rFonts w:hint="eastAsia" w:ascii="Arial" w:hAnsi="Arial" w:cs="Arial"/>
          <w:b/>
          <w:color w:val="auto"/>
          <w:sz w:val="24"/>
        </w:rPr>
        <w:t>报价人名称（加盖公章）：</w:t>
      </w:r>
      <w:r>
        <w:rPr>
          <w:rFonts w:ascii="Arial" w:hAnsi="Arial" w:cs="Arial"/>
          <w:b/>
          <w:color w:val="auto"/>
          <w:sz w:val="24"/>
        </w:rPr>
        <w:t xml:space="preserve">  </w:t>
      </w:r>
      <w:r>
        <w:rPr>
          <w:rFonts w:ascii="Arial" w:hAnsi="Arial" w:cs="Arial"/>
          <w:b/>
          <w:color w:val="auto"/>
          <w:sz w:val="24"/>
          <w:u w:val="single"/>
        </w:rPr>
        <w:t xml:space="preserve"> </w:t>
      </w:r>
      <w:r>
        <w:rPr>
          <w:rFonts w:ascii="Arial" w:hAnsi="Arial" w:cs="Arial"/>
          <w:color w:val="auto"/>
          <w:sz w:val="24"/>
          <w:u w:val="single"/>
        </w:rPr>
        <w:t xml:space="preserve">                       </w:t>
      </w:r>
    </w:p>
    <w:p>
      <w:pPr>
        <w:tabs>
          <w:tab w:val="left" w:pos="900"/>
        </w:tabs>
        <w:spacing w:line="360" w:lineRule="auto"/>
        <w:ind w:firstLine="486" w:firstLineChars="200"/>
        <w:rPr>
          <w:rFonts w:ascii="Arial" w:hAnsi="Arial" w:cs="Arial"/>
          <w:color w:val="auto"/>
          <w:sz w:val="24"/>
        </w:rPr>
      </w:pPr>
      <w:r>
        <w:rPr>
          <w:rFonts w:hint="eastAsia" w:ascii="Arial" w:hAnsi="Arial" w:cs="Arial"/>
          <w:color w:val="auto"/>
          <w:sz w:val="24"/>
        </w:rPr>
        <w:t>日期：</w:t>
      </w:r>
      <w:r>
        <w:rPr>
          <w:rFonts w:hint="eastAsia" w:ascii="Arial" w:hAnsi="Arial" w:cs="Arial"/>
          <w:color w:val="auto"/>
          <w:sz w:val="24"/>
          <w:u w:val="single"/>
        </w:rPr>
        <w:t xml:space="preserve">     </w:t>
      </w:r>
      <w:r>
        <w:rPr>
          <w:rFonts w:hint="eastAsia" w:ascii="Arial" w:hAnsi="Arial" w:cs="Arial"/>
          <w:color w:val="auto"/>
          <w:sz w:val="24"/>
        </w:rPr>
        <w:t>年</w:t>
      </w:r>
      <w:r>
        <w:rPr>
          <w:rFonts w:ascii="Arial" w:hAnsi="Arial" w:cs="Arial"/>
          <w:color w:val="auto"/>
          <w:sz w:val="24"/>
          <w:u w:val="single"/>
        </w:rPr>
        <w:t xml:space="preserve">      </w:t>
      </w:r>
      <w:r>
        <w:rPr>
          <w:rFonts w:hint="eastAsia" w:ascii="Arial" w:hAnsi="Arial" w:cs="Arial"/>
          <w:color w:val="auto"/>
          <w:sz w:val="24"/>
        </w:rPr>
        <w:t>月</w:t>
      </w:r>
      <w:r>
        <w:rPr>
          <w:rFonts w:ascii="Arial" w:hAnsi="Arial" w:cs="Arial"/>
          <w:color w:val="auto"/>
          <w:sz w:val="24"/>
          <w:u w:val="single"/>
        </w:rPr>
        <w:t xml:space="preserve">    </w:t>
      </w:r>
      <w:r>
        <w:rPr>
          <w:rFonts w:hint="eastAsia" w:ascii="Arial" w:hAnsi="Arial" w:cs="Arial"/>
          <w:color w:val="auto"/>
          <w:sz w:val="24"/>
          <w:u w:val="single"/>
        </w:rPr>
        <w:t xml:space="preserve">  </w:t>
      </w:r>
      <w:r>
        <w:rPr>
          <w:rFonts w:hint="eastAsia" w:ascii="Arial" w:hAnsi="Arial" w:cs="Arial"/>
          <w:color w:val="auto"/>
          <w:sz w:val="24"/>
        </w:rPr>
        <w:t>日</w:t>
      </w:r>
      <w:r>
        <w:rPr>
          <w:rFonts w:ascii="Arial" w:hAnsi="Arial" w:cs="Arial"/>
          <w:color w:val="auto"/>
          <w:sz w:val="24"/>
        </w:rPr>
        <w:t xml:space="preserve"> </w:t>
      </w:r>
    </w:p>
    <w:p>
      <w:pPr>
        <w:tabs>
          <w:tab w:val="left" w:pos="900"/>
        </w:tabs>
        <w:spacing w:line="300" w:lineRule="auto"/>
        <w:rPr>
          <w:rFonts w:ascii="Arial" w:hAnsi="Arial" w:cs="Arial"/>
          <w:color w:val="auto"/>
          <w:sz w:val="24"/>
        </w:rPr>
      </w:pPr>
    </w:p>
    <w:p>
      <w:pPr>
        <w:tabs>
          <w:tab w:val="left" w:pos="900"/>
        </w:tabs>
        <w:spacing w:line="300" w:lineRule="auto"/>
        <w:rPr>
          <w:rFonts w:ascii="Arial" w:hAnsi="Arial" w:cs="Arial"/>
          <w:color w:val="auto"/>
          <w:sz w:val="24"/>
        </w:rPr>
      </w:pPr>
    </w:p>
    <w:p>
      <w:pPr>
        <w:pStyle w:val="8"/>
        <w:snapToGrid w:val="0"/>
        <w:jc w:val="left"/>
        <w:rPr>
          <w:rFonts w:ascii="宋体" w:hAnsi="宋体"/>
          <w:color w:val="auto"/>
        </w:rPr>
      </w:pPr>
      <w:bookmarkStart w:id="80" w:name="_Toc491883232"/>
    </w:p>
    <w:p>
      <w:pPr>
        <w:pStyle w:val="14"/>
        <w:rPr>
          <w:rFonts w:ascii="宋体" w:hAnsi="宋体"/>
          <w:color w:val="auto"/>
        </w:rPr>
      </w:pPr>
      <w:r>
        <w:rPr>
          <w:rFonts w:hint="eastAsia" w:ascii="宋体" w:hAnsi="宋体"/>
          <w:color w:val="auto"/>
        </w:rPr>
        <w:br w:type="page"/>
      </w:r>
      <w:r>
        <w:rPr>
          <w:rFonts w:hint="eastAsia" w:ascii="宋体" w:hAnsi="宋体"/>
          <w:bCs w:val="0"/>
          <w:color w:val="auto"/>
        </w:rPr>
        <w:t>二</w:t>
      </w:r>
      <w:r>
        <w:rPr>
          <w:rFonts w:ascii="宋体" w:hAnsi="宋体"/>
          <w:bCs w:val="0"/>
          <w:color w:val="auto"/>
        </w:rPr>
        <w:t>、</w:t>
      </w:r>
      <w:r>
        <w:rPr>
          <w:rFonts w:hint="eastAsia" w:ascii="宋体" w:hAnsi="宋体"/>
          <w:bCs w:val="0"/>
          <w:color w:val="auto"/>
        </w:rPr>
        <w:t>法定代表人身份证明和法定代表人授权委托书</w:t>
      </w:r>
    </w:p>
    <w:p>
      <w:pPr>
        <w:pStyle w:val="4"/>
        <w:jc w:val="center"/>
        <w:rPr>
          <w:rFonts w:ascii="宋体" w:hAnsi="宋体"/>
          <w:color w:val="auto"/>
          <w:sz w:val="28"/>
          <w:szCs w:val="28"/>
        </w:rPr>
      </w:pPr>
      <w:r>
        <w:rPr>
          <w:rFonts w:hint="eastAsia" w:ascii="宋体" w:hAnsi="宋体"/>
          <w:color w:val="auto"/>
          <w:sz w:val="28"/>
          <w:szCs w:val="28"/>
        </w:rPr>
        <w:t>（一）</w:t>
      </w:r>
      <w:r>
        <w:rPr>
          <w:rFonts w:ascii="宋体" w:hAnsi="宋体"/>
          <w:color w:val="auto"/>
          <w:sz w:val="28"/>
          <w:szCs w:val="28"/>
        </w:rPr>
        <w:t>法定代表人身份证明</w:t>
      </w:r>
      <w:bookmarkEnd w:id="80"/>
    </w:p>
    <w:p>
      <w:pPr>
        <w:spacing w:line="440" w:lineRule="exact"/>
        <w:rPr>
          <w:rFonts w:ascii="宋体" w:hAnsi="宋体"/>
          <w:color w:val="auto"/>
        </w:rPr>
      </w:pPr>
    </w:p>
    <w:p>
      <w:pPr>
        <w:spacing w:line="440" w:lineRule="exact"/>
        <w:rPr>
          <w:rFonts w:ascii="宋体" w:hAnsi="宋体"/>
          <w:color w:val="auto"/>
          <w:sz w:val="24"/>
        </w:rPr>
      </w:pPr>
      <w:r>
        <w:rPr>
          <w:rFonts w:ascii="宋体" w:hAnsi="宋体"/>
          <w:color w:val="auto"/>
          <w:sz w:val="24"/>
        </w:rPr>
        <w:t>报价人名称：</w:t>
      </w:r>
      <w:r>
        <w:rPr>
          <w:rFonts w:ascii="宋体" w:hAnsi="宋体"/>
          <w:color w:val="auto"/>
          <w:sz w:val="24"/>
          <w:u w:val="single"/>
        </w:rPr>
        <w:t xml:space="preserve">                        </w:t>
      </w:r>
    </w:p>
    <w:p>
      <w:pPr>
        <w:spacing w:line="440" w:lineRule="exact"/>
        <w:rPr>
          <w:rFonts w:ascii="宋体" w:hAnsi="宋体"/>
          <w:color w:val="auto"/>
          <w:sz w:val="24"/>
        </w:rPr>
      </w:pPr>
      <w:r>
        <w:rPr>
          <w:rFonts w:ascii="宋体" w:hAnsi="宋体"/>
          <w:color w:val="auto"/>
          <w:sz w:val="24"/>
        </w:rPr>
        <w:t>姓名：</w:t>
      </w:r>
      <w:r>
        <w:rPr>
          <w:rFonts w:ascii="宋体" w:hAnsi="宋体"/>
          <w:color w:val="auto"/>
          <w:sz w:val="24"/>
          <w:u w:val="single"/>
        </w:rPr>
        <w:t xml:space="preserve">                </w:t>
      </w:r>
      <w:r>
        <w:rPr>
          <w:rFonts w:ascii="宋体" w:hAnsi="宋体"/>
          <w:color w:val="auto"/>
          <w:sz w:val="24"/>
        </w:rPr>
        <w:t>性别：</w:t>
      </w:r>
      <w:bookmarkStart w:id="81" w:name="_Toc369531698"/>
      <w:bookmarkStart w:id="82" w:name="_Toc27897"/>
      <w:bookmarkStart w:id="83" w:name="_Toc352691662"/>
      <w:r>
        <w:rPr>
          <w:rFonts w:ascii="宋体" w:hAnsi="宋体"/>
          <w:color w:val="auto"/>
          <w:sz w:val="24"/>
          <w:u w:val="single"/>
        </w:rPr>
        <w:t xml:space="preserve">        </w:t>
      </w:r>
      <w:r>
        <w:rPr>
          <w:rFonts w:ascii="宋体" w:hAnsi="宋体"/>
          <w:color w:val="auto"/>
          <w:sz w:val="24"/>
        </w:rPr>
        <w:t>年</w:t>
      </w:r>
      <w:bookmarkEnd w:id="81"/>
      <w:bookmarkEnd w:id="82"/>
      <w:bookmarkEnd w:id="83"/>
      <w:r>
        <w:rPr>
          <w:rFonts w:ascii="宋体" w:hAnsi="宋体"/>
          <w:color w:val="auto"/>
          <w:sz w:val="24"/>
        </w:rPr>
        <w:t>龄</w:t>
      </w:r>
      <w:bookmarkStart w:id="84" w:name="_Toc247514248"/>
      <w:bookmarkStart w:id="85" w:name="_Toc152042578"/>
      <w:bookmarkStart w:id="86" w:name="_Toc361508754"/>
      <w:bookmarkStart w:id="87" w:name="_Toc352691663"/>
      <w:bookmarkStart w:id="88" w:name="_Toc384308377"/>
      <w:bookmarkStart w:id="89" w:name="_Toc144974858"/>
      <w:bookmarkStart w:id="90" w:name="_Toc300835211"/>
      <w:bookmarkStart w:id="91" w:name="_Toc152045789"/>
      <w:bookmarkStart w:id="92" w:name="_Toc247527829"/>
      <w:bookmarkStart w:id="93" w:name="_Toc15573"/>
      <w:bookmarkStart w:id="94" w:name="_Toc369531699"/>
      <w:r>
        <w:rPr>
          <w:rFonts w:ascii="宋体" w:hAnsi="宋体"/>
          <w:color w:val="auto"/>
          <w:sz w:val="24"/>
        </w:rPr>
        <w:t>：</w:t>
      </w:r>
      <w:bookmarkEnd w:id="84"/>
      <w:bookmarkEnd w:id="85"/>
      <w:bookmarkEnd w:id="86"/>
      <w:bookmarkEnd w:id="87"/>
      <w:bookmarkEnd w:id="88"/>
      <w:bookmarkEnd w:id="89"/>
      <w:bookmarkEnd w:id="90"/>
      <w:bookmarkEnd w:id="91"/>
      <w:bookmarkEnd w:id="92"/>
      <w:bookmarkEnd w:id="93"/>
      <w:bookmarkEnd w:id="94"/>
      <w:r>
        <w:rPr>
          <w:rFonts w:ascii="宋体" w:hAnsi="宋体"/>
          <w:color w:val="auto"/>
          <w:sz w:val="24"/>
          <w:u w:val="single"/>
        </w:rPr>
        <w:t xml:space="preserve">        </w:t>
      </w:r>
      <w:r>
        <w:rPr>
          <w:rFonts w:ascii="宋体" w:hAnsi="宋体"/>
          <w:color w:val="auto"/>
          <w:sz w:val="24"/>
        </w:rPr>
        <w:t>职务：</w:t>
      </w:r>
      <w:r>
        <w:rPr>
          <w:rFonts w:ascii="宋体" w:hAnsi="宋体"/>
          <w:color w:val="auto"/>
          <w:sz w:val="24"/>
          <w:u w:val="single"/>
        </w:rPr>
        <w:t xml:space="preserve">        </w:t>
      </w:r>
    </w:p>
    <w:p>
      <w:pPr>
        <w:spacing w:line="440" w:lineRule="exact"/>
        <w:rPr>
          <w:rFonts w:ascii="宋体" w:hAnsi="宋体"/>
          <w:color w:val="auto"/>
          <w:sz w:val="24"/>
        </w:rPr>
      </w:pPr>
      <w:r>
        <w:rPr>
          <w:rFonts w:ascii="宋体" w:hAnsi="宋体"/>
          <w:color w:val="auto"/>
          <w:sz w:val="24"/>
        </w:rPr>
        <w:t>系</w:t>
      </w:r>
      <w:r>
        <w:rPr>
          <w:rFonts w:ascii="宋体" w:hAnsi="宋体"/>
          <w:color w:val="auto"/>
          <w:sz w:val="24"/>
          <w:u w:val="single"/>
        </w:rPr>
        <w:t xml:space="preserve">                        </w:t>
      </w:r>
      <w:r>
        <w:rPr>
          <w:rFonts w:ascii="宋体" w:hAnsi="宋体"/>
          <w:color w:val="auto"/>
          <w:sz w:val="24"/>
        </w:rPr>
        <w:t>（报价人名称）的法定代表人。</w:t>
      </w:r>
    </w:p>
    <w:p>
      <w:pPr>
        <w:spacing w:line="440" w:lineRule="exact"/>
        <w:ind w:firstLine="486" w:firstLineChars="200"/>
        <w:rPr>
          <w:rFonts w:ascii="宋体" w:hAnsi="宋体"/>
          <w:color w:val="auto"/>
          <w:sz w:val="24"/>
        </w:rPr>
      </w:pPr>
      <w:r>
        <w:rPr>
          <w:rFonts w:ascii="宋体" w:hAnsi="宋体"/>
          <w:color w:val="auto"/>
          <w:sz w:val="24"/>
        </w:rPr>
        <w:t>特此证明。</w:t>
      </w: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t>附：法定代表人身份证复印件。</w:t>
      </w:r>
    </w:p>
    <w:p>
      <w:pPr>
        <w:spacing w:line="440" w:lineRule="exact"/>
        <w:rPr>
          <w:rFonts w:ascii="宋体" w:hAnsi="宋体"/>
          <w:color w:val="auto"/>
          <w:sz w:val="24"/>
        </w:rPr>
      </w:pPr>
    </w:p>
    <w:p>
      <w:pPr>
        <w:spacing w:line="440" w:lineRule="exact"/>
        <w:rPr>
          <w:rFonts w:ascii="宋体" w:hAnsi="宋体"/>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spacing w:line="440" w:lineRule="exact"/>
        <w:rPr>
          <w:rFonts w:ascii="宋体" w:hAnsi="宋体"/>
          <w:color w:val="auto"/>
          <w:sz w:val="24"/>
        </w:rPr>
      </w:pPr>
    </w:p>
    <w:p>
      <w:pPr>
        <w:spacing w:line="440" w:lineRule="exact"/>
        <w:jc w:val="center"/>
        <w:rPr>
          <w:rFonts w:ascii="宋体" w:hAnsi="宋体"/>
          <w:color w:val="auto"/>
          <w:sz w:val="24"/>
        </w:rPr>
      </w:pPr>
      <w:r>
        <w:rPr>
          <w:rFonts w:ascii="宋体" w:hAnsi="宋体"/>
          <w:color w:val="auto"/>
          <w:sz w:val="24"/>
        </w:rPr>
        <w:t xml:space="preserve">                              报价人：</w:t>
      </w: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rPr>
        <w:t>（</w:t>
      </w:r>
      <w:r>
        <w:rPr>
          <w:rFonts w:hint="eastAsia" w:ascii="宋体" w:hAnsi="宋体"/>
          <w:color w:val="auto"/>
          <w:sz w:val="24"/>
        </w:rPr>
        <w:t>盖</w:t>
      </w:r>
      <w:r>
        <w:rPr>
          <w:rFonts w:ascii="宋体" w:hAnsi="宋体"/>
          <w:color w:val="auto"/>
          <w:sz w:val="24"/>
        </w:rPr>
        <w:t>单位</w:t>
      </w:r>
      <w:r>
        <w:rPr>
          <w:rFonts w:hint="eastAsia" w:ascii="宋体" w:hAnsi="宋体"/>
          <w:color w:val="auto"/>
          <w:sz w:val="24"/>
        </w:rPr>
        <w:t>鲜</w:t>
      </w:r>
      <w:r>
        <w:rPr>
          <w:rFonts w:ascii="宋体" w:hAnsi="宋体"/>
          <w:color w:val="auto"/>
          <w:sz w:val="24"/>
        </w:rPr>
        <w:t>公章）</w:t>
      </w:r>
    </w:p>
    <w:p>
      <w:pPr>
        <w:spacing w:line="440" w:lineRule="exact"/>
        <w:rPr>
          <w:rFonts w:ascii="宋体" w:hAnsi="宋体"/>
          <w:color w:val="auto"/>
          <w:sz w:val="24"/>
        </w:rPr>
      </w:pPr>
    </w:p>
    <w:p>
      <w:pPr>
        <w:spacing w:line="440" w:lineRule="exact"/>
        <w:ind w:firstLine="5346" w:firstLineChars="2200"/>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rPr>
          <w:color w:val="auto"/>
          <w:sz w:val="24"/>
        </w:rPr>
      </w:pPr>
    </w:p>
    <w:p>
      <w:pPr>
        <w:rPr>
          <w:color w:val="auto"/>
          <w:sz w:val="24"/>
        </w:rPr>
      </w:pPr>
    </w:p>
    <w:p>
      <w:pPr>
        <w:spacing w:line="440" w:lineRule="exact"/>
        <w:rPr>
          <w:rFonts w:ascii="宋体" w:hAnsi="宋体"/>
          <w:color w:val="auto"/>
          <w:sz w:val="24"/>
        </w:rPr>
      </w:pPr>
      <w:r>
        <w:rPr>
          <w:rFonts w:ascii="宋体" w:hAnsi="宋体"/>
          <w:color w:val="auto"/>
          <w:sz w:val="24"/>
        </w:rPr>
        <w:t>注：本身份证明需由报价人加盖单位</w:t>
      </w:r>
      <w:r>
        <w:rPr>
          <w:rFonts w:hint="eastAsia" w:ascii="宋体" w:hAnsi="宋体"/>
          <w:color w:val="auto"/>
          <w:sz w:val="24"/>
        </w:rPr>
        <w:t>鲜</w:t>
      </w:r>
      <w:r>
        <w:rPr>
          <w:rFonts w:ascii="宋体" w:hAnsi="宋体"/>
          <w:color w:val="auto"/>
          <w:sz w:val="24"/>
        </w:rPr>
        <w:t>公章。</w:t>
      </w:r>
    </w:p>
    <w:p>
      <w:pPr>
        <w:spacing w:line="440" w:lineRule="exact"/>
        <w:rPr>
          <w:rFonts w:ascii="宋体" w:hAnsi="宋体"/>
          <w:color w:val="auto"/>
          <w:sz w:val="20"/>
        </w:rPr>
      </w:pPr>
    </w:p>
    <w:p>
      <w:pPr>
        <w:spacing w:line="20" w:lineRule="exact"/>
        <w:jc w:val="center"/>
        <w:rPr>
          <w:rFonts w:ascii="宋体" w:hAnsi="宋体"/>
          <w:color w:val="auto"/>
          <w:sz w:val="20"/>
        </w:rPr>
      </w:pPr>
      <w:r>
        <w:rPr>
          <w:rFonts w:ascii="宋体" w:hAnsi="宋体"/>
          <w:color w:val="auto"/>
          <w:sz w:val="20"/>
        </w:rPr>
        <w:br w:type="page"/>
      </w:r>
    </w:p>
    <w:p>
      <w:pPr>
        <w:pStyle w:val="4"/>
        <w:jc w:val="center"/>
        <w:rPr>
          <w:rFonts w:ascii="宋体" w:hAnsi="宋体"/>
          <w:color w:val="auto"/>
          <w:sz w:val="28"/>
          <w:szCs w:val="28"/>
        </w:rPr>
      </w:pPr>
      <w:bookmarkStart w:id="95" w:name="_Toc491883233"/>
      <w:r>
        <w:rPr>
          <w:rFonts w:hint="eastAsia" w:ascii="宋体" w:hAnsi="宋体"/>
          <w:color w:val="auto"/>
          <w:sz w:val="28"/>
          <w:szCs w:val="28"/>
        </w:rPr>
        <w:t>（二）</w:t>
      </w:r>
      <w:bookmarkEnd w:id="95"/>
      <w:r>
        <w:rPr>
          <w:rFonts w:hint="eastAsia" w:ascii="宋体" w:hAnsi="宋体"/>
          <w:color w:val="auto"/>
          <w:sz w:val="28"/>
          <w:szCs w:val="28"/>
        </w:rPr>
        <w:t>法定代表人授权委托书</w:t>
      </w:r>
    </w:p>
    <w:p>
      <w:pPr>
        <w:spacing w:line="440" w:lineRule="exact"/>
        <w:rPr>
          <w:rFonts w:ascii="宋体" w:hAnsi="宋体"/>
          <w:color w:val="auto"/>
        </w:rPr>
      </w:pPr>
    </w:p>
    <w:p>
      <w:pPr>
        <w:topLinePunct/>
        <w:spacing w:line="440" w:lineRule="exact"/>
        <w:ind w:firstLine="486" w:firstLineChars="200"/>
        <w:rPr>
          <w:rFonts w:ascii="宋体" w:hAnsi="宋体"/>
          <w:color w:val="auto"/>
          <w:sz w:val="24"/>
        </w:rPr>
      </w:pPr>
      <w:r>
        <w:rPr>
          <w:rFonts w:ascii="宋体" w:hAnsi="宋体"/>
          <w:color w:val="auto"/>
          <w:sz w:val="24"/>
        </w:rPr>
        <w:t>本人</w:t>
      </w:r>
      <w:r>
        <w:rPr>
          <w:rFonts w:ascii="宋体" w:hAnsi="宋体"/>
          <w:color w:val="auto"/>
          <w:sz w:val="24"/>
          <w:u w:val="single"/>
        </w:rPr>
        <w:t xml:space="preserve">              </w:t>
      </w:r>
      <w:r>
        <w:rPr>
          <w:rFonts w:ascii="宋体" w:hAnsi="宋体"/>
          <w:color w:val="auto"/>
          <w:sz w:val="24"/>
        </w:rPr>
        <w:t>（姓名）系</w:t>
      </w:r>
      <w:r>
        <w:rPr>
          <w:rFonts w:ascii="宋体" w:hAnsi="宋体"/>
          <w:color w:val="auto"/>
          <w:sz w:val="24"/>
          <w:u w:val="single"/>
        </w:rPr>
        <w:t xml:space="preserve">                    </w:t>
      </w:r>
      <w:r>
        <w:rPr>
          <w:rFonts w:ascii="宋体" w:hAnsi="宋体"/>
          <w:color w:val="auto"/>
          <w:sz w:val="24"/>
        </w:rPr>
        <w:t>（报价人名称）的法定代表人，现委托</w:t>
      </w:r>
      <w:r>
        <w:rPr>
          <w:rFonts w:ascii="宋体" w:hAnsi="宋体"/>
          <w:color w:val="auto"/>
          <w:sz w:val="24"/>
          <w:u w:val="single"/>
        </w:rPr>
        <w:t xml:space="preserve">            </w:t>
      </w:r>
      <w:r>
        <w:rPr>
          <w:rFonts w:ascii="宋体" w:hAnsi="宋体"/>
          <w:color w:val="auto"/>
          <w:sz w:val="24"/>
        </w:rPr>
        <w:t>（姓名）为我方代理人。代理人根据授权，以我方名义签署、澄清确认、递交、撤回、修改</w:t>
      </w:r>
      <w:r>
        <w:rPr>
          <w:rFonts w:hint="eastAsia" w:ascii="宋体" w:hAnsi="宋体"/>
          <w:color w:val="auto"/>
          <w:sz w:val="24"/>
          <w:u w:val="single"/>
        </w:rPr>
        <w:t>渝广梁忠公司网络安全服务</w:t>
      </w:r>
      <w:r>
        <w:rPr>
          <w:rFonts w:ascii="宋体" w:hAnsi="宋体"/>
          <w:color w:val="auto"/>
          <w:sz w:val="24"/>
        </w:rPr>
        <w:t>竞争性比选响应文件、签订合同和处理有关事宜，其法律后果由我方承担。</w:t>
      </w:r>
    </w:p>
    <w:p>
      <w:pPr>
        <w:spacing w:line="440" w:lineRule="exact"/>
        <w:rPr>
          <w:rFonts w:ascii="宋体" w:hAnsi="宋体"/>
          <w:color w:val="auto"/>
          <w:sz w:val="24"/>
        </w:rPr>
      </w:pPr>
      <w:r>
        <w:rPr>
          <w:rFonts w:ascii="宋体" w:hAnsi="宋体"/>
          <w:color w:val="auto"/>
          <w:sz w:val="24"/>
        </w:rPr>
        <w:t>委托期限：</w:t>
      </w:r>
      <w:r>
        <w:rPr>
          <w:rFonts w:ascii="宋体" w:hAnsi="宋体"/>
          <w:color w:val="auto"/>
          <w:sz w:val="24"/>
          <w:u w:val="single"/>
        </w:rPr>
        <w:t xml:space="preserve">                       </w:t>
      </w:r>
      <w:r>
        <w:rPr>
          <w:rFonts w:ascii="宋体" w:hAnsi="宋体"/>
          <w:color w:val="auto"/>
          <w:sz w:val="24"/>
        </w:rPr>
        <w:t>。</w:t>
      </w:r>
    </w:p>
    <w:p>
      <w:pPr>
        <w:spacing w:line="440" w:lineRule="exact"/>
        <w:ind w:firstLine="486" w:firstLineChars="200"/>
        <w:rPr>
          <w:rFonts w:ascii="宋体" w:hAnsi="宋体"/>
          <w:color w:val="auto"/>
          <w:sz w:val="24"/>
        </w:rPr>
      </w:pPr>
      <w:r>
        <w:rPr>
          <w:rFonts w:ascii="宋体" w:hAnsi="宋体"/>
          <w:color w:val="auto"/>
          <w:sz w:val="24"/>
        </w:rPr>
        <w:t>代理人无转委托权。</w:t>
      </w:r>
    </w:p>
    <w:p>
      <w:pPr>
        <w:spacing w:line="440" w:lineRule="exact"/>
        <w:ind w:firstLine="486" w:firstLineChars="200"/>
        <w:rPr>
          <w:rFonts w:ascii="宋体" w:hAnsi="宋体"/>
          <w:color w:val="auto"/>
          <w:sz w:val="24"/>
        </w:rPr>
      </w:pPr>
    </w:p>
    <w:p>
      <w:pPr>
        <w:spacing w:line="440" w:lineRule="exact"/>
        <w:rPr>
          <w:rFonts w:ascii="宋体" w:hAnsi="宋体"/>
          <w:color w:val="auto"/>
          <w:sz w:val="24"/>
        </w:rPr>
      </w:pPr>
      <w:r>
        <w:rPr>
          <w:rFonts w:ascii="宋体" w:hAnsi="宋体"/>
          <w:color w:val="auto"/>
          <w:sz w:val="24"/>
        </w:rPr>
        <w:t>附：法定代表人身份证复印件及委托代理人身份证复印件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报  价</w:t>
      </w:r>
      <w:r>
        <w:rPr>
          <w:rFonts w:ascii="宋体" w:hAnsi="宋体"/>
          <w:color w:val="auto"/>
          <w:sz w:val="24"/>
        </w:rPr>
        <w:t xml:space="preserve">  人：</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rPr>
        <w:t>（</w:t>
      </w:r>
      <w:r>
        <w:rPr>
          <w:rFonts w:hint="eastAsia" w:ascii="宋体" w:hAnsi="宋体"/>
          <w:color w:val="auto"/>
          <w:sz w:val="24"/>
        </w:rPr>
        <w:t>盖</w:t>
      </w:r>
      <w:r>
        <w:rPr>
          <w:rFonts w:ascii="宋体" w:hAnsi="宋体"/>
          <w:color w:val="auto"/>
          <w:sz w:val="24"/>
        </w:rPr>
        <w:t>单位</w:t>
      </w:r>
      <w:r>
        <w:rPr>
          <w:rFonts w:hint="eastAsia" w:ascii="宋体" w:hAnsi="宋体"/>
          <w:color w:val="auto"/>
          <w:sz w:val="24"/>
        </w:rPr>
        <w:t>鲜</w:t>
      </w:r>
      <w:r>
        <w:rPr>
          <w:rFonts w:ascii="宋体" w:hAnsi="宋体"/>
          <w:color w:val="auto"/>
          <w:sz w:val="24"/>
        </w:rPr>
        <w:t>公章）</w:t>
      </w:r>
    </w:p>
    <w:p>
      <w:pPr>
        <w:spacing w:line="440" w:lineRule="exact"/>
        <w:jc w:val="left"/>
        <w:rPr>
          <w:rFonts w:ascii="宋体" w:hAnsi="宋体"/>
          <w:color w:val="auto"/>
          <w:sz w:val="24"/>
        </w:rPr>
      </w:pPr>
      <w:r>
        <w:rPr>
          <w:rFonts w:ascii="宋体" w:hAnsi="宋体"/>
          <w:color w:val="auto"/>
          <w:sz w:val="24"/>
        </w:rPr>
        <w:t>法定代表人：</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ab/>
      </w:r>
      <w:r>
        <w:rPr>
          <w:rFonts w:ascii="宋体" w:hAnsi="宋体"/>
          <w:color w:val="auto"/>
          <w:sz w:val="24"/>
        </w:rPr>
        <w:t>（签字</w:t>
      </w:r>
      <w:r>
        <w:rPr>
          <w:rFonts w:hint="eastAsia" w:ascii="宋体" w:hAnsi="宋体"/>
          <w:color w:val="auto"/>
          <w:sz w:val="24"/>
        </w:rPr>
        <w:t xml:space="preserve"> </w:t>
      </w:r>
      <w:r>
        <w:rPr>
          <w:rFonts w:ascii="宋体" w:hAnsi="宋体"/>
          <w:color w:val="auto"/>
          <w:sz w:val="24"/>
        </w:rPr>
        <w:t>）</w:t>
      </w:r>
    </w:p>
    <w:p>
      <w:pPr>
        <w:spacing w:line="440" w:lineRule="exact"/>
        <w:rPr>
          <w:rFonts w:ascii="宋体" w:hAnsi="宋体"/>
          <w:color w:val="auto"/>
          <w:sz w:val="24"/>
        </w:rPr>
      </w:pPr>
      <w:r>
        <w:rPr>
          <w:rFonts w:ascii="宋体" w:hAnsi="宋体"/>
          <w:color w:val="auto"/>
          <w:sz w:val="24"/>
        </w:rPr>
        <w:t>身份证号码：</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p>
    <w:p>
      <w:pPr>
        <w:spacing w:line="440" w:lineRule="exact"/>
        <w:rPr>
          <w:rFonts w:ascii="宋体" w:hAnsi="宋体"/>
          <w:color w:val="auto"/>
          <w:sz w:val="24"/>
        </w:rPr>
      </w:pPr>
      <w:r>
        <w:rPr>
          <w:rFonts w:ascii="宋体" w:hAnsi="宋体"/>
          <w:color w:val="auto"/>
          <w:sz w:val="24"/>
        </w:rPr>
        <w:t>委托代理人：</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rPr>
        <w:t>（签字）</w:t>
      </w:r>
    </w:p>
    <w:p>
      <w:pPr>
        <w:spacing w:line="440" w:lineRule="exact"/>
        <w:rPr>
          <w:rFonts w:ascii="宋体" w:hAnsi="宋体"/>
          <w:color w:val="auto"/>
          <w:sz w:val="24"/>
        </w:rPr>
      </w:pPr>
      <w:r>
        <w:rPr>
          <w:rFonts w:ascii="宋体" w:hAnsi="宋体"/>
          <w:color w:val="auto"/>
          <w:sz w:val="24"/>
        </w:rPr>
        <w:t>身份证号码：</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p>
    <w:p>
      <w:pPr>
        <w:spacing w:line="440" w:lineRule="exact"/>
        <w:ind w:firstLine="3114" w:firstLineChars="1282"/>
        <w:rPr>
          <w:rFonts w:ascii="宋体" w:hAnsi="宋体"/>
          <w:color w:val="auto"/>
          <w:sz w:val="24"/>
        </w:rPr>
      </w:pPr>
    </w:p>
    <w:p>
      <w:pPr>
        <w:spacing w:line="440" w:lineRule="exact"/>
        <w:ind w:firstLine="4693" w:firstLineChars="1932"/>
        <w:jc w:val="right"/>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rPr>
          <w:color w:val="auto"/>
          <w:sz w:val="24"/>
        </w:rPr>
      </w:pPr>
    </w:p>
    <w:p>
      <w:pPr>
        <w:rPr>
          <w:rFonts w:ascii="宋体" w:hAnsi="宋体"/>
          <w:color w:val="auto"/>
          <w:sz w:val="24"/>
        </w:rPr>
      </w:pPr>
    </w:p>
    <w:p>
      <w:pPr>
        <w:spacing w:line="440" w:lineRule="exact"/>
        <w:rPr>
          <w:rFonts w:ascii="宋体" w:hAnsi="宋体"/>
          <w:color w:val="auto"/>
          <w:sz w:val="24"/>
        </w:rPr>
      </w:pPr>
      <w:r>
        <w:rPr>
          <w:rFonts w:ascii="宋体" w:hAnsi="宋体"/>
          <w:bCs/>
          <w:color w:val="auto"/>
          <w:sz w:val="24"/>
        </w:rPr>
        <w:t>注：本授权委托书需由报价人加盖单位</w:t>
      </w:r>
      <w:r>
        <w:rPr>
          <w:rFonts w:hint="eastAsia" w:ascii="宋体" w:hAnsi="宋体"/>
          <w:bCs/>
          <w:color w:val="auto"/>
          <w:sz w:val="24"/>
        </w:rPr>
        <w:t>鲜</w:t>
      </w:r>
      <w:r>
        <w:rPr>
          <w:rFonts w:ascii="宋体" w:hAnsi="宋体"/>
          <w:bCs/>
          <w:color w:val="auto"/>
          <w:sz w:val="24"/>
        </w:rPr>
        <w:t>公章并由其法定代表人和委托代理人签字。</w:t>
      </w:r>
    </w:p>
    <w:p>
      <w:pPr>
        <w:pStyle w:val="14"/>
        <w:rPr>
          <w:color w:val="auto"/>
        </w:rPr>
      </w:pPr>
      <w:r>
        <w:rPr>
          <w:rFonts w:ascii="宋体" w:hAnsi="宋体"/>
          <w:color w:val="auto"/>
        </w:rPr>
        <w:br w:type="page"/>
      </w:r>
      <w:r>
        <w:rPr>
          <w:rFonts w:hint="eastAsia"/>
          <w:color w:val="auto"/>
        </w:rPr>
        <w:t>三、报价一览表</w:t>
      </w:r>
    </w:p>
    <w:p>
      <w:pPr>
        <w:pStyle w:val="13"/>
        <w:ind w:firstLine="486" w:firstLineChars="200"/>
        <w:jc w:val="both"/>
        <w:rPr>
          <w:rFonts w:hAnsi="宋体"/>
          <w:color w:val="auto"/>
        </w:rPr>
      </w:pPr>
      <w:r>
        <w:rPr>
          <w:rFonts w:hint="eastAsia" w:hAnsi="宋体"/>
          <w:color w:val="auto"/>
        </w:rPr>
        <w:t>重庆首讯科技股份有限公司：</w:t>
      </w:r>
    </w:p>
    <w:p>
      <w:pPr>
        <w:spacing w:line="360" w:lineRule="auto"/>
        <w:ind w:firstLine="486" w:firstLineChars="200"/>
        <w:jc w:val="left"/>
        <w:rPr>
          <w:rFonts w:ascii="宋体" w:hAnsi="宋体"/>
          <w:color w:val="auto"/>
          <w:sz w:val="24"/>
        </w:rPr>
      </w:pPr>
      <w:r>
        <w:rPr>
          <w:rFonts w:hint="eastAsia" w:ascii="宋体" w:hAnsi="宋体"/>
          <w:color w:val="auto"/>
          <w:sz w:val="24"/>
        </w:rPr>
        <w:t>在研究了竞争性比选文件中所有文件后，我司对</w:t>
      </w:r>
      <w:r>
        <w:rPr>
          <w:rFonts w:hint="eastAsia" w:ascii="宋体" w:hAnsi="宋体"/>
          <w:color w:val="auto"/>
          <w:sz w:val="24"/>
          <w:u w:val="single"/>
        </w:rPr>
        <w:t>渝广梁忠公司网络安全服务</w:t>
      </w:r>
      <w:r>
        <w:rPr>
          <w:rFonts w:hint="eastAsia" w:ascii="宋体" w:hAnsi="宋体"/>
          <w:color w:val="auto"/>
          <w:sz w:val="24"/>
        </w:rPr>
        <w:t>竞争性比选响应报价如下：</w:t>
      </w:r>
    </w:p>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报价一览表</w:t>
      </w:r>
    </w:p>
    <w:p>
      <w:pPr>
        <w:pStyle w:val="7"/>
        <w:rPr>
          <w:rFonts w:ascii="宋体" w:hAnsi="宋体"/>
          <w:color w:val="auto"/>
          <w:sz w:val="24"/>
        </w:rPr>
      </w:pPr>
    </w:p>
    <w:tbl>
      <w:tblPr>
        <w:tblStyle w:val="35"/>
        <w:tblW w:w="964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01"/>
        <w:gridCol w:w="3203"/>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服务单位及路段</w:t>
            </w:r>
          </w:p>
        </w:tc>
        <w:tc>
          <w:tcPr>
            <w:tcW w:w="3786"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渝广梁忠公司（渝广路）</w:t>
            </w:r>
          </w:p>
        </w:tc>
        <w:tc>
          <w:tcPr>
            <w:tcW w:w="3786" w:type="dxa"/>
            <w:vMerge w:val="restart"/>
            <w:vAlign w:val="center"/>
          </w:tcPr>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收费网、视频网、监控网、办公网相关信息系统及基础设施的网络安全服务，详见下表。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渝广梁忠公司（梁忠路）</w:t>
            </w:r>
          </w:p>
        </w:tc>
        <w:tc>
          <w:tcPr>
            <w:tcW w:w="3786" w:type="dxa"/>
            <w:vMerge w:val="continue"/>
            <w:vAlign w:val="center"/>
          </w:tcPr>
          <w:p>
            <w:pPr>
              <w:spacing w:line="360" w:lineRule="auto"/>
              <w:jc w:val="center"/>
              <w:rPr>
                <w:rFonts w:asciiTheme="minorEastAsia" w:hAnsiTheme="minorEastAsia" w:eastAsiaTheme="minorEastAsia" w:cs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w:t>
            </w:r>
          </w:p>
        </w:tc>
        <w:tc>
          <w:tcPr>
            <w:tcW w:w="1801" w:type="dxa"/>
            <w:vAlign w:val="center"/>
          </w:tcPr>
          <w:p>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报价（元）</w:t>
            </w:r>
          </w:p>
        </w:tc>
        <w:tc>
          <w:tcPr>
            <w:tcW w:w="3203" w:type="dxa"/>
            <w:vAlign w:val="center"/>
          </w:tcPr>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大写：</w:t>
            </w:r>
            <w:r>
              <w:rPr>
                <w:rFonts w:asciiTheme="minorEastAsia" w:hAnsiTheme="minorEastAsia" w:eastAsiaTheme="minorEastAsia" w:cstheme="minorEastAsia"/>
                <w:b/>
                <w:bCs/>
                <w:color w:val="auto"/>
                <w:sz w:val="24"/>
              </w:rPr>
              <w:t xml:space="preserve"> </w:t>
            </w:r>
          </w:p>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小写：</w:t>
            </w:r>
          </w:p>
        </w:tc>
        <w:tc>
          <w:tcPr>
            <w:tcW w:w="3786" w:type="dxa"/>
            <w:vAlign w:val="center"/>
          </w:tcPr>
          <w:p>
            <w:pPr>
              <w:spacing w:line="360" w:lineRule="auto"/>
              <w:jc w:val="center"/>
              <w:rPr>
                <w:rFonts w:asciiTheme="minorEastAsia" w:hAnsiTheme="minorEastAsia" w:eastAsiaTheme="minorEastAsia" w:cstheme="minorEastAsia"/>
                <w:b/>
                <w:bCs/>
                <w:color w:val="auto"/>
                <w:sz w:val="24"/>
              </w:rPr>
            </w:pPr>
          </w:p>
        </w:tc>
      </w:tr>
    </w:tbl>
    <w:p>
      <w:pPr>
        <w:rPr>
          <w:color w:val="auto"/>
        </w:rPr>
      </w:pPr>
    </w:p>
    <w:p>
      <w:pPr>
        <w:rPr>
          <w:color w:val="auto"/>
        </w:rPr>
      </w:pPr>
    </w:p>
    <w:p>
      <w:pPr>
        <w:spacing w:line="360" w:lineRule="auto"/>
        <w:ind w:firstLine="486" w:firstLineChars="200"/>
        <w:jc w:val="left"/>
        <w:rPr>
          <w:rFonts w:ascii="宋体" w:hAnsi="宋体"/>
          <w:color w:val="auto"/>
          <w:sz w:val="24"/>
        </w:rPr>
      </w:pPr>
    </w:p>
    <w:p>
      <w:pPr>
        <w:tabs>
          <w:tab w:val="left" w:pos="900"/>
        </w:tabs>
        <w:spacing w:line="360" w:lineRule="auto"/>
        <w:ind w:firstLine="486" w:firstLineChars="200"/>
        <w:rPr>
          <w:rFonts w:ascii="Arial" w:hAnsi="Arial" w:cs="Arial"/>
          <w:b/>
          <w:color w:val="auto"/>
          <w:sz w:val="24"/>
        </w:rPr>
      </w:pPr>
    </w:p>
    <w:p>
      <w:pPr>
        <w:tabs>
          <w:tab w:val="left" w:pos="900"/>
        </w:tabs>
        <w:spacing w:line="360" w:lineRule="auto"/>
        <w:ind w:firstLine="486" w:firstLineChars="200"/>
        <w:rPr>
          <w:rFonts w:ascii="Arial" w:hAnsi="Arial" w:cs="Arial"/>
          <w:color w:val="auto"/>
          <w:sz w:val="24"/>
          <w:u w:val="single"/>
        </w:rPr>
      </w:pPr>
      <w:r>
        <w:rPr>
          <w:rFonts w:hint="eastAsia" w:ascii="Arial" w:hAnsi="Arial" w:cs="Arial"/>
          <w:b/>
          <w:color w:val="auto"/>
          <w:sz w:val="24"/>
        </w:rPr>
        <w:t>报价人名称（加盖公章）：</w:t>
      </w:r>
      <w:r>
        <w:rPr>
          <w:rFonts w:ascii="Arial" w:hAnsi="Arial" w:cs="Arial"/>
          <w:b/>
          <w:color w:val="auto"/>
          <w:sz w:val="24"/>
          <w:u w:val="single"/>
        </w:rPr>
        <w:t xml:space="preserve"> </w:t>
      </w:r>
      <w:r>
        <w:rPr>
          <w:rFonts w:ascii="Arial" w:hAnsi="Arial" w:cs="Arial"/>
          <w:color w:val="auto"/>
          <w:sz w:val="24"/>
          <w:u w:val="single"/>
        </w:rPr>
        <w:t xml:space="preserve">                       </w:t>
      </w:r>
    </w:p>
    <w:p>
      <w:pPr>
        <w:tabs>
          <w:tab w:val="left" w:pos="900"/>
        </w:tabs>
        <w:spacing w:line="360" w:lineRule="auto"/>
        <w:ind w:firstLine="486" w:firstLineChars="200"/>
        <w:rPr>
          <w:rFonts w:ascii="Arial" w:hAnsi="Arial" w:cs="Arial"/>
          <w:b/>
          <w:color w:val="auto"/>
          <w:sz w:val="24"/>
        </w:rPr>
      </w:pPr>
      <w:r>
        <w:rPr>
          <w:rFonts w:hint="eastAsia" w:ascii="Arial" w:hAnsi="Arial" w:cs="Arial"/>
          <w:b/>
          <w:color w:val="auto"/>
          <w:sz w:val="24"/>
        </w:rPr>
        <w:t>报价人法定代表人或授权代表人（签字）：</w:t>
      </w:r>
      <w:r>
        <w:rPr>
          <w:rFonts w:ascii="Arial" w:hAnsi="Arial" w:cs="Arial"/>
          <w:b/>
          <w:color w:val="auto"/>
          <w:sz w:val="24"/>
          <w:u w:val="single"/>
        </w:rPr>
        <w:t xml:space="preserve">               </w:t>
      </w:r>
    </w:p>
    <w:p>
      <w:pPr>
        <w:tabs>
          <w:tab w:val="left" w:pos="900"/>
        </w:tabs>
        <w:spacing w:line="360" w:lineRule="auto"/>
        <w:ind w:firstLine="486" w:firstLineChars="200"/>
        <w:rPr>
          <w:rFonts w:ascii="Arial" w:hAnsi="Arial" w:cs="Arial"/>
          <w:color w:val="auto"/>
          <w:sz w:val="24"/>
        </w:rPr>
      </w:pPr>
      <w:r>
        <w:rPr>
          <w:rFonts w:hint="eastAsia" w:ascii="Arial" w:hAnsi="Arial" w:cs="Arial"/>
          <w:color w:val="auto"/>
          <w:sz w:val="24"/>
        </w:rPr>
        <w:t>日期：</w:t>
      </w:r>
      <w:r>
        <w:rPr>
          <w:rFonts w:hint="eastAsia" w:ascii="Arial" w:hAnsi="Arial" w:cs="Arial"/>
          <w:color w:val="auto"/>
          <w:sz w:val="24"/>
          <w:u w:val="single"/>
        </w:rPr>
        <w:t xml:space="preserve">     </w:t>
      </w:r>
      <w:r>
        <w:rPr>
          <w:rFonts w:hint="eastAsia" w:ascii="Arial" w:hAnsi="Arial" w:cs="Arial"/>
          <w:color w:val="auto"/>
          <w:sz w:val="24"/>
        </w:rPr>
        <w:t>年</w:t>
      </w:r>
      <w:r>
        <w:rPr>
          <w:rFonts w:ascii="Arial" w:hAnsi="Arial" w:cs="Arial"/>
          <w:color w:val="auto"/>
          <w:sz w:val="24"/>
          <w:u w:val="single"/>
        </w:rPr>
        <w:t xml:space="preserve">      </w:t>
      </w:r>
      <w:r>
        <w:rPr>
          <w:rFonts w:hint="eastAsia" w:ascii="Arial" w:hAnsi="Arial" w:cs="Arial"/>
          <w:color w:val="auto"/>
          <w:sz w:val="24"/>
        </w:rPr>
        <w:t>月</w:t>
      </w:r>
      <w:r>
        <w:rPr>
          <w:rFonts w:ascii="Arial" w:hAnsi="Arial" w:cs="Arial"/>
          <w:color w:val="auto"/>
          <w:sz w:val="24"/>
          <w:u w:val="single"/>
        </w:rPr>
        <w:t xml:space="preserve">    </w:t>
      </w:r>
      <w:r>
        <w:rPr>
          <w:rFonts w:hint="eastAsia" w:ascii="Arial" w:hAnsi="Arial" w:cs="Arial"/>
          <w:color w:val="auto"/>
          <w:sz w:val="24"/>
          <w:u w:val="single"/>
        </w:rPr>
        <w:t xml:space="preserve">  </w:t>
      </w:r>
      <w:r>
        <w:rPr>
          <w:rFonts w:hint="eastAsia" w:ascii="Arial" w:hAnsi="Arial" w:cs="Arial"/>
          <w:color w:val="auto"/>
          <w:sz w:val="24"/>
        </w:rPr>
        <w:t>日</w:t>
      </w:r>
      <w:r>
        <w:rPr>
          <w:rFonts w:ascii="Arial" w:hAnsi="Arial" w:cs="Arial"/>
          <w:color w:val="auto"/>
          <w:sz w:val="24"/>
        </w:rPr>
        <w:t xml:space="preserve"> </w:t>
      </w:r>
    </w:p>
    <w:p>
      <w:pPr>
        <w:pStyle w:val="14"/>
        <w:rPr>
          <w:b w:val="0"/>
          <w:color w:val="auto"/>
          <w:sz w:val="24"/>
        </w:rPr>
      </w:pPr>
      <w:r>
        <w:rPr>
          <w:b w:val="0"/>
          <w:color w:val="auto"/>
          <w:sz w:val="24"/>
        </w:rPr>
        <w:br w:type="page"/>
      </w:r>
    </w:p>
    <w:p>
      <w:pPr>
        <w:widowControl/>
        <w:jc w:val="center"/>
        <w:rPr>
          <w:rFonts w:ascii="Cambria" w:hAnsi="Cambria"/>
          <w:b/>
          <w:bCs/>
          <w:color w:val="auto"/>
          <w:sz w:val="32"/>
          <w:szCs w:val="32"/>
        </w:rPr>
      </w:pPr>
      <w:r>
        <w:rPr>
          <w:rFonts w:hint="eastAsia" w:ascii="Cambria" w:hAnsi="Cambria"/>
          <w:b/>
          <w:bCs/>
          <w:color w:val="auto"/>
          <w:sz w:val="32"/>
          <w:szCs w:val="32"/>
        </w:rPr>
        <w:t>四、资格要求材料</w:t>
      </w:r>
    </w:p>
    <w:p>
      <w:pPr>
        <w:spacing w:line="360" w:lineRule="auto"/>
        <w:rPr>
          <w:rFonts w:ascii="宋体" w:hAnsi="宋体" w:cs="宋体"/>
          <w:color w:val="auto"/>
          <w:sz w:val="24"/>
          <w:szCs w:val="28"/>
        </w:rPr>
      </w:pPr>
    </w:p>
    <w:p>
      <w:pPr>
        <w:spacing w:line="360" w:lineRule="auto"/>
        <w:rPr>
          <w:rFonts w:ascii="宋体" w:hAnsi="宋体" w:cs="宋体"/>
          <w:b/>
          <w:bCs/>
          <w:color w:val="auto"/>
          <w:sz w:val="24"/>
          <w:szCs w:val="28"/>
        </w:rPr>
      </w:pPr>
      <w:r>
        <w:rPr>
          <w:rFonts w:hint="eastAsia" w:ascii="宋体" w:hAnsi="宋体" w:cs="宋体"/>
          <w:b/>
          <w:bCs/>
          <w:color w:val="auto"/>
          <w:sz w:val="24"/>
          <w:szCs w:val="28"/>
        </w:rPr>
        <w:t>（一）资格条件</w:t>
      </w:r>
    </w:p>
    <w:p>
      <w:pPr>
        <w:spacing w:line="360" w:lineRule="auto"/>
        <w:ind w:firstLine="486" w:firstLineChars="200"/>
        <w:rPr>
          <w:color w:val="auto"/>
          <w:sz w:val="24"/>
          <w:szCs w:val="28"/>
        </w:rPr>
      </w:pPr>
      <w:r>
        <w:rPr>
          <w:rFonts w:hint="eastAsia"/>
          <w:color w:val="auto"/>
          <w:sz w:val="24"/>
          <w:szCs w:val="28"/>
        </w:rPr>
        <w:t>1．具有独立法人资格，具有有效的营业执照；</w:t>
      </w:r>
    </w:p>
    <w:p>
      <w:pPr>
        <w:spacing w:line="360" w:lineRule="auto"/>
        <w:ind w:firstLine="486" w:firstLineChars="200"/>
        <w:rPr>
          <w:color w:val="auto"/>
          <w:sz w:val="24"/>
          <w:szCs w:val="28"/>
        </w:rPr>
      </w:pPr>
      <w:r>
        <w:rPr>
          <w:rFonts w:hint="eastAsia"/>
          <w:color w:val="auto"/>
          <w:sz w:val="24"/>
          <w:szCs w:val="28"/>
        </w:rPr>
        <w:t>2.具备有效的《质量管理体系认证证书》（ISO9001）</w:t>
      </w:r>
    </w:p>
    <w:p>
      <w:pPr>
        <w:spacing w:line="360" w:lineRule="auto"/>
        <w:ind w:firstLine="486" w:firstLineChars="200"/>
        <w:rPr>
          <w:color w:val="auto"/>
          <w:sz w:val="24"/>
          <w:szCs w:val="28"/>
        </w:rPr>
      </w:pPr>
      <w:r>
        <w:rPr>
          <w:rFonts w:hint="eastAsia"/>
          <w:color w:val="auto"/>
          <w:sz w:val="24"/>
          <w:szCs w:val="28"/>
        </w:rPr>
        <w:t>3.具备中国信息安全测评中心颁发的有效的《信息安全服务资质认证证书》安全工程类一级及以上的资质。</w:t>
      </w:r>
    </w:p>
    <w:p>
      <w:pPr>
        <w:spacing w:line="360" w:lineRule="auto"/>
        <w:ind w:firstLine="486" w:firstLineChars="200"/>
        <w:rPr>
          <w:color w:val="auto"/>
          <w:sz w:val="24"/>
          <w:szCs w:val="28"/>
        </w:rPr>
      </w:pPr>
      <w:r>
        <w:rPr>
          <w:rFonts w:hint="eastAsia"/>
          <w:color w:val="auto"/>
          <w:sz w:val="24"/>
          <w:szCs w:val="28"/>
        </w:rPr>
        <w:t>4．信誉良好：在国家企业信用信息公示系统（http://www.gsxt.gov.cn/）中未被列入严重违法失信企业名单（黑名单）信息；在“信用中国”网站（http://www.creditchina.gov.cn/）中未被列入失信惩戒执行人名单；</w:t>
      </w:r>
    </w:p>
    <w:p>
      <w:pPr>
        <w:spacing w:line="360" w:lineRule="auto"/>
        <w:ind w:firstLine="486" w:firstLineChars="200"/>
        <w:rPr>
          <w:b/>
          <w:bCs/>
          <w:color w:val="auto"/>
          <w:sz w:val="24"/>
          <w:szCs w:val="28"/>
        </w:rPr>
      </w:pPr>
      <w:r>
        <w:rPr>
          <w:rFonts w:hint="eastAsia"/>
          <w:b/>
          <w:bCs/>
          <w:color w:val="auto"/>
          <w:sz w:val="24"/>
          <w:szCs w:val="28"/>
        </w:rPr>
        <w:t>说明：本项目安全服务内容均需要安全服务提供商提供原厂服务，如代理商投标，则需要提供安全服务提供商原厂出具对此项目的授权函、原厂技术支持及售后服务承诺函，从而代表安全服务提供商参与本项目。</w:t>
      </w:r>
    </w:p>
    <w:p>
      <w:pPr>
        <w:spacing w:line="360" w:lineRule="auto"/>
        <w:ind w:firstLine="486" w:firstLineChars="200"/>
        <w:rPr>
          <w:rFonts w:ascii="宋体" w:hAnsi="宋体" w:cs="宋体"/>
          <w:b/>
          <w:bCs/>
          <w:color w:val="auto"/>
          <w:sz w:val="24"/>
          <w:szCs w:val="28"/>
        </w:rPr>
      </w:pPr>
      <w:r>
        <w:rPr>
          <w:rFonts w:hint="eastAsia" w:ascii="宋体" w:hAnsi="宋体" w:cs="宋体"/>
          <w:b/>
          <w:bCs/>
          <w:color w:val="auto"/>
          <w:sz w:val="24"/>
          <w:szCs w:val="28"/>
        </w:rPr>
        <w:t>注：提供以上营业执照、资质证书复印件，网站查询结果截图。</w:t>
      </w:r>
    </w:p>
    <w:p>
      <w:pPr>
        <w:widowControl/>
        <w:jc w:val="left"/>
        <w:rPr>
          <w:rFonts w:ascii="宋体" w:hAnsi="宋体" w:cs="宋体"/>
          <w:b/>
          <w:bCs/>
          <w:color w:val="auto"/>
          <w:sz w:val="24"/>
          <w:szCs w:val="28"/>
        </w:rPr>
      </w:pPr>
      <w:r>
        <w:rPr>
          <w:rFonts w:ascii="宋体" w:hAnsi="宋体" w:cs="宋体"/>
          <w:b/>
          <w:bCs/>
          <w:color w:val="auto"/>
          <w:sz w:val="24"/>
          <w:szCs w:val="28"/>
        </w:rPr>
        <w:br w:type="page"/>
      </w:r>
    </w:p>
    <w:p>
      <w:pPr>
        <w:pStyle w:val="5"/>
        <w:jc w:val="center"/>
        <w:rPr>
          <w:color w:val="auto"/>
          <w:sz w:val="24"/>
          <w:szCs w:val="24"/>
        </w:rPr>
      </w:pPr>
      <w:bookmarkStart w:id="97" w:name="_GoBack"/>
      <w:bookmarkEnd w:id="97"/>
      <w:r>
        <w:rPr>
          <w:rFonts w:hint="eastAsia"/>
          <w:color w:val="auto"/>
          <w:sz w:val="24"/>
          <w:szCs w:val="24"/>
        </w:rPr>
        <w:t>（二）技术方案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jc w:val="left"/>
        <w:rPr>
          <w:color w:val="auto"/>
        </w:rPr>
      </w:pPr>
      <w:r>
        <w:rPr>
          <w:color w:val="auto"/>
        </w:rPr>
        <w:br w:type="page"/>
      </w:r>
    </w:p>
    <w:p>
      <w:pPr>
        <w:pStyle w:val="14"/>
        <w:rPr>
          <w:rFonts w:ascii="宋体" w:hAnsi="宋体" w:cs="宋体"/>
          <w:color w:val="auto"/>
          <w:sz w:val="44"/>
          <w:szCs w:val="44"/>
        </w:rPr>
      </w:pPr>
      <w:r>
        <w:rPr>
          <w:rFonts w:hint="eastAsia"/>
          <w:color w:val="auto"/>
        </w:rPr>
        <w:t>五、承诺书</w:t>
      </w:r>
    </w:p>
    <w:p>
      <w:pPr>
        <w:spacing w:line="360" w:lineRule="auto"/>
        <w:ind w:firstLine="486" w:firstLineChars="200"/>
        <w:rPr>
          <w:rFonts w:ascii="宋体" w:hAnsi="宋体" w:cs="宋体"/>
          <w:color w:val="auto"/>
          <w:sz w:val="24"/>
          <w:szCs w:val="28"/>
        </w:rPr>
      </w:pPr>
      <w:r>
        <w:rPr>
          <w:rFonts w:hint="eastAsia" w:ascii="宋体" w:hAnsi="宋体" w:cs="宋体"/>
          <w:color w:val="auto"/>
          <w:sz w:val="24"/>
          <w:szCs w:val="28"/>
        </w:rPr>
        <w:t>我公司郑重承诺：</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 xml:space="preserve">第一条：保密信息 </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本合同中所指的保密</w:t>
      </w:r>
      <w:bookmarkStart w:id="96" w:name="OLE_LINK1"/>
      <w:r>
        <w:rPr>
          <w:rFonts w:ascii="宋体" w:hAnsi="宋体" w:cs="宋体"/>
          <w:color w:val="auto"/>
          <w:sz w:val="24"/>
          <w:szCs w:val="28"/>
        </w:rPr>
        <w:t>信息</w:t>
      </w:r>
      <w:bookmarkEnd w:id="96"/>
      <w:r>
        <w:rPr>
          <w:rFonts w:ascii="宋体" w:hAnsi="宋体" w:cs="宋体"/>
          <w:color w:val="auto"/>
          <w:sz w:val="24"/>
          <w:szCs w:val="28"/>
        </w:rPr>
        <w:t>包括了</w:t>
      </w:r>
      <w:r>
        <w:rPr>
          <w:rFonts w:hint="eastAsia" w:ascii="宋体" w:hAnsi="宋体" w:cs="宋体"/>
          <w:color w:val="auto"/>
          <w:sz w:val="24"/>
          <w:szCs w:val="28"/>
        </w:rPr>
        <w:t>任何一</w:t>
      </w:r>
      <w:r>
        <w:rPr>
          <w:rFonts w:ascii="宋体" w:hAnsi="宋体" w:cs="宋体"/>
          <w:color w:val="auto"/>
          <w:sz w:val="24"/>
          <w:szCs w:val="28"/>
        </w:rPr>
        <w:t>方在方案决定前期以及实施过程</w:t>
      </w:r>
      <w:r>
        <w:rPr>
          <w:rFonts w:hint="eastAsia" w:ascii="宋体" w:hAnsi="宋体" w:cs="宋体"/>
          <w:color w:val="auto"/>
          <w:sz w:val="24"/>
          <w:szCs w:val="28"/>
        </w:rPr>
        <w:t>中</w:t>
      </w:r>
      <w:r>
        <w:rPr>
          <w:rFonts w:ascii="宋体" w:hAnsi="宋体" w:cs="宋体"/>
          <w:color w:val="auto"/>
          <w:sz w:val="24"/>
          <w:szCs w:val="28"/>
        </w:rPr>
        <w:t>向</w:t>
      </w:r>
      <w:r>
        <w:rPr>
          <w:rFonts w:hint="eastAsia" w:ascii="宋体" w:hAnsi="宋体" w:cs="宋体"/>
          <w:color w:val="auto"/>
          <w:sz w:val="24"/>
          <w:szCs w:val="28"/>
        </w:rPr>
        <w:t>对</w:t>
      </w:r>
      <w:r>
        <w:rPr>
          <w:rFonts w:ascii="宋体" w:hAnsi="宋体" w:cs="宋体"/>
          <w:color w:val="auto"/>
          <w:sz w:val="24"/>
          <w:szCs w:val="28"/>
        </w:rPr>
        <w:t>方提供的任何技术上、商业上或贸易上的具有经济价值的以书面、口头或任何其他方式提供给对方的所有非公开资料。</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第二条：保密处理方法</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在本项目执行过程中，任何一方在未获对方书面同意的条件下，不得将从任何一方获得的保密信息泄露给第三方。任何一方不得将保密信息利用于与本项目无关的任何方面。获得信息的任何一方只能向有必要知道保密信息的双方雇员透露，并且仅透露相关必要内容。</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依据此条款，双方需要与知道保密信息的雇员同时签</w:t>
      </w:r>
      <w:r>
        <w:rPr>
          <w:rFonts w:hint="eastAsia" w:ascii="宋体" w:hAnsi="宋体" w:cs="宋体"/>
          <w:color w:val="auto"/>
          <w:sz w:val="24"/>
          <w:szCs w:val="28"/>
        </w:rPr>
        <w:t>订</w:t>
      </w:r>
      <w:r>
        <w:rPr>
          <w:rFonts w:ascii="宋体" w:hAnsi="宋体" w:cs="宋体"/>
          <w:color w:val="auto"/>
          <w:sz w:val="24"/>
          <w:szCs w:val="28"/>
        </w:rPr>
        <w:t>保密合同。如果一方雇员违反此合同，向未经授权的第三方泄露保密信息或者把保密信息用于执行项目以外的用途，雇主同雇员需要承担连带责任。</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第三条：被迫公开</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如果一方由于法律要求被迫公开对方的保密信息，则应该及时通知对方，使得对方能与作出法定强制行为的机构进行协商处理。</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 xml:space="preserve">第四条：协商内容 </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 xml:space="preserve">除了法律要求或得到对方书面许可外，任何一方讨论或谈判都在双方之间进行，任何一方不得向任何个人或团体透露双方讨论、协商的任何内容，以及条件和条款中涉及符合保密要求的内容。 </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第五条：条款期限和终止</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如果双方无法达成该项目的合意合同，此合同将自动终止。在此种情况下，根据本合同规定所提供的所有书面或有形的数据或拷贝都仍属于各自双方自用的产权</w:t>
      </w:r>
      <w:r>
        <w:rPr>
          <w:rFonts w:hint="eastAsia" w:ascii="宋体" w:hAnsi="宋体" w:cs="宋体"/>
          <w:color w:val="auto"/>
          <w:sz w:val="24"/>
          <w:szCs w:val="28"/>
        </w:rPr>
        <w:t>，</w:t>
      </w:r>
      <w:r>
        <w:rPr>
          <w:rFonts w:ascii="宋体" w:hAnsi="宋体" w:cs="宋体"/>
          <w:color w:val="auto"/>
          <w:sz w:val="24"/>
          <w:szCs w:val="28"/>
        </w:rPr>
        <w:t>并且相关书面或有形的数据或拷贝必须及时退回给对方或者根据对方的书面意见由自方销毁。然而，尽管合同终止，在合同中关于保密义务是永久性的，除非上述保密信息已成为公知信息。</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第六条：更改</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本合同在没有双方书面签字的情况下不得修改或调整。本合同由双方共同执行，文件由双方共同制订并各自约束。</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第七条：违约识别与责任承担</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任何一方违反保密义务泄露对方保密信息的，</w:t>
      </w:r>
      <w:r>
        <w:rPr>
          <w:rFonts w:hint="eastAsia" w:ascii="宋体" w:hAnsi="宋体" w:cs="宋体"/>
          <w:color w:val="auto"/>
          <w:sz w:val="24"/>
          <w:szCs w:val="28"/>
        </w:rPr>
        <w:t>应向对方支付</w:t>
      </w:r>
      <w:r>
        <w:rPr>
          <w:rFonts w:ascii="宋体" w:hAnsi="宋体" w:cs="宋体"/>
          <w:color w:val="auto"/>
          <w:sz w:val="24"/>
          <w:szCs w:val="28"/>
        </w:rPr>
        <w:t>违约金</w:t>
      </w:r>
      <w:r>
        <w:rPr>
          <w:rFonts w:hint="eastAsia" w:ascii="宋体" w:hAnsi="宋体" w:cs="宋体"/>
          <w:color w:val="auto"/>
          <w:sz w:val="24"/>
          <w:szCs w:val="28"/>
        </w:rPr>
        <w:t>壹万</w:t>
      </w:r>
      <w:r>
        <w:rPr>
          <w:rFonts w:ascii="宋体" w:hAnsi="宋体" w:cs="宋体"/>
          <w:color w:val="auto"/>
          <w:sz w:val="24"/>
          <w:szCs w:val="28"/>
        </w:rPr>
        <w:t>元人民币</w:t>
      </w:r>
      <w:r>
        <w:rPr>
          <w:rFonts w:hint="eastAsia" w:ascii="宋体" w:hAnsi="宋体" w:cs="宋体"/>
          <w:color w:val="auto"/>
          <w:sz w:val="24"/>
          <w:szCs w:val="28"/>
        </w:rPr>
        <w:t>；</w:t>
      </w:r>
      <w:r>
        <w:rPr>
          <w:rFonts w:ascii="宋体" w:hAnsi="宋体" w:cs="宋体"/>
          <w:color w:val="auto"/>
          <w:sz w:val="24"/>
          <w:szCs w:val="28"/>
        </w:rPr>
        <w:t>若因此给对方造成的损失超过违约金金额的</w:t>
      </w:r>
      <w:r>
        <w:rPr>
          <w:rFonts w:hint="eastAsia" w:ascii="宋体" w:hAnsi="宋体" w:cs="宋体"/>
          <w:color w:val="auto"/>
          <w:sz w:val="24"/>
          <w:szCs w:val="28"/>
        </w:rPr>
        <w:t>，</w:t>
      </w:r>
      <w:r>
        <w:rPr>
          <w:rFonts w:ascii="宋体" w:hAnsi="宋体" w:cs="宋体"/>
          <w:color w:val="auto"/>
          <w:sz w:val="24"/>
          <w:szCs w:val="28"/>
        </w:rPr>
        <w:t>违约方还应就差额承担赔偿</w:t>
      </w:r>
      <w:r>
        <w:rPr>
          <w:rFonts w:hint="eastAsia" w:ascii="宋体" w:hAnsi="宋体" w:cs="宋体"/>
          <w:color w:val="auto"/>
          <w:sz w:val="24"/>
          <w:szCs w:val="28"/>
        </w:rPr>
        <w:t>。前述损失包括但不限于实际损失、可得利益损失，对第三方承担的赔偿，因主张权利支出的律师费、调查费、诉讼费等。任何一方违反保密义务的的，对方亦有权立即解除合同。</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任何一方不得因对方的违约或侵权行为而泄露对方的保密信息。</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第八条：管辖</w:t>
      </w:r>
    </w:p>
    <w:p>
      <w:pPr>
        <w:spacing w:line="360" w:lineRule="auto"/>
        <w:ind w:firstLine="486" w:firstLineChars="200"/>
        <w:jc w:val="left"/>
        <w:rPr>
          <w:rFonts w:ascii="宋体" w:hAnsi="宋体" w:cs="宋体"/>
          <w:color w:val="auto"/>
          <w:sz w:val="24"/>
          <w:szCs w:val="28"/>
        </w:rPr>
      </w:pPr>
      <w:r>
        <w:rPr>
          <w:rFonts w:hint="eastAsia" w:ascii="宋体" w:hAnsi="宋体" w:cs="宋体"/>
          <w:color w:val="auto"/>
          <w:sz w:val="24"/>
          <w:szCs w:val="28"/>
        </w:rPr>
        <w:t>双方应尽最大努力友好协商解决与合同或与合同执行有关所产生的任何争议。如果未能友好解决，双方可向乙方所在地有管辖权的人民法院提起诉讼。</w:t>
      </w:r>
    </w:p>
    <w:p>
      <w:pPr>
        <w:spacing w:line="360" w:lineRule="auto"/>
        <w:ind w:firstLine="486" w:firstLineChars="200"/>
        <w:jc w:val="right"/>
        <w:rPr>
          <w:rFonts w:ascii="宋体" w:hAnsi="宋体" w:cs="宋体"/>
          <w:color w:val="auto"/>
          <w:sz w:val="24"/>
          <w:szCs w:val="28"/>
        </w:rPr>
      </w:pPr>
    </w:p>
    <w:p>
      <w:pPr>
        <w:tabs>
          <w:tab w:val="left" w:pos="900"/>
        </w:tabs>
        <w:spacing w:line="360" w:lineRule="auto"/>
        <w:ind w:firstLine="486" w:firstLineChars="200"/>
        <w:rPr>
          <w:rFonts w:ascii="Arial" w:hAnsi="Arial" w:cs="Arial"/>
          <w:color w:val="auto"/>
          <w:sz w:val="24"/>
          <w:u w:val="single"/>
        </w:rPr>
      </w:pPr>
      <w:r>
        <w:rPr>
          <w:rFonts w:hint="eastAsia" w:ascii="Arial" w:hAnsi="Arial" w:cs="Arial"/>
          <w:b/>
          <w:color w:val="auto"/>
          <w:sz w:val="24"/>
        </w:rPr>
        <w:t>报价人名称（加盖公章）：</w:t>
      </w:r>
      <w:r>
        <w:rPr>
          <w:rFonts w:ascii="Arial" w:hAnsi="Arial" w:cs="Arial"/>
          <w:b/>
          <w:color w:val="auto"/>
          <w:sz w:val="24"/>
        </w:rPr>
        <w:t xml:space="preserve">  </w:t>
      </w:r>
      <w:r>
        <w:rPr>
          <w:rFonts w:ascii="Arial" w:hAnsi="Arial" w:cs="Arial"/>
          <w:b/>
          <w:color w:val="auto"/>
          <w:sz w:val="24"/>
          <w:u w:val="single"/>
        </w:rPr>
        <w:t xml:space="preserve"> </w:t>
      </w:r>
      <w:r>
        <w:rPr>
          <w:rFonts w:ascii="Arial" w:hAnsi="Arial" w:cs="Arial"/>
          <w:color w:val="auto"/>
          <w:sz w:val="24"/>
          <w:u w:val="single"/>
        </w:rPr>
        <w:t xml:space="preserve">                       </w:t>
      </w:r>
    </w:p>
    <w:p>
      <w:pPr>
        <w:tabs>
          <w:tab w:val="left" w:pos="900"/>
        </w:tabs>
        <w:spacing w:line="360" w:lineRule="auto"/>
        <w:ind w:firstLine="486" w:firstLineChars="200"/>
        <w:rPr>
          <w:rFonts w:ascii="Arial" w:hAnsi="Arial" w:cs="Arial"/>
          <w:b/>
          <w:color w:val="auto"/>
          <w:sz w:val="24"/>
        </w:rPr>
      </w:pPr>
      <w:r>
        <w:rPr>
          <w:rFonts w:hint="eastAsia" w:ascii="Arial" w:hAnsi="Arial" w:cs="Arial"/>
          <w:b/>
          <w:color w:val="auto"/>
          <w:sz w:val="24"/>
        </w:rPr>
        <w:t>报价人法定代表人或授权代表人（签字）：</w:t>
      </w:r>
      <w:r>
        <w:rPr>
          <w:rFonts w:ascii="Arial" w:hAnsi="Arial" w:cs="Arial"/>
          <w:b/>
          <w:color w:val="auto"/>
          <w:sz w:val="24"/>
          <w:u w:val="single"/>
        </w:rPr>
        <w:t xml:space="preserve">               </w:t>
      </w:r>
    </w:p>
    <w:p>
      <w:pPr>
        <w:tabs>
          <w:tab w:val="left" w:pos="900"/>
        </w:tabs>
        <w:spacing w:line="360" w:lineRule="auto"/>
        <w:ind w:firstLine="486" w:firstLineChars="200"/>
        <w:rPr>
          <w:rFonts w:ascii="Arial" w:hAnsi="Arial" w:cs="Arial"/>
          <w:color w:val="auto"/>
          <w:sz w:val="24"/>
        </w:rPr>
      </w:pPr>
      <w:r>
        <w:rPr>
          <w:rFonts w:hint="eastAsia" w:ascii="Arial" w:hAnsi="Arial" w:cs="Arial"/>
          <w:color w:val="auto"/>
          <w:sz w:val="24"/>
        </w:rPr>
        <w:t>日期：</w:t>
      </w:r>
      <w:r>
        <w:rPr>
          <w:rFonts w:hint="eastAsia" w:ascii="Arial" w:hAnsi="Arial" w:cs="Arial"/>
          <w:color w:val="auto"/>
          <w:sz w:val="24"/>
          <w:u w:val="single"/>
        </w:rPr>
        <w:t xml:space="preserve">     </w:t>
      </w:r>
      <w:r>
        <w:rPr>
          <w:rFonts w:hint="eastAsia" w:ascii="Arial" w:hAnsi="Arial" w:cs="Arial"/>
          <w:color w:val="auto"/>
          <w:sz w:val="24"/>
        </w:rPr>
        <w:t>年</w:t>
      </w:r>
      <w:r>
        <w:rPr>
          <w:rFonts w:ascii="Arial" w:hAnsi="Arial" w:cs="Arial"/>
          <w:color w:val="auto"/>
          <w:sz w:val="24"/>
          <w:u w:val="single"/>
        </w:rPr>
        <w:t xml:space="preserve">      </w:t>
      </w:r>
      <w:r>
        <w:rPr>
          <w:rFonts w:hint="eastAsia" w:ascii="Arial" w:hAnsi="Arial" w:cs="Arial"/>
          <w:color w:val="auto"/>
          <w:sz w:val="24"/>
        </w:rPr>
        <w:t>月</w:t>
      </w:r>
      <w:r>
        <w:rPr>
          <w:rFonts w:ascii="Arial" w:hAnsi="Arial" w:cs="Arial"/>
          <w:color w:val="auto"/>
          <w:sz w:val="24"/>
          <w:u w:val="single"/>
        </w:rPr>
        <w:t xml:space="preserve">    </w:t>
      </w:r>
      <w:r>
        <w:rPr>
          <w:rFonts w:hint="eastAsia" w:ascii="Arial" w:hAnsi="Arial" w:cs="Arial"/>
          <w:color w:val="auto"/>
          <w:sz w:val="24"/>
          <w:u w:val="single"/>
        </w:rPr>
        <w:t xml:space="preserve">  </w:t>
      </w:r>
      <w:r>
        <w:rPr>
          <w:rFonts w:hint="eastAsia" w:ascii="Arial" w:hAnsi="Arial" w:cs="Arial"/>
          <w:color w:val="auto"/>
          <w:sz w:val="24"/>
        </w:rPr>
        <w:t>日</w:t>
      </w:r>
      <w:r>
        <w:rPr>
          <w:rFonts w:ascii="Arial" w:hAnsi="Arial" w:cs="Arial"/>
          <w:color w:val="auto"/>
          <w:sz w:val="24"/>
        </w:rPr>
        <w:t xml:space="preserve"> </w:t>
      </w:r>
    </w:p>
    <w:p>
      <w:pPr>
        <w:pStyle w:val="2"/>
        <w:rPr>
          <w:color w:val="auto"/>
        </w:rPr>
      </w:pPr>
    </w:p>
    <w:p>
      <w:pPr>
        <w:rPr>
          <w:color w:val="auto"/>
        </w:rPr>
      </w:pPr>
    </w:p>
    <w:p>
      <w:pPr>
        <w:spacing w:line="360" w:lineRule="auto"/>
        <w:ind w:firstLine="486" w:firstLineChars="200"/>
        <w:jc w:val="right"/>
        <w:rPr>
          <w:color w:val="auto"/>
        </w:rPr>
      </w:pPr>
      <w:r>
        <w:rPr>
          <w:rFonts w:ascii="宋体" w:hAnsi="宋体" w:cs="宋体"/>
          <w:color w:val="auto"/>
          <w:sz w:val="24"/>
          <w:szCs w:val="28"/>
        </w:rPr>
        <w:br w:type="page"/>
      </w:r>
    </w:p>
    <w:p>
      <w:pPr>
        <w:pStyle w:val="14"/>
        <w:rPr>
          <w:color w:val="auto"/>
        </w:rPr>
      </w:pPr>
      <w:r>
        <w:rPr>
          <w:rFonts w:hint="eastAsia"/>
          <w:color w:val="auto"/>
        </w:rPr>
        <w:t>六、其他材料</w:t>
      </w:r>
    </w:p>
    <w:p>
      <w:pPr>
        <w:spacing w:line="360" w:lineRule="auto"/>
        <w:ind w:firstLine="486" w:firstLineChars="200"/>
        <w:rPr>
          <w:rFonts w:ascii="宋体" w:hAnsi="宋体" w:cs="宋体"/>
          <w:color w:val="auto"/>
          <w:sz w:val="24"/>
          <w:szCs w:val="28"/>
        </w:rPr>
      </w:pPr>
    </w:p>
    <w:p>
      <w:pPr>
        <w:rPr>
          <w:color w:val="auto"/>
        </w:rPr>
      </w:pPr>
    </w:p>
    <w:sectPr>
      <w:footerReference r:id="rId5" w:type="default"/>
      <w:pgSz w:w="11906" w:h="16838"/>
      <w:pgMar w:top="1440" w:right="1274" w:bottom="1440" w:left="1418" w:header="851" w:footer="992" w:gutter="0"/>
      <w:pgNumType w:start="1"/>
      <w:cols w:space="720" w:num="1"/>
      <w:docGrid w:type="linesAndChars" w:linePitch="317"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22</w:t>
    </w:r>
    <w:r>
      <w:rPr>
        <w:b/>
        <w:sz w:val="21"/>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ECAD0"/>
    <w:multiLevelType w:val="singleLevel"/>
    <w:tmpl w:val="604ECAD0"/>
    <w:lvl w:ilvl="0" w:tentative="0">
      <w:start w:val="2"/>
      <w:numFmt w:val="decimal"/>
      <w:suff w:val="nothing"/>
      <w:lvlText w:val="%1."/>
      <w:lvlJc w:val="left"/>
    </w:lvl>
  </w:abstractNum>
  <w:abstractNum w:abstractNumId="1">
    <w:nsid w:val="60E7B8B1"/>
    <w:multiLevelType w:val="singleLevel"/>
    <w:tmpl w:val="60E7B8B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D3"/>
    <w:rsid w:val="000170AF"/>
    <w:rsid w:val="00047E3E"/>
    <w:rsid w:val="00053747"/>
    <w:rsid w:val="000A5A19"/>
    <w:rsid w:val="000B16A2"/>
    <w:rsid w:val="000C38DA"/>
    <w:rsid w:val="001137F5"/>
    <w:rsid w:val="00135F0C"/>
    <w:rsid w:val="00143E4F"/>
    <w:rsid w:val="00187D20"/>
    <w:rsid w:val="001973FC"/>
    <w:rsid w:val="001B0E2A"/>
    <w:rsid w:val="001B1F73"/>
    <w:rsid w:val="001B3A56"/>
    <w:rsid w:val="001B6AF8"/>
    <w:rsid w:val="001F0AE5"/>
    <w:rsid w:val="00212C30"/>
    <w:rsid w:val="00217FA0"/>
    <w:rsid w:val="002252DA"/>
    <w:rsid w:val="00256F4B"/>
    <w:rsid w:val="00296769"/>
    <w:rsid w:val="002B1EC8"/>
    <w:rsid w:val="002B7539"/>
    <w:rsid w:val="002C1A46"/>
    <w:rsid w:val="002C714C"/>
    <w:rsid w:val="002E3462"/>
    <w:rsid w:val="00306D62"/>
    <w:rsid w:val="00332C78"/>
    <w:rsid w:val="0036153C"/>
    <w:rsid w:val="00361E78"/>
    <w:rsid w:val="00396E79"/>
    <w:rsid w:val="003A1210"/>
    <w:rsid w:val="003B13F0"/>
    <w:rsid w:val="003B2144"/>
    <w:rsid w:val="003F70D1"/>
    <w:rsid w:val="00444DCF"/>
    <w:rsid w:val="0045406D"/>
    <w:rsid w:val="004B1BAE"/>
    <w:rsid w:val="004E3919"/>
    <w:rsid w:val="00500639"/>
    <w:rsid w:val="00502CE7"/>
    <w:rsid w:val="005073F6"/>
    <w:rsid w:val="00553590"/>
    <w:rsid w:val="00557CB5"/>
    <w:rsid w:val="00565EB0"/>
    <w:rsid w:val="00567446"/>
    <w:rsid w:val="0058789F"/>
    <w:rsid w:val="005D29E8"/>
    <w:rsid w:val="005D3FA4"/>
    <w:rsid w:val="006229F7"/>
    <w:rsid w:val="00660430"/>
    <w:rsid w:val="00665E55"/>
    <w:rsid w:val="00670829"/>
    <w:rsid w:val="00673AD8"/>
    <w:rsid w:val="00695D76"/>
    <w:rsid w:val="006B4543"/>
    <w:rsid w:val="006C33D7"/>
    <w:rsid w:val="006F406B"/>
    <w:rsid w:val="006F5778"/>
    <w:rsid w:val="007119F9"/>
    <w:rsid w:val="00716AB6"/>
    <w:rsid w:val="0075479A"/>
    <w:rsid w:val="00760315"/>
    <w:rsid w:val="0076105A"/>
    <w:rsid w:val="0076351B"/>
    <w:rsid w:val="007873C6"/>
    <w:rsid w:val="00791A92"/>
    <w:rsid w:val="00797D28"/>
    <w:rsid w:val="007A108B"/>
    <w:rsid w:val="007A26D8"/>
    <w:rsid w:val="007D089F"/>
    <w:rsid w:val="007D0DAB"/>
    <w:rsid w:val="008025A2"/>
    <w:rsid w:val="00830735"/>
    <w:rsid w:val="0085082E"/>
    <w:rsid w:val="00851AD9"/>
    <w:rsid w:val="00853D29"/>
    <w:rsid w:val="008549CD"/>
    <w:rsid w:val="00882B69"/>
    <w:rsid w:val="00887BEC"/>
    <w:rsid w:val="00890980"/>
    <w:rsid w:val="008941E1"/>
    <w:rsid w:val="008A4C26"/>
    <w:rsid w:val="008D5138"/>
    <w:rsid w:val="008D6890"/>
    <w:rsid w:val="009000AB"/>
    <w:rsid w:val="009542D8"/>
    <w:rsid w:val="00956042"/>
    <w:rsid w:val="0098219F"/>
    <w:rsid w:val="00983ED2"/>
    <w:rsid w:val="009840B5"/>
    <w:rsid w:val="0099629E"/>
    <w:rsid w:val="009C74EE"/>
    <w:rsid w:val="009C7BF2"/>
    <w:rsid w:val="009E1361"/>
    <w:rsid w:val="009F3428"/>
    <w:rsid w:val="00A02618"/>
    <w:rsid w:val="00A05D9C"/>
    <w:rsid w:val="00A45A3C"/>
    <w:rsid w:val="00A636C1"/>
    <w:rsid w:val="00A84E00"/>
    <w:rsid w:val="00A8782D"/>
    <w:rsid w:val="00AA1CF2"/>
    <w:rsid w:val="00AB3A04"/>
    <w:rsid w:val="00AB5FD3"/>
    <w:rsid w:val="00AC0A12"/>
    <w:rsid w:val="00AD5647"/>
    <w:rsid w:val="00AE0D83"/>
    <w:rsid w:val="00AE2114"/>
    <w:rsid w:val="00AF63F7"/>
    <w:rsid w:val="00B3615B"/>
    <w:rsid w:val="00B40537"/>
    <w:rsid w:val="00B56F1C"/>
    <w:rsid w:val="00B67EBD"/>
    <w:rsid w:val="00B94E0E"/>
    <w:rsid w:val="00BB5F18"/>
    <w:rsid w:val="00BC20A9"/>
    <w:rsid w:val="00BD087D"/>
    <w:rsid w:val="00BF01B4"/>
    <w:rsid w:val="00C33C91"/>
    <w:rsid w:val="00C33D73"/>
    <w:rsid w:val="00C34518"/>
    <w:rsid w:val="00C84BA1"/>
    <w:rsid w:val="00CC4206"/>
    <w:rsid w:val="00CC4F07"/>
    <w:rsid w:val="00CE60B1"/>
    <w:rsid w:val="00D67598"/>
    <w:rsid w:val="00D67D90"/>
    <w:rsid w:val="00D710E8"/>
    <w:rsid w:val="00D804BB"/>
    <w:rsid w:val="00D806B7"/>
    <w:rsid w:val="00DB7CA1"/>
    <w:rsid w:val="00DD3971"/>
    <w:rsid w:val="00DE12DE"/>
    <w:rsid w:val="00DE329A"/>
    <w:rsid w:val="00E2177E"/>
    <w:rsid w:val="00E24D8F"/>
    <w:rsid w:val="00E31908"/>
    <w:rsid w:val="00E54177"/>
    <w:rsid w:val="00E651F9"/>
    <w:rsid w:val="00E65E6C"/>
    <w:rsid w:val="00E77200"/>
    <w:rsid w:val="00E7781A"/>
    <w:rsid w:val="00E805EF"/>
    <w:rsid w:val="00E86ED7"/>
    <w:rsid w:val="00EA61B3"/>
    <w:rsid w:val="00EB71B9"/>
    <w:rsid w:val="00EE34AB"/>
    <w:rsid w:val="00F05739"/>
    <w:rsid w:val="00F4772E"/>
    <w:rsid w:val="00F47D3B"/>
    <w:rsid w:val="00F51514"/>
    <w:rsid w:val="00F839ED"/>
    <w:rsid w:val="00F87B03"/>
    <w:rsid w:val="00F94301"/>
    <w:rsid w:val="00FD2D1E"/>
    <w:rsid w:val="00FE1ECD"/>
    <w:rsid w:val="01FE761B"/>
    <w:rsid w:val="02F9047E"/>
    <w:rsid w:val="048727E8"/>
    <w:rsid w:val="05267384"/>
    <w:rsid w:val="060B1092"/>
    <w:rsid w:val="06774181"/>
    <w:rsid w:val="068565C2"/>
    <w:rsid w:val="09273780"/>
    <w:rsid w:val="0B1C0A69"/>
    <w:rsid w:val="0BC5061B"/>
    <w:rsid w:val="0D8E3DEF"/>
    <w:rsid w:val="14C37206"/>
    <w:rsid w:val="1B534B8F"/>
    <w:rsid w:val="1BD31DF0"/>
    <w:rsid w:val="1CEB4526"/>
    <w:rsid w:val="1DA6688B"/>
    <w:rsid w:val="1E7B4662"/>
    <w:rsid w:val="1FBD11EF"/>
    <w:rsid w:val="202C579E"/>
    <w:rsid w:val="207254F7"/>
    <w:rsid w:val="214B061E"/>
    <w:rsid w:val="22E8783A"/>
    <w:rsid w:val="26461C8B"/>
    <w:rsid w:val="267C3DA0"/>
    <w:rsid w:val="26CC7F12"/>
    <w:rsid w:val="27224189"/>
    <w:rsid w:val="28944033"/>
    <w:rsid w:val="2A893E03"/>
    <w:rsid w:val="2B0E7679"/>
    <w:rsid w:val="2CA75C5D"/>
    <w:rsid w:val="2DC75262"/>
    <w:rsid w:val="2E0E3741"/>
    <w:rsid w:val="31BE68A9"/>
    <w:rsid w:val="324F64A1"/>
    <w:rsid w:val="32F90E42"/>
    <w:rsid w:val="346557FB"/>
    <w:rsid w:val="374D2FAB"/>
    <w:rsid w:val="37BA600D"/>
    <w:rsid w:val="3861785A"/>
    <w:rsid w:val="3A6E7B4A"/>
    <w:rsid w:val="3E6732EE"/>
    <w:rsid w:val="3F602707"/>
    <w:rsid w:val="42911529"/>
    <w:rsid w:val="46A541AB"/>
    <w:rsid w:val="4E681D8A"/>
    <w:rsid w:val="4EA6046E"/>
    <w:rsid w:val="51944F62"/>
    <w:rsid w:val="54FF4158"/>
    <w:rsid w:val="56B75168"/>
    <w:rsid w:val="5AAC1011"/>
    <w:rsid w:val="5CA371A4"/>
    <w:rsid w:val="5D496ADA"/>
    <w:rsid w:val="5D560EC4"/>
    <w:rsid w:val="5E97143B"/>
    <w:rsid w:val="60E81E47"/>
    <w:rsid w:val="61F213D3"/>
    <w:rsid w:val="63D635C4"/>
    <w:rsid w:val="661D19E1"/>
    <w:rsid w:val="681024F1"/>
    <w:rsid w:val="6B250AE6"/>
    <w:rsid w:val="6CD5065E"/>
    <w:rsid w:val="6D342A32"/>
    <w:rsid w:val="6E8369E8"/>
    <w:rsid w:val="6F0E3290"/>
    <w:rsid w:val="737A42CF"/>
    <w:rsid w:val="755A2E50"/>
    <w:rsid w:val="756D1B58"/>
    <w:rsid w:val="758E27C6"/>
    <w:rsid w:val="77CD74C6"/>
    <w:rsid w:val="79176F93"/>
    <w:rsid w:val="7A8916E4"/>
    <w:rsid w:val="7AAD1B2A"/>
    <w:rsid w:val="7AF30E31"/>
    <w:rsid w:val="7B9759EE"/>
    <w:rsid w:val="7EFD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annotation text"/>
    <w:basedOn w:val="1"/>
    <w:link w:val="24"/>
    <w:qFormat/>
    <w:uiPriority w:val="99"/>
    <w:pPr>
      <w:jc w:val="left"/>
    </w:pPr>
  </w:style>
  <w:style w:type="paragraph" w:styleId="7">
    <w:name w:val="Body Text"/>
    <w:basedOn w:val="1"/>
    <w:next w:val="1"/>
    <w:qFormat/>
    <w:uiPriority w:val="0"/>
    <w:pPr>
      <w:spacing w:after="120"/>
    </w:pPr>
  </w:style>
  <w:style w:type="paragraph" w:styleId="8">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9">
    <w:name w:val="Body Text Indent 2"/>
    <w:basedOn w:val="1"/>
    <w:qFormat/>
    <w:uiPriority w:val="0"/>
    <w:pPr>
      <w:widowControl/>
      <w:spacing w:line="480" w:lineRule="auto"/>
      <w:ind w:firstLine="560"/>
      <w:jc w:val="left"/>
    </w:pPr>
    <w:rPr>
      <w:sz w:val="28"/>
    </w:rPr>
  </w:style>
  <w:style w:type="paragraph" w:styleId="10">
    <w:name w:val="Balloon Text"/>
    <w:basedOn w:val="1"/>
    <w:link w:val="26"/>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semiHidden/>
    <w:qFormat/>
    <w:uiPriority w:val="0"/>
    <w:pPr>
      <w:spacing w:line="360" w:lineRule="auto"/>
      <w:jc w:val="center"/>
    </w:pPr>
    <w:rPr>
      <w:rFonts w:ascii="宋体" w:hAnsi="Arial" w:cs="Arial"/>
      <w:b/>
      <w:color w:val="000000"/>
      <w:sz w:val="24"/>
    </w:rPr>
  </w:style>
  <w:style w:type="paragraph" w:styleId="14">
    <w:name w:val="Title"/>
    <w:basedOn w:val="1"/>
    <w:next w:val="1"/>
    <w:qFormat/>
    <w:uiPriority w:val="10"/>
    <w:pPr>
      <w:spacing w:before="240" w:after="60"/>
      <w:jc w:val="center"/>
      <w:outlineLvl w:val="0"/>
    </w:pPr>
    <w:rPr>
      <w:rFonts w:ascii="Cambria" w:hAnsi="Cambria"/>
      <w:b/>
      <w:bCs/>
      <w:sz w:val="32"/>
      <w:szCs w:val="32"/>
    </w:rPr>
  </w:style>
  <w:style w:type="paragraph" w:styleId="15">
    <w:name w:val="annotation subject"/>
    <w:basedOn w:val="6"/>
    <w:next w:val="6"/>
    <w:link w:val="25"/>
    <w:qFormat/>
    <w:uiPriority w:val="0"/>
    <w:rPr>
      <w:b/>
      <w:bCs/>
    </w:rPr>
  </w:style>
  <w:style w:type="paragraph" w:styleId="16">
    <w:name w:val="Body Text First Indent"/>
    <w:basedOn w:val="7"/>
    <w:qFormat/>
    <w:uiPriority w:val="0"/>
    <w:pPr>
      <w:adjustRightInd w:val="0"/>
      <w:spacing w:line="275" w:lineRule="atLeast"/>
      <w:ind w:firstLine="420"/>
      <w:textAlignment w:val="baseline"/>
    </w:pPr>
    <w:rPr>
      <w:rFonts w:ascii="宋体" w:eastAsia="楷体_GB2312"/>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99"/>
    <w:rPr>
      <w:rFonts w:cs="Times New Roman"/>
      <w:sz w:val="21"/>
    </w:rPr>
  </w:style>
  <w:style w:type="paragraph" w:customStyle="1" w:styleId="21">
    <w:name w:val="列表段落1"/>
    <w:basedOn w:val="1"/>
    <w:qFormat/>
    <w:uiPriority w:val="99"/>
    <w:pPr>
      <w:ind w:firstLine="420" w:firstLineChars="200"/>
    </w:pPr>
    <w:rPr>
      <w:rFonts w:asciiTheme="minorHAnsi" w:hAnsiTheme="minorHAnsi" w:eastAsiaTheme="minorEastAsia" w:cstheme="minorBidi"/>
    </w:rPr>
  </w:style>
  <w:style w:type="paragraph" w:customStyle="1" w:styleId="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
    <w:name w:val="Normal Paragraph"/>
    <w:basedOn w:val="1"/>
    <w:qFormat/>
    <w:uiPriority w:val="0"/>
    <w:pPr>
      <w:widowControl/>
      <w:spacing w:before="120"/>
      <w:ind w:firstLine="425"/>
    </w:pPr>
    <w:rPr>
      <w:kern w:val="0"/>
      <w:sz w:val="24"/>
    </w:rPr>
  </w:style>
  <w:style w:type="character" w:customStyle="1" w:styleId="24">
    <w:name w:val="批注文字 字符"/>
    <w:basedOn w:val="19"/>
    <w:link w:val="6"/>
    <w:qFormat/>
    <w:uiPriority w:val="99"/>
    <w:rPr>
      <w:kern w:val="2"/>
      <w:sz w:val="21"/>
      <w:szCs w:val="24"/>
    </w:rPr>
  </w:style>
  <w:style w:type="character" w:customStyle="1" w:styleId="25">
    <w:name w:val="批注主题 字符"/>
    <w:basedOn w:val="24"/>
    <w:link w:val="15"/>
    <w:qFormat/>
    <w:uiPriority w:val="0"/>
    <w:rPr>
      <w:b/>
      <w:bCs/>
      <w:kern w:val="2"/>
      <w:sz w:val="21"/>
      <w:szCs w:val="24"/>
    </w:rPr>
  </w:style>
  <w:style w:type="character" w:customStyle="1" w:styleId="26">
    <w:name w:val="批注框文本 字符"/>
    <w:basedOn w:val="19"/>
    <w:link w:val="10"/>
    <w:qFormat/>
    <w:uiPriority w:val="0"/>
    <w:rPr>
      <w:kern w:val="2"/>
      <w:sz w:val="18"/>
      <w:szCs w:val="18"/>
    </w:rPr>
  </w:style>
  <w:style w:type="paragraph" w:customStyle="1" w:styleId="27">
    <w:name w:val="符号列表"/>
    <w:basedOn w:val="1"/>
    <w:next w:val="21"/>
    <w:link w:val="28"/>
    <w:qFormat/>
    <w:uiPriority w:val="34"/>
    <w:pPr>
      <w:spacing w:beforeLines="50"/>
      <w:ind w:firstLine="420" w:firstLineChars="200"/>
    </w:pPr>
    <w:rPr>
      <w:rFonts w:ascii="Calibri" w:hAnsi="Calibri"/>
      <w:sz w:val="24"/>
      <w:szCs w:val="22"/>
      <w:lang w:val="zh-CN"/>
    </w:rPr>
  </w:style>
  <w:style w:type="character" w:customStyle="1" w:styleId="28">
    <w:name w:val="列出段落 Char"/>
    <w:link w:val="27"/>
    <w:qFormat/>
    <w:uiPriority w:val="34"/>
    <w:rPr>
      <w:rFonts w:ascii="Calibri" w:hAnsi="Calibri"/>
      <w:kern w:val="2"/>
      <w:sz w:val="24"/>
      <w:szCs w:val="22"/>
    </w:rPr>
  </w:style>
  <w:style w:type="paragraph" w:customStyle="1" w:styleId="29">
    <w:name w:val="font10"/>
    <w:basedOn w:val="1"/>
    <w:qFormat/>
    <w:uiPriority w:val="0"/>
    <w:pPr>
      <w:widowControl/>
      <w:spacing w:before="100" w:beforeAutospacing="1" w:after="100" w:afterAutospacing="1"/>
      <w:jc w:val="left"/>
    </w:pPr>
    <w:rPr>
      <w:kern w:val="0"/>
      <w:sz w:val="28"/>
      <w:szCs w:val="2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表格内正文，无编号"/>
    <w:basedOn w:val="1"/>
    <w:qFormat/>
    <w:uiPriority w:val="0"/>
    <w:pPr>
      <w:spacing w:line="400" w:lineRule="exact"/>
      <w:ind w:firstLine="643" w:firstLineChars="200"/>
    </w:pPr>
  </w:style>
  <w:style w:type="character" w:customStyle="1" w:styleId="32">
    <w:name w:val="font21"/>
    <w:qFormat/>
    <w:uiPriority w:val="0"/>
    <w:rPr>
      <w:rFonts w:hint="eastAsia" w:ascii="宋体" w:hAnsi="宋体" w:eastAsia="宋体" w:cs="宋体"/>
      <w:color w:val="000000"/>
      <w:sz w:val="21"/>
      <w:szCs w:val="21"/>
      <w:u w:val="none"/>
    </w:rPr>
  </w:style>
  <w:style w:type="paragraph" w:customStyle="1" w:styleId="33">
    <w:name w:val="表体"/>
    <w:basedOn w:val="1"/>
    <w:next w:val="1"/>
    <w:qFormat/>
    <w:uiPriority w:val="0"/>
    <w:pPr>
      <w:snapToGrid w:val="0"/>
      <w:spacing w:line="0" w:lineRule="atLeast"/>
    </w:pPr>
    <w:rPr>
      <w:b/>
      <w:szCs w:val="20"/>
    </w:rPr>
  </w:style>
  <w:style w:type="paragraph" w:customStyle="1" w:styleId="34">
    <w:name w:val="列表段落2"/>
    <w:basedOn w:val="1"/>
    <w:qFormat/>
    <w:uiPriority w:val="99"/>
    <w:pPr>
      <w:ind w:firstLine="420" w:firstLineChars="200"/>
    </w:pPr>
  </w:style>
  <w:style w:type="table" w:customStyle="1" w:styleId="35">
    <w:name w:val="网格型1"/>
    <w:basedOn w:val="1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311A5-D091-4D50-B68C-388AA9917048}">
  <ds:schemaRefs/>
</ds:datastoreItem>
</file>

<file path=docProps/app.xml><?xml version="1.0" encoding="utf-8"?>
<Properties xmlns="http://schemas.openxmlformats.org/officeDocument/2006/extended-properties" xmlns:vt="http://schemas.openxmlformats.org/officeDocument/2006/docPropsVTypes">
  <Template>Normal</Template>
  <Pages>25</Pages>
  <Words>1682</Words>
  <Characters>9589</Characters>
  <Lines>79</Lines>
  <Paragraphs>22</Paragraphs>
  <TotalTime>4</TotalTime>
  <ScaleCrop>false</ScaleCrop>
  <LinksUpToDate>false</LinksUpToDate>
  <CharactersWithSpaces>11249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2021-11-05T03:18:00Z</dcterms:created>
  <dc:creator>admin</dc:creator>
  <cp:lastModifiedBy>♂杰♂</cp:lastModifiedBy>
  <dcterms:modified xsi:type="dcterms:W3CDTF">2021-11-05T05:17:45Z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BE9E45CD3D044471A445CFF3864A604E</vt:lpwstr>
  </property>
</Properties>
</file>