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cs="Times New Roman"/>
          <w:b/>
          <w:color w:val="auto"/>
          <w:sz w:val="28"/>
          <w:szCs w:val="28"/>
          <w:highlight w:val="none"/>
          <w:lang w:val="en-US" w:eastAsia="zh-CN"/>
        </w:rPr>
        <w:t>重庆高速公路集团有限公司东北营运分公司2022-2024年桥梁维修加固设计项目中标候选人公示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18</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620"/>
        <w:gridCol w:w="1600"/>
        <w:gridCol w:w="1420"/>
        <w:gridCol w:w="1343"/>
        <w:gridCol w:w="867"/>
        <w:gridCol w:w="1530"/>
        <w:gridCol w:w="1780"/>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重庆高速公路集团有限公司东北营运分公司2022-2024年桥梁维修加固设计项目　</w:t>
            </w:r>
          </w:p>
        </w:tc>
        <w:tc>
          <w:tcPr>
            <w:tcW w:w="1530"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2212400</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FG2200160194B</w:t>
            </w:r>
          </w:p>
        </w:tc>
        <w:tc>
          <w:tcPr>
            <w:tcW w:w="15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5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113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重庆高速公路集团有限公司东北营运分公司</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023-58338358</w:t>
            </w:r>
          </w:p>
        </w:tc>
      </w:tr>
      <w:tr>
        <w:tblPrEx>
          <w:tblCellMar>
            <w:top w:w="0" w:type="dxa"/>
            <w:left w:w="108" w:type="dxa"/>
            <w:bottom w:w="0" w:type="dxa"/>
            <w:right w:w="108" w:type="dxa"/>
          </w:tblCellMar>
        </w:tblPrEx>
        <w:trPr>
          <w:trHeight w:val="7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default" w:ascii="Calibri" w:hAnsi="Calibri" w:eastAsia="宋体" w:cs="Calibri"/>
                <w:color w:val="000000"/>
                <w:kern w:val="0"/>
                <w:sz w:val="20"/>
                <w:szCs w:val="20"/>
              </w:rPr>
              <w:t>重庆招标采购（集团）有限责任公司</w:t>
            </w:r>
            <w:r>
              <w:rPr>
                <w:rFonts w:ascii="Calibri" w:hAnsi="Calibri" w:eastAsia="宋体" w:cs="Calibri"/>
                <w:color w:val="000000"/>
                <w:kern w:val="0"/>
                <w:sz w:val="20"/>
                <w:szCs w:val="20"/>
              </w:rPr>
              <w:t>　</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default" w:ascii="Calibri" w:hAnsi="Calibri" w:eastAsia="宋体" w:cs="Calibri"/>
                <w:color w:val="000000"/>
                <w:kern w:val="0"/>
                <w:sz w:val="20"/>
                <w:szCs w:val="20"/>
              </w:rPr>
              <w:t>023-67590752</w:t>
            </w:r>
          </w:p>
        </w:tc>
      </w:tr>
      <w:tr>
        <w:tblPrEx>
          <w:tblCellMar>
            <w:top w:w="0" w:type="dxa"/>
            <w:left w:w="108" w:type="dxa"/>
            <w:bottom w:w="0" w:type="dxa"/>
            <w:right w:w="108" w:type="dxa"/>
          </w:tblCellMar>
        </w:tblPrEx>
        <w:trPr>
          <w:trHeight w:val="69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343"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服务周期</w:t>
            </w:r>
          </w:p>
        </w:tc>
        <w:tc>
          <w:tcPr>
            <w:tcW w:w="86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331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项目负责人</w:t>
            </w:r>
          </w:p>
        </w:tc>
      </w:tr>
      <w:tr>
        <w:tblPrEx>
          <w:tblCellMar>
            <w:top w:w="0" w:type="dxa"/>
            <w:left w:w="108" w:type="dxa"/>
            <w:bottom w:w="0" w:type="dxa"/>
            <w:right w:w="108" w:type="dxa"/>
          </w:tblCellMar>
        </w:tblPrEx>
        <w:trPr>
          <w:trHeight w:val="69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6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职称</w:t>
            </w:r>
          </w:p>
        </w:tc>
      </w:tr>
      <w:tr>
        <w:tblPrEx>
          <w:tblCellMar>
            <w:top w:w="0" w:type="dxa"/>
            <w:left w:w="108" w:type="dxa"/>
            <w:bottom w:w="0" w:type="dxa"/>
            <w:right w:w="108" w:type="dxa"/>
          </w:tblCellMar>
        </w:tblPrEx>
        <w:trPr>
          <w:trHeight w:val="71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招商局重庆交通科研设计院有限公司</w:t>
            </w:r>
          </w:p>
        </w:tc>
        <w:tc>
          <w:tcPr>
            <w:tcW w:w="142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2150500.00</w:t>
            </w:r>
          </w:p>
        </w:tc>
        <w:tc>
          <w:tcPr>
            <w:tcW w:w="1343" w:type="dxa"/>
            <w:vMerge w:val="restart"/>
            <w:tcBorders>
              <w:top w:val="single" w:color="auto" w:sz="4" w:space="0"/>
              <w:left w:val="nil"/>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3 年（具体以招标人发布的任务通知书为</w:t>
            </w:r>
          </w:p>
          <w:p>
            <w:pPr>
              <w:widowControl/>
              <w:jc w:val="left"/>
              <w:rPr>
                <w:rFonts w:ascii="Calibri" w:hAnsi="Calibri" w:eastAsia="宋体" w:cs="Calibri"/>
                <w:color w:val="000000"/>
                <w:kern w:val="0"/>
                <w:sz w:val="18"/>
                <w:szCs w:val="18"/>
              </w:rPr>
            </w:pPr>
            <w:r>
              <w:rPr>
                <w:rFonts w:hint="default" w:ascii="Calibri" w:hAnsi="Calibri" w:eastAsia="宋体" w:cs="Calibri"/>
                <w:color w:val="000000"/>
                <w:kern w:val="0"/>
                <w:sz w:val="18"/>
                <w:szCs w:val="18"/>
              </w:rPr>
              <w:t>准。</w:t>
            </w:r>
          </w:p>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p>
        </w:tc>
        <w:tc>
          <w:tcPr>
            <w:tcW w:w="867" w:type="dxa"/>
            <w:vMerge w:val="restart"/>
            <w:tcBorders>
              <w:top w:val="single" w:color="auto" w:sz="4" w:space="0"/>
              <w:left w:val="nil"/>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lang w:val="en-GB"/>
              </w:rPr>
            </w:pPr>
            <w:r>
              <w:rPr>
                <w:rFonts w:hint="default" w:ascii="Calibri" w:hAnsi="Calibri" w:eastAsia="宋体" w:cs="Calibri"/>
                <w:color w:val="000000"/>
                <w:kern w:val="0"/>
                <w:sz w:val="18"/>
                <w:szCs w:val="18"/>
                <w:lang w:val="en-GB"/>
              </w:rPr>
              <w:t>满足国家和行业现行</w:t>
            </w:r>
          </w:p>
          <w:p>
            <w:pPr>
              <w:widowControl/>
              <w:jc w:val="left"/>
              <w:rPr>
                <w:rFonts w:hint="eastAsia" w:ascii="Calibri" w:hAnsi="Calibri" w:eastAsia="宋体" w:cs="Calibri"/>
                <w:color w:val="000000"/>
                <w:kern w:val="0"/>
                <w:sz w:val="18"/>
                <w:szCs w:val="18"/>
                <w:lang w:eastAsia="zh-CN"/>
              </w:rPr>
            </w:pPr>
            <w:r>
              <w:rPr>
                <w:rFonts w:hint="default" w:ascii="Calibri" w:hAnsi="Calibri" w:eastAsia="宋体" w:cs="Calibri"/>
                <w:color w:val="000000"/>
                <w:kern w:val="0"/>
                <w:sz w:val="18"/>
                <w:szCs w:val="18"/>
                <w:lang w:val="en-GB"/>
              </w:rPr>
              <w:t>有关标准、规范要求</w:t>
            </w:r>
            <w:r>
              <w:rPr>
                <w:rFonts w:hint="eastAsia" w:ascii="Calibri" w:hAnsi="Calibri" w:eastAsia="宋体" w:cs="Calibri"/>
                <w:color w:val="000000"/>
                <w:kern w:val="0"/>
                <w:sz w:val="18"/>
                <w:szCs w:val="18"/>
                <w:lang w:val="en-GB" w:eastAsia="zh-CN"/>
              </w:rPr>
              <w:t>。</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李琦</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　</w:t>
            </w:r>
          </w:p>
          <w:p>
            <w:pPr>
              <w:widowControl/>
              <w:ind w:firstLine="180" w:firstLineChars="100"/>
              <w:jc w:val="left"/>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正高级工程师</w:t>
            </w:r>
          </w:p>
        </w:tc>
      </w:tr>
      <w:tr>
        <w:tblPrEx>
          <w:tblCellMar>
            <w:top w:w="0" w:type="dxa"/>
            <w:left w:w="108" w:type="dxa"/>
            <w:bottom w:w="0" w:type="dxa"/>
            <w:right w:w="108" w:type="dxa"/>
          </w:tblCellMar>
        </w:tblPrEx>
        <w:trPr>
          <w:trHeight w:val="78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中交第一公路勘察设计研究院有限公司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2194700.00</w:t>
            </w:r>
          </w:p>
        </w:tc>
        <w:tc>
          <w:tcPr>
            <w:tcW w:w="1343"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陈常明</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　正高级工程师</w:t>
            </w:r>
          </w:p>
        </w:tc>
      </w:tr>
      <w:tr>
        <w:tblPrEx>
          <w:tblCellMar>
            <w:top w:w="0" w:type="dxa"/>
            <w:left w:w="108" w:type="dxa"/>
            <w:bottom w:w="0" w:type="dxa"/>
            <w:right w:w="108" w:type="dxa"/>
          </w:tblCellMar>
        </w:tblPrEx>
        <w:trPr>
          <w:trHeight w:val="691"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中交公路规划设计院有限公司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2170400.00</w:t>
            </w:r>
          </w:p>
        </w:tc>
        <w:tc>
          <w:tcPr>
            <w:tcW w:w="1343"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吴明远</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教授级高级工程师</w:t>
            </w:r>
          </w:p>
        </w:tc>
      </w:tr>
      <w:tr>
        <w:tblPrEx>
          <w:tblCellMar>
            <w:top w:w="0" w:type="dxa"/>
            <w:left w:w="108" w:type="dxa"/>
            <w:bottom w:w="0" w:type="dxa"/>
            <w:right w:w="108" w:type="dxa"/>
          </w:tblCellMar>
        </w:tblPrEx>
        <w:trPr>
          <w:trHeight w:val="43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bl>
    <w:tbl>
      <w:tblPr>
        <w:tblStyle w:val="2"/>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353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业绩：</w:t>
            </w:r>
            <w:r>
              <w:rPr>
                <w:rFonts w:hint="eastAsia" w:ascii="宋体" w:hAnsi="宋体" w:eastAsia="宋体" w:cs="宋体"/>
                <w:b/>
                <w:bCs/>
                <w:color w:val="000000"/>
                <w:kern w:val="0"/>
                <w:sz w:val="20"/>
                <w:szCs w:val="20"/>
              </w:rPr>
              <w:t>　</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1.</w:t>
            </w:r>
            <w:r>
              <w:rPr>
                <w:rFonts w:hint="eastAsia" w:ascii="Calibri" w:hAnsi="Calibri" w:eastAsia="宋体" w:cs="Calibri"/>
                <w:color w:val="000000"/>
                <w:kern w:val="0"/>
                <w:sz w:val="18"/>
                <w:szCs w:val="18"/>
              </w:rPr>
              <w:t>招商局重庆交通科研设计院有限公司</w:t>
            </w:r>
            <w:r>
              <w:rPr>
                <w:rFonts w:hint="eastAsia" w:ascii="Calibri" w:hAnsi="Calibri" w:eastAsia="宋体" w:cs="Calibri"/>
                <w:color w:val="000000"/>
                <w:kern w:val="0"/>
                <w:sz w:val="18"/>
                <w:szCs w:val="18"/>
                <w:lang w:eastAsia="zh-CN"/>
              </w:rPr>
              <w:t>：</w:t>
            </w:r>
            <w:r>
              <w:rPr>
                <w:rFonts w:hint="eastAsia" w:ascii="Calibri" w:hAnsi="Calibri" w:eastAsia="宋体" w:cs="Calibri"/>
                <w:color w:val="000000"/>
                <w:kern w:val="0"/>
                <w:sz w:val="18"/>
                <w:szCs w:val="18"/>
              </w:rPr>
              <w:t>云阳县 G348 线双江大桥维修加固工程</w:t>
            </w:r>
            <w:r>
              <w:rPr>
                <w:rFonts w:hint="eastAsia" w:ascii="Calibri" w:hAnsi="Calibri" w:eastAsia="宋体" w:cs="Calibri"/>
                <w:color w:val="000000"/>
                <w:kern w:val="0"/>
                <w:sz w:val="18"/>
                <w:szCs w:val="18"/>
                <w:lang w:eastAsia="zh-CN"/>
              </w:rPr>
              <w:t>；合阳嘉陵江（东渡）大桥维修加固改造项目；重庆高速公路集团有限公司东北营运分公司 2017 年桥梁病害处治工程。</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2.</w:t>
            </w:r>
            <w:r>
              <w:rPr>
                <w:rFonts w:hint="eastAsia" w:ascii="Calibri" w:hAnsi="Calibri" w:eastAsia="宋体" w:cs="Calibri"/>
                <w:color w:val="000000"/>
                <w:kern w:val="0"/>
                <w:sz w:val="18"/>
                <w:szCs w:val="18"/>
              </w:rPr>
              <w:t>中交第一公路勘察设计研究院有限公司</w:t>
            </w:r>
            <w:r>
              <w:rPr>
                <w:rFonts w:hint="eastAsia" w:ascii="Calibri" w:hAnsi="Calibri" w:eastAsia="宋体" w:cs="Calibri"/>
                <w:color w:val="000000"/>
                <w:kern w:val="0"/>
                <w:sz w:val="18"/>
                <w:szCs w:val="18"/>
                <w:lang w:eastAsia="zh-CN"/>
              </w:rPr>
              <w:t>：贵州省贵阳至黄平高速公路项目施工图阶段工程勘察设计；贵州省遵义至余庆高速公路初步设计 ZYSJ-2 标段。</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3.</w:t>
            </w:r>
            <w:r>
              <w:rPr>
                <w:rFonts w:hint="eastAsia" w:ascii="Calibri" w:hAnsi="Calibri" w:eastAsia="宋体" w:cs="Calibri"/>
                <w:color w:val="000000"/>
                <w:kern w:val="0"/>
                <w:sz w:val="18"/>
                <w:szCs w:val="18"/>
              </w:rPr>
              <w:t>中交公路规划设计院有限公司</w:t>
            </w:r>
            <w:r>
              <w:rPr>
                <w:rFonts w:hint="eastAsia" w:ascii="Calibri" w:hAnsi="Calibri" w:eastAsia="宋体" w:cs="Calibri"/>
                <w:color w:val="000000"/>
                <w:kern w:val="0"/>
                <w:sz w:val="18"/>
                <w:szCs w:val="18"/>
                <w:lang w:eastAsia="zh-CN"/>
              </w:rPr>
              <w:t>：广东省番海大桥工程勘察设计；</w:t>
            </w:r>
          </w:p>
          <w:p>
            <w:pPr>
              <w:widowControl/>
              <w:jc w:val="both"/>
              <w:rPr>
                <w:rFonts w:hint="eastAsia" w:ascii="Calibri" w:hAnsi="Calibri" w:eastAsia="宋体" w:cs="Calibri"/>
                <w:color w:val="000000"/>
                <w:kern w:val="0"/>
                <w:sz w:val="18"/>
                <w:szCs w:val="18"/>
                <w:lang w:eastAsia="zh-CN"/>
              </w:rPr>
            </w:pPr>
            <w:r>
              <w:rPr>
                <w:rFonts w:hint="eastAsia" w:ascii="宋体" w:hAnsi="宋体" w:eastAsia="宋体" w:cs="宋体"/>
                <w:b/>
                <w:bCs/>
                <w:color w:val="000000"/>
                <w:kern w:val="0"/>
                <w:sz w:val="20"/>
                <w:szCs w:val="20"/>
                <w:lang w:eastAsia="zh-CN"/>
              </w:rPr>
              <w:t>否决投标情况：</w:t>
            </w:r>
            <w:r>
              <w:rPr>
                <w:rFonts w:hint="eastAsia" w:ascii="Calibri" w:hAnsi="Calibri" w:eastAsia="宋体" w:cs="Calibri"/>
                <w:color w:val="000000"/>
                <w:kern w:val="0"/>
                <w:sz w:val="18"/>
                <w:szCs w:val="18"/>
                <w:lang w:eastAsia="zh-CN"/>
              </w:rPr>
              <w:t>重庆交建工程勘察设计有限公司类似项目业绩不符合“投标人须知前附表”1.4.1 规</w:t>
            </w:r>
          </w:p>
          <w:p>
            <w:pPr>
              <w:widowControl/>
              <w:jc w:val="both"/>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eastAsia="zh-CN"/>
              </w:rPr>
              <w:t>定，其投标文件被否决。</w:t>
            </w:r>
          </w:p>
        </w:tc>
      </w:tr>
      <w:tr>
        <w:tblPrEx>
          <w:tblCellMar>
            <w:top w:w="0" w:type="dxa"/>
            <w:left w:w="108" w:type="dxa"/>
            <w:bottom w:w="0" w:type="dxa"/>
            <w:right w:w="108" w:type="dxa"/>
          </w:tblCellMar>
        </w:tblPrEx>
        <w:trPr>
          <w:trHeight w:val="1367"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val="0"/>
                <w:bCs w:val="0"/>
                <w:color w:val="000000"/>
                <w:kern w:val="0"/>
                <w:sz w:val="20"/>
                <w:szCs w:val="20"/>
                <w:lang w:eastAsia="zh-CN"/>
              </w:rPr>
              <w:t>中标候选人资格、形式、响应性评审均合格。</w:t>
            </w:r>
            <w:r>
              <w:rPr>
                <w:rFonts w:hint="eastAsia" w:ascii="宋体" w:hAnsi="宋体" w:eastAsia="宋体" w:cs="宋体"/>
                <w:b w:val="0"/>
                <w:bCs w:val="0"/>
                <w:color w:val="000000"/>
                <w:kern w:val="0"/>
                <w:sz w:val="20"/>
                <w:szCs w:val="20"/>
              </w:rPr>
              <w:t>　</w:t>
            </w:r>
          </w:p>
        </w:tc>
      </w:tr>
      <w:tr>
        <w:tblPrEx>
          <w:tblCellMar>
            <w:top w:w="0" w:type="dxa"/>
            <w:left w:w="108" w:type="dxa"/>
            <w:bottom w:w="0" w:type="dxa"/>
            <w:right w:w="108" w:type="dxa"/>
          </w:tblCellMar>
        </w:tblPrEx>
        <w:trPr>
          <w:trHeight w:val="25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投标人或者其他利害关系人对评标结果有异议的，应在中标候选人公示期内以书面形式向招标人：重庆高速公路集团有限公司东北营运分公司(联系人：杨老师，联系电话：023-58338358）提出异议。</w:t>
            </w:r>
          </w:p>
        </w:tc>
      </w:tr>
      <w:tr>
        <w:tblPrEx>
          <w:tblCellMar>
            <w:top w:w="0" w:type="dxa"/>
            <w:left w:w="108" w:type="dxa"/>
            <w:bottom w:w="0" w:type="dxa"/>
            <w:right w:w="108" w:type="dxa"/>
          </w:tblCellMar>
        </w:tblPrEx>
        <w:trPr>
          <w:trHeight w:val="2850"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hint="eastAsia"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lang w:val="en-US" w:eastAsia="zh-CN"/>
              </w:rPr>
              <w:t>2022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18</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18</w:t>
            </w:r>
            <w:bookmarkStart w:id="0" w:name="_GoBack"/>
            <w:bookmarkEnd w:id="0"/>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7C4F8D"/>
    <w:rsid w:val="00A54F83"/>
    <w:rsid w:val="022805E2"/>
    <w:rsid w:val="03E7469E"/>
    <w:rsid w:val="05C73C19"/>
    <w:rsid w:val="0BA22CBB"/>
    <w:rsid w:val="0E8205C8"/>
    <w:rsid w:val="184C560B"/>
    <w:rsid w:val="19384759"/>
    <w:rsid w:val="19450DF6"/>
    <w:rsid w:val="1B9432D0"/>
    <w:rsid w:val="20786D2E"/>
    <w:rsid w:val="227037FB"/>
    <w:rsid w:val="266F1035"/>
    <w:rsid w:val="26B41DFB"/>
    <w:rsid w:val="2A630E03"/>
    <w:rsid w:val="336546CF"/>
    <w:rsid w:val="351675AF"/>
    <w:rsid w:val="367D3F68"/>
    <w:rsid w:val="3F223EF5"/>
    <w:rsid w:val="443577BB"/>
    <w:rsid w:val="467416D6"/>
    <w:rsid w:val="46AE2DAC"/>
    <w:rsid w:val="4C3210B2"/>
    <w:rsid w:val="4C7D0312"/>
    <w:rsid w:val="54504F4B"/>
    <w:rsid w:val="5A1A5990"/>
    <w:rsid w:val="5EBC3DDA"/>
    <w:rsid w:val="610005EC"/>
    <w:rsid w:val="63C91612"/>
    <w:rsid w:val="65823E2B"/>
    <w:rsid w:val="73B141FE"/>
    <w:rsid w:val="75F160FE"/>
    <w:rsid w:val="7ACF5766"/>
    <w:rsid w:val="7B016FF1"/>
    <w:rsid w:val="7EA5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0</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cp:lastPrinted>2020-04-29T08:41:00Z</cp:lastPrinted>
  <dcterms:modified xsi:type="dcterms:W3CDTF">2022-05-18T02:31:30Z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