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rPr>
      </w:pPr>
    </w:p>
    <w:p>
      <w:pPr>
        <w:spacing w:line="400" w:lineRule="exact"/>
        <w:jc w:val="center"/>
        <w:rPr>
          <w:rFonts w:ascii="宋体" w:hAnsi="宋体" w:cs="宋体"/>
          <w:b/>
          <w:sz w:val="32"/>
          <w:szCs w:val="32"/>
        </w:rPr>
      </w:pPr>
      <w:r>
        <w:rPr>
          <w:rFonts w:hint="eastAsia" w:ascii="宋体" w:hAnsi="宋体" w:cs="宋体"/>
          <w:b/>
          <w:sz w:val="32"/>
          <w:szCs w:val="32"/>
        </w:rPr>
        <w:t>项目名称：智慧高速数字孪生可视化平台开发技术服务项目</w:t>
      </w:r>
      <w:r>
        <w:rPr>
          <w:rFonts w:hint="eastAsia" w:ascii="宋体" w:hAnsi="宋体" w:cs="宋体"/>
          <w:b/>
          <w:sz w:val="32"/>
          <w:szCs w:val="32"/>
          <w:lang w:eastAsia="zh-CN"/>
        </w:rPr>
        <w:t>（</w:t>
      </w:r>
      <w:r>
        <w:rPr>
          <w:rFonts w:hint="eastAsia" w:ascii="宋体" w:hAnsi="宋体" w:cs="宋体"/>
          <w:b/>
          <w:sz w:val="32"/>
          <w:szCs w:val="32"/>
          <w:lang w:val="en-US" w:eastAsia="zh-CN"/>
        </w:rPr>
        <w:t>第二次</w:t>
      </w:r>
      <w:r>
        <w:rPr>
          <w:rFonts w:hint="eastAsia" w:ascii="宋体" w:hAnsi="宋体" w:cs="宋体"/>
          <w:b/>
          <w:sz w:val="32"/>
          <w:szCs w:val="32"/>
          <w:lang w:eastAsia="zh-CN"/>
        </w:rPr>
        <w:t>）</w:t>
      </w:r>
    </w:p>
    <w:p>
      <w:pPr>
        <w:rPr>
          <w:rFonts w:ascii="宋体" w:hAnsi="宋体" w:cs="宋体"/>
          <w:sz w:val="28"/>
          <w:szCs w:val="28"/>
        </w:rPr>
      </w:pPr>
    </w:p>
    <w:p>
      <w:pPr>
        <w:jc w:val="center"/>
        <w:rPr>
          <w:rFonts w:ascii="宋体" w:hAnsi="宋体" w:cs="宋体"/>
          <w:b/>
          <w:sz w:val="48"/>
          <w:szCs w:val="48"/>
        </w:rPr>
      </w:pPr>
      <w:r>
        <w:rPr>
          <w:rFonts w:hint="eastAsia" w:ascii="宋体" w:hAnsi="宋体" w:cs="宋体"/>
          <w:b/>
          <w:sz w:val="48"/>
          <w:szCs w:val="48"/>
        </w:rPr>
        <w:t>竞</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性</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比</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文</w:t>
      </w:r>
    </w:p>
    <w:p>
      <w:pPr>
        <w:jc w:val="center"/>
        <w:rPr>
          <w:rFonts w:ascii="宋体" w:hAnsi="宋体" w:cs="宋体"/>
          <w:b/>
          <w:sz w:val="48"/>
          <w:szCs w:val="48"/>
        </w:rPr>
      </w:pPr>
    </w:p>
    <w:p>
      <w:pPr>
        <w:jc w:val="center"/>
        <w:rPr>
          <w:rFonts w:ascii="宋体" w:hAnsi="宋体" w:cs="宋体"/>
          <w:b/>
          <w:sz w:val="96"/>
          <w:szCs w:val="72"/>
        </w:rPr>
      </w:pPr>
      <w:r>
        <w:rPr>
          <w:rFonts w:hint="eastAsia" w:ascii="宋体" w:hAnsi="宋体" w:cs="宋体"/>
          <w:b/>
          <w:sz w:val="48"/>
          <w:szCs w:val="48"/>
        </w:rPr>
        <w:t>件</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
    <w:p>
      <w:pPr>
        <w:jc w:val="center"/>
        <w:rPr>
          <w:rFonts w:ascii="宋体" w:hAnsi="宋体" w:cs="宋体"/>
          <w:b/>
          <w:sz w:val="28"/>
          <w:szCs w:val="28"/>
        </w:rPr>
      </w:pPr>
      <w:r>
        <w:rPr>
          <w:rFonts w:hint="eastAsia" w:ascii="宋体" w:hAnsi="宋体" w:cs="宋体"/>
          <w:b/>
          <w:sz w:val="28"/>
          <w:szCs w:val="28"/>
        </w:rPr>
        <w:t>采购人：重庆首讯科技股份有限公司</w:t>
      </w:r>
    </w:p>
    <w:p>
      <w:pPr>
        <w:jc w:val="center"/>
        <w:rPr>
          <w:rFonts w:ascii="宋体" w:hAnsi="宋体" w:cs="宋体"/>
          <w:b/>
          <w:sz w:val="28"/>
          <w:szCs w:val="28"/>
        </w:rPr>
      </w:pPr>
      <w:r>
        <w:rPr>
          <w:rFonts w:hint="eastAsia" w:ascii="宋体" w:hAnsi="宋体" w:cs="宋体"/>
          <w:b/>
          <w:sz w:val="28"/>
          <w:szCs w:val="28"/>
          <w:u w:val="single"/>
        </w:rPr>
        <w:t>2022</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u w:val="single"/>
          <w:lang w:val="en-US" w:eastAsia="zh-CN"/>
        </w:rPr>
        <w:t>12</w:t>
      </w:r>
      <w:r>
        <w:rPr>
          <w:rFonts w:hint="eastAsia" w:ascii="宋体" w:hAnsi="宋体" w:cs="宋体"/>
          <w:b/>
          <w:sz w:val="28"/>
          <w:szCs w:val="28"/>
          <w:u w:val="single"/>
        </w:rPr>
        <w:t xml:space="preserve"> </w:t>
      </w:r>
      <w:r>
        <w:rPr>
          <w:rFonts w:hint="eastAsia" w:ascii="宋体" w:hAnsi="宋体" w:cs="宋体"/>
          <w:b/>
          <w:sz w:val="28"/>
          <w:szCs w:val="28"/>
        </w:rPr>
        <w:t>月</w:t>
      </w:r>
    </w:p>
    <w:p>
      <w:pPr>
        <w:pStyle w:val="2"/>
        <w:jc w:val="center"/>
        <w:rPr>
          <w:rFonts w:ascii="宋体" w:hAnsi="宋体" w:cs="宋体"/>
          <w:szCs w:val="21"/>
        </w:rPr>
      </w:pPr>
      <w:r>
        <w:br w:type="page"/>
      </w:r>
      <w:bookmarkStart w:id="0" w:name="_Toc507428442"/>
      <w:bookmarkStart w:id="1" w:name="_Toc507319889"/>
      <w:bookmarkStart w:id="2" w:name="_Toc247085669"/>
      <w:bookmarkStart w:id="3" w:name="_Toc296602400"/>
      <w:bookmarkStart w:id="4" w:name="_Toc246996898"/>
      <w:r>
        <w:rPr>
          <w:rFonts w:hint="eastAsia" w:ascii="宋体" w:hAnsi="宋体" w:cs="宋体"/>
          <w:b w:val="0"/>
          <w:sz w:val="32"/>
        </w:rPr>
        <w:t>目   录</w:t>
      </w:r>
      <w:bookmarkEnd w:id="0"/>
      <w:bookmarkEnd w:id="1"/>
      <w:bookmarkEnd w:id="2"/>
      <w:bookmarkEnd w:id="3"/>
      <w:bookmarkEnd w:id="4"/>
    </w:p>
    <w:p>
      <w:pPr>
        <w:pStyle w:val="2"/>
        <w:tabs>
          <w:tab w:val="right" w:leader="dot" w:pos="9638"/>
        </w:tabs>
      </w:pPr>
      <w:r>
        <w:rPr>
          <w:rFonts w:hint="eastAsia" w:ascii="宋体" w:hAnsi="宋体" w:cs="宋体"/>
        </w:rPr>
        <w:fldChar w:fldCharType="begin"/>
      </w:r>
      <w:r>
        <w:rPr>
          <w:rFonts w:hint="eastAsia" w:ascii="宋体" w:hAnsi="宋体" w:cs="宋体"/>
        </w:rPr>
        <w:instrText xml:space="preserve"> TOC \o "1-2" \h \z \u </w:instrText>
      </w:r>
      <w:r>
        <w:rPr>
          <w:rFonts w:hint="eastAsia" w:ascii="宋体" w:hAnsi="宋体" w:cs="宋体"/>
        </w:rPr>
        <w:fldChar w:fldCharType="separate"/>
      </w:r>
      <w:r>
        <w:fldChar w:fldCharType="begin"/>
      </w:r>
      <w:r>
        <w:instrText xml:space="preserve"> HYPERLINK \l "_Toc14955" </w:instrText>
      </w:r>
      <w:r>
        <w:fldChar w:fldCharType="separate"/>
      </w:r>
      <w:r>
        <w:rPr>
          <w:rFonts w:hint="eastAsia"/>
        </w:rPr>
        <w:t xml:space="preserve">第一章 </w:t>
      </w:r>
      <w:r>
        <w:rPr>
          <w:rFonts w:hint="eastAsia" w:ascii="宋体" w:hAnsi="宋体" w:cs="宋体"/>
        </w:rPr>
        <w:t>比选公告</w:t>
      </w:r>
      <w:r>
        <w:tab/>
      </w:r>
      <w:r>
        <w:fldChar w:fldCharType="begin"/>
      </w:r>
      <w:r>
        <w:instrText xml:space="preserve"> PAGEREF _Toc14955 \h </w:instrText>
      </w:r>
      <w:r>
        <w:fldChar w:fldCharType="separate"/>
      </w:r>
      <w:r>
        <w:t>1</w:t>
      </w:r>
      <w:r>
        <w:fldChar w:fldCharType="end"/>
      </w:r>
      <w:r>
        <w:fldChar w:fldCharType="end"/>
      </w:r>
    </w:p>
    <w:p>
      <w:pPr>
        <w:pStyle w:val="2"/>
        <w:tabs>
          <w:tab w:val="right" w:leader="dot" w:pos="9638"/>
        </w:tabs>
      </w:pPr>
      <w:r>
        <w:fldChar w:fldCharType="begin"/>
      </w:r>
      <w:r>
        <w:instrText xml:space="preserve"> HYPERLINK \l "_Toc14958" </w:instrText>
      </w:r>
      <w:r>
        <w:fldChar w:fldCharType="separate"/>
      </w:r>
      <w:r>
        <w:rPr>
          <w:rFonts w:hint="eastAsia" w:ascii="宋体" w:hAnsi="宋体" w:cs="宋体"/>
        </w:rPr>
        <w:t>第二章 报价人须知</w:t>
      </w:r>
      <w:r>
        <w:tab/>
      </w:r>
      <w:r>
        <w:fldChar w:fldCharType="begin"/>
      </w:r>
      <w:r>
        <w:instrText xml:space="preserve"> PAGEREF _Toc14958 \h </w:instrText>
      </w:r>
      <w:r>
        <w:fldChar w:fldCharType="separate"/>
      </w:r>
      <w:r>
        <w:t>4</w:t>
      </w:r>
      <w:r>
        <w:fldChar w:fldCharType="end"/>
      </w:r>
      <w:r>
        <w:fldChar w:fldCharType="end"/>
      </w:r>
    </w:p>
    <w:p>
      <w:pPr>
        <w:pStyle w:val="2"/>
        <w:tabs>
          <w:tab w:val="right" w:leader="dot" w:pos="9638"/>
        </w:tabs>
      </w:pPr>
      <w:r>
        <w:fldChar w:fldCharType="begin"/>
      </w:r>
      <w:r>
        <w:instrText xml:space="preserve"> HYPERLINK \l "_Toc9135" </w:instrText>
      </w:r>
      <w:r>
        <w:fldChar w:fldCharType="separate"/>
      </w:r>
      <w:r>
        <w:rPr>
          <w:rFonts w:hint="eastAsia" w:ascii="宋体" w:hAnsi="宋体" w:cs="宋体"/>
        </w:rPr>
        <w:t>第三章 评标办法（综合评估法）</w:t>
      </w:r>
      <w:r>
        <w:tab/>
      </w:r>
      <w:r>
        <w:fldChar w:fldCharType="begin"/>
      </w:r>
      <w:r>
        <w:instrText xml:space="preserve"> PAGEREF _Toc9135 \h </w:instrText>
      </w:r>
      <w:r>
        <w:fldChar w:fldCharType="separate"/>
      </w:r>
      <w:r>
        <w:t>9</w:t>
      </w:r>
      <w:r>
        <w:fldChar w:fldCharType="end"/>
      </w:r>
      <w:r>
        <w:fldChar w:fldCharType="end"/>
      </w:r>
    </w:p>
    <w:p>
      <w:pPr>
        <w:pStyle w:val="2"/>
        <w:tabs>
          <w:tab w:val="right" w:leader="dot" w:pos="9638"/>
        </w:tabs>
      </w:pPr>
      <w:r>
        <w:fldChar w:fldCharType="begin"/>
      </w:r>
      <w:r>
        <w:instrText xml:space="preserve"> HYPERLINK \l "_Toc363" </w:instrText>
      </w:r>
      <w:r>
        <w:fldChar w:fldCharType="separate"/>
      </w:r>
      <w:r>
        <w:rPr>
          <w:rFonts w:hint="eastAsia"/>
        </w:rPr>
        <w:t>第四章 报价说明</w:t>
      </w:r>
      <w:r>
        <w:tab/>
      </w:r>
      <w:r>
        <w:fldChar w:fldCharType="begin"/>
      </w:r>
      <w:r>
        <w:instrText xml:space="preserve"> PAGEREF _Toc363 \h </w:instrText>
      </w:r>
      <w:r>
        <w:fldChar w:fldCharType="separate"/>
      </w:r>
      <w:r>
        <w:t>13</w:t>
      </w:r>
      <w:r>
        <w:fldChar w:fldCharType="end"/>
      </w:r>
      <w:r>
        <w:fldChar w:fldCharType="end"/>
      </w:r>
    </w:p>
    <w:p>
      <w:pPr>
        <w:pStyle w:val="2"/>
        <w:tabs>
          <w:tab w:val="right" w:leader="dot" w:pos="9638"/>
        </w:tabs>
      </w:pPr>
      <w:r>
        <w:fldChar w:fldCharType="begin"/>
      </w:r>
      <w:r>
        <w:instrText xml:space="preserve"> HYPERLINK \l "_Toc1532" </w:instrText>
      </w:r>
      <w:r>
        <w:fldChar w:fldCharType="separate"/>
      </w:r>
      <w:r>
        <w:rPr>
          <w:rFonts w:hint="eastAsia" w:ascii="宋体" w:hAnsi="宋体" w:cs="宋体"/>
        </w:rPr>
        <w:t>第五章  工程量清单</w:t>
      </w:r>
      <w:r>
        <w:tab/>
      </w:r>
      <w:r>
        <w:fldChar w:fldCharType="begin"/>
      </w:r>
      <w:r>
        <w:instrText xml:space="preserve"> PAGEREF _Toc1532 \h </w:instrText>
      </w:r>
      <w:r>
        <w:fldChar w:fldCharType="separate"/>
      </w:r>
      <w:r>
        <w:t>14</w:t>
      </w:r>
      <w:r>
        <w:fldChar w:fldCharType="end"/>
      </w:r>
      <w:r>
        <w:fldChar w:fldCharType="end"/>
      </w:r>
    </w:p>
    <w:p>
      <w:pPr>
        <w:pStyle w:val="2"/>
        <w:tabs>
          <w:tab w:val="right" w:leader="dot" w:pos="9638"/>
        </w:tabs>
      </w:pPr>
      <w:r>
        <w:fldChar w:fldCharType="begin"/>
      </w:r>
      <w:r>
        <w:instrText xml:space="preserve"> HYPERLINK \l "_Toc18088" </w:instrText>
      </w:r>
      <w:r>
        <w:fldChar w:fldCharType="separate"/>
      </w:r>
      <w:r>
        <w:rPr>
          <w:rFonts w:hint="eastAsia" w:ascii="宋体" w:hAnsi="宋体" w:cs="宋体"/>
        </w:rPr>
        <w:t>第六章  图  纸</w:t>
      </w:r>
      <w:r>
        <w:tab/>
      </w:r>
      <w:r>
        <w:fldChar w:fldCharType="begin"/>
      </w:r>
      <w:r>
        <w:instrText xml:space="preserve"> PAGEREF _Toc18088 \h </w:instrText>
      </w:r>
      <w:r>
        <w:fldChar w:fldCharType="separate"/>
      </w:r>
      <w:r>
        <w:t>15</w:t>
      </w:r>
      <w:r>
        <w:fldChar w:fldCharType="end"/>
      </w:r>
      <w:r>
        <w:fldChar w:fldCharType="end"/>
      </w:r>
    </w:p>
    <w:p>
      <w:pPr>
        <w:pStyle w:val="2"/>
        <w:tabs>
          <w:tab w:val="right" w:leader="dot" w:pos="9638"/>
        </w:tabs>
      </w:pPr>
      <w:r>
        <w:fldChar w:fldCharType="begin"/>
      </w:r>
      <w:r>
        <w:instrText xml:space="preserve"> HYPERLINK \l "_Toc25212" </w:instrText>
      </w:r>
      <w:r>
        <w:fldChar w:fldCharType="separate"/>
      </w:r>
      <w:r>
        <w:rPr>
          <w:rFonts w:hint="eastAsia" w:ascii="宋体" w:hAnsi="宋体" w:cs="宋体"/>
        </w:rPr>
        <w:t>第七章 技术标准和工作要求</w:t>
      </w:r>
      <w:r>
        <w:tab/>
      </w:r>
      <w:r>
        <w:fldChar w:fldCharType="begin"/>
      </w:r>
      <w:r>
        <w:instrText xml:space="preserve"> PAGEREF _Toc25212 \h </w:instrText>
      </w:r>
      <w:r>
        <w:fldChar w:fldCharType="separate"/>
      </w:r>
      <w:r>
        <w:t>16</w:t>
      </w:r>
      <w:r>
        <w:fldChar w:fldCharType="end"/>
      </w:r>
      <w:r>
        <w:fldChar w:fldCharType="end"/>
      </w:r>
    </w:p>
    <w:p>
      <w:pPr>
        <w:pStyle w:val="2"/>
        <w:tabs>
          <w:tab w:val="right" w:leader="dot" w:pos="9638"/>
        </w:tabs>
      </w:pPr>
      <w:r>
        <w:fldChar w:fldCharType="begin"/>
      </w:r>
      <w:r>
        <w:instrText xml:space="preserve"> HYPERLINK \l "_Toc23208" </w:instrText>
      </w:r>
      <w:r>
        <w:fldChar w:fldCharType="separate"/>
      </w:r>
      <w:r>
        <w:rPr>
          <w:rFonts w:hint="eastAsia" w:ascii="宋体" w:hAnsi="宋体" w:cs="宋体"/>
        </w:rPr>
        <w:t>第八章  工程量清单计量规则</w:t>
      </w:r>
      <w:r>
        <w:tab/>
      </w:r>
      <w:r>
        <w:fldChar w:fldCharType="begin"/>
      </w:r>
      <w:r>
        <w:instrText xml:space="preserve"> PAGEREF _Toc23208 \h </w:instrText>
      </w:r>
      <w:r>
        <w:fldChar w:fldCharType="separate"/>
      </w:r>
      <w:r>
        <w:t>19</w:t>
      </w:r>
      <w:r>
        <w:fldChar w:fldCharType="end"/>
      </w:r>
      <w:r>
        <w:fldChar w:fldCharType="end"/>
      </w:r>
    </w:p>
    <w:p>
      <w:pPr>
        <w:pStyle w:val="2"/>
        <w:tabs>
          <w:tab w:val="right" w:leader="dot" w:pos="9638"/>
        </w:tabs>
      </w:pPr>
      <w:r>
        <w:fldChar w:fldCharType="begin"/>
      </w:r>
      <w:r>
        <w:instrText xml:space="preserve"> HYPERLINK \l "_Toc22294" </w:instrText>
      </w:r>
      <w:r>
        <w:fldChar w:fldCharType="separate"/>
      </w:r>
      <w:r>
        <w:rPr>
          <w:rFonts w:hint="eastAsia" w:ascii="宋体" w:hAnsi="宋体" w:cs="宋体"/>
        </w:rPr>
        <w:t>第九章  竞争性比选响应文件格式</w:t>
      </w:r>
      <w:r>
        <w:tab/>
      </w:r>
      <w:r>
        <w:fldChar w:fldCharType="begin"/>
      </w:r>
      <w:r>
        <w:instrText xml:space="preserve"> PAGEREF _Toc22294 \h </w:instrText>
      </w:r>
      <w:r>
        <w:fldChar w:fldCharType="separate"/>
      </w:r>
      <w:r>
        <w:t>20</w:t>
      </w:r>
      <w:r>
        <w:fldChar w:fldCharType="end"/>
      </w:r>
      <w:r>
        <w:fldChar w:fldCharType="end"/>
      </w:r>
    </w:p>
    <w:p>
      <w:pPr>
        <w:pStyle w:val="33"/>
        <w:tabs>
          <w:tab w:val="right" w:leader="dot" w:pos="9628"/>
        </w:tabs>
        <w:rPr>
          <w:rFonts w:ascii="宋体" w:hAnsi="宋体" w:cs="宋体"/>
          <w:b/>
          <w:bCs/>
          <w:caps/>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rPr>
        <w:fldChar w:fldCharType="end"/>
      </w:r>
    </w:p>
    <w:p>
      <w:pPr>
        <w:pStyle w:val="3"/>
        <w:numPr>
          <w:ilvl w:val="0"/>
          <w:numId w:val="2"/>
        </w:numPr>
        <w:spacing w:before="0" w:after="0" w:line="360" w:lineRule="auto"/>
        <w:jc w:val="center"/>
      </w:pPr>
      <w:bookmarkStart w:id="5" w:name="_Toc10533"/>
      <w:bookmarkStart w:id="6" w:name="_Toc14955"/>
      <w:r>
        <w:rPr>
          <w:rFonts w:hint="eastAsia" w:ascii="宋体" w:hAnsi="宋体" w:cs="宋体"/>
        </w:rPr>
        <w:t>比选公告</w:t>
      </w:r>
      <w:bookmarkEnd w:id="5"/>
      <w:bookmarkEnd w:id="6"/>
    </w:p>
    <w:p>
      <w:pPr>
        <w:spacing w:line="440" w:lineRule="exact"/>
        <w:rPr>
          <w:rFonts w:ascii="宋体" w:hAnsi="宋体" w:cs="宋体"/>
          <w:b/>
          <w:sz w:val="28"/>
          <w:szCs w:val="28"/>
        </w:rPr>
      </w:pPr>
      <w:bookmarkStart w:id="7" w:name="OLE_LINK2"/>
      <w:bookmarkStart w:id="8" w:name="OLE_LINK3"/>
    </w:p>
    <w:p>
      <w:pPr>
        <w:pStyle w:val="4"/>
        <w:spacing w:before="0" w:after="0" w:line="360" w:lineRule="auto"/>
        <w:rPr>
          <w:rFonts w:ascii="宋体" w:hAnsi="宋体" w:eastAsia="宋体" w:cs="宋体"/>
        </w:rPr>
      </w:pPr>
      <w:bookmarkStart w:id="9" w:name="_Toc507319891"/>
      <w:bookmarkStart w:id="10" w:name="_Toc11329213"/>
      <w:bookmarkStart w:id="11" w:name="_Toc24874"/>
      <w:bookmarkStart w:id="12" w:name="_Toc246996158"/>
      <w:bookmarkStart w:id="13" w:name="_Toc246996901"/>
      <w:bookmarkStart w:id="14" w:name="_Toc179632528"/>
      <w:bookmarkStart w:id="15" w:name="_Toc10076"/>
      <w:bookmarkStart w:id="16" w:name="_Toc15945"/>
      <w:bookmarkStart w:id="17" w:name="_Toc6549"/>
      <w:bookmarkStart w:id="18" w:name="_Toc152045512"/>
      <w:bookmarkStart w:id="19" w:name="_Toc152042288"/>
      <w:bookmarkStart w:id="20" w:name="_Toc144974480"/>
      <w:bookmarkStart w:id="21" w:name="_Toc19148"/>
      <w:bookmarkStart w:id="22" w:name="_Toc247085672"/>
      <w:r>
        <w:rPr>
          <w:rFonts w:hint="eastAsia" w:ascii="宋体" w:hAnsi="宋体" w:eastAsia="宋体" w:cs="宋体"/>
        </w:rPr>
        <w:t>1. 比选条件</w:t>
      </w:r>
      <w:bookmarkEnd w:id="9"/>
      <w:bookmarkEnd w:id="10"/>
      <w:bookmarkEnd w:id="11"/>
      <w:bookmarkEnd w:id="12"/>
      <w:bookmarkEnd w:id="13"/>
      <w:bookmarkEnd w:id="14"/>
      <w:bookmarkEnd w:id="15"/>
      <w:bookmarkEnd w:id="16"/>
      <w:bookmarkEnd w:id="17"/>
      <w:bookmarkEnd w:id="18"/>
      <w:bookmarkEnd w:id="19"/>
      <w:bookmarkEnd w:id="20"/>
      <w:bookmarkEnd w:id="21"/>
      <w:bookmarkEnd w:id="22"/>
    </w:p>
    <w:p>
      <w:pPr>
        <w:spacing w:line="400" w:lineRule="exact"/>
        <w:jc w:val="left"/>
        <w:rPr>
          <w:rFonts w:ascii="宋体" w:hAnsi="宋体" w:cs="宋体"/>
          <w:szCs w:val="21"/>
        </w:rPr>
      </w:pPr>
      <w:r>
        <w:rPr>
          <w:rFonts w:hint="eastAsia" w:ascii="宋体" w:hAnsi="宋体" w:cs="宋体"/>
          <w:szCs w:val="21"/>
        </w:rPr>
        <w:t>　　本竞争性比选项目为</w:t>
      </w:r>
      <w:r>
        <w:rPr>
          <w:rFonts w:hint="eastAsia" w:ascii="宋体" w:hAnsi="宋体" w:cs="宋体"/>
          <w:szCs w:val="21"/>
          <w:u w:val="single"/>
        </w:rPr>
        <w:t>智慧高速数字孪生可视化平台开发技术服务项目</w:t>
      </w:r>
      <w:r>
        <w:rPr>
          <w:rFonts w:hint="eastAsia" w:ascii="宋体" w:hAnsi="宋体" w:cs="宋体"/>
          <w:szCs w:val="21"/>
          <w:u w:val="single"/>
          <w:lang w:eastAsia="zh-CN"/>
        </w:rPr>
        <w:t>（</w:t>
      </w:r>
      <w:r>
        <w:rPr>
          <w:rFonts w:hint="eastAsia" w:ascii="宋体" w:hAnsi="宋体" w:cs="宋体"/>
          <w:szCs w:val="21"/>
          <w:u w:val="single"/>
          <w:lang w:val="en-US" w:eastAsia="zh-CN"/>
        </w:rPr>
        <w:t>第二次</w:t>
      </w:r>
      <w:r>
        <w:rPr>
          <w:rFonts w:hint="eastAsia" w:ascii="宋体" w:hAnsi="宋体" w:cs="宋体"/>
          <w:szCs w:val="21"/>
          <w:u w:val="single"/>
          <w:lang w:eastAsia="zh-CN"/>
        </w:rPr>
        <w:t>）</w:t>
      </w:r>
      <w:r>
        <w:rPr>
          <w:rFonts w:hint="eastAsia" w:ascii="宋体" w:hAnsi="宋体" w:cs="宋体"/>
          <w:szCs w:val="21"/>
        </w:rPr>
        <w:t>的采购，采购人为</w:t>
      </w:r>
      <w:r>
        <w:rPr>
          <w:rFonts w:hint="eastAsia" w:ascii="宋体" w:hAnsi="宋体" w:cs="宋体"/>
          <w:szCs w:val="21"/>
          <w:u w:val="single"/>
        </w:rPr>
        <w:t xml:space="preserve"> 重庆首讯科技股份有限公司 </w:t>
      </w:r>
      <w:r>
        <w:rPr>
          <w:rFonts w:hint="eastAsia" w:ascii="宋体" w:hAnsi="宋体" w:cs="宋体"/>
          <w:szCs w:val="21"/>
        </w:rPr>
        <w:t>，该项目已具备比选条件，现对该项目进行竞争性比选。</w:t>
      </w:r>
    </w:p>
    <w:p>
      <w:pPr>
        <w:pStyle w:val="4"/>
        <w:spacing w:before="120" w:after="0" w:line="360" w:lineRule="auto"/>
        <w:rPr>
          <w:rFonts w:ascii="宋体" w:hAnsi="宋体" w:eastAsia="宋体" w:cs="宋体"/>
        </w:rPr>
      </w:pPr>
      <w:bookmarkStart w:id="23" w:name="_Toc10952"/>
      <w:bookmarkStart w:id="24" w:name="_Toc246996902"/>
      <w:bookmarkStart w:id="25" w:name="_Toc507319892"/>
      <w:bookmarkStart w:id="26" w:name="_Toc246996159"/>
      <w:bookmarkStart w:id="27" w:name="_Toc247085673"/>
      <w:bookmarkStart w:id="28" w:name="_Toc9168"/>
      <w:bookmarkStart w:id="29" w:name="_Toc11329214"/>
      <w:bookmarkStart w:id="30" w:name="_Toc144974481"/>
      <w:bookmarkStart w:id="31" w:name="_Toc10321"/>
      <w:bookmarkStart w:id="32" w:name="_Toc179632529"/>
      <w:bookmarkStart w:id="33" w:name="_Toc18109"/>
      <w:bookmarkStart w:id="34" w:name="_Toc152042289"/>
      <w:bookmarkStart w:id="35" w:name="_Toc21343"/>
      <w:bookmarkStart w:id="36" w:name="_Toc152045513"/>
      <w:r>
        <w:rPr>
          <w:rFonts w:hint="eastAsia" w:ascii="宋体" w:hAnsi="宋体" w:eastAsia="宋体" w:cs="宋体"/>
        </w:rPr>
        <w:t>2. 项目概况与比选范围</w:t>
      </w:r>
      <w:bookmarkEnd w:id="23"/>
      <w:bookmarkEnd w:id="24"/>
      <w:bookmarkEnd w:id="25"/>
      <w:bookmarkEnd w:id="26"/>
      <w:bookmarkEnd w:id="27"/>
      <w:bookmarkEnd w:id="28"/>
      <w:bookmarkEnd w:id="29"/>
      <w:bookmarkEnd w:id="30"/>
      <w:bookmarkEnd w:id="31"/>
      <w:bookmarkEnd w:id="32"/>
      <w:bookmarkEnd w:id="33"/>
      <w:bookmarkEnd w:id="34"/>
      <w:bookmarkEnd w:id="35"/>
      <w:bookmarkEnd w:id="36"/>
    </w:p>
    <w:p>
      <w:pPr>
        <w:spacing w:line="360" w:lineRule="auto"/>
        <w:ind w:firstLine="420" w:firstLineChars="200"/>
        <w:rPr>
          <w:rFonts w:ascii="宋体" w:hAnsi="宋体" w:cs="宋体"/>
        </w:rPr>
      </w:pPr>
      <w:bookmarkStart w:id="37" w:name="_Toc446247226"/>
      <w:r>
        <w:rPr>
          <w:rFonts w:hint="eastAsia" w:ascii="宋体" w:hAnsi="宋体" w:cs="宋体"/>
        </w:rPr>
        <w:t>2.1 项目地点：</w:t>
      </w:r>
      <w:bookmarkEnd w:id="37"/>
      <w:r>
        <w:rPr>
          <w:rFonts w:hint="eastAsia" w:ascii="宋体" w:hAnsi="宋体" w:cs="宋体"/>
        </w:rPr>
        <w:t>重庆首讯科技股份有限公司。</w:t>
      </w:r>
    </w:p>
    <w:p>
      <w:pPr>
        <w:pStyle w:val="12"/>
        <w:adjustRightInd w:val="0"/>
        <w:spacing w:line="400" w:lineRule="exact"/>
        <w:rPr>
          <w:rFonts w:ascii="宋体" w:hAnsi="宋体" w:cs="宋体"/>
          <w:szCs w:val="21"/>
        </w:rPr>
      </w:pPr>
      <w:r>
        <w:rPr>
          <w:rFonts w:hint="eastAsia" w:ascii="宋体" w:hAnsi="宋体" w:cs="宋体"/>
          <w:szCs w:val="21"/>
        </w:rPr>
        <w:t>2.2 服务内容：智慧高速数字孪生可视化平台开发技术服务项目，主要包括：重庆高速路网建设综合概览、服务区、收费站、隧道、桥梁可视化平台建设。</w:t>
      </w:r>
    </w:p>
    <w:p>
      <w:pPr>
        <w:tabs>
          <w:tab w:val="left" w:pos="360"/>
        </w:tabs>
        <w:spacing w:line="400" w:lineRule="exact"/>
        <w:ind w:firstLine="420" w:firstLineChars="200"/>
        <w:rPr>
          <w:rFonts w:ascii="宋体" w:hAnsi="宋体" w:cs="宋体"/>
          <w:szCs w:val="21"/>
        </w:rPr>
      </w:pPr>
      <w:r>
        <w:rPr>
          <w:rFonts w:hint="eastAsia" w:ascii="宋体" w:hAnsi="宋体" w:cs="宋体"/>
          <w:szCs w:val="21"/>
          <w:lang w:val="en-US" w:eastAsia="zh-CN"/>
        </w:rPr>
        <w:t>为满足重庆高速</w:t>
      </w:r>
      <w:r>
        <w:rPr>
          <w:rFonts w:ascii="Arial" w:hAnsi="Arial" w:eastAsia="Arial" w:cs="Arial"/>
          <w:i w:val="0"/>
          <w:iCs w:val="0"/>
          <w:caps w:val="0"/>
          <w:color w:val="333333"/>
          <w:spacing w:val="0"/>
          <w:sz w:val="21"/>
          <w:szCs w:val="21"/>
          <w:shd w:val="clear" w:fill="FFFFFF"/>
        </w:rPr>
        <w:t>集团大数据展厅建设</w:t>
      </w:r>
      <w:r>
        <w:rPr>
          <w:rFonts w:hint="eastAsia" w:ascii="Arial" w:hAnsi="Arial" w:cs="Arial"/>
          <w:i w:val="0"/>
          <w:iCs w:val="0"/>
          <w:caps w:val="0"/>
          <w:color w:val="333333"/>
          <w:spacing w:val="0"/>
          <w:sz w:val="21"/>
          <w:szCs w:val="21"/>
          <w:shd w:val="clear" w:fill="FFFFFF"/>
          <w:lang w:val="en-US" w:eastAsia="zh-CN"/>
        </w:rPr>
        <w:t>项目</w:t>
      </w:r>
      <w:r>
        <w:rPr>
          <w:rFonts w:ascii="Arial" w:hAnsi="Arial" w:eastAsia="Arial" w:cs="Arial"/>
          <w:i w:val="0"/>
          <w:iCs w:val="0"/>
          <w:caps w:val="0"/>
          <w:color w:val="333333"/>
          <w:spacing w:val="0"/>
          <w:sz w:val="21"/>
          <w:szCs w:val="21"/>
          <w:shd w:val="clear" w:fill="FFFFFF"/>
        </w:rPr>
        <w:t>大数据展厅中央曲面屏三维展示系统</w:t>
      </w:r>
      <w:r>
        <w:rPr>
          <w:rFonts w:hint="eastAsia" w:ascii="Arial" w:hAnsi="Arial" w:cs="Arial"/>
          <w:i w:val="0"/>
          <w:iCs w:val="0"/>
          <w:caps w:val="0"/>
          <w:color w:val="333333"/>
          <w:spacing w:val="0"/>
          <w:sz w:val="21"/>
          <w:szCs w:val="21"/>
          <w:shd w:val="clear" w:fill="FFFFFF"/>
          <w:lang w:val="en-US" w:eastAsia="zh-CN"/>
        </w:rPr>
        <w:t>建设需求</w:t>
      </w:r>
      <w:r>
        <w:rPr>
          <w:rFonts w:hint="eastAsia" w:ascii="Arial" w:hAnsi="Arial" w:cs="Arial"/>
          <w:i w:val="0"/>
          <w:iCs w:val="0"/>
          <w:caps w:val="0"/>
          <w:color w:val="333333"/>
          <w:spacing w:val="0"/>
          <w:sz w:val="21"/>
          <w:szCs w:val="21"/>
          <w:shd w:val="clear" w:fill="FFFFFF"/>
          <w:lang w:eastAsia="zh-CN"/>
        </w:rPr>
        <w:t>，</w:t>
      </w:r>
      <w:r>
        <w:rPr>
          <w:rFonts w:hint="eastAsia" w:ascii="宋体" w:hAnsi="宋体" w:cs="宋体"/>
          <w:szCs w:val="21"/>
        </w:rPr>
        <w:t>重庆首讯科技股份有限公司将采购智慧高速数字孪生可视化平台和定制开发及实施服务，对接整合现有的高速各场景管理系统的指标数据，全面立体呈现重庆市高速公路建设成果，综合展现高速集团的配套建设能力，智能运维能力和精细化运营管理能力，满足日常运维监控、应急处置和内外部领导、同业参观接待时的不同场景展示需求，能够从技术、管理、业务等不同视角展现出高速集团的全市高速路网建设的发展状态和管理亮点。</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所采购的软件平台产品需能够覆盖数据中心运营可视化大部分功能需求，并且供应商具备足够的软件开发能力，对平台产品无法覆盖的功能，有能力依托平台产品进行二次开发来实现。</w:t>
      </w:r>
    </w:p>
    <w:p>
      <w:pPr>
        <w:pStyle w:val="12"/>
        <w:adjustRightInd w:val="0"/>
        <w:spacing w:line="400" w:lineRule="exact"/>
        <w:rPr>
          <w:rFonts w:ascii="宋体" w:hAnsi="宋体" w:cs="宋体"/>
          <w:szCs w:val="21"/>
        </w:rPr>
      </w:pPr>
      <w:r>
        <w:rPr>
          <w:rFonts w:hint="eastAsia" w:ascii="宋体" w:hAnsi="宋体" w:cs="宋体"/>
          <w:szCs w:val="21"/>
        </w:rPr>
        <w:t>具体开发内容详见本竞争性比选函“第七章  技术标准和工作要求”。</w:t>
      </w:r>
    </w:p>
    <w:p>
      <w:pPr>
        <w:pStyle w:val="12"/>
        <w:adjustRightInd w:val="0"/>
        <w:spacing w:line="400" w:lineRule="exact"/>
        <w:rPr>
          <w:rFonts w:ascii="宋体" w:hAnsi="宋体" w:cs="宋体"/>
          <w:szCs w:val="21"/>
          <w:highlight w:val="none"/>
        </w:rPr>
      </w:pPr>
      <w:r>
        <w:rPr>
          <w:rFonts w:hint="eastAsia" w:ascii="宋体" w:hAnsi="宋体" w:cs="宋体"/>
          <w:szCs w:val="21"/>
          <w:highlight w:val="none"/>
        </w:rPr>
        <w:t>2.3 实施期：2022年12月31日前完成。</w:t>
      </w:r>
    </w:p>
    <w:p>
      <w:pPr>
        <w:pStyle w:val="4"/>
        <w:spacing w:before="120" w:after="0" w:line="360" w:lineRule="auto"/>
        <w:rPr>
          <w:rFonts w:ascii="宋体" w:hAnsi="宋体" w:eastAsia="宋体" w:cs="宋体"/>
        </w:rPr>
      </w:pPr>
      <w:bookmarkStart w:id="38" w:name="_Toc247085674"/>
      <w:bookmarkStart w:id="39" w:name="_Toc246996160"/>
      <w:bookmarkStart w:id="40" w:name="_Toc144974482"/>
      <w:bookmarkStart w:id="41" w:name="_Toc179632530"/>
      <w:bookmarkStart w:id="42" w:name="_Toc152042290"/>
      <w:bookmarkStart w:id="43" w:name="_Toc10171"/>
      <w:bookmarkStart w:id="44" w:name="_Toc30356"/>
      <w:bookmarkStart w:id="45" w:name="_Toc7065"/>
      <w:bookmarkStart w:id="46" w:name="_Toc11329215"/>
      <w:bookmarkStart w:id="47" w:name="_Toc507319893"/>
      <w:bookmarkStart w:id="48" w:name="_Toc246996903"/>
      <w:bookmarkStart w:id="49" w:name="_Toc152045514"/>
      <w:bookmarkStart w:id="50" w:name="_Toc26889"/>
      <w:bookmarkStart w:id="51" w:name="_Toc8744"/>
      <w:r>
        <w:rPr>
          <w:rFonts w:hint="eastAsia" w:ascii="宋体" w:hAnsi="宋体" w:eastAsia="宋体" w:cs="宋体"/>
        </w:rPr>
        <w:t>3. 报价人资格要求</w:t>
      </w:r>
      <w:bookmarkEnd w:id="38"/>
      <w:bookmarkEnd w:id="39"/>
      <w:bookmarkEnd w:id="40"/>
      <w:bookmarkEnd w:id="41"/>
      <w:bookmarkEnd w:id="42"/>
      <w:bookmarkEnd w:id="43"/>
      <w:bookmarkEnd w:id="44"/>
      <w:bookmarkEnd w:id="45"/>
      <w:bookmarkEnd w:id="46"/>
      <w:bookmarkEnd w:id="47"/>
      <w:bookmarkEnd w:id="48"/>
      <w:bookmarkEnd w:id="49"/>
      <w:bookmarkEnd w:id="50"/>
      <w:bookmarkEnd w:id="51"/>
    </w:p>
    <w:p>
      <w:pPr>
        <w:spacing w:line="400" w:lineRule="exact"/>
        <w:ind w:firstLine="420" w:firstLineChars="200"/>
        <w:rPr>
          <w:rFonts w:ascii="宋体" w:hAnsi="宋体" w:cs="宋体"/>
          <w:szCs w:val="21"/>
          <w:shd w:val="clear" w:color="auto" w:fill="FFFFFF"/>
        </w:rPr>
      </w:pPr>
      <w:bookmarkStart w:id="52" w:name="_Toc247085675"/>
      <w:bookmarkStart w:id="53" w:name="_Toc144974483"/>
      <w:bookmarkStart w:id="54" w:name="_Toc246996904"/>
      <w:bookmarkStart w:id="55" w:name="_Toc179632531"/>
      <w:bookmarkStart w:id="56" w:name="_Toc152045515"/>
      <w:bookmarkStart w:id="57" w:name="_Toc246996161"/>
      <w:bookmarkStart w:id="58" w:name="_Toc152042291"/>
      <w:r>
        <w:rPr>
          <w:rFonts w:hint="eastAsia" w:ascii="宋体" w:hAnsi="宋体" w:cs="宋体"/>
          <w:szCs w:val="21"/>
          <w:shd w:val="clear" w:color="auto" w:fill="FFFFFF"/>
        </w:rPr>
        <w:t>3.1 资质要求：</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1）具有有效的营业执照或事业单位法人证书（业务范围至少包含其中1项：网络技术服务、软件开发、计算机网络集成系统、计算机软硬件开发、计算机信息技术服务、信息技术咨询业务、计算机信息系统集成、互联网技术咨询服务、经营移动通信业务、互联网业务相关的系统集成等相关内容）；</w:t>
      </w:r>
    </w:p>
    <w:p>
      <w:pPr>
        <w:spacing w:line="400" w:lineRule="exact"/>
        <w:ind w:firstLine="420" w:firstLineChars="200"/>
        <w:rPr>
          <w:rFonts w:ascii="宋体" w:hAnsi="宋体" w:cs="宋体"/>
          <w:szCs w:val="21"/>
          <w:highlight w:val="yellow"/>
          <w:shd w:val="clear" w:color="auto" w:fill="FFFFFF"/>
        </w:rPr>
      </w:pPr>
      <w:r>
        <w:rPr>
          <w:rFonts w:hint="eastAsia" w:ascii="宋体" w:hAnsi="宋体" w:cs="宋体"/>
          <w:szCs w:val="21"/>
          <w:shd w:val="clear" w:color="auto" w:fill="FFFFFF"/>
        </w:rPr>
        <w:t>（</w:t>
      </w:r>
      <w:r>
        <w:rPr>
          <w:rFonts w:hint="eastAsia" w:ascii="宋体" w:hAnsi="宋体" w:cs="宋体"/>
          <w:szCs w:val="21"/>
          <w:highlight w:val="none"/>
          <w:shd w:val="clear" w:color="auto" w:fill="FFFFFF"/>
        </w:rPr>
        <w:t>2）需提供20</w:t>
      </w:r>
      <w:r>
        <w:rPr>
          <w:rFonts w:hint="eastAsia" w:ascii="宋体" w:hAnsi="宋体" w:cs="宋体"/>
          <w:szCs w:val="21"/>
          <w:highlight w:val="none"/>
          <w:shd w:val="clear" w:color="auto" w:fill="FFFFFF"/>
          <w:lang w:val="en-US" w:eastAsia="zh-CN"/>
        </w:rPr>
        <w:t>20</w:t>
      </w:r>
      <w:r>
        <w:rPr>
          <w:rFonts w:hint="eastAsia" w:ascii="宋体" w:hAnsi="宋体" w:cs="宋体"/>
          <w:szCs w:val="21"/>
          <w:highlight w:val="none"/>
          <w:shd w:val="clear" w:color="auto" w:fill="FFFFFF"/>
        </w:rPr>
        <w:t>年1月1日至本竞争性比选函发出之日期间至少1个类似软件开发项目相关业绩（以合同签订时间为准）。</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3.2 本次比选不接受联合体报价。</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3.3与采购人存在利害关系可能影响比选公正性的法人、其他组织或者个人，不得参加本项目报价；单位负责人为同一人或者存在控股、管理关系的不同单位，不得同时参加本项目报价，否则均按无效报价处理。</w:t>
      </w:r>
    </w:p>
    <w:p>
      <w:pPr>
        <w:pStyle w:val="4"/>
        <w:spacing w:before="120" w:after="0" w:line="400" w:lineRule="exact"/>
        <w:rPr>
          <w:rFonts w:ascii="宋体" w:hAnsi="宋体" w:eastAsia="宋体" w:cs="宋体"/>
        </w:rPr>
      </w:pPr>
      <w:bookmarkStart w:id="59" w:name="_Toc507319894"/>
      <w:bookmarkStart w:id="60" w:name="_Toc7266"/>
      <w:bookmarkStart w:id="61" w:name="_Toc11329216"/>
      <w:bookmarkStart w:id="62" w:name="_Toc25619"/>
      <w:bookmarkStart w:id="63" w:name="_Toc20193"/>
      <w:bookmarkStart w:id="64" w:name="_Toc14361"/>
      <w:bookmarkStart w:id="65" w:name="_Toc12460"/>
      <w:r>
        <w:rPr>
          <w:rFonts w:hint="eastAsia" w:ascii="宋体" w:hAnsi="宋体" w:eastAsia="宋体" w:cs="宋体"/>
        </w:rPr>
        <w:t>4. 比选文件的获取</w:t>
      </w:r>
      <w:bookmarkEnd w:id="52"/>
      <w:bookmarkEnd w:id="53"/>
      <w:bookmarkEnd w:id="54"/>
      <w:bookmarkEnd w:id="55"/>
      <w:bookmarkEnd w:id="56"/>
      <w:bookmarkEnd w:id="57"/>
      <w:bookmarkEnd w:id="58"/>
      <w:bookmarkEnd w:id="59"/>
      <w:bookmarkEnd w:id="60"/>
      <w:bookmarkEnd w:id="61"/>
      <w:bookmarkEnd w:id="62"/>
      <w:bookmarkEnd w:id="63"/>
      <w:bookmarkEnd w:id="64"/>
      <w:bookmarkEnd w:id="65"/>
    </w:p>
    <w:p>
      <w:pPr>
        <w:spacing w:line="360" w:lineRule="auto"/>
        <w:ind w:firstLine="420" w:firstLineChars="200"/>
        <w:rPr>
          <w:rFonts w:ascii="宋体" w:hAnsi="宋体"/>
          <w:szCs w:val="21"/>
        </w:rPr>
      </w:pPr>
      <w:bookmarkStart w:id="66" w:name="_Toc11329217"/>
      <w:bookmarkStart w:id="67" w:name="_Toc507319895"/>
      <w:bookmarkStart w:id="68" w:name="_Toc247085676"/>
      <w:bookmarkStart w:id="69" w:name="_Toc152042292"/>
      <w:bookmarkStart w:id="70" w:name="_Toc246996162"/>
      <w:bookmarkStart w:id="71" w:name="_Toc179632532"/>
      <w:bookmarkStart w:id="72" w:name="_Toc144974484"/>
      <w:bookmarkStart w:id="73" w:name="_Toc152045516"/>
      <w:bookmarkStart w:id="74" w:name="_Toc246996905"/>
      <w:r>
        <w:rPr>
          <w:rFonts w:ascii="宋体" w:hAnsi="宋体"/>
          <w:szCs w:val="21"/>
        </w:rPr>
        <w:t>凡愿意参加的潜在</w:t>
      </w:r>
      <w:r>
        <w:rPr>
          <w:rFonts w:hint="eastAsia" w:ascii="宋体" w:hAnsi="宋体"/>
          <w:szCs w:val="21"/>
        </w:rPr>
        <w:t>报价</w:t>
      </w:r>
      <w:r>
        <w:rPr>
          <w:rFonts w:ascii="宋体" w:hAnsi="宋体"/>
          <w:szCs w:val="21"/>
        </w:rPr>
        <w:t>人，</w:t>
      </w:r>
      <w:r>
        <w:rPr>
          <w:rFonts w:hint="eastAsia" w:ascii="宋体" w:hAnsi="宋体"/>
          <w:szCs w:val="21"/>
        </w:rPr>
        <w:t>在</w:t>
      </w:r>
      <w:r>
        <w:rPr>
          <w:rFonts w:hint="eastAsia" w:ascii="宋体" w:hAnsi="宋体"/>
          <w:szCs w:val="21"/>
          <w:u w:val="single"/>
        </w:rPr>
        <w:t>2022</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12</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12</w:t>
      </w:r>
      <w:r>
        <w:rPr>
          <w:rFonts w:ascii="宋体" w:hAnsi="宋体"/>
          <w:szCs w:val="21"/>
          <w:u w:val="single"/>
        </w:rPr>
        <w:t xml:space="preserve"> </w:t>
      </w:r>
      <w:r>
        <w:rPr>
          <w:rFonts w:hint="eastAsia" w:ascii="宋体" w:hAnsi="宋体"/>
          <w:szCs w:val="21"/>
        </w:rPr>
        <w:t>日</w:t>
      </w:r>
      <w:r>
        <w:rPr>
          <w:rFonts w:hint="eastAsia" w:ascii="宋体" w:hAnsi="宋体"/>
          <w:szCs w:val="21"/>
          <w:lang w:val="en-US" w:eastAsia="zh-CN"/>
        </w:rPr>
        <w:t>下午</w:t>
      </w:r>
      <w:r>
        <w:rPr>
          <w:rFonts w:hint="eastAsia" w:ascii="宋体" w:hAnsi="宋体"/>
          <w:szCs w:val="21"/>
          <w:u w:val="single"/>
        </w:rPr>
        <w:t>1</w:t>
      </w:r>
      <w:r>
        <w:rPr>
          <w:rFonts w:hint="eastAsia" w:ascii="宋体" w:hAnsi="宋体"/>
          <w:szCs w:val="21"/>
          <w:u w:val="single"/>
          <w:lang w:val="en-US" w:eastAsia="zh-CN"/>
        </w:rPr>
        <w:t>5</w:t>
      </w:r>
      <w:r>
        <w:rPr>
          <w:rFonts w:hint="eastAsia" w:ascii="宋体" w:hAnsi="宋体"/>
          <w:szCs w:val="21"/>
          <w:u w:val="single"/>
        </w:rPr>
        <w:t>:00</w:t>
      </w:r>
      <w:r>
        <w:rPr>
          <w:rFonts w:hint="eastAsia" w:ascii="宋体" w:hAnsi="宋体"/>
          <w:szCs w:val="21"/>
        </w:rPr>
        <w:t>前在重庆高速集团官网平台上获取报价文件，各报价人应随时关注网上发布的竞争性比选文件答疑、补遗、澄清等文件内容，不管报价人是否下载，均视为已知晓竞争性比选文件的全部内容和有关事宜。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rPr>
      </w:pPr>
      <w:bookmarkStart w:id="75" w:name="_Toc9131"/>
      <w:bookmarkStart w:id="76" w:name="_Toc31493"/>
      <w:bookmarkStart w:id="77" w:name="_Toc17832"/>
      <w:bookmarkStart w:id="78" w:name="_Toc3064"/>
      <w:bookmarkStart w:id="79" w:name="_Toc16686"/>
      <w:r>
        <w:rPr>
          <w:rFonts w:hint="eastAsia" w:ascii="宋体" w:hAnsi="宋体" w:eastAsia="宋体" w:cs="宋体"/>
        </w:rPr>
        <w:t>5. 竞争性比选响应文件的递交</w:t>
      </w:r>
      <w:bookmarkEnd w:id="66"/>
      <w:bookmarkEnd w:id="67"/>
      <w:bookmarkEnd w:id="68"/>
      <w:bookmarkEnd w:id="69"/>
      <w:bookmarkEnd w:id="70"/>
      <w:bookmarkEnd w:id="71"/>
      <w:bookmarkEnd w:id="72"/>
      <w:bookmarkEnd w:id="73"/>
      <w:bookmarkEnd w:id="74"/>
      <w:r>
        <w:rPr>
          <w:rFonts w:hint="eastAsia" w:ascii="宋体" w:hAnsi="宋体" w:eastAsia="宋体" w:cs="宋体"/>
        </w:rPr>
        <w:t>及相关事宜</w:t>
      </w:r>
      <w:bookmarkEnd w:id="75"/>
      <w:bookmarkEnd w:id="76"/>
      <w:bookmarkEnd w:id="77"/>
      <w:bookmarkEnd w:id="78"/>
      <w:bookmarkEnd w:id="79"/>
    </w:p>
    <w:p>
      <w:pPr>
        <w:tabs>
          <w:tab w:val="left" w:pos="360"/>
        </w:tabs>
        <w:spacing w:line="400" w:lineRule="exact"/>
        <w:ind w:firstLine="420" w:firstLineChars="200"/>
        <w:rPr>
          <w:rFonts w:ascii="宋体" w:hAnsi="宋体" w:cs="宋体"/>
          <w:szCs w:val="21"/>
        </w:rPr>
      </w:pPr>
      <w:r>
        <w:rPr>
          <w:rFonts w:hint="eastAsia" w:ascii="宋体" w:hAnsi="宋体" w:cs="宋体"/>
          <w:szCs w:val="21"/>
        </w:rPr>
        <w:t>5.1报价截止时间和开标时间：</w:t>
      </w:r>
      <w:r>
        <w:rPr>
          <w:rFonts w:hint="eastAsia" w:ascii="宋体" w:hAnsi="宋体"/>
          <w:szCs w:val="21"/>
          <w:u w:val="single"/>
        </w:rPr>
        <w:t>2022</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12</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12</w:t>
      </w:r>
      <w:r>
        <w:rPr>
          <w:rFonts w:hint="eastAsia" w:ascii="宋体" w:hAnsi="宋体"/>
          <w:szCs w:val="21"/>
          <w:u w:val="single"/>
        </w:rPr>
        <w:t xml:space="preserve"> </w:t>
      </w:r>
      <w:r>
        <w:rPr>
          <w:rFonts w:hint="eastAsia" w:ascii="宋体" w:hAnsi="宋体"/>
          <w:szCs w:val="21"/>
        </w:rPr>
        <w:t>日</w:t>
      </w:r>
      <w:r>
        <w:rPr>
          <w:rFonts w:hint="eastAsia" w:ascii="宋体" w:hAnsi="宋体"/>
          <w:szCs w:val="21"/>
          <w:lang w:val="en-US" w:eastAsia="zh-CN"/>
        </w:rPr>
        <w:t>下</w:t>
      </w:r>
      <w:r>
        <w:rPr>
          <w:rFonts w:hint="eastAsia" w:ascii="宋体" w:hAnsi="宋体"/>
          <w:szCs w:val="21"/>
        </w:rPr>
        <w:t>午</w:t>
      </w:r>
      <w:r>
        <w:rPr>
          <w:rFonts w:hint="eastAsia" w:ascii="宋体" w:hAnsi="宋体"/>
          <w:szCs w:val="21"/>
          <w:u w:val="single"/>
        </w:rPr>
        <w:t>1</w:t>
      </w:r>
      <w:r>
        <w:rPr>
          <w:rFonts w:hint="eastAsia" w:ascii="宋体" w:hAnsi="宋体"/>
          <w:szCs w:val="21"/>
          <w:u w:val="single"/>
          <w:lang w:val="en-US" w:eastAsia="zh-CN"/>
        </w:rPr>
        <w:t>5</w:t>
      </w:r>
      <w:r>
        <w:rPr>
          <w:rFonts w:hint="eastAsia" w:ascii="宋体" w:hAnsi="宋体" w:cs="宋体"/>
          <w:szCs w:val="21"/>
        </w:rPr>
        <w:t>时</w:t>
      </w:r>
      <w:r>
        <w:rPr>
          <w:rFonts w:hint="eastAsia" w:ascii="宋体" w:hAnsi="宋体" w:cs="宋体"/>
          <w:szCs w:val="21"/>
          <w:u w:val="single"/>
        </w:rPr>
        <w:t xml:space="preserve"> 00 </w:t>
      </w:r>
      <w:r>
        <w:rPr>
          <w:rFonts w:hint="eastAsia" w:ascii="宋体" w:hAnsi="宋体" w:cs="宋体"/>
          <w:szCs w:val="21"/>
        </w:rPr>
        <w:t>分（北京时间）。</w:t>
      </w:r>
    </w:p>
    <w:p>
      <w:pPr>
        <w:tabs>
          <w:tab w:val="left" w:pos="360"/>
        </w:tabs>
        <w:spacing w:line="400" w:lineRule="exact"/>
        <w:ind w:firstLine="420" w:firstLineChars="200"/>
        <w:rPr>
          <w:rFonts w:hAnsi="宋体"/>
          <w:szCs w:val="21"/>
        </w:rPr>
      </w:pPr>
      <w:r>
        <w:rPr>
          <w:rFonts w:hint="eastAsia" w:ascii="宋体" w:hAnsi="宋体" w:cs="宋体"/>
          <w:szCs w:val="21"/>
        </w:rPr>
        <w:t>5.2报价的递交：</w:t>
      </w:r>
      <w:r>
        <w:rPr>
          <w:rFonts w:hint="eastAsia" w:hAnsi="宋体"/>
          <w:szCs w:val="21"/>
        </w:rPr>
        <w:t>重庆首讯科技股份有限公司（重庆市渝北区新南路52号东界龙湖三楼）</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5.3</w:t>
      </w:r>
      <w:r>
        <w:rPr>
          <w:rFonts w:ascii="宋体" w:hAnsi="宋体" w:cs="宋体"/>
          <w:szCs w:val="21"/>
        </w:rPr>
        <w:t>采购</w:t>
      </w:r>
      <w:r>
        <w:rPr>
          <w:rFonts w:hint="eastAsia" w:ascii="宋体" w:hAnsi="宋体" w:cs="宋体"/>
          <w:szCs w:val="21"/>
        </w:rPr>
        <w:tab/>
      </w:r>
      <w:r>
        <w:rPr>
          <w:rFonts w:ascii="宋体" w:hAnsi="宋体" w:cs="宋体"/>
          <w:szCs w:val="21"/>
        </w:rPr>
        <w:t>人不召开报价预备会。</w:t>
      </w:r>
    </w:p>
    <w:p>
      <w:pPr>
        <w:pStyle w:val="4"/>
        <w:spacing w:before="120" w:after="0" w:line="400" w:lineRule="exact"/>
        <w:rPr>
          <w:rFonts w:ascii="宋体" w:hAnsi="宋体" w:eastAsia="宋体" w:cs="宋体"/>
        </w:rPr>
      </w:pPr>
      <w:bookmarkStart w:id="80" w:name="_Toc507319897"/>
      <w:bookmarkStart w:id="81" w:name="_Toc246996907"/>
      <w:bookmarkStart w:id="82" w:name="_Toc247085678"/>
      <w:bookmarkStart w:id="83" w:name="_Toc246996164"/>
      <w:bookmarkStart w:id="84" w:name="_Toc10307"/>
      <w:bookmarkStart w:id="85" w:name="_Toc21615"/>
      <w:bookmarkStart w:id="86" w:name="_Toc179632534"/>
      <w:bookmarkStart w:id="87" w:name="_Toc18402"/>
      <w:bookmarkStart w:id="88" w:name="_Toc11329219"/>
      <w:bookmarkStart w:id="89" w:name="_Toc393"/>
      <w:bookmarkStart w:id="90" w:name="_Toc152042293"/>
      <w:bookmarkStart w:id="91" w:name="_Toc144974485"/>
      <w:bookmarkStart w:id="92" w:name="_Toc152045517"/>
      <w:bookmarkStart w:id="93" w:name="_Toc18284"/>
      <w:r>
        <w:rPr>
          <w:rFonts w:hint="eastAsia" w:ascii="宋体" w:hAnsi="宋体" w:eastAsia="宋体" w:cs="宋体"/>
        </w:rPr>
        <w:t>6. 联系方式</w:t>
      </w:r>
      <w:bookmarkEnd w:id="80"/>
      <w:bookmarkEnd w:id="81"/>
      <w:bookmarkEnd w:id="82"/>
      <w:bookmarkEnd w:id="83"/>
      <w:bookmarkEnd w:id="84"/>
      <w:bookmarkEnd w:id="85"/>
      <w:bookmarkEnd w:id="86"/>
      <w:bookmarkEnd w:id="87"/>
      <w:bookmarkEnd w:id="88"/>
      <w:bookmarkEnd w:id="89"/>
      <w:bookmarkEnd w:id="90"/>
      <w:bookmarkEnd w:id="91"/>
      <w:bookmarkEnd w:id="92"/>
      <w:bookmarkEnd w:id="93"/>
    </w:p>
    <w:tbl>
      <w:tblPr>
        <w:tblStyle w:val="41"/>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1"/>
              <w:spacing w:before="0" w:beforeAutospacing="0" w:after="0" w:afterAutospacing="0" w:line="400" w:lineRule="exact"/>
              <w:ind w:firstLine="420" w:firstLineChars="200"/>
              <w:jc w:val="both"/>
              <w:rPr>
                <w:rFonts w:ascii="宋体" w:hAnsi="宋体" w:cs="宋体"/>
                <w:kern w:val="2"/>
                <w:sz w:val="21"/>
                <w:szCs w:val="21"/>
              </w:rPr>
            </w:pPr>
            <w:r>
              <w:rPr>
                <w:rFonts w:hint="eastAsia" w:ascii="宋体" w:hAnsi="宋体" w:cs="宋体"/>
                <w:kern w:val="2"/>
                <w:sz w:val="21"/>
                <w:szCs w:val="21"/>
              </w:rPr>
              <w:t>采购人：重庆首讯科技股份有限公司</w:t>
            </w:r>
          </w:p>
        </w:tc>
        <w:tc>
          <w:tcPr>
            <w:tcW w:w="1415" w:type="dxa"/>
            <w:vAlign w:val="center"/>
          </w:tcPr>
          <w:p>
            <w:pPr>
              <w:pStyle w:val="101"/>
              <w:spacing w:before="0" w:beforeAutospacing="0" w:after="0" w:afterAutospacing="0" w:line="400" w:lineRule="exact"/>
              <w:ind w:firstLine="420" w:firstLineChars="200"/>
              <w:jc w:val="both"/>
              <w:rPr>
                <w:rFonts w:ascii="宋体" w:hAnsi="宋体" w:cs="宋体"/>
                <w:kern w:val="2"/>
                <w:sz w:val="21"/>
                <w:szCs w:val="21"/>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ascii="宋体" w:hAnsi="宋体" w:cs="宋体"/>
                <w:szCs w:val="21"/>
              </w:rPr>
            </w:pPr>
            <w:r>
              <w:rPr>
                <w:rFonts w:hint="eastAsia" w:ascii="宋体" w:hAnsi="宋体" w:cs="宋体"/>
                <w:szCs w:val="21"/>
              </w:rPr>
              <w:t>地址：重庆市渝北区新南路52号东界龙湖三楼</w:t>
            </w:r>
          </w:p>
        </w:tc>
        <w:tc>
          <w:tcPr>
            <w:tcW w:w="1415"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ascii="宋体" w:hAnsi="宋体" w:cs="宋体"/>
                <w:szCs w:val="21"/>
              </w:rPr>
            </w:pPr>
            <w:r>
              <w:rPr>
                <w:rFonts w:hint="eastAsia" w:ascii="宋体" w:hAnsi="宋体" w:cs="宋体"/>
                <w:szCs w:val="21"/>
              </w:rPr>
              <w:t>技术联系人：代老师</w:t>
            </w:r>
          </w:p>
        </w:tc>
        <w:tc>
          <w:tcPr>
            <w:tcW w:w="1415"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80" w:hRule="atLeast"/>
        </w:trPr>
        <w:tc>
          <w:tcPr>
            <w:tcW w:w="8213" w:type="dxa"/>
            <w:vAlign w:val="center"/>
          </w:tcPr>
          <w:p>
            <w:pPr>
              <w:topLinePunct/>
              <w:spacing w:line="420" w:lineRule="exact"/>
              <w:ind w:firstLine="420" w:firstLineChars="200"/>
            </w:pPr>
            <w:r>
              <w:rPr>
                <w:rFonts w:hint="eastAsia" w:ascii="宋体" w:hAnsi="宋体" w:cs="宋体"/>
                <w:szCs w:val="21"/>
              </w:rPr>
              <w:t>电 话：18502360486</w:t>
            </w:r>
          </w:p>
        </w:tc>
        <w:tc>
          <w:tcPr>
            <w:tcW w:w="1415"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80" w:hRule="atLeast"/>
        </w:trPr>
        <w:tc>
          <w:tcPr>
            <w:tcW w:w="8213" w:type="dxa"/>
            <w:vAlign w:val="center"/>
          </w:tcPr>
          <w:p>
            <w:pPr>
              <w:topLinePunct/>
              <w:spacing w:line="400" w:lineRule="exact"/>
              <w:ind w:firstLine="420" w:firstLineChars="200"/>
              <w:rPr>
                <w:rFonts w:ascii="宋体" w:hAnsi="宋体" w:cs="宋体"/>
                <w:szCs w:val="21"/>
              </w:rPr>
            </w:pPr>
            <w:r>
              <w:rPr>
                <w:rFonts w:hint="eastAsia" w:ascii="宋体" w:hAnsi="宋体" w:cs="宋体"/>
                <w:szCs w:val="21"/>
              </w:rPr>
              <w:t>商务联系人：刘老师</w:t>
            </w:r>
          </w:p>
        </w:tc>
        <w:tc>
          <w:tcPr>
            <w:tcW w:w="1415"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80" w:hRule="atLeast"/>
        </w:trPr>
        <w:tc>
          <w:tcPr>
            <w:tcW w:w="8213" w:type="dxa"/>
            <w:vAlign w:val="center"/>
          </w:tcPr>
          <w:p>
            <w:pPr>
              <w:topLinePunct/>
              <w:spacing w:line="420" w:lineRule="exact"/>
              <w:ind w:firstLine="420" w:firstLineChars="200"/>
              <w:rPr>
                <w:rFonts w:ascii="宋体" w:hAnsi="宋体" w:cs="宋体"/>
                <w:szCs w:val="21"/>
              </w:rPr>
            </w:pPr>
            <w:r>
              <w:rPr>
                <w:rFonts w:hint="eastAsia" w:ascii="宋体" w:hAnsi="宋体" w:cs="宋体"/>
                <w:szCs w:val="21"/>
              </w:rPr>
              <w:t>电 话：18623655450</w:t>
            </w:r>
          </w:p>
        </w:tc>
        <w:tc>
          <w:tcPr>
            <w:tcW w:w="1415" w:type="dxa"/>
            <w:vAlign w:val="center"/>
          </w:tcPr>
          <w:p>
            <w:pPr>
              <w:spacing w:line="400" w:lineRule="exact"/>
              <w:ind w:firstLine="420" w:firstLineChars="200"/>
              <w:rPr>
                <w:rFonts w:ascii="宋体" w:hAnsi="宋体" w:cs="宋体"/>
                <w:szCs w:val="21"/>
              </w:rPr>
            </w:pPr>
          </w:p>
        </w:tc>
      </w:tr>
    </w:tbl>
    <w:p/>
    <w:p>
      <w:pPr>
        <w:pStyle w:val="2"/>
      </w:pPr>
    </w:p>
    <w:p/>
    <w:p>
      <w:pPr>
        <w:pStyle w:val="2"/>
      </w:pPr>
    </w:p>
    <w:p/>
    <w:p>
      <w:pPr>
        <w:pStyle w:val="2"/>
      </w:pPr>
    </w:p>
    <w:p/>
    <w:p>
      <w:pPr>
        <w:pStyle w:val="2"/>
      </w:pPr>
    </w:p>
    <w:p/>
    <w:bookmarkEnd w:id="7"/>
    <w:bookmarkEnd w:id="8"/>
    <w:p>
      <w:pPr>
        <w:pStyle w:val="3"/>
        <w:spacing w:before="0" w:after="0" w:line="360" w:lineRule="auto"/>
        <w:jc w:val="center"/>
        <w:rPr>
          <w:rFonts w:ascii="宋体" w:hAnsi="宋体" w:cs="宋体"/>
        </w:rPr>
      </w:pPr>
      <w:bookmarkStart w:id="94" w:name="_Toc507319898"/>
      <w:bookmarkStart w:id="95" w:name="_Toc21719"/>
      <w:bookmarkStart w:id="96" w:name="_Toc2000405"/>
      <w:bookmarkStart w:id="97" w:name="_Toc179632544"/>
      <w:bookmarkStart w:id="98" w:name="_Toc246996916"/>
      <w:bookmarkStart w:id="99" w:name="_Toc246996173"/>
      <w:bookmarkStart w:id="100" w:name="_Toc247085687"/>
      <w:bookmarkStart w:id="101" w:name="_Toc152045527"/>
      <w:bookmarkStart w:id="102" w:name="_Toc144974495"/>
      <w:bookmarkStart w:id="103" w:name="_Toc152042303"/>
      <w:r>
        <w:rPr>
          <w:rFonts w:hint="eastAsia" w:ascii="宋体" w:hAnsi="宋体" w:cs="宋体"/>
        </w:rPr>
        <w:br w:type="page"/>
      </w:r>
      <w:bookmarkStart w:id="104" w:name="_Toc14958"/>
      <w:r>
        <w:rPr>
          <w:rFonts w:hint="eastAsia" w:ascii="宋体" w:hAnsi="宋体" w:cs="宋体"/>
        </w:rPr>
        <w:t>第二章 报价人须知</w:t>
      </w:r>
      <w:bookmarkEnd w:id="94"/>
      <w:bookmarkEnd w:id="95"/>
      <w:bookmarkEnd w:id="96"/>
      <w:bookmarkEnd w:id="97"/>
      <w:bookmarkEnd w:id="98"/>
      <w:bookmarkEnd w:id="99"/>
      <w:bookmarkEnd w:id="100"/>
      <w:bookmarkEnd w:id="101"/>
      <w:bookmarkEnd w:id="102"/>
      <w:bookmarkEnd w:id="103"/>
      <w:bookmarkEnd w:id="104"/>
    </w:p>
    <w:p/>
    <w:tbl>
      <w:tblPr>
        <w:tblStyle w:val="41"/>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kern w:val="0"/>
                <w:szCs w:val="21"/>
              </w:rPr>
            </w:pPr>
            <w:bookmarkStart w:id="105" w:name="_Toc326760840"/>
            <w:r>
              <w:rPr>
                <w:rFonts w:hint="eastAsia" w:ascii="宋体" w:hAnsi="宋体" w:cs="宋体"/>
                <w:b/>
                <w:kern w:val="0"/>
                <w:szCs w:val="21"/>
              </w:rPr>
              <w:t>序号</w:t>
            </w:r>
          </w:p>
        </w:tc>
        <w:tc>
          <w:tcPr>
            <w:tcW w:w="2106" w:type="dxa"/>
            <w:vAlign w:val="center"/>
          </w:tcPr>
          <w:p>
            <w:pPr>
              <w:spacing w:line="400" w:lineRule="exact"/>
              <w:jc w:val="center"/>
              <w:rPr>
                <w:rFonts w:ascii="宋体" w:hAnsi="宋体" w:cs="宋体"/>
                <w:b/>
                <w:kern w:val="0"/>
                <w:szCs w:val="21"/>
              </w:rPr>
            </w:pPr>
            <w:r>
              <w:rPr>
                <w:rFonts w:hint="eastAsia" w:ascii="宋体" w:hAnsi="宋体" w:cs="宋体"/>
                <w:b/>
                <w:kern w:val="0"/>
                <w:szCs w:val="21"/>
              </w:rPr>
              <w:t>条款名称</w:t>
            </w:r>
          </w:p>
        </w:tc>
        <w:tc>
          <w:tcPr>
            <w:tcW w:w="7104" w:type="dxa"/>
            <w:vAlign w:val="center"/>
          </w:tcPr>
          <w:p>
            <w:pPr>
              <w:spacing w:line="400" w:lineRule="exact"/>
              <w:ind w:firstLine="422" w:firstLineChars="200"/>
              <w:jc w:val="center"/>
              <w:rPr>
                <w:rFonts w:ascii="宋体" w:hAnsi="宋体" w:cs="宋体"/>
                <w:b/>
                <w:kern w:val="0"/>
                <w:szCs w:val="21"/>
              </w:rPr>
            </w:pPr>
            <w:r>
              <w:rPr>
                <w:rFonts w:hint="eastAsia" w:ascii="宋体" w:hAnsi="宋体" w:cs="宋体"/>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采购人</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采购人：重庆首讯科技股份有限公司</w:t>
            </w:r>
          </w:p>
          <w:p>
            <w:pPr>
              <w:spacing w:line="400" w:lineRule="exact"/>
              <w:ind w:firstLine="420" w:firstLineChars="200"/>
              <w:rPr>
                <w:rFonts w:ascii="宋体" w:hAnsi="宋体" w:cs="宋体"/>
                <w:szCs w:val="21"/>
              </w:rPr>
            </w:pPr>
            <w:r>
              <w:rPr>
                <w:rFonts w:hint="eastAsia" w:ascii="宋体" w:hAnsi="宋体" w:cs="宋体"/>
                <w:szCs w:val="21"/>
              </w:rPr>
              <w:t>地  址：重庆市渝北区新南路52号东界龙湖三楼</w:t>
            </w:r>
          </w:p>
          <w:p>
            <w:pPr>
              <w:spacing w:line="400" w:lineRule="exact"/>
              <w:ind w:firstLine="420" w:firstLineChars="200"/>
              <w:rPr>
                <w:rFonts w:ascii="宋体" w:hAnsi="宋体" w:cs="宋体"/>
                <w:szCs w:val="21"/>
              </w:rPr>
            </w:pPr>
            <w:r>
              <w:rPr>
                <w:rFonts w:hint="eastAsia" w:ascii="宋体" w:hAnsi="宋体" w:cs="宋体"/>
                <w:szCs w:val="21"/>
              </w:rPr>
              <w:t>联系人：刘老师</w:t>
            </w:r>
          </w:p>
          <w:p>
            <w:pPr>
              <w:topLinePunct/>
              <w:spacing w:line="420" w:lineRule="exact"/>
              <w:ind w:firstLine="420" w:firstLineChars="200"/>
            </w:pPr>
            <w:r>
              <w:rPr>
                <w:rFonts w:hint="eastAsia" w:ascii="宋体" w:hAnsi="宋体" w:cs="宋体"/>
                <w:szCs w:val="21"/>
              </w:rPr>
              <w:t>电  话：18623655450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2</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项目名称</w:t>
            </w:r>
          </w:p>
        </w:tc>
        <w:tc>
          <w:tcPr>
            <w:tcW w:w="7104" w:type="dxa"/>
            <w:vAlign w:val="center"/>
          </w:tcPr>
          <w:p>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智慧高速数字孪生可视化平台开发技术服务项目</w:t>
            </w:r>
            <w:r>
              <w:rPr>
                <w:rFonts w:hint="eastAsia" w:ascii="宋体" w:hAnsi="宋体" w:cs="宋体"/>
                <w:szCs w:val="21"/>
                <w:lang w:eastAsia="zh-CN"/>
              </w:rPr>
              <w:t>（</w:t>
            </w:r>
            <w:r>
              <w:rPr>
                <w:rFonts w:hint="eastAsia" w:ascii="宋体" w:hAnsi="宋体" w:cs="宋体"/>
                <w:szCs w:val="21"/>
                <w:lang w:val="en-US" w:eastAsia="zh-CN"/>
              </w:rPr>
              <w:t>第二次</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3</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项目地点</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4</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资金来源</w:t>
            </w:r>
          </w:p>
        </w:tc>
        <w:tc>
          <w:tcPr>
            <w:tcW w:w="7104" w:type="dxa"/>
            <w:vAlign w:val="center"/>
          </w:tcPr>
          <w:p>
            <w:pPr>
              <w:autoSpaceDE w:val="0"/>
              <w:autoSpaceDN w:val="0"/>
              <w:adjustRightInd w:val="0"/>
              <w:spacing w:line="400" w:lineRule="exact"/>
              <w:ind w:firstLine="420" w:firstLineChars="200"/>
              <w:rPr>
                <w:rFonts w:ascii="宋体" w:hAnsi="宋体" w:cs="宋体"/>
                <w:szCs w:val="21"/>
              </w:rPr>
            </w:pPr>
            <w:r>
              <w:rPr>
                <w:rFonts w:hint="eastAsia" w:ascii="宋体" w:hAnsi="宋体" w:cs="宋体"/>
                <w:szCs w:val="21"/>
              </w:rPr>
              <w:t>重庆首讯科技股份有限公司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5</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出资比例</w:t>
            </w:r>
          </w:p>
        </w:tc>
        <w:tc>
          <w:tcPr>
            <w:tcW w:w="7104" w:type="dxa"/>
            <w:vAlign w:val="center"/>
          </w:tcPr>
          <w:p>
            <w:pPr>
              <w:autoSpaceDE w:val="0"/>
              <w:autoSpaceDN w:val="0"/>
              <w:adjustRightInd w:val="0"/>
              <w:spacing w:line="400" w:lineRule="exact"/>
              <w:ind w:firstLine="420" w:firstLineChars="200"/>
              <w:rPr>
                <w:rFonts w:ascii="宋体" w:hAnsi="宋体" w:cs="宋体"/>
                <w:szCs w:val="21"/>
              </w:rPr>
            </w:pPr>
            <w:r>
              <w:rPr>
                <w:rFonts w:hint="eastAsia" w:ascii="宋体" w:hAnsi="宋体" w:cs="宋体"/>
                <w:szCs w:val="21"/>
              </w:rPr>
              <w:t>业主100%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6</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资金落实情况</w:t>
            </w:r>
          </w:p>
        </w:tc>
        <w:tc>
          <w:tcPr>
            <w:tcW w:w="7104" w:type="dxa"/>
            <w:vAlign w:val="center"/>
          </w:tcPr>
          <w:p>
            <w:pPr>
              <w:autoSpaceDE w:val="0"/>
              <w:autoSpaceDN w:val="0"/>
              <w:adjustRightInd w:val="0"/>
              <w:spacing w:line="400" w:lineRule="exact"/>
              <w:ind w:firstLine="420" w:firstLineChars="200"/>
              <w:rPr>
                <w:rFonts w:ascii="宋体" w:hAnsi="宋体" w:cs="宋体"/>
                <w:szCs w:val="21"/>
              </w:rPr>
            </w:pPr>
            <w:r>
              <w:rPr>
                <w:rFonts w:hint="eastAsia" w:ascii="宋体" w:hAnsi="宋体" w:cs="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7</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比选范围</w:t>
            </w:r>
          </w:p>
        </w:tc>
        <w:tc>
          <w:tcPr>
            <w:tcW w:w="7104" w:type="dxa"/>
            <w:vAlign w:val="center"/>
          </w:tcPr>
          <w:p>
            <w:pPr>
              <w:autoSpaceDE w:val="0"/>
              <w:autoSpaceDN w:val="0"/>
              <w:adjustRightInd w:val="0"/>
              <w:spacing w:line="400" w:lineRule="exact"/>
              <w:ind w:firstLine="420" w:firstLineChars="200"/>
              <w:rPr>
                <w:rFonts w:ascii="宋体" w:hAnsi="宋体" w:cs="宋体"/>
                <w:szCs w:val="21"/>
              </w:rPr>
            </w:pPr>
            <w:r>
              <w:rPr>
                <w:rFonts w:hint="eastAsia" w:ascii="宋体" w:hAnsi="宋体" w:cs="宋体"/>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8</w:t>
            </w:r>
          </w:p>
        </w:tc>
        <w:tc>
          <w:tcPr>
            <w:tcW w:w="2106" w:type="dxa"/>
            <w:vAlign w:val="center"/>
          </w:tcPr>
          <w:p>
            <w:pPr>
              <w:spacing w:line="400" w:lineRule="exact"/>
              <w:jc w:val="center"/>
              <w:rPr>
                <w:rFonts w:ascii="宋体" w:hAnsi="宋体" w:cs="宋体"/>
                <w:szCs w:val="21"/>
              </w:rPr>
            </w:pPr>
            <w:r>
              <w:rPr>
                <w:rFonts w:hint="eastAsia" w:ascii="宋体" w:hAnsi="宋体" w:cs="宋体"/>
                <w:kern w:val="0"/>
                <w:szCs w:val="21"/>
              </w:rPr>
              <w:t>计划工期</w:t>
            </w:r>
          </w:p>
        </w:tc>
        <w:tc>
          <w:tcPr>
            <w:tcW w:w="7104" w:type="dxa"/>
            <w:vAlign w:val="center"/>
          </w:tcPr>
          <w:p>
            <w:pPr>
              <w:autoSpaceDE w:val="0"/>
              <w:autoSpaceDN w:val="0"/>
              <w:adjustRightInd w:val="0"/>
              <w:spacing w:line="400" w:lineRule="exact"/>
              <w:ind w:firstLine="420" w:firstLineChars="200"/>
              <w:rPr>
                <w:rFonts w:ascii="宋体" w:hAnsi="宋体" w:cs="宋体"/>
                <w:szCs w:val="21"/>
              </w:rPr>
            </w:pPr>
            <w:r>
              <w:rPr>
                <w:rFonts w:hint="eastAsia" w:ascii="宋体" w:hAnsi="宋体" w:cs="宋体"/>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9</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质量要求</w:t>
            </w:r>
          </w:p>
        </w:tc>
        <w:tc>
          <w:tcPr>
            <w:tcW w:w="7104" w:type="dxa"/>
          </w:tcPr>
          <w:p>
            <w:pPr>
              <w:spacing w:line="400" w:lineRule="exact"/>
              <w:ind w:firstLine="420" w:firstLineChars="200"/>
              <w:rPr>
                <w:rFonts w:ascii="宋体" w:hAnsi="宋体" w:cs="宋体"/>
                <w:kern w:val="0"/>
                <w:szCs w:val="21"/>
              </w:rPr>
            </w:pPr>
            <w:r>
              <w:rPr>
                <w:rFonts w:hint="eastAsia" w:ascii="宋体" w:hAnsi="宋体" w:cs="宋体"/>
                <w:szCs w:val="21"/>
              </w:rPr>
              <w:t>达到国家和地方现行有关质量标准和比选文件第七章技术标准和工作要求，并且一次性验收合格。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10</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安全目标</w:t>
            </w:r>
          </w:p>
        </w:tc>
        <w:tc>
          <w:tcPr>
            <w:tcW w:w="7104" w:type="dxa"/>
          </w:tcPr>
          <w:p>
            <w:pPr>
              <w:spacing w:line="400" w:lineRule="exact"/>
              <w:ind w:firstLine="420" w:firstLineChars="200"/>
              <w:rPr>
                <w:rFonts w:ascii="宋体" w:hAnsi="宋体" w:cs="宋体"/>
                <w:szCs w:val="21"/>
              </w:rPr>
            </w:pPr>
            <w:r>
              <w:rPr>
                <w:rFonts w:hint="eastAsia" w:ascii="宋体" w:hAnsi="宋体" w:cs="宋体"/>
                <w:szCs w:val="21"/>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11</w:t>
            </w:r>
          </w:p>
        </w:tc>
        <w:tc>
          <w:tcPr>
            <w:tcW w:w="2106" w:type="dxa"/>
            <w:vAlign w:val="center"/>
          </w:tcPr>
          <w:p>
            <w:pPr>
              <w:spacing w:line="400" w:lineRule="exact"/>
              <w:jc w:val="center"/>
              <w:rPr>
                <w:rFonts w:ascii="宋体" w:hAnsi="宋体" w:cs="宋体"/>
                <w:kern w:val="0"/>
                <w:szCs w:val="21"/>
              </w:rPr>
            </w:pPr>
            <w:r>
              <w:rPr>
                <w:rFonts w:hint="eastAsia" w:ascii="宋体" w:hAnsi="宋体" w:cs="宋体"/>
                <w:szCs w:val="21"/>
              </w:rPr>
              <w:t>报价人资质条件、能力与信誉</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（1）资质条件：见附录1</w:t>
            </w:r>
          </w:p>
          <w:p>
            <w:pPr>
              <w:spacing w:line="400" w:lineRule="exact"/>
              <w:ind w:firstLine="420" w:firstLineChars="200"/>
              <w:rPr>
                <w:rFonts w:ascii="宋体" w:hAnsi="宋体" w:cs="宋体"/>
                <w:szCs w:val="21"/>
              </w:rPr>
            </w:pPr>
            <w:r>
              <w:rPr>
                <w:rFonts w:hint="eastAsia" w:ascii="宋体" w:hAnsi="宋体" w:cs="宋体"/>
                <w:szCs w:val="21"/>
              </w:rPr>
              <w:t>（2）财务要求：见附录2</w:t>
            </w:r>
          </w:p>
          <w:p>
            <w:pPr>
              <w:spacing w:line="400" w:lineRule="exact"/>
              <w:ind w:firstLine="420" w:firstLineChars="200"/>
              <w:rPr>
                <w:rFonts w:ascii="宋体" w:hAnsi="宋体" w:cs="宋体"/>
                <w:szCs w:val="21"/>
              </w:rPr>
            </w:pPr>
            <w:r>
              <w:rPr>
                <w:rFonts w:hint="eastAsia" w:ascii="宋体" w:hAnsi="宋体" w:cs="宋体"/>
                <w:szCs w:val="21"/>
              </w:rPr>
              <w:t>（3）业绩要求：见附录3</w:t>
            </w:r>
          </w:p>
          <w:p>
            <w:pPr>
              <w:spacing w:line="400" w:lineRule="exact"/>
              <w:ind w:firstLine="420" w:firstLineChars="200"/>
              <w:rPr>
                <w:rFonts w:ascii="宋体" w:hAnsi="宋体" w:cs="宋体"/>
                <w:szCs w:val="21"/>
              </w:rPr>
            </w:pPr>
            <w:r>
              <w:rPr>
                <w:rFonts w:hint="eastAsia" w:ascii="宋体" w:hAnsi="宋体" w:cs="宋体"/>
                <w:szCs w:val="21"/>
              </w:rPr>
              <w:t>（4）信誉要求：见附录4</w:t>
            </w:r>
          </w:p>
          <w:p>
            <w:pPr>
              <w:spacing w:line="400" w:lineRule="exact"/>
              <w:ind w:firstLine="420" w:firstLineChars="200"/>
              <w:rPr>
                <w:rFonts w:ascii="宋体" w:hAnsi="宋体" w:cs="宋体"/>
                <w:szCs w:val="21"/>
              </w:rPr>
            </w:pPr>
            <w:r>
              <w:rPr>
                <w:rFonts w:hint="eastAsia" w:ascii="宋体" w:hAnsi="宋体" w:cs="宋体"/>
                <w:szCs w:val="21"/>
              </w:rPr>
              <w:t>（5）项目主要人员要求：见附录5</w:t>
            </w:r>
          </w:p>
          <w:p>
            <w:pPr>
              <w:spacing w:line="400" w:lineRule="exact"/>
              <w:ind w:firstLine="420" w:firstLineChars="200"/>
              <w:rPr>
                <w:rFonts w:ascii="宋体" w:hAnsi="宋体" w:cs="宋体"/>
                <w:szCs w:val="21"/>
              </w:rPr>
            </w:pPr>
            <w:r>
              <w:rPr>
                <w:rFonts w:hint="eastAsia" w:ascii="宋体" w:hAnsi="宋体" w:cs="宋体"/>
                <w:szCs w:val="21"/>
              </w:rPr>
              <w:t>（6）其他要求：见附录6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12</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是否接受</w:t>
            </w:r>
          </w:p>
          <w:p>
            <w:pPr>
              <w:spacing w:line="400" w:lineRule="exact"/>
              <w:jc w:val="center"/>
              <w:rPr>
                <w:rFonts w:ascii="宋体" w:hAnsi="宋体" w:cs="宋体"/>
                <w:kern w:val="0"/>
                <w:szCs w:val="21"/>
              </w:rPr>
            </w:pPr>
            <w:r>
              <w:rPr>
                <w:rFonts w:hint="eastAsia" w:ascii="宋体" w:hAnsi="宋体" w:cs="宋体"/>
                <w:kern w:val="0"/>
                <w:szCs w:val="21"/>
              </w:rPr>
              <w:t>联合体报价</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13</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踏勘现场</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14</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分包</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15</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偏差</w:t>
            </w:r>
          </w:p>
        </w:tc>
        <w:tc>
          <w:tcPr>
            <w:tcW w:w="7104" w:type="dxa"/>
            <w:vAlign w:val="center"/>
          </w:tcPr>
          <w:p>
            <w:pPr>
              <w:spacing w:line="400" w:lineRule="exact"/>
              <w:ind w:firstLine="422" w:firstLineChars="200"/>
              <w:rPr>
                <w:rFonts w:ascii="宋体" w:hAnsi="宋体" w:cs="宋体"/>
                <w:kern w:val="0"/>
                <w:szCs w:val="21"/>
              </w:rPr>
            </w:pPr>
            <w:r>
              <w:rPr>
                <w:rFonts w:hint="eastAsia" w:ascii="宋体" w:hAnsi="宋体" w:cs="宋体"/>
                <w:b/>
                <w:kern w:val="0"/>
                <w:szCs w:val="21"/>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16</w:t>
            </w:r>
          </w:p>
        </w:tc>
        <w:tc>
          <w:tcPr>
            <w:tcW w:w="2106" w:type="dxa"/>
            <w:vAlign w:val="center"/>
          </w:tcPr>
          <w:p>
            <w:pPr>
              <w:spacing w:line="440" w:lineRule="exact"/>
              <w:jc w:val="center"/>
              <w:rPr>
                <w:rFonts w:ascii="宋体" w:hAnsi="宋体" w:cs="宋体"/>
                <w:kern w:val="0"/>
                <w:szCs w:val="21"/>
              </w:rPr>
            </w:pPr>
            <w:r>
              <w:rPr>
                <w:rFonts w:hint="eastAsia" w:ascii="宋体" w:hAnsi="宋体" w:cs="宋体"/>
                <w:bCs/>
                <w:szCs w:val="21"/>
              </w:rPr>
              <w:t>构成比选文件的其他材料</w:t>
            </w:r>
          </w:p>
        </w:tc>
        <w:tc>
          <w:tcPr>
            <w:tcW w:w="7104" w:type="dxa"/>
            <w:vAlign w:val="center"/>
          </w:tcPr>
          <w:p>
            <w:pPr>
              <w:spacing w:line="440" w:lineRule="exact"/>
              <w:ind w:firstLine="420" w:firstLineChars="200"/>
              <w:rPr>
                <w:rFonts w:ascii="宋体" w:hAnsi="宋体" w:cs="宋体"/>
                <w:szCs w:val="21"/>
              </w:rPr>
            </w:pPr>
            <w:r>
              <w:rPr>
                <w:rFonts w:hint="eastAsia" w:ascii="宋体" w:hAnsi="宋体" w:cs="宋体"/>
                <w:szCs w:val="21"/>
              </w:rPr>
              <w:t>采购人发布的工程量清单、补遗书、答疑、澄清、最高限价通知等附件。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ascii="宋体" w:hAnsi="宋体" w:cs="宋体"/>
                <w:kern w:val="0"/>
                <w:szCs w:val="21"/>
              </w:rPr>
            </w:pPr>
            <w:bookmarkStart w:id="106" w:name="_Hlt227984024"/>
            <w:bookmarkEnd w:id="106"/>
            <w:r>
              <w:rPr>
                <w:rFonts w:hint="eastAsia" w:ascii="宋体" w:hAnsi="宋体" w:cs="宋体"/>
                <w:kern w:val="0"/>
                <w:szCs w:val="21"/>
              </w:rPr>
              <w:t>17</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构成竞争性比选响应文件的其他材料</w:t>
            </w:r>
          </w:p>
        </w:tc>
        <w:tc>
          <w:tcPr>
            <w:tcW w:w="7104" w:type="dxa"/>
            <w:vAlign w:val="center"/>
          </w:tcPr>
          <w:p>
            <w:pPr>
              <w:pStyle w:val="50"/>
              <w:spacing w:before="72" w:line="400" w:lineRule="exact"/>
              <w:ind w:firstLine="420" w:firstLineChars="200"/>
              <w:jc w:val="both"/>
              <w:rPr>
                <w:rFonts w:hAnsi="宋体"/>
                <w:color w:val="auto"/>
                <w:sz w:val="21"/>
                <w:szCs w:val="21"/>
              </w:rPr>
            </w:pPr>
            <w:r>
              <w:rPr>
                <w:rFonts w:hint="eastAsia" w:hAnsi="宋体"/>
                <w:color w:val="auto"/>
                <w:sz w:val="21"/>
                <w:szCs w:val="21"/>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18</w:t>
            </w:r>
          </w:p>
        </w:tc>
        <w:tc>
          <w:tcPr>
            <w:tcW w:w="2106" w:type="dxa"/>
            <w:tcBorders>
              <w:bottom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工程量清单的填写方式</w:t>
            </w:r>
          </w:p>
        </w:tc>
        <w:tc>
          <w:tcPr>
            <w:tcW w:w="7104" w:type="dxa"/>
            <w:tcBorders>
              <w:bottom w:val="single" w:color="auto" w:sz="4" w:space="0"/>
            </w:tcBorders>
          </w:tcPr>
          <w:p>
            <w:pPr>
              <w:spacing w:line="400" w:lineRule="exact"/>
              <w:ind w:firstLine="420" w:firstLineChars="200"/>
              <w:jc w:val="left"/>
              <w:rPr>
                <w:rFonts w:ascii="宋体" w:hAnsi="宋体" w:cs="宋体"/>
                <w:szCs w:val="21"/>
              </w:rPr>
            </w:pPr>
            <w:r>
              <w:rPr>
                <w:rFonts w:hint="eastAsia" w:ascii="宋体" w:hAnsi="宋体" w:cs="宋体"/>
              </w:rPr>
              <w:t>报价人按照采购人提供的工程量清单填写工程量清单</w:t>
            </w:r>
          </w:p>
          <w:p>
            <w:pPr>
              <w:spacing w:line="400" w:lineRule="exact"/>
              <w:ind w:firstLine="422" w:firstLineChars="200"/>
              <w:rPr>
                <w:rFonts w:ascii="宋体" w:hAnsi="宋体" w:cs="宋体"/>
                <w:b/>
                <w:szCs w:val="21"/>
              </w:rPr>
            </w:pPr>
            <w:r>
              <w:rPr>
                <w:rFonts w:hint="eastAsia" w:ascii="宋体" w:hAnsi="宋体" w:cs="宋体"/>
                <w:b/>
                <w:szCs w:val="21"/>
              </w:rPr>
              <w:t>综合单价取小数点后两位，小数点后第三位四舍五入。</w:t>
            </w:r>
          </w:p>
          <w:p>
            <w:pPr>
              <w:spacing w:line="400" w:lineRule="exact"/>
              <w:ind w:firstLine="422" w:firstLineChars="200"/>
              <w:rPr>
                <w:rFonts w:ascii="宋体" w:hAnsi="宋体" w:cs="宋体"/>
                <w:szCs w:val="21"/>
              </w:rPr>
            </w:pPr>
            <w:r>
              <w:rPr>
                <w:rFonts w:hint="eastAsia" w:ascii="宋体" w:hAnsi="宋体" w:cs="宋体"/>
                <w:b/>
                <w:bCs/>
                <w:szCs w:val="21"/>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19</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最高投标限价</w:t>
            </w:r>
          </w:p>
        </w:tc>
        <w:tc>
          <w:tcPr>
            <w:tcW w:w="7104" w:type="dxa"/>
            <w:tcBorders>
              <w:bottom w:val="single" w:color="auto" w:sz="4" w:space="0"/>
            </w:tcBorders>
          </w:tcPr>
          <w:p>
            <w:pPr>
              <w:spacing w:line="400" w:lineRule="exact"/>
              <w:ind w:firstLine="422" w:firstLineChars="200"/>
              <w:rPr>
                <w:rFonts w:ascii="宋体" w:hAnsi="宋体"/>
                <w:szCs w:val="21"/>
              </w:rPr>
            </w:pPr>
            <w:r>
              <w:rPr>
                <w:rFonts w:hint="eastAsia" w:ascii="宋体" w:hAnsi="宋体"/>
                <w:b/>
                <w:bCs/>
                <w:szCs w:val="21"/>
              </w:rPr>
              <w:t>本项目最高限价</w:t>
            </w:r>
            <w:r>
              <w:rPr>
                <w:rFonts w:hint="eastAsia" w:ascii="宋体" w:hAnsi="宋体"/>
                <w:b/>
                <w:bCs/>
                <w:szCs w:val="21"/>
                <w:highlight w:val="none"/>
                <w:u w:val="single"/>
                <w:lang w:val="en-US" w:eastAsia="zh-CN"/>
              </w:rPr>
              <w:t>828400.00</w:t>
            </w:r>
            <w:r>
              <w:rPr>
                <w:rFonts w:hint="eastAsia" w:ascii="宋体" w:hAnsi="宋体"/>
                <w:b/>
                <w:bCs/>
                <w:szCs w:val="21"/>
                <w:highlight w:val="none"/>
              </w:rPr>
              <w:t>元。</w:t>
            </w:r>
          </w:p>
          <w:p>
            <w:pPr>
              <w:spacing w:line="400" w:lineRule="exact"/>
              <w:ind w:firstLine="422" w:firstLineChars="200"/>
              <w:rPr>
                <w:rFonts w:ascii="宋体" w:hAnsi="宋体" w:cs="宋体"/>
                <w:b/>
                <w:bCs/>
                <w:kern w:val="0"/>
                <w:szCs w:val="21"/>
              </w:rPr>
            </w:pPr>
            <w:r>
              <w:rPr>
                <w:rFonts w:hint="eastAsia" w:ascii="宋体" w:hAnsi="宋体" w:cs="宋体"/>
                <w:b/>
                <w:szCs w:val="21"/>
              </w:rPr>
              <w:t>报价人总价及单项目报价均不得高于采购人发布的最高限价和单项目限价，否则其竞争性比选响应文件视为重大偏差，竞争性比选响应文件将按否决报价处理</w:t>
            </w:r>
            <w:r>
              <w:rPr>
                <w:rFonts w:hint="eastAsia" w:ascii="宋体" w:hAnsi="宋体" w:cs="宋体"/>
                <w:b/>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20</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合同支付办法</w:t>
            </w:r>
          </w:p>
        </w:tc>
        <w:tc>
          <w:tcPr>
            <w:tcW w:w="7104" w:type="dxa"/>
            <w:tcBorders>
              <w:bottom w:val="single" w:color="auto" w:sz="4" w:space="0"/>
            </w:tcBorders>
          </w:tcPr>
          <w:p>
            <w:pPr>
              <w:pStyle w:val="2"/>
              <w:ind w:firstLine="420" w:firstLineChars="200"/>
              <w:rPr>
                <w:rFonts w:ascii="Times New Roman" w:hAnsi="Times New Roman"/>
                <w:b w:val="0"/>
                <w:bCs w:val="0"/>
                <w:caps w:val="0"/>
                <w:sz w:val="21"/>
                <w:szCs w:val="24"/>
              </w:rPr>
            </w:pPr>
            <w:r>
              <w:rPr>
                <w:rFonts w:hint="eastAsia" w:ascii="Times New Roman" w:hAnsi="Times New Roman"/>
                <w:b w:val="0"/>
                <w:bCs w:val="0"/>
                <w:caps w:val="0"/>
                <w:sz w:val="21"/>
                <w:szCs w:val="24"/>
              </w:rPr>
              <w:t>1、本合同签订后，中标人完成本项目设计审评后，由中标人向采购人提供正式发票后10个工作日内，采购人向中标人支付合同总金额的30%进度款。</w:t>
            </w:r>
          </w:p>
          <w:p>
            <w:pPr>
              <w:pStyle w:val="2"/>
              <w:ind w:firstLine="420" w:firstLineChars="200"/>
              <w:rPr>
                <w:rFonts w:ascii="Times New Roman" w:hAnsi="Times New Roman"/>
                <w:b w:val="0"/>
                <w:bCs w:val="0"/>
                <w:caps w:val="0"/>
                <w:sz w:val="21"/>
                <w:szCs w:val="24"/>
              </w:rPr>
            </w:pPr>
            <w:r>
              <w:rPr>
                <w:rFonts w:hint="eastAsia" w:ascii="Times New Roman" w:hAnsi="Times New Roman"/>
                <w:b w:val="0"/>
                <w:bCs w:val="0"/>
                <w:caps w:val="0"/>
                <w:sz w:val="21"/>
                <w:szCs w:val="24"/>
              </w:rPr>
              <w:t>2、中标人按要求完成本项目的服务内容并验收通过后，由中标人向采购人提供正式发票10个工作日内，采购人向中标人支付合同总金额的65%进度款。</w:t>
            </w:r>
          </w:p>
          <w:p>
            <w:pPr>
              <w:spacing w:line="400" w:lineRule="exact"/>
              <w:ind w:firstLine="420" w:firstLineChars="200"/>
            </w:pPr>
            <w:r>
              <w:rPr>
                <w:rFonts w:hint="eastAsia"/>
              </w:rPr>
              <w:t>3、项目完成验收1年后，由中标人向采购人提供正式发票10个工作日内，采购人向中标人支付合同总金额的5%的质保金。由中标人主动提出书面申请，经采购人业务部门确认后，30个工作日内全额退还（质量保证金不计任何利息），若中标人未提出书面申请，则相应的延迟责任由中标人自行承担。注：乙方每次办理支付前须开具等额的增值税专用发票给甲方，否则甲方不予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21</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乙方人员的管理</w:t>
            </w:r>
          </w:p>
        </w:tc>
        <w:tc>
          <w:tcPr>
            <w:tcW w:w="7104" w:type="dxa"/>
            <w:tcBorders>
              <w:bottom w:val="single" w:color="auto" w:sz="4" w:space="0"/>
            </w:tcBorders>
            <w:vAlign w:val="center"/>
          </w:tcPr>
          <w:p>
            <w:pPr>
              <w:spacing w:line="400" w:lineRule="exact"/>
              <w:ind w:firstLine="420" w:firstLineChars="200"/>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22</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szCs w:val="21"/>
              </w:rPr>
              <w:t>乙方人员违约的处理</w:t>
            </w:r>
          </w:p>
        </w:tc>
        <w:tc>
          <w:tcPr>
            <w:tcW w:w="7104" w:type="dxa"/>
            <w:tcBorders>
              <w:bottom w:val="single" w:color="auto" w:sz="4" w:space="0"/>
            </w:tcBorders>
          </w:tcPr>
          <w:p>
            <w:pPr>
              <w:spacing w:line="400" w:lineRule="exact"/>
              <w:ind w:firstLine="420" w:firstLineChars="200"/>
            </w:pPr>
            <w:r>
              <w:rPr>
                <w:rFonts w:hint="eastAsia"/>
              </w:rPr>
              <w:t>1.乙方未能按合同进度计划及时完成合同约定的工作，已造成或预期造成工期延误，甲方有权终止乙方不能按合同约定或预期不能按时完成的剩余工程，并由甲方另行选择单位实施，且因此产生的费用由乙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ascii="宋体" w:hAnsi="宋体" w:cs="宋体"/>
                <w:szCs w:val="21"/>
              </w:rPr>
            </w:pPr>
            <w:r>
              <w:rPr>
                <w:rFonts w:hint="eastAsia" w:ascii="宋体" w:hAnsi="宋体" w:cs="宋体"/>
                <w:szCs w:val="21"/>
              </w:rPr>
              <w:t>22</w:t>
            </w:r>
          </w:p>
        </w:tc>
        <w:tc>
          <w:tcPr>
            <w:tcW w:w="2106" w:type="dxa"/>
          </w:tcPr>
          <w:p>
            <w:pPr>
              <w:spacing w:line="400" w:lineRule="exact"/>
              <w:jc w:val="center"/>
              <w:rPr>
                <w:rFonts w:ascii="宋体" w:hAnsi="宋体" w:cs="宋体"/>
                <w:szCs w:val="21"/>
              </w:rPr>
            </w:pPr>
            <w:r>
              <w:rPr>
                <w:rFonts w:hint="eastAsia" w:ascii="宋体" w:hAnsi="宋体" w:cs="宋体"/>
                <w:szCs w:val="21"/>
              </w:rPr>
              <w:t>中标候选人的人数</w:t>
            </w:r>
          </w:p>
        </w:tc>
        <w:tc>
          <w:tcPr>
            <w:tcW w:w="7104" w:type="dxa"/>
            <w:vAlign w:val="center"/>
          </w:tcPr>
          <w:p>
            <w:pPr>
              <w:spacing w:line="400" w:lineRule="exact"/>
              <w:ind w:firstLine="420" w:firstLineChars="200"/>
              <w:rPr>
                <w:rFonts w:ascii="宋体" w:hAnsi="宋体" w:cs="宋体"/>
              </w:rPr>
            </w:pPr>
            <w:r>
              <w:rPr>
                <w:rFonts w:hint="eastAsia" w:ascii="宋体" w:hAnsi="宋体" w:cs="宋体"/>
              </w:rPr>
              <w:t>推荐的中标候选人数：2名。</w:t>
            </w:r>
            <w:r>
              <w:rPr>
                <w:rFonts w:hint="eastAsia" w:ascii="宋体" w:hAnsi="宋体" w:cs="宋体"/>
                <w:lang w:val="en-US" w:eastAsia="zh-CN"/>
              </w:rPr>
              <w:t>若为第二次及以上次数比选因报价单位不足可只推荐1名</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50"/>
              <w:spacing w:line="400" w:lineRule="exact"/>
              <w:jc w:val="center"/>
              <w:rPr>
                <w:rFonts w:hAnsi="宋体"/>
                <w:color w:val="auto"/>
                <w:sz w:val="21"/>
                <w:szCs w:val="21"/>
              </w:rPr>
            </w:pPr>
            <w:r>
              <w:rPr>
                <w:rFonts w:hint="eastAsia" w:hAnsi="宋体"/>
                <w:color w:val="auto"/>
                <w:kern w:val="2"/>
                <w:sz w:val="21"/>
                <w:szCs w:val="21"/>
              </w:rPr>
              <w:t>23</w:t>
            </w:r>
          </w:p>
        </w:tc>
        <w:tc>
          <w:tcPr>
            <w:tcW w:w="2106" w:type="dxa"/>
            <w:vAlign w:val="center"/>
          </w:tcPr>
          <w:p>
            <w:pPr>
              <w:pStyle w:val="50"/>
              <w:spacing w:line="400" w:lineRule="exact"/>
              <w:jc w:val="center"/>
              <w:rPr>
                <w:rFonts w:hAnsi="宋体"/>
                <w:color w:val="auto"/>
                <w:sz w:val="21"/>
                <w:szCs w:val="21"/>
              </w:rPr>
            </w:pPr>
            <w:r>
              <w:rPr>
                <w:rFonts w:hint="eastAsia" w:hAnsi="宋体"/>
                <w:color w:val="auto"/>
                <w:kern w:val="2"/>
                <w:sz w:val="21"/>
                <w:szCs w:val="21"/>
              </w:rPr>
              <w:t>监督部门</w:t>
            </w:r>
          </w:p>
        </w:tc>
        <w:tc>
          <w:tcPr>
            <w:tcW w:w="7104" w:type="dxa"/>
            <w:vAlign w:val="center"/>
          </w:tcPr>
          <w:p>
            <w:pPr>
              <w:pStyle w:val="50"/>
              <w:spacing w:line="400" w:lineRule="exact"/>
              <w:ind w:firstLine="420" w:firstLineChars="200"/>
              <w:rPr>
                <w:rFonts w:hAnsi="宋体"/>
                <w:color w:val="auto"/>
                <w:kern w:val="2"/>
                <w:sz w:val="21"/>
                <w:szCs w:val="21"/>
              </w:rPr>
            </w:pPr>
            <w:r>
              <w:rPr>
                <w:rFonts w:hint="eastAsia" w:hAnsi="宋体"/>
                <w:color w:val="auto"/>
                <w:kern w:val="2"/>
                <w:sz w:val="21"/>
                <w:szCs w:val="21"/>
              </w:rPr>
              <w:t>监督部门：重庆首讯科技股份有限公司</w:t>
            </w:r>
            <w:r>
              <w:rPr>
                <w:rFonts w:hint="eastAsia" w:hAnsi="宋体"/>
                <w:color w:val="auto"/>
                <w:kern w:val="2"/>
                <w:sz w:val="21"/>
                <w:szCs w:val="21"/>
                <w:lang w:val="en-US" w:eastAsia="zh-CN"/>
              </w:rPr>
              <w:t>合规监管</w:t>
            </w:r>
            <w:r>
              <w:rPr>
                <w:rFonts w:hint="eastAsia" w:hAnsi="宋体"/>
                <w:color w:val="auto"/>
                <w:kern w:val="2"/>
                <w:sz w:val="21"/>
                <w:szCs w:val="21"/>
              </w:rPr>
              <w:t>部</w:t>
            </w:r>
          </w:p>
          <w:p>
            <w:pPr>
              <w:pStyle w:val="50"/>
              <w:spacing w:line="400" w:lineRule="exact"/>
              <w:ind w:firstLine="420" w:firstLineChars="200"/>
              <w:rPr>
                <w:rFonts w:hAnsi="宋体"/>
                <w:color w:val="auto"/>
                <w:kern w:val="2"/>
                <w:sz w:val="21"/>
                <w:szCs w:val="21"/>
              </w:rPr>
            </w:pPr>
            <w:r>
              <w:rPr>
                <w:rFonts w:hint="eastAsia" w:hAnsi="宋体"/>
                <w:color w:val="auto"/>
                <w:kern w:val="2"/>
                <w:sz w:val="21"/>
                <w:szCs w:val="21"/>
              </w:rPr>
              <w:t>地    址：重庆市渝北区新南路52号东界龙湖三楼</w:t>
            </w:r>
          </w:p>
          <w:p>
            <w:pPr>
              <w:pStyle w:val="50"/>
              <w:spacing w:line="400" w:lineRule="exact"/>
              <w:ind w:firstLine="420" w:firstLineChars="200"/>
              <w:rPr>
                <w:rFonts w:hAnsi="宋体"/>
                <w:color w:val="auto"/>
                <w:sz w:val="21"/>
                <w:szCs w:val="21"/>
              </w:rPr>
            </w:pPr>
            <w:r>
              <w:rPr>
                <w:rFonts w:hint="eastAsia" w:hAnsi="宋体"/>
                <w:color w:val="auto"/>
                <w:kern w:val="2"/>
                <w:sz w:val="21"/>
                <w:szCs w:val="21"/>
              </w:rPr>
              <w:t>电    话：</w:t>
            </w:r>
            <w:r>
              <w:rPr>
                <w:rFonts w:hint="eastAsia" w:hAnsi="宋体"/>
                <w:color w:val="auto"/>
                <w:kern w:val="2"/>
                <w:sz w:val="21"/>
                <w:szCs w:val="21"/>
                <w:lang w:val="en-US" w:eastAsia="zh-CN"/>
              </w:rPr>
              <w:t>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50"/>
              <w:spacing w:line="400" w:lineRule="exact"/>
              <w:jc w:val="center"/>
              <w:rPr>
                <w:rFonts w:hAnsi="宋体"/>
                <w:color w:val="auto"/>
                <w:kern w:val="2"/>
                <w:sz w:val="21"/>
                <w:szCs w:val="21"/>
              </w:rPr>
            </w:pPr>
            <w:r>
              <w:rPr>
                <w:rFonts w:hint="eastAsia" w:hAnsi="宋体"/>
                <w:color w:val="auto"/>
                <w:kern w:val="2"/>
                <w:sz w:val="21"/>
                <w:szCs w:val="21"/>
              </w:rPr>
              <w:t>24</w:t>
            </w:r>
          </w:p>
        </w:tc>
        <w:tc>
          <w:tcPr>
            <w:tcW w:w="2106" w:type="dxa"/>
            <w:vAlign w:val="center"/>
          </w:tcPr>
          <w:p>
            <w:pPr>
              <w:pStyle w:val="50"/>
              <w:spacing w:line="400" w:lineRule="exact"/>
              <w:jc w:val="center"/>
              <w:rPr>
                <w:rFonts w:hAnsi="宋体"/>
                <w:color w:val="auto"/>
                <w:kern w:val="2"/>
                <w:sz w:val="21"/>
                <w:szCs w:val="21"/>
              </w:rPr>
            </w:pPr>
            <w:r>
              <w:rPr>
                <w:rFonts w:hint="eastAsia" w:hAnsi="宋体"/>
                <w:color w:val="auto"/>
                <w:kern w:val="2"/>
                <w:sz w:val="21"/>
                <w:szCs w:val="21"/>
              </w:rPr>
              <w:t>竞争性比选响应文件的递交</w:t>
            </w:r>
          </w:p>
        </w:tc>
        <w:tc>
          <w:tcPr>
            <w:tcW w:w="7104" w:type="dxa"/>
            <w:vAlign w:val="center"/>
          </w:tcPr>
          <w:p>
            <w:pPr>
              <w:pStyle w:val="50"/>
              <w:spacing w:line="400" w:lineRule="exact"/>
              <w:ind w:firstLine="420" w:firstLineChars="200"/>
              <w:rPr>
                <w:rFonts w:hAnsi="宋体"/>
                <w:color w:val="auto"/>
                <w:kern w:val="2"/>
                <w:sz w:val="21"/>
                <w:szCs w:val="21"/>
              </w:rPr>
            </w:pPr>
            <w:r>
              <w:rPr>
                <w:rFonts w:hint="eastAsia" w:hAnsi="宋体"/>
                <w:color w:val="auto"/>
                <w:kern w:val="2"/>
                <w:sz w:val="21"/>
                <w:szCs w:val="21"/>
              </w:rPr>
              <w:t>1.报价截止时间和开标时间：</w:t>
            </w:r>
            <w:r>
              <w:rPr>
                <w:rFonts w:hint="eastAsia" w:hAnsi="宋体"/>
                <w:sz w:val="21"/>
                <w:szCs w:val="18"/>
                <w:u w:val="single"/>
              </w:rPr>
              <w:t xml:space="preserve">2022 </w:t>
            </w:r>
            <w:r>
              <w:rPr>
                <w:rFonts w:hint="eastAsia" w:hAnsi="宋体"/>
                <w:sz w:val="21"/>
                <w:szCs w:val="18"/>
              </w:rPr>
              <w:t>年</w:t>
            </w:r>
            <w:r>
              <w:rPr>
                <w:rFonts w:hint="eastAsia" w:hAnsi="宋体"/>
                <w:sz w:val="21"/>
                <w:szCs w:val="18"/>
                <w:u w:val="single"/>
              </w:rPr>
              <w:t xml:space="preserve"> </w:t>
            </w:r>
            <w:r>
              <w:rPr>
                <w:rFonts w:hint="eastAsia" w:hAnsi="宋体"/>
                <w:sz w:val="21"/>
                <w:szCs w:val="18"/>
                <w:u w:val="single"/>
                <w:lang w:val="en-US" w:eastAsia="zh-CN"/>
              </w:rPr>
              <w:t>12</w:t>
            </w:r>
            <w:r>
              <w:rPr>
                <w:rFonts w:hint="eastAsia" w:hAnsi="宋体"/>
                <w:sz w:val="21"/>
                <w:szCs w:val="18"/>
                <w:u w:val="single"/>
              </w:rPr>
              <w:t xml:space="preserve"> </w:t>
            </w:r>
            <w:r>
              <w:rPr>
                <w:rFonts w:hint="eastAsia" w:hAnsi="宋体"/>
                <w:sz w:val="21"/>
                <w:szCs w:val="18"/>
              </w:rPr>
              <w:t>月</w:t>
            </w:r>
            <w:r>
              <w:rPr>
                <w:rFonts w:hint="eastAsia" w:hAnsi="宋体"/>
                <w:sz w:val="21"/>
                <w:szCs w:val="18"/>
                <w:u w:val="single"/>
              </w:rPr>
              <w:t xml:space="preserve"> </w:t>
            </w:r>
            <w:r>
              <w:rPr>
                <w:rFonts w:hint="eastAsia" w:hAnsi="宋体"/>
                <w:sz w:val="21"/>
                <w:szCs w:val="18"/>
                <w:u w:val="single"/>
                <w:lang w:val="en-US" w:eastAsia="zh-CN"/>
              </w:rPr>
              <w:t>12</w:t>
            </w:r>
            <w:r>
              <w:rPr>
                <w:rFonts w:hint="eastAsia" w:hAnsi="宋体"/>
                <w:sz w:val="21"/>
                <w:szCs w:val="18"/>
                <w:u w:val="single"/>
              </w:rPr>
              <w:t xml:space="preserve"> </w:t>
            </w:r>
            <w:r>
              <w:rPr>
                <w:rFonts w:hint="eastAsia" w:hAnsi="宋体"/>
                <w:sz w:val="21"/>
                <w:szCs w:val="18"/>
              </w:rPr>
              <w:t>日</w:t>
            </w:r>
            <w:r>
              <w:rPr>
                <w:rFonts w:hint="eastAsia" w:hAnsi="宋体"/>
                <w:sz w:val="21"/>
                <w:szCs w:val="18"/>
                <w:lang w:val="en-US" w:eastAsia="zh-CN"/>
              </w:rPr>
              <w:t>下午</w:t>
            </w:r>
            <w:r>
              <w:rPr>
                <w:rFonts w:hint="eastAsia" w:hAnsi="宋体"/>
                <w:color w:val="auto"/>
                <w:kern w:val="2"/>
                <w:sz w:val="21"/>
                <w:szCs w:val="21"/>
              </w:rPr>
              <w:t>1</w:t>
            </w:r>
            <w:r>
              <w:rPr>
                <w:rFonts w:hint="eastAsia" w:hAnsi="宋体"/>
                <w:color w:val="auto"/>
                <w:kern w:val="2"/>
                <w:sz w:val="21"/>
                <w:szCs w:val="21"/>
                <w:lang w:val="en-US" w:eastAsia="zh-CN"/>
              </w:rPr>
              <w:t>5</w:t>
            </w:r>
            <w:r>
              <w:rPr>
                <w:rFonts w:hint="eastAsia" w:hAnsi="宋体"/>
                <w:color w:val="auto"/>
                <w:kern w:val="2"/>
                <w:sz w:val="21"/>
                <w:szCs w:val="21"/>
              </w:rPr>
              <w:t>时 00分（北京时间）。</w:t>
            </w:r>
          </w:p>
          <w:p>
            <w:pPr>
              <w:pStyle w:val="50"/>
              <w:spacing w:line="400" w:lineRule="exact"/>
              <w:ind w:firstLine="420" w:firstLineChars="200"/>
              <w:rPr>
                <w:rFonts w:hAnsi="宋体"/>
                <w:color w:val="auto"/>
                <w:kern w:val="2"/>
                <w:sz w:val="21"/>
                <w:szCs w:val="21"/>
              </w:rPr>
            </w:pPr>
            <w:r>
              <w:rPr>
                <w:rFonts w:hint="eastAsia" w:hAnsi="宋体"/>
                <w:color w:val="auto"/>
                <w:kern w:val="2"/>
                <w:sz w:val="21"/>
                <w:szCs w:val="21"/>
              </w:rPr>
              <w:t>2.报价地点和开标地点：重庆首讯科技股份有限公司（重庆市渝北区新南路52号东界龙湖三楼）。</w:t>
            </w:r>
          </w:p>
          <w:p>
            <w:pPr>
              <w:pStyle w:val="50"/>
              <w:spacing w:line="400" w:lineRule="exact"/>
              <w:ind w:firstLine="420" w:firstLineChars="200"/>
              <w:rPr>
                <w:rFonts w:hAnsi="宋体"/>
                <w:color w:val="auto"/>
                <w:kern w:val="2"/>
                <w:sz w:val="21"/>
                <w:szCs w:val="21"/>
              </w:rPr>
            </w:pPr>
            <w:r>
              <w:rPr>
                <w:rFonts w:hint="eastAsia" w:hAnsi="宋体"/>
                <w:color w:val="auto"/>
                <w:kern w:val="2"/>
                <w:sz w:val="21"/>
                <w:szCs w:val="21"/>
              </w:rPr>
              <w:t>3.逾期送达，或未送达指定地点，或未密封的竞争性比选响应文件，采购人不予受理。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50"/>
              <w:spacing w:line="400" w:lineRule="exact"/>
              <w:jc w:val="center"/>
              <w:rPr>
                <w:rFonts w:hAnsi="宋体"/>
                <w:color w:val="auto"/>
                <w:kern w:val="2"/>
                <w:sz w:val="21"/>
                <w:szCs w:val="21"/>
              </w:rPr>
            </w:pPr>
            <w:r>
              <w:rPr>
                <w:rFonts w:hint="eastAsia" w:hAnsi="宋体"/>
                <w:color w:val="auto"/>
                <w:kern w:val="2"/>
                <w:sz w:val="21"/>
                <w:szCs w:val="21"/>
              </w:rPr>
              <w:t>25</w:t>
            </w:r>
          </w:p>
        </w:tc>
        <w:tc>
          <w:tcPr>
            <w:tcW w:w="2106" w:type="dxa"/>
            <w:vAlign w:val="center"/>
          </w:tcPr>
          <w:p>
            <w:pPr>
              <w:pStyle w:val="50"/>
              <w:spacing w:line="400" w:lineRule="exact"/>
              <w:jc w:val="center"/>
              <w:rPr>
                <w:rFonts w:hAnsi="宋体"/>
                <w:color w:val="auto"/>
                <w:kern w:val="2"/>
                <w:sz w:val="21"/>
                <w:szCs w:val="21"/>
              </w:rPr>
            </w:pPr>
            <w:r>
              <w:rPr>
                <w:rFonts w:hint="eastAsia" w:hAnsi="宋体"/>
                <w:color w:val="auto"/>
                <w:kern w:val="2"/>
                <w:sz w:val="21"/>
                <w:szCs w:val="21"/>
              </w:rPr>
              <w:t>本次竞争性比选响应文件的组成</w:t>
            </w:r>
          </w:p>
        </w:tc>
        <w:tc>
          <w:tcPr>
            <w:tcW w:w="7104" w:type="dxa"/>
            <w:vAlign w:val="center"/>
          </w:tcPr>
          <w:p>
            <w:pPr>
              <w:pStyle w:val="50"/>
              <w:numPr>
                <w:ilvl w:val="0"/>
                <w:numId w:val="3"/>
              </w:numPr>
              <w:spacing w:line="400" w:lineRule="exact"/>
              <w:ind w:firstLine="422" w:firstLineChars="200"/>
              <w:rPr>
                <w:rFonts w:hAnsi="宋体"/>
                <w:color w:val="auto"/>
                <w:kern w:val="2"/>
                <w:sz w:val="21"/>
                <w:szCs w:val="21"/>
              </w:rPr>
            </w:pPr>
            <w:r>
              <w:rPr>
                <w:rFonts w:hint="eastAsia" w:hAnsi="宋体"/>
                <w:b/>
                <w:bCs/>
                <w:color w:val="000000" w:themeColor="text1"/>
                <w:sz w:val="21"/>
                <w:szCs w:val="21"/>
                <w14:textFill>
                  <w14:solidFill>
                    <w14:schemeClr w14:val="tx1"/>
                  </w14:solidFill>
                </w14:textFill>
              </w:rPr>
              <w:t>竞争性比选文件需逐页加盖报价人的公章</w:t>
            </w:r>
            <w:r>
              <w:rPr>
                <w:rFonts w:hint="eastAsia" w:hAnsi="宋体"/>
                <w:color w:val="000000" w:themeColor="text1"/>
                <w:sz w:val="21"/>
                <w:szCs w:val="21"/>
                <w14:textFill>
                  <w14:solidFill>
                    <w14:schemeClr w14:val="tx1"/>
                  </w14:solidFill>
                </w14:textFill>
              </w:rPr>
              <w:t>，竞争性比选响应文件提交正本1份，副本1份，副本可为正本的复印件，竞争性比选响应文件需装订成册，</w:t>
            </w:r>
            <w:r>
              <w:rPr>
                <w:rFonts w:hint="eastAsia" w:hAnsi="宋体"/>
                <w:color w:val="auto"/>
                <w:kern w:val="2"/>
                <w:sz w:val="21"/>
                <w:szCs w:val="21"/>
              </w:rPr>
              <w:t>封面右上角需标注“正本”、“副本”加以区别，所有报价文件需密封到一个封袋中。</w:t>
            </w:r>
          </w:p>
          <w:p>
            <w:pPr>
              <w:pStyle w:val="50"/>
              <w:numPr>
                <w:ilvl w:val="0"/>
                <w:numId w:val="3"/>
              </w:numPr>
              <w:spacing w:line="400" w:lineRule="exact"/>
              <w:ind w:firstLine="420" w:firstLineChars="200"/>
              <w:rPr>
                <w:rFonts w:hAnsi="宋体"/>
                <w:color w:val="auto"/>
                <w:kern w:val="2"/>
                <w:sz w:val="21"/>
                <w:szCs w:val="21"/>
              </w:rPr>
            </w:pPr>
            <w:r>
              <w:rPr>
                <w:rFonts w:hint="eastAsia" w:hAnsi="宋体"/>
                <w:color w:val="000000" w:themeColor="text1"/>
                <w:sz w:val="21"/>
                <w:szCs w:val="21"/>
                <w14:textFill>
                  <w14:solidFill>
                    <w14:schemeClr w14:val="tx1"/>
                  </w14:solidFill>
                </w14:textFill>
              </w:rPr>
              <w:t>报价人应提供竞争性比选响应文件</w:t>
            </w:r>
            <w:r>
              <w:rPr>
                <w:rFonts w:hint="eastAsia" w:hAnsi="宋体"/>
                <w:b/>
                <w:bCs/>
                <w:color w:val="000000" w:themeColor="text1"/>
                <w:sz w:val="21"/>
                <w:szCs w:val="21"/>
                <w14:textFill>
                  <w14:solidFill>
                    <w14:schemeClr w14:val="tx1"/>
                  </w14:solidFill>
                </w14:textFill>
              </w:rPr>
              <w:t>电子文件1份</w:t>
            </w:r>
            <w:r>
              <w:rPr>
                <w:rFonts w:hint="eastAsia" w:hAnsi="宋体"/>
                <w:color w:val="000000" w:themeColor="text1"/>
                <w:sz w:val="21"/>
                <w:szCs w:val="21"/>
                <w14:textFill>
                  <w14:solidFill>
                    <w14:schemeClr w14:val="tx1"/>
                  </w14:solidFill>
                </w14:textFill>
              </w:rPr>
              <w:t>（U盘1份，电子文件为报价人竞争性比选响应文件加盖公章后的扫描件，要求为PDF格式）。当电子文件与纸质版竞争性比选响应文件不一致时，以纸质版竞争性比选响应文件为准，当正本与副本不一致时，以正本为准</w:t>
            </w:r>
            <w:r>
              <w:rPr>
                <w:rFonts w:hint="eastAsia" w:hAnsi="宋体"/>
                <w:color w:val="000000" w:themeColor="text1"/>
                <w14:textFill>
                  <w14:solidFill>
                    <w14:schemeClr w14:val="tx1"/>
                  </w14:solidFill>
                </w14:textFill>
              </w:rPr>
              <w:t>。</w:t>
            </w:r>
          </w:p>
          <w:p>
            <w:pPr>
              <w:pStyle w:val="50"/>
              <w:spacing w:line="400" w:lineRule="exact"/>
              <w:ind w:firstLine="420" w:firstLineChars="200"/>
              <w:rPr>
                <w:rFonts w:hAnsi="宋体"/>
                <w:color w:val="auto"/>
                <w:kern w:val="2"/>
                <w:sz w:val="21"/>
                <w:szCs w:val="21"/>
              </w:rPr>
            </w:pPr>
            <w:r>
              <w:rPr>
                <w:rFonts w:hint="eastAsia" w:hAnsi="宋体"/>
                <w:color w:val="auto"/>
                <w:kern w:val="2"/>
                <w:sz w:val="21"/>
                <w:szCs w:val="21"/>
              </w:rPr>
              <w:t>2.竞争性比选响应声明书、报价函、资格要求材料、报价人认为需要提供的其他相关文件（注：以上所有文件均须逐页加盖报价人的公章）。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50"/>
              <w:spacing w:line="400" w:lineRule="exact"/>
              <w:jc w:val="center"/>
              <w:rPr>
                <w:rFonts w:hAnsi="宋体"/>
                <w:color w:val="auto"/>
                <w:kern w:val="2"/>
                <w:sz w:val="21"/>
                <w:szCs w:val="21"/>
              </w:rPr>
            </w:pPr>
            <w:r>
              <w:rPr>
                <w:rFonts w:hint="eastAsia" w:hAnsi="宋体"/>
                <w:color w:val="auto"/>
                <w:kern w:val="2"/>
                <w:sz w:val="21"/>
                <w:szCs w:val="21"/>
              </w:rPr>
              <w:t>26</w:t>
            </w:r>
          </w:p>
        </w:tc>
        <w:tc>
          <w:tcPr>
            <w:tcW w:w="2106" w:type="dxa"/>
            <w:vAlign w:val="center"/>
          </w:tcPr>
          <w:p>
            <w:pPr>
              <w:pStyle w:val="50"/>
              <w:spacing w:line="400" w:lineRule="exact"/>
              <w:jc w:val="center"/>
              <w:rPr>
                <w:rFonts w:hAnsi="宋体"/>
                <w:color w:val="auto"/>
                <w:kern w:val="2"/>
                <w:sz w:val="21"/>
                <w:szCs w:val="21"/>
              </w:rPr>
            </w:pPr>
            <w:r>
              <w:rPr>
                <w:rFonts w:hint="eastAsia" w:hAnsi="宋体"/>
                <w:color w:val="auto"/>
                <w:kern w:val="2"/>
                <w:sz w:val="21"/>
                <w:szCs w:val="21"/>
              </w:rPr>
              <w:t>密封要求</w:t>
            </w:r>
          </w:p>
        </w:tc>
        <w:tc>
          <w:tcPr>
            <w:tcW w:w="7104" w:type="dxa"/>
            <w:vAlign w:val="center"/>
          </w:tcPr>
          <w:p>
            <w:pPr>
              <w:pStyle w:val="50"/>
              <w:spacing w:line="400" w:lineRule="exact"/>
              <w:ind w:firstLine="420" w:firstLineChars="200"/>
              <w:rPr>
                <w:rFonts w:hAnsi="宋体"/>
                <w:color w:val="auto"/>
                <w:kern w:val="2"/>
                <w:sz w:val="21"/>
                <w:szCs w:val="21"/>
              </w:rPr>
            </w:pPr>
            <w:r>
              <w:rPr>
                <w:rFonts w:hint="eastAsia" w:hAnsi="宋体"/>
                <w:color w:val="auto"/>
                <w:kern w:val="2"/>
                <w:sz w:val="21"/>
                <w:szCs w:val="21"/>
              </w:rPr>
              <w:t>竞争性比选响应文件密封到一个封袋中，在封套上写明：</w:t>
            </w:r>
          </w:p>
          <w:p>
            <w:pPr>
              <w:pStyle w:val="50"/>
              <w:spacing w:line="400" w:lineRule="exact"/>
              <w:ind w:firstLine="420" w:firstLineChars="200"/>
              <w:rPr>
                <w:rFonts w:hAnsi="宋体"/>
                <w:color w:val="auto"/>
                <w:kern w:val="2"/>
                <w:sz w:val="21"/>
                <w:szCs w:val="21"/>
              </w:rPr>
            </w:pPr>
            <w:r>
              <w:rPr>
                <w:rFonts w:hint="eastAsia" w:hAnsi="宋体"/>
                <w:color w:val="auto"/>
                <w:kern w:val="2"/>
                <w:sz w:val="21"/>
                <w:szCs w:val="21"/>
              </w:rPr>
              <w:t>智慧高速数字孪生可视化平台开发技术服务项目</w:t>
            </w:r>
            <w:r>
              <w:rPr>
                <w:rFonts w:hint="eastAsia" w:hAnsi="宋体"/>
                <w:color w:val="auto"/>
                <w:kern w:val="2"/>
                <w:sz w:val="21"/>
                <w:szCs w:val="21"/>
                <w:lang w:eastAsia="zh-CN"/>
              </w:rPr>
              <w:t>（</w:t>
            </w:r>
            <w:r>
              <w:rPr>
                <w:rFonts w:hint="eastAsia" w:hAnsi="宋体"/>
                <w:color w:val="auto"/>
                <w:kern w:val="2"/>
                <w:sz w:val="21"/>
                <w:szCs w:val="21"/>
                <w:lang w:val="en-US" w:eastAsia="zh-CN"/>
              </w:rPr>
              <w:t>第二次</w:t>
            </w:r>
            <w:r>
              <w:rPr>
                <w:rFonts w:hint="eastAsia" w:hAnsi="宋体"/>
                <w:color w:val="auto"/>
                <w:kern w:val="2"/>
                <w:sz w:val="21"/>
                <w:szCs w:val="21"/>
                <w:lang w:eastAsia="zh-CN"/>
              </w:rPr>
              <w:t>）</w:t>
            </w:r>
            <w:r>
              <w:rPr>
                <w:rFonts w:hint="eastAsia" w:hAnsi="宋体"/>
                <w:color w:val="auto"/>
                <w:kern w:val="2"/>
                <w:sz w:val="21"/>
                <w:szCs w:val="21"/>
              </w:rPr>
              <w:t>竞争性比选响应文件</w:t>
            </w:r>
          </w:p>
          <w:p>
            <w:pPr>
              <w:pStyle w:val="50"/>
              <w:spacing w:line="400" w:lineRule="exact"/>
              <w:ind w:firstLine="420" w:firstLineChars="200"/>
              <w:rPr>
                <w:rFonts w:hAnsi="宋体"/>
                <w:color w:val="auto"/>
                <w:kern w:val="2"/>
                <w:sz w:val="21"/>
                <w:szCs w:val="21"/>
              </w:rPr>
            </w:pPr>
            <w:r>
              <w:rPr>
                <w:rFonts w:hint="eastAsia" w:hAnsi="宋体"/>
                <w:color w:val="auto"/>
                <w:kern w:val="2"/>
                <w:sz w:val="21"/>
                <w:szCs w:val="21"/>
              </w:rPr>
              <w:t>在</w:t>
            </w:r>
            <w:r>
              <w:rPr>
                <w:rFonts w:hint="eastAsia" w:hAnsi="宋体"/>
                <w:color w:val="auto"/>
                <w:kern w:val="2"/>
                <w:sz w:val="21"/>
                <w:szCs w:val="21"/>
                <w:u w:val="single"/>
              </w:rPr>
              <w:t xml:space="preserve"> </w:t>
            </w:r>
            <w:r>
              <w:rPr>
                <w:rFonts w:hint="eastAsia" w:hAnsi="宋体"/>
                <w:sz w:val="21"/>
                <w:szCs w:val="18"/>
                <w:u w:val="single"/>
              </w:rPr>
              <w:t xml:space="preserve">2022 </w:t>
            </w:r>
            <w:r>
              <w:rPr>
                <w:rFonts w:hint="eastAsia" w:hAnsi="宋体"/>
                <w:sz w:val="21"/>
                <w:szCs w:val="18"/>
              </w:rPr>
              <w:t>年</w:t>
            </w:r>
            <w:r>
              <w:rPr>
                <w:rFonts w:hint="eastAsia" w:hAnsi="宋体"/>
                <w:sz w:val="21"/>
                <w:szCs w:val="18"/>
                <w:u w:val="single"/>
              </w:rPr>
              <w:t xml:space="preserve"> </w:t>
            </w:r>
            <w:r>
              <w:rPr>
                <w:rFonts w:hint="eastAsia" w:hAnsi="宋体"/>
                <w:sz w:val="21"/>
                <w:szCs w:val="18"/>
                <w:u w:val="single"/>
                <w:lang w:val="en-US" w:eastAsia="zh-CN"/>
              </w:rPr>
              <w:t>12</w:t>
            </w:r>
            <w:r>
              <w:rPr>
                <w:rFonts w:hint="eastAsia" w:hAnsi="宋体"/>
                <w:sz w:val="21"/>
                <w:szCs w:val="18"/>
                <w:u w:val="single"/>
              </w:rPr>
              <w:t xml:space="preserve"> </w:t>
            </w:r>
            <w:r>
              <w:rPr>
                <w:rFonts w:hint="eastAsia" w:hAnsi="宋体"/>
                <w:sz w:val="21"/>
                <w:szCs w:val="18"/>
              </w:rPr>
              <w:t>月</w:t>
            </w:r>
            <w:r>
              <w:rPr>
                <w:rFonts w:hint="eastAsia" w:hAnsi="宋体"/>
                <w:sz w:val="21"/>
                <w:szCs w:val="18"/>
                <w:u w:val="single"/>
              </w:rPr>
              <w:t xml:space="preserve"> </w:t>
            </w:r>
            <w:r>
              <w:rPr>
                <w:rFonts w:hint="eastAsia" w:hAnsi="宋体"/>
                <w:sz w:val="21"/>
                <w:szCs w:val="18"/>
                <w:u w:val="single"/>
                <w:lang w:val="en-US" w:eastAsia="zh-CN"/>
              </w:rPr>
              <w:t>12</w:t>
            </w:r>
            <w:r>
              <w:rPr>
                <w:rFonts w:hAnsi="宋体"/>
                <w:sz w:val="21"/>
                <w:szCs w:val="18"/>
                <w:u w:val="single"/>
              </w:rPr>
              <w:t xml:space="preserve"> </w:t>
            </w:r>
            <w:r>
              <w:rPr>
                <w:rFonts w:hint="eastAsia" w:hAnsi="宋体"/>
                <w:sz w:val="21"/>
                <w:szCs w:val="18"/>
              </w:rPr>
              <w:t>日</w:t>
            </w:r>
            <w:r>
              <w:rPr>
                <w:rFonts w:hint="eastAsia" w:hAnsi="宋体"/>
                <w:sz w:val="21"/>
                <w:szCs w:val="18"/>
                <w:lang w:val="en-US" w:eastAsia="zh-CN"/>
              </w:rPr>
              <w:t>下午</w:t>
            </w:r>
            <w:r>
              <w:rPr>
                <w:rFonts w:hint="eastAsia" w:hAnsi="宋体"/>
                <w:color w:val="auto"/>
                <w:kern w:val="2"/>
                <w:sz w:val="21"/>
                <w:szCs w:val="21"/>
              </w:rPr>
              <w:t>1</w:t>
            </w:r>
            <w:r>
              <w:rPr>
                <w:rFonts w:hint="eastAsia" w:hAnsi="宋体"/>
                <w:color w:val="auto"/>
                <w:kern w:val="2"/>
                <w:sz w:val="21"/>
                <w:szCs w:val="21"/>
                <w:lang w:val="en-US" w:eastAsia="zh-CN"/>
              </w:rPr>
              <w:t>5</w:t>
            </w:r>
            <w:r>
              <w:rPr>
                <w:rFonts w:hint="eastAsia" w:hAnsi="宋体"/>
                <w:color w:val="auto"/>
                <w:kern w:val="2"/>
                <w:sz w:val="21"/>
                <w:szCs w:val="21"/>
              </w:rPr>
              <w:t>：00时前不得开启。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50"/>
              <w:spacing w:line="400" w:lineRule="exact"/>
              <w:jc w:val="center"/>
              <w:rPr>
                <w:rFonts w:hAnsi="宋体"/>
                <w:color w:val="auto"/>
                <w:kern w:val="2"/>
                <w:sz w:val="21"/>
                <w:szCs w:val="21"/>
              </w:rPr>
            </w:pPr>
            <w:r>
              <w:rPr>
                <w:rFonts w:hint="eastAsia" w:hAnsi="宋体"/>
                <w:color w:val="auto"/>
                <w:kern w:val="2"/>
                <w:sz w:val="21"/>
                <w:szCs w:val="21"/>
              </w:rPr>
              <w:t>27</w:t>
            </w:r>
          </w:p>
        </w:tc>
        <w:tc>
          <w:tcPr>
            <w:tcW w:w="9210" w:type="dxa"/>
            <w:gridSpan w:val="2"/>
            <w:vAlign w:val="center"/>
          </w:tcPr>
          <w:p>
            <w:pPr>
              <w:pStyle w:val="50"/>
              <w:spacing w:line="400" w:lineRule="exact"/>
              <w:ind w:firstLine="482" w:firstLineChars="200"/>
              <w:jc w:val="center"/>
              <w:rPr>
                <w:rFonts w:hAnsi="宋体"/>
                <w:color w:val="auto"/>
                <w:kern w:val="2"/>
                <w:sz w:val="21"/>
                <w:szCs w:val="21"/>
              </w:rPr>
            </w:pPr>
            <w:r>
              <w:rPr>
                <w:rFonts w:hAnsi="宋体"/>
                <w:b/>
                <w:bCs/>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50"/>
              <w:spacing w:line="400" w:lineRule="exact"/>
              <w:jc w:val="center"/>
              <w:rPr>
                <w:rFonts w:hAnsi="宋体"/>
                <w:color w:val="auto"/>
                <w:kern w:val="2"/>
                <w:sz w:val="21"/>
                <w:szCs w:val="21"/>
              </w:rPr>
            </w:pPr>
            <w:r>
              <w:rPr>
                <w:rFonts w:hint="eastAsia" w:hAnsi="宋体"/>
                <w:color w:val="auto"/>
                <w:kern w:val="2"/>
                <w:sz w:val="21"/>
                <w:szCs w:val="21"/>
              </w:rPr>
              <w:t>27.1</w:t>
            </w:r>
          </w:p>
        </w:tc>
        <w:tc>
          <w:tcPr>
            <w:tcW w:w="9210" w:type="dxa"/>
            <w:gridSpan w:val="2"/>
            <w:vAlign w:val="center"/>
          </w:tcPr>
          <w:p>
            <w:pPr>
              <w:pStyle w:val="50"/>
              <w:spacing w:line="400" w:lineRule="exact"/>
              <w:ind w:firstLine="420" w:firstLineChars="200"/>
              <w:rPr>
                <w:rFonts w:hAnsi="宋体"/>
                <w:b/>
                <w:bCs/>
                <w:szCs w:val="21"/>
              </w:rPr>
            </w:pPr>
            <w:r>
              <w:rPr>
                <w:rFonts w:hint="eastAsia" w:hAnsi="宋体"/>
                <w:sz w:val="21"/>
                <w:szCs w:val="21"/>
              </w:rPr>
              <w:t>截止竞争性比选响应文件递交时间，递交竞争性比选响应文件不足3家的不得开启竞争性比选文件。</w:t>
            </w:r>
            <w:r>
              <w:rPr>
                <w:rFonts w:hint="eastAsia" w:hAnsi="宋体"/>
                <w:sz w:val="21"/>
                <w:szCs w:val="21"/>
                <w:highlight w:val="none"/>
              </w:rPr>
              <w:t>重新招标后</w:t>
            </w:r>
            <w:r>
              <w:rPr>
                <w:rFonts w:hint="eastAsia" w:hAnsi="宋体"/>
                <w:sz w:val="21"/>
                <w:szCs w:val="21"/>
                <w:highlight w:val="none"/>
                <w:lang w:eastAsia="zh-CN"/>
              </w:rPr>
              <w:t>报价人</w:t>
            </w:r>
            <w:r>
              <w:rPr>
                <w:rFonts w:hint="eastAsia" w:hAnsi="宋体"/>
                <w:sz w:val="21"/>
                <w:szCs w:val="21"/>
                <w:highlight w:val="none"/>
              </w:rPr>
              <w:t>仍少于3个，按法定程序开标和评标，确定中标</w:t>
            </w:r>
            <w:r>
              <w:rPr>
                <w:rFonts w:hint="default" w:hAnsi="宋体"/>
                <w:sz w:val="21"/>
                <w:szCs w:val="21"/>
                <w:highlight w:val="none"/>
              </w:rPr>
              <w:t>候选</w:t>
            </w:r>
            <w:r>
              <w:rPr>
                <w:rFonts w:hint="eastAsia" w:hAnsi="宋体"/>
                <w:sz w:val="21"/>
                <w:szCs w:val="21"/>
                <w:highlight w:val="none"/>
              </w:rPr>
              <w:t>人。</w:t>
            </w:r>
          </w:p>
        </w:tc>
      </w:tr>
      <w:bookmarkEnd w:id="105"/>
    </w:tbl>
    <w:p>
      <w:pPr>
        <w:spacing w:line="360" w:lineRule="auto"/>
        <w:jc w:val="center"/>
        <w:rPr>
          <w:rFonts w:ascii="宋体" w:hAnsi="宋体" w:cs="宋体"/>
          <w:b/>
          <w:sz w:val="28"/>
          <w:szCs w:val="28"/>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ascii="宋体" w:hAnsi="宋体" w:eastAsia="宋体" w:cs="宋体"/>
          <w:sz w:val="30"/>
          <w:szCs w:val="30"/>
        </w:rPr>
      </w:pPr>
      <w:bookmarkStart w:id="107" w:name="_Toc17532"/>
      <w:bookmarkStart w:id="108" w:name="_Toc11329222"/>
      <w:bookmarkStart w:id="109" w:name="_Toc17399"/>
      <w:bookmarkStart w:id="110" w:name="_Toc30198"/>
      <w:bookmarkStart w:id="111" w:name="_Toc5691"/>
      <w:bookmarkStart w:id="112" w:name="_Toc11284"/>
      <w:r>
        <w:rPr>
          <w:rFonts w:hint="eastAsia" w:ascii="宋体" w:hAnsi="宋体" w:eastAsia="宋体" w:cs="宋体"/>
          <w:sz w:val="28"/>
          <w:szCs w:val="28"/>
        </w:rPr>
        <w:t>附录1  资格审查条件（资质最低要求）</w:t>
      </w:r>
      <w:bookmarkEnd w:id="107"/>
      <w:bookmarkEnd w:id="108"/>
      <w:bookmarkEnd w:id="109"/>
      <w:bookmarkEnd w:id="110"/>
      <w:bookmarkEnd w:id="111"/>
      <w:bookmarkEnd w:id="112"/>
    </w:p>
    <w:tbl>
      <w:tblPr>
        <w:tblStyle w:val="41"/>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9108" w:type="dxa"/>
            <w:vAlign w:val="center"/>
          </w:tcPr>
          <w:p>
            <w:pPr>
              <w:spacing w:line="400" w:lineRule="exact"/>
              <w:jc w:val="center"/>
              <w:rPr>
                <w:rFonts w:ascii="宋体" w:hAnsi="宋体" w:cs="宋体"/>
                <w:szCs w:val="21"/>
              </w:rPr>
            </w:pPr>
            <w:r>
              <w:rPr>
                <w:rFonts w:hint="eastAsia" w:ascii="宋体" w:hAnsi="宋体" w:cs="宋体"/>
                <w:szCs w:val="21"/>
              </w:rPr>
              <w:t>企业资质要求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108" w:type="dxa"/>
          </w:tcPr>
          <w:p>
            <w:pPr>
              <w:spacing w:line="400" w:lineRule="exact"/>
              <w:ind w:firstLine="420" w:firstLineChars="200"/>
            </w:pPr>
            <w:r>
              <w:rPr>
                <w:rFonts w:hint="eastAsia" w:ascii="宋体" w:hAnsi="宋体" w:cs="宋体"/>
                <w:szCs w:val="21"/>
                <w:shd w:val="clear" w:color="auto" w:fill="FFFFFF"/>
              </w:rPr>
              <w:t>具有有效的营业执照或事业单位法人证书（业务范围至少包含其中1项：网络技术服务、软件开发、计算机网络集成系统、计算机软硬件开发、计算机信息技术服务、信息技术咨询业务、计算机信息系统集成、互联网技术咨询服务、经营移动通信业务、互联网业务相关的系统集成等相关内容）；</w:t>
            </w:r>
          </w:p>
        </w:tc>
      </w:tr>
    </w:tbl>
    <w:p>
      <w:pPr>
        <w:spacing w:line="440" w:lineRule="exact"/>
        <w:ind w:firstLine="420" w:firstLineChars="200"/>
        <w:rPr>
          <w:rFonts w:ascii="宋体" w:hAnsi="宋体" w:cs="宋体"/>
        </w:rPr>
      </w:pPr>
      <w:r>
        <w:rPr>
          <w:rFonts w:hint="eastAsia" w:ascii="宋体" w:hAnsi="宋体" w:cs="宋体"/>
        </w:rPr>
        <w:t>注：须提供报价人营业执照、资质证书等复印件,并加盖单位鲜公章。</w:t>
      </w:r>
    </w:p>
    <w:p>
      <w:pPr>
        <w:spacing w:line="440" w:lineRule="exact"/>
        <w:ind w:firstLine="413" w:firstLineChars="147"/>
        <w:jc w:val="center"/>
        <w:rPr>
          <w:rFonts w:ascii="宋体" w:hAnsi="宋体" w:cs="宋体"/>
          <w:b/>
          <w:sz w:val="28"/>
          <w:szCs w:val="28"/>
        </w:rPr>
      </w:pPr>
    </w:p>
    <w:p>
      <w:pPr>
        <w:pStyle w:val="4"/>
        <w:jc w:val="center"/>
        <w:rPr>
          <w:rFonts w:ascii="宋体" w:hAnsi="宋体" w:eastAsia="宋体" w:cs="宋体"/>
          <w:bCs w:val="0"/>
        </w:rPr>
      </w:pPr>
      <w:bookmarkStart w:id="113" w:name="_Toc11329223"/>
      <w:bookmarkStart w:id="114" w:name="_Toc1778"/>
      <w:bookmarkStart w:id="115" w:name="_Toc13719"/>
      <w:bookmarkStart w:id="116" w:name="_Toc30995"/>
      <w:bookmarkStart w:id="117" w:name="_Toc17235"/>
      <w:bookmarkStart w:id="118" w:name="_Toc30363"/>
      <w:r>
        <w:rPr>
          <w:rFonts w:hint="eastAsia" w:ascii="宋体" w:hAnsi="宋体" w:eastAsia="宋体" w:cs="宋体"/>
          <w:bCs w:val="0"/>
          <w:sz w:val="28"/>
          <w:szCs w:val="28"/>
        </w:rPr>
        <w:t>附录2  资格审查条件（财务最低要求）</w:t>
      </w:r>
      <w:bookmarkEnd w:id="113"/>
      <w:bookmarkEnd w:id="114"/>
      <w:bookmarkEnd w:id="115"/>
      <w:bookmarkEnd w:id="116"/>
      <w:bookmarkEnd w:id="117"/>
      <w:bookmarkEnd w:id="118"/>
    </w:p>
    <w:tbl>
      <w:tblPr>
        <w:tblStyle w:val="41"/>
        <w:tblW w:w="9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130" w:type="dxa"/>
            <w:vAlign w:val="center"/>
          </w:tcPr>
          <w:p>
            <w:pPr>
              <w:spacing w:line="400" w:lineRule="exact"/>
              <w:jc w:val="center"/>
              <w:rPr>
                <w:rFonts w:ascii="宋体" w:hAnsi="宋体" w:cs="宋体"/>
                <w:szCs w:val="21"/>
              </w:rPr>
            </w:pPr>
            <w:r>
              <w:rPr>
                <w:rFonts w:hint="eastAsia" w:ascii="宋体" w:hAnsi="宋体" w:cs="宋体"/>
                <w:szCs w:val="21"/>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130" w:type="dxa"/>
          </w:tcPr>
          <w:p>
            <w:pPr>
              <w:spacing w:line="400" w:lineRule="exact"/>
              <w:ind w:firstLine="420" w:firstLineChars="200"/>
            </w:pPr>
            <w:r>
              <w:rPr>
                <w:rFonts w:hint="eastAsia"/>
              </w:rPr>
              <w:t>无要求</w:t>
            </w:r>
          </w:p>
        </w:tc>
      </w:tr>
    </w:tbl>
    <w:p>
      <w:pPr>
        <w:pStyle w:val="4"/>
        <w:jc w:val="center"/>
        <w:rPr>
          <w:rFonts w:ascii="宋体" w:hAnsi="宋体" w:eastAsia="宋体" w:cs="宋体"/>
          <w:bCs w:val="0"/>
          <w:sz w:val="28"/>
          <w:szCs w:val="28"/>
        </w:rPr>
      </w:pPr>
      <w:bookmarkStart w:id="119" w:name="_Toc11329224"/>
    </w:p>
    <w:p>
      <w:pPr>
        <w:pStyle w:val="4"/>
        <w:jc w:val="center"/>
        <w:rPr>
          <w:rFonts w:ascii="宋体" w:hAnsi="宋体" w:eastAsia="宋体" w:cs="宋体"/>
          <w:bCs w:val="0"/>
          <w:sz w:val="28"/>
          <w:szCs w:val="28"/>
        </w:rPr>
      </w:pPr>
      <w:bookmarkStart w:id="120" w:name="_Toc16937"/>
      <w:bookmarkStart w:id="121" w:name="_Toc6263"/>
      <w:bookmarkStart w:id="122" w:name="_Toc19507"/>
      <w:bookmarkStart w:id="123" w:name="_Toc16638"/>
      <w:bookmarkStart w:id="124" w:name="_Toc28315"/>
      <w:r>
        <w:rPr>
          <w:rFonts w:hint="eastAsia" w:ascii="宋体" w:hAnsi="宋体" w:eastAsia="宋体" w:cs="宋体"/>
          <w:bCs w:val="0"/>
          <w:sz w:val="28"/>
          <w:szCs w:val="28"/>
        </w:rPr>
        <w:t>附录3  资格审查条件（业绩最低要求）</w:t>
      </w:r>
      <w:bookmarkEnd w:id="119"/>
      <w:bookmarkEnd w:id="120"/>
      <w:bookmarkEnd w:id="121"/>
      <w:bookmarkEnd w:id="122"/>
      <w:bookmarkEnd w:id="123"/>
      <w:bookmarkEnd w:id="124"/>
    </w:p>
    <w:tbl>
      <w:tblPr>
        <w:tblStyle w:val="41"/>
        <w:tblW w:w="9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142" w:type="dxa"/>
            <w:vAlign w:val="center"/>
          </w:tcPr>
          <w:p>
            <w:pPr>
              <w:spacing w:line="400" w:lineRule="exact"/>
              <w:jc w:val="center"/>
              <w:rPr>
                <w:rFonts w:ascii="宋体" w:hAnsi="宋体" w:cs="宋体"/>
                <w:szCs w:val="21"/>
              </w:rPr>
            </w:pPr>
            <w:r>
              <w:rPr>
                <w:rFonts w:hint="eastAsia" w:ascii="宋体" w:hAnsi="宋体" w:cs="宋体"/>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142" w:type="dxa"/>
          </w:tcPr>
          <w:p>
            <w:pPr>
              <w:spacing w:line="400" w:lineRule="exact"/>
              <w:ind w:firstLine="420" w:firstLineChars="200"/>
              <w:rPr>
                <w:rFonts w:ascii="宋体" w:hAnsi="宋体" w:cs="宋体"/>
                <w:szCs w:val="21"/>
                <w:highlight w:val="yellow"/>
                <w:shd w:val="clear" w:color="auto" w:fill="FFFFFF"/>
              </w:rPr>
            </w:pPr>
            <w:r>
              <w:rPr>
                <w:rFonts w:hint="eastAsia" w:ascii="宋体" w:hAnsi="宋体" w:cs="宋体"/>
                <w:szCs w:val="21"/>
                <w:shd w:val="clear" w:color="auto" w:fill="FFFFFF"/>
              </w:rPr>
              <w:t>需提供2020年1月1日至本竞争性比选函发出之日期间至少1个类似软件开发项目相关业绩（以合同签订时间为准）。</w:t>
            </w:r>
          </w:p>
        </w:tc>
      </w:tr>
    </w:tbl>
    <w:p>
      <w:pPr>
        <w:pStyle w:val="4"/>
        <w:jc w:val="center"/>
        <w:rPr>
          <w:rFonts w:ascii="宋体" w:hAnsi="宋体" w:eastAsia="宋体" w:cs="宋体"/>
          <w:bCs w:val="0"/>
          <w:sz w:val="28"/>
          <w:szCs w:val="28"/>
        </w:rPr>
      </w:pPr>
      <w:bookmarkStart w:id="125" w:name="_Toc11329225"/>
    </w:p>
    <w:p>
      <w:pPr>
        <w:pStyle w:val="4"/>
        <w:jc w:val="center"/>
        <w:rPr>
          <w:rFonts w:ascii="宋体" w:hAnsi="宋体" w:cs="宋体"/>
          <w:b w:val="0"/>
          <w:sz w:val="28"/>
          <w:szCs w:val="28"/>
        </w:rPr>
      </w:pPr>
      <w:bookmarkStart w:id="126" w:name="_Toc12296"/>
      <w:bookmarkStart w:id="127" w:name="_Toc10083"/>
      <w:bookmarkStart w:id="128" w:name="_Toc5047"/>
      <w:bookmarkStart w:id="129" w:name="_Toc2830"/>
      <w:bookmarkStart w:id="130" w:name="_Toc26749"/>
      <w:r>
        <w:rPr>
          <w:rFonts w:hint="eastAsia" w:ascii="宋体" w:hAnsi="宋体" w:eastAsia="宋体" w:cs="宋体"/>
          <w:bCs w:val="0"/>
          <w:sz w:val="28"/>
          <w:szCs w:val="28"/>
        </w:rPr>
        <w:t>附录4 资格审查条件（信誉最低要求）</w:t>
      </w:r>
      <w:bookmarkEnd w:id="125"/>
      <w:bookmarkEnd w:id="126"/>
      <w:bookmarkEnd w:id="127"/>
      <w:bookmarkEnd w:id="128"/>
      <w:bookmarkEnd w:id="129"/>
      <w:bookmarkEnd w:id="130"/>
    </w:p>
    <w:tbl>
      <w:tblPr>
        <w:tblStyle w:val="41"/>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9138" w:type="dxa"/>
          </w:tcPr>
          <w:p>
            <w:pPr>
              <w:spacing w:line="400" w:lineRule="exact"/>
              <w:jc w:val="center"/>
              <w:rPr>
                <w:rFonts w:ascii="宋体" w:hAnsi="宋体" w:cs="宋体"/>
                <w:szCs w:val="21"/>
              </w:rPr>
            </w:pPr>
            <w:r>
              <w:rPr>
                <w:rFonts w:hint="eastAsia" w:ascii="宋体" w:hAnsi="宋体" w:cs="宋体"/>
                <w:szCs w:val="21"/>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9138" w:type="dxa"/>
          </w:tcPr>
          <w:p>
            <w:pPr>
              <w:spacing w:line="400" w:lineRule="exact"/>
              <w:ind w:firstLine="420" w:firstLineChars="200"/>
              <w:rPr>
                <w:rFonts w:ascii="宋体" w:hAnsi="宋体" w:cs="宋体"/>
                <w:szCs w:val="21"/>
                <w:shd w:val="clear" w:color="auto" w:fill="FFFFFF"/>
              </w:rPr>
            </w:pPr>
            <w:r>
              <w:rPr>
                <w:rFonts w:hint="eastAsia" w:ascii="宋体" w:hAnsi="宋体" w:cs="宋体"/>
                <w:szCs w:val="21"/>
              </w:rPr>
              <w:t>信誉良好：在国家企业信用信息公示系统（http://www.gsxt.gov.cn/）中未被列入严重违法失信企业名单（黑名单）信息；在“信用中国”网站（http://www.creditchina.gov.cn/）中未被列入失信惩戒执行人名单。</w:t>
            </w:r>
          </w:p>
        </w:tc>
      </w:tr>
    </w:tbl>
    <w:p>
      <w:pPr>
        <w:pStyle w:val="2"/>
        <w:ind w:firstLine="402" w:firstLineChars="200"/>
        <w:rPr>
          <w:rFonts w:ascii="Times New Roman" w:hAnsi="宋体"/>
          <w:sz w:val="21"/>
          <w:szCs w:val="21"/>
        </w:rPr>
      </w:pPr>
      <w:r>
        <w:rPr>
          <w:rFonts w:hint="eastAsia"/>
        </w:rPr>
        <w:t>注：</w:t>
      </w:r>
      <w:r>
        <w:rPr>
          <w:rFonts w:hint="eastAsia" w:ascii="Times New Roman" w:hAnsi="宋体"/>
          <w:sz w:val="21"/>
          <w:szCs w:val="21"/>
        </w:rPr>
        <w:t>须提供信誉网站查询结果截图,并加盖单位鲜公章。</w:t>
      </w:r>
    </w:p>
    <w:p>
      <w:pPr>
        <w:pStyle w:val="4"/>
        <w:jc w:val="center"/>
        <w:rPr>
          <w:rFonts w:ascii="宋体" w:hAnsi="宋体" w:eastAsia="宋体" w:cs="宋体"/>
          <w:bCs w:val="0"/>
          <w:sz w:val="28"/>
          <w:szCs w:val="28"/>
        </w:rPr>
      </w:pPr>
      <w:bookmarkStart w:id="131" w:name="_Toc12773"/>
      <w:bookmarkStart w:id="132" w:name="_Toc27096"/>
      <w:bookmarkStart w:id="133" w:name="_Toc25591"/>
      <w:bookmarkStart w:id="134" w:name="_Toc21425"/>
      <w:bookmarkStart w:id="135" w:name="_Toc11329226"/>
      <w:bookmarkStart w:id="136" w:name="_Toc14083"/>
      <w:r>
        <w:rPr>
          <w:rFonts w:hint="eastAsia" w:ascii="宋体" w:hAnsi="宋体" w:eastAsia="宋体" w:cs="宋体"/>
          <w:bCs w:val="0"/>
          <w:sz w:val="28"/>
          <w:szCs w:val="28"/>
        </w:rPr>
        <w:t>附录5 资格审查文件（项目主要管理人员最低要求）</w:t>
      </w:r>
      <w:bookmarkEnd w:id="131"/>
      <w:bookmarkEnd w:id="132"/>
      <w:bookmarkEnd w:id="133"/>
      <w:bookmarkEnd w:id="134"/>
      <w:bookmarkEnd w:id="135"/>
      <w:bookmarkEnd w:id="136"/>
    </w:p>
    <w:p>
      <w:pPr>
        <w:spacing w:line="400" w:lineRule="exact"/>
        <w:jc w:val="center"/>
      </w:pPr>
      <w:r>
        <w:rPr>
          <w:rFonts w:hint="eastAsia" w:ascii="宋体" w:hAnsi="宋体" w:cs="宋体"/>
          <w:b/>
          <w:szCs w:val="21"/>
        </w:rPr>
        <w:t>主要管理人员最低要求</w:t>
      </w:r>
    </w:p>
    <w:tbl>
      <w:tblPr>
        <w:tblStyle w:val="41"/>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5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bookmarkStart w:id="137" w:name="_Toc387234996"/>
            <w:bookmarkStart w:id="138" w:name="_Toc388534043"/>
            <w:r>
              <w:rPr>
                <w:rFonts w:hint="eastAsia" w:ascii="宋体" w:hAnsi="宋体" w:cs="宋体"/>
                <w:szCs w:val="21"/>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人  员</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数量</w:t>
            </w:r>
          </w:p>
        </w:tc>
        <w:tc>
          <w:tcPr>
            <w:tcW w:w="57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项目负责人</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w:t>
            </w:r>
          </w:p>
        </w:tc>
        <w:tc>
          <w:tcPr>
            <w:tcW w:w="571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rPr>
            </w:pPr>
            <w:r>
              <w:rPr>
                <w:rFonts w:hint="eastAsia" w:ascii="宋体" w:hAnsi="宋体" w:cs="宋体"/>
                <w:szCs w:val="21"/>
              </w:rPr>
              <w:t xml:space="preserve">无。 </w:t>
            </w:r>
          </w:p>
        </w:tc>
      </w:tr>
    </w:tbl>
    <w:p>
      <w:pPr>
        <w:spacing w:line="400" w:lineRule="exact"/>
        <w:jc w:val="left"/>
        <w:rPr>
          <w:rFonts w:ascii="宋体" w:hAnsi="宋体" w:cs="宋体"/>
          <w:szCs w:val="21"/>
        </w:rPr>
      </w:pPr>
      <w:r>
        <w:rPr>
          <w:rFonts w:hint="eastAsia" w:ascii="宋体" w:hAnsi="宋体" w:cs="宋体"/>
          <w:szCs w:val="21"/>
        </w:rPr>
        <w:t xml:space="preserve">   </w:t>
      </w:r>
      <w:r>
        <w:rPr>
          <w:rFonts w:hint="eastAsia" w:hAnsi="宋体"/>
          <w:b/>
          <w:bCs/>
          <w:szCs w:val="21"/>
        </w:rPr>
        <w:t>注：以上人员不得重复任职。报价人自行承诺即可，无需提供相关证明材料，并加盖单位鲜公章。</w:t>
      </w:r>
    </w:p>
    <w:p>
      <w:pPr>
        <w:pStyle w:val="2"/>
      </w:pPr>
    </w:p>
    <w:p>
      <w:pPr>
        <w:pStyle w:val="4"/>
        <w:jc w:val="center"/>
        <w:rPr>
          <w:rFonts w:ascii="宋体" w:hAnsi="宋体" w:eastAsia="宋体" w:cs="宋体"/>
          <w:bCs w:val="0"/>
          <w:sz w:val="28"/>
          <w:szCs w:val="28"/>
        </w:rPr>
      </w:pPr>
      <w:bookmarkStart w:id="139" w:name="_Toc17384"/>
      <w:bookmarkStart w:id="140" w:name="_Toc6096"/>
      <w:bookmarkStart w:id="141" w:name="_Toc26246"/>
      <w:bookmarkStart w:id="142" w:name="_Toc17216"/>
      <w:bookmarkStart w:id="143" w:name="_Toc4169"/>
      <w:r>
        <w:rPr>
          <w:rFonts w:hint="eastAsia" w:ascii="宋体" w:hAnsi="宋体" w:eastAsia="宋体" w:cs="宋体"/>
          <w:bCs w:val="0"/>
          <w:sz w:val="28"/>
          <w:szCs w:val="28"/>
        </w:rPr>
        <w:t>附录6 资格审查文件（主要机械设备和试验检测设备最低要求）</w:t>
      </w:r>
      <w:bookmarkEnd w:id="139"/>
      <w:bookmarkEnd w:id="140"/>
      <w:bookmarkEnd w:id="141"/>
      <w:bookmarkEnd w:id="142"/>
      <w:bookmarkEnd w:id="143"/>
    </w:p>
    <w:tbl>
      <w:tblPr>
        <w:tblStyle w:val="41"/>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625" w:type="dxa"/>
            <w:vAlign w:val="center"/>
          </w:tcPr>
          <w:p>
            <w:pPr>
              <w:spacing w:line="400" w:lineRule="exact"/>
              <w:jc w:val="center"/>
              <w:rPr>
                <w:rFonts w:ascii="宋体" w:hAnsi="宋体" w:cs="宋体"/>
                <w:szCs w:val="21"/>
              </w:rPr>
            </w:pPr>
            <w:r>
              <w:rPr>
                <w:rFonts w:hint="eastAsia" w:ascii="宋体" w:hAnsi="宋体" w:cs="宋体"/>
                <w:szCs w:val="21"/>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8625" w:type="dxa"/>
          </w:tcPr>
          <w:p>
            <w:pPr>
              <w:ind w:firstLine="420" w:firstLineChars="200"/>
            </w:pPr>
            <w:r>
              <w:rPr>
                <w:rFonts w:hint="eastAsia" w:ascii="宋体" w:hAnsi="宋体" w:cs="宋体"/>
                <w:caps/>
                <w:szCs w:val="21"/>
              </w:rPr>
              <w:t xml:space="preserve">无。 </w:t>
            </w:r>
          </w:p>
        </w:tc>
      </w:tr>
    </w:tbl>
    <w:p>
      <w:pPr>
        <w:spacing w:line="400" w:lineRule="exact"/>
        <w:ind w:firstLine="420"/>
        <w:rPr>
          <w:rFonts w:ascii="宋体" w:hAnsi="宋体" w:cs="宋体"/>
          <w:kern w:val="0"/>
          <w:szCs w:val="21"/>
        </w:rPr>
      </w:pPr>
      <w:r>
        <w:rPr>
          <w:rFonts w:hint="eastAsia" w:ascii="宋体" w:hAnsi="宋体" w:cs="宋体"/>
          <w:bCs/>
          <w:kern w:val="0"/>
          <w:szCs w:val="21"/>
        </w:rPr>
        <w:t>注：以上设备</w:t>
      </w:r>
      <w:r>
        <w:rPr>
          <w:rFonts w:hint="eastAsia" w:ascii="宋体" w:hAnsi="宋体" w:cs="宋体"/>
          <w:kern w:val="0"/>
        </w:rPr>
        <w:t>由报价人</w:t>
      </w:r>
      <w:r>
        <w:rPr>
          <w:rFonts w:hint="eastAsia" w:ascii="宋体" w:hAnsi="宋体" w:cs="宋体"/>
          <w:b/>
          <w:kern w:val="0"/>
        </w:rPr>
        <w:t>自行承诺</w:t>
      </w:r>
      <w:r>
        <w:rPr>
          <w:rFonts w:hint="eastAsia" w:ascii="宋体" w:hAnsi="宋体" w:cs="宋体"/>
          <w:kern w:val="0"/>
        </w:rPr>
        <w:t>，</w:t>
      </w:r>
      <w:r>
        <w:rPr>
          <w:rFonts w:hint="eastAsia" w:ascii="宋体" w:hAnsi="宋体" w:cs="宋体"/>
          <w:kern w:val="0"/>
          <w:szCs w:val="21"/>
        </w:rPr>
        <w:t>无需提供有关证明资料，并加盖单位鲜公章。</w:t>
      </w:r>
    </w:p>
    <w:p>
      <w:pPr>
        <w:pStyle w:val="50"/>
        <w:adjustRightInd/>
        <w:spacing w:line="400" w:lineRule="exact"/>
        <w:ind w:firstLine="422" w:firstLineChars="200"/>
        <w:jc w:val="both"/>
        <w:rPr>
          <w:rFonts w:hAnsi="宋体"/>
          <w:bCs/>
          <w:color w:val="auto"/>
          <w:sz w:val="21"/>
          <w:szCs w:val="21"/>
        </w:rPr>
      </w:pPr>
      <w:r>
        <w:rPr>
          <w:rFonts w:hint="eastAsia" w:hAnsi="宋体"/>
          <w:b/>
          <w:bCs/>
          <w:color w:val="auto"/>
          <w:sz w:val="21"/>
          <w:szCs w:val="21"/>
        </w:rPr>
        <w:t>以上（附录1-附录6中的资格审查）的要求均为强制性条件，其中任何一条不满足要求，则按否决报价处理。</w:t>
      </w:r>
    </w:p>
    <w:p>
      <w:pPr>
        <w:pStyle w:val="50"/>
        <w:adjustRightInd/>
        <w:spacing w:line="360" w:lineRule="auto"/>
        <w:jc w:val="both"/>
        <w:rPr>
          <w:rFonts w:hAnsi="宋体"/>
          <w:bCs/>
          <w:color w:val="auto"/>
          <w:sz w:val="21"/>
          <w:szCs w:val="21"/>
        </w:rPr>
      </w:pPr>
    </w:p>
    <w:bookmarkEnd w:id="137"/>
    <w:bookmarkEnd w:id="138"/>
    <w:p>
      <w:pPr>
        <w:spacing w:line="440" w:lineRule="exact"/>
        <w:rPr>
          <w:rFonts w:ascii="宋体" w:hAnsi="宋体" w:cs="宋体"/>
          <w:szCs w:val="21"/>
        </w:rPr>
        <w:sectPr>
          <w:footerReference r:id="rId8" w:type="default"/>
          <w:pgSz w:w="11906" w:h="16838"/>
          <w:pgMar w:top="1440" w:right="1800" w:bottom="1440" w:left="1800" w:header="851" w:footer="992" w:gutter="0"/>
          <w:cols w:space="720" w:num="1"/>
          <w:titlePg/>
          <w:docGrid w:type="lines" w:linePitch="312" w:charSpace="0"/>
        </w:sectPr>
      </w:pPr>
    </w:p>
    <w:p>
      <w:pPr>
        <w:pStyle w:val="3"/>
        <w:numPr>
          <w:ilvl w:val="0"/>
          <w:numId w:val="4"/>
        </w:numPr>
        <w:spacing w:before="0" w:after="0" w:line="360" w:lineRule="auto"/>
        <w:jc w:val="center"/>
        <w:rPr>
          <w:rFonts w:ascii="宋体" w:hAnsi="宋体" w:cs="宋体"/>
        </w:rPr>
      </w:pPr>
      <w:bookmarkStart w:id="144" w:name="_Toc2000406"/>
      <w:bookmarkStart w:id="145" w:name="_Toc179632605"/>
      <w:bookmarkStart w:id="146" w:name="_Toc7682"/>
      <w:bookmarkStart w:id="147" w:name="_Toc507319957"/>
      <w:bookmarkStart w:id="148" w:name="_Toc152042364"/>
      <w:bookmarkStart w:id="149" w:name="_Toc247085745"/>
      <w:bookmarkStart w:id="150" w:name="_Toc246996973"/>
      <w:bookmarkStart w:id="151" w:name="_Toc246996230"/>
      <w:bookmarkStart w:id="152" w:name="_Toc9135"/>
      <w:bookmarkStart w:id="153" w:name="_Toc144974554"/>
      <w:bookmarkStart w:id="154" w:name="_Toc152045587"/>
      <w:r>
        <w:rPr>
          <w:rFonts w:hint="eastAsia" w:ascii="宋体" w:hAnsi="宋体" w:cs="宋体"/>
        </w:rPr>
        <w:t>评标办法（经评审的综合评估法）</w:t>
      </w:r>
      <w:bookmarkEnd w:id="144"/>
      <w:bookmarkEnd w:id="145"/>
      <w:bookmarkEnd w:id="146"/>
      <w:bookmarkEnd w:id="147"/>
      <w:bookmarkEnd w:id="148"/>
      <w:bookmarkEnd w:id="149"/>
      <w:bookmarkEnd w:id="150"/>
      <w:bookmarkEnd w:id="151"/>
      <w:bookmarkEnd w:id="152"/>
      <w:bookmarkEnd w:id="153"/>
      <w:bookmarkEnd w:id="154"/>
    </w:p>
    <w:p/>
    <w:tbl>
      <w:tblPr>
        <w:tblStyle w:val="41"/>
        <w:tblW w:w="101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09"/>
        <w:gridCol w:w="1263"/>
        <w:gridCol w:w="2050"/>
        <w:gridCol w:w="56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472" w:type="dxa"/>
            <w:gridSpan w:val="2"/>
            <w:tcBorders>
              <w:top w:val="single" w:color="auto" w:sz="4" w:space="0"/>
              <w:bottom w:val="single" w:color="auto" w:sz="4" w:space="0"/>
              <w:right w:val="single" w:color="auto" w:sz="4" w:space="0"/>
            </w:tcBorders>
            <w:vAlign w:val="center"/>
          </w:tcPr>
          <w:p>
            <w:pPr>
              <w:spacing w:line="400" w:lineRule="exact"/>
              <w:jc w:val="center"/>
              <w:rPr>
                <w:b/>
              </w:rPr>
            </w:pPr>
            <w:r>
              <w:rPr>
                <w:b/>
              </w:rPr>
              <w:t>条款号</w:t>
            </w: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b/>
              </w:rPr>
              <w:t>评审因素</w:t>
            </w:r>
          </w:p>
        </w:tc>
        <w:tc>
          <w:tcPr>
            <w:tcW w:w="5642" w:type="dxa"/>
            <w:tcBorders>
              <w:top w:val="single" w:color="auto" w:sz="4" w:space="0"/>
              <w:left w:val="single" w:color="auto" w:sz="4" w:space="0"/>
              <w:bottom w:val="single" w:color="auto" w:sz="4" w:space="0"/>
            </w:tcBorders>
            <w:vAlign w:val="center"/>
          </w:tcPr>
          <w:p>
            <w:pPr>
              <w:spacing w:line="400" w:lineRule="exact"/>
              <w:jc w:val="center"/>
              <w:rPr>
                <w:b/>
              </w:rPr>
            </w:pPr>
            <w:r>
              <w:rPr>
                <w:b/>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1209" w:type="dxa"/>
            <w:tcBorders>
              <w:top w:val="single" w:color="auto" w:sz="4" w:space="0"/>
              <w:right w:val="single" w:color="auto" w:sz="4" w:space="0"/>
            </w:tcBorders>
            <w:vAlign w:val="center"/>
          </w:tcPr>
          <w:p>
            <w:pPr>
              <w:spacing w:line="400" w:lineRule="exact"/>
              <w:jc w:val="center"/>
            </w:pPr>
            <w:r>
              <w:t>1</w:t>
            </w:r>
          </w:p>
        </w:tc>
        <w:tc>
          <w:tcPr>
            <w:tcW w:w="1263" w:type="dxa"/>
            <w:tcBorders>
              <w:top w:val="single" w:color="auto" w:sz="4" w:space="0"/>
              <w:left w:val="single" w:color="auto" w:sz="4" w:space="0"/>
              <w:right w:val="single" w:color="auto" w:sz="4" w:space="0"/>
            </w:tcBorders>
            <w:vAlign w:val="center"/>
          </w:tcPr>
          <w:p>
            <w:pPr>
              <w:spacing w:line="400" w:lineRule="exact"/>
              <w:jc w:val="center"/>
            </w:pPr>
            <w:r>
              <w:t>评标方法</w:t>
            </w: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中标候选人排序方法</w:t>
            </w:r>
          </w:p>
        </w:tc>
        <w:tc>
          <w:tcPr>
            <w:tcW w:w="5642" w:type="dxa"/>
            <w:tcBorders>
              <w:top w:val="single" w:color="auto" w:sz="4" w:space="0"/>
              <w:left w:val="single" w:color="auto" w:sz="4" w:space="0"/>
              <w:bottom w:val="single" w:color="auto" w:sz="4" w:space="0"/>
            </w:tcBorders>
          </w:tcPr>
          <w:p>
            <w:pPr>
              <w:spacing w:line="400" w:lineRule="exact"/>
            </w:pPr>
            <w:r>
              <w:rPr>
                <w:rFonts w:hint="eastAsia"/>
              </w:rPr>
              <w:t>报价人得分=A+B+C，对通过初步评审的报价人按照投标总得分（商务+技术+报价）由从高到低的先后顺序。如出现得分(精确到小数点后两位)相等时，按以下原则确定第一中标候选人：</w:t>
            </w:r>
          </w:p>
          <w:p>
            <w:pPr>
              <w:spacing w:line="400" w:lineRule="exact"/>
            </w:pPr>
            <w:r>
              <w:rPr>
                <w:rFonts w:hint="eastAsia"/>
              </w:rPr>
              <w:t>（1）以评标价低的报价人优先；</w:t>
            </w:r>
          </w:p>
          <w:p>
            <w:pPr>
              <w:spacing w:line="400" w:lineRule="exact"/>
            </w:pPr>
            <w:r>
              <w:rPr>
                <w:rFonts w:hint="eastAsia"/>
              </w:rPr>
              <w:t>（2）如评标价也相同时，以技术得分较高的报价人优先；</w:t>
            </w:r>
          </w:p>
          <w:p>
            <w:pPr>
              <w:spacing w:line="400" w:lineRule="exact"/>
            </w:pPr>
            <w:r>
              <w:rPr>
                <w:rFonts w:hint="eastAsia"/>
              </w:rPr>
              <w:t>（3）如技术得分也相同时，以商务得分高的优先；</w:t>
            </w:r>
          </w:p>
          <w:p>
            <w:pPr>
              <w:spacing w:line="400" w:lineRule="exact"/>
            </w:pPr>
            <w:r>
              <w:rPr>
                <w:rFonts w:hint="eastAsia"/>
              </w:rPr>
              <w:t>（4）</w:t>
            </w:r>
            <w:r>
              <w:t>如商务得分也</w:t>
            </w:r>
            <w:r>
              <w:rPr>
                <w:rFonts w:hint="eastAsia"/>
              </w:rPr>
              <w:t>相</w:t>
            </w:r>
            <w:r>
              <w:t>同时，</w:t>
            </w:r>
            <w:r>
              <w:rPr>
                <w:rFonts w:hint="eastAsia"/>
              </w:rPr>
              <w:t xml:space="preserve">由评标委员会投票决定。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209" w:type="dxa"/>
            <w:vMerge w:val="restart"/>
            <w:tcBorders>
              <w:top w:val="single" w:color="auto" w:sz="4" w:space="0"/>
              <w:right w:val="single" w:color="auto" w:sz="4" w:space="0"/>
            </w:tcBorders>
            <w:vAlign w:val="center"/>
          </w:tcPr>
          <w:p>
            <w:pPr>
              <w:spacing w:line="400" w:lineRule="exact"/>
              <w:jc w:val="center"/>
            </w:pPr>
            <w:r>
              <w:rPr>
                <w:rFonts w:hint="eastAsia"/>
              </w:rPr>
              <w:t>2</w:t>
            </w:r>
          </w:p>
        </w:tc>
        <w:tc>
          <w:tcPr>
            <w:tcW w:w="1263" w:type="dxa"/>
            <w:vMerge w:val="restart"/>
            <w:tcBorders>
              <w:top w:val="single" w:color="auto" w:sz="4" w:space="0"/>
              <w:left w:val="single" w:color="auto" w:sz="4" w:space="0"/>
              <w:right w:val="single" w:color="auto" w:sz="4" w:space="0"/>
            </w:tcBorders>
            <w:vAlign w:val="center"/>
          </w:tcPr>
          <w:p>
            <w:pPr>
              <w:spacing w:line="400" w:lineRule="exact"/>
              <w:jc w:val="center"/>
            </w:pPr>
            <w:r>
              <w:t>形式评审标准</w:t>
            </w: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报价人名称</w:t>
            </w:r>
          </w:p>
        </w:tc>
        <w:tc>
          <w:tcPr>
            <w:tcW w:w="5642" w:type="dxa"/>
            <w:tcBorders>
              <w:top w:val="single" w:color="auto" w:sz="4" w:space="0"/>
              <w:left w:val="single" w:color="auto" w:sz="4" w:space="0"/>
              <w:bottom w:val="single" w:color="auto" w:sz="4" w:space="0"/>
            </w:tcBorders>
            <w:vAlign w:val="center"/>
          </w:tcPr>
          <w:p>
            <w:pPr>
              <w:spacing w:line="400" w:lineRule="exact"/>
            </w:pPr>
            <w:r>
              <w:rPr>
                <w:rFonts w:hint="eastAsia"/>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209" w:type="dxa"/>
            <w:vMerge w:val="continue"/>
            <w:tcBorders>
              <w:top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报价函签字盖章</w:t>
            </w:r>
          </w:p>
        </w:tc>
        <w:tc>
          <w:tcPr>
            <w:tcW w:w="5642" w:type="dxa"/>
            <w:tcBorders>
              <w:top w:val="single" w:color="auto" w:sz="4" w:space="0"/>
              <w:left w:val="single" w:color="auto" w:sz="4" w:space="0"/>
              <w:bottom w:val="single" w:color="auto" w:sz="4" w:space="0"/>
            </w:tcBorders>
            <w:vAlign w:val="center"/>
          </w:tcPr>
          <w:p>
            <w:pPr>
              <w:spacing w:line="400" w:lineRule="exact"/>
            </w:pPr>
            <w:r>
              <w:rPr>
                <w:rFonts w:hint="eastAsia"/>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209" w:type="dxa"/>
            <w:vMerge w:val="continue"/>
            <w:tcBorders>
              <w:top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竞争性比选响应文件格式</w:t>
            </w:r>
          </w:p>
        </w:tc>
        <w:tc>
          <w:tcPr>
            <w:tcW w:w="5642" w:type="dxa"/>
            <w:tcBorders>
              <w:top w:val="single" w:color="auto" w:sz="4" w:space="0"/>
              <w:left w:val="single" w:color="auto" w:sz="4" w:space="0"/>
              <w:bottom w:val="single" w:color="auto" w:sz="4" w:space="0"/>
            </w:tcBorders>
            <w:vAlign w:val="center"/>
          </w:tcPr>
          <w:p>
            <w:pPr>
              <w:spacing w:line="400" w:lineRule="exact"/>
            </w:pPr>
            <w:r>
              <w:rPr>
                <w:rFonts w:hint="eastAsia"/>
              </w:rPr>
              <w:t>符合第九章“竞争性比选响应文件格式”的要求，字迹清晰可辨。</w:t>
            </w:r>
          </w:p>
          <w:p>
            <w:pPr>
              <w:spacing w:line="400" w:lineRule="exact"/>
            </w:pPr>
            <w:r>
              <w:rPr>
                <w:rFonts w:hint="eastAsia"/>
              </w:rPr>
              <w:t>1.报价函的所有数据均符合比选文件的规定；</w:t>
            </w:r>
          </w:p>
          <w:p>
            <w:pPr>
              <w:spacing w:line="400" w:lineRule="exact"/>
            </w:pPr>
            <w:r>
              <w:rPr>
                <w:rFonts w:hint="eastAsia"/>
              </w:rPr>
              <w:t>2.竞争性比选响应文件附表齐全完整，内容均按规定填写；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209" w:type="dxa"/>
            <w:vMerge w:val="continue"/>
            <w:tcBorders>
              <w:top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已标价工程量清单</w:t>
            </w:r>
          </w:p>
        </w:tc>
        <w:tc>
          <w:tcPr>
            <w:tcW w:w="5642" w:type="dxa"/>
            <w:tcBorders>
              <w:top w:val="single" w:color="auto" w:sz="4" w:space="0"/>
              <w:left w:val="single" w:color="auto" w:sz="4" w:space="0"/>
              <w:bottom w:val="single" w:color="auto" w:sz="4" w:space="0"/>
            </w:tcBorders>
            <w:vAlign w:val="center"/>
          </w:tcPr>
          <w:p>
            <w:pPr>
              <w:spacing w:line="400" w:lineRule="exact"/>
            </w:pPr>
            <w:r>
              <w:rPr>
                <w:rFonts w:hint="eastAsia"/>
              </w:rPr>
              <w:t>符合第五章“工程量清单”给出的范围及数量。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209" w:type="dxa"/>
            <w:vMerge w:val="continue"/>
            <w:tcBorders>
              <w:top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报价其它要求</w:t>
            </w:r>
          </w:p>
        </w:tc>
        <w:tc>
          <w:tcPr>
            <w:tcW w:w="5642" w:type="dxa"/>
            <w:tcBorders>
              <w:top w:val="single" w:color="auto" w:sz="4" w:space="0"/>
              <w:left w:val="single" w:color="auto" w:sz="4" w:space="0"/>
              <w:bottom w:val="single" w:color="auto" w:sz="4" w:space="0"/>
            </w:tcBorders>
            <w:vAlign w:val="center"/>
          </w:tcPr>
          <w:p>
            <w:pPr>
              <w:spacing w:line="400" w:lineRule="exact"/>
            </w:pPr>
            <w:r>
              <w:rPr>
                <w:rFonts w:hint="eastAsia"/>
              </w:rPr>
              <w:t>竞争性比选响应文件报价表中的报价与报价书文字报价应保持一致。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209" w:type="dxa"/>
            <w:vMerge w:val="continue"/>
            <w:tcBorders>
              <w:right w:val="single" w:color="auto" w:sz="4" w:space="0"/>
            </w:tcBorders>
            <w:vAlign w:val="center"/>
          </w:tcPr>
          <w:p>
            <w:pPr>
              <w:spacing w:line="400" w:lineRule="exact"/>
              <w:jc w:val="center"/>
            </w:pPr>
          </w:p>
        </w:tc>
        <w:tc>
          <w:tcPr>
            <w:tcW w:w="1263" w:type="dxa"/>
            <w:vMerge w:val="continue"/>
            <w:tcBorders>
              <w:left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right w:val="single" w:color="auto" w:sz="4" w:space="0"/>
            </w:tcBorders>
            <w:vAlign w:val="center"/>
          </w:tcPr>
          <w:p>
            <w:pPr>
              <w:spacing w:line="400" w:lineRule="exact"/>
              <w:jc w:val="center"/>
            </w:pPr>
            <w:r>
              <w:rPr>
                <w:rFonts w:hint="eastAsia"/>
              </w:rPr>
              <w:t>竞争性</w:t>
            </w:r>
            <w:r>
              <w:t>比选响应文件正本中法定代表人或其授权代理人签署</w:t>
            </w:r>
          </w:p>
        </w:tc>
        <w:tc>
          <w:tcPr>
            <w:tcW w:w="5642" w:type="dxa"/>
            <w:tcBorders>
              <w:top w:val="single" w:color="auto" w:sz="4" w:space="0"/>
              <w:left w:val="single" w:color="auto" w:sz="4" w:space="0"/>
              <w:bottom w:val="single" w:color="auto" w:sz="4" w:space="0"/>
            </w:tcBorders>
            <w:vAlign w:val="center"/>
          </w:tcPr>
          <w:p>
            <w:pPr>
              <w:spacing w:line="400" w:lineRule="exact"/>
            </w:pPr>
            <w:r>
              <w:rPr>
                <w:rFonts w:hint="eastAsia"/>
              </w:rPr>
              <w:t>竞争性比选响应文件正本中法定代表人或授权代理人签署姓名齐全，符合比选文件规定；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jc w:val="center"/>
        </w:trPr>
        <w:tc>
          <w:tcPr>
            <w:tcW w:w="1209" w:type="dxa"/>
            <w:vMerge w:val="continue"/>
            <w:tcBorders>
              <w:right w:val="single" w:color="auto" w:sz="4" w:space="0"/>
            </w:tcBorders>
            <w:vAlign w:val="center"/>
          </w:tcPr>
          <w:p>
            <w:pPr>
              <w:spacing w:line="400" w:lineRule="exact"/>
              <w:jc w:val="center"/>
            </w:pPr>
          </w:p>
        </w:tc>
        <w:tc>
          <w:tcPr>
            <w:tcW w:w="1263" w:type="dxa"/>
            <w:vMerge w:val="continue"/>
            <w:tcBorders>
              <w:left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right w:val="single" w:color="auto" w:sz="4" w:space="0"/>
            </w:tcBorders>
            <w:vAlign w:val="center"/>
          </w:tcPr>
          <w:p>
            <w:pPr>
              <w:spacing w:line="400" w:lineRule="exact"/>
              <w:jc w:val="center"/>
            </w:pPr>
            <w:r>
              <w:t>其它材料</w:t>
            </w:r>
          </w:p>
        </w:tc>
        <w:tc>
          <w:tcPr>
            <w:tcW w:w="5642" w:type="dxa"/>
            <w:tcBorders>
              <w:top w:val="single" w:color="auto" w:sz="4" w:space="0"/>
              <w:left w:val="single" w:color="auto" w:sz="4" w:space="0"/>
            </w:tcBorders>
            <w:vAlign w:val="center"/>
          </w:tcPr>
          <w:p>
            <w:pPr>
              <w:spacing w:line="400" w:lineRule="exact"/>
            </w:pPr>
            <w:r>
              <w:rPr>
                <w:rFonts w:hint="eastAsia"/>
              </w:rPr>
              <w:t>与采购人存在利害关系可能影响比选公正性的法人、其他组织或者个人，不得参加报价；单位负责人为同一人或者存在控股、管理关系的不同单位，不得同时参加报价，否则相关报价均无效。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209" w:type="dxa"/>
            <w:vMerge w:val="restart"/>
            <w:tcBorders>
              <w:top w:val="single" w:color="auto" w:sz="4" w:space="0"/>
              <w:bottom w:val="single" w:color="auto" w:sz="4" w:space="0"/>
              <w:right w:val="single" w:color="auto" w:sz="4" w:space="0"/>
            </w:tcBorders>
            <w:vAlign w:val="center"/>
          </w:tcPr>
          <w:p>
            <w:pPr>
              <w:spacing w:line="400" w:lineRule="exact"/>
              <w:jc w:val="center"/>
            </w:pPr>
            <w:r>
              <w:rPr>
                <w:rFonts w:hint="eastAsia"/>
              </w:rPr>
              <w:t>3</w:t>
            </w:r>
          </w:p>
        </w:tc>
        <w:tc>
          <w:tcPr>
            <w:tcW w:w="1263"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资格评审标准</w:t>
            </w: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营业执照</w:t>
            </w:r>
          </w:p>
        </w:tc>
        <w:tc>
          <w:tcPr>
            <w:tcW w:w="5642" w:type="dxa"/>
            <w:tcBorders>
              <w:top w:val="single" w:color="auto" w:sz="4" w:space="0"/>
              <w:left w:val="single" w:color="auto" w:sz="4" w:space="0"/>
              <w:bottom w:val="single" w:color="auto" w:sz="4" w:space="0"/>
            </w:tcBorders>
            <w:vAlign w:val="center"/>
          </w:tcPr>
          <w:p>
            <w:pPr>
              <w:spacing w:line="400" w:lineRule="exact"/>
            </w:pPr>
            <w:r>
              <w:rPr>
                <w:rFonts w:hint="eastAsia"/>
              </w:rPr>
              <w:t>符合第二章“报价人须知”第11项规定，具备有效的营业执照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209"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资质要求</w:t>
            </w:r>
          </w:p>
        </w:tc>
        <w:tc>
          <w:tcPr>
            <w:tcW w:w="5642" w:type="dxa"/>
            <w:tcBorders>
              <w:top w:val="single" w:color="auto" w:sz="4" w:space="0"/>
              <w:left w:val="single" w:color="auto" w:sz="4" w:space="0"/>
              <w:bottom w:val="single" w:color="auto" w:sz="4" w:space="0"/>
            </w:tcBorders>
            <w:vAlign w:val="center"/>
          </w:tcPr>
          <w:p>
            <w:pPr>
              <w:spacing w:line="400" w:lineRule="exact"/>
            </w:pPr>
            <w:r>
              <w:rPr>
                <w:rFonts w:hint="eastAsia"/>
              </w:rPr>
              <w:t>符合第二章“报价人须知”前附表附录1的规定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209"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财务要求</w:t>
            </w:r>
          </w:p>
        </w:tc>
        <w:tc>
          <w:tcPr>
            <w:tcW w:w="5642" w:type="dxa"/>
            <w:tcBorders>
              <w:top w:val="single" w:color="auto" w:sz="4" w:space="0"/>
              <w:left w:val="single" w:color="auto" w:sz="4" w:space="0"/>
              <w:bottom w:val="single" w:color="auto" w:sz="4" w:space="0"/>
            </w:tcBorders>
            <w:vAlign w:val="center"/>
          </w:tcPr>
          <w:p>
            <w:pPr>
              <w:spacing w:line="400" w:lineRule="exact"/>
            </w:pPr>
            <w:r>
              <w:rPr>
                <w:rFonts w:hint="eastAsia"/>
              </w:rPr>
              <w:t>符合第二章“报价人须知”前附表附录2的规定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1209"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业绩要求</w:t>
            </w:r>
          </w:p>
        </w:tc>
        <w:tc>
          <w:tcPr>
            <w:tcW w:w="5642" w:type="dxa"/>
            <w:tcBorders>
              <w:top w:val="single" w:color="auto" w:sz="4" w:space="0"/>
              <w:left w:val="single" w:color="auto" w:sz="4" w:space="0"/>
              <w:bottom w:val="single" w:color="auto" w:sz="4" w:space="0"/>
            </w:tcBorders>
          </w:tcPr>
          <w:p>
            <w:pPr>
              <w:spacing w:line="400" w:lineRule="exact"/>
            </w:pPr>
            <w:r>
              <w:rPr>
                <w:rFonts w:hint="eastAsia"/>
              </w:rPr>
              <w:t>符合第二章“报价人须知”前附表附录3的规定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1209"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信誉要求</w:t>
            </w:r>
          </w:p>
        </w:tc>
        <w:tc>
          <w:tcPr>
            <w:tcW w:w="5642" w:type="dxa"/>
            <w:tcBorders>
              <w:top w:val="single" w:color="auto" w:sz="4" w:space="0"/>
              <w:left w:val="single" w:color="auto" w:sz="4" w:space="0"/>
              <w:bottom w:val="single" w:color="auto" w:sz="4" w:space="0"/>
            </w:tcBorders>
            <w:vAlign w:val="center"/>
          </w:tcPr>
          <w:p>
            <w:pPr>
              <w:spacing w:line="400" w:lineRule="exact"/>
            </w:pPr>
            <w:r>
              <w:rPr>
                <w:rFonts w:hint="eastAsia"/>
              </w:rPr>
              <w:t>符合第二章“报价人须知”前附表附录4的规定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1209"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ascii="宋体" w:hAnsi="宋体" w:cs="宋体"/>
                <w:szCs w:val="21"/>
              </w:rPr>
              <w:t>项目主要管理人员</w:t>
            </w:r>
            <w:r>
              <w:t>最低要求</w:t>
            </w:r>
          </w:p>
        </w:tc>
        <w:tc>
          <w:tcPr>
            <w:tcW w:w="5642" w:type="dxa"/>
            <w:tcBorders>
              <w:top w:val="single" w:color="auto" w:sz="4" w:space="0"/>
              <w:left w:val="single" w:color="auto" w:sz="4" w:space="0"/>
              <w:bottom w:val="single" w:color="auto" w:sz="4" w:space="0"/>
            </w:tcBorders>
            <w:vAlign w:val="center"/>
          </w:tcPr>
          <w:p>
            <w:pPr>
              <w:spacing w:line="400" w:lineRule="exact"/>
            </w:pPr>
            <w:r>
              <w:rPr>
                <w:rFonts w:hint="eastAsia"/>
              </w:rPr>
              <w:t>符合第二章“报价人须知”前附表附录5的规定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1209"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kern w:val="1"/>
              </w:rPr>
              <w:t>主要机械设备和试验检测设备最低要求</w:t>
            </w:r>
          </w:p>
        </w:tc>
        <w:tc>
          <w:tcPr>
            <w:tcW w:w="5642" w:type="dxa"/>
            <w:tcBorders>
              <w:top w:val="single" w:color="auto" w:sz="4" w:space="0"/>
              <w:left w:val="single" w:color="auto" w:sz="4" w:space="0"/>
              <w:bottom w:val="single" w:color="auto" w:sz="4" w:space="0"/>
            </w:tcBorders>
            <w:vAlign w:val="center"/>
          </w:tcPr>
          <w:p>
            <w:pPr>
              <w:spacing w:line="400" w:lineRule="exact"/>
            </w:pPr>
            <w:r>
              <w:rPr>
                <w:rFonts w:hint="eastAsia"/>
              </w:rPr>
              <w:t>符合第二章“报价人须知”前附表附录6的规定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209" w:type="dxa"/>
            <w:vMerge w:val="restart"/>
            <w:tcBorders>
              <w:top w:val="single" w:color="auto" w:sz="4" w:space="0"/>
              <w:bottom w:val="single" w:color="auto" w:sz="4" w:space="0"/>
              <w:right w:val="single" w:color="auto" w:sz="4" w:space="0"/>
            </w:tcBorders>
            <w:vAlign w:val="center"/>
          </w:tcPr>
          <w:p>
            <w:pPr>
              <w:spacing w:line="400" w:lineRule="exact"/>
              <w:jc w:val="center"/>
            </w:pPr>
            <w:r>
              <w:rPr>
                <w:rFonts w:hint="eastAsia"/>
              </w:rPr>
              <w:t>4</w:t>
            </w:r>
          </w:p>
        </w:tc>
        <w:tc>
          <w:tcPr>
            <w:tcW w:w="1263"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响应性评审标准</w:t>
            </w: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投标内容</w:t>
            </w:r>
          </w:p>
        </w:tc>
        <w:tc>
          <w:tcPr>
            <w:tcW w:w="5642" w:type="dxa"/>
            <w:tcBorders>
              <w:top w:val="single" w:color="auto" w:sz="4" w:space="0"/>
              <w:left w:val="single" w:color="auto" w:sz="4" w:space="0"/>
              <w:bottom w:val="single" w:color="auto" w:sz="4" w:space="0"/>
            </w:tcBorders>
            <w:vAlign w:val="center"/>
          </w:tcPr>
          <w:p>
            <w:pPr>
              <w:spacing w:line="400" w:lineRule="exact"/>
            </w:pPr>
            <w:r>
              <w:rPr>
                <w:rFonts w:hint="eastAsia"/>
              </w:rPr>
              <w:t>符合第二章“报价人须知”第7项规定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209" w:type="dxa"/>
            <w:vMerge w:val="continue"/>
            <w:tcBorders>
              <w:right w:val="single" w:color="auto" w:sz="4" w:space="0"/>
            </w:tcBorders>
            <w:vAlign w:val="center"/>
          </w:tcPr>
          <w:p>
            <w:pPr>
              <w:spacing w:line="400" w:lineRule="exact"/>
              <w:jc w:val="center"/>
            </w:pPr>
          </w:p>
        </w:tc>
        <w:tc>
          <w:tcPr>
            <w:tcW w:w="1263" w:type="dxa"/>
            <w:vMerge w:val="continue"/>
            <w:tcBorders>
              <w:left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报价</w:t>
            </w:r>
          </w:p>
        </w:tc>
        <w:tc>
          <w:tcPr>
            <w:tcW w:w="5642" w:type="dxa"/>
            <w:tcBorders>
              <w:top w:val="single" w:color="auto" w:sz="4" w:space="0"/>
              <w:left w:val="single" w:color="auto" w:sz="4" w:space="0"/>
              <w:bottom w:val="single" w:color="auto" w:sz="4" w:space="0"/>
            </w:tcBorders>
            <w:vAlign w:val="center"/>
          </w:tcPr>
          <w:p>
            <w:pPr>
              <w:spacing w:line="400" w:lineRule="exact"/>
            </w:pPr>
            <w:r>
              <w:rPr>
                <w:rFonts w:hint="eastAsia"/>
              </w:rPr>
              <w:t>符合比选文件给出的范围及数量，且报价不得超过采购人公布的最高限价，但也不得低于报价人的企业成本。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209"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工期</w:t>
            </w:r>
          </w:p>
        </w:tc>
        <w:tc>
          <w:tcPr>
            <w:tcW w:w="5642" w:type="dxa"/>
            <w:tcBorders>
              <w:top w:val="single" w:color="auto" w:sz="4" w:space="0"/>
              <w:left w:val="single" w:color="auto" w:sz="4" w:space="0"/>
              <w:bottom w:val="single" w:color="auto" w:sz="4" w:space="0"/>
            </w:tcBorders>
            <w:vAlign w:val="center"/>
          </w:tcPr>
          <w:p>
            <w:pPr>
              <w:spacing w:line="400" w:lineRule="exact"/>
            </w:pPr>
            <w:r>
              <w:rPr>
                <w:rFonts w:hint="eastAsia"/>
              </w:rPr>
              <w:t>符合第二章“报价人须知”第8项规定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209"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施工地点</w:t>
            </w:r>
          </w:p>
        </w:tc>
        <w:tc>
          <w:tcPr>
            <w:tcW w:w="5642" w:type="dxa"/>
            <w:tcBorders>
              <w:top w:val="single" w:color="auto" w:sz="4" w:space="0"/>
              <w:left w:val="single" w:color="auto" w:sz="4" w:space="0"/>
              <w:bottom w:val="single" w:color="auto" w:sz="4" w:space="0"/>
            </w:tcBorders>
            <w:vAlign w:val="center"/>
          </w:tcPr>
          <w:p>
            <w:pPr>
              <w:spacing w:line="400" w:lineRule="exact"/>
            </w:pPr>
            <w:r>
              <w:rPr>
                <w:rFonts w:hint="eastAsia"/>
              </w:rPr>
              <w:t>符合第二章“报价人须知”第3项规定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209"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质量标准</w:t>
            </w:r>
          </w:p>
        </w:tc>
        <w:tc>
          <w:tcPr>
            <w:tcW w:w="5642" w:type="dxa"/>
            <w:tcBorders>
              <w:top w:val="single" w:color="auto" w:sz="4" w:space="0"/>
              <w:left w:val="single" w:color="auto" w:sz="4" w:space="0"/>
              <w:bottom w:val="single" w:color="auto" w:sz="4" w:space="0"/>
            </w:tcBorders>
            <w:vAlign w:val="center"/>
          </w:tcPr>
          <w:p>
            <w:pPr>
              <w:spacing w:line="400" w:lineRule="exact"/>
            </w:pPr>
            <w:r>
              <w:rPr>
                <w:rFonts w:hint="eastAsia"/>
              </w:rPr>
              <w:t>符合第二章“报价人须知”第9项规定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209"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安全目标</w:t>
            </w:r>
          </w:p>
        </w:tc>
        <w:tc>
          <w:tcPr>
            <w:tcW w:w="5642" w:type="dxa"/>
            <w:tcBorders>
              <w:top w:val="single" w:color="auto" w:sz="4" w:space="0"/>
              <w:left w:val="single" w:color="auto" w:sz="4" w:space="0"/>
              <w:bottom w:val="single" w:color="auto" w:sz="4" w:space="0"/>
            </w:tcBorders>
            <w:vAlign w:val="center"/>
          </w:tcPr>
          <w:p>
            <w:pPr>
              <w:spacing w:line="400" w:lineRule="exact"/>
            </w:pPr>
            <w:r>
              <w:rPr>
                <w:rFonts w:hint="eastAsia"/>
              </w:rPr>
              <w:t>符合第二章“报价人须知”第10项规定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209" w:type="dxa"/>
            <w:tcBorders>
              <w:top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w:t>
            </w:r>
          </w:p>
        </w:tc>
        <w:tc>
          <w:tcPr>
            <w:tcW w:w="1263" w:type="dxa"/>
            <w:tcBorders>
              <w:top w:val="single" w:color="auto" w:sz="4" w:space="0"/>
              <w:left w:val="single" w:color="auto" w:sz="4" w:space="0"/>
              <w:bottom w:val="single" w:color="auto" w:sz="4" w:space="0"/>
              <w:right w:val="single" w:color="auto" w:sz="4" w:space="0"/>
            </w:tcBorders>
            <w:vAlign w:val="center"/>
          </w:tcPr>
          <w:p>
            <w:pPr>
              <w:tabs>
                <w:tab w:val="left" w:pos="1875"/>
              </w:tabs>
              <w:spacing w:line="400" w:lineRule="exact"/>
              <w:jc w:val="center"/>
            </w:pPr>
            <w:r>
              <w:rPr>
                <w:rFonts w:hint="eastAsia" w:asciiTheme="minorEastAsia" w:hAnsiTheme="minorEastAsia" w:eastAsiaTheme="minorEastAsia" w:cstheme="minorEastAsia"/>
                <w:kern w:val="0"/>
                <w:szCs w:val="21"/>
              </w:rPr>
              <w:t>分值构成</w:t>
            </w:r>
          </w:p>
          <w:p>
            <w:pPr>
              <w:tabs>
                <w:tab w:val="left" w:pos="1875"/>
              </w:tabs>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(总分1O0分)</w:t>
            </w:r>
          </w:p>
        </w:tc>
        <w:tc>
          <w:tcPr>
            <w:tcW w:w="7692" w:type="dxa"/>
            <w:gridSpan w:val="2"/>
            <w:tcBorders>
              <w:top w:val="single" w:color="auto" w:sz="4" w:space="0"/>
              <w:left w:val="single" w:color="auto" w:sz="4" w:space="0"/>
              <w:bottom w:val="single" w:color="auto" w:sz="4" w:space="0"/>
            </w:tcBorders>
          </w:tcPr>
          <w:p>
            <w:pPr>
              <w:spacing w:line="400" w:lineRule="exact"/>
              <w:ind w:firstLine="420"/>
            </w:pPr>
            <w:r>
              <w:rPr>
                <w:rFonts w:hint="eastAsia"/>
              </w:rPr>
              <w:t>A：投标报价50分；</w:t>
            </w:r>
          </w:p>
          <w:p>
            <w:pPr>
              <w:spacing w:line="400" w:lineRule="exact"/>
              <w:ind w:firstLine="420"/>
            </w:pPr>
            <w:r>
              <w:rPr>
                <w:rFonts w:hint="eastAsia"/>
              </w:rPr>
              <w:t>B：商务部分10分；</w:t>
            </w:r>
          </w:p>
          <w:p>
            <w:pPr>
              <w:spacing w:line="400" w:lineRule="exact"/>
              <w:ind w:firstLine="420"/>
            </w:pPr>
            <w:r>
              <w:rPr>
                <w:rFonts w:hint="eastAsia"/>
              </w:rPr>
              <w:t>C：技术部分40分。</w:t>
            </w:r>
          </w:p>
        </w:tc>
      </w:tr>
    </w:tbl>
    <w:p>
      <w:pPr>
        <w:spacing w:line="400" w:lineRule="exact"/>
      </w:pPr>
    </w:p>
    <w:p>
      <w:pPr>
        <w:spacing w:line="400" w:lineRule="exact"/>
      </w:pPr>
      <w:r>
        <w:rPr>
          <w:rFonts w:hint="eastAsia"/>
        </w:rPr>
        <w:t>评分细则：</w:t>
      </w:r>
    </w:p>
    <w:tbl>
      <w:tblPr>
        <w:tblStyle w:val="41"/>
        <w:tblW w:w="10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164"/>
        <w:gridCol w:w="1696"/>
        <w:gridCol w:w="5200"/>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b/>
                <w:szCs w:val="21"/>
              </w:rPr>
            </w:pPr>
            <w:r>
              <w:rPr>
                <w:rFonts w:hint="eastAsia" w:ascii="宋体" w:hAnsi="宋体" w:cs="宋体"/>
                <w:b/>
                <w:szCs w:val="21"/>
              </w:rPr>
              <w:t>序号</w:t>
            </w:r>
          </w:p>
        </w:tc>
        <w:tc>
          <w:tcPr>
            <w:tcW w:w="116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b/>
                <w:szCs w:val="21"/>
              </w:rPr>
            </w:pPr>
            <w:r>
              <w:rPr>
                <w:rFonts w:hint="eastAsia" w:ascii="宋体" w:hAnsi="宋体" w:cs="宋体"/>
                <w:b/>
                <w:szCs w:val="21"/>
              </w:rPr>
              <w:t>评分因素</w:t>
            </w:r>
          </w:p>
          <w:p>
            <w:pPr>
              <w:snapToGrid w:val="0"/>
              <w:spacing w:line="400" w:lineRule="exact"/>
              <w:jc w:val="center"/>
              <w:rPr>
                <w:rFonts w:ascii="宋体" w:hAnsi="宋体" w:cs="宋体"/>
                <w:b/>
                <w:szCs w:val="21"/>
              </w:rPr>
            </w:pPr>
            <w:r>
              <w:rPr>
                <w:rFonts w:hint="eastAsia" w:ascii="宋体" w:hAnsi="宋体" w:cs="宋体"/>
                <w:b/>
                <w:szCs w:val="21"/>
              </w:rPr>
              <w:t>及权重</w:t>
            </w:r>
          </w:p>
        </w:tc>
        <w:tc>
          <w:tcPr>
            <w:tcW w:w="169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b/>
                <w:szCs w:val="21"/>
              </w:rPr>
            </w:pPr>
            <w:r>
              <w:rPr>
                <w:rFonts w:hint="eastAsia" w:ascii="宋体" w:hAnsi="宋体" w:cs="宋体"/>
                <w:b/>
                <w:szCs w:val="21"/>
              </w:rPr>
              <w:t>分值</w:t>
            </w:r>
          </w:p>
        </w:tc>
        <w:tc>
          <w:tcPr>
            <w:tcW w:w="520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b/>
                <w:szCs w:val="21"/>
              </w:rPr>
            </w:pPr>
            <w:r>
              <w:rPr>
                <w:rFonts w:hint="eastAsia" w:ascii="宋体" w:hAnsi="宋体" w:cs="宋体"/>
                <w:b/>
                <w:szCs w:val="21"/>
              </w:rPr>
              <w:t>评分标准</w:t>
            </w:r>
          </w:p>
        </w:tc>
        <w:tc>
          <w:tcPr>
            <w:tcW w:w="1358" w:type="dxa"/>
            <w:tcBorders>
              <w:top w:val="single" w:color="auto" w:sz="4" w:space="0"/>
              <w:left w:val="single" w:color="auto" w:sz="4" w:space="0"/>
              <w:bottom w:val="single" w:color="auto" w:sz="4" w:space="0"/>
              <w:right w:val="single" w:color="auto" w:sz="4" w:space="0"/>
            </w:tcBorders>
            <w:vAlign w:val="center"/>
          </w:tcPr>
          <w:p>
            <w:pPr>
              <w:pStyle w:val="171"/>
              <w:snapToGrid w:val="0"/>
              <w:spacing w:line="400" w:lineRule="exact"/>
              <w:rPr>
                <w:rFonts w:ascii="宋体" w:hAnsi="宋体" w:eastAsia="宋体" w:cs="宋体"/>
                <w:sz w:val="21"/>
                <w:szCs w:val="21"/>
              </w:rPr>
            </w:pPr>
            <w:r>
              <w:rPr>
                <w:rFonts w:hint="eastAsia" w:ascii="宋体" w:hAnsi="宋体" w:eastAsia="宋体" w:cs="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hint="eastAsia" w:ascii="宋体" w:hAnsi="宋体" w:cs="宋体"/>
                <w:szCs w:val="21"/>
              </w:rPr>
              <w:t xml:space="preserve">1 </w:t>
            </w:r>
          </w:p>
        </w:tc>
        <w:tc>
          <w:tcPr>
            <w:tcW w:w="116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hint="eastAsia" w:ascii="宋体" w:hAnsi="宋体" w:cs="宋体"/>
                <w:szCs w:val="21"/>
              </w:rPr>
              <w:t>投标报价</w:t>
            </w:r>
          </w:p>
          <w:p>
            <w:pPr>
              <w:snapToGrid w:val="0"/>
              <w:spacing w:line="400" w:lineRule="exact"/>
              <w:jc w:val="center"/>
              <w:rPr>
                <w:rFonts w:ascii="宋体" w:hAnsi="宋体" w:cs="宋体"/>
                <w:szCs w:val="21"/>
              </w:rPr>
            </w:pPr>
            <w:r>
              <w:rPr>
                <w:rFonts w:hint="eastAsia" w:ascii="宋体" w:hAnsi="宋体" w:cs="宋体"/>
                <w:szCs w:val="21"/>
              </w:rPr>
              <w:t>（50%）</w:t>
            </w:r>
          </w:p>
        </w:tc>
        <w:tc>
          <w:tcPr>
            <w:tcW w:w="169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hint="eastAsia" w:ascii="宋体" w:hAnsi="宋体" w:cs="宋体"/>
                <w:szCs w:val="21"/>
              </w:rPr>
              <w:t>报价</w:t>
            </w:r>
            <w:r>
              <w:rPr>
                <w:rFonts w:hint="eastAsia" w:ascii="宋体" w:hAnsi="宋体" w:cs="宋体"/>
                <w:szCs w:val="21"/>
              </w:rPr>
              <w:br w:type="textWrapping"/>
            </w:r>
            <w:r>
              <w:rPr>
                <w:rFonts w:hint="eastAsia" w:ascii="宋体" w:hAnsi="宋体" w:cs="宋体"/>
                <w:szCs w:val="21"/>
              </w:rPr>
              <w:t>（50分）</w:t>
            </w:r>
          </w:p>
        </w:tc>
        <w:tc>
          <w:tcPr>
            <w:tcW w:w="5200" w:type="dxa"/>
            <w:tcBorders>
              <w:top w:val="single" w:color="auto" w:sz="4" w:space="0"/>
              <w:left w:val="single" w:color="auto" w:sz="4" w:space="0"/>
              <w:bottom w:val="single" w:color="auto" w:sz="4" w:space="0"/>
              <w:right w:val="single" w:color="auto" w:sz="4" w:space="0"/>
            </w:tcBorders>
            <w:vAlign w:val="center"/>
          </w:tcPr>
          <w:p>
            <w:pPr>
              <w:pStyle w:val="40"/>
              <w:spacing w:line="400" w:lineRule="exact"/>
              <w:ind w:firstLine="210"/>
              <w:contextualSpacing/>
              <w:rPr>
                <w:rFonts w:hAnsi="宋体" w:eastAsia="宋体" w:cs="宋体"/>
                <w:sz w:val="21"/>
                <w:szCs w:val="21"/>
              </w:rPr>
            </w:pPr>
            <w:r>
              <w:rPr>
                <w:rFonts w:hint="eastAsia" w:hAnsi="宋体" w:eastAsia="宋体" w:cs="宋体"/>
                <w:sz w:val="21"/>
                <w:szCs w:val="21"/>
              </w:rPr>
              <w:t>（1）满足招标文件要求，有效的投标报价的平均值为评标基准价。</w:t>
            </w:r>
          </w:p>
          <w:p>
            <w:pPr>
              <w:pStyle w:val="40"/>
              <w:spacing w:line="400" w:lineRule="exact"/>
              <w:ind w:firstLine="210"/>
              <w:contextualSpacing/>
              <w:rPr>
                <w:rFonts w:hAnsi="宋体" w:eastAsia="宋体" w:cs="宋体"/>
                <w:sz w:val="21"/>
                <w:szCs w:val="21"/>
              </w:rPr>
            </w:pPr>
            <w:r>
              <w:rPr>
                <w:rFonts w:hint="eastAsia" w:hAnsi="宋体" w:eastAsia="宋体" w:cs="宋体"/>
                <w:sz w:val="21"/>
                <w:szCs w:val="21"/>
              </w:rPr>
              <w:t>（2）偏差率=100%×（投标人报价－评标基准价）/评标基准价（线性得分）。</w:t>
            </w:r>
          </w:p>
          <w:p>
            <w:pPr>
              <w:pStyle w:val="40"/>
              <w:spacing w:line="400" w:lineRule="exact"/>
              <w:ind w:firstLine="210"/>
              <w:contextualSpacing/>
              <w:rPr>
                <w:rFonts w:hAnsi="宋体" w:eastAsia="宋体" w:cs="宋体"/>
                <w:sz w:val="21"/>
                <w:szCs w:val="21"/>
              </w:rPr>
            </w:pPr>
            <w:r>
              <w:rPr>
                <w:rFonts w:hint="eastAsia" w:hAnsi="宋体" w:eastAsia="宋体" w:cs="宋体"/>
                <w:sz w:val="21"/>
                <w:szCs w:val="21"/>
              </w:rPr>
              <w:t>（3）经评审的有效投标报价与评标基准价相比，等于基准价的得50分，每增加1%扣0.5分，每减少1%扣0.25分，扣完为止。</w:t>
            </w:r>
          </w:p>
          <w:p>
            <w:pPr>
              <w:pStyle w:val="40"/>
              <w:spacing w:line="400" w:lineRule="exact"/>
              <w:ind w:firstLine="210"/>
              <w:contextualSpacing/>
              <w:rPr>
                <w:rFonts w:hAnsi="宋体" w:eastAsia="宋体" w:cs="宋体"/>
                <w:sz w:val="21"/>
                <w:szCs w:val="21"/>
              </w:rPr>
            </w:pPr>
            <w:r>
              <w:rPr>
                <w:rFonts w:hint="eastAsia" w:hAnsi="宋体" w:eastAsia="宋体" w:cs="宋体"/>
                <w:sz w:val="21"/>
                <w:szCs w:val="21"/>
              </w:rPr>
              <w:t>（4）结果保留2位小数。</w:t>
            </w:r>
          </w:p>
        </w:tc>
        <w:tc>
          <w:tcPr>
            <w:tcW w:w="1358" w:type="dxa"/>
            <w:tcBorders>
              <w:top w:val="single" w:color="auto" w:sz="4" w:space="0"/>
              <w:left w:val="single" w:color="auto" w:sz="4" w:space="0"/>
              <w:bottom w:val="single" w:color="auto" w:sz="4" w:space="0"/>
              <w:right w:val="single" w:color="auto" w:sz="4" w:space="0"/>
            </w:tcBorders>
            <w:vAlign w:val="center"/>
          </w:tcPr>
          <w:p>
            <w:pPr>
              <w:pStyle w:val="40"/>
              <w:spacing w:line="400" w:lineRule="exact"/>
              <w:ind w:firstLine="210"/>
              <w:rPr>
                <w:rFonts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711" w:type="dxa"/>
            <w:vMerge w:val="restart"/>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cs="宋体"/>
                <w:szCs w:val="21"/>
              </w:rPr>
            </w:pPr>
            <w:r>
              <w:rPr>
                <w:rFonts w:hint="eastAsia" w:ascii="宋体" w:hAnsi="宋体" w:cs="宋体"/>
                <w:szCs w:val="21"/>
              </w:rPr>
              <w:t>2</w:t>
            </w:r>
          </w:p>
        </w:tc>
        <w:tc>
          <w:tcPr>
            <w:tcW w:w="1164" w:type="dxa"/>
            <w:vMerge w:val="restart"/>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cs="宋体"/>
                <w:szCs w:val="21"/>
              </w:rPr>
            </w:pPr>
            <w:r>
              <w:rPr>
                <w:rFonts w:hint="eastAsia" w:ascii="宋体" w:hAnsi="宋体" w:cs="宋体"/>
                <w:szCs w:val="21"/>
              </w:rPr>
              <w:t>商务部分</w:t>
            </w:r>
          </w:p>
          <w:p>
            <w:pPr>
              <w:snapToGrid w:val="0"/>
              <w:spacing w:line="400" w:lineRule="exact"/>
              <w:jc w:val="center"/>
              <w:rPr>
                <w:rFonts w:ascii="宋体" w:hAnsi="宋体" w:cs="宋体"/>
                <w:szCs w:val="21"/>
              </w:rPr>
            </w:pPr>
            <w:r>
              <w:rPr>
                <w:rFonts w:hint="eastAsia" w:ascii="宋体" w:hAnsi="宋体" w:cs="宋体"/>
                <w:szCs w:val="21"/>
              </w:rPr>
              <w:t>（10%）</w:t>
            </w:r>
          </w:p>
        </w:tc>
        <w:tc>
          <w:tcPr>
            <w:tcW w:w="1696" w:type="dxa"/>
            <w:vMerge w:val="restart"/>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cs="宋体"/>
                <w:szCs w:val="21"/>
                <w:shd w:val="clear" w:color="FFFFFF" w:fill="auto"/>
              </w:rPr>
            </w:pPr>
            <w:r>
              <w:rPr>
                <w:rFonts w:hint="eastAsia" w:ascii="宋体" w:hAnsi="宋体" w:cs="宋体"/>
                <w:szCs w:val="21"/>
                <w:shd w:val="clear" w:color="FFFFFF" w:fill="auto"/>
              </w:rPr>
              <w:t>资质评审</w:t>
            </w:r>
          </w:p>
          <w:p>
            <w:pPr>
              <w:snapToGrid w:val="0"/>
              <w:spacing w:line="400" w:lineRule="exact"/>
              <w:jc w:val="center"/>
              <w:rPr>
                <w:rFonts w:ascii="宋体" w:hAnsi="宋体" w:cs="宋体"/>
                <w:szCs w:val="21"/>
              </w:rPr>
            </w:pPr>
            <w:r>
              <w:rPr>
                <w:rFonts w:hint="eastAsia" w:ascii="宋体" w:hAnsi="宋体" w:cs="宋体"/>
                <w:szCs w:val="21"/>
                <w:shd w:val="clear" w:color="FFFFFF" w:fill="auto"/>
              </w:rPr>
              <w:t>（5分）</w:t>
            </w:r>
          </w:p>
        </w:tc>
        <w:tc>
          <w:tcPr>
            <w:tcW w:w="5200" w:type="dxa"/>
            <w:vMerge w:val="restart"/>
            <w:tcBorders>
              <w:top w:val="single" w:color="auto" w:sz="4" w:space="0"/>
              <w:left w:val="single" w:color="auto" w:sz="4" w:space="0"/>
              <w:right w:val="single" w:color="auto" w:sz="4" w:space="0"/>
            </w:tcBorders>
            <w:vAlign w:val="center"/>
          </w:tcPr>
          <w:p>
            <w:pPr>
              <w:pStyle w:val="40"/>
              <w:spacing w:line="240" w:lineRule="auto"/>
              <w:ind w:firstLineChars="200"/>
              <w:rPr>
                <w:rFonts w:hAnsi="宋体" w:eastAsia="宋体" w:cs="宋体"/>
                <w:sz w:val="21"/>
                <w:szCs w:val="21"/>
              </w:rPr>
            </w:pPr>
            <w:r>
              <w:rPr>
                <w:rFonts w:hint="eastAsia" w:hAnsi="宋体" w:eastAsia="宋体" w:cs="宋体"/>
                <w:sz w:val="21"/>
                <w:szCs w:val="21"/>
              </w:rPr>
              <w:t>1</w:t>
            </w:r>
            <w:r>
              <w:rPr>
                <w:rFonts w:hint="eastAsia" w:hAnsi="宋体" w:eastAsia="宋体" w:cs="宋体"/>
                <w:sz w:val="21"/>
                <w:szCs w:val="21"/>
                <w:highlight w:val="none"/>
              </w:rPr>
              <w:t>、投标人或三维可视化系统制造厂商提供生</w:t>
            </w:r>
            <w:r>
              <w:rPr>
                <w:rFonts w:hint="eastAsia" w:hAnsi="宋体" w:eastAsia="宋体" w:cs="宋体"/>
                <w:sz w:val="21"/>
                <w:szCs w:val="21"/>
              </w:rPr>
              <w:t>产厂商具备ISO9O01质量管理体系认证证明文件，得1分，不提供不得分;</w:t>
            </w:r>
          </w:p>
          <w:p>
            <w:pPr>
              <w:pStyle w:val="40"/>
              <w:spacing w:line="240" w:lineRule="auto"/>
              <w:ind w:firstLineChars="200"/>
              <w:rPr>
                <w:rFonts w:hAnsi="宋体" w:eastAsia="宋体" w:cs="宋体"/>
                <w:sz w:val="21"/>
                <w:szCs w:val="21"/>
              </w:rPr>
            </w:pPr>
            <w:r>
              <w:rPr>
                <w:rFonts w:hint="eastAsia" w:hAnsi="宋体" w:eastAsia="宋体" w:cs="宋体"/>
                <w:sz w:val="21"/>
                <w:szCs w:val="21"/>
              </w:rPr>
              <w:t>2、投标人或三维可视化系统制造厂商提供生产厂商具备CMMI3及以上软件能力成熟度模型集成证明文件，得1分，不提供不得分;</w:t>
            </w:r>
          </w:p>
          <w:p>
            <w:pPr>
              <w:pStyle w:val="40"/>
              <w:spacing w:line="240" w:lineRule="auto"/>
              <w:ind w:firstLineChars="200"/>
              <w:rPr>
                <w:rFonts w:hAnsi="宋体" w:eastAsia="宋体" w:cs="宋体"/>
                <w:sz w:val="21"/>
                <w:szCs w:val="21"/>
              </w:rPr>
            </w:pPr>
            <w:r>
              <w:rPr>
                <w:rFonts w:hint="eastAsia" w:hAnsi="宋体" w:eastAsia="宋体" w:cs="宋体"/>
                <w:sz w:val="21"/>
                <w:szCs w:val="21"/>
              </w:rPr>
              <w:t>3、投标人或三维可视化系统制造厂商提供生产厂商具备ISO20000信息技术服务体系认证证明文件，得1分，不提供不得分;</w:t>
            </w:r>
          </w:p>
          <w:p>
            <w:pPr>
              <w:pStyle w:val="40"/>
              <w:spacing w:line="240" w:lineRule="auto"/>
              <w:ind w:firstLineChars="200"/>
              <w:rPr>
                <w:rFonts w:hAnsi="宋体" w:eastAsia="宋体" w:cs="宋体"/>
                <w:sz w:val="21"/>
                <w:szCs w:val="21"/>
              </w:rPr>
            </w:pPr>
            <w:r>
              <w:rPr>
                <w:rFonts w:hint="eastAsia" w:hAnsi="宋体" w:eastAsia="宋体" w:cs="宋体"/>
                <w:sz w:val="21"/>
                <w:szCs w:val="21"/>
              </w:rPr>
              <w:t>4、投标人或三维可视化系统制造厂商提供生产厂商具备ISO27001信息安全管理体系认证证明文件，得1分，不提供不得分;</w:t>
            </w:r>
          </w:p>
          <w:p>
            <w:pPr>
              <w:pStyle w:val="40"/>
              <w:spacing w:line="240" w:lineRule="auto"/>
              <w:ind w:firstLineChars="200"/>
              <w:rPr>
                <w:rFonts w:hAnsi="宋体" w:eastAsia="宋体" w:cs="宋体"/>
                <w:sz w:val="21"/>
                <w:szCs w:val="21"/>
              </w:rPr>
            </w:pPr>
            <w:r>
              <w:rPr>
                <w:rFonts w:hint="eastAsia" w:hAnsi="宋体" w:eastAsia="宋体" w:cs="宋体"/>
                <w:sz w:val="21"/>
                <w:szCs w:val="21"/>
              </w:rPr>
              <w:t>5、投标人或三维可视化系统制造厂商提供生产厂商具有自研3D图形渲染引擎软件，并提供软著证明，得1分，不提供不得分。</w:t>
            </w:r>
          </w:p>
        </w:tc>
        <w:tc>
          <w:tcPr>
            <w:tcW w:w="1358"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jc w:val="center"/>
              <w:rPr>
                <w:rFonts w:ascii="宋体" w:hAnsi="宋体" w:cs="宋体"/>
                <w:szCs w:val="21"/>
              </w:rPr>
            </w:pPr>
            <w:r>
              <w:rPr>
                <w:rFonts w:hint="eastAsia" w:ascii="宋体" w:hAnsi="宋体" w:cs="宋体"/>
                <w:szCs w:val="21"/>
              </w:rPr>
              <w:t>提供证书或证明材料复印件并加盖投标人公章。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711" w:type="dxa"/>
            <w:vMerge w:val="continue"/>
            <w:tcBorders>
              <w:left w:val="single" w:color="auto" w:sz="4" w:space="0"/>
              <w:bottom w:val="single" w:color="auto" w:sz="4" w:space="0"/>
              <w:right w:val="single" w:color="auto" w:sz="4" w:space="0"/>
            </w:tcBorders>
            <w:vAlign w:val="center"/>
          </w:tcPr>
          <w:p>
            <w:pPr>
              <w:spacing w:line="400" w:lineRule="exact"/>
              <w:contextualSpacing/>
              <w:jc w:val="left"/>
              <w:rPr>
                <w:rFonts w:ascii="宋体" w:hAnsi="宋体" w:cs="宋体"/>
                <w:szCs w:val="21"/>
              </w:rPr>
            </w:pPr>
          </w:p>
        </w:tc>
        <w:tc>
          <w:tcPr>
            <w:tcW w:w="1164" w:type="dxa"/>
            <w:vMerge w:val="continue"/>
            <w:tcBorders>
              <w:left w:val="single" w:color="auto" w:sz="4" w:space="0"/>
              <w:bottom w:val="single" w:color="auto" w:sz="4" w:space="0"/>
              <w:right w:val="single" w:color="auto" w:sz="4" w:space="0"/>
            </w:tcBorders>
            <w:vAlign w:val="center"/>
          </w:tcPr>
          <w:p>
            <w:pPr>
              <w:spacing w:line="400" w:lineRule="exact"/>
              <w:contextualSpacing/>
              <w:jc w:val="left"/>
              <w:rPr>
                <w:rFonts w:ascii="宋体" w:hAnsi="宋体" w:cs="宋体"/>
                <w:szCs w:val="21"/>
              </w:rPr>
            </w:pPr>
          </w:p>
        </w:tc>
        <w:tc>
          <w:tcPr>
            <w:tcW w:w="1696" w:type="dxa"/>
            <w:vMerge w:val="continue"/>
            <w:tcBorders>
              <w:left w:val="single" w:color="auto" w:sz="4" w:space="0"/>
              <w:right w:val="single" w:color="auto" w:sz="4" w:space="0"/>
            </w:tcBorders>
            <w:vAlign w:val="center"/>
          </w:tcPr>
          <w:p>
            <w:pPr>
              <w:spacing w:line="400" w:lineRule="exact"/>
              <w:contextualSpacing/>
              <w:jc w:val="left"/>
              <w:rPr>
                <w:rFonts w:ascii="宋体" w:hAnsi="宋体" w:cs="宋体"/>
                <w:szCs w:val="21"/>
              </w:rPr>
            </w:pPr>
          </w:p>
        </w:tc>
        <w:tc>
          <w:tcPr>
            <w:tcW w:w="5200" w:type="dxa"/>
            <w:vMerge w:val="continue"/>
            <w:tcBorders>
              <w:left w:val="single" w:color="auto" w:sz="4" w:space="0"/>
              <w:bottom w:val="single" w:color="auto" w:sz="4" w:space="0"/>
              <w:right w:val="single" w:color="auto" w:sz="4" w:space="0"/>
            </w:tcBorders>
            <w:vAlign w:val="center"/>
          </w:tcPr>
          <w:p>
            <w:pPr>
              <w:spacing w:line="400" w:lineRule="exact"/>
              <w:contextualSpacing/>
              <w:jc w:val="left"/>
              <w:rPr>
                <w:rFonts w:ascii="宋体" w:hAnsi="宋体" w:cs="宋体"/>
                <w:szCs w:val="21"/>
              </w:rPr>
            </w:pPr>
          </w:p>
        </w:tc>
        <w:tc>
          <w:tcPr>
            <w:tcW w:w="1358"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jc w:val="left"/>
              <w:rPr>
                <w:rFonts w:ascii="宋体" w:hAnsi="宋体" w:cs="宋体"/>
                <w:szCs w:val="21"/>
              </w:rPr>
            </w:pPr>
          </w:p>
        </w:tc>
        <w:tc>
          <w:tcPr>
            <w:tcW w:w="116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jc w:val="left"/>
              <w:rPr>
                <w:rFonts w:ascii="宋体" w:hAnsi="宋体" w:cs="宋体"/>
                <w:szCs w:val="21"/>
              </w:rPr>
            </w:pPr>
          </w:p>
        </w:tc>
        <w:tc>
          <w:tcPr>
            <w:tcW w:w="1696" w:type="dxa"/>
            <w:tcBorders>
              <w:top w:val="single" w:color="auto" w:sz="4" w:space="0"/>
              <w:left w:val="single" w:color="auto" w:sz="4" w:space="0"/>
              <w:right w:val="single" w:color="auto" w:sz="4" w:space="0"/>
            </w:tcBorders>
            <w:vAlign w:val="center"/>
          </w:tcPr>
          <w:p>
            <w:pPr>
              <w:widowControl/>
              <w:spacing w:before="156" w:line="400" w:lineRule="exact"/>
              <w:jc w:val="center"/>
              <w:rPr>
                <w:rFonts w:ascii="宋体" w:hAnsi="宋体" w:cs="宋体"/>
                <w:szCs w:val="21"/>
              </w:rPr>
            </w:pPr>
            <w:r>
              <w:rPr>
                <w:rFonts w:hint="eastAsia" w:ascii="宋体" w:hAnsi="宋体" w:cs="宋体"/>
                <w:szCs w:val="21"/>
              </w:rPr>
              <w:t>业绩</w:t>
            </w:r>
          </w:p>
          <w:p>
            <w:pPr>
              <w:widowControl/>
              <w:spacing w:before="156" w:line="400" w:lineRule="exact"/>
              <w:jc w:val="center"/>
              <w:rPr>
                <w:rFonts w:ascii="宋体" w:hAnsi="宋体" w:cs="宋体"/>
                <w:szCs w:val="21"/>
              </w:rPr>
            </w:pPr>
            <w:r>
              <w:rPr>
                <w:rFonts w:hint="eastAsia" w:ascii="宋体" w:hAnsi="宋体" w:cs="宋体"/>
                <w:szCs w:val="21"/>
              </w:rPr>
              <w:t>（5分）</w:t>
            </w:r>
          </w:p>
        </w:tc>
        <w:tc>
          <w:tcPr>
            <w:tcW w:w="5200" w:type="dxa"/>
            <w:tcBorders>
              <w:top w:val="single" w:color="auto" w:sz="4" w:space="0"/>
              <w:left w:val="single" w:color="auto" w:sz="4" w:space="0"/>
              <w:bottom w:val="single" w:color="auto" w:sz="4" w:space="0"/>
              <w:right w:val="single" w:color="auto" w:sz="4" w:space="0"/>
            </w:tcBorders>
            <w:vAlign w:val="center"/>
          </w:tcPr>
          <w:p>
            <w:pPr>
              <w:pStyle w:val="40"/>
              <w:spacing w:line="240" w:lineRule="auto"/>
              <w:ind w:firstLineChars="200"/>
              <w:rPr>
                <w:rFonts w:hAnsi="宋体" w:eastAsia="宋体" w:cs="宋体"/>
                <w:sz w:val="21"/>
                <w:szCs w:val="21"/>
                <w:highlight w:val="none"/>
              </w:rPr>
            </w:pPr>
            <w:r>
              <w:rPr>
                <w:rFonts w:hint="eastAsia" w:hAnsi="宋体" w:eastAsia="宋体" w:cs="宋体"/>
                <w:sz w:val="21"/>
                <w:szCs w:val="21"/>
              </w:rPr>
              <w:t>1、提供投标人或三维可视化系统制造厂商2018年1月1日至今完成的高</w:t>
            </w:r>
            <w:r>
              <w:rPr>
                <w:rFonts w:hint="eastAsia" w:hAnsi="宋体" w:eastAsia="宋体" w:cs="宋体"/>
                <w:sz w:val="21"/>
                <w:szCs w:val="21"/>
                <w:highlight w:val="none"/>
              </w:rPr>
              <w:t>速行业三维可视化项目建设业绩，每套有效业绩得1分，最多的3分；</w:t>
            </w:r>
          </w:p>
          <w:p>
            <w:pPr>
              <w:pStyle w:val="40"/>
              <w:spacing w:line="240" w:lineRule="auto"/>
              <w:ind w:firstLineChars="200"/>
              <w:rPr>
                <w:rFonts w:hAnsi="宋体" w:eastAsia="宋体" w:cs="宋体"/>
                <w:sz w:val="21"/>
                <w:szCs w:val="21"/>
                <w:highlight w:val="none"/>
              </w:rPr>
            </w:pPr>
            <w:r>
              <w:rPr>
                <w:rFonts w:hint="eastAsia" w:hAnsi="宋体" w:eastAsia="宋体" w:cs="宋体"/>
                <w:sz w:val="21"/>
                <w:szCs w:val="21"/>
                <w:highlight w:val="none"/>
              </w:rPr>
              <w:t>2、提供投标人或三维可视化系统制造厂商2018年1月1日至今完成的其他交通物流行业三维可视化项目建设业绩，每套有效业绩得1分，最多得2分；</w:t>
            </w:r>
          </w:p>
          <w:p>
            <w:pPr>
              <w:pStyle w:val="40"/>
              <w:spacing w:line="240" w:lineRule="auto"/>
              <w:ind w:firstLineChars="200"/>
              <w:rPr>
                <w:rFonts w:hAnsi="宋体" w:eastAsia="宋体" w:cs="宋体"/>
                <w:sz w:val="21"/>
                <w:szCs w:val="21"/>
              </w:rPr>
            </w:pPr>
            <w:r>
              <w:rPr>
                <w:rFonts w:hint="eastAsia" w:hAnsi="宋体" w:eastAsia="宋体" w:cs="宋体"/>
                <w:sz w:val="21"/>
                <w:szCs w:val="21"/>
              </w:rPr>
              <w:t>满分5分。以合同签订时间为准，须提供合同复印件和验收合格报告并加盖公章，未提供不得分。</w:t>
            </w:r>
          </w:p>
        </w:tc>
        <w:tc>
          <w:tcPr>
            <w:tcW w:w="1358" w:type="dxa"/>
            <w:tcBorders>
              <w:top w:val="single" w:color="auto" w:sz="4" w:space="0"/>
              <w:left w:val="single" w:color="auto" w:sz="4" w:space="0"/>
              <w:bottom w:val="single" w:color="auto" w:sz="4" w:space="0"/>
              <w:right w:val="single" w:color="auto" w:sz="4" w:space="0"/>
            </w:tcBorders>
            <w:vAlign w:val="center"/>
          </w:tcPr>
          <w:p>
            <w:pPr>
              <w:widowControl/>
              <w:spacing w:beforeAutospacing="1"/>
              <w:jc w:val="center"/>
              <w:rPr>
                <w:rFonts w:ascii="宋体" w:hAnsi="宋体" w:cs="宋体"/>
                <w:szCs w:val="21"/>
              </w:rPr>
            </w:pPr>
            <w:r>
              <w:rPr>
                <w:rFonts w:hint="eastAsia" w:ascii="宋体" w:hAnsi="宋体" w:cs="宋体"/>
                <w:szCs w:val="21"/>
              </w:rPr>
              <w:t>提供项目合同复印件（若无合同，须提供相应国家机关批复或批文）加盖投标人公章，不提供不得分。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87" w:hRule="atLeast"/>
          <w:jc w:val="center"/>
        </w:trPr>
        <w:tc>
          <w:tcPr>
            <w:tcW w:w="711" w:type="dxa"/>
            <w:vMerge w:val="restart"/>
            <w:tcBorders>
              <w:top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3</w:t>
            </w:r>
          </w:p>
        </w:tc>
        <w:tc>
          <w:tcPr>
            <w:tcW w:w="1164"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技术部分（40%）</w:t>
            </w:r>
          </w:p>
        </w:tc>
        <w:tc>
          <w:tcPr>
            <w:tcW w:w="1696" w:type="dxa"/>
            <w:tcBorders>
              <w:top w:val="single" w:color="auto" w:sz="4" w:space="0"/>
              <w:left w:val="single" w:color="auto" w:sz="4" w:space="0"/>
              <w:bottom w:val="single" w:color="auto" w:sz="4" w:space="0"/>
            </w:tcBorders>
            <w:vAlign w:val="center"/>
          </w:tcPr>
          <w:p>
            <w:pPr>
              <w:widowControl/>
              <w:spacing w:before="156" w:line="400" w:lineRule="exact"/>
              <w:jc w:val="center"/>
              <w:rPr>
                <w:rFonts w:hint="eastAsia" w:ascii="宋体" w:hAnsi="宋体" w:cs="宋体"/>
                <w:szCs w:val="21"/>
              </w:rPr>
            </w:pPr>
            <w:r>
              <w:rPr>
                <w:rFonts w:hint="eastAsia" w:ascii="宋体" w:hAnsi="宋体" w:cs="宋体"/>
                <w:szCs w:val="21"/>
              </w:rPr>
              <w:t>实施方案</w:t>
            </w:r>
          </w:p>
          <w:p>
            <w:pPr>
              <w:widowControl/>
              <w:spacing w:before="156" w:line="400" w:lineRule="exact"/>
              <w:jc w:val="center"/>
              <w:rPr>
                <w:rFonts w:ascii="宋体" w:hAnsi="宋体" w:cs="宋体"/>
                <w:szCs w:val="21"/>
              </w:rPr>
            </w:pPr>
            <w:r>
              <w:rPr>
                <w:rFonts w:hint="eastAsia" w:ascii="宋体" w:hAnsi="宋体" w:cs="宋体"/>
                <w:szCs w:val="21"/>
              </w:rPr>
              <w:t>（30分）</w:t>
            </w:r>
          </w:p>
        </w:tc>
        <w:tc>
          <w:tcPr>
            <w:tcW w:w="5200" w:type="dxa"/>
            <w:tcBorders>
              <w:top w:val="single" w:color="auto" w:sz="4" w:space="0"/>
              <w:left w:val="single" w:color="auto" w:sz="4" w:space="0"/>
              <w:bottom w:val="single" w:color="auto" w:sz="4" w:space="0"/>
            </w:tcBorders>
          </w:tcPr>
          <w:p>
            <w:pPr>
              <w:pStyle w:val="40"/>
              <w:spacing w:line="240" w:lineRule="auto"/>
              <w:ind w:firstLineChars="200"/>
              <w:rPr>
                <w:rFonts w:hAnsi="宋体" w:eastAsia="宋体" w:cs="宋体"/>
                <w:sz w:val="21"/>
                <w:szCs w:val="21"/>
              </w:rPr>
            </w:pPr>
            <w:r>
              <w:rPr>
                <w:rFonts w:hint="eastAsia" w:hAnsi="宋体" w:eastAsia="宋体" w:cs="宋体"/>
                <w:sz w:val="21"/>
                <w:szCs w:val="21"/>
              </w:rPr>
              <w:t>实施方案：对本项目理解清晰，各项功能描述全面，业务流程明确、可操作性强。</w:t>
            </w:r>
          </w:p>
          <w:p>
            <w:pPr>
              <w:pStyle w:val="40"/>
              <w:spacing w:line="240" w:lineRule="auto"/>
              <w:ind w:firstLineChars="200"/>
              <w:rPr>
                <w:rFonts w:hAnsi="宋体" w:eastAsia="宋体" w:cs="宋体"/>
                <w:sz w:val="21"/>
                <w:szCs w:val="21"/>
              </w:rPr>
            </w:pPr>
            <w:r>
              <w:rPr>
                <w:rFonts w:hint="eastAsia" w:hAnsi="宋体" w:eastAsia="宋体" w:cs="宋体"/>
                <w:sz w:val="21"/>
                <w:szCs w:val="21"/>
                <w:highlight w:val="none"/>
              </w:rPr>
              <w:t>综合比较打分：方案描述清晰、完整，可操作性强得30-</w:t>
            </w:r>
            <w:r>
              <w:rPr>
                <w:rFonts w:hint="eastAsia" w:hAnsi="宋体" w:eastAsia="宋体" w:cs="宋体"/>
                <w:sz w:val="21"/>
                <w:szCs w:val="21"/>
                <w:highlight w:val="none"/>
                <w:lang w:val="en-US" w:eastAsia="zh-CN"/>
              </w:rPr>
              <w:t>20</w:t>
            </w:r>
            <w:r>
              <w:rPr>
                <w:rFonts w:hint="eastAsia" w:hAnsi="宋体" w:eastAsia="宋体" w:cs="宋体"/>
                <w:sz w:val="21"/>
                <w:szCs w:val="21"/>
                <w:highlight w:val="none"/>
              </w:rPr>
              <w:t>分，方案描述较清晰、较完整，可操作性较强得</w:t>
            </w:r>
            <w:r>
              <w:rPr>
                <w:rFonts w:hint="eastAsia" w:hAnsi="宋体" w:eastAsia="宋体" w:cs="宋体"/>
                <w:sz w:val="21"/>
                <w:szCs w:val="21"/>
                <w:highlight w:val="none"/>
                <w:lang w:val="en-US" w:eastAsia="zh-CN"/>
              </w:rPr>
              <w:t>20</w:t>
            </w:r>
            <w:r>
              <w:rPr>
                <w:rFonts w:hint="eastAsia" w:hAnsi="宋体" w:eastAsia="宋体" w:cs="宋体"/>
                <w:sz w:val="21"/>
                <w:szCs w:val="21"/>
                <w:highlight w:val="none"/>
              </w:rPr>
              <w:t>-</w:t>
            </w:r>
            <w:r>
              <w:rPr>
                <w:rFonts w:hint="eastAsia" w:hAnsi="宋体" w:eastAsia="宋体" w:cs="宋体"/>
                <w:sz w:val="21"/>
                <w:szCs w:val="21"/>
                <w:highlight w:val="none"/>
                <w:lang w:val="en-US" w:eastAsia="zh-CN"/>
              </w:rPr>
              <w:t>10</w:t>
            </w:r>
            <w:r>
              <w:rPr>
                <w:rFonts w:hint="eastAsia" w:hAnsi="宋体" w:eastAsia="宋体" w:cs="宋体"/>
                <w:sz w:val="21"/>
                <w:szCs w:val="21"/>
                <w:highlight w:val="none"/>
              </w:rPr>
              <w:t>分；方案描述不够清晰，不够完整得</w:t>
            </w:r>
            <w:r>
              <w:rPr>
                <w:rFonts w:hint="eastAsia" w:hAnsi="宋体" w:eastAsia="宋体" w:cs="宋体"/>
                <w:sz w:val="21"/>
                <w:szCs w:val="21"/>
                <w:highlight w:val="none"/>
                <w:lang w:val="en-US" w:eastAsia="zh-CN"/>
              </w:rPr>
              <w:t>10</w:t>
            </w:r>
            <w:r>
              <w:rPr>
                <w:rFonts w:hint="eastAsia" w:hAnsi="宋体" w:eastAsia="宋体" w:cs="宋体"/>
                <w:sz w:val="21"/>
                <w:szCs w:val="21"/>
                <w:highlight w:val="none"/>
              </w:rPr>
              <w:t>-0分。</w:t>
            </w:r>
          </w:p>
        </w:tc>
        <w:tc>
          <w:tcPr>
            <w:tcW w:w="1358" w:type="dxa"/>
            <w:tcBorders>
              <w:top w:val="single" w:color="auto" w:sz="4" w:space="0"/>
              <w:left w:val="single" w:color="auto" w:sz="4" w:space="0"/>
              <w:bottom w:val="single" w:color="auto" w:sz="4" w:space="0"/>
            </w:tcBorders>
          </w:tcPr>
          <w:p>
            <w:pPr>
              <w:spacing w:line="40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25" w:hRule="atLeast"/>
          <w:jc w:val="center"/>
        </w:trPr>
        <w:tc>
          <w:tcPr>
            <w:tcW w:w="711" w:type="dxa"/>
            <w:vMerge w:val="continue"/>
            <w:tcBorders>
              <w:right w:val="single" w:color="auto" w:sz="4" w:space="0"/>
            </w:tcBorders>
            <w:vAlign w:val="center"/>
          </w:tcPr>
          <w:p>
            <w:pPr>
              <w:spacing w:line="400" w:lineRule="exact"/>
              <w:jc w:val="center"/>
              <w:rPr>
                <w:rFonts w:ascii="宋体" w:hAnsi="宋体" w:cs="宋体"/>
                <w:szCs w:val="21"/>
              </w:rPr>
            </w:pPr>
          </w:p>
        </w:tc>
        <w:tc>
          <w:tcPr>
            <w:tcW w:w="1164" w:type="dxa"/>
            <w:vMerge w:val="continue"/>
            <w:tcBorders>
              <w:left w:val="single" w:color="auto" w:sz="4" w:space="0"/>
              <w:right w:val="single" w:color="auto" w:sz="4" w:space="0"/>
            </w:tcBorders>
            <w:vAlign w:val="center"/>
          </w:tcPr>
          <w:p>
            <w:pPr>
              <w:spacing w:line="400" w:lineRule="exact"/>
              <w:jc w:val="center"/>
              <w:rPr>
                <w:rFonts w:ascii="宋体" w:hAnsi="宋体" w:cs="宋体"/>
                <w:szCs w:val="21"/>
              </w:rPr>
            </w:pPr>
          </w:p>
        </w:tc>
        <w:tc>
          <w:tcPr>
            <w:tcW w:w="1696" w:type="dxa"/>
            <w:tcBorders>
              <w:top w:val="single" w:color="auto" w:sz="4" w:space="0"/>
              <w:left w:val="single" w:color="auto" w:sz="4" w:space="0"/>
              <w:bottom w:val="single" w:color="auto" w:sz="4" w:space="0"/>
            </w:tcBorders>
            <w:vAlign w:val="center"/>
          </w:tcPr>
          <w:p>
            <w:pPr>
              <w:widowControl/>
              <w:spacing w:before="156" w:line="400" w:lineRule="exact"/>
              <w:jc w:val="center"/>
              <w:rPr>
                <w:rFonts w:ascii="宋体" w:hAnsi="宋体" w:cs="宋体"/>
                <w:szCs w:val="21"/>
              </w:rPr>
            </w:pPr>
            <w:r>
              <w:rPr>
                <w:rFonts w:hint="eastAsia" w:ascii="宋体" w:hAnsi="宋体" w:cs="宋体"/>
                <w:szCs w:val="21"/>
              </w:rPr>
              <w:t>功能展示</w:t>
            </w:r>
          </w:p>
          <w:p>
            <w:pPr>
              <w:widowControl/>
              <w:spacing w:before="156" w:line="400" w:lineRule="exact"/>
              <w:jc w:val="center"/>
              <w:rPr>
                <w:rFonts w:ascii="宋体" w:hAnsi="宋体" w:cs="宋体"/>
                <w:szCs w:val="21"/>
              </w:rPr>
            </w:pPr>
            <w:r>
              <w:rPr>
                <w:rFonts w:hint="eastAsia" w:ascii="宋体" w:hAnsi="宋体" w:cs="宋体"/>
                <w:szCs w:val="21"/>
              </w:rPr>
              <w:t>（5分）</w:t>
            </w:r>
          </w:p>
        </w:tc>
        <w:tc>
          <w:tcPr>
            <w:tcW w:w="5200" w:type="dxa"/>
            <w:tcBorders>
              <w:top w:val="single" w:color="auto" w:sz="4" w:space="0"/>
              <w:left w:val="single" w:color="auto" w:sz="4" w:space="0"/>
              <w:bottom w:val="single" w:color="auto" w:sz="4" w:space="0"/>
            </w:tcBorders>
          </w:tcPr>
          <w:p>
            <w:pPr>
              <w:pStyle w:val="40"/>
              <w:spacing w:line="240" w:lineRule="auto"/>
              <w:ind w:firstLineChars="200"/>
              <w:rPr>
                <w:rFonts w:hAnsi="宋体" w:eastAsia="宋体" w:cs="宋体"/>
                <w:sz w:val="21"/>
                <w:szCs w:val="21"/>
              </w:rPr>
            </w:pPr>
            <w:r>
              <w:rPr>
                <w:rFonts w:hint="eastAsia" w:hAnsi="宋体" w:eastAsia="宋体" w:cs="宋体"/>
                <w:sz w:val="21"/>
                <w:szCs w:val="21"/>
              </w:rPr>
              <w:t>为保证后续项目实施的可靠性，需进行对系统功能进行展示，包含：</w:t>
            </w:r>
          </w:p>
          <w:p>
            <w:pPr>
              <w:pStyle w:val="40"/>
              <w:spacing w:line="240" w:lineRule="auto"/>
              <w:ind w:firstLineChars="200"/>
              <w:rPr>
                <w:rFonts w:hAnsi="宋体" w:eastAsia="宋体" w:cs="宋体"/>
                <w:sz w:val="21"/>
                <w:szCs w:val="21"/>
              </w:rPr>
            </w:pPr>
            <w:r>
              <w:rPr>
                <w:rFonts w:hint="eastAsia" w:hAnsi="宋体" w:eastAsia="宋体" w:cs="宋体"/>
                <w:sz w:val="21"/>
                <w:szCs w:val="21"/>
              </w:rPr>
              <w:t>1、重庆市高速路网宏观场景介绍功能；</w:t>
            </w:r>
          </w:p>
          <w:p>
            <w:pPr>
              <w:pStyle w:val="40"/>
              <w:spacing w:line="240" w:lineRule="auto"/>
              <w:ind w:firstLineChars="200"/>
              <w:rPr>
                <w:rFonts w:hAnsi="宋体" w:eastAsia="宋体" w:cs="宋体"/>
                <w:sz w:val="21"/>
                <w:szCs w:val="21"/>
              </w:rPr>
            </w:pPr>
            <w:r>
              <w:rPr>
                <w:rFonts w:hint="eastAsia" w:hAnsi="宋体" w:eastAsia="宋体" w:cs="宋体"/>
                <w:sz w:val="21"/>
                <w:szCs w:val="21"/>
              </w:rPr>
              <w:t>2、服务区场景中的视频监控功能；</w:t>
            </w:r>
          </w:p>
          <w:p>
            <w:pPr>
              <w:pStyle w:val="40"/>
              <w:spacing w:line="240" w:lineRule="auto"/>
              <w:ind w:firstLineChars="200"/>
              <w:rPr>
                <w:rFonts w:hAnsi="宋体" w:eastAsia="宋体" w:cs="宋体"/>
                <w:sz w:val="21"/>
                <w:szCs w:val="21"/>
              </w:rPr>
            </w:pPr>
            <w:r>
              <w:rPr>
                <w:rFonts w:hint="eastAsia" w:hAnsi="宋体" w:eastAsia="宋体" w:cs="宋体"/>
                <w:sz w:val="21"/>
                <w:szCs w:val="21"/>
              </w:rPr>
              <w:t>3、服务区场景中的停车管理功能；</w:t>
            </w:r>
          </w:p>
          <w:p>
            <w:pPr>
              <w:pStyle w:val="40"/>
              <w:spacing w:line="240" w:lineRule="auto"/>
              <w:ind w:firstLineChars="200"/>
              <w:rPr>
                <w:rFonts w:hAnsi="宋体" w:eastAsia="宋体" w:cs="宋体"/>
                <w:sz w:val="21"/>
                <w:szCs w:val="21"/>
              </w:rPr>
            </w:pPr>
            <w:r>
              <w:rPr>
                <w:rFonts w:hint="eastAsia" w:hAnsi="宋体" w:eastAsia="宋体" w:cs="宋体"/>
                <w:sz w:val="21"/>
                <w:szCs w:val="21"/>
              </w:rPr>
              <w:t>4、隧道场景中的设备管理功能；</w:t>
            </w:r>
          </w:p>
          <w:p>
            <w:pPr>
              <w:pStyle w:val="40"/>
              <w:spacing w:line="240" w:lineRule="auto"/>
              <w:ind w:firstLineChars="200"/>
              <w:rPr>
                <w:rFonts w:hAnsi="宋体" w:eastAsia="宋体" w:cs="宋体"/>
                <w:sz w:val="21"/>
                <w:szCs w:val="21"/>
              </w:rPr>
            </w:pPr>
            <w:r>
              <w:rPr>
                <w:rFonts w:hint="eastAsia" w:hAnsi="宋体" w:eastAsia="宋体" w:cs="宋体"/>
                <w:sz w:val="21"/>
                <w:szCs w:val="21"/>
              </w:rPr>
              <w:t>5、隧道场景中的车路协同功能；</w:t>
            </w:r>
          </w:p>
          <w:p>
            <w:pPr>
              <w:pStyle w:val="40"/>
              <w:spacing w:line="240" w:lineRule="auto"/>
              <w:ind w:firstLineChars="200"/>
              <w:rPr>
                <w:rFonts w:hAnsi="宋体" w:eastAsia="宋体" w:cs="宋体"/>
                <w:sz w:val="21"/>
                <w:szCs w:val="21"/>
              </w:rPr>
            </w:pPr>
            <w:r>
              <w:rPr>
                <w:rFonts w:hint="eastAsia" w:hAnsi="宋体" w:eastAsia="宋体" w:cs="宋体"/>
                <w:sz w:val="21"/>
                <w:szCs w:val="21"/>
              </w:rPr>
              <w:t>需提供真实系统的相应功能截图进行展示，每个功能得1分，满分5分。评标委员会有权对功能截图的真实性进行现场审查。</w:t>
            </w:r>
          </w:p>
        </w:tc>
        <w:tc>
          <w:tcPr>
            <w:tcW w:w="1358" w:type="dxa"/>
            <w:tcBorders>
              <w:top w:val="single" w:color="auto" w:sz="4" w:space="0"/>
              <w:left w:val="single" w:color="auto" w:sz="4" w:space="0"/>
              <w:bottom w:val="single" w:color="auto" w:sz="4" w:space="0"/>
            </w:tcBorders>
          </w:tcPr>
          <w:p>
            <w:pPr>
              <w:spacing w:line="40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79" w:hRule="atLeast"/>
          <w:jc w:val="center"/>
        </w:trPr>
        <w:tc>
          <w:tcPr>
            <w:tcW w:w="711" w:type="dxa"/>
            <w:vMerge w:val="continue"/>
            <w:tcBorders>
              <w:bottom w:val="single" w:color="auto" w:sz="4" w:space="0"/>
              <w:right w:val="single" w:color="auto" w:sz="4" w:space="0"/>
            </w:tcBorders>
            <w:vAlign w:val="center"/>
          </w:tcPr>
          <w:p>
            <w:pPr>
              <w:spacing w:line="400" w:lineRule="exact"/>
              <w:jc w:val="center"/>
              <w:rPr>
                <w:rFonts w:ascii="宋体" w:hAnsi="宋体" w:cs="宋体"/>
                <w:szCs w:val="21"/>
              </w:rPr>
            </w:pPr>
          </w:p>
        </w:tc>
        <w:tc>
          <w:tcPr>
            <w:tcW w:w="1164" w:type="dxa"/>
            <w:vMerge w:val="continue"/>
            <w:tcBorders>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696" w:type="dxa"/>
            <w:tcBorders>
              <w:top w:val="single" w:color="auto" w:sz="4" w:space="0"/>
              <w:left w:val="single" w:color="auto" w:sz="4" w:space="0"/>
              <w:bottom w:val="single" w:color="auto" w:sz="4" w:space="0"/>
            </w:tcBorders>
            <w:vAlign w:val="center"/>
          </w:tcPr>
          <w:p>
            <w:pPr>
              <w:widowControl/>
              <w:spacing w:before="156" w:line="400" w:lineRule="exact"/>
              <w:jc w:val="center"/>
              <w:rPr>
                <w:rFonts w:ascii="宋体" w:hAnsi="宋体" w:cs="宋体"/>
                <w:szCs w:val="21"/>
              </w:rPr>
            </w:pPr>
            <w:r>
              <w:rPr>
                <w:rFonts w:hint="eastAsia" w:ascii="宋体" w:hAnsi="宋体" w:cs="宋体"/>
                <w:szCs w:val="21"/>
              </w:rPr>
              <w:t>计划目标、实施路径和措施保障</w:t>
            </w:r>
          </w:p>
          <w:p>
            <w:pPr>
              <w:widowControl/>
              <w:spacing w:before="156" w:line="400" w:lineRule="exact"/>
              <w:jc w:val="center"/>
              <w:rPr>
                <w:rFonts w:ascii="宋体" w:hAnsi="宋体" w:cs="宋体"/>
                <w:szCs w:val="21"/>
              </w:rPr>
            </w:pPr>
            <w:r>
              <w:rPr>
                <w:rFonts w:hint="eastAsia" w:ascii="宋体" w:hAnsi="宋体" w:cs="宋体"/>
                <w:szCs w:val="21"/>
              </w:rPr>
              <w:t>（5分）</w:t>
            </w:r>
          </w:p>
        </w:tc>
        <w:tc>
          <w:tcPr>
            <w:tcW w:w="5200" w:type="dxa"/>
            <w:tcBorders>
              <w:top w:val="single" w:color="auto" w:sz="4" w:space="0"/>
              <w:left w:val="single" w:color="auto" w:sz="4" w:space="0"/>
              <w:bottom w:val="single" w:color="auto" w:sz="4" w:space="0"/>
            </w:tcBorders>
            <w:vAlign w:val="center"/>
          </w:tcPr>
          <w:p>
            <w:pPr>
              <w:pStyle w:val="40"/>
              <w:spacing w:line="240" w:lineRule="auto"/>
              <w:ind w:firstLineChars="200"/>
              <w:rPr>
                <w:rFonts w:hAnsi="宋体" w:eastAsia="宋体" w:cs="宋体"/>
                <w:sz w:val="21"/>
                <w:szCs w:val="21"/>
              </w:rPr>
            </w:pPr>
            <w:r>
              <w:rPr>
                <w:rFonts w:hint="eastAsia" w:hAnsi="宋体" w:eastAsia="宋体" w:cs="宋体"/>
                <w:sz w:val="21"/>
                <w:szCs w:val="21"/>
              </w:rPr>
              <w:t>实施路径和措施保障：</w:t>
            </w:r>
          </w:p>
          <w:p>
            <w:pPr>
              <w:pStyle w:val="40"/>
              <w:spacing w:line="240" w:lineRule="auto"/>
              <w:ind w:firstLineChars="200"/>
              <w:rPr>
                <w:rFonts w:hAnsi="宋体" w:eastAsia="宋体" w:cs="宋体"/>
                <w:sz w:val="21"/>
                <w:szCs w:val="21"/>
              </w:rPr>
            </w:pPr>
            <w:r>
              <w:rPr>
                <w:rFonts w:hint="eastAsia" w:hAnsi="宋体" w:eastAsia="宋体" w:cs="宋体"/>
                <w:sz w:val="21"/>
                <w:szCs w:val="21"/>
              </w:rPr>
              <w:t>（1）根据投标单位对本次建设目标的计划目标、实施路径和措施保障工作的理解程度评分，根据优劣得0-3分;</w:t>
            </w:r>
          </w:p>
          <w:p>
            <w:pPr>
              <w:pStyle w:val="40"/>
              <w:spacing w:line="240" w:lineRule="auto"/>
              <w:ind w:firstLineChars="200"/>
              <w:rPr>
                <w:rFonts w:hAnsi="宋体" w:eastAsia="宋体" w:cs="宋体"/>
                <w:sz w:val="21"/>
                <w:szCs w:val="21"/>
              </w:rPr>
            </w:pPr>
            <w:r>
              <w:rPr>
                <w:rFonts w:hint="eastAsia" w:hAnsi="宋体" w:eastAsia="宋体" w:cs="宋体"/>
                <w:sz w:val="21"/>
                <w:szCs w:val="21"/>
              </w:rPr>
              <w:t>（2）对维护保障方案等进行评审，根据优劣得0-2分。</w:t>
            </w:r>
          </w:p>
        </w:tc>
        <w:tc>
          <w:tcPr>
            <w:tcW w:w="1358" w:type="dxa"/>
            <w:tcBorders>
              <w:top w:val="single" w:color="auto" w:sz="4" w:space="0"/>
              <w:left w:val="single" w:color="auto" w:sz="4" w:space="0"/>
              <w:bottom w:val="single" w:color="auto" w:sz="4" w:space="0"/>
            </w:tcBorders>
          </w:tcPr>
          <w:p>
            <w:pPr>
              <w:spacing w:line="40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25" w:hRule="atLeast"/>
          <w:jc w:val="center"/>
        </w:trPr>
        <w:tc>
          <w:tcPr>
            <w:tcW w:w="711"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4</w:t>
            </w:r>
          </w:p>
        </w:tc>
        <w:tc>
          <w:tcPr>
            <w:tcW w:w="11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评标结果</w:t>
            </w:r>
          </w:p>
        </w:tc>
        <w:tc>
          <w:tcPr>
            <w:tcW w:w="8254" w:type="dxa"/>
            <w:gridSpan w:val="3"/>
            <w:tcBorders>
              <w:top w:val="single" w:color="auto" w:sz="4" w:space="0"/>
              <w:left w:val="single" w:color="auto" w:sz="4" w:space="0"/>
              <w:bottom w:val="single" w:color="auto" w:sz="4" w:space="0"/>
            </w:tcBorders>
          </w:tcPr>
          <w:p>
            <w:pPr>
              <w:spacing w:line="400" w:lineRule="exact"/>
              <w:ind w:firstLine="420"/>
              <w:rPr>
                <w:rFonts w:ascii="宋体" w:hAnsi="宋体" w:cs="宋体"/>
                <w:szCs w:val="21"/>
              </w:rPr>
            </w:pPr>
            <w:r>
              <w:rPr>
                <w:rFonts w:hint="eastAsia" w:ascii="宋体" w:hAnsi="宋体" w:cs="宋体"/>
                <w:szCs w:val="21"/>
              </w:rPr>
              <w:t>补充细化：</w:t>
            </w:r>
          </w:p>
          <w:p>
            <w:pPr>
              <w:spacing w:line="400" w:lineRule="exact"/>
              <w:ind w:firstLine="420" w:firstLineChars="200"/>
              <w:rPr>
                <w:rFonts w:ascii="宋体" w:hAnsi="宋体" w:cs="宋体"/>
                <w:szCs w:val="21"/>
              </w:rPr>
            </w:pPr>
            <w:r>
              <w:rPr>
                <w:rFonts w:hint="eastAsia" w:ascii="宋体" w:hAnsi="宋体" w:cs="宋体"/>
                <w:szCs w:val="21"/>
              </w:rPr>
              <w:t>本项目评标采用经评审的综合评估法。</w:t>
            </w:r>
          </w:p>
          <w:p>
            <w:pPr>
              <w:spacing w:line="400" w:lineRule="exact"/>
              <w:ind w:firstLine="420" w:firstLineChars="200"/>
              <w:rPr>
                <w:rFonts w:ascii="宋体" w:hAnsi="宋体" w:cs="宋体"/>
                <w:szCs w:val="21"/>
              </w:rPr>
            </w:pPr>
            <w:r>
              <w:rPr>
                <w:rFonts w:hint="eastAsia" w:ascii="宋体" w:hAnsi="宋体" w:cs="宋体"/>
                <w:szCs w:val="21"/>
              </w:rPr>
              <w:t>1.初步评审前，按规定对投标报价有算术性错误的进行算术性错误修正，并对所有报价人递交的竞争性比选响应文件进行初步评审（形式、资格、响应评审）。</w:t>
            </w:r>
          </w:p>
          <w:p>
            <w:pPr>
              <w:spacing w:line="400" w:lineRule="exact"/>
              <w:ind w:firstLine="420" w:firstLineChars="200"/>
              <w:rPr>
                <w:rFonts w:ascii="宋体" w:hAnsi="宋体" w:cs="宋体"/>
                <w:szCs w:val="21"/>
              </w:rPr>
            </w:pPr>
            <w:r>
              <w:rPr>
                <w:rFonts w:hint="eastAsia" w:ascii="宋体" w:hAnsi="宋体" w:cs="宋体"/>
                <w:szCs w:val="21"/>
              </w:rPr>
              <w:t>2.初步评审合格的才进行详细评审。</w:t>
            </w:r>
          </w:p>
          <w:p>
            <w:pPr>
              <w:spacing w:line="400" w:lineRule="exact"/>
              <w:ind w:firstLine="420" w:firstLineChars="200"/>
              <w:rPr>
                <w:rFonts w:ascii="宋体" w:hAnsi="宋体" w:cs="宋体"/>
                <w:szCs w:val="21"/>
              </w:rPr>
            </w:pPr>
            <w:r>
              <w:rPr>
                <w:rFonts w:hint="eastAsia" w:ascii="宋体" w:hAnsi="宋体" w:cs="宋体"/>
                <w:szCs w:val="21"/>
              </w:rPr>
              <w:t>3.报价人得分=A+B+C，对通过初步评审的报价人按照投标总得分（商务+技术+报价）由从高到低的先后顺序推荐2名中标候选人。保留2位小数。</w:t>
            </w:r>
          </w:p>
        </w:tc>
      </w:tr>
    </w:tbl>
    <w:p>
      <w:pPr>
        <w:pStyle w:val="2"/>
      </w:pPr>
    </w:p>
    <w:p>
      <w:pPr>
        <w:tabs>
          <w:tab w:val="left" w:pos="360"/>
        </w:tabs>
        <w:spacing w:line="400" w:lineRule="exact"/>
        <w:ind w:firstLine="420" w:firstLineChars="200"/>
        <w:rPr>
          <w:rFonts w:ascii="宋体" w:hAnsi="宋体" w:cs="宋体"/>
          <w:szCs w:val="21"/>
        </w:rPr>
      </w:pPr>
      <w:r>
        <w:rPr>
          <w:rFonts w:hint="eastAsia" w:ascii="宋体" w:hAnsi="宋体" w:cs="宋体"/>
          <w:szCs w:val="21"/>
        </w:rPr>
        <w:t>综合评分法，是指投标文件满足招标文件全部实质性要求且按照评审因素的量化指标评审得分最高的报价人为中标候选人的评标方法。报价人总得分为价格、商务、技术等评定因素分别按照相应权重值计算分项得分后相加，满分为100分。</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（一）符合性审查</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评标委员会应当对符合资格的报价人的投标文件进行符合性审查，以确定其是否满足招标文件的实质性要求。</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二）澄清有关问题。对投标文件中含义不明确、同类问题表述不一致或者有明显文字和计算错误的内容，评标委员会可以书面形式（应当由评标委员会成员签字）要求报价人作出必要澄清、说明或者纠正。报价人的澄清、说明或者补正应当采用书面形式，由其法定代表人授权代表签字，其澄清的内容不得超出投标文件的范围或者改变投标文件的实质性内容。</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（三）比较与评价。按招标文件中规定的评标方法和标准，对资格审查和符合性审查合格的投标文件进行商务和技术评估。</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评标委员会各成员独立对每个有效报价人（通过资格审查、符合性审查的报价人）的投标文件进行评价、打分，然后由评标委员会对各成员打分情况进行核查及复核，个别成员对同一报价人同一评分项的打分偏离较大的，应对报价人的投标文件进行再次核对，确属打分有误的，应及时进行修正。</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复核后，评标委员会汇总每个报价人每项评分因素的得分。</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（四）推荐中标候选人名单。</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按评审后得分由高到低的排列顺序推荐综合得分前</w:t>
      </w:r>
      <w:r>
        <w:rPr>
          <w:rFonts w:hint="eastAsia"/>
        </w:rPr>
        <w:t>2名中标候选人</w:t>
      </w:r>
      <w:r>
        <w:rPr>
          <w:rFonts w:hint="eastAsia" w:ascii="宋体" w:hAnsi="宋体" w:cs="宋体"/>
          <w:szCs w:val="21"/>
        </w:rPr>
        <w:t>为本项目中标候选人。</w:t>
      </w:r>
    </w:p>
    <w:p>
      <w:pPr>
        <w:tabs>
          <w:tab w:val="left" w:pos="360"/>
        </w:tabs>
        <w:spacing w:line="400" w:lineRule="exact"/>
        <w:ind w:firstLine="422" w:firstLineChars="200"/>
        <w:rPr>
          <w:rFonts w:ascii="宋体" w:hAnsi="宋体" w:cs="宋体"/>
          <w:b/>
          <w:bCs/>
          <w:szCs w:val="21"/>
        </w:rPr>
      </w:pPr>
      <w:r>
        <w:rPr>
          <w:rFonts w:hint="eastAsia" w:ascii="宋体" w:hAnsi="宋体" w:cs="宋体"/>
          <w:b/>
          <w:bCs/>
          <w:szCs w:val="21"/>
        </w:rPr>
        <w:t>说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六、无效投标条款</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报价人或其投标文件出现下列情况之一者，应为无效投标：</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（1）投标文件未按招标文件要求签署、盖章的；</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（2）不具备招标文件中规定的资格要求的；</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（3）报价超过招标文件中规定的预算金额或者最高限价的；</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（4）投标文件含有采购人不能接受的附加条件的；</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（5）报价人串通投标的；</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（6）报价人组成联合体投标的；</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（7）法律、法规和招标文件规定的其他无效情形。</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七、废标条款</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评标委员会评审时出现以下情况之一的，应予废标：</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（1）符合专业条件的报价人或者对招标文件作实质响应的报价人不足三家的；</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（2）报价人的报价均超过了采购预算，采购人不能支付的；</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（3）出现影响采购公正的违法、违规行为的；</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（4）因重大变故，采购任务取消的。</w:t>
      </w:r>
    </w:p>
    <w:p>
      <w:pPr>
        <w:pStyle w:val="2"/>
        <w:jc w:val="center"/>
      </w:pPr>
      <w:r>
        <w:rPr>
          <w:rFonts w:hint="eastAsia"/>
        </w:rPr>
        <w:br w:type="page"/>
      </w:r>
      <w:bookmarkStart w:id="155" w:name="_Toc13787"/>
      <w:bookmarkStart w:id="156" w:name="_Toc363"/>
      <w:r>
        <w:rPr>
          <w:rStyle w:val="81"/>
          <w:rFonts w:hint="eastAsia"/>
          <w:b/>
          <w:bCs/>
        </w:rPr>
        <w:t>第四章 报价说明</w:t>
      </w:r>
      <w:bookmarkEnd w:id="155"/>
      <w:bookmarkEnd w:id="156"/>
    </w:p>
    <w:p>
      <w:pPr>
        <w:tabs>
          <w:tab w:val="left" w:pos="360"/>
        </w:tabs>
        <w:spacing w:line="400" w:lineRule="exact"/>
        <w:ind w:firstLine="420" w:firstLineChars="200"/>
        <w:rPr>
          <w:rFonts w:ascii="宋体" w:hAnsi="宋体" w:cs="宋体"/>
          <w:szCs w:val="21"/>
        </w:rPr>
      </w:pPr>
      <w:r>
        <w:rPr>
          <w:rFonts w:hint="eastAsia" w:ascii="宋体" w:hAnsi="宋体" w:cs="宋体"/>
          <w:szCs w:val="21"/>
        </w:rPr>
        <w:t>（1）本次报价须为人民币报价，包含但不限于完成本项目所需的员工工资、社会保险（五险）、劳保福利、税费、加班费、配送费、交通费、节假日慰问费等所有服务产生的一切费用（报价人若有漏项，则被认为此项费用已包含在总报价中）。因中标人自身原因造成漏报、少报皆由其自行承担责任，招标人不再补偿。</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（2）报价人在分项报价表中填报的综合单价承包到现场所产生的路费、差旅费等。</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（3）报价有算术错误的，评审小组按以下原则对报价进行修正，修正的价格经报价人书面确认后具有约束力。报价人不接受修正价格的，其报价应当予以否决。</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①竞争性比选响应文件中的大写金额与小写金额不一致的，以大写金额为准。</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②总价金额与依据单价计算出的结果不一致的，以单价金额为准修正总价，但单价金额小数点有明显错误的除外。</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（4）实际采购数量以采购人最终需求数量为准，报价清单中单价在合同执行过程中保持固定不变，报价人不得以实际采购数量的变化提出调整合同单价。</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（5）报价清单中各项金额均以人民币（元）结算。</w:t>
      </w:r>
    </w:p>
    <w:p>
      <w:pPr>
        <w:tabs>
          <w:tab w:val="left" w:pos="360"/>
        </w:tabs>
        <w:spacing w:line="400" w:lineRule="exact"/>
        <w:ind w:firstLine="420" w:firstLineChars="200"/>
        <w:rPr>
          <w:rFonts w:ascii="宋体" w:hAnsi="宋体" w:cs="宋体"/>
          <w:szCs w:val="21"/>
        </w:rPr>
        <w:sectPr>
          <w:footerReference r:id="rId9" w:type="default"/>
          <w:pgSz w:w="11906" w:h="16838"/>
          <w:pgMar w:top="1440" w:right="1800" w:bottom="1440" w:left="1800" w:header="851" w:footer="992" w:gutter="0"/>
          <w:cols w:space="720" w:num="1"/>
          <w:titlePg/>
          <w:docGrid w:type="lines" w:linePitch="312" w:charSpace="0"/>
        </w:sectPr>
      </w:pPr>
      <w:r>
        <w:rPr>
          <w:rFonts w:hint="eastAsia" w:ascii="宋体" w:hAnsi="宋体" w:cs="宋体"/>
          <w:szCs w:val="21"/>
        </w:rPr>
        <w:t>（6）需缴纳的一切税费均由报价单位承担，所有税费均由服务单位自行缴纳。</w:t>
      </w:r>
    </w:p>
    <w:p>
      <w:pPr>
        <w:pStyle w:val="3"/>
        <w:spacing w:before="0" w:after="0" w:line="360" w:lineRule="auto"/>
        <w:jc w:val="center"/>
        <w:rPr>
          <w:rFonts w:ascii="宋体" w:hAnsi="宋体" w:cs="宋体"/>
        </w:rPr>
      </w:pPr>
      <w:bookmarkStart w:id="157" w:name="_Toc246997083"/>
      <w:bookmarkStart w:id="158" w:name="_Toc514858705"/>
      <w:bookmarkStart w:id="159" w:name="_Toc247085855"/>
      <w:bookmarkStart w:id="160" w:name="_Toc152042554"/>
      <w:bookmarkStart w:id="161" w:name="_Toc1532"/>
      <w:bookmarkStart w:id="162" w:name="_Toc246996340"/>
      <w:bookmarkStart w:id="163" w:name="_Toc2000409"/>
      <w:bookmarkStart w:id="164" w:name="_Toc179632789"/>
      <w:bookmarkStart w:id="165" w:name="_Toc144974834"/>
      <w:bookmarkStart w:id="166" w:name="_Toc152045772"/>
      <w:bookmarkStart w:id="167" w:name="_Toc24503"/>
      <w:bookmarkStart w:id="168" w:name="_Toc152045786"/>
      <w:bookmarkStart w:id="169" w:name="_Toc246996354"/>
      <w:bookmarkStart w:id="170" w:name="_Toc247085872"/>
      <w:bookmarkStart w:id="171" w:name="_Toc144974855"/>
      <w:bookmarkStart w:id="172" w:name="_Toc246997097"/>
      <w:bookmarkStart w:id="173" w:name="_Toc179632806"/>
      <w:bookmarkStart w:id="174" w:name="_Toc152042575"/>
      <w:r>
        <w:rPr>
          <w:rFonts w:hint="eastAsia" w:ascii="宋体" w:hAnsi="宋体" w:cs="宋体"/>
        </w:rPr>
        <w:t>第五章  工程量清单</w:t>
      </w:r>
      <w:bookmarkEnd w:id="157"/>
      <w:bookmarkEnd w:id="158"/>
      <w:bookmarkEnd w:id="159"/>
      <w:bookmarkEnd w:id="160"/>
      <w:bookmarkEnd w:id="161"/>
      <w:bookmarkEnd w:id="162"/>
      <w:bookmarkEnd w:id="163"/>
      <w:bookmarkEnd w:id="164"/>
      <w:bookmarkEnd w:id="165"/>
      <w:bookmarkEnd w:id="166"/>
      <w:bookmarkEnd w:id="167"/>
    </w:p>
    <w:p>
      <w:pPr>
        <w:pStyle w:val="2"/>
        <w:jc w:val="center"/>
      </w:pPr>
      <w:bookmarkStart w:id="175" w:name="_Toc152045782"/>
      <w:bookmarkStart w:id="176" w:name="_Toc247096438"/>
      <w:bookmarkStart w:id="177" w:name="_Toc144974851"/>
      <w:bookmarkStart w:id="178" w:name="_Toc179632800"/>
      <w:bookmarkStart w:id="179" w:name="_Toc246997093"/>
      <w:bookmarkStart w:id="180" w:name="_Toc152042571"/>
      <w:bookmarkStart w:id="181" w:name="_Toc246996350"/>
      <w:bookmarkStart w:id="182" w:name="_Toc247085866"/>
      <w:r>
        <w:rPr>
          <w:rFonts w:hint="eastAsia" w:ascii="宋体" w:hAnsi="宋体" w:cs="宋体"/>
        </w:rPr>
        <w:t>无。</w:t>
      </w: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rPr>
          <w:rFonts w:ascii="宋体" w:hAnsi="宋体" w:cs="宋体"/>
          <w:b/>
        </w:rPr>
      </w:pPr>
    </w:p>
    <w:p>
      <w:pPr>
        <w:jc w:val="center"/>
        <w:rPr>
          <w:rFonts w:ascii="宋体" w:hAnsi="宋体" w:cs="宋体"/>
          <w:b/>
        </w:rPr>
        <w:sectPr>
          <w:pgSz w:w="11906" w:h="16838"/>
          <w:pgMar w:top="1440" w:right="1800" w:bottom="1440" w:left="1800" w:header="851" w:footer="992" w:gutter="0"/>
          <w:cols w:space="720" w:num="1"/>
          <w:titlePg/>
          <w:docGrid w:type="lines" w:linePitch="312" w:charSpace="0"/>
        </w:sectPr>
      </w:pPr>
    </w:p>
    <w:p>
      <w:pPr>
        <w:pStyle w:val="3"/>
        <w:spacing w:before="0" w:after="0" w:line="360" w:lineRule="auto"/>
        <w:jc w:val="center"/>
        <w:rPr>
          <w:rFonts w:ascii="宋体" w:hAnsi="宋体" w:cs="宋体"/>
        </w:rPr>
      </w:pPr>
      <w:bookmarkStart w:id="183" w:name="_Toc12440"/>
      <w:bookmarkStart w:id="184" w:name="_Toc447827048"/>
      <w:bookmarkStart w:id="185" w:name="_Toc503951042"/>
      <w:bookmarkStart w:id="186" w:name="_Toc513633963"/>
      <w:bookmarkStart w:id="187" w:name="_Toc514858706"/>
      <w:bookmarkStart w:id="188" w:name="_Toc18088"/>
      <w:bookmarkStart w:id="189" w:name="_Toc2000410"/>
      <w:r>
        <w:rPr>
          <w:rFonts w:hint="eastAsia" w:ascii="宋体" w:hAnsi="宋体" w:cs="宋体"/>
        </w:rPr>
        <w:t>第六章  图  纸</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pPr>
        <w:jc w:val="center"/>
        <w:rPr>
          <w:rFonts w:ascii="宋体" w:hAnsi="宋体" w:cs="宋体"/>
          <w:b/>
        </w:rPr>
      </w:pPr>
      <w:r>
        <w:rPr>
          <w:rFonts w:hint="eastAsia" w:ascii="宋体" w:hAnsi="宋体" w:cs="宋体"/>
          <w:b/>
          <w:kern w:val="0"/>
          <w:sz w:val="24"/>
        </w:rPr>
        <w:t>无。</w:t>
      </w:r>
    </w:p>
    <w:p>
      <w:pPr>
        <w:spacing w:line="400" w:lineRule="exact"/>
        <w:rPr>
          <w:rFonts w:ascii="宋体" w:hAnsi="宋体" w:cs="宋体"/>
        </w:rPr>
      </w:pPr>
      <w:r>
        <w:rPr>
          <w:rFonts w:hint="eastAsia" w:ascii="宋体" w:hAnsi="宋体" w:cs="宋体"/>
        </w:rPr>
        <w:br w:type="page"/>
      </w:r>
      <w:bookmarkStart w:id="190" w:name="_Toc152045785"/>
      <w:bookmarkStart w:id="191" w:name="_Toc144974854"/>
      <w:bookmarkStart w:id="192" w:name="_Toc152042574"/>
    </w:p>
    <w:p>
      <w:pPr>
        <w:pStyle w:val="3"/>
        <w:numPr>
          <w:ilvl w:val="0"/>
          <w:numId w:val="5"/>
        </w:numPr>
        <w:spacing w:before="0" w:after="0" w:line="360" w:lineRule="auto"/>
        <w:jc w:val="center"/>
        <w:rPr>
          <w:rFonts w:ascii="宋体" w:hAnsi="宋体" w:cs="宋体"/>
          <w:szCs w:val="21"/>
        </w:rPr>
      </w:pPr>
      <w:bookmarkStart w:id="193" w:name="_Toc246996353"/>
      <w:bookmarkStart w:id="194" w:name="_Toc2000411"/>
      <w:bookmarkStart w:id="195" w:name="_Toc10887"/>
      <w:bookmarkStart w:id="196" w:name="_Toc447827049"/>
      <w:bookmarkStart w:id="197" w:name="_Toc513633964"/>
      <w:bookmarkStart w:id="198" w:name="_Toc179632804"/>
      <w:bookmarkStart w:id="199" w:name="_Toc514858707"/>
      <w:bookmarkStart w:id="200" w:name="_Toc247085870"/>
      <w:bookmarkStart w:id="201" w:name="_Toc246997096"/>
      <w:bookmarkStart w:id="202" w:name="_Toc503951043"/>
      <w:r>
        <w:rPr>
          <w:rFonts w:hint="eastAsia" w:ascii="宋体" w:hAnsi="宋体" w:cs="宋体"/>
        </w:rPr>
        <w:t xml:space="preserve"> </w:t>
      </w:r>
      <w:bookmarkStart w:id="203" w:name="_Toc25212"/>
      <w:r>
        <w:rPr>
          <w:rFonts w:hint="eastAsia" w:ascii="宋体" w:hAnsi="宋体" w:cs="宋体"/>
        </w:rPr>
        <w:t>技术标准和工作要求</w:t>
      </w:r>
      <w:bookmarkEnd w:id="168"/>
      <w:bookmarkEnd w:id="169"/>
      <w:bookmarkEnd w:id="170"/>
      <w:bookmarkEnd w:id="171"/>
      <w:bookmarkEnd w:id="172"/>
      <w:bookmarkEnd w:id="173"/>
      <w:bookmarkEnd w:id="174"/>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Start w:id="204" w:name="_Toc2000412"/>
      <w:bookmarkStart w:id="205" w:name="_Toc514858708"/>
      <w:bookmarkStart w:id="206" w:name="_Toc13280"/>
      <w:bookmarkStart w:id="207" w:name="_Toc12089"/>
      <w:bookmarkStart w:id="208" w:name="_Toc514430114"/>
      <w:bookmarkStart w:id="209" w:name="_Toc246997098"/>
      <w:bookmarkStart w:id="210" w:name="_Toc246996355"/>
      <w:bookmarkStart w:id="211" w:name="_Toc152042576"/>
      <w:bookmarkStart w:id="212" w:name="_Toc144974856"/>
      <w:bookmarkStart w:id="213" w:name="_Toc247085873"/>
      <w:bookmarkStart w:id="214" w:name="_Toc152045787"/>
      <w:bookmarkStart w:id="215" w:name="_Toc507320039"/>
      <w:bookmarkStart w:id="216" w:name="_Toc179632807"/>
    </w:p>
    <w:p>
      <w:pPr>
        <w:spacing w:line="360" w:lineRule="auto"/>
        <w:jc w:val="left"/>
        <w:outlineLvl w:val="1"/>
        <w:rPr>
          <w:rFonts w:ascii="宋体" w:hAnsi="宋体" w:cs="宋体"/>
          <w:b/>
          <w:bCs/>
          <w:color w:val="000000" w:themeColor="text1"/>
          <w:sz w:val="24"/>
          <w14:textFill>
            <w14:solidFill>
              <w14:schemeClr w14:val="tx1"/>
            </w14:solidFill>
          </w14:textFill>
        </w:rPr>
      </w:pPr>
      <w:bookmarkStart w:id="217" w:name="_Toc273351616"/>
      <w:bookmarkStart w:id="218" w:name="_Toc23208"/>
    </w:p>
    <w:p>
      <w:pPr>
        <w:spacing w:line="360" w:lineRule="auto"/>
        <w:jc w:val="left"/>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w:t>
      </w:r>
      <w:bookmarkEnd w:id="217"/>
      <w:r>
        <w:rPr>
          <w:rFonts w:hint="eastAsia" w:ascii="宋体" w:hAnsi="宋体" w:cs="宋体"/>
          <w:b/>
          <w:bCs/>
          <w:color w:val="000000" w:themeColor="text1"/>
          <w:sz w:val="24"/>
          <w14:textFill>
            <w14:solidFill>
              <w14:schemeClr w14:val="tx1"/>
            </w14:solidFill>
          </w14:textFill>
        </w:rPr>
        <w:t>采购内容和要求</w:t>
      </w:r>
    </w:p>
    <w:tbl>
      <w:tblPr>
        <w:tblStyle w:val="41"/>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2577"/>
        <w:gridCol w:w="1702"/>
        <w:gridCol w:w="2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00" w:type="dxa"/>
            <w:vAlign w:val="center"/>
          </w:tcPr>
          <w:p>
            <w:pPr>
              <w:jc w:val="center"/>
              <w:rPr>
                <w:rFonts w:ascii="宋体" w:hAnsi="宋体" w:cs="宋体"/>
                <w:b/>
                <w:szCs w:val="21"/>
              </w:rPr>
            </w:pPr>
            <w:r>
              <w:rPr>
                <w:rFonts w:hint="eastAsia" w:ascii="宋体" w:hAnsi="宋体" w:cs="宋体"/>
                <w:b/>
                <w:szCs w:val="21"/>
              </w:rPr>
              <w:t>序号</w:t>
            </w:r>
          </w:p>
        </w:tc>
        <w:tc>
          <w:tcPr>
            <w:tcW w:w="2577" w:type="dxa"/>
            <w:vAlign w:val="center"/>
          </w:tcPr>
          <w:p>
            <w:pPr>
              <w:jc w:val="center"/>
              <w:rPr>
                <w:rFonts w:ascii="宋体" w:hAnsi="宋体" w:cs="宋体"/>
                <w:b/>
                <w:szCs w:val="21"/>
              </w:rPr>
            </w:pPr>
            <w:r>
              <w:rPr>
                <w:rFonts w:hint="eastAsia" w:ascii="宋体" w:hAnsi="宋体" w:cs="宋体"/>
                <w:b/>
                <w:szCs w:val="21"/>
              </w:rPr>
              <w:t>项目名称</w:t>
            </w:r>
          </w:p>
        </w:tc>
        <w:tc>
          <w:tcPr>
            <w:tcW w:w="1702" w:type="dxa"/>
            <w:vAlign w:val="center"/>
          </w:tcPr>
          <w:p>
            <w:pPr>
              <w:jc w:val="center"/>
              <w:rPr>
                <w:rFonts w:ascii="宋体" w:hAnsi="宋体" w:cs="宋体"/>
                <w:b/>
                <w:szCs w:val="21"/>
              </w:rPr>
            </w:pPr>
            <w:r>
              <w:rPr>
                <w:rFonts w:hint="eastAsia" w:ascii="宋体" w:hAnsi="宋体" w:cs="宋体"/>
                <w:b/>
                <w:szCs w:val="21"/>
              </w:rPr>
              <w:t>数量/单位</w:t>
            </w:r>
          </w:p>
        </w:tc>
        <w:tc>
          <w:tcPr>
            <w:tcW w:w="2921" w:type="dxa"/>
            <w:vAlign w:val="center"/>
          </w:tcPr>
          <w:p>
            <w:pPr>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jc w:val="center"/>
        </w:trPr>
        <w:tc>
          <w:tcPr>
            <w:tcW w:w="1300" w:type="dxa"/>
            <w:vAlign w:val="center"/>
          </w:tcPr>
          <w:p>
            <w:pPr>
              <w:spacing w:line="360" w:lineRule="auto"/>
              <w:jc w:val="center"/>
              <w:rPr>
                <w:rFonts w:ascii="宋体" w:hAnsi="宋体" w:cs="宋体"/>
                <w:szCs w:val="21"/>
              </w:rPr>
            </w:pPr>
            <w:r>
              <w:rPr>
                <w:rFonts w:hint="eastAsia" w:ascii="宋体" w:hAnsi="宋体" w:cs="宋体"/>
                <w:szCs w:val="21"/>
              </w:rPr>
              <w:t>1</w:t>
            </w:r>
          </w:p>
        </w:tc>
        <w:tc>
          <w:tcPr>
            <w:tcW w:w="2577" w:type="dxa"/>
            <w:vAlign w:val="center"/>
          </w:tcPr>
          <w:p>
            <w:pPr>
              <w:spacing w:line="400" w:lineRule="exact"/>
              <w:jc w:val="center"/>
              <w:rPr>
                <w:rFonts w:ascii="宋体" w:hAnsi="宋体" w:cs="宋体"/>
                <w:szCs w:val="21"/>
              </w:rPr>
            </w:pPr>
            <w:r>
              <w:rPr>
                <w:rFonts w:hint="eastAsia" w:ascii="宋体" w:hAnsi="宋体" w:cs="宋体"/>
                <w:szCs w:val="21"/>
              </w:rPr>
              <w:t>智慧高速数字孪生可视化平台</w:t>
            </w:r>
          </w:p>
        </w:tc>
        <w:tc>
          <w:tcPr>
            <w:tcW w:w="1702" w:type="dxa"/>
            <w:vAlign w:val="center"/>
          </w:tcPr>
          <w:p>
            <w:pPr>
              <w:spacing w:line="360" w:lineRule="auto"/>
              <w:jc w:val="center"/>
              <w:rPr>
                <w:rFonts w:ascii="宋体" w:hAnsi="宋体" w:cs="宋体"/>
                <w:szCs w:val="21"/>
              </w:rPr>
            </w:pPr>
            <w:r>
              <w:rPr>
                <w:rFonts w:hint="eastAsia" w:ascii="宋体" w:hAnsi="宋体" w:cs="宋体"/>
                <w:szCs w:val="21"/>
              </w:rPr>
              <w:t>1项</w:t>
            </w:r>
          </w:p>
        </w:tc>
        <w:tc>
          <w:tcPr>
            <w:tcW w:w="2921" w:type="dxa"/>
          </w:tcPr>
          <w:p>
            <w:pPr>
              <w:spacing w:line="400" w:lineRule="exact"/>
              <w:jc w:val="left"/>
              <w:rPr>
                <w:rFonts w:ascii="宋体" w:hAnsi="宋体" w:cs="宋体"/>
                <w:szCs w:val="21"/>
              </w:rPr>
            </w:pPr>
            <w:r>
              <w:rPr>
                <w:rFonts w:hint="eastAsia" w:ascii="宋体" w:hAnsi="宋体" w:cs="宋体"/>
                <w:szCs w:val="21"/>
              </w:rPr>
              <w:t>服务对象：重庆高速公路集团</w:t>
            </w:r>
          </w:p>
          <w:p>
            <w:pPr>
              <w:spacing w:line="400" w:lineRule="exact"/>
              <w:jc w:val="left"/>
              <w:rPr>
                <w:rFonts w:ascii="宋体" w:hAnsi="宋体" w:cs="宋体"/>
                <w:szCs w:val="21"/>
              </w:rPr>
            </w:pPr>
            <w:r>
              <w:rPr>
                <w:rFonts w:hint="eastAsia" w:ascii="宋体" w:hAnsi="宋体" w:cs="宋体"/>
                <w:szCs w:val="21"/>
              </w:rPr>
              <w:t>服务要求：按照采购要求完成智能化实时数据展示系统开发、上线。</w:t>
            </w:r>
          </w:p>
          <w:p>
            <w:pPr>
              <w:spacing w:line="400" w:lineRule="exact"/>
              <w:jc w:val="left"/>
              <w:rPr>
                <w:rFonts w:ascii="宋体" w:hAnsi="宋体" w:cs="宋体"/>
                <w:szCs w:val="21"/>
                <w:lang w:val="zh-CN"/>
              </w:rPr>
            </w:pPr>
            <w:r>
              <w:rPr>
                <w:rFonts w:hint="eastAsia" w:ascii="宋体" w:hAnsi="宋体" w:cs="宋体"/>
                <w:szCs w:val="21"/>
              </w:rPr>
              <w:t>服务标准：按采购文件及相关国家标准执行。</w:t>
            </w:r>
          </w:p>
        </w:tc>
      </w:tr>
    </w:tbl>
    <w:p>
      <w:pPr>
        <w:tabs>
          <w:tab w:val="left" w:pos="360"/>
        </w:tabs>
        <w:spacing w:line="400" w:lineRule="exact"/>
        <w:ind w:firstLine="422" w:firstLineChars="200"/>
        <w:rPr>
          <w:rFonts w:ascii="宋体" w:hAnsi="宋体" w:cs="宋体"/>
          <w:b/>
          <w:bCs/>
          <w:szCs w:val="21"/>
        </w:rPr>
      </w:pPr>
      <w:r>
        <w:rPr>
          <w:rFonts w:hint="eastAsia" w:ascii="宋体" w:hAnsi="宋体" w:cs="宋体"/>
          <w:b/>
          <w:bCs/>
          <w:szCs w:val="21"/>
        </w:rPr>
        <w:t>1.采购内容</w:t>
      </w:r>
    </w:p>
    <w:p>
      <w:pPr>
        <w:tabs>
          <w:tab w:val="left" w:pos="360"/>
        </w:tabs>
        <w:spacing w:line="400" w:lineRule="exact"/>
        <w:ind w:firstLine="422" w:firstLineChars="200"/>
        <w:rPr>
          <w:rFonts w:ascii="宋体" w:hAnsi="宋体" w:cs="宋体"/>
          <w:b/>
          <w:bCs/>
          <w:szCs w:val="21"/>
        </w:rPr>
      </w:pPr>
      <w:r>
        <w:rPr>
          <w:rFonts w:hint="eastAsia" w:ascii="宋体" w:hAnsi="宋体" w:cs="宋体"/>
          <w:b/>
          <w:bCs/>
          <w:szCs w:val="21"/>
        </w:rPr>
        <w:t>(一)重庆市高速路网建设综合概览及定制开发</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根据采购人要求，构建重庆市高速路网建设情况综合概览场景，通过倾斜摄影、实景建模、实地采集等手段，采集不同种类的地理信息数据成果，组合形成智慧高速的基础底板。基于基础底板，呈现全市范围内的高速路网建设成果，包含全市范围内的高速路网</w:t>
      </w:r>
      <w:r>
        <w:rPr>
          <w:rFonts w:hint="eastAsia" w:ascii="宋体" w:hAnsi="宋体" w:cs="宋体"/>
          <w:szCs w:val="21"/>
          <w:lang w:eastAsia="zh-CN"/>
        </w:rPr>
        <w:t>，</w:t>
      </w:r>
      <w:r>
        <w:rPr>
          <w:rFonts w:hint="eastAsia" w:ascii="宋体" w:hAnsi="宋体" w:cs="宋体"/>
          <w:szCs w:val="21"/>
        </w:rPr>
        <w:t>服务区，省际出口等点位信息，对重点高速路段上的一些服务区，隧道，收费站等场景进行建模，结合不同场景的物联网管理系统，立体式，多维度反应重庆高速集团在高速路网建设中的重要作用</w:t>
      </w:r>
      <w:r>
        <w:rPr>
          <w:rFonts w:hint="eastAsia" w:ascii="宋体" w:hAnsi="宋体" w:cs="宋体"/>
          <w:szCs w:val="21"/>
          <w:lang w:eastAsia="zh-CN"/>
        </w:rPr>
        <w:t>。</w:t>
      </w:r>
      <w:r>
        <w:rPr>
          <w:rFonts w:hint="eastAsia" w:ascii="宋体" w:hAnsi="宋体" w:cs="宋体"/>
          <w:szCs w:val="21"/>
        </w:rPr>
        <w:t>同时，对接现有的路网及车辆管理系统，将各类高速道路运维监控数据进行提炼，用可视化的方式进行表达，实现对重庆市高速路网整体运行情况的全域感知和一图可视。</w:t>
      </w:r>
    </w:p>
    <w:p>
      <w:pPr>
        <w:tabs>
          <w:tab w:val="left" w:pos="360"/>
        </w:tabs>
        <w:spacing w:line="400" w:lineRule="exact"/>
        <w:ind w:firstLine="422" w:firstLineChars="200"/>
        <w:rPr>
          <w:rFonts w:ascii="宋体" w:hAnsi="宋体" w:cs="宋体"/>
          <w:b/>
          <w:bCs/>
          <w:szCs w:val="21"/>
        </w:rPr>
      </w:pPr>
      <w:r>
        <w:rPr>
          <w:rFonts w:hint="eastAsia" w:ascii="宋体" w:hAnsi="宋体" w:cs="宋体"/>
          <w:b/>
          <w:bCs/>
          <w:szCs w:val="21"/>
        </w:rPr>
        <w:t>（二）服务区场景搭建及定制开发</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基于平台提供的模型库和自主建模模块，实现对服务区的三维建模场景搭建，包含服务区建筑物、机电等所有的设施设备，实现以下内容：</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1.按照服务区实景、设计图纸或预案的要求，制作服务区场景，一般包括：服务区周边一千米范围内的高速公路、道路、停车场、绿化、服务区标线标牌、服务区内的摄像机、路灯等机电设备。</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2.常规物品建模，常规物品指对尺寸、精度没有特别要求（应满足实际使用需求），物体本身也不是特别复杂或罕见者。</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3.建筑外立面普通标准建模，包括按照片、CAD图纸制作建筑外立面基本凹凸效果及贴图。一般包括：便利店、餐厅、停车场、公共厕所、加油站等其他的建筑设施。</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在搭建好的服务区场景基础上，进行定制开发，实现如下功能：</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1.设备数据展示：在三维服务区场景中，准确呈现基础的物联网设备分布情况，并能实时展示物联网设备运行状态、详细数据，支持实时视频调取。</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2.设备搜索定位：支持在服务区三维场景中进行物联网设备搜索，搜索结果列表展示，点击列表数据可直接定位至三维场景中的物联网设备所在位置。</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3.告警情况：支持在服务区三维场景中，可视化展示物联网设备告警情况，以高亮、闪烁方式进行告警提示。</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4.设备状态同步展示：支持在服务区三维场景中，实时展现设施设备的当前状态，例如情报板显示文字信息变化等。</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5.车辆数据展示：支持在服务区的三维场景中，实施展示进入服务区的车辆数量，历史趋势变化情况，用颜色深浅表示服务区的拥挤程度。</w:t>
      </w:r>
    </w:p>
    <w:p>
      <w:pPr>
        <w:tabs>
          <w:tab w:val="left" w:pos="360"/>
        </w:tabs>
        <w:spacing w:line="400" w:lineRule="exact"/>
        <w:ind w:firstLine="422" w:firstLineChars="200"/>
        <w:rPr>
          <w:rFonts w:ascii="宋体" w:hAnsi="宋体" w:cs="宋体"/>
          <w:b/>
          <w:bCs/>
          <w:szCs w:val="21"/>
        </w:rPr>
      </w:pPr>
      <w:r>
        <w:rPr>
          <w:rFonts w:hint="eastAsia" w:ascii="宋体" w:hAnsi="宋体" w:cs="宋体"/>
          <w:b/>
          <w:bCs/>
          <w:szCs w:val="21"/>
        </w:rPr>
        <w:t>（三）隧道场景搭建及定制开发</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基于平台提供的模型库和自主建模模块，实现对隧道的三维建模场景搭建，包含隧道土建、机电等所有的设施设备，实现以下内容：</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1.按照隧道实景、设计图纸或预案的要求，制作智慧高速的隧道场景，一般包括：隧道洞门、洞身、隧道进入口连接段（五百米范围内）、隧道口管理所等），附属设施（排水沟、电缆沟、横通道、停车带等）、附属设备（隧道风机、照明灯具（按回路）、可变信息标志、交通信号灯、车道指示器、消火栓、紧急电话、摄像机、卷帘门、交通标志标线等）等。</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2.常规物品建模，常规物品指对尺寸、精度没有特别要求（应满足实际使用需求），物体本身也不是特别复杂或罕见者。</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在搭建好的隧道场景基础上，进行定制开发，实现如下功能：</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1.设备数据展示：在三维场景中，准确呈现基础的物联网设备分布情况，并能实时展示物联网设备运行状态、详细数据，支持实时视频调取。</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2.设备搜索定位：支持在隧道三维场景中进行物联网设备搜索，搜索结果列表展示，点击列表数据可直接定位至三维场景中的物联网设备所在位置。</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3.告警情况：支持在隧道三维场景中，可视化展示物联网设备告警情况，以高亮、闪烁方式进行告警提示。</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4.设备状态同步展示：支持在隧道三维场景中，实时展现设施设备的当前状态，例如信号灯变化，情报板显示文字信息，卷帘门开闭，风机启动等。</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5.车路协同场景：支持结合隧道入口的车辆检测系统和车联网相关系统，对隧道内的车辆的基本情况进行展示，包含进入隧道的车辆数量，类型，行驶速度等。</w:t>
      </w:r>
    </w:p>
    <w:p>
      <w:pPr>
        <w:tabs>
          <w:tab w:val="left" w:pos="360"/>
        </w:tabs>
        <w:spacing w:line="400" w:lineRule="exact"/>
        <w:ind w:firstLine="422" w:firstLineChars="200"/>
        <w:rPr>
          <w:rFonts w:ascii="宋体" w:hAnsi="宋体" w:cs="宋体"/>
          <w:b/>
          <w:bCs/>
          <w:szCs w:val="21"/>
        </w:rPr>
      </w:pPr>
      <w:r>
        <w:rPr>
          <w:rFonts w:hint="eastAsia" w:ascii="宋体" w:hAnsi="宋体" w:cs="宋体"/>
          <w:b/>
          <w:bCs/>
          <w:szCs w:val="21"/>
        </w:rPr>
        <w:t>（四）收费站场景搭建及定制开发</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基于平台提供的模型库和自主建模模块，实现对收费站的三维建模场景搭建，包含收费站及收费站附属机电设施设备，实现以下内容：</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1.按照收费站实景、设计图纸或预案的要求，制作智慧高速的收费站场景，一般包括：服务区周边一千米范围内的高速公路、道路、绿化、标线标牌、摄像机、路灯等机电设备。</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2.常规物品建模，常规物品指对尺寸、精度没有特别要求（应满足实际使用需求），物体本身也不是特别复杂或罕见者。</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在搭建好的收费站基础上，进行定制开发，实现如下功能：</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1.设备数据展示：在三维场景中，准确呈现基础的物联网设备分布情况，并能实时展示物联网设备运行状态、详细数据，支持实时视频调取。</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2.设备搜索定位：支持在收费站场景中进行物联网设备搜索，搜索结果列表展示，点击列表数据可直接定位至三维场景中的物联网设备所在位置。</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3.告警情况：支持在收费站场景中，可视化展示物联网设备告警情况，以高亮、闪烁方式进行告警提示。</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4.设备状态同步展示：支持在收费站三维场景中，实时展现设施设备的当前状态。</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5.车辆数据展示：支持结合收费站入口的车辆检测系统和收费相关系统，对进入收费站的车辆信息及收费信息，车道的通行情况等进行展示，直观呈现收费站的运营情况。</w:t>
      </w:r>
    </w:p>
    <w:p>
      <w:pPr>
        <w:tabs>
          <w:tab w:val="left" w:pos="360"/>
        </w:tabs>
        <w:spacing w:line="400" w:lineRule="exact"/>
        <w:ind w:firstLine="422" w:firstLineChars="200"/>
        <w:rPr>
          <w:rFonts w:ascii="宋体" w:hAnsi="宋体" w:cs="宋体"/>
          <w:b/>
          <w:bCs/>
          <w:szCs w:val="21"/>
        </w:rPr>
      </w:pPr>
      <w:r>
        <w:rPr>
          <w:rFonts w:hint="eastAsia" w:ascii="宋体" w:hAnsi="宋体" w:cs="宋体"/>
          <w:b/>
          <w:bCs/>
          <w:szCs w:val="21"/>
        </w:rPr>
        <w:t>（五）渝湘复线建设场景搭建及定制开发</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基于平台提供的模型库和自主建模模块，实现对渝湘复线的三维建模场景搭建，实现以下内容：</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1.按照渝湘复线实景、设计图纸或BIM模型的要求，制作渝湘复线的的建设场景，一般包括：包含渝湘复线所含大桥，大桥周边一千米范围，渝湘复线高速部分高速公路及道路周边一百米范围、附属道路、绿化、标线标牌、路灯等机电设备。</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2.常规物品建模，常规物品指对尺寸、精度没有特别要求（应满足实际使用需求），物体本身也不是特别复杂或罕见者。</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在搭建好的渝湘复线建设场景基础上，进行定制开发，实现如下功能：</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1.大桥建设过程：在三维场景中，通过模型驱动的方式，呈现大桥的整体建设周期及步骤。</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2.渝湘复线建设成果：支持在渝湘复线高速场景中漫游，包括车型视角，飞行视角，立体呈现渝湘复线的建设成果</w:t>
      </w:r>
    </w:p>
    <w:p>
      <w:pPr>
        <w:tabs>
          <w:tab w:val="left" w:pos="360"/>
        </w:tabs>
        <w:spacing w:line="400" w:lineRule="exact"/>
        <w:ind w:firstLine="422" w:firstLineChars="200"/>
        <w:rPr>
          <w:rFonts w:ascii="宋体" w:hAnsi="宋体" w:cs="宋体"/>
          <w:b/>
          <w:bCs/>
          <w:szCs w:val="21"/>
        </w:rPr>
      </w:pPr>
      <w:r>
        <w:rPr>
          <w:rFonts w:hint="eastAsia" w:ascii="宋体" w:hAnsi="宋体" w:cs="宋体"/>
          <w:b/>
          <w:bCs/>
          <w:szCs w:val="21"/>
        </w:rPr>
        <w:t>（六）数据对接</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需提供一个统一接口平台，拥有强大的数据集成能力，以汇聚对数据中心各类运维数据，对于产品度高、对外接口成熟的常见主流专业监控工具，应该提供开箱即用，通过修改一些参数即可实现集成的的接入方式。对于一些非主流、个性化、定制化的但拥有基于主流协议的对外接口的监控系统，提供可个性化调整的易于实现与调试的灵活方案。</w:t>
      </w:r>
    </w:p>
    <w:p>
      <w:pPr>
        <w:tabs>
          <w:tab w:val="left" w:pos="360"/>
        </w:tabs>
        <w:spacing w:line="400" w:lineRule="exact"/>
        <w:ind w:firstLine="422" w:firstLineChars="200"/>
        <w:rPr>
          <w:rFonts w:ascii="宋体" w:hAnsi="宋体" w:cs="宋体"/>
          <w:b/>
          <w:bCs/>
          <w:szCs w:val="21"/>
        </w:rPr>
      </w:pPr>
    </w:p>
    <w:p>
      <w:pPr>
        <w:tabs>
          <w:tab w:val="left" w:pos="360"/>
        </w:tabs>
        <w:spacing w:line="400" w:lineRule="exact"/>
        <w:ind w:firstLine="422" w:firstLineChars="200"/>
        <w:rPr>
          <w:rFonts w:ascii="宋体" w:hAnsi="宋体" w:cs="宋体"/>
          <w:b/>
          <w:bCs/>
          <w:szCs w:val="21"/>
        </w:rPr>
      </w:pPr>
      <w:r>
        <w:rPr>
          <w:rFonts w:hint="eastAsia" w:ascii="宋体" w:hAnsi="宋体" w:cs="宋体"/>
          <w:b/>
          <w:bCs/>
          <w:szCs w:val="21"/>
        </w:rPr>
        <w:t>2、采购要求</w:t>
      </w:r>
    </w:p>
    <w:p>
      <w:pPr>
        <w:tabs>
          <w:tab w:val="left" w:pos="360"/>
        </w:tabs>
        <w:spacing w:line="400" w:lineRule="exact"/>
        <w:ind w:firstLine="422" w:firstLineChars="200"/>
        <w:rPr>
          <w:rFonts w:ascii="宋体" w:hAnsi="宋体" w:cs="宋体"/>
          <w:b/>
          <w:bCs/>
          <w:szCs w:val="21"/>
        </w:rPr>
      </w:pPr>
      <w:r>
        <w:rPr>
          <w:rFonts w:hint="eastAsia" w:ascii="宋体" w:hAnsi="宋体" w:cs="宋体"/>
          <w:b/>
          <w:bCs/>
          <w:szCs w:val="21"/>
        </w:rPr>
        <w:t>（一）基础能力要求</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1.平台基于数字孪生和万物互联的理念，成熟、先进、实用的原则，融合物联网设备、监测数据、业务信息及多元数据为一体的三维全息化场景综合的三维可视化运营平台。</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2.平台须基于WebGL技术标准进行开发，采用B/S架构，支持谷歌、火狐、360等主流浏览器访问。</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3.平台须支持主流的场景渲染技术，须采用自主可控的三维渲染引擎并具有软件著作权，三维引擎须提供配套开发工具和丰富API接口，支持动态加载技术呈现不同尺度，不同层级，不同颗粒的大范围场景分层分级加载渲染。</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4.平台应具备国产化的兼容能力，提供的系统应具备与国产处理器、国产服务器操作系统的兼容性互认证明。</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系统须具备场景维护工具，支持在三维场景中，通过拖拽方式进行设备模型的摆放间增删，支持配置模型高度、缩放比例、俯仰角度、二维旋转等三维参数，支持对新增模型调整位置及角度，并添加属性信息，支持进行设备数据源的对接绑定，支持配置完成的模型及数据在系统前端设备同步更新展示</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6.平台采用虚拟现实技术的全三维展示方式（非Flash方式），支持无缝下钻，从地球、国家、省、市、区、园区、楼宇、楼层、房间到设备的逐级递进，支持按照行政区划对数据进行选择及下钻，提供标准地图渲染效果，实现全三维浏览和全鼠标操作。</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7.平台须具备以数据驱动，大规模城市建筑自动建模并加载，并实现多层级场景细节展示查看；具备多源数据融合叠加加载展示，包括栅格数据、矢量数据、人工建模、建筑模型、倾斜摄影等，从不同角度、不同粒度、不同尺度、不同层次按需求设计显示。 支持基于三维地理空间的统计图显示：单柱图、簇状柱图、堆积柱图、气泡图等；支持基于三维地理空间的点位分布图展示：节点轨迹图、热力图、星光图、聚合图等；</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8.平台须具备三维模型精密细节显示，高度还原模型的外形、材质、纹理细节，支持高度逼真细节效果渲染，并可以按照实际需求增加和更新模型，支持静态模型、动画模型、粒子模型。</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9.平台支持3D模型制作、3D场景搭建、在线应用开发、数据对接、安装部署的全部流程，提供开发全生命周期的3D可视化服务。</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10.支持三维地理空间数据加载，能准确定位地理位置；支持3D Tiles格式的矢量切片数据，具备海量空间数据的承载能力和渲染性能；具备对GIS点线面的地理数据做矢量切片处理能力；支持GI点线面地理数据的加载与展示，可支持GeoJSON、csv、Excel格式的地理数据，支持shp、kml等地理数据的集成。</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11.支持各类矢量地图要素数据加载服务能力，包括各级道路、公共设施、企业建筑、行政区划、海洋边界、等高线、自然环境等。平台须具备支持各类常见地图瓦片地图服务对接与展示应用能力，包括政区图、卫星影像、地形图等，地图数据涵盖全球范围，支持地图布局摆放三维园区场景及三维建筑轮廓模型；</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12.平台须支持具备地图的编辑与管理能力，支持所见即所得的交互方式进行地图配置；具备不少于8套城市建筑风格的模板，并可对单个建筑进行管理与交互，支持进入室内到设备管理。须具备无缝融合交互式配置3D地图应用工具，并配置多个园区级场景的地理位置。</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13.平台须支持自身服务监控管理，实时监测系统部署服务器的CPU、内存、服务器信息、java虚拟机信息、磁盘状态等实时信息。</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14.平台需具备灵活的3D+2D+GIS+图表范式的全栈可视化组装能力，提供可视化场景搭建工具及模型库。搭建工具具有自主知识产权，并支持离线和在线均可搭建场景。具备自带模型库，至少有20000种模型，应能充分覆城市、园区、楼宇、设备应用所需，包括多种通用模型、装备专业模型，覆盖数十个行业类型；支持对模型进行自定义贴图，预置模型自带动画。</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15.平台需支持制作演示系统并进行系统演示的功能，演示的内容包含重庆市宏观路网场景，展示重庆市高速路网建设成果和高速集团相关介绍，支持从重庆市地图下钻至具体服务区场景，服务区场景中进行视频监控画面的对接，设备点位的摆放及管理，车位信息的展示，支持从重庆市地图下钻至具体隧道场景，隧道场景中进行视频监控画面的对接，车路协同功能的展示。</w:t>
      </w:r>
    </w:p>
    <w:p>
      <w:pPr>
        <w:tabs>
          <w:tab w:val="left" w:pos="360"/>
        </w:tabs>
        <w:spacing w:line="400" w:lineRule="exact"/>
        <w:ind w:firstLine="422" w:firstLineChars="200"/>
        <w:rPr>
          <w:rFonts w:ascii="宋体" w:hAnsi="宋体" w:cs="宋体"/>
          <w:b/>
          <w:bCs/>
          <w:szCs w:val="21"/>
        </w:rPr>
      </w:pPr>
      <w:r>
        <w:rPr>
          <w:rFonts w:hint="eastAsia" w:ascii="宋体" w:hAnsi="宋体" w:cs="宋体"/>
          <w:b/>
          <w:bCs/>
          <w:szCs w:val="21"/>
        </w:rPr>
        <w:t>（二）数据接入要求</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1.对常见的主流监控工具，能够提供界面式的数据接入方式，实现快速接入告警和性能数据。常见的主流监控工具如ZABBIX、H3C、共济、天旦、neteco、盈泽、德迅、广通软件、阿里云、北塔、锐捷、vmware、nagios、esight、schneider、龙控、科来等。</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2.平台应提供丰富的数据集成接口，能够支持SYSLOG、RestAPI、JDBC、SNMP、Socket、MQ、HTTP等各类通用协议接口，与各监控系统进行有效的数据采集和同步。</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3.应提供接收处理第三方系统发送的配置、告警及性能数据的能力，对外的接口可基于最常用的HTTP协议或者基于消息中间。</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4.平台接口应该具备在线编辑修改的能力。应支持基于JavaScript 语言对接入的数据编辑处理，集成处理即时生效，无需编译部署。</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5.平台提供在线进行数据采集接口的编写、发布、启停操作、及自监控；</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6.支持接入的数据可以发送至各个运维存储或消息队列软件,至少需要包含将数据存入Elasticsearch数据库、存入Mysql数据库、发送到MQ消息队列、发送到指定http地址等4种方式。</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7.数据接口应有完善的监控数据实时展示便于诊断分析，应提供图表显示，已接入数据量、待处理数据量、待发送数量、已发送数据量。</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8.接口数据的日志提供web端查看，可以实时浏览接口处理的数据日志，并提供日志在线下载能力。</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9.数据来源支持手工录入，或从实时大数据分析系统、网络线路运行监控系统、安全态势感知系统等应用系统进行对接获取，除协议上支持从我方系统对接以外，项目组成员需具备丰富的应用系统数据对接的经验。</w:t>
      </w:r>
    </w:p>
    <w:p>
      <w:pPr>
        <w:tabs>
          <w:tab w:val="left" w:pos="360"/>
        </w:tabs>
        <w:spacing w:line="400" w:lineRule="exact"/>
        <w:ind w:firstLine="422" w:firstLineChars="200"/>
        <w:rPr>
          <w:rFonts w:ascii="宋体" w:hAnsi="宋体" w:cs="宋体"/>
          <w:b/>
          <w:bCs/>
          <w:szCs w:val="21"/>
        </w:rPr>
      </w:pPr>
      <w:r>
        <w:rPr>
          <w:rFonts w:hint="eastAsia" w:ascii="宋体" w:hAnsi="宋体" w:cs="宋体"/>
          <w:b/>
          <w:bCs/>
          <w:szCs w:val="21"/>
        </w:rPr>
        <w:t>（三）平台管理功能要求</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系统提供基于B/S 架构的可视化监控系统管理工具。</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1.运维管理</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 xml:space="preserve">平台提供组织机构管理、用户及用户组管理和权限管理等功能，以实现对、平台内外部用户的统一管理，并且支持多用户同时登陆，能够满足多人同时在线访问。 </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2.日志管理</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提供基于数据库的日志功能，包括用户操作日志、系统运行状态日志等，以实现对机房人员操作、系统运行、事件告警的跟踪管理。</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3.权限管理</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提供基于账号、角色、设备组的综合权限管理能力。通过角色控制用户访问系统功能模块的权限。当用户可以访问某个功能模块时，可通过设备组控制用户访问数据的权限。包括用户管理，角色管理和工作组管理。</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4.平台具备备份与恢复能力</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系统数据维护、备份和恢复，采用向导、图形化及在线帮助方式用直观的方式进行引导使用者进行操作。</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5.自监控管理</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系统具备自监控能力，具有守护进程，能实时监控系统资源使用情况及系统模块功能的可用性，出现异常能及时报警和自处理能力。</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6.安全策略及机制</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系统要配置和构建可靠实用的安全策略和机制，保证系统安全和数据安全。根据不同的业务要求和应用处理方式，设置不同的安全措施和环节。</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（四）系统性能要求</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1.在硬件和网络环境正常情况下，系统具备7x24小时持续、高效、稳定可靠的运行能力，具备异常或故障处理能力并提供系统服务的启停机制。系统故障中断时间不超过60分钟/年，单次不超过30分钟。</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2.采用高可靠性的产品和技术，充分考虑整个系统运行的安全策略和机制，具有较强的容错能力和良好的恢复能力，保障系统安全、稳定、高效的运行。</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3.面对可能发生的单点故障（服务、节点、服务器等），要求系统设计具备一定恢复能力。</w:t>
      </w:r>
    </w:p>
    <w:p>
      <w:pPr>
        <w:tabs>
          <w:tab w:val="left" w:pos="360"/>
        </w:tabs>
        <w:spacing w:line="400" w:lineRule="exact"/>
        <w:ind w:firstLine="422" w:firstLineChars="200"/>
        <w:rPr>
          <w:rFonts w:ascii="宋体" w:hAnsi="宋体" w:cs="宋体"/>
          <w:b/>
          <w:bCs/>
          <w:szCs w:val="21"/>
        </w:rPr>
      </w:pPr>
      <w:r>
        <w:rPr>
          <w:rFonts w:hint="eastAsia" w:ascii="宋体" w:hAnsi="宋体" w:cs="宋体"/>
          <w:b/>
          <w:bCs/>
          <w:szCs w:val="21"/>
        </w:rPr>
        <w:t>（五）平台扩展能力要求</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本系统需具备强大的扩展能力。借助机器学习、人工智能、大数据分析和虚拟化技术，可以将本平台继续扩展。</w:t>
      </w:r>
    </w:p>
    <w:p>
      <w:pPr>
        <w:tabs>
          <w:tab w:val="left" w:pos="360"/>
        </w:tabs>
        <w:spacing w:line="400" w:lineRule="exact"/>
        <w:ind w:firstLine="422" w:firstLineChars="200"/>
        <w:rPr>
          <w:rFonts w:ascii="宋体" w:hAnsi="宋体" w:cs="宋体"/>
          <w:b/>
          <w:bCs/>
          <w:szCs w:val="21"/>
        </w:rPr>
      </w:pPr>
      <w:r>
        <w:rPr>
          <w:rFonts w:hint="eastAsia" w:ascii="宋体" w:hAnsi="宋体" w:cs="宋体"/>
          <w:b/>
          <w:bCs/>
          <w:szCs w:val="21"/>
        </w:rPr>
        <w:t>（六）建设要求</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1.实施要求</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供应商应保证本项目涉及的接口开发改造不影响现有业务系统的运行。</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项目完成后，供应商提交《项目需求规格说明书》《项目设计文档》《项目功能测试报告》《用户测试报告》《操作手册》等相关文档。</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涉及到与其他系统对接取或送数据的接口时，由本项目适应现有系统的接口。</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供应商应按照采购人的管理要求进行项目建设，服从采购人的工作安排，遵守采购人相关工作制度、保密制度。</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2.人员要求</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供应商成立针对本项目的项目团队，并派驻至少一名项目经理及一名实施人员到采购人指定地点进行驻场开发，项目团队其它成员可远程提供支持。项目经理需具有PMP项目管理专业人士资格证书。</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采购人根据供应商驻场人员的技术水平、工作效率、沟通能力和服务态度等综合评价人员是否胜任项目工作且达到采购人要求。对不能胜任的项目人员，采购人提出更换要求的供应商应及时更换。</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3.保密要求</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供应商应保证其实施人员在采购人服务期间所接触的采购人各种文件、数据，系统资料、系统操作等严格遵守采购人保密制度，不得向第三方透露。</w:t>
      </w:r>
    </w:p>
    <w:p>
      <w:pPr>
        <w:tabs>
          <w:tab w:val="left" w:pos="360"/>
        </w:tabs>
        <w:spacing w:line="400" w:lineRule="exact"/>
        <w:ind w:firstLine="420" w:firstLineChars="200"/>
        <w:rPr>
          <w:rFonts w:ascii="宋体" w:hAnsi="宋体" w:cs="宋体"/>
          <w:szCs w:val="21"/>
        </w:rPr>
      </w:pPr>
      <w:r>
        <w:rPr>
          <w:rFonts w:hint="eastAsia" w:ascii="宋体" w:hAnsi="宋体" w:cs="宋体"/>
          <w:szCs w:val="21"/>
        </w:rPr>
        <w:br w:type="page"/>
      </w:r>
    </w:p>
    <w:p>
      <w:pPr>
        <w:pStyle w:val="3"/>
        <w:spacing w:before="0" w:after="0" w:line="360" w:lineRule="auto"/>
        <w:jc w:val="center"/>
        <w:rPr>
          <w:rFonts w:ascii="宋体" w:hAnsi="宋体" w:cs="宋体"/>
        </w:rPr>
      </w:pPr>
      <w:r>
        <w:rPr>
          <w:rFonts w:hint="eastAsia" w:ascii="宋体" w:hAnsi="宋体" w:cs="宋体"/>
        </w:rPr>
        <w:t>第八章  工程量清单计量规则</w:t>
      </w:r>
      <w:bookmarkEnd w:id="204"/>
      <w:bookmarkEnd w:id="205"/>
      <w:bookmarkEnd w:id="206"/>
      <w:bookmarkEnd w:id="207"/>
      <w:bookmarkEnd w:id="208"/>
      <w:bookmarkEnd w:id="218"/>
    </w:p>
    <w:p>
      <w:pPr>
        <w:spacing w:line="360" w:lineRule="auto"/>
        <w:ind w:firstLine="420" w:firstLineChars="200"/>
        <w:rPr>
          <w:rFonts w:ascii="宋体" w:hAnsi="宋体" w:cs="宋体"/>
          <w:szCs w:val="21"/>
        </w:rPr>
      </w:pPr>
    </w:p>
    <w:p>
      <w:pPr>
        <w:pStyle w:val="3"/>
        <w:spacing w:before="0" w:after="0" w:line="360" w:lineRule="auto"/>
        <w:jc w:val="center"/>
        <w:rPr>
          <w:rFonts w:ascii="宋体" w:hAnsi="宋体" w:cs="宋体"/>
          <w:sz w:val="24"/>
          <w:szCs w:val="24"/>
        </w:rPr>
      </w:pPr>
      <w:bookmarkStart w:id="219" w:name="_Toc8090"/>
      <w:r>
        <w:rPr>
          <w:rFonts w:hint="eastAsia" w:ascii="宋体" w:hAnsi="宋体" w:cs="宋体"/>
          <w:sz w:val="24"/>
          <w:szCs w:val="24"/>
        </w:rPr>
        <w:t>无。</w:t>
      </w:r>
      <w:bookmarkEnd w:id="219"/>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sectPr>
          <w:pgSz w:w="11906" w:h="16838"/>
          <w:pgMar w:top="1440" w:right="1803" w:bottom="1440" w:left="1803" w:header="851" w:footer="992" w:gutter="0"/>
          <w:cols w:space="720" w:num="1"/>
          <w:titlePg/>
          <w:docGrid w:type="lines" w:linePitch="319" w:charSpace="0"/>
        </w:sectPr>
      </w:pPr>
      <w:bookmarkStart w:id="220" w:name="_Toc513633965"/>
    </w:p>
    <w:p>
      <w:pPr>
        <w:rPr>
          <w:rFonts w:ascii="宋体" w:hAnsi="宋体" w:cs="宋体"/>
        </w:rPr>
      </w:pPr>
    </w:p>
    <w:p>
      <w:pPr>
        <w:pStyle w:val="3"/>
        <w:spacing w:before="0" w:after="0" w:line="360" w:lineRule="auto"/>
        <w:jc w:val="center"/>
        <w:rPr>
          <w:rFonts w:ascii="宋体" w:hAnsi="宋体" w:cs="宋体"/>
        </w:rPr>
      </w:pPr>
      <w:bookmarkStart w:id="221" w:name="_Toc24853"/>
      <w:bookmarkStart w:id="222" w:name="_Toc2000413"/>
      <w:bookmarkStart w:id="223" w:name="_Toc22294"/>
      <w:bookmarkStart w:id="224" w:name="_Toc514858709"/>
      <w:r>
        <w:rPr>
          <w:rFonts w:hint="eastAsia" w:ascii="宋体" w:hAnsi="宋体" w:cs="宋体"/>
        </w:rPr>
        <w:t>第九章  竞争性比选响应文件格式</w:t>
      </w:r>
      <w:bookmarkEnd w:id="220"/>
      <w:bookmarkEnd w:id="221"/>
      <w:bookmarkEnd w:id="222"/>
      <w:bookmarkEnd w:id="223"/>
      <w:bookmarkEnd w:id="224"/>
    </w:p>
    <w:p>
      <w:pPr>
        <w:rPr>
          <w:rFonts w:ascii="宋体" w:hAnsi="宋体" w:cs="宋体"/>
        </w:rPr>
      </w:pPr>
    </w:p>
    <w:p>
      <w:pPr>
        <w:rPr>
          <w:rFonts w:ascii="宋体" w:hAnsi="宋体" w:cs="宋体"/>
        </w:rPr>
        <w:sectPr>
          <w:pgSz w:w="11906" w:h="16838"/>
          <w:pgMar w:top="1440" w:right="1803" w:bottom="1440" w:left="1803" w:header="851" w:footer="992" w:gutter="0"/>
          <w:cols w:space="720" w:num="1"/>
          <w:titlePg/>
          <w:docGrid w:type="lines" w:linePitch="319" w:charSpace="0"/>
        </w:sectPr>
      </w:pPr>
    </w:p>
    <w:p>
      <w:pPr>
        <w:rPr>
          <w:rFonts w:ascii="宋体" w:hAnsi="宋体" w:cs="宋体"/>
        </w:rPr>
      </w:pPr>
    </w:p>
    <w:p>
      <w:pPr>
        <w:jc w:val="center"/>
        <w:rPr>
          <w:rFonts w:hint="eastAsia" w:ascii="宋体" w:hAnsi="宋体" w:eastAsia="宋体" w:cs="宋体"/>
          <w:sz w:val="20"/>
          <w:szCs w:val="20"/>
          <w:lang w:eastAsia="zh-CN"/>
        </w:rPr>
      </w:pPr>
      <w:r>
        <w:rPr>
          <w:rFonts w:hint="eastAsia" w:ascii="宋体" w:hAnsi="宋体" w:cs="宋体"/>
          <w:b/>
          <w:bCs/>
          <w:sz w:val="48"/>
          <w:szCs w:val="56"/>
          <w:u w:val="single"/>
        </w:rPr>
        <w:t>智慧高速数字孪生可视化平台开发技术服务项目</w:t>
      </w:r>
      <w:r>
        <w:rPr>
          <w:rFonts w:hint="eastAsia" w:ascii="宋体" w:hAnsi="宋体" w:cs="宋体"/>
          <w:b/>
          <w:bCs/>
          <w:sz w:val="48"/>
          <w:szCs w:val="56"/>
          <w:u w:val="single"/>
          <w:lang w:eastAsia="zh-CN"/>
        </w:rPr>
        <w:t>（</w:t>
      </w:r>
      <w:r>
        <w:rPr>
          <w:rFonts w:hint="eastAsia" w:ascii="宋体" w:hAnsi="宋体" w:cs="宋体"/>
          <w:b/>
          <w:bCs/>
          <w:sz w:val="48"/>
          <w:szCs w:val="56"/>
          <w:u w:val="single"/>
          <w:lang w:val="en-US" w:eastAsia="zh-CN"/>
        </w:rPr>
        <w:t>第二次</w:t>
      </w:r>
      <w:r>
        <w:rPr>
          <w:rFonts w:hint="eastAsia" w:ascii="宋体" w:hAnsi="宋体" w:cs="宋体"/>
          <w:b/>
          <w:bCs/>
          <w:sz w:val="48"/>
          <w:szCs w:val="56"/>
          <w:u w:val="single"/>
          <w:lang w:eastAsia="zh-CN"/>
        </w:rPr>
        <w:t>）</w:t>
      </w:r>
    </w:p>
    <w:p>
      <w:pPr>
        <w:jc w:val="center"/>
        <w:rPr>
          <w:rFonts w:ascii="宋体" w:hAnsi="宋体" w:cs="宋体"/>
          <w:sz w:val="44"/>
          <w:szCs w:val="44"/>
        </w:rPr>
      </w:pPr>
      <w:r>
        <w:rPr>
          <w:rFonts w:hint="eastAsia" w:ascii="宋体" w:hAnsi="宋体" w:cs="宋体"/>
          <w:sz w:val="44"/>
          <w:szCs w:val="44"/>
        </w:rPr>
        <w:t xml:space="preserve"> </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jc w:val="center"/>
        <w:rPr>
          <w:rFonts w:ascii="宋体" w:hAnsi="宋体" w:cs="宋体"/>
          <w:b/>
          <w:sz w:val="72"/>
          <w:szCs w:val="44"/>
        </w:rPr>
      </w:pPr>
      <w:r>
        <w:rPr>
          <w:rFonts w:hint="eastAsia" w:ascii="宋体" w:hAnsi="宋体" w:cs="宋体"/>
          <w:b/>
          <w:sz w:val="72"/>
          <w:szCs w:val="44"/>
        </w:rPr>
        <w:t>竞争性比选响应文件</w:t>
      </w:r>
    </w:p>
    <w:p>
      <w:pPr>
        <w:jc w:val="center"/>
        <w:rPr>
          <w:rFonts w:ascii="宋体" w:hAnsi="宋体" w:cs="宋体"/>
          <w:b/>
          <w:sz w:val="32"/>
          <w:szCs w:val="32"/>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pStyle w:val="2"/>
      </w:pPr>
    </w:p>
    <w:p/>
    <w:p>
      <w:pPr>
        <w:pStyle w:val="2"/>
      </w:pPr>
    </w:p>
    <w:p/>
    <w:p>
      <w:pPr>
        <w:pStyle w:val="2"/>
      </w:pPr>
    </w:p>
    <w:p>
      <w:pPr>
        <w:jc w:val="center"/>
        <w:rPr>
          <w:rFonts w:ascii="宋体" w:hAnsi="宋体" w:cs="宋体"/>
          <w:sz w:val="28"/>
          <w:szCs w:val="28"/>
          <w:u w:val="single"/>
        </w:rPr>
      </w:pPr>
      <w:r>
        <w:rPr>
          <w:rFonts w:hint="eastAsia" w:ascii="宋体" w:hAnsi="宋体" w:cs="宋体"/>
          <w:sz w:val="28"/>
          <w:szCs w:val="28"/>
        </w:rPr>
        <w:t>报价人：</w:t>
      </w:r>
      <w:r>
        <w:rPr>
          <w:rFonts w:hint="eastAsia" w:ascii="宋体" w:hAnsi="宋体" w:cs="宋体"/>
          <w:sz w:val="28"/>
          <w:szCs w:val="28"/>
          <w:u w:val="single"/>
        </w:rPr>
        <w:t xml:space="preserve">                              </w:t>
      </w:r>
      <w:r>
        <w:rPr>
          <w:rFonts w:hint="eastAsia" w:ascii="宋体" w:hAnsi="宋体" w:cs="宋体"/>
          <w:sz w:val="28"/>
          <w:szCs w:val="28"/>
        </w:rPr>
        <w:t>（盖单位鲜公章）</w:t>
      </w:r>
    </w:p>
    <w:p>
      <w:pPr>
        <w:jc w:val="center"/>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w:t>
      </w:r>
    </w:p>
    <w:p>
      <w:pPr>
        <w:jc w:val="center"/>
        <w:rPr>
          <w:rFonts w:ascii="宋体" w:hAnsi="宋体" w:cs="宋体"/>
          <w:sz w:val="20"/>
          <w:szCs w:val="20"/>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pStyle w:val="4"/>
        <w:jc w:val="center"/>
        <w:rPr>
          <w:rFonts w:ascii="宋体" w:hAnsi="宋体" w:eastAsia="宋体" w:cs="宋体"/>
        </w:rPr>
      </w:pPr>
      <w:bookmarkStart w:id="225" w:name="_Toc11078"/>
      <w:bookmarkStart w:id="226" w:name="_Toc5459"/>
      <w:bookmarkStart w:id="227" w:name="_Toc1368"/>
      <w:bookmarkStart w:id="228" w:name="_Toc12693"/>
      <w:bookmarkStart w:id="229" w:name="_Toc28780"/>
      <w:bookmarkStart w:id="230" w:name="_Toc11329273"/>
      <w:r>
        <w:rPr>
          <w:rFonts w:hint="eastAsia" w:ascii="宋体" w:hAnsi="宋体" w:eastAsia="宋体" w:cs="宋体"/>
        </w:rPr>
        <w:t>目    录</w:t>
      </w:r>
      <w:bookmarkEnd w:id="209"/>
      <w:bookmarkEnd w:id="210"/>
      <w:bookmarkEnd w:id="211"/>
      <w:bookmarkEnd w:id="212"/>
      <w:bookmarkEnd w:id="213"/>
      <w:bookmarkEnd w:id="214"/>
      <w:bookmarkEnd w:id="215"/>
      <w:bookmarkEnd w:id="216"/>
      <w:bookmarkEnd w:id="225"/>
      <w:bookmarkEnd w:id="226"/>
      <w:bookmarkEnd w:id="227"/>
      <w:bookmarkEnd w:id="228"/>
      <w:bookmarkEnd w:id="229"/>
      <w:bookmarkEnd w:id="230"/>
    </w:p>
    <w:p>
      <w:pPr>
        <w:numPr>
          <w:ilvl w:val="0"/>
          <w:numId w:val="6"/>
        </w:numPr>
        <w:spacing w:line="400" w:lineRule="exact"/>
        <w:rPr>
          <w:rFonts w:ascii="宋体" w:hAnsi="宋体" w:cs="宋体"/>
        </w:rPr>
      </w:pPr>
      <w:r>
        <w:rPr>
          <w:rFonts w:hint="eastAsia" w:ascii="宋体" w:hAnsi="宋体" w:cs="宋体"/>
        </w:rPr>
        <w:t>竞争性响应声明书</w:t>
      </w:r>
    </w:p>
    <w:p>
      <w:pPr>
        <w:numPr>
          <w:ilvl w:val="0"/>
          <w:numId w:val="6"/>
        </w:numPr>
        <w:spacing w:line="400" w:lineRule="exact"/>
        <w:rPr>
          <w:rFonts w:ascii="宋体" w:hAnsi="宋体" w:cs="宋体"/>
        </w:rPr>
      </w:pPr>
      <w:r>
        <w:rPr>
          <w:rFonts w:hint="eastAsia" w:ascii="宋体" w:hAnsi="宋体" w:cs="宋体"/>
        </w:rPr>
        <w:t>法定代表人身份证明或法定代表人授权委托书</w:t>
      </w:r>
    </w:p>
    <w:p>
      <w:pPr>
        <w:numPr>
          <w:ilvl w:val="0"/>
          <w:numId w:val="6"/>
        </w:numPr>
        <w:spacing w:line="400" w:lineRule="exact"/>
        <w:rPr>
          <w:rFonts w:ascii="宋体" w:hAnsi="宋体" w:cs="宋体"/>
        </w:rPr>
      </w:pPr>
      <w:r>
        <w:rPr>
          <w:rFonts w:hint="eastAsia" w:ascii="宋体" w:hAnsi="宋体" w:cs="宋体"/>
        </w:rPr>
        <w:t>报价一览表</w:t>
      </w:r>
    </w:p>
    <w:p>
      <w:pPr>
        <w:numPr>
          <w:ilvl w:val="0"/>
          <w:numId w:val="6"/>
        </w:numPr>
        <w:spacing w:line="400" w:lineRule="exact"/>
        <w:rPr>
          <w:rFonts w:ascii="宋体" w:hAnsi="宋体" w:cs="宋体"/>
        </w:rPr>
      </w:pPr>
      <w:r>
        <w:rPr>
          <w:rFonts w:hint="eastAsia" w:ascii="宋体" w:hAnsi="宋体" w:cs="宋体"/>
        </w:rPr>
        <w:t>资格审查资料</w:t>
      </w:r>
    </w:p>
    <w:p>
      <w:pPr>
        <w:numPr>
          <w:ilvl w:val="0"/>
          <w:numId w:val="6"/>
        </w:numPr>
        <w:spacing w:line="400" w:lineRule="exact"/>
        <w:rPr>
          <w:rFonts w:ascii="宋体" w:hAnsi="宋体" w:cs="宋体"/>
        </w:rPr>
      </w:pPr>
      <w:r>
        <w:rPr>
          <w:rFonts w:hint="eastAsia" w:ascii="宋体" w:hAnsi="宋体" w:cs="宋体"/>
          <w:szCs w:val="21"/>
        </w:rPr>
        <w:t>报价人须知前附表规定的其他材料</w:t>
      </w:r>
      <w:r>
        <w:rPr>
          <w:rFonts w:hint="eastAsia" w:ascii="宋体" w:hAnsi="宋体" w:cs="宋体"/>
        </w:rPr>
        <w:t xml:space="preserve"> </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r>
        <w:rPr>
          <w:rFonts w:ascii="宋体" w:hAnsi="宋体" w:cs="宋体"/>
        </w:rPr>
        <w:br w:type="page"/>
      </w:r>
    </w:p>
    <w:p>
      <w:pPr>
        <w:pStyle w:val="4"/>
        <w:spacing w:before="0" w:after="0" w:line="360" w:lineRule="auto"/>
        <w:jc w:val="center"/>
        <w:rPr>
          <w:rFonts w:ascii="宋体" w:hAnsi="宋体" w:eastAsia="宋体" w:cs="宋体"/>
          <w:sz w:val="28"/>
        </w:rPr>
      </w:pPr>
      <w:bookmarkStart w:id="231" w:name="_Toc11329274"/>
      <w:bookmarkStart w:id="232" w:name="_Toc8870"/>
      <w:bookmarkStart w:id="233" w:name="_Toc25874"/>
      <w:bookmarkStart w:id="234" w:name="_Toc4828"/>
      <w:bookmarkStart w:id="235" w:name="_Toc15863"/>
      <w:bookmarkStart w:id="236" w:name="_Toc9071"/>
      <w:bookmarkStart w:id="237" w:name="_Toc29547"/>
      <w:bookmarkStart w:id="238" w:name="_Toc503951048"/>
      <w:bookmarkStart w:id="239" w:name="_Toc447827053"/>
      <w:bookmarkStart w:id="240" w:name="_Toc513633969"/>
      <w:r>
        <w:rPr>
          <w:rFonts w:hint="eastAsia" w:ascii="宋体" w:hAnsi="宋体" w:eastAsia="宋体" w:cs="宋体"/>
          <w:sz w:val="28"/>
        </w:rPr>
        <w:t>一、</w:t>
      </w:r>
      <w:bookmarkEnd w:id="231"/>
      <w:bookmarkEnd w:id="232"/>
      <w:r>
        <w:rPr>
          <w:rFonts w:hint="eastAsia" w:ascii="宋体" w:hAnsi="宋体" w:eastAsia="宋体" w:cs="宋体"/>
          <w:sz w:val="28"/>
        </w:rPr>
        <w:t>竞争比选响应声明书</w:t>
      </w:r>
      <w:bookmarkEnd w:id="233"/>
      <w:bookmarkEnd w:id="234"/>
      <w:bookmarkEnd w:id="235"/>
      <w:bookmarkEnd w:id="236"/>
      <w:bookmarkEnd w:id="237"/>
    </w:p>
    <w:p>
      <w:pPr>
        <w:tabs>
          <w:tab w:val="left" w:pos="900"/>
        </w:tabs>
        <w:spacing w:line="300" w:lineRule="auto"/>
        <w:rPr>
          <w:rFonts w:ascii="Arial" w:hAnsi="Arial" w:cs="Arial"/>
          <w:color w:val="000000"/>
          <w:sz w:val="24"/>
        </w:rPr>
      </w:pPr>
      <w:r>
        <w:rPr>
          <w:rFonts w:ascii="Arial" w:hAnsi="Arial" w:cs="Arial"/>
          <w:color w:val="000000"/>
          <w:sz w:val="24"/>
        </w:rPr>
        <w:t xml:space="preserve"> </w:t>
      </w:r>
      <w:r>
        <w:rPr>
          <w:rFonts w:hint="eastAsia" w:ascii="Arial" w:hAnsi="Arial" w:cs="Arial"/>
          <w:b/>
          <w:color w:val="000000"/>
          <w:sz w:val="24"/>
        </w:rPr>
        <w:t>致：</w:t>
      </w:r>
      <w:r>
        <w:rPr>
          <w:rFonts w:hint="eastAsia" w:ascii="Arial" w:hAnsi="Arial" w:cs="Arial"/>
          <w:b/>
          <w:bCs/>
          <w:color w:val="000000"/>
          <w:sz w:val="24"/>
          <w:u w:val="single"/>
        </w:rPr>
        <w:t>重庆首讯科技股份有限公司</w:t>
      </w:r>
    </w:p>
    <w:p>
      <w:pPr>
        <w:spacing w:line="700" w:lineRule="atLeast"/>
        <w:ind w:firstLine="480" w:firstLineChars="200"/>
        <w:rPr>
          <w:rFonts w:ascii="Arial" w:hAnsi="Arial" w:cs="Arial"/>
          <w:color w:val="000000"/>
          <w:sz w:val="24"/>
        </w:rPr>
      </w:pPr>
      <w:r>
        <w:rPr>
          <w:rFonts w:hint="eastAsia" w:ascii="Arial" w:hAnsi="Arial" w:cs="Arial"/>
          <w:color w:val="000000"/>
          <w:sz w:val="24"/>
        </w:rPr>
        <w:t>根据贵</w:t>
      </w:r>
      <w:r>
        <w:rPr>
          <w:rFonts w:hint="eastAsia" w:ascii="Arial" w:hAnsi="Arial" w:cs="Arial"/>
          <w:sz w:val="24"/>
        </w:rPr>
        <w:t>方为</w:t>
      </w:r>
      <w:r>
        <w:rPr>
          <w:rFonts w:hint="eastAsia" w:ascii="Arial" w:hAnsi="Arial" w:cs="Arial"/>
          <w:sz w:val="24"/>
          <w:u w:val="single"/>
        </w:rPr>
        <w:t xml:space="preserve"> 智慧高速数字孪生可视化平台开发技术服务项目</w:t>
      </w:r>
      <w:r>
        <w:rPr>
          <w:rFonts w:hint="eastAsia" w:ascii="Arial" w:hAnsi="Arial" w:cs="Arial"/>
          <w:sz w:val="24"/>
          <w:u w:val="single"/>
          <w:lang w:eastAsia="zh-CN"/>
        </w:rPr>
        <w:t>（</w:t>
      </w:r>
      <w:r>
        <w:rPr>
          <w:rFonts w:hint="eastAsia" w:ascii="Arial" w:hAnsi="Arial" w:cs="Arial"/>
          <w:sz w:val="24"/>
          <w:u w:val="single"/>
          <w:lang w:val="en-US" w:eastAsia="zh-CN"/>
        </w:rPr>
        <w:t>第二次</w:t>
      </w:r>
      <w:r>
        <w:rPr>
          <w:rFonts w:hint="eastAsia" w:ascii="Arial" w:hAnsi="Arial" w:cs="Arial"/>
          <w:sz w:val="24"/>
          <w:u w:val="single"/>
          <w:lang w:eastAsia="zh-CN"/>
        </w:rPr>
        <w:t>）</w:t>
      </w:r>
      <w:r>
        <w:rPr>
          <w:rFonts w:hint="eastAsia" w:ascii="Arial" w:hAnsi="Arial" w:cs="Arial"/>
          <w:color w:val="000000"/>
          <w:sz w:val="24"/>
          <w:u w:val="single"/>
        </w:rPr>
        <w:t xml:space="preserve"> </w:t>
      </w:r>
      <w:r>
        <w:rPr>
          <w:rFonts w:hint="eastAsia" w:ascii="Arial" w:hAnsi="Arial" w:cs="Arial"/>
          <w:sz w:val="24"/>
        </w:rPr>
        <w:t>竞争比选项目及服</w:t>
      </w:r>
      <w:r>
        <w:rPr>
          <w:rFonts w:hint="eastAsia" w:ascii="Arial" w:hAnsi="Arial" w:cs="Arial"/>
          <w:color w:val="000000"/>
          <w:sz w:val="24"/>
        </w:rPr>
        <w:t>务的竞争比选邀请，签字代表</w:t>
      </w:r>
      <w:r>
        <w:rPr>
          <w:rFonts w:ascii="Arial" w:hAnsi="Arial" w:cs="Arial"/>
          <w:color w:val="000000"/>
          <w:sz w:val="24"/>
          <w:u w:val="single"/>
        </w:rPr>
        <w:t xml:space="preserve">          </w:t>
      </w:r>
      <w:r>
        <w:rPr>
          <w:rFonts w:hint="eastAsia" w:ascii="Arial" w:hAnsi="Arial" w:cs="Arial"/>
          <w:color w:val="000000"/>
          <w:sz w:val="24"/>
          <w:u w:val="single"/>
        </w:rPr>
        <w:t>（全名、职务）</w:t>
      </w:r>
      <w:r>
        <w:rPr>
          <w:rFonts w:hint="eastAsia" w:ascii="Arial" w:hAnsi="Arial" w:cs="Arial"/>
          <w:color w:val="000000"/>
          <w:sz w:val="24"/>
        </w:rPr>
        <w:t>经正式授权并代表竞争比选响应单位</w:t>
      </w:r>
      <w:r>
        <w:rPr>
          <w:rFonts w:ascii="Arial" w:hAnsi="Arial" w:cs="Arial"/>
          <w:color w:val="000000"/>
          <w:sz w:val="24"/>
          <w:u w:val="single"/>
        </w:rPr>
        <w:t xml:space="preserve"> </w:t>
      </w:r>
      <w:r>
        <w:rPr>
          <w:rFonts w:hint="eastAsia" w:ascii="Arial" w:hAnsi="Arial" w:cs="Arial"/>
          <w:color w:val="000000"/>
          <w:sz w:val="24"/>
          <w:u w:val="single"/>
        </w:rPr>
        <w:t>（竞争比选响应单位名称）</w:t>
      </w:r>
      <w:r>
        <w:rPr>
          <w:rFonts w:ascii="Arial" w:hAnsi="Arial" w:cs="Arial"/>
          <w:color w:val="000000"/>
          <w:sz w:val="24"/>
          <w:u w:val="single"/>
        </w:rPr>
        <w:t xml:space="preserve"> </w:t>
      </w:r>
      <w:r>
        <w:rPr>
          <w:rFonts w:hint="eastAsia" w:ascii="Arial" w:hAnsi="Arial" w:cs="Arial"/>
          <w:color w:val="000000"/>
          <w:sz w:val="24"/>
        </w:rPr>
        <w:t>提交报价文件。</w:t>
      </w:r>
    </w:p>
    <w:p>
      <w:pPr>
        <w:spacing w:line="700" w:lineRule="atLeast"/>
        <w:ind w:firstLine="480" w:firstLineChars="200"/>
        <w:rPr>
          <w:rFonts w:ascii="Arial" w:hAnsi="Arial" w:cs="Arial"/>
          <w:color w:val="000000"/>
          <w:sz w:val="24"/>
          <w:u w:val="single"/>
        </w:rPr>
      </w:pPr>
      <w:r>
        <w:rPr>
          <w:rFonts w:hint="eastAsia" w:ascii="Arial" w:hAnsi="Arial" w:cs="Arial"/>
          <w:color w:val="000000"/>
          <w:sz w:val="24"/>
          <w:u w:val="single"/>
        </w:rPr>
        <w:t>我方愿以人民币：              元（大写              元）的报价总价，按照竞争比选文件的要求，承担本次竞争比选文件要求的供货任务。</w:t>
      </w:r>
    </w:p>
    <w:p>
      <w:pPr>
        <w:tabs>
          <w:tab w:val="left" w:pos="540"/>
          <w:tab w:val="left" w:pos="900"/>
        </w:tabs>
        <w:spacing w:line="300" w:lineRule="auto"/>
        <w:rPr>
          <w:rFonts w:ascii="Arial" w:hAnsi="Arial" w:cs="Arial"/>
          <w:color w:val="000000"/>
          <w:sz w:val="24"/>
        </w:rPr>
      </w:pPr>
      <w:r>
        <w:rPr>
          <w:rFonts w:ascii="Arial" w:hAnsi="Arial" w:cs="Arial"/>
          <w:color w:val="000000"/>
          <w:sz w:val="24"/>
        </w:rPr>
        <w:t xml:space="preserve">    </w:t>
      </w:r>
    </w:p>
    <w:p>
      <w:pPr>
        <w:tabs>
          <w:tab w:val="left" w:pos="540"/>
          <w:tab w:val="left" w:pos="900"/>
        </w:tabs>
        <w:spacing w:line="300" w:lineRule="auto"/>
        <w:rPr>
          <w:rFonts w:ascii="Arial" w:hAnsi="Arial" w:cs="Arial"/>
          <w:color w:val="000000"/>
          <w:sz w:val="24"/>
        </w:rPr>
      </w:pPr>
      <w:r>
        <w:rPr>
          <w:rFonts w:hint="eastAsia" w:ascii="Arial" w:hAnsi="Arial" w:cs="Arial"/>
          <w:color w:val="000000"/>
          <w:sz w:val="24"/>
        </w:rPr>
        <w:t>据此函，签字代表宣布同意如下：</w:t>
      </w:r>
    </w:p>
    <w:p>
      <w:pPr>
        <w:tabs>
          <w:tab w:val="left" w:pos="540"/>
          <w:tab w:val="left" w:pos="900"/>
        </w:tabs>
        <w:spacing w:line="300" w:lineRule="auto"/>
        <w:rPr>
          <w:rFonts w:ascii="Arial" w:hAnsi="Arial" w:cs="Arial"/>
          <w:color w:val="000000"/>
          <w:sz w:val="24"/>
        </w:rPr>
      </w:pPr>
      <w:r>
        <w:rPr>
          <w:rFonts w:ascii="Arial" w:hAnsi="Arial" w:cs="Arial"/>
          <w:color w:val="000000"/>
          <w:sz w:val="24"/>
        </w:rPr>
        <w:t>1</w:t>
      </w:r>
      <w:r>
        <w:rPr>
          <w:rFonts w:hint="eastAsia" w:ascii="Arial" w:hAnsi="Arial" w:cs="Arial"/>
          <w:color w:val="000000"/>
          <w:sz w:val="24"/>
        </w:rPr>
        <w:t>、竞争比选响应单位将按竞争比选文件规定履行合同责任和义务。</w:t>
      </w:r>
    </w:p>
    <w:p>
      <w:pPr>
        <w:tabs>
          <w:tab w:val="left" w:pos="900"/>
        </w:tabs>
        <w:spacing w:line="300" w:lineRule="auto"/>
        <w:rPr>
          <w:rFonts w:ascii="Arial" w:hAnsi="Arial" w:cs="Arial"/>
          <w:b/>
          <w:color w:val="000000"/>
          <w:sz w:val="24"/>
        </w:rPr>
      </w:pPr>
      <w:r>
        <w:rPr>
          <w:rFonts w:ascii="Arial" w:hAnsi="Arial" w:cs="Arial"/>
          <w:color w:val="000000"/>
          <w:sz w:val="24"/>
        </w:rPr>
        <w:t>2</w:t>
      </w:r>
      <w:r>
        <w:rPr>
          <w:rFonts w:hint="eastAsia" w:ascii="Arial" w:hAnsi="Arial" w:cs="Arial"/>
          <w:color w:val="000000"/>
          <w:sz w:val="24"/>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rPr>
      </w:pPr>
      <w:r>
        <w:rPr>
          <w:rFonts w:hint="eastAsia" w:ascii="Arial" w:hAnsi="Arial" w:cs="Arial"/>
          <w:color w:val="000000"/>
          <w:sz w:val="24"/>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000000"/>
          <w:sz w:val="24"/>
        </w:rPr>
      </w:pPr>
      <w:r>
        <w:rPr>
          <w:rFonts w:hint="eastAsia" w:ascii="Arial" w:hAnsi="Arial" w:cs="Arial"/>
          <w:color w:val="000000"/>
          <w:sz w:val="24"/>
        </w:rPr>
        <w:t>4、与本竞争比选响应有关的一切正式往来通讯请寄：</w:t>
      </w:r>
    </w:p>
    <w:p>
      <w:pPr>
        <w:tabs>
          <w:tab w:val="left" w:pos="900"/>
        </w:tabs>
        <w:spacing w:line="300" w:lineRule="auto"/>
        <w:rPr>
          <w:rFonts w:ascii="Arial" w:hAnsi="Arial" w:cs="Arial"/>
          <w:b/>
          <w:color w:val="000000"/>
          <w:sz w:val="24"/>
        </w:rPr>
      </w:pPr>
      <w:r>
        <w:rPr>
          <w:rFonts w:hint="eastAsia" w:ascii="Arial" w:hAnsi="Arial" w:cs="Arial"/>
          <w:color w:val="000000"/>
          <w:sz w:val="24"/>
        </w:rPr>
        <w:t>地址：</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邮编：</w:t>
      </w:r>
      <w:r>
        <w:rPr>
          <w:rFonts w:ascii="Arial" w:hAnsi="Arial" w:cs="Arial"/>
          <w:color w:val="000000"/>
          <w:sz w:val="24"/>
          <w:u w:val="single"/>
        </w:rPr>
        <w:t xml:space="preserve">            </w:t>
      </w:r>
      <w:r>
        <w:rPr>
          <w:rFonts w:ascii="Arial" w:hAnsi="Arial" w:cs="Arial"/>
          <w:b/>
          <w:color w:val="000000"/>
          <w:sz w:val="24"/>
        </w:rPr>
        <w:t xml:space="preserve">  </w:t>
      </w:r>
    </w:p>
    <w:p>
      <w:pPr>
        <w:tabs>
          <w:tab w:val="left" w:pos="900"/>
        </w:tabs>
        <w:spacing w:line="300" w:lineRule="auto"/>
        <w:rPr>
          <w:rFonts w:ascii="Arial" w:hAnsi="Arial" w:cs="Arial"/>
          <w:color w:val="000000"/>
          <w:sz w:val="24"/>
          <w:u w:val="single"/>
        </w:rPr>
      </w:pPr>
      <w:r>
        <w:rPr>
          <w:rFonts w:hint="eastAsia" w:ascii="Arial" w:hAnsi="Arial" w:cs="Arial"/>
          <w:color w:val="000000"/>
          <w:sz w:val="24"/>
        </w:rPr>
        <w:t>电话：</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传真：</w:t>
      </w:r>
      <w:r>
        <w:rPr>
          <w:rFonts w:ascii="Arial" w:hAnsi="Arial" w:cs="Arial"/>
          <w:color w:val="000000"/>
          <w:sz w:val="24"/>
          <w:u w:val="single"/>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竞争比选响应单位法定代表人或授权代表人（签字）：</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竞争比选响应单位法定代表人或授权代表人职务：</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color w:val="000000"/>
          <w:sz w:val="24"/>
        </w:rPr>
      </w:pPr>
      <w:r>
        <w:rPr>
          <w:rFonts w:hint="eastAsia" w:ascii="Arial" w:hAnsi="Arial" w:cs="Arial"/>
          <w:sz w:val="24"/>
        </w:rPr>
        <w:t>竞争比选响应单位名称（加盖公章）：</w:t>
      </w:r>
      <w:r>
        <w:rPr>
          <w:rFonts w:ascii="Arial" w:hAnsi="Arial" w:cs="Arial"/>
          <w:sz w:val="24"/>
          <w:u w:val="single"/>
        </w:rPr>
        <w:t xml:space="preserve">               </w:t>
      </w:r>
      <w:r>
        <w:rPr>
          <w:rFonts w:ascii="Arial" w:hAnsi="Arial" w:cs="Arial"/>
          <w:color w:val="000000"/>
          <w:sz w:val="24"/>
          <w:u w:val="single"/>
        </w:rPr>
        <w:t xml:space="preserve">                  </w:t>
      </w:r>
    </w:p>
    <w:p>
      <w:pPr>
        <w:tabs>
          <w:tab w:val="left" w:pos="900"/>
        </w:tabs>
        <w:spacing w:line="300" w:lineRule="auto"/>
        <w:rPr>
          <w:rFonts w:ascii="Arial" w:hAnsi="Arial" w:cs="Arial"/>
          <w:color w:val="000000"/>
          <w:sz w:val="24"/>
        </w:rPr>
      </w:pPr>
      <w:r>
        <w:rPr>
          <w:rFonts w:hint="eastAsia" w:ascii="Arial" w:hAnsi="Arial" w:cs="Arial"/>
          <w:color w:val="000000"/>
          <w:sz w:val="24"/>
        </w:rPr>
        <w:t>日期：</w:t>
      </w:r>
      <w:r>
        <w:rPr>
          <w:rFonts w:hint="eastAsia" w:ascii="Arial" w:hAnsi="Arial" w:cs="Arial"/>
          <w:color w:val="000000"/>
          <w:sz w:val="24"/>
          <w:u w:val="single"/>
        </w:rPr>
        <w:t xml:space="preserve">     </w:t>
      </w:r>
      <w:r>
        <w:rPr>
          <w:rFonts w:hint="eastAsia" w:ascii="Arial" w:hAnsi="Arial" w:cs="Arial"/>
          <w:color w:val="000000"/>
          <w:sz w:val="24"/>
        </w:rPr>
        <w:t>年</w:t>
      </w:r>
      <w:r>
        <w:rPr>
          <w:rFonts w:ascii="Arial" w:hAnsi="Arial" w:cs="Arial"/>
          <w:color w:val="000000"/>
          <w:sz w:val="24"/>
          <w:u w:val="single"/>
        </w:rPr>
        <w:t xml:space="preserve">      </w:t>
      </w:r>
      <w:r>
        <w:rPr>
          <w:rFonts w:hint="eastAsia" w:ascii="Arial" w:hAnsi="Arial" w:cs="Arial"/>
          <w:color w:val="000000"/>
          <w:sz w:val="24"/>
        </w:rPr>
        <w:t>月</w:t>
      </w:r>
      <w:r>
        <w:rPr>
          <w:rFonts w:ascii="Arial" w:hAnsi="Arial" w:cs="Arial"/>
          <w:color w:val="000000"/>
          <w:sz w:val="24"/>
          <w:u w:val="single"/>
        </w:rPr>
        <w:t xml:space="preserve">    </w:t>
      </w:r>
      <w:r>
        <w:rPr>
          <w:rFonts w:hint="eastAsia" w:ascii="Arial" w:hAnsi="Arial" w:cs="Arial"/>
          <w:color w:val="000000"/>
          <w:sz w:val="24"/>
          <w:u w:val="single"/>
        </w:rPr>
        <w:t xml:space="preserve">  </w:t>
      </w:r>
      <w:r>
        <w:rPr>
          <w:rFonts w:hint="eastAsia" w:ascii="Arial" w:hAnsi="Arial" w:cs="Arial"/>
          <w:color w:val="000000"/>
          <w:sz w:val="24"/>
        </w:rPr>
        <w:t>日</w:t>
      </w:r>
      <w:r>
        <w:rPr>
          <w:rFonts w:ascii="Arial" w:hAnsi="Arial" w:cs="Arial"/>
          <w:color w:val="000000"/>
          <w:sz w:val="24"/>
        </w:rPr>
        <w:t xml:space="preserve"> </w:t>
      </w:r>
    </w:p>
    <w:p>
      <w:pPr>
        <w:pStyle w:val="2"/>
        <w:rPr>
          <w:rFonts w:hint="eastAsia"/>
          <w:b/>
          <w:sz w:val="24"/>
        </w:rPr>
      </w:pPr>
    </w:p>
    <w:p>
      <w:pPr>
        <w:rPr>
          <w:rFonts w:hint="eastAsia"/>
        </w:rPr>
      </w:pPr>
    </w:p>
    <w:p>
      <w:pPr>
        <w:pStyle w:val="4"/>
        <w:jc w:val="center"/>
        <w:rPr>
          <w:rFonts w:hint="eastAsia" w:ascii="宋体" w:hAnsi="宋体" w:eastAsia="宋体" w:cs="宋体"/>
          <w:sz w:val="28"/>
          <w:szCs w:val="28"/>
          <w:highlight w:val="none"/>
        </w:rPr>
      </w:pPr>
      <w:bookmarkStart w:id="241" w:name="_Toc16435"/>
      <w:bookmarkStart w:id="242" w:name="_Toc27815"/>
      <w:bookmarkStart w:id="243" w:name="_Toc491883232"/>
      <w:r>
        <w:rPr>
          <w:rFonts w:hint="eastAsia" w:ascii="宋体" w:hAnsi="宋体" w:eastAsia="宋体" w:cs="宋体"/>
          <w:sz w:val="28"/>
          <w:szCs w:val="28"/>
          <w:highlight w:val="none"/>
        </w:rPr>
        <w:t>二、法定代表人身份证明或法定代表人授权委托书</w:t>
      </w:r>
      <w:bookmarkEnd w:id="241"/>
      <w:bookmarkEnd w:id="242"/>
    </w:p>
    <w:p>
      <w:pPr>
        <w:pStyle w:val="4"/>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highlight w:val="none"/>
        </w:rPr>
      </w:pPr>
      <w:bookmarkStart w:id="244" w:name="_Toc20985"/>
      <w:bookmarkStart w:id="245" w:name="_Toc14141"/>
      <w:r>
        <w:rPr>
          <w:rFonts w:hint="eastAsia" w:ascii="宋体" w:hAnsi="宋体" w:eastAsia="宋体" w:cs="宋体"/>
          <w:sz w:val="24"/>
          <w:szCs w:val="24"/>
          <w:highlight w:val="none"/>
        </w:rPr>
        <w:t>（一）法定代表人身份证明</w:t>
      </w:r>
      <w:bookmarkEnd w:id="243"/>
      <w:bookmarkEnd w:id="244"/>
      <w:bookmarkEnd w:id="245"/>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r>
        <w:rPr>
          <w:rFonts w:hint="eastAsia" w:ascii="宋体" w:hAnsi="宋体"/>
          <w:highlight w:val="none"/>
          <w:lang w:eastAsia="zh-CN"/>
        </w:rPr>
        <w:t>报价人</w:t>
      </w:r>
      <w:r>
        <w:rPr>
          <w:rFonts w:ascii="宋体" w:hAnsi="宋体"/>
          <w:highlight w:val="none"/>
        </w:rPr>
        <w:t>名称：</w:t>
      </w:r>
      <w:r>
        <w:rPr>
          <w:rFonts w:ascii="宋体" w:hAnsi="宋体"/>
          <w:highlight w:val="none"/>
          <w:u w:val="single"/>
        </w:rPr>
        <w:t xml:space="preserve">                        </w:t>
      </w:r>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r>
        <w:rPr>
          <w:rFonts w:ascii="宋体" w:hAnsi="宋体"/>
          <w:highlight w:val="none"/>
        </w:rPr>
        <w:t>姓名：</w:t>
      </w:r>
      <w:r>
        <w:rPr>
          <w:rFonts w:ascii="宋体" w:hAnsi="宋体"/>
          <w:highlight w:val="none"/>
          <w:u w:val="single"/>
        </w:rPr>
        <w:t xml:space="preserve">                </w:t>
      </w:r>
      <w:r>
        <w:rPr>
          <w:rFonts w:ascii="宋体" w:hAnsi="宋体"/>
          <w:highlight w:val="none"/>
        </w:rPr>
        <w:t>性别：</w:t>
      </w:r>
      <w:bookmarkStart w:id="246" w:name="_Toc352691662"/>
      <w:bookmarkStart w:id="247" w:name="_Toc369531698"/>
      <w:bookmarkStart w:id="248" w:name="_Toc27897"/>
      <w:r>
        <w:rPr>
          <w:rFonts w:ascii="宋体" w:hAnsi="宋体"/>
          <w:highlight w:val="none"/>
          <w:u w:val="single"/>
        </w:rPr>
        <w:t xml:space="preserve">        </w:t>
      </w:r>
      <w:r>
        <w:rPr>
          <w:rFonts w:ascii="宋体" w:hAnsi="宋体"/>
          <w:highlight w:val="none"/>
        </w:rPr>
        <w:t>年</w:t>
      </w:r>
      <w:bookmarkEnd w:id="246"/>
      <w:bookmarkEnd w:id="247"/>
      <w:bookmarkEnd w:id="248"/>
      <w:r>
        <w:rPr>
          <w:rFonts w:ascii="宋体" w:hAnsi="宋体"/>
          <w:highlight w:val="none"/>
        </w:rPr>
        <w:t>龄</w:t>
      </w:r>
      <w:bookmarkStart w:id="249" w:name="_Toc144974858"/>
      <w:bookmarkStart w:id="250" w:name="_Toc352691663"/>
      <w:bookmarkStart w:id="251" w:name="_Toc361508754"/>
      <w:bookmarkStart w:id="252" w:name="_Toc369531699"/>
      <w:bookmarkStart w:id="253" w:name="_Toc152042578"/>
      <w:bookmarkStart w:id="254" w:name="_Toc152045789"/>
      <w:bookmarkStart w:id="255" w:name="_Toc384308377"/>
      <w:bookmarkStart w:id="256" w:name="_Toc15573"/>
      <w:bookmarkStart w:id="257" w:name="_Toc300835211"/>
      <w:bookmarkStart w:id="258" w:name="_Toc247527829"/>
      <w:bookmarkStart w:id="259" w:name="_Toc247514248"/>
      <w:r>
        <w:rPr>
          <w:rFonts w:ascii="宋体" w:hAnsi="宋体"/>
          <w:highlight w:val="none"/>
        </w:rPr>
        <w:t>：</w:t>
      </w:r>
      <w:bookmarkEnd w:id="249"/>
      <w:bookmarkEnd w:id="250"/>
      <w:bookmarkEnd w:id="251"/>
      <w:bookmarkEnd w:id="252"/>
      <w:bookmarkEnd w:id="253"/>
      <w:bookmarkEnd w:id="254"/>
      <w:bookmarkEnd w:id="255"/>
      <w:bookmarkEnd w:id="256"/>
      <w:bookmarkEnd w:id="257"/>
      <w:bookmarkEnd w:id="258"/>
      <w:bookmarkEnd w:id="259"/>
      <w:r>
        <w:rPr>
          <w:rFonts w:ascii="宋体" w:hAnsi="宋体"/>
          <w:highlight w:val="none"/>
          <w:u w:val="single"/>
        </w:rPr>
        <w:t xml:space="preserve">        </w:t>
      </w:r>
      <w:r>
        <w:rPr>
          <w:rFonts w:ascii="宋体" w:hAnsi="宋体"/>
          <w:highlight w:val="none"/>
        </w:rPr>
        <w:t>职务：</w:t>
      </w:r>
      <w:r>
        <w:rPr>
          <w:rFonts w:ascii="宋体" w:hAnsi="宋体"/>
          <w:highlight w:val="none"/>
          <w:u w:val="single"/>
        </w:rPr>
        <w:t xml:space="preserve">        </w:t>
      </w:r>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r>
        <w:rPr>
          <w:rFonts w:ascii="宋体" w:hAnsi="宋体"/>
          <w:highlight w:val="none"/>
        </w:rPr>
        <w:t>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w:t>
      </w:r>
    </w:p>
    <w:p>
      <w:pPr>
        <w:pageBreakBefore w:val="0"/>
        <w:widowControl w:val="0"/>
        <w:kinsoku/>
        <w:wordWrap/>
        <w:overflowPunct/>
        <w:topLinePunct w:val="0"/>
        <w:autoSpaceDE/>
        <w:autoSpaceDN/>
        <w:bidi w:val="0"/>
        <w:adjustRightInd/>
        <w:snapToGrid/>
        <w:spacing w:line="480" w:lineRule="auto"/>
        <w:ind w:firstLine="420" w:firstLineChars="200"/>
        <w:textAlignment w:val="auto"/>
        <w:rPr>
          <w:rFonts w:ascii="宋体" w:hAnsi="宋体"/>
          <w:highlight w:val="none"/>
        </w:rPr>
      </w:pPr>
      <w:r>
        <w:rPr>
          <w:rFonts w:ascii="宋体" w:hAnsi="宋体"/>
          <w:highlight w:val="none"/>
        </w:rPr>
        <w:t>特此证明。</w:t>
      </w:r>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r>
        <w:rPr>
          <w:rFonts w:ascii="宋体" w:hAnsi="宋体"/>
          <w:highlight w:val="none"/>
        </w:rPr>
        <w:t>附：法定代表人身份证复印件</w:t>
      </w:r>
      <w:r>
        <w:rPr>
          <w:rFonts w:hint="eastAsia" w:ascii="宋体" w:hAnsi="宋体"/>
          <w:highlight w:val="none"/>
        </w:rPr>
        <w:t>（正、反面）</w:t>
      </w:r>
      <w:r>
        <w:rPr>
          <w:rFonts w:ascii="宋体" w:hAnsi="宋体"/>
          <w:highlight w:val="none"/>
        </w:rPr>
        <w:t>。</w:t>
      </w:r>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jc w:val="center"/>
        <w:rPr>
          <w:rFonts w:ascii="宋体" w:hAnsi="宋体"/>
          <w:highlight w:val="none"/>
        </w:rPr>
      </w:pPr>
      <w:r>
        <w:rPr>
          <w:rFonts w:ascii="宋体" w:hAnsi="宋体"/>
          <w:highlight w:val="none"/>
        </w:rPr>
        <w:t xml:space="preserve">                              </w:t>
      </w:r>
      <w:r>
        <w:rPr>
          <w:rFonts w:hint="eastAsia" w:ascii="宋体" w:hAnsi="宋体"/>
          <w:highlight w:val="none"/>
          <w:lang w:eastAsia="zh-CN"/>
        </w:rPr>
        <w:t>报价人</w:t>
      </w:r>
      <w:r>
        <w:rPr>
          <w:rFonts w:ascii="宋体" w:hAnsi="宋体"/>
          <w:highlight w:val="none"/>
        </w:rPr>
        <w:t>：</w:t>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rPr>
          <w:rFonts w:ascii="宋体" w:hAnsi="宋体"/>
          <w:highlight w:val="none"/>
        </w:rPr>
      </w:pPr>
    </w:p>
    <w:p>
      <w:pPr>
        <w:spacing w:line="440" w:lineRule="exact"/>
        <w:ind w:firstLine="4620" w:firstLineChars="2200"/>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注：本身份证明需由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w:t>
      </w:r>
    </w:p>
    <w:p>
      <w:pPr>
        <w:spacing w:line="440" w:lineRule="exact"/>
        <w:rPr>
          <w:rFonts w:ascii="宋体" w:hAnsi="宋体"/>
          <w:sz w:val="20"/>
          <w:highlight w:val="none"/>
        </w:rPr>
      </w:pPr>
    </w:p>
    <w:p>
      <w:pPr>
        <w:spacing w:line="20" w:lineRule="exact"/>
        <w:jc w:val="center"/>
        <w:rPr>
          <w:rFonts w:ascii="宋体" w:hAnsi="宋体"/>
          <w:sz w:val="20"/>
          <w:highlight w:val="none"/>
        </w:rPr>
      </w:pPr>
      <w:r>
        <w:rPr>
          <w:rFonts w:ascii="宋体" w:hAnsi="宋体"/>
          <w:sz w:val="20"/>
          <w:highlight w:val="none"/>
        </w:rPr>
        <w:br w:type="page"/>
      </w:r>
    </w:p>
    <w:p>
      <w:pPr>
        <w:pStyle w:val="4"/>
        <w:pageBreakBefore w:val="0"/>
        <w:widowControl w:val="0"/>
        <w:kinsoku/>
        <w:wordWrap/>
        <w:overflowPunct/>
        <w:autoSpaceDE/>
        <w:autoSpaceDN/>
        <w:bidi w:val="0"/>
        <w:adjustRightInd/>
        <w:snapToGrid/>
        <w:spacing w:line="480" w:lineRule="auto"/>
        <w:jc w:val="center"/>
        <w:textAlignment w:val="auto"/>
        <w:rPr>
          <w:rFonts w:ascii="宋体" w:hAnsi="宋体"/>
          <w:sz w:val="28"/>
          <w:szCs w:val="28"/>
          <w:highlight w:val="none"/>
        </w:rPr>
      </w:pPr>
      <w:bookmarkStart w:id="260" w:name="_Toc491883233"/>
      <w:bookmarkStart w:id="261" w:name="_Toc3882"/>
      <w:bookmarkStart w:id="262" w:name="_Toc58"/>
      <w:r>
        <w:rPr>
          <w:rFonts w:hint="eastAsia" w:ascii="宋体" w:hAnsi="宋体" w:eastAsia="宋体" w:cs="宋体"/>
          <w:sz w:val="24"/>
          <w:szCs w:val="24"/>
          <w:highlight w:val="none"/>
        </w:rPr>
        <w:t>（二）</w:t>
      </w:r>
      <w:bookmarkEnd w:id="260"/>
      <w:r>
        <w:rPr>
          <w:rFonts w:hint="eastAsia" w:ascii="宋体" w:hAnsi="宋体" w:eastAsia="宋体" w:cs="宋体"/>
          <w:sz w:val="24"/>
          <w:szCs w:val="24"/>
          <w:highlight w:val="none"/>
        </w:rPr>
        <w:t>法定代表人授权委托书</w:t>
      </w:r>
      <w:bookmarkEnd w:id="261"/>
      <w:bookmarkEnd w:id="262"/>
    </w:p>
    <w:p>
      <w:pPr>
        <w:pageBreakBefore w:val="0"/>
        <w:widowControl w:val="0"/>
        <w:kinsoku/>
        <w:wordWrap/>
        <w:overflowPunct/>
        <w:topLinePunct/>
        <w:autoSpaceDE/>
        <w:autoSpaceDN/>
        <w:bidi w:val="0"/>
        <w:adjustRightInd/>
        <w:snapToGrid/>
        <w:spacing w:line="480" w:lineRule="auto"/>
        <w:ind w:firstLine="420" w:firstLineChars="200"/>
        <w:textAlignment w:val="auto"/>
        <w:rPr>
          <w:rFonts w:ascii="宋体" w:hAnsi="宋体"/>
          <w:highlight w:val="none"/>
        </w:rPr>
      </w:pPr>
      <w:r>
        <w:rPr>
          <w:rFonts w:ascii="宋体" w:hAnsi="宋体"/>
          <w:highlight w:val="none"/>
        </w:rPr>
        <w:t>本人</w:t>
      </w:r>
      <w:r>
        <w:rPr>
          <w:rFonts w:ascii="宋体" w:hAnsi="宋体"/>
          <w:highlight w:val="none"/>
          <w:u w:val="single"/>
        </w:rPr>
        <w:t xml:space="preserve">              </w:t>
      </w:r>
      <w:r>
        <w:rPr>
          <w:rFonts w:ascii="宋体" w:hAnsi="宋体"/>
          <w:highlight w:val="none"/>
        </w:rPr>
        <w:t>（姓名）系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名称）的法定代表人，现委托</w:t>
      </w:r>
      <w:r>
        <w:rPr>
          <w:rFonts w:ascii="宋体" w:hAnsi="宋体"/>
          <w:highlight w:val="none"/>
          <w:u w:val="single"/>
        </w:rPr>
        <w:t xml:space="preserve">            </w:t>
      </w:r>
      <w:r>
        <w:rPr>
          <w:rFonts w:ascii="宋体" w:hAnsi="宋体"/>
          <w:highlight w:val="none"/>
        </w:rPr>
        <w:t>（姓名）为我方代理人。代理人根据授权，以我方名义签署、澄清确认、递交、撤回、修改招标项目</w:t>
      </w:r>
      <w:r>
        <w:rPr>
          <w:rFonts w:hint="eastAsia" w:ascii="宋体" w:hAnsi="宋体"/>
          <w:highlight w:val="none"/>
          <w:lang w:val="en-US" w:eastAsia="zh-CN"/>
        </w:rPr>
        <w:t>比选</w:t>
      </w:r>
      <w:r>
        <w:rPr>
          <w:rFonts w:ascii="宋体" w:hAnsi="宋体"/>
          <w:highlight w:val="none"/>
        </w:rPr>
        <w:t>文件、签订合同和处理有关事宜，其法律后果由我方承担。</w:t>
      </w:r>
    </w:p>
    <w:p>
      <w:pPr>
        <w:pageBreakBefore w:val="0"/>
        <w:widowControl w:val="0"/>
        <w:kinsoku/>
        <w:wordWrap/>
        <w:overflowPunct/>
        <w:autoSpaceDE/>
        <w:autoSpaceDN/>
        <w:bidi w:val="0"/>
        <w:adjustRightInd/>
        <w:snapToGrid/>
        <w:spacing w:line="480" w:lineRule="auto"/>
        <w:textAlignment w:val="auto"/>
        <w:rPr>
          <w:rFonts w:ascii="宋体" w:hAnsi="宋体"/>
          <w:highlight w:val="none"/>
        </w:rPr>
      </w:pPr>
      <w:r>
        <w:rPr>
          <w:rFonts w:ascii="宋体" w:hAnsi="宋体"/>
          <w:highlight w:val="none"/>
        </w:rPr>
        <w:t>委托期限：</w:t>
      </w:r>
      <w:r>
        <w:rPr>
          <w:rFonts w:ascii="宋体" w:hAnsi="宋体"/>
          <w:highlight w:val="none"/>
          <w:u w:val="single"/>
        </w:rPr>
        <w:t xml:space="preserve">                       </w:t>
      </w:r>
      <w:r>
        <w:rPr>
          <w:rFonts w:ascii="宋体" w:hAnsi="宋体"/>
          <w:highlight w:val="none"/>
        </w:rPr>
        <w:t>。</w:t>
      </w:r>
    </w:p>
    <w:p>
      <w:pPr>
        <w:pageBreakBefore w:val="0"/>
        <w:widowControl w:val="0"/>
        <w:kinsoku/>
        <w:wordWrap/>
        <w:overflowPunct/>
        <w:autoSpaceDE/>
        <w:autoSpaceDN/>
        <w:bidi w:val="0"/>
        <w:adjustRightInd/>
        <w:snapToGrid/>
        <w:spacing w:line="480" w:lineRule="auto"/>
        <w:ind w:firstLine="420" w:firstLineChars="200"/>
        <w:textAlignment w:val="auto"/>
        <w:rPr>
          <w:rFonts w:ascii="宋体" w:hAnsi="宋体"/>
          <w:highlight w:val="none"/>
        </w:rPr>
      </w:pPr>
      <w:r>
        <w:rPr>
          <w:rFonts w:ascii="宋体" w:hAnsi="宋体"/>
          <w:highlight w:val="none"/>
        </w:rPr>
        <w:t>代理人无转委托权。</w:t>
      </w:r>
    </w:p>
    <w:p>
      <w:pPr>
        <w:pageBreakBefore w:val="0"/>
        <w:widowControl w:val="0"/>
        <w:kinsoku/>
        <w:wordWrap/>
        <w:overflowPunct/>
        <w:autoSpaceDE/>
        <w:autoSpaceDN/>
        <w:bidi w:val="0"/>
        <w:adjustRightInd/>
        <w:snapToGrid/>
        <w:spacing w:line="480" w:lineRule="auto"/>
        <w:ind w:firstLine="420" w:firstLineChars="200"/>
        <w:textAlignment w:val="auto"/>
        <w:rPr>
          <w:rFonts w:ascii="宋体" w:hAnsi="宋体"/>
          <w:highlight w:val="none"/>
        </w:rPr>
      </w:pPr>
    </w:p>
    <w:p>
      <w:pPr>
        <w:pageBreakBefore w:val="0"/>
        <w:widowControl w:val="0"/>
        <w:kinsoku/>
        <w:wordWrap/>
        <w:overflowPunct/>
        <w:autoSpaceDE/>
        <w:autoSpaceDN/>
        <w:bidi w:val="0"/>
        <w:adjustRightInd/>
        <w:snapToGrid/>
        <w:spacing w:line="480" w:lineRule="auto"/>
        <w:textAlignment w:val="auto"/>
        <w:rPr>
          <w:rFonts w:ascii="宋体" w:hAnsi="宋体"/>
          <w:highlight w:val="none"/>
        </w:rPr>
      </w:pPr>
      <w:r>
        <w:rPr>
          <w:rFonts w:ascii="宋体" w:hAnsi="宋体"/>
          <w:highlight w:val="none"/>
        </w:rPr>
        <w:t>附：法定代表人身份证复印件及委托代理人身份证复印件</w:t>
      </w:r>
      <w:r>
        <w:rPr>
          <w:rFonts w:hint="eastAsia" w:ascii="宋体" w:hAnsi="宋体"/>
          <w:highlight w:val="none"/>
        </w:rPr>
        <w:t>（正、反面）</w:t>
      </w:r>
    </w:p>
    <w:p>
      <w:pPr>
        <w:pageBreakBefore w:val="0"/>
        <w:widowControl w:val="0"/>
        <w:kinsoku/>
        <w:wordWrap/>
        <w:overflowPunct/>
        <w:autoSpaceDE/>
        <w:autoSpaceDN/>
        <w:bidi w:val="0"/>
        <w:adjustRightInd/>
        <w:snapToGrid/>
        <w:spacing w:line="480" w:lineRule="auto"/>
        <w:textAlignment w:val="auto"/>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ind w:firstLine="2692" w:firstLineChars="1282"/>
        <w:rPr>
          <w:rFonts w:ascii="宋体" w:hAnsi="宋体"/>
          <w:highlight w:val="none"/>
        </w:rPr>
      </w:pPr>
      <w:r>
        <w:rPr>
          <w:rFonts w:hint="eastAsia" w:ascii="宋体" w:hAnsi="宋体"/>
          <w:highlight w:val="none"/>
          <w:lang w:eastAsia="zh-CN"/>
        </w:rPr>
        <w:t>报  价  人</w:t>
      </w:r>
      <w:r>
        <w:rPr>
          <w:rFonts w:ascii="宋体" w:hAnsi="宋体"/>
          <w:highlight w:val="none"/>
        </w:rPr>
        <w:t>：</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ind w:firstLine="2690" w:firstLineChars="1281"/>
        <w:jc w:val="left"/>
        <w:rPr>
          <w:rFonts w:ascii="宋体" w:hAnsi="宋体"/>
          <w:highlight w:val="none"/>
        </w:rPr>
      </w:pPr>
      <w:r>
        <w:rPr>
          <w:rFonts w:ascii="宋体" w:hAnsi="宋体"/>
          <w:highlight w:val="none"/>
        </w:rPr>
        <w:t>法定代表人：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r>
        <w:rPr>
          <w:rFonts w:hint="eastAsia" w:ascii="宋体" w:hAnsi="宋体"/>
          <w:highlight w:val="none"/>
        </w:rPr>
        <w:t xml:space="preserve"> </w:t>
      </w:r>
      <w:r>
        <w:rPr>
          <w:rFonts w:ascii="宋体" w:hAnsi="宋体"/>
          <w:highlight w:val="none"/>
        </w:rPr>
        <w:t>）</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r>
        <w:rPr>
          <w:rFonts w:ascii="宋体" w:hAnsi="宋体"/>
          <w:highlight w:val="none"/>
        </w:rPr>
        <w:t>委托代理人：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p>
    <w:p>
      <w:pPr>
        <w:spacing w:line="440" w:lineRule="exact"/>
        <w:ind w:firstLine="4057" w:firstLineChars="1932"/>
        <w:jc w:val="right"/>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注：本授权委托书需由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并由其法定代表人和委托代理人签字。</w:t>
      </w:r>
    </w:p>
    <w:p/>
    <w:p>
      <w:pPr>
        <w:outlineLvl w:val="0"/>
        <w:rPr>
          <w:b/>
          <w:sz w:val="24"/>
        </w:rPr>
      </w:pPr>
    </w:p>
    <w:p>
      <w:pPr>
        <w:rPr>
          <w:rFonts w:ascii="宋体" w:hAnsi="宋体" w:cs="宋体"/>
          <w:snapToGrid w:val="0"/>
          <w:kern w:val="0"/>
          <w:szCs w:val="21"/>
        </w:rPr>
      </w:pPr>
    </w:p>
    <w:p>
      <w:pPr>
        <w:jc w:val="center"/>
        <w:rPr>
          <w:rFonts w:ascii="宋体" w:hAnsi="宋体" w:cs="宋体"/>
          <w:b/>
        </w:rPr>
      </w:pPr>
      <w:bookmarkStart w:id="263" w:name="_Toc11329275"/>
      <w:r>
        <w:rPr>
          <w:rFonts w:hint="eastAsia" w:ascii="宋体" w:hAnsi="宋体" w:cs="宋体"/>
          <w:b/>
          <w:bCs/>
          <w:kern w:val="0"/>
          <w:sz w:val="28"/>
          <w:szCs w:val="32"/>
          <w:lang w:val="en-US" w:eastAsia="zh-CN"/>
        </w:rPr>
        <w:t>三</w:t>
      </w:r>
      <w:r>
        <w:rPr>
          <w:rFonts w:hint="eastAsia" w:ascii="宋体" w:hAnsi="宋体" w:cs="宋体"/>
          <w:b/>
          <w:bCs/>
          <w:kern w:val="0"/>
          <w:sz w:val="28"/>
          <w:szCs w:val="32"/>
        </w:rPr>
        <w:t>、</w:t>
      </w:r>
      <w:bookmarkEnd w:id="238"/>
      <w:bookmarkEnd w:id="239"/>
      <w:bookmarkEnd w:id="240"/>
      <w:bookmarkEnd w:id="263"/>
      <w:r>
        <w:rPr>
          <w:rFonts w:hint="eastAsia" w:ascii="宋体" w:hAnsi="宋体" w:cs="宋体"/>
          <w:b/>
          <w:bCs/>
          <w:kern w:val="0"/>
          <w:sz w:val="28"/>
          <w:szCs w:val="32"/>
        </w:rPr>
        <w:t>报价一览表</w:t>
      </w:r>
    </w:p>
    <w:p>
      <w:pPr>
        <w:ind w:left="765"/>
        <w:jc w:val="center"/>
        <w:rPr>
          <w:rFonts w:ascii="宋体" w:hAnsi="宋体" w:cs="宋体"/>
          <w:szCs w:val="21"/>
        </w:rPr>
      </w:pPr>
    </w:p>
    <w:p>
      <w:pPr>
        <w:pStyle w:val="37"/>
        <w:jc w:val="both"/>
        <w:rPr>
          <w:rFonts w:hAnsi="宋体"/>
        </w:rPr>
      </w:pPr>
      <w:r>
        <w:rPr>
          <w:rFonts w:hint="eastAsia" w:hAnsi="宋体"/>
        </w:rPr>
        <w:t>重庆首讯科技股份有限公司：</w:t>
      </w:r>
    </w:p>
    <w:p>
      <w:pPr>
        <w:spacing w:line="360" w:lineRule="auto"/>
        <w:ind w:firstLine="480" w:firstLineChars="200"/>
        <w:jc w:val="left"/>
        <w:rPr>
          <w:rFonts w:ascii="宋体" w:hAnsi="宋体" w:cs="宋体"/>
          <w:szCs w:val="21"/>
          <w:u w:val="single"/>
        </w:rPr>
      </w:pPr>
      <w:r>
        <w:rPr>
          <w:rFonts w:hint="eastAsia" w:ascii="宋体" w:hAnsi="宋体"/>
          <w:color w:val="000000"/>
          <w:sz w:val="24"/>
        </w:rPr>
        <w:t>在研究了竞争比选文件中所有文件后，我司对</w:t>
      </w:r>
      <w:r>
        <w:rPr>
          <w:rFonts w:hint="eastAsia" w:ascii="宋体" w:hAnsi="宋体"/>
          <w:color w:val="000000"/>
          <w:sz w:val="24"/>
          <w:u w:val="single"/>
        </w:rPr>
        <w:t xml:space="preserve"> 智慧高速数字孪生可视化平台开发技术服务项目</w:t>
      </w:r>
      <w:r>
        <w:rPr>
          <w:rFonts w:hint="eastAsia" w:ascii="宋体" w:hAnsi="宋体"/>
          <w:color w:val="000000"/>
          <w:sz w:val="24"/>
          <w:u w:val="single"/>
          <w:lang w:eastAsia="zh-CN"/>
        </w:rPr>
        <w:t>（</w:t>
      </w:r>
      <w:r>
        <w:rPr>
          <w:rFonts w:hint="eastAsia" w:ascii="宋体" w:hAnsi="宋体"/>
          <w:color w:val="000000"/>
          <w:sz w:val="24"/>
          <w:u w:val="single"/>
          <w:lang w:val="en-US" w:eastAsia="zh-CN"/>
        </w:rPr>
        <w:t>第二次</w:t>
      </w:r>
      <w:r>
        <w:rPr>
          <w:rFonts w:hint="eastAsia" w:ascii="宋体" w:hAnsi="宋体"/>
          <w:color w:val="000000"/>
          <w:sz w:val="24"/>
          <w:u w:val="single"/>
          <w:lang w:eastAsia="zh-CN"/>
        </w:rPr>
        <w:t>）</w:t>
      </w:r>
      <w:r>
        <w:rPr>
          <w:rFonts w:hint="eastAsia" w:ascii="宋体" w:hAnsi="宋体"/>
          <w:color w:val="000000"/>
          <w:sz w:val="24"/>
          <w:u w:val="single"/>
        </w:rPr>
        <w:t xml:space="preserve">  </w:t>
      </w:r>
      <w:r>
        <w:rPr>
          <w:rFonts w:hint="eastAsia" w:ascii="宋体" w:hAnsi="宋体"/>
          <w:color w:val="000000"/>
          <w:sz w:val="24"/>
        </w:rPr>
        <w:t>竞</w:t>
      </w:r>
      <w:r>
        <w:rPr>
          <w:rFonts w:hint="eastAsia" w:ascii="Arial" w:hAnsi="Arial" w:cs="Arial"/>
          <w:color w:val="000000"/>
          <w:sz w:val="24"/>
        </w:rPr>
        <w:t>争比选响应</w:t>
      </w:r>
      <w:r>
        <w:rPr>
          <w:rFonts w:hint="eastAsia" w:ascii="宋体" w:hAnsi="宋体"/>
          <w:color w:val="000000"/>
          <w:sz w:val="24"/>
        </w:rPr>
        <w:t>报价如下：</w:t>
      </w:r>
      <w:r>
        <w:rPr>
          <w:rFonts w:hint="eastAsia" w:ascii="宋体" w:hAnsi="宋体"/>
          <w:b/>
          <w:color w:val="000000"/>
          <w:sz w:val="24"/>
        </w:rPr>
        <w:t xml:space="preserve"> </w:t>
      </w:r>
      <w:bookmarkStart w:id="264" w:name="_Hlk47603113"/>
    </w:p>
    <w:bookmarkEnd w:id="264"/>
    <w:p>
      <w:pPr>
        <w:snapToGrid w:val="0"/>
        <w:spacing w:line="276" w:lineRule="auto"/>
        <w:ind w:firstLine="420" w:firstLineChars="200"/>
        <w:rPr>
          <w:rFonts w:ascii="宋体" w:hAnsi="宋体" w:cs="宋体"/>
          <w:szCs w:val="21"/>
        </w:rPr>
      </w:pPr>
    </w:p>
    <w:tbl>
      <w:tblPr>
        <w:tblStyle w:val="42"/>
        <w:tblW w:w="9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3465"/>
        <w:gridCol w:w="2818"/>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59"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序号</w:t>
            </w:r>
          </w:p>
        </w:tc>
        <w:tc>
          <w:tcPr>
            <w:tcW w:w="3465"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项目名称</w:t>
            </w:r>
          </w:p>
        </w:tc>
        <w:tc>
          <w:tcPr>
            <w:tcW w:w="2818"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报价（元）</w:t>
            </w:r>
          </w:p>
        </w:tc>
        <w:tc>
          <w:tcPr>
            <w:tcW w:w="2507"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59"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1</w:t>
            </w:r>
          </w:p>
        </w:tc>
        <w:tc>
          <w:tcPr>
            <w:tcW w:w="3465" w:type="dxa"/>
            <w:vAlign w:val="center"/>
          </w:tcPr>
          <w:p>
            <w:pPr>
              <w:spacing w:line="360" w:lineRule="auto"/>
              <w:jc w:val="center"/>
              <w:rPr>
                <w:rFonts w:hint="eastAsia" w:asciiTheme="minorEastAsia" w:hAnsiTheme="minorEastAsia" w:eastAsiaTheme="minorEastAsia" w:cstheme="minorEastAsia"/>
                <w:b/>
                <w:bCs/>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智慧高速数字孪生可视化平台开发技术服务项目</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第二次</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p>
        </w:tc>
        <w:tc>
          <w:tcPr>
            <w:tcW w:w="2818"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p>
        </w:tc>
        <w:tc>
          <w:tcPr>
            <w:tcW w:w="2507"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sz w:val="24"/>
                <w:szCs w:val="28"/>
              </w:rPr>
              <w:t>详见第七章技术标准和要求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859"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p>
        </w:tc>
        <w:tc>
          <w:tcPr>
            <w:tcW w:w="3465" w:type="dxa"/>
            <w:vAlign w:val="center"/>
          </w:tcPr>
          <w:p>
            <w:pPr>
              <w:spacing w:line="360" w:lineRule="auto"/>
              <w:jc w:val="center"/>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合计（元）</w:t>
            </w:r>
          </w:p>
        </w:tc>
        <w:tc>
          <w:tcPr>
            <w:tcW w:w="2818"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p>
        </w:tc>
        <w:tc>
          <w:tcPr>
            <w:tcW w:w="2507"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p>
        </w:tc>
      </w:tr>
    </w:tbl>
    <w:p>
      <w:pPr>
        <w:pStyle w:val="2"/>
      </w:pPr>
    </w:p>
    <w:p>
      <w:pPr>
        <w:snapToGrid w:val="0"/>
        <w:spacing w:line="276" w:lineRule="auto"/>
        <w:ind w:firstLine="420" w:firstLineChars="200"/>
        <w:rPr>
          <w:rFonts w:ascii="宋体" w:hAnsi="宋体" w:cs="宋体"/>
          <w:szCs w:val="21"/>
        </w:rPr>
      </w:pPr>
    </w:p>
    <w:p>
      <w:pPr>
        <w:spacing w:line="360" w:lineRule="auto"/>
        <w:jc w:val="left"/>
        <w:rPr>
          <w:rFonts w:ascii="宋体" w:hAnsi="宋体" w:cs="宋体"/>
          <w:color w:val="000000" w:themeColor="text1"/>
          <w:szCs w:val="21"/>
          <w14:textFill>
            <w14:solidFill>
              <w14:schemeClr w14:val="tx1"/>
            </w14:solidFill>
          </w14:textFill>
        </w:rPr>
      </w:pPr>
    </w:p>
    <w:p>
      <w:pPr>
        <w:tabs>
          <w:tab w:val="left" w:pos="900"/>
        </w:tabs>
        <w:spacing w:line="360" w:lineRule="auto"/>
        <w:ind w:firstLine="482" w:firstLineChars="200"/>
        <w:rPr>
          <w:rFonts w:ascii="Arial" w:hAnsi="Arial" w:cs="Arial"/>
          <w:b/>
          <w:color w:val="000000" w:themeColor="text1"/>
          <w:sz w:val="24"/>
          <w14:textFill>
            <w14:solidFill>
              <w14:schemeClr w14:val="tx1"/>
            </w14:solidFill>
          </w14:textFill>
        </w:rPr>
      </w:pPr>
    </w:p>
    <w:p>
      <w:pPr>
        <w:tabs>
          <w:tab w:val="left" w:pos="900"/>
        </w:tabs>
        <w:spacing w:line="360" w:lineRule="auto"/>
        <w:ind w:firstLine="482" w:firstLineChars="200"/>
        <w:rPr>
          <w:rFonts w:ascii="Arial" w:hAnsi="Arial" w:cs="Arial"/>
          <w:color w:val="000000" w:themeColor="text1"/>
          <w:sz w:val="24"/>
          <w:u w:val="single"/>
          <w14:textFill>
            <w14:solidFill>
              <w14:schemeClr w14:val="tx1"/>
            </w14:solidFill>
          </w14:textFill>
        </w:rPr>
      </w:pPr>
      <w:r>
        <w:rPr>
          <w:rFonts w:hint="eastAsia" w:ascii="Arial" w:hAnsi="Arial" w:cs="Arial"/>
          <w:b/>
          <w:color w:val="000000" w:themeColor="text1"/>
          <w:sz w:val="24"/>
          <w14:textFill>
            <w14:solidFill>
              <w14:schemeClr w14:val="tx1"/>
            </w14:solidFill>
          </w14:textFill>
        </w:rPr>
        <w:t>报价人名称（加盖公章）：</w:t>
      </w:r>
      <w:r>
        <w:rPr>
          <w:rFonts w:ascii="Arial" w:hAnsi="Arial" w:cs="Arial"/>
          <w:b/>
          <w:color w:val="000000" w:themeColor="text1"/>
          <w:sz w:val="24"/>
          <w:u w:val="single"/>
          <w14:textFill>
            <w14:solidFill>
              <w14:schemeClr w14:val="tx1"/>
            </w14:solidFill>
          </w14:textFill>
        </w:rPr>
        <w:t xml:space="preserve"> </w:t>
      </w:r>
      <w:r>
        <w:rPr>
          <w:rFonts w:ascii="Arial" w:hAnsi="Arial" w:cs="Arial"/>
          <w:color w:val="000000" w:themeColor="text1"/>
          <w:sz w:val="24"/>
          <w:u w:val="single"/>
          <w14:textFill>
            <w14:solidFill>
              <w14:schemeClr w14:val="tx1"/>
            </w14:solidFill>
          </w14:textFill>
        </w:rPr>
        <w:t xml:space="preserve">                       </w:t>
      </w:r>
    </w:p>
    <w:p>
      <w:pPr>
        <w:tabs>
          <w:tab w:val="left" w:pos="900"/>
        </w:tabs>
        <w:spacing w:line="360" w:lineRule="auto"/>
        <w:ind w:firstLine="482" w:firstLineChars="200"/>
        <w:rPr>
          <w:rFonts w:ascii="Arial" w:hAnsi="Arial" w:cs="Arial"/>
          <w:b/>
          <w:color w:val="000000" w:themeColor="text1"/>
          <w:sz w:val="24"/>
          <w14:textFill>
            <w14:solidFill>
              <w14:schemeClr w14:val="tx1"/>
            </w14:solidFill>
          </w14:textFill>
        </w:rPr>
      </w:pPr>
      <w:r>
        <w:rPr>
          <w:rFonts w:hint="eastAsia" w:ascii="Arial" w:hAnsi="Arial" w:cs="Arial"/>
          <w:b/>
          <w:color w:val="000000" w:themeColor="text1"/>
          <w:sz w:val="24"/>
          <w14:textFill>
            <w14:solidFill>
              <w14:schemeClr w14:val="tx1"/>
            </w14:solidFill>
          </w14:textFill>
        </w:rPr>
        <w:t>报价人法定代表人或授权代表人（签字）：</w:t>
      </w:r>
      <w:r>
        <w:rPr>
          <w:rFonts w:ascii="Arial" w:hAnsi="Arial" w:cs="Arial"/>
          <w:b/>
          <w:color w:val="000000" w:themeColor="text1"/>
          <w:sz w:val="24"/>
          <w:u w:val="single"/>
          <w14:textFill>
            <w14:solidFill>
              <w14:schemeClr w14:val="tx1"/>
            </w14:solidFill>
          </w14:textFill>
        </w:rPr>
        <w:t xml:space="preserve">               </w:t>
      </w:r>
    </w:p>
    <w:p>
      <w:pPr>
        <w:tabs>
          <w:tab w:val="left" w:pos="900"/>
        </w:tabs>
        <w:spacing w:line="360" w:lineRule="auto"/>
        <w:ind w:firstLine="480" w:firstLineChars="200"/>
        <w:rPr>
          <w:rFonts w:ascii="宋体" w:hAnsi="宋体" w:cs="宋体"/>
          <w:kern w:val="0"/>
          <w:szCs w:val="21"/>
        </w:rPr>
      </w:pPr>
      <w:r>
        <w:rPr>
          <w:rFonts w:hint="eastAsia" w:ascii="Arial" w:hAnsi="Arial" w:cs="Arial"/>
          <w:color w:val="000000" w:themeColor="text1"/>
          <w:sz w:val="24"/>
          <w14:textFill>
            <w14:solidFill>
              <w14:schemeClr w14:val="tx1"/>
            </w14:solidFill>
          </w14:textFill>
        </w:rPr>
        <w:t>日期：</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年</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月</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日</w:t>
      </w:r>
      <w:r>
        <w:rPr>
          <w:rFonts w:ascii="Arial" w:hAnsi="Arial" w:cs="Arial"/>
          <w:color w:val="000000" w:themeColor="text1"/>
          <w:sz w:val="24"/>
          <w14:textFill>
            <w14:solidFill>
              <w14:schemeClr w14:val="tx1"/>
            </w14:solidFill>
          </w14:textFill>
        </w:rPr>
        <w:t xml:space="preserve"> </w:t>
      </w:r>
    </w:p>
    <w:p>
      <w:pPr>
        <w:pStyle w:val="2"/>
        <w:rPr>
          <w:rFonts w:ascii="宋体" w:hAnsi="宋体" w:cs="宋体"/>
          <w:kern w:val="0"/>
          <w:szCs w:val="21"/>
        </w:rPr>
      </w:pPr>
    </w:p>
    <w:p/>
    <w:p>
      <w:pPr>
        <w:pStyle w:val="2"/>
      </w:pPr>
    </w:p>
    <w:p/>
    <w:p>
      <w:pPr>
        <w:pStyle w:val="2"/>
      </w:pPr>
    </w:p>
    <w:p/>
    <w:p>
      <w:pPr>
        <w:pStyle w:val="2"/>
      </w:pPr>
    </w:p>
    <w:p/>
    <w:p>
      <w:pPr>
        <w:pStyle w:val="2"/>
      </w:pPr>
    </w:p>
    <w:p/>
    <w:p>
      <w:pPr>
        <w:pStyle w:val="2"/>
      </w:pPr>
    </w:p>
    <w:p>
      <w:pPr>
        <w:pStyle w:val="4"/>
        <w:spacing w:before="0" w:after="0" w:line="360" w:lineRule="auto"/>
        <w:jc w:val="center"/>
        <w:rPr>
          <w:rFonts w:ascii="宋体" w:hAnsi="宋体" w:eastAsia="宋体" w:cs="宋体"/>
          <w:sz w:val="28"/>
        </w:rPr>
      </w:pPr>
      <w:bookmarkStart w:id="265" w:name="_Toc503951050"/>
      <w:bookmarkStart w:id="266" w:name="_Toc513633971"/>
      <w:bookmarkStart w:id="267" w:name="_Toc12910"/>
      <w:bookmarkStart w:id="268" w:name="_Toc19207"/>
      <w:bookmarkStart w:id="269" w:name="_Toc11329278"/>
      <w:bookmarkStart w:id="270" w:name="_Toc29310"/>
      <w:bookmarkStart w:id="271" w:name="_Toc18757"/>
      <w:bookmarkStart w:id="272" w:name="_Toc11961"/>
      <w:bookmarkStart w:id="273" w:name="_Toc179632823"/>
      <w:bookmarkStart w:id="274" w:name="_Toc247085887"/>
      <w:bookmarkStart w:id="275" w:name="_Toc447827058"/>
      <w:bookmarkStart w:id="276" w:name="_Toc246996369"/>
      <w:bookmarkStart w:id="277" w:name="_Toc246997112"/>
      <w:bookmarkStart w:id="278" w:name="_Toc144974871"/>
      <w:bookmarkStart w:id="279" w:name="_Toc152045803"/>
      <w:bookmarkStart w:id="280" w:name="_Toc152042592"/>
      <w:r>
        <w:rPr>
          <w:rFonts w:hint="eastAsia" w:ascii="宋体" w:hAnsi="宋体" w:eastAsia="宋体" w:cs="宋体"/>
          <w:sz w:val="28"/>
          <w:lang w:val="en-US" w:eastAsia="zh-CN"/>
        </w:rPr>
        <w:t>四</w:t>
      </w:r>
      <w:r>
        <w:rPr>
          <w:rFonts w:hint="eastAsia" w:ascii="宋体" w:hAnsi="宋体" w:eastAsia="宋体" w:cs="宋体"/>
          <w:sz w:val="28"/>
        </w:rPr>
        <w:t>、资格审查资料</w:t>
      </w:r>
      <w:bookmarkEnd w:id="265"/>
      <w:bookmarkEnd w:id="266"/>
      <w:bookmarkEnd w:id="267"/>
      <w:bookmarkEnd w:id="268"/>
      <w:bookmarkEnd w:id="269"/>
      <w:bookmarkEnd w:id="270"/>
      <w:bookmarkEnd w:id="271"/>
      <w:bookmarkEnd w:id="272"/>
    </w:p>
    <w:p>
      <w:pPr>
        <w:spacing w:line="360" w:lineRule="auto"/>
        <w:jc w:val="center"/>
        <w:outlineLvl w:val="1"/>
        <w:rPr>
          <w:rFonts w:ascii="宋体" w:hAnsi="宋体" w:cs="宋体"/>
          <w:b/>
          <w:bCs/>
          <w:kern w:val="0"/>
          <w:sz w:val="28"/>
          <w:szCs w:val="32"/>
        </w:rPr>
      </w:pPr>
      <w:bookmarkStart w:id="281" w:name="_Toc26946"/>
      <w:r>
        <w:rPr>
          <w:rFonts w:hint="eastAsia" w:ascii="宋体" w:hAnsi="宋体" w:cs="宋体"/>
          <w:b/>
          <w:bCs/>
          <w:kern w:val="0"/>
          <w:sz w:val="28"/>
          <w:szCs w:val="32"/>
        </w:rPr>
        <w:t>（一）资格条件</w:t>
      </w:r>
      <w:bookmarkEnd w:id="281"/>
    </w:p>
    <w:p/>
    <w:bookmarkEnd w:id="273"/>
    <w:bookmarkEnd w:id="274"/>
    <w:bookmarkEnd w:id="275"/>
    <w:bookmarkEnd w:id="276"/>
    <w:bookmarkEnd w:id="277"/>
    <w:bookmarkEnd w:id="278"/>
    <w:bookmarkEnd w:id="279"/>
    <w:bookmarkEnd w:id="280"/>
    <w:p>
      <w:bookmarkStart w:id="282" w:name="_Toc447827068"/>
      <w:bookmarkStart w:id="283" w:name="_Toc513633973"/>
      <w:bookmarkStart w:id="284" w:name="_Toc503951055"/>
    </w:p>
    <w:p>
      <w:pPr>
        <w:spacing w:line="360" w:lineRule="auto"/>
        <w:jc w:val="center"/>
        <w:outlineLvl w:val="1"/>
        <w:rPr>
          <w:rFonts w:ascii="宋体" w:hAnsi="宋体" w:cs="宋体"/>
          <w:b/>
          <w:bCs/>
          <w:color w:val="000000" w:themeColor="text1"/>
          <w:sz w:val="24"/>
          <w:szCs w:val="28"/>
          <w14:textFill>
            <w14:solidFill>
              <w14:schemeClr w14:val="tx1"/>
            </w14:solidFill>
          </w14:textFill>
        </w:rPr>
      </w:pPr>
      <w:bookmarkStart w:id="285" w:name="_Toc11672"/>
      <w:bookmarkStart w:id="286" w:name="_Toc11329281"/>
      <w:r>
        <w:rPr>
          <w:rFonts w:hint="eastAsia" w:ascii="宋体" w:hAnsi="宋体" w:cs="宋体"/>
          <w:sz w:val="28"/>
        </w:rPr>
        <w:br w:type="page"/>
      </w:r>
      <w:bookmarkStart w:id="287" w:name="_Toc8299"/>
      <w:bookmarkStart w:id="288" w:name="_Toc11243"/>
      <w:bookmarkStart w:id="289" w:name="_Toc4378"/>
      <w:bookmarkStart w:id="290" w:name="_Toc29559"/>
      <w:r>
        <w:rPr>
          <w:rFonts w:hint="eastAsia" w:ascii="宋体" w:hAnsi="宋体" w:cs="宋体"/>
          <w:b/>
          <w:bCs/>
          <w:kern w:val="0"/>
          <w:sz w:val="28"/>
          <w:szCs w:val="32"/>
        </w:rPr>
        <w:t>（二）商务及技术评分资料</w:t>
      </w:r>
      <w:bookmarkEnd w:id="287"/>
    </w:p>
    <w:p>
      <w:pPr>
        <w:spacing w:line="360" w:lineRule="auto"/>
        <w:jc w:val="center"/>
        <w:outlineLvl w:val="2"/>
        <w:rPr>
          <w:b/>
          <w:sz w:val="24"/>
        </w:rPr>
      </w:pPr>
      <w:bookmarkStart w:id="291" w:name="OLE_LINK34"/>
      <w:r>
        <w:rPr>
          <w:rFonts w:hint="eastAsia"/>
          <w:bCs/>
          <w:sz w:val="24"/>
        </w:rPr>
        <w:t>商务及技术部分</w:t>
      </w:r>
      <w:bookmarkEnd w:id="291"/>
      <w:r>
        <w:rPr>
          <w:rFonts w:hint="eastAsia"/>
          <w:bCs/>
          <w:sz w:val="24"/>
        </w:rPr>
        <w:t>资料目录</w:t>
      </w:r>
    </w:p>
    <w:tbl>
      <w:tblPr>
        <w:tblStyle w:val="41"/>
        <w:tblW w:w="92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519"/>
        <w:gridCol w:w="3030"/>
        <w:gridCol w:w="2895"/>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23" w:type="dxa"/>
            <w:vAlign w:val="center"/>
          </w:tcPr>
          <w:p>
            <w:pPr>
              <w:pStyle w:val="169"/>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序号</w:t>
            </w:r>
          </w:p>
        </w:tc>
        <w:tc>
          <w:tcPr>
            <w:tcW w:w="1519" w:type="dxa"/>
            <w:vAlign w:val="center"/>
          </w:tcPr>
          <w:p>
            <w:pPr>
              <w:pStyle w:val="169"/>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bCs/>
                <w:sz w:val="18"/>
                <w:szCs w:val="18"/>
              </w:rPr>
              <w:t>对应评分标准</w:t>
            </w:r>
          </w:p>
        </w:tc>
        <w:tc>
          <w:tcPr>
            <w:tcW w:w="3030" w:type="dxa"/>
            <w:vAlign w:val="center"/>
          </w:tcPr>
          <w:p>
            <w:pPr>
              <w:pStyle w:val="169"/>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对应评分细则</w:t>
            </w:r>
          </w:p>
        </w:tc>
        <w:tc>
          <w:tcPr>
            <w:tcW w:w="2895" w:type="dxa"/>
            <w:vAlign w:val="center"/>
          </w:tcPr>
          <w:p>
            <w:pPr>
              <w:pStyle w:val="169"/>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证明材料名称</w:t>
            </w:r>
          </w:p>
        </w:tc>
        <w:tc>
          <w:tcPr>
            <w:tcW w:w="1194" w:type="dxa"/>
            <w:vAlign w:val="center"/>
          </w:tcPr>
          <w:p>
            <w:pPr>
              <w:pStyle w:val="169"/>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证明材料对应编号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23" w:type="dxa"/>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例</w:t>
            </w:r>
          </w:p>
        </w:tc>
        <w:tc>
          <w:tcPr>
            <w:tcW w:w="1519" w:type="dxa"/>
          </w:tcPr>
          <w:p>
            <w:pPr>
              <w:spacing w:line="360" w:lineRule="auto"/>
              <w:jc w:val="center"/>
              <w:rPr>
                <w:rFonts w:asciiTheme="minorEastAsia" w:hAnsiTheme="minorEastAsia" w:eastAsiaTheme="minorEastAsia" w:cstheme="minorEastAsia"/>
                <w:b/>
                <w:sz w:val="18"/>
                <w:szCs w:val="18"/>
              </w:rPr>
            </w:pPr>
          </w:p>
        </w:tc>
        <w:tc>
          <w:tcPr>
            <w:tcW w:w="3030" w:type="dxa"/>
          </w:tcPr>
          <w:p>
            <w:pPr>
              <w:spacing w:line="360" w:lineRule="auto"/>
              <w:jc w:val="center"/>
              <w:rPr>
                <w:rFonts w:asciiTheme="minorEastAsia" w:hAnsiTheme="minorEastAsia" w:eastAsiaTheme="minorEastAsia" w:cstheme="minorEastAsia"/>
                <w:b/>
                <w:sz w:val="18"/>
                <w:szCs w:val="18"/>
              </w:rPr>
            </w:pPr>
            <w:bookmarkStart w:id="299" w:name="_GoBack"/>
            <w:bookmarkEnd w:id="299"/>
          </w:p>
        </w:tc>
        <w:tc>
          <w:tcPr>
            <w:tcW w:w="2895" w:type="dxa"/>
          </w:tcPr>
          <w:p>
            <w:pPr>
              <w:spacing w:line="360" w:lineRule="auto"/>
              <w:jc w:val="center"/>
              <w:rPr>
                <w:rFonts w:asciiTheme="minorEastAsia" w:hAnsiTheme="minorEastAsia" w:eastAsiaTheme="minorEastAsia" w:cstheme="minorEastAsia"/>
                <w:b/>
                <w:sz w:val="18"/>
                <w:szCs w:val="18"/>
              </w:rPr>
            </w:pPr>
          </w:p>
        </w:tc>
        <w:tc>
          <w:tcPr>
            <w:tcW w:w="1194" w:type="dxa"/>
          </w:tcPr>
          <w:p>
            <w:pPr>
              <w:spacing w:line="360" w:lineRule="auto"/>
              <w:jc w:val="center"/>
              <w:rPr>
                <w:rFonts w:asciiTheme="minorEastAsia" w:hAnsiTheme="minorEastAsia" w:eastAsiaTheme="minorEastAsia" w:cs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519" w:type="dxa"/>
            <w:vAlign w:val="center"/>
          </w:tcPr>
          <w:p>
            <w:pPr>
              <w:snapToGrid w:val="0"/>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sz w:val="18"/>
                <w:szCs w:val="18"/>
              </w:rPr>
              <w:t>项目团队</w:t>
            </w:r>
          </w:p>
        </w:tc>
        <w:tc>
          <w:tcPr>
            <w:tcW w:w="3030"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团队成员均为本科及以上学历</w:t>
            </w:r>
          </w:p>
        </w:tc>
        <w:tc>
          <w:tcPr>
            <w:tcW w:w="2895"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证书复印件</w:t>
            </w:r>
          </w:p>
        </w:tc>
        <w:tc>
          <w:tcPr>
            <w:tcW w:w="1194"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证明材料1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rPr>
            </w:pPr>
          </w:p>
        </w:tc>
        <w:tc>
          <w:tcPr>
            <w:tcW w:w="1519" w:type="dxa"/>
          </w:tcPr>
          <w:p>
            <w:pPr>
              <w:spacing w:line="360" w:lineRule="auto"/>
              <w:jc w:val="center"/>
              <w:rPr>
                <w:b/>
                <w:sz w:val="28"/>
                <w:szCs w:val="28"/>
              </w:rPr>
            </w:pPr>
          </w:p>
        </w:tc>
        <w:tc>
          <w:tcPr>
            <w:tcW w:w="3030" w:type="dxa"/>
          </w:tcPr>
          <w:p>
            <w:pPr>
              <w:spacing w:line="360" w:lineRule="auto"/>
              <w:jc w:val="center"/>
              <w:rPr>
                <w:b/>
                <w:sz w:val="28"/>
                <w:szCs w:val="28"/>
              </w:rPr>
            </w:pPr>
          </w:p>
        </w:tc>
        <w:tc>
          <w:tcPr>
            <w:tcW w:w="2895" w:type="dxa"/>
          </w:tcPr>
          <w:p>
            <w:pPr>
              <w:spacing w:line="360" w:lineRule="auto"/>
              <w:jc w:val="center"/>
              <w:rPr>
                <w:b/>
                <w:sz w:val="28"/>
                <w:szCs w:val="28"/>
              </w:rPr>
            </w:pPr>
          </w:p>
        </w:tc>
        <w:tc>
          <w:tcPr>
            <w:tcW w:w="1194" w:type="dxa"/>
          </w:tcPr>
          <w:p>
            <w:pPr>
              <w:spacing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rPr>
            </w:pPr>
          </w:p>
        </w:tc>
        <w:tc>
          <w:tcPr>
            <w:tcW w:w="1519" w:type="dxa"/>
          </w:tcPr>
          <w:p>
            <w:pPr>
              <w:spacing w:line="360" w:lineRule="auto"/>
              <w:jc w:val="center"/>
              <w:rPr>
                <w:b/>
                <w:sz w:val="28"/>
                <w:szCs w:val="28"/>
              </w:rPr>
            </w:pPr>
          </w:p>
        </w:tc>
        <w:tc>
          <w:tcPr>
            <w:tcW w:w="3030" w:type="dxa"/>
          </w:tcPr>
          <w:p>
            <w:pPr>
              <w:spacing w:line="360" w:lineRule="auto"/>
              <w:jc w:val="center"/>
              <w:rPr>
                <w:b/>
                <w:sz w:val="28"/>
                <w:szCs w:val="28"/>
              </w:rPr>
            </w:pPr>
          </w:p>
        </w:tc>
        <w:tc>
          <w:tcPr>
            <w:tcW w:w="2895" w:type="dxa"/>
          </w:tcPr>
          <w:p>
            <w:pPr>
              <w:spacing w:line="360" w:lineRule="auto"/>
              <w:jc w:val="center"/>
              <w:rPr>
                <w:b/>
                <w:sz w:val="28"/>
                <w:szCs w:val="28"/>
              </w:rPr>
            </w:pPr>
          </w:p>
        </w:tc>
        <w:tc>
          <w:tcPr>
            <w:tcW w:w="1194" w:type="dxa"/>
          </w:tcPr>
          <w:p>
            <w:pPr>
              <w:spacing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rPr>
            </w:pPr>
          </w:p>
        </w:tc>
        <w:tc>
          <w:tcPr>
            <w:tcW w:w="1519" w:type="dxa"/>
          </w:tcPr>
          <w:p>
            <w:pPr>
              <w:spacing w:line="360" w:lineRule="auto"/>
              <w:jc w:val="center"/>
              <w:rPr>
                <w:b/>
                <w:sz w:val="28"/>
                <w:szCs w:val="28"/>
              </w:rPr>
            </w:pPr>
          </w:p>
        </w:tc>
        <w:tc>
          <w:tcPr>
            <w:tcW w:w="3030" w:type="dxa"/>
          </w:tcPr>
          <w:p>
            <w:pPr>
              <w:spacing w:line="360" w:lineRule="auto"/>
              <w:jc w:val="center"/>
              <w:rPr>
                <w:b/>
                <w:sz w:val="28"/>
                <w:szCs w:val="28"/>
              </w:rPr>
            </w:pPr>
          </w:p>
        </w:tc>
        <w:tc>
          <w:tcPr>
            <w:tcW w:w="2895" w:type="dxa"/>
          </w:tcPr>
          <w:p>
            <w:pPr>
              <w:spacing w:line="360" w:lineRule="auto"/>
              <w:jc w:val="center"/>
              <w:rPr>
                <w:b/>
                <w:sz w:val="28"/>
                <w:szCs w:val="28"/>
              </w:rPr>
            </w:pPr>
          </w:p>
        </w:tc>
        <w:tc>
          <w:tcPr>
            <w:tcW w:w="1194" w:type="dxa"/>
          </w:tcPr>
          <w:p>
            <w:pPr>
              <w:spacing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rPr>
            </w:pPr>
          </w:p>
        </w:tc>
        <w:tc>
          <w:tcPr>
            <w:tcW w:w="1519" w:type="dxa"/>
          </w:tcPr>
          <w:p>
            <w:pPr>
              <w:spacing w:line="360" w:lineRule="auto"/>
              <w:jc w:val="center"/>
              <w:rPr>
                <w:b/>
                <w:sz w:val="28"/>
                <w:szCs w:val="28"/>
              </w:rPr>
            </w:pPr>
          </w:p>
        </w:tc>
        <w:tc>
          <w:tcPr>
            <w:tcW w:w="3030" w:type="dxa"/>
          </w:tcPr>
          <w:p>
            <w:pPr>
              <w:spacing w:line="360" w:lineRule="auto"/>
              <w:jc w:val="center"/>
              <w:rPr>
                <w:b/>
                <w:sz w:val="28"/>
                <w:szCs w:val="28"/>
              </w:rPr>
            </w:pPr>
          </w:p>
        </w:tc>
        <w:tc>
          <w:tcPr>
            <w:tcW w:w="2895" w:type="dxa"/>
          </w:tcPr>
          <w:p>
            <w:pPr>
              <w:spacing w:line="360" w:lineRule="auto"/>
              <w:jc w:val="center"/>
              <w:rPr>
                <w:b/>
                <w:sz w:val="28"/>
                <w:szCs w:val="28"/>
              </w:rPr>
            </w:pPr>
          </w:p>
        </w:tc>
        <w:tc>
          <w:tcPr>
            <w:tcW w:w="1194" w:type="dxa"/>
          </w:tcPr>
          <w:p>
            <w:pPr>
              <w:spacing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rPr>
            </w:pPr>
          </w:p>
        </w:tc>
        <w:tc>
          <w:tcPr>
            <w:tcW w:w="1519" w:type="dxa"/>
          </w:tcPr>
          <w:p>
            <w:pPr>
              <w:spacing w:line="360" w:lineRule="auto"/>
              <w:jc w:val="center"/>
              <w:rPr>
                <w:b/>
                <w:sz w:val="28"/>
                <w:szCs w:val="28"/>
              </w:rPr>
            </w:pPr>
          </w:p>
        </w:tc>
        <w:tc>
          <w:tcPr>
            <w:tcW w:w="3030" w:type="dxa"/>
          </w:tcPr>
          <w:p>
            <w:pPr>
              <w:spacing w:line="360" w:lineRule="auto"/>
              <w:jc w:val="center"/>
              <w:rPr>
                <w:b/>
                <w:sz w:val="28"/>
                <w:szCs w:val="28"/>
              </w:rPr>
            </w:pPr>
          </w:p>
        </w:tc>
        <w:tc>
          <w:tcPr>
            <w:tcW w:w="2895" w:type="dxa"/>
          </w:tcPr>
          <w:p>
            <w:pPr>
              <w:spacing w:line="360" w:lineRule="auto"/>
              <w:jc w:val="center"/>
              <w:rPr>
                <w:b/>
                <w:sz w:val="28"/>
                <w:szCs w:val="28"/>
              </w:rPr>
            </w:pPr>
          </w:p>
        </w:tc>
        <w:tc>
          <w:tcPr>
            <w:tcW w:w="1194" w:type="dxa"/>
          </w:tcPr>
          <w:p>
            <w:pPr>
              <w:spacing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rPr>
            </w:pPr>
          </w:p>
        </w:tc>
        <w:tc>
          <w:tcPr>
            <w:tcW w:w="1519" w:type="dxa"/>
          </w:tcPr>
          <w:p>
            <w:pPr>
              <w:spacing w:line="360" w:lineRule="auto"/>
              <w:jc w:val="center"/>
              <w:rPr>
                <w:b/>
                <w:sz w:val="28"/>
                <w:szCs w:val="28"/>
              </w:rPr>
            </w:pPr>
          </w:p>
        </w:tc>
        <w:tc>
          <w:tcPr>
            <w:tcW w:w="3030" w:type="dxa"/>
          </w:tcPr>
          <w:p>
            <w:pPr>
              <w:spacing w:line="360" w:lineRule="auto"/>
              <w:jc w:val="center"/>
              <w:rPr>
                <w:b/>
                <w:sz w:val="28"/>
                <w:szCs w:val="28"/>
              </w:rPr>
            </w:pPr>
          </w:p>
        </w:tc>
        <w:tc>
          <w:tcPr>
            <w:tcW w:w="2895" w:type="dxa"/>
          </w:tcPr>
          <w:p>
            <w:pPr>
              <w:spacing w:line="360" w:lineRule="auto"/>
              <w:jc w:val="center"/>
              <w:rPr>
                <w:b/>
                <w:sz w:val="28"/>
                <w:szCs w:val="28"/>
              </w:rPr>
            </w:pPr>
          </w:p>
        </w:tc>
        <w:tc>
          <w:tcPr>
            <w:tcW w:w="1194" w:type="dxa"/>
          </w:tcPr>
          <w:p>
            <w:pPr>
              <w:spacing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rPr>
            </w:pPr>
          </w:p>
        </w:tc>
        <w:tc>
          <w:tcPr>
            <w:tcW w:w="1519" w:type="dxa"/>
          </w:tcPr>
          <w:p>
            <w:pPr>
              <w:spacing w:line="360" w:lineRule="auto"/>
              <w:jc w:val="center"/>
              <w:rPr>
                <w:b/>
                <w:sz w:val="28"/>
                <w:szCs w:val="28"/>
              </w:rPr>
            </w:pPr>
          </w:p>
        </w:tc>
        <w:tc>
          <w:tcPr>
            <w:tcW w:w="3030" w:type="dxa"/>
          </w:tcPr>
          <w:p>
            <w:pPr>
              <w:spacing w:line="360" w:lineRule="auto"/>
              <w:jc w:val="center"/>
              <w:rPr>
                <w:b/>
                <w:sz w:val="28"/>
                <w:szCs w:val="28"/>
              </w:rPr>
            </w:pPr>
          </w:p>
        </w:tc>
        <w:tc>
          <w:tcPr>
            <w:tcW w:w="2895" w:type="dxa"/>
          </w:tcPr>
          <w:p>
            <w:pPr>
              <w:spacing w:line="360" w:lineRule="auto"/>
              <w:jc w:val="center"/>
              <w:rPr>
                <w:b/>
                <w:sz w:val="28"/>
                <w:szCs w:val="28"/>
              </w:rPr>
            </w:pPr>
          </w:p>
        </w:tc>
        <w:tc>
          <w:tcPr>
            <w:tcW w:w="1194" w:type="dxa"/>
          </w:tcPr>
          <w:p>
            <w:pPr>
              <w:spacing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rPr>
            </w:pPr>
          </w:p>
        </w:tc>
        <w:tc>
          <w:tcPr>
            <w:tcW w:w="1519" w:type="dxa"/>
          </w:tcPr>
          <w:p>
            <w:pPr>
              <w:spacing w:line="360" w:lineRule="auto"/>
              <w:jc w:val="center"/>
              <w:rPr>
                <w:b/>
                <w:sz w:val="28"/>
                <w:szCs w:val="28"/>
              </w:rPr>
            </w:pPr>
          </w:p>
        </w:tc>
        <w:tc>
          <w:tcPr>
            <w:tcW w:w="3030" w:type="dxa"/>
          </w:tcPr>
          <w:p>
            <w:pPr>
              <w:spacing w:line="360" w:lineRule="auto"/>
              <w:jc w:val="center"/>
              <w:rPr>
                <w:b/>
                <w:sz w:val="28"/>
                <w:szCs w:val="28"/>
              </w:rPr>
            </w:pPr>
          </w:p>
        </w:tc>
        <w:tc>
          <w:tcPr>
            <w:tcW w:w="2895" w:type="dxa"/>
          </w:tcPr>
          <w:p>
            <w:pPr>
              <w:spacing w:line="360" w:lineRule="auto"/>
              <w:jc w:val="center"/>
              <w:rPr>
                <w:b/>
                <w:sz w:val="28"/>
                <w:szCs w:val="28"/>
              </w:rPr>
            </w:pPr>
          </w:p>
        </w:tc>
        <w:tc>
          <w:tcPr>
            <w:tcW w:w="1194" w:type="dxa"/>
          </w:tcPr>
          <w:p>
            <w:pPr>
              <w:spacing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rPr>
            </w:pPr>
          </w:p>
        </w:tc>
        <w:tc>
          <w:tcPr>
            <w:tcW w:w="1519" w:type="dxa"/>
          </w:tcPr>
          <w:p>
            <w:pPr>
              <w:spacing w:line="360" w:lineRule="auto"/>
              <w:jc w:val="center"/>
              <w:rPr>
                <w:b/>
                <w:sz w:val="28"/>
                <w:szCs w:val="28"/>
              </w:rPr>
            </w:pPr>
          </w:p>
        </w:tc>
        <w:tc>
          <w:tcPr>
            <w:tcW w:w="3030" w:type="dxa"/>
          </w:tcPr>
          <w:p>
            <w:pPr>
              <w:spacing w:line="360" w:lineRule="auto"/>
              <w:jc w:val="center"/>
              <w:rPr>
                <w:b/>
                <w:sz w:val="28"/>
                <w:szCs w:val="28"/>
              </w:rPr>
            </w:pPr>
          </w:p>
        </w:tc>
        <w:tc>
          <w:tcPr>
            <w:tcW w:w="2895" w:type="dxa"/>
          </w:tcPr>
          <w:p>
            <w:pPr>
              <w:spacing w:line="360" w:lineRule="auto"/>
              <w:jc w:val="center"/>
              <w:rPr>
                <w:b/>
                <w:sz w:val="28"/>
                <w:szCs w:val="28"/>
              </w:rPr>
            </w:pPr>
          </w:p>
        </w:tc>
        <w:tc>
          <w:tcPr>
            <w:tcW w:w="1194" w:type="dxa"/>
          </w:tcPr>
          <w:p>
            <w:pPr>
              <w:spacing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rPr>
            </w:pPr>
          </w:p>
        </w:tc>
        <w:tc>
          <w:tcPr>
            <w:tcW w:w="1519" w:type="dxa"/>
          </w:tcPr>
          <w:p>
            <w:pPr>
              <w:spacing w:line="360" w:lineRule="auto"/>
              <w:jc w:val="center"/>
              <w:rPr>
                <w:b/>
                <w:sz w:val="28"/>
                <w:szCs w:val="28"/>
              </w:rPr>
            </w:pPr>
          </w:p>
        </w:tc>
        <w:tc>
          <w:tcPr>
            <w:tcW w:w="3030" w:type="dxa"/>
          </w:tcPr>
          <w:p>
            <w:pPr>
              <w:spacing w:line="360" w:lineRule="auto"/>
              <w:jc w:val="center"/>
              <w:rPr>
                <w:b/>
                <w:sz w:val="28"/>
                <w:szCs w:val="28"/>
              </w:rPr>
            </w:pPr>
          </w:p>
        </w:tc>
        <w:tc>
          <w:tcPr>
            <w:tcW w:w="2895" w:type="dxa"/>
          </w:tcPr>
          <w:p>
            <w:pPr>
              <w:spacing w:line="360" w:lineRule="auto"/>
              <w:jc w:val="center"/>
              <w:rPr>
                <w:b/>
                <w:sz w:val="28"/>
                <w:szCs w:val="28"/>
              </w:rPr>
            </w:pPr>
          </w:p>
        </w:tc>
        <w:tc>
          <w:tcPr>
            <w:tcW w:w="1194" w:type="dxa"/>
          </w:tcPr>
          <w:p>
            <w:pPr>
              <w:spacing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rPr>
            </w:pPr>
          </w:p>
        </w:tc>
        <w:tc>
          <w:tcPr>
            <w:tcW w:w="1519" w:type="dxa"/>
          </w:tcPr>
          <w:p>
            <w:pPr>
              <w:spacing w:line="360" w:lineRule="auto"/>
              <w:jc w:val="center"/>
              <w:rPr>
                <w:b/>
                <w:sz w:val="28"/>
                <w:szCs w:val="28"/>
              </w:rPr>
            </w:pPr>
          </w:p>
        </w:tc>
        <w:tc>
          <w:tcPr>
            <w:tcW w:w="3030" w:type="dxa"/>
          </w:tcPr>
          <w:p>
            <w:pPr>
              <w:spacing w:line="360" w:lineRule="auto"/>
              <w:jc w:val="center"/>
              <w:rPr>
                <w:b/>
                <w:sz w:val="28"/>
                <w:szCs w:val="28"/>
              </w:rPr>
            </w:pPr>
          </w:p>
        </w:tc>
        <w:tc>
          <w:tcPr>
            <w:tcW w:w="2895" w:type="dxa"/>
          </w:tcPr>
          <w:p>
            <w:pPr>
              <w:spacing w:line="360" w:lineRule="auto"/>
              <w:jc w:val="center"/>
              <w:rPr>
                <w:b/>
                <w:sz w:val="28"/>
                <w:szCs w:val="28"/>
              </w:rPr>
            </w:pPr>
          </w:p>
        </w:tc>
        <w:tc>
          <w:tcPr>
            <w:tcW w:w="1194" w:type="dxa"/>
          </w:tcPr>
          <w:p>
            <w:pPr>
              <w:spacing w:line="360" w:lineRule="auto"/>
              <w:jc w:val="center"/>
              <w:rPr>
                <w:b/>
                <w:sz w:val="28"/>
                <w:szCs w:val="28"/>
              </w:rPr>
            </w:pPr>
          </w:p>
        </w:tc>
      </w:tr>
    </w:tbl>
    <w:p/>
    <w:p/>
    <w:p/>
    <w:p/>
    <w:p/>
    <w:p/>
    <w:p/>
    <w:p>
      <w:pPr>
        <w:pStyle w:val="6"/>
        <w:jc w:val="center"/>
        <w:rPr>
          <w:rFonts w:ascii="宋体" w:hAnsi="宋体" w:eastAsia="宋体" w:cs="宋体"/>
          <w:szCs w:val="32"/>
        </w:rPr>
      </w:pPr>
      <w:r>
        <w:rPr>
          <w:rFonts w:hint="eastAsia" w:ascii="宋体" w:hAnsi="宋体" w:eastAsia="宋体" w:cs="宋体"/>
          <w:szCs w:val="32"/>
        </w:rPr>
        <w:t>（三）技术方案</w:t>
      </w:r>
    </w:p>
    <w:p>
      <w:pPr>
        <w:pStyle w:val="4"/>
        <w:spacing w:before="0" w:after="0" w:line="360" w:lineRule="auto"/>
        <w:jc w:val="center"/>
        <w:rPr>
          <w:rFonts w:ascii="宋体" w:hAnsi="宋体" w:eastAsia="宋体" w:cs="宋体"/>
          <w:sz w:val="28"/>
        </w:rPr>
      </w:pPr>
    </w:p>
    <w:p>
      <w:pPr>
        <w:rPr>
          <w:rFonts w:ascii="宋体" w:hAnsi="宋体" w:cs="宋体"/>
          <w:sz w:val="28"/>
        </w:rPr>
      </w:pPr>
    </w:p>
    <w:p>
      <w:pPr>
        <w:pStyle w:val="2"/>
        <w:rPr>
          <w:rFonts w:ascii="宋体" w:hAnsi="宋体" w:cs="宋体"/>
          <w:sz w:val="28"/>
        </w:rPr>
      </w:pPr>
    </w:p>
    <w:p>
      <w:pPr>
        <w:rPr>
          <w:rFonts w:ascii="宋体" w:hAnsi="宋体" w:cs="宋体"/>
          <w:sz w:val="28"/>
        </w:rPr>
      </w:pPr>
    </w:p>
    <w:p>
      <w:pPr>
        <w:pStyle w:val="2"/>
        <w:rPr>
          <w:rFonts w:ascii="宋体" w:hAnsi="宋体" w:cs="宋体"/>
          <w:sz w:val="28"/>
        </w:rPr>
      </w:pPr>
    </w:p>
    <w:p>
      <w:pPr>
        <w:rPr>
          <w:rFonts w:ascii="宋体" w:hAnsi="宋体" w:cs="宋体"/>
          <w:sz w:val="28"/>
        </w:rPr>
      </w:pPr>
    </w:p>
    <w:p>
      <w:pPr>
        <w:pStyle w:val="2"/>
        <w:rPr>
          <w:rFonts w:ascii="宋体" w:hAnsi="宋体" w:cs="宋体"/>
          <w:sz w:val="28"/>
        </w:rPr>
      </w:pPr>
    </w:p>
    <w:p>
      <w:pPr>
        <w:rPr>
          <w:rFonts w:ascii="宋体" w:hAnsi="宋体" w:cs="宋体"/>
          <w:sz w:val="28"/>
        </w:rPr>
      </w:pPr>
    </w:p>
    <w:p>
      <w:pPr>
        <w:pStyle w:val="2"/>
        <w:rPr>
          <w:rFonts w:ascii="宋体" w:hAnsi="宋体" w:cs="宋体"/>
          <w:sz w:val="28"/>
        </w:rPr>
      </w:pPr>
    </w:p>
    <w:p>
      <w:pPr>
        <w:rPr>
          <w:rFonts w:ascii="宋体" w:hAnsi="宋体" w:cs="宋体"/>
          <w:sz w:val="28"/>
        </w:rPr>
      </w:pPr>
    </w:p>
    <w:p>
      <w:pPr>
        <w:pStyle w:val="2"/>
        <w:rPr>
          <w:rFonts w:ascii="宋体" w:hAnsi="宋体" w:cs="宋体"/>
          <w:sz w:val="28"/>
        </w:rPr>
      </w:pPr>
    </w:p>
    <w:p>
      <w:pPr>
        <w:rPr>
          <w:rFonts w:ascii="宋体" w:hAnsi="宋体" w:cs="宋体"/>
          <w:sz w:val="28"/>
        </w:rPr>
      </w:pPr>
    </w:p>
    <w:p>
      <w:pPr>
        <w:pStyle w:val="2"/>
        <w:rPr>
          <w:rFonts w:ascii="宋体" w:hAnsi="宋体" w:cs="宋体"/>
          <w:sz w:val="28"/>
        </w:rPr>
      </w:pPr>
    </w:p>
    <w:p>
      <w:pPr>
        <w:rPr>
          <w:rFonts w:ascii="宋体" w:hAnsi="宋体" w:cs="宋体"/>
          <w:sz w:val="28"/>
        </w:rPr>
      </w:pPr>
    </w:p>
    <w:p>
      <w:pPr>
        <w:pStyle w:val="2"/>
        <w:rPr>
          <w:rFonts w:ascii="宋体" w:hAnsi="宋体" w:cs="宋体"/>
          <w:sz w:val="28"/>
        </w:rPr>
      </w:pPr>
    </w:p>
    <w:p>
      <w:pPr>
        <w:rPr>
          <w:rFonts w:ascii="宋体" w:hAnsi="宋体" w:cs="宋体"/>
          <w:sz w:val="28"/>
        </w:rPr>
      </w:pPr>
    </w:p>
    <w:p>
      <w:pPr>
        <w:pStyle w:val="2"/>
      </w:pPr>
    </w:p>
    <w:p>
      <w:pPr>
        <w:pStyle w:val="4"/>
        <w:spacing w:before="0" w:after="0" w:line="360" w:lineRule="auto"/>
        <w:jc w:val="center"/>
        <w:rPr>
          <w:rFonts w:ascii="宋体" w:hAnsi="宋体" w:eastAsia="宋体" w:cs="宋体"/>
          <w:sz w:val="28"/>
        </w:rPr>
      </w:pPr>
      <w:bookmarkStart w:id="292" w:name="_Toc5446"/>
      <w:r>
        <w:rPr>
          <w:rFonts w:hint="eastAsia" w:ascii="宋体" w:hAnsi="宋体" w:eastAsia="宋体" w:cs="宋体"/>
          <w:sz w:val="28"/>
          <w:lang w:val="en-US" w:eastAsia="zh-CN"/>
        </w:rPr>
        <w:t>五</w:t>
      </w:r>
      <w:r>
        <w:rPr>
          <w:rFonts w:hint="eastAsia" w:ascii="宋体" w:hAnsi="宋体" w:eastAsia="宋体" w:cs="宋体"/>
          <w:sz w:val="28"/>
        </w:rPr>
        <w:t>、</w:t>
      </w:r>
      <w:bookmarkEnd w:id="282"/>
      <w:bookmarkEnd w:id="283"/>
      <w:bookmarkEnd w:id="284"/>
      <w:r>
        <w:rPr>
          <w:rFonts w:hint="eastAsia" w:ascii="宋体" w:hAnsi="宋体" w:eastAsia="宋体" w:cs="宋体"/>
          <w:sz w:val="28"/>
        </w:rPr>
        <w:t>报价人须知前附表规定的其他材料</w:t>
      </w:r>
      <w:bookmarkEnd w:id="285"/>
      <w:bookmarkEnd w:id="286"/>
      <w:bookmarkEnd w:id="288"/>
      <w:bookmarkEnd w:id="289"/>
      <w:bookmarkEnd w:id="290"/>
      <w:bookmarkEnd w:id="292"/>
    </w:p>
    <w:p>
      <w:pPr>
        <w:pStyle w:val="5"/>
        <w:jc w:val="center"/>
        <w:rPr>
          <w:rFonts w:ascii="宋体" w:hAnsi="宋体" w:cs="宋体"/>
          <w:sz w:val="28"/>
        </w:rPr>
      </w:pPr>
      <w:bookmarkStart w:id="293" w:name="bookmark81"/>
      <w:bookmarkStart w:id="294" w:name="_Toc503951058"/>
      <w:bookmarkStart w:id="295" w:name="_Toc513633974"/>
      <w:r>
        <w:rPr>
          <w:rFonts w:hint="eastAsia" w:ascii="宋体" w:hAnsi="宋体" w:cs="宋体"/>
          <w:sz w:val="28"/>
        </w:rPr>
        <w:t>（一）</w:t>
      </w:r>
      <w:bookmarkEnd w:id="293"/>
      <w:bookmarkStart w:id="296" w:name="_Toc504639215"/>
      <w:bookmarkStart w:id="297" w:name="_Toc507681488"/>
      <w:bookmarkStart w:id="298" w:name="_Toc507681700"/>
      <w:r>
        <w:rPr>
          <w:rFonts w:hint="eastAsia" w:ascii="宋体" w:hAnsi="宋体" w:cs="宋体"/>
          <w:sz w:val="28"/>
        </w:rPr>
        <w:t>报价人自行承诺部分</w:t>
      </w:r>
      <w:bookmarkEnd w:id="296"/>
      <w:bookmarkEnd w:id="297"/>
      <w:bookmarkEnd w:id="298"/>
    </w:p>
    <w:p>
      <w:pPr>
        <w:spacing w:line="360" w:lineRule="auto"/>
        <w:ind w:firstLine="420" w:firstLineChars="200"/>
        <w:jc w:val="left"/>
        <w:rPr>
          <w:rFonts w:ascii="宋体" w:hAnsi="宋体" w:cs="宋体"/>
          <w:kern w:val="0"/>
          <w:szCs w:val="21"/>
        </w:rPr>
      </w:pPr>
      <w:r>
        <w:rPr>
          <w:rFonts w:hint="eastAsia" w:ascii="宋体" w:hAnsi="宋体" w:cs="宋体"/>
          <w:kern w:val="0"/>
          <w:szCs w:val="21"/>
        </w:rPr>
        <w:t>比选文件中要求报价人自行承诺的，由报价人按比选文件要求内容承诺，格式自拟。</w:t>
      </w:r>
    </w:p>
    <w:p>
      <w:pPr>
        <w:spacing w:line="360" w:lineRule="auto"/>
        <w:ind w:firstLine="422" w:firstLineChars="200"/>
        <w:jc w:val="left"/>
        <w:rPr>
          <w:rFonts w:hint="eastAsia" w:ascii="宋体" w:hAnsi="宋体" w:cs="宋体"/>
          <w:kern w:val="0"/>
          <w:szCs w:val="21"/>
          <w:highlight w:val="none"/>
        </w:rPr>
      </w:pPr>
      <w:r>
        <w:rPr>
          <w:rFonts w:hint="eastAsia" w:ascii="宋体" w:hAnsi="宋体" w:cs="宋体"/>
          <w:b/>
          <w:bCs/>
          <w:kern w:val="0"/>
          <w:szCs w:val="21"/>
          <w:highlight w:val="none"/>
          <w:lang w:val="en-US" w:eastAsia="zh-CN"/>
        </w:rPr>
        <w:t>我司参加</w:t>
      </w:r>
      <w:r>
        <w:rPr>
          <w:rFonts w:hint="eastAsia" w:ascii="宋体" w:hAnsi="宋体" w:cs="宋体"/>
          <w:b/>
          <w:bCs/>
          <w:kern w:val="0"/>
          <w:szCs w:val="21"/>
          <w:highlight w:val="none"/>
          <w:u w:val="single"/>
          <w:lang w:val="en-US" w:eastAsia="zh-CN"/>
        </w:rPr>
        <w:t>智慧高速数字孪生可视化平台开发技术服务项目（第二次）</w:t>
      </w:r>
      <w:r>
        <w:rPr>
          <w:rFonts w:hint="eastAsia" w:ascii="宋体" w:hAnsi="宋体" w:cs="宋体"/>
          <w:b/>
          <w:bCs/>
          <w:kern w:val="0"/>
          <w:szCs w:val="21"/>
          <w:highlight w:val="none"/>
          <w:lang w:val="en-US" w:eastAsia="zh-CN"/>
        </w:rPr>
        <w:t>的竞争性比选，对以下内容作出承诺：</w:t>
      </w:r>
    </w:p>
    <w:p>
      <w:pPr>
        <w:pStyle w:val="16"/>
        <w:numPr>
          <w:ilvl w:val="0"/>
          <w:numId w:val="7"/>
        </w:numPr>
        <w:ind w:firstLine="420" w:firstLineChars="200"/>
        <w:rPr>
          <w:rFonts w:hint="eastAsia" w:ascii="宋体" w:hAnsi="宋体" w:eastAsia="宋体" w:cs="宋体"/>
          <w:kern w:val="0"/>
          <w:sz w:val="21"/>
          <w:szCs w:val="21"/>
          <w:highlight w:val="none"/>
          <w:u w:val="none"/>
          <w:lang w:val="en-US" w:eastAsia="zh-CN" w:bidi="ar-SA"/>
        </w:rPr>
      </w:pPr>
      <w:r>
        <w:rPr>
          <w:rFonts w:hint="eastAsia" w:ascii="宋体" w:hAnsi="宋体" w:cs="宋体"/>
          <w:kern w:val="0"/>
          <w:sz w:val="21"/>
          <w:szCs w:val="21"/>
          <w:highlight w:val="none"/>
          <w:u w:val="none"/>
          <w:lang w:val="en-US" w:eastAsia="zh-CN" w:bidi="ar-SA"/>
        </w:rPr>
        <w:t>（工期承诺）</w:t>
      </w:r>
      <w:r>
        <w:rPr>
          <w:rFonts w:hint="eastAsia" w:ascii="宋体" w:hAnsi="宋体" w:eastAsia="宋体" w:cs="宋体"/>
          <w:kern w:val="0"/>
          <w:sz w:val="21"/>
          <w:szCs w:val="21"/>
          <w:highlight w:val="none"/>
          <w:u w:val="none"/>
          <w:lang w:val="en-US" w:eastAsia="zh-CN" w:bidi="ar-SA"/>
        </w:rPr>
        <w:t>。</w:t>
      </w:r>
    </w:p>
    <w:p>
      <w:pPr>
        <w:pStyle w:val="16"/>
        <w:numPr>
          <w:ilvl w:val="0"/>
          <w:numId w:val="7"/>
        </w:numPr>
        <w:ind w:firstLine="420" w:firstLineChars="200"/>
        <w:rPr>
          <w:rFonts w:hint="eastAsia" w:ascii="宋体" w:hAnsi="宋体" w:eastAsia="宋体" w:cs="宋体"/>
          <w:kern w:val="0"/>
          <w:sz w:val="21"/>
          <w:szCs w:val="21"/>
          <w:highlight w:val="none"/>
          <w:u w:val="none"/>
          <w:lang w:val="en-US" w:eastAsia="zh-CN" w:bidi="ar-SA"/>
        </w:rPr>
      </w:pPr>
      <w:r>
        <w:rPr>
          <w:rFonts w:hint="eastAsia" w:ascii="宋体" w:hAnsi="宋体" w:cs="宋体"/>
          <w:kern w:val="0"/>
          <w:sz w:val="21"/>
          <w:szCs w:val="21"/>
          <w:highlight w:val="none"/>
          <w:u w:val="none"/>
          <w:lang w:val="en-US" w:eastAsia="zh-CN" w:bidi="ar-SA"/>
        </w:rPr>
        <w:t>（质量承诺）</w:t>
      </w:r>
      <w:r>
        <w:rPr>
          <w:rFonts w:hint="eastAsia" w:ascii="宋体" w:hAnsi="宋体" w:eastAsia="宋体" w:cs="宋体"/>
          <w:kern w:val="0"/>
          <w:sz w:val="21"/>
          <w:szCs w:val="21"/>
          <w:highlight w:val="none"/>
          <w:u w:val="none"/>
          <w:lang w:val="en-US" w:eastAsia="zh-CN" w:bidi="ar-SA"/>
        </w:rPr>
        <w:t>。</w:t>
      </w:r>
    </w:p>
    <w:p>
      <w:pPr>
        <w:pStyle w:val="16"/>
        <w:numPr>
          <w:ilvl w:val="0"/>
          <w:numId w:val="7"/>
        </w:numPr>
        <w:ind w:firstLine="420" w:firstLineChars="200"/>
        <w:rPr>
          <w:rFonts w:hint="eastAsia" w:ascii="宋体" w:hAnsi="宋体" w:eastAsia="宋体" w:cs="宋体"/>
          <w:kern w:val="0"/>
          <w:sz w:val="21"/>
          <w:szCs w:val="21"/>
          <w:highlight w:val="none"/>
          <w:u w:val="none"/>
          <w:lang w:val="en-US" w:eastAsia="zh-CN" w:bidi="ar-SA"/>
        </w:rPr>
      </w:pPr>
      <w:r>
        <w:rPr>
          <w:rFonts w:hint="eastAsia" w:ascii="宋体" w:hAnsi="宋体" w:cs="宋体"/>
          <w:kern w:val="0"/>
          <w:sz w:val="21"/>
          <w:szCs w:val="21"/>
          <w:highlight w:val="none"/>
          <w:u w:val="none"/>
          <w:lang w:val="en-US" w:eastAsia="zh-CN" w:bidi="ar-SA"/>
        </w:rPr>
        <w:t>（安全承诺）</w:t>
      </w:r>
      <w:r>
        <w:rPr>
          <w:rFonts w:hint="eastAsia" w:ascii="宋体" w:hAnsi="宋体" w:eastAsia="宋体" w:cs="宋体"/>
          <w:kern w:val="0"/>
          <w:sz w:val="21"/>
          <w:szCs w:val="21"/>
          <w:highlight w:val="none"/>
          <w:u w:val="none"/>
          <w:lang w:val="en-US" w:eastAsia="zh-CN" w:bidi="ar-SA"/>
        </w:rPr>
        <w:t>。</w:t>
      </w:r>
    </w:p>
    <w:p>
      <w:pPr>
        <w:spacing w:line="360" w:lineRule="auto"/>
        <w:ind w:firstLine="420" w:firstLineChars="200"/>
        <w:jc w:val="left"/>
        <w:rPr>
          <w:rFonts w:hint="eastAsia" w:ascii="宋体" w:hAnsi="宋体" w:cs="宋体"/>
          <w:sz w:val="28"/>
          <w:highlight w:val="none"/>
        </w:rPr>
      </w:pPr>
      <w:r>
        <w:rPr>
          <w:rFonts w:hint="eastAsia"/>
          <w:lang w:val="en-US" w:eastAsia="zh-CN"/>
        </w:rPr>
        <w:t>（其余承诺报价人自行往下编号添加）</w:t>
      </w:r>
    </w:p>
    <w:p>
      <w:pPr>
        <w:pStyle w:val="5"/>
        <w:jc w:val="center"/>
        <w:rPr>
          <w:rFonts w:hint="eastAsia" w:ascii="宋体" w:hAnsi="宋体" w:cs="宋体"/>
          <w:sz w:val="28"/>
          <w:highlight w:val="none"/>
        </w:rPr>
      </w:pPr>
    </w:p>
    <w:p>
      <w:pPr>
        <w:pStyle w:val="4"/>
        <w:spacing w:before="0" w:after="0" w:line="360" w:lineRule="auto"/>
        <w:jc w:val="center"/>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 xml:space="preserve">                         签字：</w:t>
      </w:r>
    </w:p>
    <w:p>
      <w:pPr>
        <w:pStyle w:val="5"/>
        <w:jc w:val="center"/>
        <w:rPr>
          <w:rFonts w:ascii="宋体" w:hAnsi="宋体" w:cs="宋体"/>
          <w:sz w:val="28"/>
        </w:rPr>
      </w:pPr>
      <w:r>
        <w:rPr>
          <w:rFonts w:hint="eastAsia" w:ascii="宋体" w:hAnsi="宋体" w:eastAsia="宋体" w:cs="宋体"/>
          <w:b/>
          <w:bCs/>
          <w:kern w:val="0"/>
          <w:sz w:val="21"/>
          <w:szCs w:val="21"/>
          <w:highlight w:val="none"/>
          <w:lang w:val="en-US" w:eastAsia="zh-CN" w:bidi="ar-SA"/>
        </w:rPr>
        <w:t xml:space="preserve">                         盖章：</w:t>
      </w:r>
    </w:p>
    <w:p>
      <w:pPr>
        <w:pStyle w:val="5"/>
        <w:jc w:val="center"/>
        <w:rPr>
          <w:rFonts w:ascii="宋体" w:hAnsi="宋体" w:cs="宋体"/>
          <w:sz w:val="28"/>
        </w:rPr>
      </w:pPr>
    </w:p>
    <w:p>
      <w:pPr>
        <w:pStyle w:val="5"/>
        <w:numPr>
          <w:ilvl w:val="0"/>
          <w:numId w:val="8"/>
        </w:numPr>
        <w:jc w:val="center"/>
        <w:rPr>
          <w:rFonts w:hint="eastAsia" w:ascii="宋体" w:hAnsi="宋体" w:cs="宋体"/>
          <w:sz w:val="28"/>
        </w:rPr>
      </w:pPr>
      <w:r>
        <w:rPr>
          <w:rFonts w:hint="eastAsia" w:ascii="宋体" w:hAnsi="宋体" w:cs="宋体"/>
          <w:sz w:val="28"/>
        </w:rPr>
        <w:t>其他材料（如有）</w:t>
      </w:r>
    </w:p>
    <w:p>
      <w:pPr>
        <w:pStyle w:val="4"/>
        <w:spacing w:before="0" w:after="0" w:line="360" w:lineRule="auto"/>
        <w:jc w:val="center"/>
        <w:rPr>
          <w:rFonts w:hint="eastAsia" w:ascii="宋体" w:hAnsi="宋体" w:eastAsia="宋体" w:cs="宋体"/>
          <w:sz w:val="28"/>
          <w:highlight w:val="none"/>
          <w:lang w:val="en-US" w:eastAsia="zh-CN"/>
        </w:rPr>
      </w:pPr>
    </w:p>
    <w:p>
      <w:pPr>
        <w:pStyle w:val="4"/>
        <w:spacing w:before="0" w:after="0" w:line="360" w:lineRule="auto"/>
        <w:jc w:val="both"/>
        <w:rPr>
          <w:rFonts w:hint="eastAsia" w:ascii="宋体" w:hAnsi="宋体" w:eastAsia="宋体" w:cs="宋体"/>
          <w:sz w:val="28"/>
          <w:highlight w:val="none"/>
          <w:lang w:val="en-US" w:eastAsia="zh-CN"/>
        </w:rPr>
      </w:pPr>
    </w:p>
    <w:p>
      <w:pPr>
        <w:rPr>
          <w:rFonts w:hint="eastAsia" w:ascii="宋体" w:hAnsi="宋体" w:eastAsia="宋体" w:cs="宋体"/>
          <w:sz w:val="28"/>
          <w:highlight w:val="none"/>
          <w:lang w:val="en-US" w:eastAsia="zh-CN"/>
        </w:rPr>
      </w:pPr>
    </w:p>
    <w:p>
      <w:pPr>
        <w:pStyle w:val="16"/>
        <w:rPr>
          <w:rFonts w:hint="eastAsia"/>
          <w:lang w:val="en-US" w:eastAsia="zh-CN"/>
        </w:rPr>
      </w:pPr>
    </w:p>
    <w:p>
      <w:pPr>
        <w:pStyle w:val="4"/>
        <w:spacing w:before="0" w:after="0" w:line="360" w:lineRule="auto"/>
        <w:jc w:val="center"/>
        <w:rPr>
          <w:rFonts w:hint="eastAsia" w:ascii="宋体" w:hAnsi="宋体" w:eastAsia="宋体" w:cs="宋体"/>
          <w:sz w:val="28"/>
          <w:highlight w:val="none"/>
          <w:lang w:val="en-US" w:eastAsia="zh-CN"/>
        </w:rPr>
      </w:pPr>
    </w:p>
    <w:p>
      <w:pPr>
        <w:rPr>
          <w:rFonts w:hint="eastAsia"/>
          <w:lang w:val="en-US" w:eastAsia="zh-CN"/>
        </w:rPr>
      </w:pPr>
    </w:p>
    <w:p>
      <w:pPr>
        <w:rPr>
          <w:rFonts w:ascii="宋体" w:hAnsi="宋体" w:cs="宋体"/>
        </w:rPr>
      </w:pPr>
    </w:p>
    <w:bookmarkEnd w:id="294"/>
    <w:bookmarkEnd w:id="295"/>
    <w:p>
      <w:pPr>
        <w:pStyle w:val="2"/>
      </w:pP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42D60B6-23B1-4DEA-B223-D3937DFDC4A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5"/>
      </w:rPr>
    </w:pPr>
    <w:r>
      <w:fldChar w:fldCharType="begin"/>
    </w:r>
    <w:r>
      <w:rPr>
        <w:rStyle w:val="45"/>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17</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6</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5"/>
      </w:rPr>
    </w:pPr>
    <w:r>
      <w:fldChar w:fldCharType="begin"/>
    </w:r>
    <w:r>
      <w:rPr>
        <w:rStyle w:val="45"/>
      </w:rPr>
      <w:instrText xml:space="preserve">PAGE  </w:instrText>
    </w:r>
    <w:r>
      <w:fldChar w:fldCharType="separate"/>
    </w:r>
    <w:r>
      <w:rPr>
        <w:rStyle w:val="45"/>
      </w:rPr>
      <w:t>73</w:t>
    </w:r>
    <w:r>
      <w:fldChar w:fldCharType="end"/>
    </w:r>
  </w:p>
  <w:p>
    <w:pPr>
      <w:pStyle w:val="2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5"/>
      </w:rPr>
    </w:pPr>
    <w:r>
      <w:fldChar w:fldCharType="begin"/>
    </w:r>
    <w:r>
      <w:rPr>
        <w:rStyle w:val="45"/>
      </w:rPr>
      <w:instrText xml:space="preserve">PAGE  </w:instrText>
    </w:r>
    <w:r>
      <w:fldChar w:fldCharType="separate"/>
    </w:r>
    <w:r>
      <w:rPr>
        <w:rStyle w:val="45"/>
      </w:rPr>
      <w:t>19</w:t>
    </w:r>
    <w:r>
      <w:fldChar w:fldCharType="end"/>
    </w:r>
  </w:p>
  <w:p>
    <w:pPr>
      <w:pStyle w:val="26"/>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5"/>
                            </w:rPr>
                          </w:pPr>
                          <w:r>
                            <w:fldChar w:fldCharType="begin"/>
                          </w:r>
                          <w:r>
                            <w:rPr>
                              <w:rStyle w:val="45"/>
                            </w:rPr>
                            <w:instrText xml:space="preserve">PAGE  </w:instrText>
                          </w:r>
                          <w:r>
                            <w:fldChar w:fldCharType="separate"/>
                          </w:r>
                          <w:r>
                            <w:rPr>
                              <w:rStyle w:val="45"/>
                            </w:rPr>
                            <w:t>23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26"/>
                      <w:rPr>
                        <w:rStyle w:val="45"/>
                      </w:rPr>
                    </w:pPr>
                    <w:r>
                      <w:fldChar w:fldCharType="begin"/>
                    </w:r>
                    <w:r>
                      <w:rPr>
                        <w:rStyle w:val="45"/>
                      </w:rPr>
                      <w:instrText xml:space="preserve">PAGE  </w:instrText>
                    </w:r>
                    <w:r>
                      <w:fldChar w:fldCharType="separate"/>
                    </w:r>
                    <w:r>
                      <w:rPr>
                        <w:rStyle w:val="45"/>
                      </w:rP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71A0C"/>
    <w:multiLevelType w:val="singleLevel"/>
    <w:tmpl w:val="83F71A0C"/>
    <w:lvl w:ilvl="0" w:tentative="0">
      <w:start w:val="2"/>
      <w:numFmt w:val="chineseCounting"/>
      <w:suff w:val="nothing"/>
      <w:lvlText w:val="（%1）"/>
      <w:lvlJc w:val="left"/>
      <w:rPr>
        <w:rFonts w:hint="eastAsia"/>
      </w:rPr>
    </w:lvl>
  </w:abstractNum>
  <w:abstractNum w:abstractNumId="1">
    <w:nsid w:val="87F51BDF"/>
    <w:multiLevelType w:val="singleLevel"/>
    <w:tmpl w:val="87F51BDF"/>
    <w:lvl w:ilvl="0" w:tentative="0">
      <w:start w:val="1"/>
      <w:numFmt w:val="decimal"/>
      <w:suff w:val="nothing"/>
      <w:lvlText w:val="（%1）"/>
      <w:lvlJc w:val="left"/>
    </w:lvl>
  </w:abstractNum>
  <w:abstractNum w:abstractNumId="2">
    <w:nsid w:val="BCC1655C"/>
    <w:multiLevelType w:val="singleLevel"/>
    <w:tmpl w:val="BCC1655C"/>
    <w:lvl w:ilvl="0" w:tentative="0">
      <w:start w:val="7"/>
      <w:numFmt w:val="chineseCounting"/>
      <w:suff w:val="space"/>
      <w:lvlText w:val="第%1章"/>
      <w:lvlJc w:val="left"/>
      <w:rPr>
        <w:rFonts w:hint="eastAsia"/>
      </w:rPr>
    </w:lvl>
  </w:abstractNum>
  <w:abstractNum w:abstractNumId="3">
    <w:nsid w:val="DE1CB082"/>
    <w:multiLevelType w:val="singleLevel"/>
    <w:tmpl w:val="DE1CB082"/>
    <w:lvl w:ilvl="0" w:tentative="0">
      <w:start w:val="1"/>
      <w:numFmt w:val="chineseCounting"/>
      <w:suff w:val="space"/>
      <w:lvlText w:val="第%1章"/>
      <w:lvlJc w:val="left"/>
      <w:rPr>
        <w:rFonts w:hint="eastAsia"/>
      </w:rPr>
    </w:lvl>
  </w:abstractNum>
  <w:abstractNum w:abstractNumId="4">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4312DFDB"/>
    <w:multiLevelType w:val="singleLevel"/>
    <w:tmpl w:val="4312DFDB"/>
    <w:lvl w:ilvl="0" w:tentative="0">
      <w:start w:val="1"/>
      <w:numFmt w:val="chineseCounting"/>
      <w:suff w:val="nothing"/>
      <w:lvlText w:val="%1、"/>
      <w:lvlJc w:val="left"/>
      <w:rPr>
        <w:rFonts w:hint="eastAsia"/>
      </w:rPr>
    </w:lvl>
  </w:abstractNum>
  <w:abstractNum w:abstractNumId="6">
    <w:nsid w:val="72B64926"/>
    <w:multiLevelType w:val="singleLevel"/>
    <w:tmpl w:val="72B64926"/>
    <w:lvl w:ilvl="0" w:tentative="0">
      <w:start w:val="3"/>
      <w:numFmt w:val="chineseCounting"/>
      <w:suff w:val="space"/>
      <w:lvlText w:val="第%1章"/>
      <w:lvlJc w:val="left"/>
      <w:rPr>
        <w:rFonts w:hint="eastAsia"/>
      </w:rPr>
    </w:lvl>
  </w:abstractNum>
  <w:abstractNum w:abstractNumId="7">
    <w:nsid w:val="78BA0F68"/>
    <w:multiLevelType w:val="singleLevel"/>
    <w:tmpl w:val="78BA0F68"/>
    <w:lvl w:ilvl="0" w:tentative="0">
      <w:start w:val="1"/>
      <w:numFmt w:val="decimal"/>
      <w:lvlText w:val="%1."/>
      <w:lvlJc w:val="left"/>
      <w:pPr>
        <w:tabs>
          <w:tab w:val="left" w:pos="312"/>
        </w:tabs>
      </w:pPr>
    </w:lvl>
  </w:abstractNum>
  <w:num w:numId="1">
    <w:abstractNumId w:val="4"/>
  </w:num>
  <w:num w:numId="2">
    <w:abstractNumId w:val="3"/>
  </w:num>
  <w:num w:numId="3">
    <w:abstractNumId w:val="7"/>
  </w:num>
  <w:num w:numId="4">
    <w:abstractNumId w:val="6"/>
  </w:num>
  <w:num w:numId="5">
    <w:abstractNumId w:val="2"/>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wZWJhYjNhMmRmYzY0NzEyZmY3ZTlmMjQzNWVjNzQ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493"/>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0F623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77E9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266"/>
    <w:rsid w:val="001D748A"/>
    <w:rsid w:val="001E2FBC"/>
    <w:rsid w:val="001E35E5"/>
    <w:rsid w:val="001E3AE0"/>
    <w:rsid w:val="001E4ED8"/>
    <w:rsid w:val="001F20E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3D31"/>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5746"/>
    <w:rsid w:val="003C7632"/>
    <w:rsid w:val="003C7809"/>
    <w:rsid w:val="003D0BF2"/>
    <w:rsid w:val="003D4436"/>
    <w:rsid w:val="003D5153"/>
    <w:rsid w:val="003D5F84"/>
    <w:rsid w:val="003E0D5A"/>
    <w:rsid w:val="003E3829"/>
    <w:rsid w:val="003E38BD"/>
    <w:rsid w:val="003E65DC"/>
    <w:rsid w:val="003E68AB"/>
    <w:rsid w:val="003F098D"/>
    <w:rsid w:val="003F1C45"/>
    <w:rsid w:val="003F1F45"/>
    <w:rsid w:val="003F34F8"/>
    <w:rsid w:val="003F6AEE"/>
    <w:rsid w:val="003F6B5B"/>
    <w:rsid w:val="003F7927"/>
    <w:rsid w:val="003F7A0C"/>
    <w:rsid w:val="00402F66"/>
    <w:rsid w:val="00403314"/>
    <w:rsid w:val="00404848"/>
    <w:rsid w:val="00406BDF"/>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1B55"/>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640"/>
    <w:rsid w:val="00705864"/>
    <w:rsid w:val="0071015C"/>
    <w:rsid w:val="0071261D"/>
    <w:rsid w:val="0071777A"/>
    <w:rsid w:val="007210B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93"/>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0F07"/>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1237"/>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8631D"/>
    <w:rsid w:val="00A92E22"/>
    <w:rsid w:val="00A95AFB"/>
    <w:rsid w:val="00AA1ED7"/>
    <w:rsid w:val="00AA2125"/>
    <w:rsid w:val="00AA7B39"/>
    <w:rsid w:val="00AB291E"/>
    <w:rsid w:val="00AB3079"/>
    <w:rsid w:val="00AB454C"/>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46C5"/>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554E2"/>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C35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3393"/>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C15"/>
    <w:rsid w:val="00CE2D7F"/>
    <w:rsid w:val="00CE32CD"/>
    <w:rsid w:val="00CE44DD"/>
    <w:rsid w:val="00CF2931"/>
    <w:rsid w:val="00CF3754"/>
    <w:rsid w:val="00CF3D31"/>
    <w:rsid w:val="00CF3FE8"/>
    <w:rsid w:val="00D01065"/>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74117"/>
    <w:rsid w:val="00E75085"/>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D2A3C"/>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595"/>
    <w:rsid w:val="00F848FF"/>
    <w:rsid w:val="00F8662C"/>
    <w:rsid w:val="00F90AD7"/>
    <w:rsid w:val="00F92857"/>
    <w:rsid w:val="00F941F8"/>
    <w:rsid w:val="00F95FA0"/>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29E0ABC"/>
    <w:rsid w:val="02A800C5"/>
    <w:rsid w:val="02C540E4"/>
    <w:rsid w:val="037D0CD2"/>
    <w:rsid w:val="038B3366"/>
    <w:rsid w:val="03981B5E"/>
    <w:rsid w:val="03996EAD"/>
    <w:rsid w:val="03C40EB9"/>
    <w:rsid w:val="03F60BFA"/>
    <w:rsid w:val="04023CC8"/>
    <w:rsid w:val="042674F4"/>
    <w:rsid w:val="04C12ED8"/>
    <w:rsid w:val="04DC5749"/>
    <w:rsid w:val="04E26FED"/>
    <w:rsid w:val="04FD6633"/>
    <w:rsid w:val="05327E0D"/>
    <w:rsid w:val="057D5C2F"/>
    <w:rsid w:val="05871A0A"/>
    <w:rsid w:val="05A70EA9"/>
    <w:rsid w:val="05D55D36"/>
    <w:rsid w:val="060C2525"/>
    <w:rsid w:val="062756FD"/>
    <w:rsid w:val="067C53E7"/>
    <w:rsid w:val="06820F5E"/>
    <w:rsid w:val="06AE2ABA"/>
    <w:rsid w:val="06DD02BB"/>
    <w:rsid w:val="06E71F51"/>
    <w:rsid w:val="07050666"/>
    <w:rsid w:val="07362674"/>
    <w:rsid w:val="073B54B2"/>
    <w:rsid w:val="077B3234"/>
    <w:rsid w:val="081748AE"/>
    <w:rsid w:val="08635851"/>
    <w:rsid w:val="08C2359B"/>
    <w:rsid w:val="09041814"/>
    <w:rsid w:val="092D7BDC"/>
    <w:rsid w:val="09332D2B"/>
    <w:rsid w:val="093E2D64"/>
    <w:rsid w:val="098B1DA7"/>
    <w:rsid w:val="09A31A61"/>
    <w:rsid w:val="09DE1094"/>
    <w:rsid w:val="09E2475B"/>
    <w:rsid w:val="0A062E2F"/>
    <w:rsid w:val="0A3F34B7"/>
    <w:rsid w:val="0A4B11BE"/>
    <w:rsid w:val="0A8E5B8D"/>
    <w:rsid w:val="0AA240FA"/>
    <w:rsid w:val="0AAC0CBB"/>
    <w:rsid w:val="0AD84BD3"/>
    <w:rsid w:val="0B0443BA"/>
    <w:rsid w:val="0B1061C6"/>
    <w:rsid w:val="0B2B08D5"/>
    <w:rsid w:val="0B616E15"/>
    <w:rsid w:val="0BB825ED"/>
    <w:rsid w:val="0BC0647C"/>
    <w:rsid w:val="0BF26817"/>
    <w:rsid w:val="0C22464A"/>
    <w:rsid w:val="0C623EAC"/>
    <w:rsid w:val="0CAD24AF"/>
    <w:rsid w:val="0D662EE5"/>
    <w:rsid w:val="0D9339BE"/>
    <w:rsid w:val="0D9F0DC4"/>
    <w:rsid w:val="0DDE695A"/>
    <w:rsid w:val="0E2D072E"/>
    <w:rsid w:val="0E3B295D"/>
    <w:rsid w:val="0E47249B"/>
    <w:rsid w:val="0E551882"/>
    <w:rsid w:val="0E9E2292"/>
    <w:rsid w:val="0ECE05C2"/>
    <w:rsid w:val="0F4C19DA"/>
    <w:rsid w:val="0F4C7D05"/>
    <w:rsid w:val="0F5F17BD"/>
    <w:rsid w:val="0F90531D"/>
    <w:rsid w:val="0FAD64B5"/>
    <w:rsid w:val="0FEB1B4B"/>
    <w:rsid w:val="0FFF5930"/>
    <w:rsid w:val="10421816"/>
    <w:rsid w:val="10A265EF"/>
    <w:rsid w:val="11485B0D"/>
    <w:rsid w:val="117076B2"/>
    <w:rsid w:val="11D56D08"/>
    <w:rsid w:val="125E1A9C"/>
    <w:rsid w:val="126C604E"/>
    <w:rsid w:val="1276289F"/>
    <w:rsid w:val="127D3F3D"/>
    <w:rsid w:val="1288522D"/>
    <w:rsid w:val="129D6A95"/>
    <w:rsid w:val="12AF4046"/>
    <w:rsid w:val="12CE506D"/>
    <w:rsid w:val="12F65490"/>
    <w:rsid w:val="12F73D2A"/>
    <w:rsid w:val="13084B91"/>
    <w:rsid w:val="13112273"/>
    <w:rsid w:val="13511DF6"/>
    <w:rsid w:val="138B4634"/>
    <w:rsid w:val="138F1214"/>
    <w:rsid w:val="13D101C7"/>
    <w:rsid w:val="13D65F2A"/>
    <w:rsid w:val="1400440E"/>
    <w:rsid w:val="144729D8"/>
    <w:rsid w:val="14894722"/>
    <w:rsid w:val="14AB614D"/>
    <w:rsid w:val="15507C7E"/>
    <w:rsid w:val="15664AEF"/>
    <w:rsid w:val="158E23E1"/>
    <w:rsid w:val="159D7EA6"/>
    <w:rsid w:val="159F1BF9"/>
    <w:rsid w:val="160B0227"/>
    <w:rsid w:val="161D747A"/>
    <w:rsid w:val="16CF02A2"/>
    <w:rsid w:val="16F512D4"/>
    <w:rsid w:val="1705300C"/>
    <w:rsid w:val="17081A7A"/>
    <w:rsid w:val="17292C0C"/>
    <w:rsid w:val="176F50FE"/>
    <w:rsid w:val="17DD0B49"/>
    <w:rsid w:val="181C1400"/>
    <w:rsid w:val="18223BBF"/>
    <w:rsid w:val="18D435BC"/>
    <w:rsid w:val="19BA69A5"/>
    <w:rsid w:val="19DF6D3F"/>
    <w:rsid w:val="19E24459"/>
    <w:rsid w:val="19FB72C6"/>
    <w:rsid w:val="1A3D7EBE"/>
    <w:rsid w:val="1A4353A0"/>
    <w:rsid w:val="1A9C5527"/>
    <w:rsid w:val="1AD70716"/>
    <w:rsid w:val="1B075A0C"/>
    <w:rsid w:val="1B5D08E8"/>
    <w:rsid w:val="1B67066F"/>
    <w:rsid w:val="1B7229E4"/>
    <w:rsid w:val="1B7A5EC7"/>
    <w:rsid w:val="1BA35EDC"/>
    <w:rsid w:val="1BE70A37"/>
    <w:rsid w:val="1CB30939"/>
    <w:rsid w:val="1CE1678B"/>
    <w:rsid w:val="1CF6260F"/>
    <w:rsid w:val="1CF83AEA"/>
    <w:rsid w:val="1D6914D5"/>
    <w:rsid w:val="1D7E09CF"/>
    <w:rsid w:val="1E7F32B0"/>
    <w:rsid w:val="1EBB622E"/>
    <w:rsid w:val="1EEA13A6"/>
    <w:rsid w:val="1EFE64E9"/>
    <w:rsid w:val="1F6207D0"/>
    <w:rsid w:val="1FAF4CBE"/>
    <w:rsid w:val="1FE1627D"/>
    <w:rsid w:val="1FEA603B"/>
    <w:rsid w:val="20293E2F"/>
    <w:rsid w:val="206E3E8E"/>
    <w:rsid w:val="208247DE"/>
    <w:rsid w:val="2093114F"/>
    <w:rsid w:val="209B57AA"/>
    <w:rsid w:val="20A87B06"/>
    <w:rsid w:val="20D83D6E"/>
    <w:rsid w:val="20EA6084"/>
    <w:rsid w:val="20F01139"/>
    <w:rsid w:val="20F1461D"/>
    <w:rsid w:val="212B522B"/>
    <w:rsid w:val="21736537"/>
    <w:rsid w:val="21977807"/>
    <w:rsid w:val="219D77BC"/>
    <w:rsid w:val="226827C0"/>
    <w:rsid w:val="227C6EFF"/>
    <w:rsid w:val="22942795"/>
    <w:rsid w:val="22A10D06"/>
    <w:rsid w:val="22E46F4A"/>
    <w:rsid w:val="22F20159"/>
    <w:rsid w:val="23486890"/>
    <w:rsid w:val="23AB4CDF"/>
    <w:rsid w:val="23C37A75"/>
    <w:rsid w:val="23D964C1"/>
    <w:rsid w:val="23EB6BB8"/>
    <w:rsid w:val="240F3CB0"/>
    <w:rsid w:val="24436391"/>
    <w:rsid w:val="24AD6D9A"/>
    <w:rsid w:val="254A5C25"/>
    <w:rsid w:val="259E376E"/>
    <w:rsid w:val="25E82995"/>
    <w:rsid w:val="26154215"/>
    <w:rsid w:val="26666FDC"/>
    <w:rsid w:val="26B267E7"/>
    <w:rsid w:val="26C80CCF"/>
    <w:rsid w:val="26F65310"/>
    <w:rsid w:val="27020634"/>
    <w:rsid w:val="27352534"/>
    <w:rsid w:val="27357F9F"/>
    <w:rsid w:val="27EF1935"/>
    <w:rsid w:val="280A1B75"/>
    <w:rsid w:val="283962F8"/>
    <w:rsid w:val="290212C1"/>
    <w:rsid w:val="29403128"/>
    <w:rsid w:val="29656DCE"/>
    <w:rsid w:val="298B4B23"/>
    <w:rsid w:val="29C037B7"/>
    <w:rsid w:val="29D875FE"/>
    <w:rsid w:val="2A194E5D"/>
    <w:rsid w:val="2A594BC2"/>
    <w:rsid w:val="2AA90FA0"/>
    <w:rsid w:val="2AB53836"/>
    <w:rsid w:val="2B0C402E"/>
    <w:rsid w:val="2B552F60"/>
    <w:rsid w:val="2BB367B9"/>
    <w:rsid w:val="2C184D47"/>
    <w:rsid w:val="2C796A89"/>
    <w:rsid w:val="2CBD3A96"/>
    <w:rsid w:val="2CC74339"/>
    <w:rsid w:val="2CCE1414"/>
    <w:rsid w:val="2CF93ABF"/>
    <w:rsid w:val="2D1E27A3"/>
    <w:rsid w:val="2D48F31F"/>
    <w:rsid w:val="2D766528"/>
    <w:rsid w:val="2DC94DE9"/>
    <w:rsid w:val="2DD5633D"/>
    <w:rsid w:val="2E44431B"/>
    <w:rsid w:val="2E6A704D"/>
    <w:rsid w:val="2E8A6255"/>
    <w:rsid w:val="2F0B1048"/>
    <w:rsid w:val="2F141AAA"/>
    <w:rsid w:val="2FF23F99"/>
    <w:rsid w:val="30236367"/>
    <w:rsid w:val="30331BC6"/>
    <w:rsid w:val="303E7E03"/>
    <w:rsid w:val="304A182B"/>
    <w:rsid w:val="30757C00"/>
    <w:rsid w:val="307D5D65"/>
    <w:rsid w:val="30B34CE3"/>
    <w:rsid w:val="30CB1C83"/>
    <w:rsid w:val="31832D29"/>
    <w:rsid w:val="31AE3364"/>
    <w:rsid w:val="31D20CDE"/>
    <w:rsid w:val="31F37E23"/>
    <w:rsid w:val="32223DC6"/>
    <w:rsid w:val="322A2B73"/>
    <w:rsid w:val="32584127"/>
    <w:rsid w:val="329032EF"/>
    <w:rsid w:val="329970EF"/>
    <w:rsid w:val="32B35AAA"/>
    <w:rsid w:val="334459AC"/>
    <w:rsid w:val="33705A64"/>
    <w:rsid w:val="33F44ABC"/>
    <w:rsid w:val="342645AD"/>
    <w:rsid w:val="34335C8F"/>
    <w:rsid w:val="34617CD8"/>
    <w:rsid w:val="34731A2E"/>
    <w:rsid w:val="34A61339"/>
    <w:rsid w:val="34F3793E"/>
    <w:rsid w:val="35185DCE"/>
    <w:rsid w:val="35574E9C"/>
    <w:rsid w:val="35712E34"/>
    <w:rsid w:val="35ED793B"/>
    <w:rsid w:val="35F25212"/>
    <w:rsid w:val="366C082D"/>
    <w:rsid w:val="36C90DD1"/>
    <w:rsid w:val="3703397C"/>
    <w:rsid w:val="37704489"/>
    <w:rsid w:val="37925427"/>
    <w:rsid w:val="37A55DCC"/>
    <w:rsid w:val="37CA04FF"/>
    <w:rsid w:val="37EE7ED1"/>
    <w:rsid w:val="38AD49B0"/>
    <w:rsid w:val="394C68A5"/>
    <w:rsid w:val="395E479A"/>
    <w:rsid w:val="39A36C2D"/>
    <w:rsid w:val="39AA29B9"/>
    <w:rsid w:val="39C9079C"/>
    <w:rsid w:val="39E71AEC"/>
    <w:rsid w:val="39F60058"/>
    <w:rsid w:val="3A104089"/>
    <w:rsid w:val="3AA14ABB"/>
    <w:rsid w:val="3AB8426E"/>
    <w:rsid w:val="3ACF765C"/>
    <w:rsid w:val="3AD278CD"/>
    <w:rsid w:val="3AEC4EB5"/>
    <w:rsid w:val="3AFA4BE5"/>
    <w:rsid w:val="3B144639"/>
    <w:rsid w:val="3B2A44B8"/>
    <w:rsid w:val="3B2B6476"/>
    <w:rsid w:val="3BBC038E"/>
    <w:rsid w:val="3C852047"/>
    <w:rsid w:val="3CA13116"/>
    <w:rsid w:val="3CA925AE"/>
    <w:rsid w:val="3CF877AB"/>
    <w:rsid w:val="3D306CB2"/>
    <w:rsid w:val="3D667959"/>
    <w:rsid w:val="3D8230F2"/>
    <w:rsid w:val="3D886E2C"/>
    <w:rsid w:val="3DA15114"/>
    <w:rsid w:val="3DD83D60"/>
    <w:rsid w:val="3E044CAE"/>
    <w:rsid w:val="3E7E078C"/>
    <w:rsid w:val="3EAD4174"/>
    <w:rsid w:val="3EAD7F9C"/>
    <w:rsid w:val="3EB32892"/>
    <w:rsid w:val="3EBC3336"/>
    <w:rsid w:val="3F064AE9"/>
    <w:rsid w:val="3F3B0C43"/>
    <w:rsid w:val="3F4C62B0"/>
    <w:rsid w:val="3F5160C2"/>
    <w:rsid w:val="3FB1022D"/>
    <w:rsid w:val="3FE828DE"/>
    <w:rsid w:val="402A34B8"/>
    <w:rsid w:val="40360CD1"/>
    <w:rsid w:val="40613E30"/>
    <w:rsid w:val="40736573"/>
    <w:rsid w:val="409B4A07"/>
    <w:rsid w:val="40F66678"/>
    <w:rsid w:val="4120577A"/>
    <w:rsid w:val="4167053C"/>
    <w:rsid w:val="416C3831"/>
    <w:rsid w:val="41FD121E"/>
    <w:rsid w:val="421A7627"/>
    <w:rsid w:val="4233112B"/>
    <w:rsid w:val="432F7565"/>
    <w:rsid w:val="43352B14"/>
    <w:rsid w:val="43702851"/>
    <w:rsid w:val="4424604A"/>
    <w:rsid w:val="445014AB"/>
    <w:rsid w:val="44FE409C"/>
    <w:rsid w:val="454F0B76"/>
    <w:rsid w:val="457E2BBE"/>
    <w:rsid w:val="45D43F84"/>
    <w:rsid w:val="45E076C0"/>
    <w:rsid w:val="4662498C"/>
    <w:rsid w:val="46A022D9"/>
    <w:rsid w:val="46A9554B"/>
    <w:rsid w:val="46BE1A6C"/>
    <w:rsid w:val="46D7175B"/>
    <w:rsid w:val="471B3499"/>
    <w:rsid w:val="48037A8A"/>
    <w:rsid w:val="48377D23"/>
    <w:rsid w:val="486634EE"/>
    <w:rsid w:val="48807890"/>
    <w:rsid w:val="48A64B98"/>
    <w:rsid w:val="48BC156D"/>
    <w:rsid w:val="48F765BE"/>
    <w:rsid w:val="49320F23"/>
    <w:rsid w:val="49DD73AE"/>
    <w:rsid w:val="49F95BD6"/>
    <w:rsid w:val="4A2D058F"/>
    <w:rsid w:val="4AD703A4"/>
    <w:rsid w:val="4B6D5DC5"/>
    <w:rsid w:val="4B6F7F5B"/>
    <w:rsid w:val="4B86504E"/>
    <w:rsid w:val="4BD07B58"/>
    <w:rsid w:val="4BF97BFE"/>
    <w:rsid w:val="4C3176AB"/>
    <w:rsid w:val="4C6E278E"/>
    <w:rsid w:val="4CF73C3A"/>
    <w:rsid w:val="4D7251FF"/>
    <w:rsid w:val="4E472C92"/>
    <w:rsid w:val="4E9D5C2D"/>
    <w:rsid w:val="4EBA57C1"/>
    <w:rsid w:val="4F0E39D4"/>
    <w:rsid w:val="4FA91AAC"/>
    <w:rsid w:val="4FBD0FF5"/>
    <w:rsid w:val="4FC854D7"/>
    <w:rsid w:val="50142DE1"/>
    <w:rsid w:val="5015687B"/>
    <w:rsid w:val="501926CA"/>
    <w:rsid w:val="505E3D68"/>
    <w:rsid w:val="50864577"/>
    <w:rsid w:val="5094143C"/>
    <w:rsid w:val="509C7E88"/>
    <w:rsid w:val="515C507C"/>
    <w:rsid w:val="516A440A"/>
    <w:rsid w:val="51791341"/>
    <w:rsid w:val="51C42E16"/>
    <w:rsid w:val="51FC59A2"/>
    <w:rsid w:val="525351F4"/>
    <w:rsid w:val="525A6FBC"/>
    <w:rsid w:val="526C0997"/>
    <w:rsid w:val="533D33D1"/>
    <w:rsid w:val="53670B33"/>
    <w:rsid w:val="53775B6A"/>
    <w:rsid w:val="53D43855"/>
    <w:rsid w:val="53EE1101"/>
    <w:rsid w:val="53FC4E8E"/>
    <w:rsid w:val="541717DC"/>
    <w:rsid w:val="54446DEC"/>
    <w:rsid w:val="553C46BA"/>
    <w:rsid w:val="55494082"/>
    <w:rsid w:val="557D5B60"/>
    <w:rsid w:val="55834A19"/>
    <w:rsid w:val="55F526C6"/>
    <w:rsid w:val="56066DC9"/>
    <w:rsid w:val="564031D9"/>
    <w:rsid w:val="564E1228"/>
    <w:rsid w:val="56A6131D"/>
    <w:rsid w:val="56A82B00"/>
    <w:rsid w:val="56BC5AD0"/>
    <w:rsid w:val="56D00C68"/>
    <w:rsid w:val="57895A45"/>
    <w:rsid w:val="57C5313B"/>
    <w:rsid w:val="57D807D4"/>
    <w:rsid w:val="57EA7969"/>
    <w:rsid w:val="58750691"/>
    <w:rsid w:val="58AB575D"/>
    <w:rsid w:val="59445F91"/>
    <w:rsid w:val="59815208"/>
    <w:rsid w:val="59F001A4"/>
    <w:rsid w:val="5A1E2DE7"/>
    <w:rsid w:val="5B123FA7"/>
    <w:rsid w:val="5B264EAA"/>
    <w:rsid w:val="5B613C0E"/>
    <w:rsid w:val="5B913B2C"/>
    <w:rsid w:val="5BBA5827"/>
    <w:rsid w:val="5BCA6564"/>
    <w:rsid w:val="5C1E3775"/>
    <w:rsid w:val="5C381264"/>
    <w:rsid w:val="5C672644"/>
    <w:rsid w:val="5C8132C7"/>
    <w:rsid w:val="5CA23A25"/>
    <w:rsid w:val="5CC26330"/>
    <w:rsid w:val="5CD67F41"/>
    <w:rsid w:val="5D017C51"/>
    <w:rsid w:val="5D463591"/>
    <w:rsid w:val="5D4F2A78"/>
    <w:rsid w:val="5D792AE4"/>
    <w:rsid w:val="5DAC3635"/>
    <w:rsid w:val="5DF91E52"/>
    <w:rsid w:val="5E2F58D3"/>
    <w:rsid w:val="5E4222CF"/>
    <w:rsid w:val="5E5A06FD"/>
    <w:rsid w:val="5E6D3270"/>
    <w:rsid w:val="5E9342EC"/>
    <w:rsid w:val="5F1E4EC5"/>
    <w:rsid w:val="5F3815EE"/>
    <w:rsid w:val="5F5C32D6"/>
    <w:rsid w:val="600E788A"/>
    <w:rsid w:val="602C0F1F"/>
    <w:rsid w:val="60375D41"/>
    <w:rsid w:val="604130CF"/>
    <w:rsid w:val="60794FD4"/>
    <w:rsid w:val="60814FEF"/>
    <w:rsid w:val="60D32F5A"/>
    <w:rsid w:val="610E2B4C"/>
    <w:rsid w:val="61DE43D4"/>
    <w:rsid w:val="61E06967"/>
    <w:rsid w:val="624216A0"/>
    <w:rsid w:val="626736F9"/>
    <w:rsid w:val="628E1BE9"/>
    <w:rsid w:val="62D06FF9"/>
    <w:rsid w:val="62D765EB"/>
    <w:rsid w:val="636B22CC"/>
    <w:rsid w:val="637F4381"/>
    <w:rsid w:val="63B65AC7"/>
    <w:rsid w:val="63D7428B"/>
    <w:rsid w:val="640C4C0D"/>
    <w:rsid w:val="645830D7"/>
    <w:rsid w:val="647258C3"/>
    <w:rsid w:val="64AA2E73"/>
    <w:rsid w:val="64E8446E"/>
    <w:rsid w:val="65376B47"/>
    <w:rsid w:val="654042F5"/>
    <w:rsid w:val="657F2ABC"/>
    <w:rsid w:val="660447CA"/>
    <w:rsid w:val="665622BC"/>
    <w:rsid w:val="665E5759"/>
    <w:rsid w:val="666C4EE6"/>
    <w:rsid w:val="66FB0FDC"/>
    <w:rsid w:val="66FC5AFF"/>
    <w:rsid w:val="67BA7741"/>
    <w:rsid w:val="680D0CA5"/>
    <w:rsid w:val="684539A1"/>
    <w:rsid w:val="68A45648"/>
    <w:rsid w:val="68A5668C"/>
    <w:rsid w:val="6911241F"/>
    <w:rsid w:val="69145B6D"/>
    <w:rsid w:val="691722BE"/>
    <w:rsid w:val="6918360E"/>
    <w:rsid w:val="69B67115"/>
    <w:rsid w:val="69EF53B4"/>
    <w:rsid w:val="6A126DD2"/>
    <w:rsid w:val="6A254DE4"/>
    <w:rsid w:val="6A420E56"/>
    <w:rsid w:val="6A924E32"/>
    <w:rsid w:val="6A94008C"/>
    <w:rsid w:val="6AC954A6"/>
    <w:rsid w:val="6AE60947"/>
    <w:rsid w:val="6B0B374F"/>
    <w:rsid w:val="6B1F0CCB"/>
    <w:rsid w:val="6B6234E5"/>
    <w:rsid w:val="6BBD11F5"/>
    <w:rsid w:val="6BD12800"/>
    <w:rsid w:val="6C5E02FC"/>
    <w:rsid w:val="6C721812"/>
    <w:rsid w:val="6C8B0F52"/>
    <w:rsid w:val="6C967106"/>
    <w:rsid w:val="6CDD0DD0"/>
    <w:rsid w:val="6D0127E4"/>
    <w:rsid w:val="6D19028F"/>
    <w:rsid w:val="6D1C168A"/>
    <w:rsid w:val="6D3668DD"/>
    <w:rsid w:val="6DB941BD"/>
    <w:rsid w:val="6E0365A1"/>
    <w:rsid w:val="6E5F1098"/>
    <w:rsid w:val="6EA41FA2"/>
    <w:rsid w:val="6F381CAC"/>
    <w:rsid w:val="6F9C6902"/>
    <w:rsid w:val="6FA0729C"/>
    <w:rsid w:val="70100CA2"/>
    <w:rsid w:val="70393572"/>
    <w:rsid w:val="70A24D48"/>
    <w:rsid w:val="70BA64EF"/>
    <w:rsid w:val="70C900DF"/>
    <w:rsid w:val="71326D32"/>
    <w:rsid w:val="713623DF"/>
    <w:rsid w:val="715A596A"/>
    <w:rsid w:val="717C247D"/>
    <w:rsid w:val="71816B8E"/>
    <w:rsid w:val="71832D29"/>
    <w:rsid w:val="71907818"/>
    <w:rsid w:val="71971329"/>
    <w:rsid w:val="71E95916"/>
    <w:rsid w:val="72206AAD"/>
    <w:rsid w:val="7250588C"/>
    <w:rsid w:val="726F5278"/>
    <w:rsid w:val="727E786A"/>
    <w:rsid w:val="72BD0544"/>
    <w:rsid w:val="72C0472D"/>
    <w:rsid w:val="72D11D5C"/>
    <w:rsid w:val="72E85DAD"/>
    <w:rsid w:val="730B14BE"/>
    <w:rsid w:val="732303D9"/>
    <w:rsid w:val="733A6A18"/>
    <w:rsid w:val="73532CC9"/>
    <w:rsid w:val="744975DD"/>
    <w:rsid w:val="746920A5"/>
    <w:rsid w:val="74C52CCA"/>
    <w:rsid w:val="74DE73F5"/>
    <w:rsid w:val="752A7E05"/>
    <w:rsid w:val="755169C7"/>
    <w:rsid w:val="75D07F8B"/>
    <w:rsid w:val="75EE5669"/>
    <w:rsid w:val="76957051"/>
    <w:rsid w:val="76BF34B5"/>
    <w:rsid w:val="773E064E"/>
    <w:rsid w:val="774E1211"/>
    <w:rsid w:val="777B71D8"/>
    <w:rsid w:val="77A54D53"/>
    <w:rsid w:val="77D52235"/>
    <w:rsid w:val="77FC6767"/>
    <w:rsid w:val="781A0BEC"/>
    <w:rsid w:val="78202415"/>
    <w:rsid w:val="78202E43"/>
    <w:rsid w:val="78213FC9"/>
    <w:rsid w:val="783B1525"/>
    <w:rsid w:val="78701D9C"/>
    <w:rsid w:val="7A0C1011"/>
    <w:rsid w:val="7A0E7A81"/>
    <w:rsid w:val="7A321CDB"/>
    <w:rsid w:val="7A6E32C8"/>
    <w:rsid w:val="7AC900CF"/>
    <w:rsid w:val="7B052FBD"/>
    <w:rsid w:val="7B5A5A6C"/>
    <w:rsid w:val="7B5C250E"/>
    <w:rsid w:val="7B5D162F"/>
    <w:rsid w:val="7B6D0F87"/>
    <w:rsid w:val="7B783FD8"/>
    <w:rsid w:val="7B9A3DB8"/>
    <w:rsid w:val="7BF20E1E"/>
    <w:rsid w:val="7C9408F4"/>
    <w:rsid w:val="7CB90CC2"/>
    <w:rsid w:val="7CD20C3B"/>
    <w:rsid w:val="7CFB2CE9"/>
    <w:rsid w:val="7D212CA5"/>
    <w:rsid w:val="7D255EE2"/>
    <w:rsid w:val="7D293184"/>
    <w:rsid w:val="7D69777E"/>
    <w:rsid w:val="7DB34706"/>
    <w:rsid w:val="7E1A0A9F"/>
    <w:rsid w:val="7E3C401A"/>
    <w:rsid w:val="7E641213"/>
    <w:rsid w:val="7E64269E"/>
    <w:rsid w:val="7EF34773"/>
    <w:rsid w:val="7F0D08DC"/>
    <w:rsid w:val="7F4029E3"/>
    <w:rsid w:val="7F714EE5"/>
    <w:rsid w:val="7F7F2734"/>
    <w:rsid w:val="7FA63F96"/>
    <w:rsid w:val="7FB9287C"/>
    <w:rsid w:val="7FCC47FD"/>
    <w:rsid w:val="7FFB1B6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6"/>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5"/>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0"/>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7"/>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7"/>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79"/>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szCs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Normal Indent"/>
    <w:basedOn w:val="1"/>
    <w:link w:val="67"/>
    <w:qFormat/>
    <w:uiPriority w:val="0"/>
    <w:pPr>
      <w:ind w:firstLine="420" w:firstLineChars="200"/>
    </w:pPr>
  </w:style>
  <w:style w:type="paragraph" w:styleId="13">
    <w:name w:val="Document Map"/>
    <w:basedOn w:val="1"/>
    <w:link w:val="74"/>
    <w:qFormat/>
    <w:uiPriority w:val="0"/>
    <w:pPr>
      <w:shd w:val="clear" w:color="auto" w:fill="000080"/>
    </w:pPr>
    <w:rPr>
      <w:kern w:val="0"/>
      <w:sz w:val="20"/>
    </w:rPr>
  </w:style>
  <w:style w:type="paragraph" w:styleId="14">
    <w:name w:val="annotation text"/>
    <w:basedOn w:val="1"/>
    <w:link w:val="56"/>
    <w:unhideWhenUsed/>
    <w:qFormat/>
    <w:uiPriority w:val="99"/>
    <w:pPr>
      <w:jc w:val="left"/>
    </w:pPr>
    <w:rPr>
      <w:kern w:val="0"/>
      <w:sz w:val="20"/>
    </w:rPr>
  </w:style>
  <w:style w:type="paragraph" w:styleId="15">
    <w:name w:val="Body Text 3"/>
    <w:basedOn w:val="1"/>
    <w:link w:val="60"/>
    <w:qFormat/>
    <w:uiPriority w:val="0"/>
    <w:rPr>
      <w:rFonts w:ascii="宋体"/>
      <w:kern w:val="0"/>
      <w:sz w:val="24"/>
      <w:szCs w:val="20"/>
    </w:rPr>
  </w:style>
  <w:style w:type="paragraph" w:styleId="16">
    <w:name w:val="Body Text"/>
    <w:basedOn w:val="1"/>
    <w:next w:val="1"/>
    <w:link w:val="63"/>
    <w:qFormat/>
    <w:uiPriority w:val="0"/>
    <w:pPr>
      <w:spacing w:after="120"/>
    </w:pPr>
    <w:rPr>
      <w:kern w:val="0"/>
      <w:sz w:val="20"/>
    </w:rPr>
  </w:style>
  <w:style w:type="paragraph" w:styleId="17">
    <w:name w:val="Body Text Indent"/>
    <w:basedOn w:val="1"/>
    <w:link w:val="73"/>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6"/>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80"/>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8"/>
    <w:qFormat/>
    <w:uiPriority w:val="0"/>
    <w:rPr>
      <w:kern w:val="0"/>
      <w:sz w:val="18"/>
      <w:szCs w:val="18"/>
    </w:rPr>
  </w:style>
  <w:style w:type="paragraph" w:styleId="26">
    <w:name w:val="footer"/>
    <w:basedOn w:val="1"/>
    <w:link w:val="92"/>
    <w:qFormat/>
    <w:uiPriority w:val="99"/>
    <w:pPr>
      <w:tabs>
        <w:tab w:val="center" w:pos="4153"/>
        <w:tab w:val="right" w:pos="8306"/>
      </w:tabs>
      <w:snapToGrid w:val="0"/>
      <w:jc w:val="left"/>
    </w:pPr>
    <w:rPr>
      <w:kern w:val="0"/>
      <w:sz w:val="18"/>
      <w:szCs w:val="18"/>
    </w:rPr>
  </w:style>
  <w:style w:type="paragraph" w:styleId="27">
    <w:name w:val="header"/>
    <w:basedOn w:val="1"/>
    <w:link w:val="70"/>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4"/>
    <w:basedOn w:val="1"/>
    <w:next w:val="1"/>
    <w:qFormat/>
    <w:uiPriority w:val="39"/>
    <w:pPr>
      <w:ind w:left="630"/>
      <w:jc w:val="left"/>
    </w:pPr>
    <w:rPr>
      <w:rFonts w:ascii="Calibri" w:hAnsi="Calibri"/>
      <w:sz w:val="18"/>
      <w:szCs w:val="18"/>
    </w:rPr>
  </w:style>
  <w:style w:type="paragraph" w:styleId="29">
    <w:name w:val="footnote text"/>
    <w:basedOn w:val="1"/>
    <w:link w:val="64"/>
    <w:qFormat/>
    <w:uiPriority w:val="0"/>
    <w:rPr>
      <w:kern w:val="0"/>
      <w:sz w:val="20"/>
      <w:szCs w:val="20"/>
    </w:rPr>
  </w:style>
  <w:style w:type="paragraph" w:styleId="30">
    <w:name w:val="toc 6"/>
    <w:basedOn w:val="1"/>
    <w:next w:val="1"/>
    <w:qFormat/>
    <w:uiPriority w:val="39"/>
    <w:pPr>
      <w:ind w:left="1050"/>
      <w:jc w:val="left"/>
    </w:pPr>
    <w:rPr>
      <w:rFonts w:ascii="Calibri" w:hAnsi="Calibri"/>
      <w:sz w:val="18"/>
      <w:szCs w:val="18"/>
    </w:rPr>
  </w:style>
  <w:style w:type="paragraph" w:styleId="31">
    <w:name w:val="Body Text Indent 3"/>
    <w:basedOn w:val="1"/>
    <w:link w:val="84"/>
    <w:qFormat/>
    <w:uiPriority w:val="0"/>
    <w:pPr>
      <w:spacing w:after="120"/>
      <w:ind w:left="420" w:leftChars="200"/>
    </w:pPr>
    <w:rPr>
      <w:kern w:val="0"/>
      <w:sz w:val="16"/>
      <w:szCs w:val="16"/>
    </w:rPr>
  </w:style>
  <w:style w:type="paragraph" w:styleId="32">
    <w:name w:val="table of figures"/>
    <w:basedOn w:val="1"/>
    <w:next w:val="1"/>
    <w:qFormat/>
    <w:uiPriority w:val="0"/>
    <w:pPr>
      <w:ind w:left="200" w:leftChars="200" w:hanging="200" w:hangingChars="200"/>
    </w:pPr>
  </w:style>
  <w:style w:type="paragraph" w:styleId="33">
    <w:name w:val="toc 2"/>
    <w:basedOn w:val="1"/>
    <w:next w:val="1"/>
    <w:qFormat/>
    <w:uiPriority w:val="39"/>
    <w:pPr>
      <w:ind w:left="210"/>
      <w:jc w:val="left"/>
    </w:pPr>
    <w:rPr>
      <w:rFonts w:ascii="Calibri" w:hAnsi="Calibri"/>
      <w:smallCaps/>
      <w:sz w:val="20"/>
      <w:szCs w:val="20"/>
    </w:rPr>
  </w:style>
  <w:style w:type="paragraph" w:styleId="34">
    <w:name w:val="toc 9"/>
    <w:basedOn w:val="1"/>
    <w:next w:val="1"/>
    <w:qFormat/>
    <w:uiPriority w:val="39"/>
    <w:pPr>
      <w:ind w:left="1680"/>
      <w:jc w:val="left"/>
    </w:pPr>
    <w:rPr>
      <w:rFonts w:ascii="Calibri" w:hAnsi="Calibri"/>
      <w:sz w:val="18"/>
      <w:szCs w:val="18"/>
    </w:rPr>
  </w:style>
  <w:style w:type="paragraph" w:styleId="35">
    <w:name w:val="HTML Preformatted"/>
    <w:basedOn w:val="1"/>
    <w:link w:val="9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7">
    <w:name w:val="index 1"/>
    <w:basedOn w:val="1"/>
    <w:next w:val="1"/>
    <w:semiHidden/>
    <w:qFormat/>
    <w:uiPriority w:val="0"/>
    <w:pPr>
      <w:spacing w:line="360" w:lineRule="auto"/>
      <w:jc w:val="center"/>
    </w:pPr>
    <w:rPr>
      <w:rFonts w:ascii="宋体" w:hAnsi="Arial" w:cs="Arial"/>
      <w:b/>
      <w:color w:val="000000"/>
      <w:sz w:val="24"/>
    </w:rPr>
  </w:style>
  <w:style w:type="paragraph" w:styleId="38">
    <w:name w:val="Title"/>
    <w:basedOn w:val="1"/>
    <w:link w:val="77"/>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9">
    <w:name w:val="annotation subject"/>
    <w:basedOn w:val="14"/>
    <w:next w:val="14"/>
    <w:link w:val="66"/>
    <w:qFormat/>
    <w:uiPriority w:val="0"/>
    <w:rPr>
      <w:b/>
      <w:bCs/>
    </w:rPr>
  </w:style>
  <w:style w:type="paragraph" w:styleId="40">
    <w:name w:val="Body Text First Indent"/>
    <w:basedOn w:val="16"/>
    <w:qFormat/>
    <w:uiPriority w:val="0"/>
    <w:pPr>
      <w:adjustRightInd w:val="0"/>
      <w:spacing w:line="275" w:lineRule="atLeast"/>
      <w:ind w:firstLine="420"/>
      <w:textAlignment w:val="baseline"/>
    </w:pPr>
    <w:rPr>
      <w:rFonts w:ascii="宋体" w:eastAsia="楷体_GB2312"/>
      <w:sz w:val="24"/>
      <w:szCs w:val="20"/>
    </w:rPr>
  </w:style>
  <w:style w:type="table" w:styleId="42">
    <w:name w:val="Table Grid"/>
    <w:basedOn w:val="41"/>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qFormat/>
    <w:uiPriority w:val="0"/>
  </w:style>
  <w:style w:type="character" w:styleId="46">
    <w:name w:val="FollowedHyperlink"/>
    <w:qFormat/>
    <w:uiPriority w:val="0"/>
    <w:rPr>
      <w:rFonts w:hint="default" w:ascii="Arial" w:hAnsi="Arial" w:eastAsia="Arial" w:cs="Arial"/>
      <w:color w:val="333333"/>
      <w:sz w:val="21"/>
      <w:szCs w:val="21"/>
      <w:u w:val="none"/>
    </w:rPr>
  </w:style>
  <w:style w:type="character" w:styleId="47">
    <w:name w:val="Hyperlink"/>
    <w:qFormat/>
    <w:uiPriority w:val="99"/>
    <w:rPr>
      <w:rFonts w:ascii="Arial" w:hAnsi="Arial" w:eastAsia="Arial" w:cs="Arial"/>
      <w:color w:val="333333"/>
      <w:sz w:val="21"/>
      <w:szCs w:val="21"/>
      <w:u w:val="none"/>
    </w:rPr>
  </w:style>
  <w:style w:type="character" w:styleId="48">
    <w:name w:val="annotation reference"/>
    <w:qFormat/>
    <w:uiPriority w:val="0"/>
    <w:rPr>
      <w:sz w:val="21"/>
      <w:szCs w:val="21"/>
    </w:rPr>
  </w:style>
  <w:style w:type="character" w:styleId="49">
    <w:name w:val="footnote reference"/>
    <w:qFormat/>
    <w:uiPriority w:val="0"/>
    <w:rPr>
      <w:vertAlign w:val="superscript"/>
    </w:rPr>
  </w:style>
  <w:style w:type="paragraph" w:customStyle="1" w:styleId="5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1">
    <w:name w:val="apple-style-span"/>
    <w:qFormat/>
    <w:uiPriority w:val="0"/>
    <w:rPr>
      <w:rFonts w:ascii="Verdana" w:hAnsi="Verdana" w:eastAsia="宋体"/>
      <w:sz w:val="21"/>
      <w:lang w:val="en-US" w:eastAsia="en-US" w:bidi="ar-SA"/>
    </w:rPr>
  </w:style>
  <w:style w:type="character" w:customStyle="1" w:styleId="52">
    <w:name w:val="正文文本 3 Char1"/>
    <w:semiHidden/>
    <w:qFormat/>
    <w:uiPriority w:val="99"/>
    <w:rPr>
      <w:rFonts w:ascii="Times New Roman" w:hAnsi="Times New Roman" w:eastAsia="宋体" w:cs="Times New Roman"/>
      <w:sz w:val="16"/>
      <w:szCs w:val="16"/>
    </w:rPr>
  </w:style>
  <w:style w:type="character" w:customStyle="1" w:styleId="53">
    <w:name w:val="样式 宋体"/>
    <w:qFormat/>
    <w:uiPriority w:val="0"/>
    <w:rPr>
      <w:rFonts w:ascii="Times New Roman" w:hAnsi="Times New Roman" w:eastAsia="宋体"/>
      <w:sz w:val="21"/>
    </w:rPr>
  </w:style>
  <w:style w:type="character" w:customStyle="1" w:styleId="54">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5">
    <w:name w:val="标题 3 字符"/>
    <w:link w:val="5"/>
    <w:qFormat/>
    <w:uiPriority w:val="0"/>
    <w:rPr>
      <w:rFonts w:ascii="Times New Roman" w:hAnsi="Times New Roman" w:eastAsia="宋体" w:cs="Times New Roman"/>
      <w:b/>
      <w:bCs/>
      <w:sz w:val="32"/>
      <w:szCs w:val="32"/>
    </w:rPr>
  </w:style>
  <w:style w:type="character" w:customStyle="1" w:styleId="56">
    <w:name w:val="批注文字 字符"/>
    <w:link w:val="14"/>
    <w:semiHidden/>
    <w:qFormat/>
    <w:uiPriority w:val="99"/>
    <w:rPr>
      <w:rFonts w:ascii="Times New Roman" w:hAnsi="Times New Roman" w:eastAsia="宋体" w:cs="Times New Roman"/>
      <w:szCs w:val="24"/>
    </w:rPr>
  </w:style>
  <w:style w:type="character" w:customStyle="1" w:styleId="57">
    <w:name w:val="标题 6 字符"/>
    <w:link w:val="7"/>
    <w:qFormat/>
    <w:uiPriority w:val="0"/>
    <w:rPr>
      <w:rFonts w:ascii="Arial" w:hAnsi="Arial" w:eastAsia="黑体" w:cs="Times New Roman"/>
      <w:b/>
      <w:bCs/>
      <w:kern w:val="0"/>
      <w:sz w:val="24"/>
      <w:szCs w:val="24"/>
    </w:rPr>
  </w:style>
  <w:style w:type="character" w:customStyle="1" w:styleId="58">
    <w:name w:val="Char Char8"/>
    <w:qFormat/>
    <w:uiPriority w:val="0"/>
    <w:rPr>
      <w:rFonts w:ascii="Arial" w:hAnsi="Arial" w:eastAsia="黑体"/>
      <w:b/>
      <w:bCs/>
      <w:kern w:val="2"/>
      <w:sz w:val="32"/>
      <w:szCs w:val="32"/>
      <w:lang w:val="en-US" w:eastAsia="zh-CN" w:bidi="ar-SA"/>
    </w:rPr>
  </w:style>
  <w:style w:type="character" w:customStyle="1" w:styleId="59">
    <w:name w:val="脚注文本 Char1"/>
    <w:semiHidden/>
    <w:qFormat/>
    <w:uiPriority w:val="99"/>
    <w:rPr>
      <w:rFonts w:ascii="Times New Roman" w:hAnsi="Times New Roman" w:eastAsia="宋体" w:cs="Times New Roman"/>
      <w:sz w:val="18"/>
      <w:szCs w:val="18"/>
    </w:rPr>
  </w:style>
  <w:style w:type="character" w:customStyle="1" w:styleId="60">
    <w:name w:val="正文文本 3 字符"/>
    <w:link w:val="15"/>
    <w:qFormat/>
    <w:uiPriority w:val="0"/>
    <w:rPr>
      <w:rFonts w:ascii="宋体"/>
      <w:sz w:val="24"/>
    </w:rPr>
  </w:style>
  <w:style w:type="character" w:customStyle="1" w:styleId="61">
    <w:name w:val="页脚 Char1"/>
    <w:semiHidden/>
    <w:qFormat/>
    <w:uiPriority w:val="99"/>
    <w:rPr>
      <w:rFonts w:ascii="Times New Roman" w:hAnsi="Times New Roman" w:eastAsia="宋体" w:cs="Times New Roman"/>
      <w:sz w:val="18"/>
      <w:szCs w:val="18"/>
    </w:rPr>
  </w:style>
  <w:style w:type="character" w:customStyle="1" w:styleId="62">
    <w:name w:val="标题 Char1"/>
    <w:qFormat/>
    <w:uiPriority w:val="10"/>
    <w:rPr>
      <w:rFonts w:ascii="Calibri Light" w:hAnsi="Calibri Light" w:eastAsia="宋体" w:cs="Times New Roman"/>
      <w:b/>
      <w:bCs/>
      <w:sz w:val="32"/>
      <w:szCs w:val="32"/>
    </w:rPr>
  </w:style>
  <w:style w:type="character" w:customStyle="1" w:styleId="63">
    <w:name w:val="正文文本 字符"/>
    <w:link w:val="16"/>
    <w:qFormat/>
    <w:uiPriority w:val="0"/>
    <w:rPr>
      <w:rFonts w:eastAsia="宋体"/>
      <w:szCs w:val="24"/>
    </w:rPr>
  </w:style>
  <w:style w:type="character" w:customStyle="1" w:styleId="64">
    <w:name w:val="脚注文本 字符"/>
    <w:link w:val="29"/>
    <w:qFormat/>
    <w:uiPriority w:val="0"/>
    <w:rPr>
      <w:rFonts w:eastAsia="宋体"/>
    </w:rPr>
  </w:style>
  <w:style w:type="character" w:customStyle="1" w:styleId="65">
    <w:name w:val="纯文本 Char1"/>
    <w:semiHidden/>
    <w:qFormat/>
    <w:uiPriority w:val="99"/>
    <w:rPr>
      <w:rFonts w:ascii="宋体" w:hAnsi="Courier New" w:eastAsia="宋体" w:cs="Courier New"/>
      <w:szCs w:val="21"/>
    </w:rPr>
  </w:style>
  <w:style w:type="character" w:customStyle="1" w:styleId="66">
    <w:name w:val="批注主题 字符"/>
    <w:link w:val="39"/>
    <w:qFormat/>
    <w:uiPriority w:val="0"/>
    <w:rPr>
      <w:rFonts w:ascii="Times New Roman" w:hAnsi="Times New Roman" w:eastAsia="宋体" w:cs="Times New Roman"/>
      <w:b/>
      <w:bCs/>
      <w:szCs w:val="24"/>
    </w:rPr>
  </w:style>
  <w:style w:type="character" w:customStyle="1" w:styleId="67">
    <w:name w:val="正文缩进 字符"/>
    <w:link w:val="12"/>
    <w:qFormat/>
    <w:locked/>
    <w:uiPriority w:val="0"/>
    <w:rPr>
      <w:kern w:val="2"/>
      <w:sz w:val="21"/>
      <w:szCs w:val="24"/>
    </w:rPr>
  </w:style>
  <w:style w:type="character" w:customStyle="1" w:styleId="68">
    <w:name w:val="font11"/>
    <w:qFormat/>
    <w:uiPriority w:val="0"/>
    <w:rPr>
      <w:rFonts w:hint="default" w:ascii="Times New Roman" w:hAnsi="Times New Roman" w:cs="Times New Roman"/>
      <w:color w:val="000000"/>
      <w:sz w:val="22"/>
      <w:szCs w:val="22"/>
      <w:u w:val="none"/>
    </w:rPr>
  </w:style>
  <w:style w:type="character" w:customStyle="1" w:styleId="69">
    <w:name w:val="font01"/>
    <w:qFormat/>
    <w:uiPriority w:val="0"/>
    <w:rPr>
      <w:rFonts w:hint="eastAsia" w:ascii="宋体" w:hAnsi="宋体" w:eastAsia="宋体" w:cs="宋体"/>
      <w:color w:val="000000"/>
      <w:sz w:val="22"/>
      <w:szCs w:val="22"/>
      <w:u w:val="none"/>
    </w:rPr>
  </w:style>
  <w:style w:type="character" w:customStyle="1" w:styleId="70">
    <w:name w:val="页眉 字符"/>
    <w:link w:val="27"/>
    <w:qFormat/>
    <w:uiPriority w:val="0"/>
    <w:rPr>
      <w:rFonts w:ascii="Times New Roman" w:hAnsi="Times New Roman" w:eastAsia="宋体" w:cs="Times New Roman"/>
      <w:sz w:val="18"/>
      <w:szCs w:val="18"/>
    </w:rPr>
  </w:style>
  <w:style w:type="character" w:customStyle="1" w:styleId="71">
    <w:name w:val="标题 9 字符"/>
    <w:link w:val="10"/>
    <w:qFormat/>
    <w:uiPriority w:val="0"/>
    <w:rPr>
      <w:rFonts w:ascii="Arial" w:hAnsi="Arial" w:eastAsia="黑体" w:cs="Times New Roman"/>
      <w:kern w:val="0"/>
      <w:szCs w:val="21"/>
    </w:rPr>
  </w:style>
  <w:style w:type="character" w:customStyle="1" w:styleId="72">
    <w:name w:val="标题 2 Char1"/>
    <w:qFormat/>
    <w:uiPriority w:val="0"/>
    <w:rPr>
      <w:rFonts w:ascii="Arial" w:hAnsi="Arial" w:eastAsia="黑体" w:cs="Times New Roman"/>
      <w:b/>
      <w:bCs/>
      <w:sz w:val="32"/>
      <w:szCs w:val="32"/>
      <w:lang w:val="en-US" w:eastAsia="en-US" w:bidi="ar-SA"/>
    </w:rPr>
  </w:style>
  <w:style w:type="character" w:customStyle="1" w:styleId="73">
    <w:name w:val="正文文本缩进 字符"/>
    <w:link w:val="17"/>
    <w:qFormat/>
    <w:uiPriority w:val="0"/>
    <w:rPr>
      <w:szCs w:val="24"/>
    </w:rPr>
  </w:style>
  <w:style w:type="character" w:customStyle="1" w:styleId="74">
    <w:name w:val="文档结构图 字符"/>
    <w:link w:val="13"/>
    <w:qFormat/>
    <w:uiPriority w:val="0"/>
    <w:rPr>
      <w:rFonts w:ascii="Times New Roman" w:hAnsi="Times New Roman" w:eastAsia="宋体" w:cs="Times New Roman"/>
      <w:szCs w:val="24"/>
      <w:shd w:val="clear" w:color="auto" w:fill="000080"/>
    </w:rPr>
  </w:style>
  <w:style w:type="character" w:customStyle="1" w:styleId="75">
    <w:name w:val="font161"/>
    <w:qFormat/>
    <w:uiPriority w:val="0"/>
    <w:rPr>
      <w:b/>
      <w:bCs/>
      <w:sz w:val="32"/>
      <w:szCs w:val="32"/>
    </w:rPr>
  </w:style>
  <w:style w:type="character" w:customStyle="1" w:styleId="76">
    <w:name w:val="标题 2 字符"/>
    <w:link w:val="4"/>
    <w:qFormat/>
    <w:uiPriority w:val="0"/>
    <w:rPr>
      <w:rFonts w:ascii="Arial" w:hAnsi="Arial" w:eastAsia="黑体" w:cs="Times New Roman"/>
      <w:b/>
      <w:bCs/>
      <w:sz w:val="32"/>
      <w:szCs w:val="32"/>
    </w:rPr>
  </w:style>
  <w:style w:type="character" w:customStyle="1" w:styleId="77">
    <w:name w:val="标题 字符"/>
    <w:link w:val="38"/>
    <w:qFormat/>
    <w:uiPriority w:val="0"/>
    <w:rPr>
      <w:rFonts w:ascii="Arial" w:hAnsi="Arial"/>
      <w:b/>
      <w:sz w:val="32"/>
    </w:rPr>
  </w:style>
  <w:style w:type="character" w:customStyle="1" w:styleId="78">
    <w:name w:val="批注框文本 字符"/>
    <w:link w:val="25"/>
    <w:qFormat/>
    <w:uiPriority w:val="0"/>
    <w:rPr>
      <w:rFonts w:ascii="Times New Roman" w:hAnsi="Times New Roman" w:eastAsia="宋体" w:cs="Times New Roman"/>
      <w:sz w:val="18"/>
      <w:szCs w:val="18"/>
    </w:rPr>
  </w:style>
  <w:style w:type="character" w:customStyle="1" w:styleId="79">
    <w:name w:val="标题 8 字符"/>
    <w:link w:val="9"/>
    <w:qFormat/>
    <w:uiPriority w:val="0"/>
    <w:rPr>
      <w:rFonts w:ascii="Arial" w:hAnsi="Arial" w:eastAsia="黑体" w:cs="Times New Roman"/>
      <w:kern w:val="0"/>
      <w:sz w:val="24"/>
      <w:szCs w:val="24"/>
    </w:rPr>
  </w:style>
  <w:style w:type="character" w:customStyle="1" w:styleId="80">
    <w:name w:val="日期 字符"/>
    <w:link w:val="23"/>
    <w:qFormat/>
    <w:uiPriority w:val="0"/>
    <w:rPr>
      <w:rFonts w:ascii="Times New Roman" w:hAnsi="Times New Roman" w:eastAsia="宋体" w:cs="Times New Roman"/>
      <w:sz w:val="24"/>
      <w:szCs w:val="20"/>
    </w:rPr>
  </w:style>
  <w:style w:type="character" w:customStyle="1" w:styleId="81">
    <w:name w:val="标题 1 字符"/>
    <w:link w:val="3"/>
    <w:qFormat/>
    <w:uiPriority w:val="0"/>
    <w:rPr>
      <w:rFonts w:ascii="Times New Roman" w:hAnsi="Times New Roman" w:eastAsia="宋体" w:cs="Times New Roman"/>
      <w:b/>
      <w:bCs/>
      <w:kern w:val="44"/>
      <w:sz w:val="44"/>
      <w:szCs w:val="44"/>
    </w:rPr>
  </w:style>
  <w:style w:type="character" w:customStyle="1" w:styleId="82">
    <w:name w:val="招标节 Char"/>
    <w:link w:val="83"/>
    <w:qFormat/>
    <w:locked/>
    <w:uiPriority w:val="0"/>
    <w:rPr>
      <w:b/>
      <w:sz w:val="24"/>
      <w:szCs w:val="24"/>
    </w:rPr>
  </w:style>
  <w:style w:type="paragraph" w:customStyle="1" w:styleId="83">
    <w:name w:val="招标节"/>
    <w:basedOn w:val="1"/>
    <w:next w:val="1"/>
    <w:link w:val="82"/>
    <w:qFormat/>
    <w:uiPriority w:val="0"/>
    <w:pPr>
      <w:spacing w:beforeLines="50" w:afterLines="50"/>
      <w:outlineLvl w:val="1"/>
    </w:pPr>
    <w:rPr>
      <w:b/>
      <w:kern w:val="0"/>
      <w:sz w:val="24"/>
    </w:rPr>
  </w:style>
  <w:style w:type="character" w:customStyle="1" w:styleId="84">
    <w:name w:val="正文文本缩进 3 字符"/>
    <w:link w:val="31"/>
    <w:qFormat/>
    <w:uiPriority w:val="0"/>
    <w:rPr>
      <w:rFonts w:ascii="Times New Roman" w:hAnsi="Times New Roman" w:eastAsia="宋体" w:cs="Times New Roman"/>
      <w:sz w:val="16"/>
      <w:szCs w:val="16"/>
    </w:rPr>
  </w:style>
  <w:style w:type="character" w:customStyle="1" w:styleId="85">
    <w:name w:val="tpc_content1"/>
    <w:qFormat/>
    <w:uiPriority w:val="0"/>
    <w:rPr>
      <w:sz w:val="20"/>
      <w:szCs w:val="20"/>
    </w:rPr>
  </w:style>
  <w:style w:type="character" w:customStyle="1" w:styleId="86">
    <w:name w:val="Char Char"/>
    <w:qFormat/>
    <w:uiPriority w:val="0"/>
    <w:rPr>
      <w:rFonts w:ascii="Arial" w:hAnsi="Arial" w:eastAsia="黑体"/>
      <w:b/>
      <w:bCs/>
      <w:kern w:val="2"/>
      <w:sz w:val="32"/>
      <w:szCs w:val="32"/>
      <w:lang w:val="en-US" w:eastAsia="zh-CN" w:bidi="ar-SA"/>
    </w:rPr>
  </w:style>
  <w:style w:type="character" w:customStyle="1" w:styleId="87">
    <w:name w:val="正文文本 Char1"/>
    <w:semiHidden/>
    <w:qFormat/>
    <w:uiPriority w:val="99"/>
    <w:rPr>
      <w:rFonts w:ascii="Times New Roman" w:hAnsi="Times New Roman" w:eastAsia="宋体" w:cs="Times New Roman"/>
      <w:szCs w:val="24"/>
    </w:rPr>
  </w:style>
  <w:style w:type="character" w:customStyle="1" w:styleId="88">
    <w:name w:val="Char Char2"/>
    <w:qFormat/>
    <w:uiPriority w:val="0"/>
    <w:rPr>
      <w:rFonts w:eastAsia="宋体"/>
      <w:kern w:val="2"/>
      <w:sz w:val="21"/>
      <w:szCs w:val="24"/>
      <w:lang w:val="en-US" w:eastAsia="zh-CN" w:bidi="ar-SA"/>
    </w:rPr>
  </w:style>
  <w:style w:type="character" w:customStyle="1" w:styleId="89">
    <w:name w:val="apple-converted-space"/>
    <w:qFormat/>
    <w:uiPriority w:val="0"/>
  </w:style>
  <w:style w:type="character" w:customStyle="1" w:styleId="90">
    <w:name w:val="标题 4 字符"/>
    <w:link w:val="6"/>
    <w:qFormat/>
    <w:uiPriority w:val="0"/>
    <w:rPr>
      <w:rFonts w:ascii="Arial" w:hAnsi="Arial" w:eastAsia="黑体" w:cs="Times New Roman"/>
      <w:b/>
      <w:bCs/>
      <w:sz w:val="28"/>
      <w:szCs w:val="28"/>
    </w:rPr>
  </w:style>
  <w:style w:type="character" w:customStyle="1" w:styleId="91">
    <w:name w:val="正文文本缩进 Char1"/>
    <w:semiHidden/>
    <w:qFormat/>
    <w:uiPriority w:val="99"/>
    <w:rPr>
      <w:rFonts w:ascii="Times New Roman" w:hAnsi="Times New Roman" w:eastAsia="宋体" w:cs="Times New Roman"/>
      <w:szCs w:val="24"/>
    </w:rPr>
  </w:style>
  <w:style w:type="character" w:customStyle="1" w:styleId="92">
    <w:name w:val="页脚 字符"/>
    <w:link w:val="26"/>
    <w:qFormat/>
    <w:uiPriority w:val="99"/>
    <w:rPr>
      <w:sz w:val="18"/>
      <w:szCs w:val="18"/>
    </w:rPr>
  </w:style>
  <w:style w:type="character" w:customStyle="1" w:styleId="93">
    <w:name w:val="Char Char7"/>
    <w:qFormat/>
    <w:uiPriority w:val="0"/>
    <w:rPr>
      <w:rFonts w:ascii="Arial" w:hAnsi="Arial" w:eastAsia="黑体"/>
      <w:b/>
      <w:bCs/>
      <w:kern w:val="2"/>
      <w:sz w:val="32"/>
      <w:szCs w:val="32"/>
      <w:lang w:val="en-US" w:eastAsia="zh-CN" w:bidi="ar-SA"/>
    </w:rPr>
  </w:style>
  <w:style w:type="character" w:customStyle="1" w:styleId="94">
    <w:name w:val="HTML 预设格式 字符"/>
    <w:link w:val="35"/>
    <w:qFormat/>
    <w:uiPriority w:val="0"/>
    <w:rPr>
      <w:rFonts w:ascii="微软雅黑" w:hAnsi="微软雅黑" w:eastAsia="微软雅黑" w:cs="Times New Roman"/>
      <w:kern w:val="0"/>
      <w:sz w:val="24"/>
      <w:szCs w:val="24"/>
    </w:rPr>
  </w:style>
  <w:style w:type="character" w:customStyle="1" w:styleId="95">
    <w:name w:val="批注文字 Char"/>
    <w:qFormat/>
    <w:uiPriority w:val="0"/>
    <w:rPr>
      <w:rFonts w:eastAsia="宋体"/>
      <w:kern w:val="2"/>
      <w:sz w:val="21"/>
      <w:szCs w:val="24"/>
      <w:lang w:val="en-US" w:eastAsia="zh-CN" w:bidi="ar-SA"/>
    </w:rPr>
  </w:style>
  <w:style w:type="character" w:customStyle="1" w:styleId="96">
    <w:name w:val="纯文本 字符"/>
    <w:link w:val="21"/>
    <w:qFormat/>
    <w:uiPriority w:val="99"/>
    <w:rPr>
      <w:rFonts w:ascii="Courier New" w:hAnsi="Courier New"/>
    </w:rPr>
  </w:style>
  <w:style w:type="character" w:customStyle="1" w:styleId="97">
    <w:name w:val="标题 7 字符"/>
    <w:link w:val="8"/>
    <w:qFormat/>
    <w:uiPriority w:val="0"/>
    <w:rPr>
      <w:rFonts w:ascii="Times New Roman" w:hAnsi="Times New Roman" w:eastAsia="宋体" w:cs="Times New Roman"/>
      <w:b/>
      <w:bCs/>
      <w:kern w:val="0"/>
      <w:sz w:val="24"/>
      <w:szCs w:val="24"/>
    </w:rPr>
  </w:style>
  <w:style w:type="paragraph" w:customStyle="1" w:styleId="98">
    <w:name w:val="样式4"/>
    <w:basedOn w:val="5"/>
    <w:qFormat/>
    <w:uiPriority w:val="0"/>
    <w:rPr>
      <w:rFonts w:eastAsia="Arial"/>
    </w:rPr>
  </w:style>
  <w:style w:type="paragraph" w:customStyle="1" w:styleId="99">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0">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font10"/>
    <w:basedOn w:val="1"/>
    <w:qFormat/>
    <w:uiPriority w:val="0"/>
    <w:pPr>
      <w:widowControl/>
      <w:spacing w:before="100" w:beforeAutospacing="1" w:after="100" w:afterAutospacing="1"/>
      <w:jc w:val="left"/>
    </w:pPr>
    <w:rPr>
      <w:kern w:val="0"/>
      <w:sz w:val="28"/>
      <w:szCs w:val="28"/>
    </w:rPr>
  </w:style>
  <w:style w:type="paragraph" w:customStyle="1" w:styleId="102">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样式1"/>
    <w:basedOn w:val="5"/>
    <w:qFormat/>
    <w:uiPriority w:val="0"/>
    <w:rPr>
      <w:rFonts w:eastAsia="Arial"/>
    </w:rPr>
  </w:style>
  <w:style w:type="paragraph" w:customStyle="1" w:styleId="105">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Char"/>
    <w:basedOn w:val="1"/>
    <w:qFormat/>
    <w:uiPriority w:val="0"/>
    <w:pPr>
      <w:tabs>
        <w:tab w:val="left" w:pos="360"/>
      </w:tabs>
    </w:pPr>
    <w:rPr>
      <w:sz w:val="24"/>
    </w:rPr>
  </w:style>
  <w:style w:type="paragraph" w:customStyle="1" w:styleId="108">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
    <w:name w:val="表格"/>
    <w:basedOn w:val="1"/>
    <w:qFormat/>
    <w:uiPriority w:val="0"/>
    <w:pPr>
      <w:jc w:val="center"/>
      <w:textAlignment w:val="center"/>
    </w:pPr>
    <w:rPr>
      <w:rFonts w:ascii="华文细黑" w:hAnsi="华文细黑"/>
      <w:kern w:val="0"/>
      <w:szCs w:val="20"/>
    </w:rPr>
  </w:style>
  <w:style w:type="paragraph" w:customStyle="1" w:styleId="110">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4">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列出段落1"/>
    <w:basedOn w:val="1"/>
    <w:qFormat/>
    <w:uiPriority w:val="34"/>
    <w:pPr>
      <w:ind w:firstLine="420" w:firstLineChars="200"/>
    </w:pPr>
    <w:rPr>
      <w:rFonts w:ascii="Calibri" w:hAnsi="Calibri"/>
      <w:szCs w:val="22"/>
    </w:rPr>
  </w:style>
  <w:style w:type="paragraph" w:customStyle="1" w:styleId="120">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1">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2">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4">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5">
    <w:name w:val="1"/>
    <w:basedOn w:val="1"/>
    <w:next w:val="1"/>
    <w:qFormat/>
    <w:uiPriority w:val="0"/>
  </w:style>
  <w:style w:type="paragraph" w:customStyle="1" w:styleId="126">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7">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29">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0">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1">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2">
    <w:name w:val="样式3"/>
    <w:basedOn w:val="5"/>
    <w:qFormat/>
    <w:uiPriority w:val="0"/>
    <w:rPr>
      <w:rFonts w:eastAsia="Arial"/>
    </w:rPr>
  </w:style>
  <w:style w:type="paragraph" w:customStyle="1" w:styleId="133">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6">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7">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8">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1">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2">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3">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4">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6">
    <w:name w:val="第二"/>
    <w:basedOn w:val="1"/>
    <w:qFormat/>
    <w:uiPriority w:val="0"/>
    <w:pPr>
      <w:adjustRightInd w:val="0"/>
      <w:snapToGrid w:val="0"/>
      <w:spacing w:line="360" w:lineRule="auto"/>
      <w:ind w:right="-108" w:rightChars="-45" w:firstLine="482"/>
    </w:pPr>
    <w:rPr>
      <w:b/>
    </w:rPr>
  </w:style>
  <w:style w:type="paragraph" w:customStyle="1" w:styleId="147">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8">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49">
    <w:name w:val="内容"/>
    <w:basedOn w:val="1"/>
    <w:qFormat/>
    <w:uiPriority w:val="0"/>
    <w:pPr>
      <w:spacing w:line="480" w:lineRule="exact"/>
      <w:ind w:firstLine="200" w:firstLineChars="200"/>
    </w:pPr>
  </w:style>
  <w:style w:type="paragraph" w:customStyle="1" w:styleId="150">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1">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2">
    <w:name w:val="列出段落11"/>
    <w:basedOn w:val="1"/>
    <w:qFormat/>
    <w:uiPriority w:val="99"/>
    <w:pPr>
      <w:ind w:firstLine="420" w:firstLineChars="200"/>
    </w:pPr>
  </w:style>
  <w:style w:type="paragraph" w:customStyle="1" w:styleId="153">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表格文字"/>
    <w:basedOn w:val="1"/>
    <w:qFormat/>
    <w:uiPriority w:val="0"/>
    <w:pPr>
      <w:adjustRightInd w:val="0"/>
      <w:spacing w:line="420" w:lineRule="atLeast"/>
      <w:jc w:val="left"/>
      <w:textAlignment w:val="baseline"/>
    </w:pPr>
    <w:rPr>
      <w:kern w:val="0"/>
      <w:szCs w:val="20"/>
    </w:rPr>
  </w:style>
  <w:style w:type="paragraph" w:customStyle="1" w:styleId="155">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6">
    <w:name w:val="样式2"/>
    <w:basedOn w:val="5"/>
    <w:qFormat/>
    <w:uiPriority w:val="0"/>
  </w:style>
  <w:style w:type="character" w:customStyle="1" w:styleId="157">
    <w:name w:val="after"/>
    <w:qFormat/>
    <w:uiPriority w:val="0"/>
    <w:rPr>
      <w:bdr w:val="dashed" w:color="auto" w:sz="48" w:space="0"/>
    </w:rPr>
  </w:style>
  <w:style w:type="character" w:customStyle="1" w:styleId="158">
    <w:name w:val="before"/>
    <w:qFormat/>
    <w:uiPriority w:val="0"/>
    <w:rPr>
      <w:bdr w:val="single" w:color="auto" w:sz="48" w:space="0"/>
    </w:rPr>
  </w:style>
  <w:style w:type="character" w:customStyle="1" w:styleId="159">
    <w:name w:val="hover48"/>
    <w:qFormat/>
    <w:uiPriority w:val="0"/>
    <w:rPr>
      <w:shd w:val="clear" w:color="auto" w:fill="346AC3"/>
    </w:rPr>
  </w:style>
  <w:style w:type="character" w:customStyle="1" w:styleId="160">
    <w:name w:val="hover49"/>
    <w:basedOn w:val="43"/>
    <w:qFormat/>
    <w:uiPriority w:val="0"/>
  </w:style>
  <w:style w:type="character" w:customStyle="1" w:styleId="161">
    <w:name w:val="hover50"/>
    <w:qFormat/>
    <w:uiPriority w:val="0"/>
    <w:rPr>
      <w:color w:val="4285F4"/>
      <w:u w:val="none"/>
    </w:rPr>
  </w:style>
  <w:style w:type="character" w:customStyle="1" w:styleId="162">
    <w:name w:val="hover51"/>
    <w:qFormat/>
    <w:uiPriority w:val="0"/>
    <w:rPr>
      <w:color w:val="4285F4"/>
    </w:rPr>
  </w:style>
  <w:style w:type="character" w:customStyle="1" w:styleId="163">
    <w:name w:val="hover52"/>
    <w:qFormat/>
    <w:uiPriority w:val="0"/>
    <w:rPr>
      <w:color w:val="1A85D7"/>
    </w:rPr>
  </w:style>
  <w:style w:type="character" w:customStyle="1" w:styleId="164">
    <w:name w:val="credit"/>
    <w:qFormat/>
    <w:uiPriority w:val="0"/>
    <w:rPr>
      <w:sz w:val="18"/>
      <w:szCs w:val="18"/>
    </w:rPr>
  </w:style>
  <w:style w:type="character" w:customStyle="1" w:styleId="165">
    <w:name w:val="first-child"/>
    <w:basedOn w:val="43"/>
    <w:qFormat/>
    <w:uiPriority w:val="0"/>
  </w:style>
  <w:style w:type="paragraph" w:styleId="166">
    <w:name w:val="List Paragraph"/>
    <w:basedOn w:val="1"/>
    <w:qFormat/>
    <w:uiPriority w:val="34"/>
    <w:pPr>
      <w:ind w:firstLine="420" w:firstLineChars="200"/>
    </w:pPr>
  </w:style>
  <w:style w:type="paragraph" w:customStyle="1" w:styleId="167">
    <w:name w:val="表格内正文，无编号"/>
    <w:basedOn w:val="1"/>
    <w:qFormat/>
    <w:uiPriority w:val="0"/>
    <w:pPr>
      <w:spacing w:line="400" w:lineRule="exact"/>
      <w:ind w:firstLine="643" w:firstLineChars="200"/>
    </w:pPr>
  </w:style>
  <w:style w:type="paragraph" w:customStyle="1" w:styleId="168">
    <w:name w:val="符号列表"/>
    <w:basedOn w:val="1"/>
    <w:next w:val="119"/>
    <w:qFormat/>
    <w:uiPriority w:val="34"/>
    <w:pPr>
      <w:spacing w:beforeLines="50"/>
      <w:ind w:firstLine="420" w:firstLineChars="200"/>
    </w:pPr>
    <w:rPr>
      <w:rFonts w:ascii="Calibri" w:hAnsi="Calibri"/>
      <w:sz w:val="24"/>
      <w:szCs w:val="22"/>
      <w:lang w:val="zh-CN"/>
    </w:rPr>
  </w:style>
  <w:style w:type="paragraph" w:customStyle="1" w:styleId="169">
    <w:name w:val="表体"/>
    <w:basedOn w:val="1"/>
    <w:next w:val="1"/>
    <w:qFormat/>
    <w:uiPriority w:val="0"/>
    <w:pPr>
      <w:snapToGrid w:val="0"/>
      <w:spacing w:line="0" w:lineRule="atLeast"/>
    </w:pPr>
    <w:rPr>
      <w:b/>
      <w:szCs w:val="20"/>
    </w:rPr>
  </w:style>
  <w:style w:type="paragraph" w:customStyle="1" w:styleId="170">
    <w:name w:val="*正文"/>
    <w:basedOn w:val="1"/>
    <w:qFormat/>
    <w:uiPriority w:val="0"/>
    <w:pPr>
      <w:widowControl/>
      <w:ind w:firstLine="200" w:firstLineChars="200"/>
    </w:pPr>
    <w:rPr>
      <w:rFonts w:ascii="仿宋_GB2312" w:eastAsia="仿宋_GB2312" w:cstheme="minorBidi"/>
      <w:sz w:val="24"/>
      <w:szCs w:val="28"/>
    </w:rPr>
  </w:style>
  <w:style w:type="paragraph" w:customStyle="1" w:styleId="171">
    <w:name w:val="图例"/>
    <w:basedOn w:val="1"/>
    <w:qFormat/>
    <w:uiPriority w:val="0"/>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34</Pages>
  <Words>2499</Words>
  <Characters>14245</Characters>
  <Lines>118</Lines>
  <Paragraphs>33</Paragraphs>
  <TotalTime>6</TotalTime>
  <ScaleCrop>false</ScaleCrop>
  <LinksUpToDate>false</LinksUpToDate>
  <CharactersWithSpaces>16711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2020-04-30T00:16:00Z</dcterms:created>
  <dc:creator>陈桂兰</dc:creator>
  <cp:lastModifiedBy>Kevin</cp:lastModifiedBy>
  <cp:lastPrinted>2020-05-11T23:11:00Z</cp:lastPrinted>
  <dcterms:modified xsi:type="dcterms:W3CDTF">2022-12-06T06:32:39Z</dcterms:modified>
  <dc:title>项目名称：2019年重庆市取消高速公路省界收费站项目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2A9A7D8B47224DF38B5BD0A2E46B16A0</vt:lpwstr>
  </property>
</Properties>
</file>