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Times New Roman" w:cs="宋体"/>
          <w:b/>
          <w:bCs/>
          <w:color w:val="auto"/>
          <w:kern w:val="2"/>
          <w:sz w:val="28"/>
          <w:szCs w:val="28"/>
          <w:highlight w:val="none"/>
          <w:lang w:eastAsia="zh-CN"/>
        </w:rPr>
      </w:pPr>
      <w:r>
        <w:rPr>
          <w:rFonts w:hint="eastAsia" w:ascii="宋体" w:hAnsi="Times New Roman" w:cs="宋体"/>
          <w:b/>
          <w:bCs/>
          <w:color w:val="auto"/>
          <w:kern w:val="2"/>
          <w:sz w:val="28"/>
          <w:szCs w:val="28"/>
          <w:highlight w:val="none"/>
          <w:lang w:eastAsia="zh-CN"/>
        </w:rPr>
        <w:t>渝湘高速公路复线（巴南至彭水段、彭水至酉阳段、武隆至道真（重庆段））高速公路项目交工验收工程质量检测BPJG1合同段</w:t>
      </w:r>
    </w:p>
    <w:p>
      <w:pPr>
        <w:jc w:val="center"/>
        <w:rPr>
          <w:rFonts w:hint="eastAsia" w:ascii="宋体" w:hAnsi="Times New Roman" w:cs="宋体"/>
          <w:b/>
          <w:bCs/>
          <w:color w:val="auto"/>
          <w:kern w:val="2"/>
          <w:sz w:val="28"/>
          <w:szCs w:val="28"/>
          <w:highlight w:val="none"/>
          <w:lang w:eastAsia="zh-CN"/>
        </w:rPr>
      </w:pPr>
      <w:r>
        <w:rPr>
          <w:rFonts w:hint="eastAsia" w:ascii="宋体" w:hAnsi="Times New Roman" w:cs="宋体"/>
          <w:b/>
          <w:bCs/>
          <w:color w:val="auto"/>
          <w:kern w:val="2"/>
          <w:sz w:val="28"/>
          <w:szCs w:val="28"/>
          <w:highlight w:val="none"/>
          <w:lang w:eastAsia="zh-CN"/>
        </w:rPr>
        <w:t>中标候选人公示表</w:t>
      </w:r>
    </w:p>
    <w:p>
      <w:pPr>
        <w:jc w:val="center"/>
        <w:rPr>
          <w:rFonts w:ascii="方正小标宋_GBK" w:eastAsia="方正小标宋_GBK"/>
          <w:sz w:val="30"/>
          <w:szCs w:val="30"/>
        </w:rPr>
      </w:pPr>
      <w:r>
        <w:rPr>
          <w:rFonts w:hint="eastAsia" w:ascii="方正小标宋_GBK" w:eastAsia="方正小标宋_GBK"/>
          <w:sz w:val="30"/>
          <w:szCs w:val="30"/>
        </w:rPr>
        <w:t>（公示期：</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10</w:t>
      </w:r>
      <w:r>
        <w:rPr>
          <w:rFonts w:hint="eastAsia" w:ascii="方正小标宋_GBK" w:eastAsia="方正小标宋_GBK"/>
          <w:sz w:val="30"/>
          <w:szCs w:val="30"/>
        </w:rPr>
        <w:t>月</w:t>
      </w:r>
      <w:r>
        <w:rPr>
          <w:rFonts w:hint="eastAsia" w:ascii="方正小标宋_GBK" w:eastAsia="方正小标宋_GBK"/>
          <w:sz w:val="30"/>
          <w:szCs w:val="30"/>
          <w:lang w:val="en-US" w:eastAsia="zh-CN"/>
        </w:rPr>
        <w:t>20</w:t>
      </w:r>
      <w:r>
        <w:rPr>
          <w:rFonts w:hint="eastAsia" w:ascii="方正小标宋_GBK" w:eastAsia="方正小标宋_GBK"/>
          <w:sz w:val="30"/>
          <w:szCs w:val="30"/>
        </w:rPr>
        <w:t>日至</w:t>
      </w:r>
      <w:r>
        <w:rPr>
          <w:rFonts w:hint="eastAsia" w:ascii="方正小标宋_GBK" w:eastAsia="方正小标宋_GBK"/>
          <w:sz w:val="30"/>
          <w:szCs w:val="30"/>
          <w:lang w:val="en-US" w:eastAsia="zh-CN"/>
        </w:rPr>
        <w:t>2022</w:t>
      </w:r>
      <w:r>
        <w:rPr>
          <w:rFonts w:hint="eastAsia" w:ascii="方正小标宋_GBK" w:eastAsia="方正小标宋_GBK"/>
          <w:sz w:val="30"/>
          <w:szCs w:val="30"/>
        </w:rPr>
        <w:t>年</w:t>
      </w:r>
      <w:r>
        <w:rPr>
          <w:rFonts w:hint="eastAsia" w:ascii="方正小标宋_GBK" w:eastAsia="方正小标宋_GBK"/>
          <w:sz w:val="30"/>
          <w:szCs w:val="30"/>
          <w:lang w:val="en-US" w:eastAsia="zh-CN"/>
        </w:rPr>
        <w:t>10</w:t>
      </w:r>
      <w:r>
        <w:rPr>
          <w:rFonts w:hint="eastAsia" w:ascii="方正小标宋_GBK" w:eastAsia="方正小标宋_GBK"/>
          <w:sz w:val="30"/>
          <w:szCs w:val="30"/>
        </w:rPr>
        <w:t>月</w:t>
      </w:r>
      <w:r>
        <w:rPr>
          <w:rFonts w:hint="eastAsia" w:ascii="方正小标宋_GBK" w:eastAsia="方正小标宋_GBK"/>
          <w:sz w:val="30"/>
          <w:szCs w:val="30"/>
          <w:lang w:val="en-US" w:eastAsia="zh-CN"/>
        </w:rPr>
        <w:t xml:space="preserve"> 24 </w:t>
      </w:r>
      <w:r>
        <w:rPr>
          <w:rFonts w:hint="eastAsia" w:ascii="方正小标宋_GBK" w:eastAsia="方正小标宋_GBK"/>
          <w:sz w:val="30"/>
          <w:szCs w:val="30"/>
        </w:rPr>
        <w:t>日）</w:t>
      </w:r>
    </w:p>
    <w:tbl>
      <w:tblPr>
        <w:tblStyle w:val="2"/>
        <w:tblpPr w:leftFromText="180" w:rightFromText="180" w:vertAnchor="text" w:horzAnchor="margin" w:tblpXSpec="center" w:tblpY="227"/>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209"/>
        <w:gridCol w:w="1409"/>
        <w:gridCol w:w="441"/>
        <w:gridCol w:w="330"/>
        <w:gridCol w:w="744"/>
        <w:gridCol w:w="989"/>
        <w:gridCol w:w="700"/>
        <w:gridCol w:w="1042"/>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2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4133" w:type="dxa"/>
            <w:gridSpan w:val="5"/>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渝湘高速公路复线（巴南至彭水段、彭水至酉阳段、武隆至道真（重庆段））高速公路项目交工验收工程质量检测BPJG1合同段</w:t>
            </w:r>
            <w:r>
              <w:rPr>
                <w:rFonts w:hint="eastAsia" w:ascii="宋体" w:hAnsi="宋体" w:eastAsia="宋体" w:cs="宋体"/>
                <w:color w:val="000000"/>
                <w:kern w:val="0"/>
                <w:sz w:val="20"/>
                <w:szCs w:val="20"/>
              </w:rPr>
              <w:t>　</w:t>
            </w:r>
          </w:p>
        </w:tc>
        <w:tc>
          <w:tcPr>
            <w:tcW w:w="1689" w:type="dxa"/>
            <w:gridSpan w:val="2"/>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最高限价（或招标控制价）（元）</w:t>
            </w:r>
          </w:p>
        </w:tc>
        <w:tc>
          <w:tcPr>
            <w:tcW w:w="3117" w:type="dxa"/>
            <w:gridSpan w:val="2"/>
            <w:vMerge w:val="restart"/>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lang w:eastAsia="zh-CN"/>
              </w:rPr>
              <w:t>13097038</w:t>
            </w:r>
            <w:r>
              <w:rPr>
                <w:rFonts w:hint="eastAsia" w:ascii="Calibri" w:hAnsi="Calibri" w:eastAsia="宋体" w:cs="Calibri"/>
                <w:color w:val="000000"/>
                <w:kern w:val="0"/>
                <w:sz w:val="20"/>
                <w:szCs w:val="20"/>
                <w:lang w:val="en-US" w:eastAsia="zh-CN"/>
              </w:rPr>
              <w:t>元</w:t>
            </w:r>
            <w:r>
              <w:rPr>
                <w:rFonts w:ascii="Calibri" w:hAnsi="Calibri" w:eastAsia="宋体" w:cs="Calibri"/>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2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4133" w:type="dxa"/>
            <w:gridSpan w:val="5"/>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FG2200160676A</w:t>
            </w:r>
          </w:p>
        </w:tc>
        <w:tc>
          <w:tcPr>
            <w:tcW w:w="1689"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3117" w:type="dxa"/>
            <w:gridSpan w:val="2"/>
            <w:vMerge w:val="continue"/>
            <w:shd w:val="clear" w:color="auto" w:fill="auto"/>
            <w:vAlign w:val="center"/>
          </w:tcPr>
          <w:p>
            <w:pPr>
              <w:widowControl/>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2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4133" w:type="dxa"/>
            <w:gridSpan w:val="5"/>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689"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3117" w:type="dxa"/>
            <w:gridSpan w:val="2"/>
            <w:vMerge w:val="continue"/>
            <w:shd w:val="clear" w:color="auto" w:fill="auto"/>
            <w:vAlign w:val="center"/>
          </w:tcPr>
          <w:p>
            <w:pPr>
              <w:widowControl/>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22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4133" w:type="dxa"/>
            <w:gridSpan w:val="5"/>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Times New Roman" w:hAnsi="Times New Roman" w:eastAsia="宋体" w:cs="Times New Roman"/>
                <w:color w:val="auto"/>
                <w:szCs w:val="21"/>
                <w:highlight w:val="none"/>
                <w:lang w:val="en-US" w:eastAsia="zh-CN" w:bidi="ar-SA"/>
              </w:rPr>
              <w:t>重庆渝湘复线高速公路有限公司</w:t>
            </w:r>
            <w:r>
              <w:rPr>
                <w:rFonts w:ascii="Calibri" w:hAnsi="Calibri" w:eastAsia="宋体" w:cs="Calibri"/>
                <w:color w:val="000000"/>
                <w:kern w:val="0"/>
                <w:sz w:val="20"/>
                <w:szCs w:val="20"/>
              </w:rPr>
              <w:t>　</w:t>
            </w:r>
          </w:p>
        </w:tc>
        <w:tc>
          <w:tcPr>
            <w:tcW w:w="1689"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3117" w:type="dxa"/>
            <w:gridSpan w:val="2"/>
            <w:shd w:val="clear" w:color="auto" w:fill="auto"/>
            <w:vAlign w:val="center"/>
          </w:tcPr>
          <w:p>
            <w:pPr>
              <w:widowControl/>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r>
              <w:rPr>
                <w:rFonts w:hint="eastAsia" w:asciiTheme="majorEastAsia" w:hAnsiTheme="majorEastAsia" w:eastAsiaTheme="majorEastAsia" w:cstheme="majorEastAsia"/>
                <w:color w:val="auto"/>
                <w:szCs w:val="21"/>
                <w:highlight w:val="none"/>
                <w:lang w:val="en-US" w:eastAsia="zh-CN" w:bidi="ar-SA"/>
              </w:rPr>
              <w:t>023-89136372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221"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4133" w:type="dxa"/>
            <w:gridSpan w:val="5"/>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Times New Roman" w:hAnsi="Times New Roman" w:eastAsia="宋体" w:cs="Times New Roman"/>
                <w:color w:val="auto"/>
                <w:szCs w:val="21"/>
                <w:highlight w:val="none"/>
                <w:lang w:val="en-US" w:eastAsia="zh-CN" w:bidi="ar-SA"/>
              </w:rPr>
              <w:t>重庆国际投资咨询集团有限公司</w:t>
            </w:r>
            <w:r>
              <w:rPr>
                <w:rFonts w:ascii="Calibri" w:hAnsi="Calibri" w:eastAsia="宋体" w:cs="Calibri"/>
                <w:color w:val="000000"/>
                <w:kern w:val="0"/>
                <w:sz w:val="20"/>
                <w:szCs w:val="20"/>
              </w:rPr>
              <w:t>　</w:t>
            </w:r>
          </w:p>
        </w:tc>
        <w:tc>
          <w:tcPr>
            <w:tcW w:w="1689"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3117" w:type="dxa"/>
            <w:gridSpan w:val="2"/>
            <w:shd w:val="clear" w:color="auto" w:fill="auto"/>
            <w:vAlign w:val="center"/>
          </w:tcPr>
          <w:p>
            <w:pPr>
              <w:widowControl/>
              <w:jc w:val="left"/>
              <w:rPr>
                <w:rFonts w:hint="eastAsia" w:asciiTheme="majorEastAsia" w:hAnsiTheme="majorEastAsia" w:eastAsiaTheme="majorEastAsia" w:cstheme="majorEastAsia"/>
                <w:color w:val="000000"/>
                <w:kern w:val="0"/>
                <w:sz w:val="20"/>
                <w:szCs w:val="20"/>
              </w:rPr>
            </w:pPr>
            <w:r>
              <w:rPr>
                <w:rFonts w:hint="eastAsia" w:asciiTheme="majorEastAsia" w:hAnsiTheme="majorEastAsia" w:eastAsiaTheme="majorEastAsia" w:cstheme="majorEastAsia"/>
                <w:color w:val="000000"/>
                <w:kern w:val="0"/>
                <w:sz w:val="20"/>
                <w:szCs w:val="20"/>
              </w:rPr>
              <w:t>　</w:t>
            </w:r>
            <w:r>
              <w:rPr>
                <w:rFonts w:hint="eastAsia" w:asciiTheme="majorEastAsia" w:hAnsiTheme="majorEastAsia" w:eastAsiaTheme="majorEastAsia" w:cstheme="majorEastAsia"/>
                <w:color w:val="auto"/>
                <w:szCs w:val="21"/>
                <w:highlight w:val="none"/>
                <w:lang w:val="en-US" w:eastAsia="zh-CN" w:bidi="ar-SA"/>
              </w:rPr>
              <w:t>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21"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得分</w:t>
            </w:r>
            <w:r>
              <w:rPr>
                <w:rFonts w:hint="eastAsia" w:ascii="宋体" w:hAnsi="宋体" w:eastAsia="宋体" w:cs="宋体"/>
                <w:color w:val="000000"/>
                <w:kern w:val="0"/>
                <w:sz w:val="22"/>
              </w:rPr>
              <w:t>排序</w:t>
            </w:r>
          </w:p>
        </w:tc>
        <w:tc>
          <w:tcPr>
            <w:tcW w:w="1209"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名称</w:t>
            </w:r>
          </w:p>
        </w:tc>
        <w:tc>
          <w:tcPr>
            <w:tcW w:w="1409" w:type="dxa"/>
            <w:vMerge w:val="restart"/>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投标报价</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元</w:t>
            </w:r>
            <w:r>
              <w:rPr>
                <w:rFonts w:hint="eastAsia" w:ascii="宋体" w:hAnsi="宋体" w:eastAsia="宋体" w:cs="宋体"/>
                <w:color w:val="000000"/>
                <w:kern w:val="0"/>
                <w:sz w:val="22"/>
                <w:lang w:eastAsia="zh-CN"/>
              </w:rPr>
              <w:t>）</w:t>
            </w:r>
          </w:p>
        </w:tc>
        <w:tc>
          <w:tcPr>
            <w:tcW w:w="771" w:type="dxa"/>
            <w:gridSpan w:val="2"/>
            <w:vMerge w:val="restart"/>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服务周期</w:t>
            </w:r>
          </w:p>
        </w:tc>
        <w:tc>
          <w:tcPr>
            <w:tcW w:w="744" w:type="dxa"/>
            <w:vMerge w:val="restart"/>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质量</w:t>
            </w:r>
            <w:r>
              <w:rPr>
                <w:rFonts w:hint="eastAsia" w:ascii="宋体" w:hAnsi="宋体" w:eastAsia="宋体" w:cs="宋体"/>
                <w:color w:val="000000"/>
                <w:kern w:val="0"/>
                <w:sz w:val="22"/>
                <w:lang w:val="en-US" w:eastAsia="zh-CN"/>
              </w:rPr>
              <w:t>要求</w:t>
            </w:r>
          </w:p>
        </w:tc>
        <w:tc>
          <w:tcPr>
            <w:tcW w:w="4806" w:type="dxa"/>
            <w:gridSpan w:val="4"/>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拟任项目负责人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21" w:type="dxa"/>
            <w:vMerge w:val="continue"/>
            <w:vAlign w:val="center"/>
          </w:tcPr>
          <w:p>
            <w:pPr>
              <w:widowControl/>
              <w:jc w:val="left"/>
              <w:rPr>
                <w:rFonts w:ascii="宋体" w:hAnsi="宋体" w:eastAsia="宋体" w:cs="宋体"/>
                <w:color w:val="000000"/>
                <w:kern w:val="0"/>
                <w:sz w:val="22"/>
              </w:rPr>
            </w:pPr>
          </w:p>
        </w:tc>
        <w:tc>
          <w:tcPr>
            <w:tcW w:w="1209" w:type="dxa"/>
            <w:vMerge w:val="continue"/>
            <w:vAlign w:val="center"/>
          </w:tcPr>
          <w:p>
            <w:pPr>
              <w:widowControl/>
              <w:jc w:val="left"/>
              <w:rPr>
                <w:rFonts w:ascii="宋体" w:hAnsi="宋体" w:eastAsia="宋体" w:cs="宋体"/>
                <w:color w:val="000000"/>
                <w:kern w:val="0"/>
                <w:sz w:val="22"/>
              </w:rPr>
            </w:pPr>
          </w:p>
        </w:tc>
        <w:tc>
          <w:tcPr>
            <w:tcW w:w="1409" w:type="dxa"/>
            <w:vMerge w:val="continue"/>
            <w:vAlign w:val="center"/>
          </w:tcPr>
          <w:p>
            <w:pPr>
              <w:widowControl/>
              <w:jc w:val="left"/>
              <w:rPr>
                <w:rFonts w:ascii="宋体" w:hAnsi="宋体" w:eastAsia="宋体" w:cs="宋体"/>
                <w:color w:val="000000"/>
                <w:kern w:val="0"/>
                <w:sz w:val="22"/>
              </w:rPr>
            </w:pPr>
          </w:p>
        </w:tc>
        <w:tc>
          <w:tcPr>
            <w:tcW w:w="771" w:type="dxa"/>
            <w:gridSpan w:val="2"/>
            <w:vMerge w:val="continue"/>
            <w:vAlign w:val="center"/>
          </w:tcPr>
          <w:p>
            <w:pPr>
              <w:widowControl/>
              <w:jc w:val="left"/>
              <w:rPr>
                <w:rFonts w:ascii="宋体" w:hAnsi="宋体" w:eastAsia="宋体" w:cs="宋体"/>
                <w:color w:val="000000"/>
                <w:kern w:val="0"/>
                <w:sz w:val="22"/>
              </w:rPr>
            </w:pPr>
          </w:p>
        </w:tc>
        <w:tc>
          <w:tcPr>
            <w:tcW w:w="744" w:type="dxa"/>
            <w:vMerge w:val="continue"/>
            <w:vAlign w:val="center"/>
          </w:tcPr>
          <w:p>
            <w:pPr>
              <w:widowControl/>
              <w:jc w:val="left"/>
              <w:rPr>
                <w:rFonts w:ascii="宋体" w:hAnsi="宋体" w:eastAsia="宋体" w:cs="宋体"/>
                <w:color w:val="000000"/>
                <w:kern w:val="0"/>
                <w:sz w:val="22"/>
              </w:rPr>
            </w:pPr>
          </w:p>
        </w:tc>
        <w:tc>
          <w:tcPr>
            <w:tcW w:w="989"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742"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2075" w:type="dxa"/>
            <w:shd w:val="clear" w:color="auto" w:fill="auto"/>
            <w:vAlign w:val="center"/>
          </w:tcPr>
          <w:p>
            <w:pPr>
              <w:widowControl/>
              <w:jc w:val="center"/>
              <w:rPr>
                <w:rFonts w:hint="default" w:ascii="Calibri" w:hAnsi="Calibri" w:eastAsia="宋体" w:cs="Calibri"/>
                <w:color w:val="000000"/>
                <w:kern w:val="0"/>
                <w:sz w:val="22"/>
                <w:lang w:val="en-US" w:eastAsia="zh-CN"/>
              </w:rPr>
            </w:pPr>
            <w:r>
              <w:rPr>
                <w:rFonts w:ascii="Calibri" w:hAnsi="Calibri" w:eastAsia="宋体" w:cs="Calibri"/>
                <w:color w:val="000000"/>
                <w:kern w:val="0"/>
                <w:sz w:val="22"/>
              </w:rPr>
              <w:t>证书编号</w:t>
            </w:r>
            <w:r>
              <w:rPr>
                <w:rFonts w:hint="eastAsia" w:ascii="Calibri" w:hAnsi="Calibri" w:eastAsia="宋体" w:cs="Calibri"/>
                <w:color w:val="000000"/>
                <w:kern w:val="0"/>
                <w:sz w:val="22"/>
                <w:lang w:val="en-US" w:eastAsia="zh-CN"/>
              </w:rPr>
              <w:t>/管理号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21"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第一名</w:t>
            </w:r>
          </w:p>
        </w:tc>
        <w:tc>
          <w:tcPr>
            <w:tcW w:w="1209" w:type="dxa"/>
            <w:shd w:val="clear" w:color="auto" w:fill="auto"/>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重庆市交通规划和技术发展中心</w:t>
            </w:r>
          </w:p>
        </w:tc>
        <w:tc>
          <w:tcPr>
            <w:tcW w:w="1409"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ascii="Calibri" w:hAnsi="Calibri" w:eastAsia="宋体" w:cs="Calibri"/>
                <w:color w:val="000000"/>
                <w:kern w:val="0"/>
                <w:sz w:val="22"/>
              </w:rPr>
              <w:t>10962562</w:t>
            </w:r>
            <w:r>
              <w:rPr>
                <w:rFonts w:hint="eastAsia" w:ascii="Calibri" w:hAnsi="Calibri" w:eastAsia="宋体" w:cs="Calibri"/>
                <w:color w:val="000000"/>
                <w:kern w:val="0"/>
                <w:sz w:val="22"/>
                <w:lang w:val="en-US" w:eastAsia="zh-CN"/>
              </w:rPr>
              <w:t>.00</w:t>
            </w:r>
          </w:p>
        </w:tc>
        <w:tc>
          <w:tcPr>
            <w:tcW w:w="771" w:type="dxa"/>
            <w:gridSpan w:val="2"/>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满足招标文件要求</w:t>
            </w:r>
          </w:p>
        </w:tc>
        <w:tc>
          <w:tcPr>
            <w:tcW w:w="744" w:type="dxa"/>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lang w:val="en-US" w:eastAsia="zh-CN"/>
              </w:rPr>
              <w:t>满足招标文件要求</w:t>
            </w:r>
          </w:p>
        </w:tc>
        <w:tc>
          <w:tcPr>
            <w:tcW w:w="989"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赵汗清</w:t>
            </w:r>
          </w:p>
        </w:tc>
        <w:tc>
          <w:tcPr>
            <w:tcW w:w="1742" w:type="dxa"/>
            <w:gridSpan w:val="2"/>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公路水运工程试验检测师。</w:t>
            </w:r>
          </w:p>
        </w:tc>
        <w:tc>
          <w:tcPr>
            <w:tcW w:w="2075" w:type="dxa"/>
            <w:shd w:val="clear" w:color="auto" w:fill="auto"/>
            <w:vAlign w:val="center"/>
          </w:tcPr>
          <w:p>
            <w:pPr>
              <w:widowControl/>
              <w:jc w:val="left"/>
              <w:rPr>
                <w:rFonts w:hint="default" w:ascii="Times New Roman" w:hAnsi="Times New Roman" w:eastAsia="宋体" w:cs="Times New Roman"/>
                <w:b/>
                <w:bCs/>
                <w:color w:val="000000"/>
                <w:kern w:val="0"/>
                <w:sz w:val="22"/>
                <w:lang w:val="en-US" w:eastAsia="zh-CN"/>
              </w:rPr>
            </w:pPr>
            <w:r>
              <w:rPr>
                <w:rFonts w:hint="eastAsia" w:ascii="Calibri" w:hAnsi="Calibri" w:eastAsia="宋体" w:cs="Calibri"/>
                <w:color w:val="000000"/>
                <w:kern w:val="0"/>
                <w:sz w:val="22"/>
                <w:lang w:val="en-US" w:eastAsia="zh-CN"/>
              </w:rPr>
              <w:t>31620201101040019625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21"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第二名</w:t>
            </w:r>
          </w:p>
        </w:tc>
        <w:tc>
          <w:tcPr>
            <w:tcW w:w="1209" w:type="dxa"/>
            <w:shd w:val="clear" w:color="auto" w:fill="auto"/>
            <w:vAlign w:val="center"/>
          </w:tcPr>
          <w:p>
            <w:pPr>
              <w:widowControl/>
              <w:jc w:val="left"/>
              <w:rPr>
                <w:rFonts w:ascii="Calibri" w:hAnsi="Calibri" w:eastAsia="宋体" w:cs="Calibri"/>
                <w:color w:val="000000"/>
                <w:kern w:val="0"/>
                <w:sz w:val="22"/>
              </w:rPr>
            </w:pPr>
            <w:r>
              <w:rPr>
                <w:rFonts w:ascii="Calibri" w:hAnsi="Calibri" w:eastAsia="宋体" w:cs="Calibri"/>
                <w:color w:val="000000"/>
                <w:kern w:val="0"/>
                <w:sz w:val="22"/>
              </w:rPr>
              <w:t>深圳高速工程检测有限公司</w:t>
            </w:r>
          </w:p>
        </w:tc>
        <w:tc>
          <w:tcPr>
            <w:tcW w:w="1409" w:type="dxa"/>
            <w:shd w:val="clear" w:color="auto" w:fill="auto"/>
            <w:vAlign w:val="center"/>
          </w:tcPr>
          <w:p>
            <w:pPr>
              <w:widowControl/>
              <w:jc w:val="left"/>
              <w:rPr>
                <w:rFonts w:hint="eastAsia" w:ascii="Calibri" w:hAnsi="Calibri" w:eastAsia="宋体" w:cs="Calibri"/>
                <w:color w:val="000000"/>
                <w:kern w:val="0"/>
                <w:sz w:val="22"/>
              </w:rPr>
            </w:pPr>
            <w:r>
              <w:rPr>
                <w:rFonts w:ascii="Calibri" w:hAnsi="Calibri" w:eastAsia="宋体" w:cs="Calibri"/>
                <w:color w:val="000000"/>
                <w:kern w:val="0"/>
                <w:sz w:val="22"/>
              </w:rPr>
              <w:t>　</w:t>
            </w:r>
          </w:p>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rPr>
              <w:t xml:space="preserve">11132244.49 </w:t>
            </w:r>
          </w:p>
        </w:tc>
        <w:tc>
          <w:tcPr>
            <w:tcW w:w="771" w:type="dxa"/>
            <w:gridSpan w:val="2"/>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lang w:val="en-US" w:eastAsia="zh-CN"/>
              </w:rPr>
              <w:t>满足招标文件要求</w:t>
            </w:r>
          </w:p>
        </w:tc>
        <w:tc>
          <w:tcPr>
            <w:tcW w:w="744" w:type="dxa"/>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lang w:val="en-US" w:eastAsia="zh-CN"/>
              </w:rPr>
              <w:t>满足招标文件要求</w:t>
            </w:r>
          </w:p>
        </w:tc>
        <w:tc>
          <w:tcPr>
            <w:tcW w:w="989"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曾胜欢</w:t>
            </w:r>
          </w:p>
        </w:tc>
        <w:tc>
          <w:tcPr>
            <w:tcW w:w="1742" w:type="dxa"/>
            <w:gridSpan w:val="2"/>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lang w:val="en-US" w:eastAsia="zh-CN"/>
              </w:rPr>
              <w:t>公路水运工程试验检测师。</w:t>
            </w:r>
          </w:p>
        </w:tc>
        <w:tc>
          <w:tcPr>
            <w:tcW w:w="2075"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201812011061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21"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第三名</w:t>
            </w:r>
          </w:p>
        </w:tc>
        <w:tc>
          <w:tcPr>
            <w:tcW w:w="1209" w:type="dxa"/>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rPr>
              <w:t>苏交科集团检测认证有限公司</w:t>
            </w:r>
          </w:p>
        </w:tc>
        <w:tc>
          <w:tcPr>
            <w:tcW w:w="1409" w:type="dxa"/>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rPr>
              <w:t>10870804.39</w:t>
            </w:r>
          </w:p>
        </w:tc>
        <w:tc>
          <w:tcPr>
            <w:tcW w:w="771" w:type="dxa"/>
            <w:gridSpan w:val="2"/>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lang w:val="en-US" w:eastAsia="zh-CN"/>
              </w:rPr>
              <w:t>满足招标文件要求</w:t>
            </w:r>
          </w:p>
        </w:tc>
        <w:tc>
          <w:tcPr>
            <w:tcW w:w="744" w:type="dxa"/>
            <w:shd w:val="clear" w:color="auto" w:fill="auto"/>
            <w:vAlign w:val="center"/>
          </w:tcPr>
          <w:p>
            <w:pPr>
              <w:widowControl/>
              <w:jc w:val="left"/>
              <w:rPr>
                <w:rFonts w:ascii="Calibri" w:hAnsi="Calibri" w:eastAsia="宋体" w:cs="Calibri"/>
                <w:color w:val="000000"/>
                <w:kern w:val="0"/>
                <w:sz w:val="22"/>
              </w:rPr>
            </w:pPr>
            <w:r>
              <w:rPr>
                <w:rFonts w:hint="eastAsia" w:ascii="Calibri" w:hAnsi="Calibri" w:eastAsia="宋体" w:cs="Calibri"/>
                <w:color w:val="000000"/>
                <w:kern w:val="0"/>
                <w:sz w:val="22"/>
                <w:lang w:val="en-US" w:eastAsia="zh-CN"/>
              </w:rPr>
              <w:t>满足招标文件要求</w:t>
            </w:r>
          </w:p>
        </w:tc>
        <w:tc>
          <w:tcPr>
            <w:tcW w:w="989"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朱晓文</w:t>
            </w:r>
          </w:p>
        </w:tc>
        <w:tc>
          <w:tcPr>
            <w:tcW w:w="1742" w:type="dxa"/>
            <w:gridSpan w:val="2"/>
            <w:shd w:val="clear" w:color="auto" w:fill="auto"/>
            <w:vAlign w:val="center"/>
          </w:tcPr>
          <w:p>
            <w:pPr>
              <w:widowControl/>
              <w:jc w:val="left"/>
              <w:rPr>
                <w:rFonts w:ascii="Calibri" w:hAnsi="Calibri" w:eastAsia="宋体" w:cs="Calibri"/>
                <w:color w:val="000000"/>
                <w:kern w:val="0"/>
                <w:sz w:val="22"/>
              </w:rPr>
            </w:pPr>
            <w:r>
              <w:rPr>
                <w:rFonts w:hint="eastAsia"/>
                <w:color w:val="auto"/>
                <w:highlight w:val="none"/>
                <w:lang w:eastAsia="zh-CN"/>
              </w:rPr>
              <w:t>公路工程试验检测工程师。</w:t>
            </w:r>
          </w:p>
        </w:tc>
        <w:tc>
          <w:tcPr>
            <w:tcW w:w="2075" w:type="dxa"/>
            <w:shd w:val="clear" w:color="auto" w:fill="auto"/>
            <w:vAlign w:val="center"/>
          </w:tcPr>
          <w:p>
            <w:pPr>
              <w:widowControl/>
              <w:jc w:val="left"/>
              <w:rPr>
                <w:rFonts w:hint="default" w:ascii="Calibri" w:hAnsi="Calibri" w:eastAsia="宋体" w:cs="Calibri"/>
                <w:color w:val="000000"/>
                <w:kern w:val="0"/>
                <w:sz w:val="22"/>
                <w:lang w:val="en-US" w:eastAsia="zh-CN"/>
              </w:rPr>
            </w:pPr>
            <w:r>
              <w:rPr>
                <w:rFonts w:hint="eastAsia" w:ascii="Calibri" w:hAnsi="Calibri" w:eastAsia="宋体" w:cs="Calibri"/>
                <w:color w:val="000000"/>
                <w:kern w:val="0"/>
                <w:sz w:val="22"/>
                <w:lang w:val="en-US" w:eastAsia="zh-CN"/>
              </w:rPr>
              <w:t>（公路）检师0601740Q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221" w:type="dxa"/>
            <w:shd w:val="clear" w:color="auto" w:fill="auto"/>
            <w:vAlign w:val="center"/>
          </w:tcPr>
          <w:p>
            <w:pPr>
              <w:widowControl/>
              <w:jc w:val="center"/>
              <w:rPr>
                <w:rFonts w:ascii="宋体" w:hAnsi="宋体" w:eastAsia="宋体" w:cs="宋体"/>
                <w:color w:val="000000"/>
                <w:kern w:val="0"/>
                <w:sz w:val="22"/>
              </w:rPr>
            </w:pPr>
            <w:bookmarkStart w:id="0" w:name="_GoBack"/>
            <w:bookmarkEnd w:id="0"/>
            <w:r>
              <w:rPr>
                <w:rFonts w:hint="eastAsia" w:ascii="宋体" w:hAnsi="宋体" w:eastAsia="宋体" w:cs="宋体"/>
                <w:color w:val="000000"/>
                <w:kern w:val="0"/>
                <w:sz w:val="22"/>
              </w:rPr>
              <w:t>中标候选人响应招标文件要求的资格能力条件</w:t>
            </w:r>
          </w:p>
        </w:tc>
        <w:tc>
          <w:tcPr>
            <w:tcW w:w="8939" w:type="dxa"/>
            <w:gridSpan w:val="9"/>
            <w:shd w:val="clear" w:color="auto" w:fill="auto"/>
            <w:vAlign w:val="center"/>
          </w:tcPr>
          <w:p>
            <w:pPr>
              <w:widowControl/>
              <w:jc w:val="both"/>
              <w:rPr>
                <w:rFonts w:hint="eastAsia" w:ascii="宋体" w:hAnsi="宋体" w:eastAsia="宋体" w:cs="宋体"/>
                <w:b/>
                <w:bCs/>
                <w:color w:val="000000"/>
                <w:kern w:val="0"/>
                <w:sz w:val="22"/>
              </w:rPr>
            </w:pPr>
            <w:r>
              <w:rPr>
                <w:rFonts w:hint="eastAsia" w:ascii="宋体" w:hAnsi="宋体" w:eastAsia="宋体" w:cs="宋体"/>
                <w:b w:val="0"/>
                <w:bCs w:val="0"/>
                <w:color w:val="000000"/>
                <w:kern w:val="0"/>
                <w:sz w:val="22"/>
                <w:lang w:val="en-US" w:eastAsia="zh-CN"/>
              </w:rPr>
              <w:t>均满足招标文件要求。</w:t>
            </w:r>
            <w:r>
              <w:rPr>
                <w:rFonts w:hint="eastAsia" w:ascii="宋体" w:hAnsi="宋体" w:eastAsia="宋体" w:cs="宋体"/>
                <w:b/>
                <w:bCs/>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221"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939" w:type="dxa"/>
            <w:gridSpan w:val="9"/>
            <w:shd w:val="clear" w:color="auto" w:fill="auto"/>
            <w:vAlign w:val="center"/>
          </w:tcPr>
          <w:p>
            <w:pPr>
              <w:widowControl/>
              <w:numPr>
                <w:ilvl w:val="0"/>
                <w:numId w:val="1"/>
              </w:numPr>
              <w:jc w:val="both"/>
              <w:rPr>
                <w:rFonts w:hint="eastAsia"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业绩：</w:t>
            </w:r>
          </w:p>
          <w:p>
            <w:pPr>
              <w:widowControl/>
              <w:numPr>
                <w:ilvl w:val="0"/>
                <w:numId w:val="0"/>
              </w:numPr>
              <w:jc w:val="both"/>
              <w:rPr>
                <w:rFonts w:hint="eastAsia"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重庆市交通规划和技术发展中心：</w:t>
            </w:r>
          </w:p>
          <w:p>
            <w:pPr>
              <w:widowControl/>
              <w:numPr>
                <w:ilvl w:val="0"/>
                <w:numId w:val="0"/>
              </w:numPr>
              <w:jc w:val="both"/>
              <w:rPr>
                <w:rFonts w:hint="eastAsia"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重庆江津至贵州习水高速公路（重庆境）工程交工验收工程质量检测；南（川）~涪（陵）高速公路竣工验收工程质量检测；重庆南川至贵州道真高速公路交工验收工程质量检测；重庆合川至四川安岳（重庆段） 高速公路交工验收工程质量检测第JGJC02 合同段；重庆三环高速公路合川至长寿段项目交工验收试验检测HCJG-2 合同段。</w:t>
            </w:r>
          </w:p>
          <w:p>
            <w:pPr>
              <w:widowControl/>
              <w:numPr>
                <w:ilvl w:val="0"/>
                <w:numId w:val="0"/>
              </w:numPr>
              <w:jc w:val="both"/>
              <w:rPr>
                <w:rFonts w:hint="eastAsia" w:ascii="Calibri" w:hAnsi="Calibri" w:eastAsia="宋体" w:cs="Calibri"/>
                <w:color w:val="000000"/>
                <w:kern w:val="0"/>
                <w:sz w:val="22"/>
                <w:lang w:eastAsia="zh-CN"/>
              </w:rPr>
            </w:pPr>
            <w:r>
              <w:rPr>
                <w:rFonts w:ascii="Calibri" w:hAnsi="Calibri" w:eastAsia="宋体" w:cs="Calibri"/>
                <w:color w:val="000000"/>
                <w:kern w:val="0"/>
                <w:sz w:val="22"/>
              </w:rPr>
              <w:t>深圳高速工程检测有限公司</w:t>
            </w:r>
            <w:r>
              <w:rPr>
                <w:rFonts w:hint="eastAsia" w:ascii="Calibri" w:hAnsi="Calibri" w:eastAsia="宋体" w:cs="Calibri"/>
                <w:color w:val="000000"/>
                <w:kern w:val="0"/>
                <w:sz w:val="22"/>
                <w:lang w:eastAsia="zh-CN"/>
              </w:rPr>
              <w:t>：</w:t>
            </w:r>
          </w:p>
          <w:p>
            <w:pPr>
              <w:widowControl/>
              <w:numPr>
                <w:ilvl w:val="0"/>
                <w:numId w:val="0"/>
              </w:numPr>
              <w:jc w:val="both"/>
              <w:rPr>
                <w:rFonts w:hint="eastAsia" w:ascii="宋体" w:hAnsi="宋体" w:eastAsia="宋体" w:cs="宋体"/>
                <w:b w:val="0"/>
                <w:bCs w:val="0"/>
                <w:color w:val="000000"/>
                <w:kern w:val="0"/>
                <w:sz w:val="22"/>
                <w:lang w:val="en-US" w:eastAsia="zh-CN"/>
              </w:rPr>
            </w:pPr>
            <w:r>
              <w:rPr>
                <w:rFonts w:hint="eastAsia" w:ascii="宋体" w:hAnsi="宋体" w:eastAsia="宋体" w:cs="宋体"/>
                <w:b w:val="0"/>
                <w:bCs w:val="0"/>
                <w:color w:val="000000"/>
                <w:kern w:val="0"/>
                <w:sz w:val="22"/>
                <w:lang w:val="en-US" w:eastAsia="zh-CN"/>
              </w:rPr>
              <w:t>甘肃省平凉（华亭）至天水段高速公路工程建设项目交工验收质量检测及竣工质量鉴定检测；甘肃省S38王格尔塘至夏河（桑科）高速公路工程交工验收质量检测；贺州至巴马高速公路（都安至巴马段）竣（交）工实体质量检测服务 ；重庆城口（陕渝界）至开州高速公路C段交工验收工程质量检测；重庆万州至湖北利川高速公路（重庆段）桥梁交工验收工程质量检测。</w:t>
            </w:r>
          </w:p>
          <w:p>
            <w:pPr>
              <w:widowControl/>
              <w:numPr>
                <w:ilvl w:val="0"/>
                <w:numId w:val="0"/>
              </w:numPr>
              <w:jc w:val="both"/>
              <w:rPr>
                <w:rFonts w:hint="eastAsia" w:ascii="Calibri" w:hAnsi="Calibri" w:eastAsia="宋体" w:cs="Calibri"/>
                <w:color w:val="000000"/>
                <w:kern w:val="0"/>
                <w:sz w:val="22"/>
                <w:lang w:eastAsia="zh-CN"/>
              </w:rPr>
            </w:pPr>
            <w:r>
              <w:rPr>
                <w:rFonts w:hint="eastAsia" w:ascii="Calibri" w:hAnsi="Calibri" w:eastAsia="宋体" w:cs="Calibri"/>
                <w:color w:val="000000"/>
                <w:kern w:val="0"/>
                <w:sz w:val="22"/>
              </w:rPr>
              <w:t>苏交科集团检测认证有限公司</w:t>
            </w:r>
            <w:r>
              <w:rPr>
                <w:rFonts w:hint="eastAsia" w:ascii="Calibri" w:hAnsi="Calibri" w:eastAsia="宋体" w:cs="Calibri"/>
                <w:color w:val="000000"/>
                <w:kern w:val="0"/>
                <w:sz w:val="22"/>
                <w:lang w:eastAsia="zh-CN"/>
              </w:rPr>
              <w:t>：</w:t>
            </w:r>
          </w:p>
          <w:p>
            <w:pPr>
              <w:widowControl/>
              <w:numPr>
                <w:ilvl w:val="0"/>
                <w:numId w:val="0"/>
              </w:numPr>
              <w:jc w:val="both"/>
              <w:rPr>
                <w:rFonts w:hint="eastAsia" w:ascii="宋体" w:hAnsi="宋体" w:eastAsia="宋体" w:cs="宋体"/>
                <w:b w:val="0"/>
                <w:bCs w:val="0"/>
                <w:color w:val="000000"/>
                <w:kern w:val="0"/>
                <w:sz w:val="22"/>
                <w:lang w:val="en-US" w:eastAsia="zh-CN"/>
              </w:rPr>
            </w:pPr>
            <w:r>
              <w:rPr>
                <w:rFonts w:hint="eastAsia" w:ascii="Calibri" w:hAnsi="Calibri" w:eastAsia="宋体" w:cs="Calibri"/>
                <w:color w:val="000000"/>
                <w:kern w:val="0"/>
                <w:sz w:val="22"/>
                <w:lang w:eastAsia="zh-CN"/>
              </w:rPr>
              <w:t>仁怀至遵义高速公路桥梁荷载试验、桥梁外观与实体检测及交（竣）工验收试验检测服务（第 RZJJGJC 合同段）；曲靖三宝至昆明清水高速公路（曲靖段）工程交工验收检测；云南省墨江至临沧公路项目交工质量检测 JGJC2 合同段；G30 连霍高速公路清水驿至忠和段扩容改造工程交工验收质量检测 ；S10 凤县（陕西）至合作（甘肃）高速公路卓尼至合作段一期工程交工验收质量检测；广西自治区荔浦至玉林公路竣（交）工实体工程质量检测服务 NO.JC1 合同段。</w:t>
            </w:r>
          </w:p>
          <w:p>
            <w:pPr>
              <w:widowControl/>
              <w:numPr>
                <w:ilvl w:val="0"/>
                <w:numId w:val="1"/>
              </w:numPr>
              <w:jc w:val="both"/>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否决投标情况：无。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221"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中标候选人评标情况</w:t>
            </w:r>
          </w:p>
        </w:tc>
        <w:tc>
          <w:tcPr>
            <w:tcW w:w="8939" w:type="dxa"/>
            <w:gridSpan w:val="9"/>
            <w:shd w:val="clear" w:color="auto" w:fill="auto"/>
            <w:vAlign w:val="center"/>
          </w:tcPr>
          <w:p>
            <w:pPr>
              <w:widowControl/>
              <w:jc w:val="both"/>
              <w:rPr>
                <w:rFonts w:hint="default" w:ascii="宋体" w:hAnsi="宋体" w:eastAsia="宋体" w:cs="宋体"/>
                <w:b/>
                <w:bCs/>
                <w:color w:val="000000"/>
                <w:kern w:val="0"/>
                <w:sz w:val="22"/>
                <w:lang w:val="en-US" w:eastAsia="zh-CN"/>
              </w:rPr>
            </w:pPr>
            <w:r>
              <w:rPr>
                <w:rFonts w:hint="eastAsia" w:ascii="宋体" w:hAnsi="宋体" w:eastAsia="宋体" w:cs="宋体"/>
                <w:b w:val="0"/>
                <w:bCs w:val="0"/>
                <w:color w:val="000000"/>
                <w:kern w:val="0"/>
                <w:sz w:val="22"/>
                <w:lang w:val="en-US" w:eastAsia="zh-CN"/>
              </w:rPr>
              <w:t>资格、形式、响应性评审均合格。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221"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提出异议的渠道和方式</w:t>
            </w:r>
          </w:p>
        </w:tc>
        <w:tc>
          <w:tcPr>
            <w:tcW w:w="8939" w:type="dxa"/>
            <w:gridSpan w:val="9"/>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投标人或者其他利害关系人对评标结果有异议的，应在中标候选人公示期内以书面形式向招标人：</w:t>
            </w:r>
            <w:r>
              <w:rPr>
                <w:rFonts w:hint="eastAsia" w:ascii="宋体" w:hAnsi="宋体" w:eastAsia="宋体" w:cs="宋体"/>
                <w:color w:val="000000"/>
                <w:kern w:val="0"/>
                <w:sz w:val="22"/>
                <w:lang w:val="en-US" w:eastAsia="zh-CN"/>
              </w:rPr>
              <w:t>重庆渝湘复线高速公路有限公司</w:t>
            </w:r>
            <w:r>
              <w:rPr>
                <w:rFonts w:hint="eastAsia" w:ascii="宋体" w:hAnsi="宋体" w:eastAsia="宋体" w:cs="宋体"/>
                <w:color w:val="000000"/>
                <w:kern w:val="0"/>
                <w:sz w:val="22"/>
              </w:rPr>
              <w:t>(联系人：</w:t>
            </w:r>
            <w:r>
              <w:rPr>
                <w:rFonts w:hint="eastAsia" w:ascii="宋体" w:hAnsi="宋体" w:eastAsia="宋体" w:cs="宋体"/>
                <w:color w:val="000000"/>
                <w:kern w:val="0"/>
                <w:sz w:val="22"/>
                <w:lang w:val="en-US" w:eastAsia="zh-CN"/>
              </w:rPr>
              <w:t>王老师</w:t>
            </w:r>
            <w:r>
              <w:rPr>
                <w:rFonts w:hint="eastAsia" w:ascii="宋体" w:hAnsi="宋体" w:eastAsia="宋体" w:cs="宋体"/>
                <w:color w:val="000000"/>
                <w:kern w:val="0"/>
                <w:sz w:val="22"/>
              </w:rPr>
              <w:t>，联系电话：</w:t>
            </w:r>
            <w:r>
              <w:rPr>
                <w:rFonts w:hint="eastAsia" w:ascii="宋体" w:hAnsi="宋体" w:eastAsia="宋体" w:cs="宋体"/>
                <w:color w:val="000000"/>
                <w:kern w:val="0"/>
                <w:sz w:val="22"/>
                <w:lang w:val="en-US" w:eastAsia="zh-CN"/>
              </w:rPr>
              <w:t>023-89136372</w:t>
            </w:r>
            <w:r>
              <w:rPr>
                <w:rFonts w:hint="eastAsia" w:ascii="宋体" w:hAnsi="宋体" w:eastAsia="宋体" w:cs="宋体"/>
                <w:color w:val="000000"/>
                <w:kern w:val="0"/>
                <w:sz w:val="22"/>
              </w:rPr>
              <w:t>）提出异议。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4280" w:type="dxa"/>
            <w:gridSpan w:val="4"/>
            <w:shd w:val="clear" w:color="auto" w:fill="auto"/>
            <w:vAlign w:val="center"/>
          </w:tcPr>
          <w:p>
            <w:pPr>
              <w:widowControl/>
              <w:jc w:val="both"/>
              <w:rPr>
                <w:rFonts w:hint="eastAsia" w:ascii="宋体" w:hAnsi="宋体" w:eastAsia="宋体" w:cs="Calibri"/>
                <w:color w:val="000000"/>
                <w:kern w:val="0"/>
                <w:sz w:val="22"/>
                <w:lang w:eastAsia="zh-CN"/>
              </w:rPr>
            </w:pPr>
            <w:r>
              <w:rPr>
                <w:rFonts w:hint="eastAsia" w:ascii="宋体" w:hAnsi="宋体" w:eastAsia="宋体" w:cs="宋体"/>
                <w:color w:val="000000"/>
                <w:kern w:val="0"/>
                <w:sz w:val="22"/>
              </w:rPr>
              <w:t>招标人（盖章）</w:t>
            </w:r>
            <w:r>
              <w:rPr>
                <w:rFonts w:ascii="宋体" w:hAnsi="宋体" w:eastAsia="宋体" w:cs="Calibri"/>
                <w:color w:val="000000"/>
                <w:kern w:val="0"/>
                <w:sz w:val="22"/>
              </w:rPr>
              <w:t xml:space="preserve">:   </w:t>
            </w: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p>
          <w:p>
            <w:pPr>
              <w:widowControl/>
              <w:jc w:val="both"/>
              <w:rPr>
                <w:rFonts w:hint="eastAsia" w:ascii="宋体" w:hAnsi="宋体" w:eastAsia="宋体" w:cs="Calibri"/>
                <w:color w:val="000000"/>
                <w:kern w:val="0"/>
                <w:sz w:val="22"/>
                <w:lang w:eastAsia="zh-CN"/>
              </w:rPr>
            </w:pPr>
            <w:r>
              <w:rPr>
                <w:rFonts w:ascii="宋体" w:hAnsi="宋体" w:eastAsia="宋体" w:cs="Calibri"/>
                <w:color w:val="000000"/>
                <w:kern w:val="0"/>
                <w:sz w:val="22"/>
              </w:rPr>
              <w:t xml:space="preserve">                                          </w:t>
            </w:r>
          </w:p>
          <w:p>
            <w:pPr>
              <w:widowControl/>
              <w:jc w:val="both"/>
              <w:rPr>
                <w:rFonts w:hint="eastAsia" w:ascii="宋体" w:hAnsi="宋体" w:eastAsia="宋体" w:cs="宋体"/>
                <w:color w:val="000000"/>
                <w:kern w:val="0"/>
                <w:sz w:val="22"/>
              </w:rPr>
            </w:pPr>
            <w:r>
              <w:rPr>
                <w:rFonts w:ascii="宋体" w:hAnsi="宋体" w:eastAsia="宋体" w:cs="Calibri"/>
                <w:color w:val="000000"/>
                <w:kern w:val="0"/>
                <w:sz w:val="22"/>
              </w:rPr>
              <w:t xml:space="preserve">                    </w:t>
            </w:r>
            <w:r>
              <w:rPr>
                <w:rFonts w:hint="eastAsia" w:ascii="宋体" w:hAnsi="宋体" w:eastAsia="宋体" w:cs="Calibri"/>
                <w:color w:val="000000"/>
                <w:kern w:val="0"/>
                <w:sz w:val="22"/>
                <w:lang w:val="en-US" w:eastAsia="zh-CN"/>
              </w:rPr>
              <w:t>2022年10</w:t>
            </w:r>
            <w:r>
              <w:rPr>
                <w:rFonts w:hint="eastAsia" w:ascii="宋体" w:hAnsi="宋体" w:eastAsia="宋体" w:cs="Calibri"/>
                <w:color w:val="000000"/>
                <w:kern w:val="0"/>
                <w:sz w:val="22"/>
              </w:rPr>
              <w:t>月</w:t>
            </w:r>
            <w:r>
              <w:rPr>
                <w:rFonts w:hint="eastAsia" w:ascii="宋体" w:hAnsi="宋体" w:eastAsia="宋体" w:cs="Calibri"/>
                <w:color w:val="000000"/>
                <w:kern w:val="0"/>
                <w:sz w:val="22"/>
                <w:lang w:val="en-US" w:eastAsia="zh-CN"/>
              </w:rPr>
              <w:t xml:space="preserve"> 20 </w:t>
            </w:r>
            <w:r>
              <w:rPr>
                <w:rFonts w:hint="eastAsia" w:ascii="宋体" w:hAnsi="宋体" w:eastAsia="宋体" w:cs="Calibri"/>
                <w:color w:val="000000"/>
                <w:kern w:val="0"/>
                <w:sz w:val="22"/>
              </w:rPr>
              <w:t xml:space="preserve">日    </w:t>
            </w:r>
          </w:p>
        </w:tc>
        <w:tc>
          <w:tcPr>
            <w:tcW w:w="5880" w:type="dxa"/>
            <w:gridSpan w:val="6"/>
            <w:shd w:val="clear" w:color="auto" w:fill="auto"/>
            <w:vAlign w:val="center"/>
          </w:tcPr>
          <w:p>
            <w:pPr>
              <w:widowControl/>
              <w:jc w:val="both"/>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招标代理机构（盖章）： </w:t>
            </w: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lang w:eastAsia="zh-CN"/>
              </w:rPr>
            </w:pPr>
          </w:p>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2022</w:t>
            </w:r>
            <w:r>
              <w:rPr>
                <w:rFonts w:hint="eastAsia" w:ascii="宋体" w:hAnsi="宋体" w:eastAsia="宋体" w:cs="宋体"/>
                <w:color w:val="000000"/>
                <w:kern w:val="0"/>
                <w:sz w:val="22"/>
              </w:rPr>
              <w:t>年</w:t>
            </w:r>
            <w:r>
              <w:rPr>
                <w:rFonts w:hint="eastAsia" w:ascii="宋体" w:hAnsi="宋体" w:eastAsia="宋体" w:cs="宋体"/>
                <w:color w:val="000000"/>
                <w:kern w:val="0"/>
                <w:sz w:val="22"/>
                <w:lang w:val="en-US" w:eastAsia="zh-CN"/>
              </w:rPr>
              <w:t>10</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 xml:space="preserve">20 </w:t>
            </w:r>
            <w:r>
              <w:rPr>
                <w:rFonts w:hint="eastAsia" w:ascii="宋体" w:hAnsi="宋体" w:eastAsia="宋体" w:cs="宋体"/>
                <w:color w:val="000000"/>
                <w:kern w:val="0"/>
                <w:sz w:val="22"/>
              </w:rPr>
              <w:t>日</w:t>
            </w:r>
          </w:p>
        </w:tc>
      </w:tr>
    </w:tbl>
    <w:p>
      <w:pPr>
        <w:jc w:val="left"/>
        <w:rPr>
          <w:rFonts w:hint="eastAsia" w:ascii="方正小标宋_GBK" w:eastAsia="宋体"/>
          <w:sz w:val="30"/>
          <w:szCs w:val="30"/>
          <w:lang w:val="en-US" w:eastAsia="zh-CN"/>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ctionIcon ! important">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C33CD4"/>
    <w:multiLevelType w:val="singleLevel"/>
    <w:tmpl w:val="ADC33CD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3MmQzOGVlYzA2MmUyOTZlMDVkNzkxZjFiNGNhZGEifQ=="/>
  </w:docVars>
  <w:rsids>
    <w:rsidRoot w:val="005F7769"/>
    <w:rsid w:val="0055752E"/>
    <w:rsid w:val="005F7769"/>
    <w:rsid w:val="0063236D"/>
    <w:rsid w:val="006A71D4"/>
    <w:rsid w:val="007C4F8D"/>
    <w:rsid w:val="00901BDE"/>
    <w:rsid w:val="00943760"/>
    <w:rsid w:val="01887A37"/>
    <w:rsid w:val="019B2FDC"/>
    <w:rsid w:val="020D770A"/>
    <w:rsid w:val="02154E6B"/>
    <w:rsid w:val="03D701D3"/>
    <w:rsid w:val="04553F6E"/>
    <w:rsid w:val="047F1DAB"/>
    <w:rsid w:val="081253C0"/>
    <w:rsid w:val="08F21A03"/>
    <w:rsid w:val="09834A1F"/>
    <w:rsid w:val="0A0C3409"/>
    <w:rsid w:val="0AFE4225"/>
    <w:rsid w:val="0C774C9E"/>
    <w:rsid w:val="0E090577"/>
    <w:rsid w:val="0E95291F"/>
    <w:rsid w:val="0EA358F0"/>
    <w:rsid w:val="0F7110E9"/>
    <w:rsid w:val="160805D7"/>
    <w:rsid w:val="166B41F1"/>
    <w:rsid w:val="17C074F9"/>
    <w:rsid w:val="1EBB4EBE"/>
    <w:rsid w:val="1EBE0C60"/>
    <w:rsid w:val="22D42911"/>
    <w:rsid w:val="26BD4A48"/>
    <w:rsid w:val="27762747"/>
    <w:rsid w:val="2CEA4F93"/>
    <w:rsid w:val="2F334741"/>
    <w:rsid w:val="336F02F9"/>
    <w:rsid w:val="34310729"/>
    <w:rsid w:val="38E92A42"/>
    <w:rsid w:val="39BA0B22"/>
    <w:rsid w:val="3A1B6D32"/>
    <w:rsid w:val="3A413EEA"/>
    <w:rsid w:val="3AE35B48"/>
    <w:rsid w:val="3B03685C"/>
    <w:rsid w:val="3D3B0A08"/>
    <w:rsid w:val="3DF92F26"/>
    <w:rsid w:val="3F925873"/>
    <w:rsid w:val="3FF575B6"/>
    <w:rsid w:val="47FA230E"/>
    <w:rsid w:val="4812474D"/>
    <w:rsid w:val="4AC9760C"/>
    <w:rsid w:val="4C7B50C0"/>
    <w:rsid w:val="4C8B7D99"/>
    <w:rsid w:val="4D300D98"/>
    <w:rsid w:val="4ED32720"/>
    <w:rsid w:val="4EFE2381"/>
    <w:rsid w:val="4FFB3C11"/>
    <w:rsid w:val="53956916"/>
    <w:rsid w:val="574B7F6D"/>
    <w:rsid w:val="58D30652"/>
    <w:rsid w:val="59BE6F2B"/>
    <w:rsid w:val="5D6879E4"/>
    <w:rsid w:val="5D694D67"/>
    <w:rsid w:val="5F976C40"/>
    <w:rsid w:val="61670F69"/>
    <w:rsid w:val="620D6DAC"/>
    <w:rsid w:val="63F20A4B"/>
    <w:rsid w:val="63F86CD6"/>
    <w:rsid w:val="657C50E7"/>
    <w:rsid w:val="65AF2D06"/>
    <w:rsid w:val="67147067"/>
    <w:rsid w:val="7031057E"/>
    <w:rsid w:val="71066FB1"/>
    <w:rsid w:val="7504615C"/>
    <w:rsid w:val="76B24303"/>
    <w:rsid w:val="76C01285"/>
    <w:rsid w:val="79355975"/>
    <w:rsid w:val="797B6503"/>
    <w:rsid w:val="7BFC7F40"/>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 w:type="character" w:styleId="5">
    <w:name w:val="FollowedHyperlink"/>
    <w:basedOn w:val="3"/>
    <w:semiHidden/>
    <w:unhideWhenUsed/>
    <w:qFormat/>
    <w:uiPriority w:val="99"/>
    <w:rPr>
      <w:color w:val="800080"/>
      <w:u w:val="none"/>
    </w:rPr>
  </w:style>
  <w:style w:type="character" w:styleId="6">
    <w:name w:val="Emphasis"/>
    <w:basedOn w:val="3"/>
    <w:qFormat/>
    <w:uiPriority w:val="20"/>
    <w:rPr>
      <w:b/>
      <w:bCs/>
    </w:rPr>
  </w:style>
  <w:style w:type="character" w:styleId="7">
    <w:name w:val="HTML Definition"/>
    <w:basedOn w:val="3"/>
    <w:semiHidden/>
    <w:unhideWhenUsed/>
    <w:qFormat/>
    <w:uiPriority w:val="99"/>
  </w:style>
  <w:style w:type="character" w:styleId="8">
    <w:name w:val="HTML Typewriter"/>
    <w:basedOn w:val="3"/>
    <w:semiHidden/>
    <w:unhideWhenUsed/>
    <w:qFormat/>
    <w:uiPriority w:val="99"/>
    <w:rPr>
      <w:rFonts w:hint="default" w:ascii="monospace" w:hAnsi="monospace" w:eastAsia="monospace" w:cs="monospace"/>
      <w:sz w:val="20"/>
    </w:rPr>
  </w:style>
  <w:style w:type="character" w:styleId="9">
    <w:name w:val="HTML Acronym"/>
    <w:basedOn w:val="3"/>
    <w:semiHidden/>
    <w:unhideWhenUsed/>
    <w:qFormat/>
    <w:uiPriority w:val="99"/>
  </w:style>
  <w:style w:type="character" w:styleId="10">
    <w:name w:val="HTML Variable"/>
    <w:basedOn w:val="3"/>
    <w:semiHidden/>
    <w:unhideWhenUsed/>
    <w:qFormat/>
    <w:uiPriority w:val="99"/>
  </w:style>
  <w:style w:type="character" w:styleId="11">
    <w:name w:val="Hyperlink"/>
    <w:basedOn w:val="3"/>
    <w:semiHidden/>
    <w:unhideWhenUsed/>
    <w:qFormat/>
    <w:uiPriority w:val="99"/>
    <w:rPr>
      <w:color w:val="0000FF"/>
      <w:u w:val="none"/>
    </w:rPr>
  </w:style>
  <w:style w:type="character" w:styleId="12">
    <w:name w:val="HTML Code"/>
    <w:basedOn w:val="3"/>
    <w:semiHidden/>
    <w:unhideWhenUsed/>
    <w:qFormat/>
    <w:uiPriority w:val="99"/>
    <w:rPr>
      <w:rFonts w:hint="default" w:ascii="monospace" w:hAnsi="monospace" w:eastAsia="monospace" w:cs="monospace"/>
      <w:sz w:val="20"/>
    </w:rPr>
  </w:style>
  <w:style w:type="character" w:styleId="13">
    <w:name w:val="HTML Cite"/>
    <w:basedOn w:val="3"/>
    <w:semiHidden/>
    <w:unhideWhenUsed/>
    <w:qFormat/>
    <w:uiPriority w:val="99"/>
    <w:rPr>
      <w:rFonts w:ascii="ActionIcon ! important" w:hAnsi="ActionIcon ! important" w:eastAsia="ActionIcon ! important" w:cs="ActionIcon ! important"/>
      <w:color w:val="3D4B62"/>
      <w:sz w:val="24"/>
      <w:szCs w:val="24"/>
    </w:rPr>
  </w:style>
  <w:style w:type="character" w:styleId="14">
    <w:name w:val="HTML Keyboard"/>
    <w:basedOn w:val="3"/>
    <w:semiHidden/>
    <w:unhideWhenUsed/>
    <w:qFormat/>
    <w:uiPriority w:val="99"/>
    <w:rPr>
      <w:rFonts w:ascii="monospace" w:hAnsi="monospace" w:eastAsia="monospace" w:cs="monospace"/>
      <w:sz w:val="20"/>
    </w:rPr>
  </w:style>
  <w:style w:type="character" w:styleId="15">
    <w:name w:val="HTML Sample"/>
    <w:basedOn w:val="3"/>
    <w:semiHidden/>
    <w:unhideWhenUsed/>
    <w:qFormat/>
    <w:uiPriority w:val="99"/>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2</Pages>
  <Words>1428</Words>
  <Characters>1653</Characters>
  <Lines>5</Lines>
  <Paragraphs>1</Paragraphs>
  <TotalTime>1</TotalTime>
  <ScaleCrop>false</ScaleCrop>
  <LinksUpToDate>false</LinksUpToDate>
  <CharactersWithSpaces>1782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谭杨杰</cp:lastModifiedBy>
  <dcterms:modified xsi:type="dcterms:W3CDTF">2022-10-19T10:52:04Z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13E531705D504F8F8A19355103B29F77</vt:lpwstr>
  </property>
</Properties>
</file>