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b/>
          <w:bCs/>
          <w:snapToGrid w:val="0"/>
          <w:color w:val="auto"/>
          <w:w w:val="99"/>
          <w:kern w:val="0"/>
          <w:sz w:val="28"/>
          <w:szCs w:val="28"/>
          <w:highlight w:val="none"/>
        </w:rPr>
      </w:pPr>
      <w:r>
        <w:rPr>
          <w:rFonts w:hint="eastAsia" w:ascii="宋体" w:hAnsi="宋体"/>
          <w:b/>
          <w:bCs/>
          <w:snapToGrid w:val="0"/>
          <w:color w:val="auto"/>
          <w:w w:val="99"/>
          <w:kern w:val="0"/>
          <w:sz w:val="28"/>
          <w:szCs w:val="28"/>
          <w:highlight w:val="none"/>
          <w:lang w:val="zh-CN"/>
        </w:rPr>
        <w:t>重庆高速</w:t>
      </w:r>
      <w:r>
        <w:rPr>
          <w:rFonts w:hint="eastAsia" w:ascii="宋体" w:hAnsi="宋体"/>
          <w:b/>
          <w:bCs/>
          <w:snapToGrid w:val="0"/>
          <w:color w:val="auto"/>
          <w:w w:val="99"/>
          <w:kern w:val="0"/>
          <w:sz w:val="28"/>
          <w:szCs w:val="28"/>
          <w:highlight w:val="none"/>
        </w:rPr>
        <w:t>集团长大</w:t>
      </w:r>
      <w:r>
        <w:rPr>
          <w:rFonts w:hint="eastAsia" w:ascii="宋体" w:hAnsi="宋体"/>
          <w:b/>
          <w:bCs/>
          <w:snapToGrid w:val="0"/>
          <w:color w:val="auto"/>
          <w:w w:val="99"/>
          <w:kern w:val="0"/>
          <w:sz w:val="28"/>
          <w:szCs w:val="28"/>
          <w:highlight w:val="none"/>
          <w:lang w:val="zh-CN"/>
        </w:rPr>
        <w:t>桥梁结构健康</w:t>
      </w:r>
      <w:r>
        <w:rPr>
          <w:rFonts w:hint="eastAsia" w:ascii="宋体" w:hAnsi="宋体"/>
          <w:b/>
          <w:bCs/>
          <w:snapToGrid w:val="0"/>
          <w:color w:val="auto"/>
          <w:w w:val="99"/>
          <w:kern w:val="0"/>
          <w:sz w:val="28"/>
          <w:szCs w:val="28"/>
          <w:highlight w:val="none"/>
        </w:rPr>
        <w:t>监测系统建设及监测技术服务</w:t>
      </w:r>
      <w:r>
        <w:rPr>
          <w:rFonts w:hint="eastAsia" w:ascii="宋体" w:hAnsi="宋体"/>
          <w:b/>
          <w:bCs/>
          <w:snapToGrid w:val="0"/>
          <w:color w:val="auto"/>
          <w:w w:val="99"/>
          <w:kern w:val="0"/>
          <w:sz w:val="28"/>
          <w:szCs w:val="28"/>
          <w:highlight w:val="none"/>
          <w:lang w:eastAsia="zh-CN"/>
        </w:rPr>
        <w:t>项目</w:t>
      </w:r>
      <w:bookmarkStart w:id="75" w:name="_GoBack"/>
      <w:r>
        <w:rPr>
          <w:rFonts w:hint="eastAsia" w:ascii="宋体" w:hAnsi="宋体"/>
          <w:b/>
          <w:bCs/>
          <w:snapToGrid w:val="0"/>
          <w:color w:val="auto"/>
          <w:w w:val="99"/>
          <w:kern w:val="0"/>
          <w:sz w:val="28"/>
          <w:szCs w:val="28"/>
          <w:highlight w:val="none"/>
          <w:lang w:eastAsia="zh-CN"/>
        </w:rPr>
        <w:t>JKJC-</w:t>
      </w:r>
      <w:r>
        <w:rPr>
          <w:rFonts w:hint="eastAsia" w:ascii="宋体" w:hAnsi="宋体"/>
          <w:b/>
          <w:bCs/>
          <w:snapToGrid w:val="0"/>
          <w:color w:val="auto"/>
          <w:w w:val="99"/>
          <w:kern w:val="0"/>
          <w:sz w:val="28"/>
          <w:szCs w:val="28"/>
          <w:highlight w:val="none"/>
          <w:lang w:val="en-US" w:eastAsia="zh-CN"/>
        </w:rPr>
        <w:t>5</w:t>
      </w:r>
      <w:r>
        <w:rPr>
          <w:rFonts w:hint="eastAsia" w:ascii="宋体" w:hAnsi="宋体"/>
          <w:b/>
          <w:bCs/>
          <w:snapToGrid w:val="0"/>
          <w:color w:val="auto"/>
          <w:w w:val="99"/>
          <w:kern w:val="0"/>
          <w:sz w:val="28"/>
          <w:szCs w:val="28"/>
          <w:highlight w:val="none"/>
          <w:lang w:eastAsia="zh-CN"/>
        </w:rPr>
        <w:t>标段</w:t>
      </w:r>
      <w:r>
        <w:rPr>
          <w:rFonts w:ascii="宋体" w:hAnsi="宋体"/>
          <w:b/>
          <w:bCs/>
          <w:snapToGrid w:val="0"/>
          <w:color w:val="auto"/>
          <w:w w:val="99"/>
          <w:kern w:val="0"/>
          <w:sz w:val="28"/>
          <w:szCs w:val="28"/>
          <w:highlight w:val="none"/>
        </w:rPr>
        <w:t>招标公告</w:t>
      </w:r>
    </w:p>
    <w:bookmarkEnd w:id="75"/>
    <w:p>
      <w:pPr>
        <w:pStyle w:val="4"/>
        <w:spacing w:before="0" w:after="0" w:line="360" w:lineRule="auto"/>
        <w:rPr>
          <w:rFonts w:hint="eastAsia" w:ascii="宋体" w:hAnsi="宋体" w:cs="宋体"/>
          <w:bCs w:val="0"/>
          <w:snapToGrid w:val="0"/>
          <w:color w:val="auto"/>
          <w:highlight w:val="none"/>
        </w:rPr>
      </w:pPr>
      <w:bookmarkStart w:id="0" w:name="_Toc287607728"/>
      <w:bookmarkStart w:id="1" w:name="_Toc3479"/>
      <w:bookmarkStart w:id="2" w:name="_Toc509218692"/>
      <w:bookmarkStart w:id="3" w:name="_Toc200359238"/>
      <w:bookmarkStart w:id="4" w:name="_Toc430530416"/>
      <w:bookmarkStart w:id="5" w:name="_Toc224103299"/>
      <w:bookmarkStart w:id="6" w:name="_Toc1214"/>
      <w:bookmarkStart w:id="7" w:name="_Toc57795843"/>
      <w:bookmarkStart w:id="8" w:name="_Toc287620667"/>
      <w:bookmarkStart w:id="9" w:name="_Toc200359427"/>
      <w:bookmarkStart w:id="10" w:name="_Toc277082536"/>
      <w:r>
        <w:rPr>
          <w:rFonts w:hint="eastAsia" w:ascii="宋体" w:hAnsi="宋体" w:cs="宋体"/>
          <w:bCs w:val="0"/>
          <w:snapToGrid w:val="0"/>
          <w:color w:val="auto"/>
          <w:highlight w:val="none"/>
        </w:rPr>
        <w:t>1. 招标条件</w:t>
      </w:r>
      <w:bookmarkEnd w:id="0"/>
      <w:bookmarkEnd w:id="1"/>
      <w:bookmarkEnd w:id="2"/>
      <w:bookmarkEnd w:id="3"/>
      <w:bookmarkEnd w:id="4"/>
      <w:bookmarkEnd w:id="5"/>
      <w:bookmarkEnd w:id="6"/>
      <w:bookmarkEnd w:id="7"/>
      <w:bookmarkEnd w:id="8"/>
      <w:bookmarkEnd w:id="9"/>
      <w:bookmarkEnd w:id="10"/>
    </w:p>
    <w:p>
      <w:pPr>
        <w:spacing w:line="360" w:lineRule="auto"/>
        <w:rPr>
          <w:rFonts w:hint="eastAsia" w:ascii="宋体" w:hAnsi="宋体" w:cs="宋体"/>
          <w:color w:val="auto"/>
          <w:szCs w:val="21"/>
          <w:highlight w:val="none"/>
        </w:rPr>
      </w:pPr>
      <w:bookmarkStart w:id="11" w:name="_Toc277082537"/>
      <w:bookmarkStart w:id="12" w:name="_Toc200359239"/>
      <w:bookmarkStart w:id="13" w:name="_Toc287607729"/>
      <w:bookmarkStart w:id="14" w:name="_Toc224103300"/>
      <w:bookmarkStart w:id="15" w:name="_Toc430530417"/>
      <w:bookmarkStart w:id="16" w:name="_Toc509218693"/>
      <w:bookmarkStart w:id="17" w:name="_Toc287620668"/>
      <w:bookmarkStart w:id="18" w:name="_Toc200359428"/>
      <w:r>
        <w:rPr>
          <w:rFonts w:hint="eastAsia" w:ascii="宋体" w:hAnsi="宋体" w:cs="宋体"/>
          <w:color w:val="auto"/>
          <w:szCs w:val="21"/>
          <w:highlight w:val="none"/>
        </w:rPr>
        <w:t>　　本招标项目</w:t>
      </w:r>
      <w:r>
        <w:rPr>
          <w:rFonts w:hint="eastAsia" w:ascii="宋体" w:hAnsi="宋体" w:cs="宋体"/>
          <w:b/>
          <w:bCs/>
          <w:color w:val="auto"/>
          <w:szCs w:val="21"/>
          <w:highlight w:val="none"/>
          <w:u w:val="single"/>
          <w:lang w:val="zh-CN"/>
        </w:rPr>
        <w:t>重庆高速</w:t>
      </w:r>
      <w:r>
        <w:rPr>
          <w:rFonts w:hint="eastAsia" w:ascii="宋体" w:hAnsi="宋体" w:cs="宋体"/>
          <w:b/>
          <w:bCs/>
          <w:color w:val="auto"/>
          <w:szCs w:val="21"/>
          <w:highlight w:val="none"/>
          <w:u w:val="single"/>
        </w:rPr>
        <w:t>集团长大</w:t>
      </w:r>
      <w:r>
        <w:rPr>
          <w:rFonts w:hint="eastAsia" w:ascii="宋体" w:hAnsi="宋体" w:cs="宋体"/>
          <w:b/>
          <w:bCs/>
          <w:color w:val="auto"/>
          <w:szCs w:val="21"/>
          <w:highlight w:val="none"/>
          <w:u w:val="single"/>
          <w:lang w:val="zh-CN"/>
        </w:rPr>
        <w:t>桥梁结构健康</w:t>
      </w:r>
      <w:r>
        <w:rPr>
          <w:rFonts w:hint="eastAsia" w:ascii="宋体" w:hAnsi="宋体" w:cs="宋体"/>
          <w:b/>
          <w:bCs/>
          <w:color w:val="auto"/>
          <w:szCs w:val="21"/>
          <w:highlight w:val="none"/>
          <w:u w:val="single"/>
        </w:rPr>
        <w:t>监测系统建设及监测技术服务项目</w:t>
      </w:r>
      <w:r>
        <w:rPr>
          <w:rFonts w:hint="eastAsia" w:ascii="宋体" w:hAnsi="宋体" w:cs="宋体"/>
          <w:b/>
          <w:bCs/>
          <w:color w:val="auto"/>
          <w:szCs w:val="21"/>
          <w:highlight w:val="none"/>
        </w:rPr>
        <w:t>，招标人为</w:t>
      </w:r>
      <w:r>
        <w:rPr>
          <w:rFonts w:hint="eastAsia" w:ascii="宋体" w:hAnsi="宋体" w:cs="宋体"/>
          <w:b/>
          <w:bCs/>
          <w:color w:val="auto"/>
          <w:szCs w:val="21"/>
          <w:highlight w:val="none"/>
          <w:u w:val="single"/>
          <w:lang w:val="zh-CN"/>
        </w:rPr>
        <w:t>重庆高速公路路网管理有限公司</w:t>
      </w:r>
      <w:r>
        <w:rPr>
          <w:rFonts w:hint="eastAsia" w:ascii="宋体" w:hAnsi="宋体" w:cs="宋体"/>
          <w:b/>
          <w:bCs/>
          <w:color w:val="auto"/>
          <w:szCs w:val="21"/>
          <w:highlight w:val="none"/>
          <w:u w:val="single"/>
        </w:rPr>
        <w:t>,</w:t>
      </w:r>
      <w:r>
        <w:rPr>
          <w:rFonts w:hint="eastAsia" w:ascii="宋体" w:hAnsi="宋体" w:cs="宋体"/>
          <w:color w:val="auto"/>
          <w:szCs w:val="21"/>
          <w:highlight w:val="none"/>
        </w:rPr>
        <w:t>建设资金来自业主自筹</w:t>
      </w:r>
      <w:r>
        <w:rPr>
          <w:rFonts w:hint="eastAsia" w:ascii="宋体" w:hAnsi="宋体" w:cs="宋体"/>
          <w:color w:val="auto"/>
          <w:szCs w:val="21"/>
          <w:highlight w:val="none"/>
          <w:lang w:eastAsia="zh-CN"/>
        </w:rPr>
        <w:t>，</w:t>
      </w:r>
      <w:r>
        <w:rPr>
          <w:rFonts w:hint="eastAsia"/>
          <w:color w:val="auto"/>
          <w:szCs w:val="21"/>
          <w:highlight w:val="none"/>
        </w:rPr>
        <w:t>项目中标后分别与</w:t>
      </w:r>
      <w:r>
        <w:rPr>
          <w:rFonts w:hint="eastAsia"/>
          <w:color w:val="auto"/>
          <w:szCs w:val="21"/>
          <w:highlight w:val="none"/>
          <w:lang w:val="en-US" w:eastAsia="zh-CN"/>
        </w:rPr>
        <w:t>桥梁对应的</w:t>
      </w:r>
      <w:r>
        <w:rPr>
          <w:rFonts w:hint="eastAsia"/>
          <w:color w:val="auto"/>
          <w:szCs w:val="21"/>
          <w:highlight w:val="none"/>
        </w:rPr>
        <w:t>各营运分公司进行合同谈判，并签订合同</w:t>
      </w:r>
      <w:r>
        <w:rPr>
          <w:rFonts w:hint="eastAsia"/>
          <w:color w:val="auto"/>
          <w:szCs w:val="21"/>
          <w:highlight w:val="none"/>
          <w:lang w:eastAsia="zh-CN"/>
        </w:rPr>
        <w:t>，</w:t>
      </w:r>
      <w:r>
        <w:rPr>
          <w:rFonts w:hint="eastAsia" w:ascii="宋体" w:hAnsi="宋体" w:cs="宋体"/>
          <w:color w:val="auto"/>
          <w:szCs w:val="21"/>
          <w:highlight w:val="none"/>
        </w:rPr>
        <w:t>项目现已具备招标条件，现招标委托</w:t>
      </w:r>
      <w:r>
        <w:rPr>
          <w:rFonts w:hint="eastAsia" w:ascii="宋体" w:hAnsi="宋体" w:cs="宋体"/>
          <w:b/>
          <w:color w:val="auto"/>
          <w:szCs w:val="21"/>
          <w:highlight w:val="none"/>
          <w:u w:val="single"/>
        </w:rPr>
        <w:t>重庆国际投资咨询集团有限公司</w:t>
      </w:r>
      <w:r>
        <w:rPr>
          <w:rFonts w:hint="eastAsia" w:ascii="宋体" w:hAnsi="宋体" w:cs="宋体"/>
          <w:color w:val="auto"/>
          <w:szCs w:val="21"/>
          <w:highlight w:val="none"/>
        </w:rPr>
        <w:t>作为本项目招标代理对本项目JKJC-</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标段进行</w:t>
      </w:r>
      <w:r>
        <w:rPr>
          <w:rFonts w:hint="eastAsia" w:ascii="宋体" w:hAnsi="宋体" w:cs="宋体"/>
          <w:b/>
          <w:color w:val="auto"/>
          <w:szCs w:val="21"/>
          <w:highlight w:val="none"/>
          <w:u w:val="single"/>
        </w:rPr>
        <w:t>公开招标</w:t>
      </w:r>
      <w:r>
        <w:rPr>
          <w:rFonts w:hint="eastAsia" w:ascii="宋体" w:hAnsi="宋体" w:cs="宋体"/>
          <w:color w:val="auto"/>
          <w:szCs w:val="21"/>
          <w:highlight w:val="none"/>
        </w:rPr>
        <w:t>，本项目采用资格后审。</w:t>
      </w:r>
    </w:p>
    <w:p>
      <w:pPr>
        <w:pStyle w:val="4"/>
        <w:spacing w:before="0" w:after="0" w:line="360" w:lineRule="auto"/>
        <w:rPr>
          <w:rFonts w:hint="eastAsia" w:ascii="宋体" w:hAnsi="宋体" w:cs="宋体"/>
          <w:bCs w:val="0"/>
          <w:snapToGrid w:val="0"/>
          <w:color w:val="auto"/>
          <w:highlight w:val="none"/>
        </w:rPr>
      </w:pPr>
      <w:bookmarkStart w:id="19" w:name="_Toc11841"/>
      <w:bookmarkStart w:id="20" w:name="_Toc19391"/>
      <w:bookmarkStart w:id="21" w:name="_Toc57795844"/>
      <w:r>
        <w:rPr>
          <w:rFonts w:hint="eastAsia" w:ascii="宋体" w:hAnsi="宋体" w:cs="宋体"/>
          <w:bCs w:val="0"/>
          <w:snapToGrid w:val="0"/>
          <w:color w:val="auto"/>
          <w:highlight w:val="none"/>
        </w:rPr>
        <w:t>2. 项目概况与招标范围</w:t>
      </w:r>
      <w:bookmarkEnd w:id="11"/>
      <w:bookmarkEnd w:id="12"/>
      <w:bookmarkEnd w:id="13"/>
      <w:bookmarkEnd w:id="14"/>
      <w:bookmarkEnd w:id="15"/>
      <w:bookmarkEnd w:id="16"/>
      <w:bookmarkEnd w:id="17"/>
      <w:bookmarkEnd w:id="18"/>
      <w:bookmarkEnd w:id="19"/>
      <w:bookmarkEnd w:id="20"/>
      <w:bookmarkEnd w:id="21"/>
      <w:bookmarkStart w:id="22" w:name="_Toc277082538"/>
      <w:bookmarkStart w:id="23" w:name="_Toc200359429"/>
      <w:bookmarkStart w:id="24" w:name="_Toc224103301"/>
      <w:bookmarkStart w:id="25" w:name="_Toc509218694"/>
      <w:bookmarkStart w:id="26" w:name="_Toc200359240"/>
      <w:bookmarkStart w:id="27" w:name="_Toc287620669"/>
      <w:bookmarkStart w:id="28" w:name="_Toc287607730"/>
      <w:bookmarkStart w:id="29" w:name="_Toc430530418"/>
    </w:p>
    <w:p>
      <w:pPr>
        <w:spacing w:line="360" w:lineRule="auto"/>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.1</w:t>
      </w:r>
      <w:r>
        <w:rPr>
          <w:rFonts w:hint="eastAsia" w:ascii="宋体" w:hAnsi="宋体" w:cs="宋体"/>
          <w:snapToGrid w:val="0"/>
          <w:color w:val="auto"/>
          <w:kern w:val="0"/>
          <w:szCs w:val="21"/>
          <w:highlight w:val="none"/>
        </w:rPr>
        <w:t xml:space="preserve"> </w:t>
      </w:r>
      <w:r>
        <w:rPr>
          <w:rFonts w:ascii="宋体" w:hAnsi="宋体" w:cs="宋体"/>
          <w:snapToGrid w:val="0"/>
          <w:color w:val="auto"/>
          <w:kern w:val="0"/>
          <w:szCs w:val="21"/>
          <w:highlight w:val="none"/>
        </w:rPr>
        <w:t>建设地点：</w:t>
      </w:r>
      <w:r>
        <w:rPr>
          <w:rFonts w:hint="eastAsia" w:ascii="宋体" w:hAnsi="宋体" w:cs="宋体"/>
          <w:snapToGrid w:val="0"/>
          <w:color w:val="auto"/>
          <w:kern w:val="0"/>
          <w:szCs w:val="21"/>
          <w:highlight w:val="none"/>
          <w:u w:val="single"/>
        </w:rPr>
        <w:t>重庆市</w:t>
      </w:r>
    </w:p>
    <w:p>
      <w:pPr>
        <w:spacing w:line="360" w:lineRule="auto"/>
        <w:ind w:firstLine="420" w:firstLineChars="200"/>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 xml:space="preserve"> 项目概况与</w:t>
      </w:r>
      <w:r>
        <w:rPr>
          <w:rFonts w:ascii="宋体" w:hAnsi="宋体" w:cs="宋体"/>
          <w:snapToGrid w:val="0"/>
          <w:color w:val="auto"/>
          <w:kern w:val="0"/>
          <w:szCs w:val="21"/>
          <w:highlight w:val="none"/>
        </w:rPr>
        <w:t>建设规模：</w:t>
      </w:r>
      <w:r>
        <w:rPr>
          <w:rFonts w:hint="eastAsia" w:ascii="宋体" w:hAnsi="宋体" w:cs="宋体"/>
          <w:snapToGrid w:val="0"/>
          <w:color w:val="auto"/>
          <w:kern w:val="0"/>
          <w:szCs w:val="21"/>
          <w:highlight w:val="none"/>
        </w:rPr>
        <w:t>按照交通运输部相关要求，需对重庆高速集团长大桥梁建设结构健康监测系统，</w:t>
      </w:r>
      <w:r>
        <w:rPr>
          <w:rFonts w:hint="eastAsia" w:ascii="宋体" w:hAnsi="宋体" w:cs="宋体"/>
          <w:snapToGrid w:val="0"/>
          <w:color w:val="auto"/>
          <w:kern w:val="0"/>
          <w:szCs w:val="21"/>
          <w:highlight w:val="none"/>
          <w:lang w:val="zh-CN"/>
        </w:rPr>
        <w:t>重庆高速</w:t>
      </w:r>
      <w:r>
        <w:rPr>
          <w:rFonts w:hint="eastAsia" w:ascii="宋体" w:hAnsi="宋体" w:cs="宋体"/>
          <w:snapToGrid w:val="0"/>
          <w:color w:val="auto"/>
          <w:kern w:val="0"/>
          <w:szCs w:val="21"/>
          <w:highlight w:val="none"/>
        </w:rPr>
        <w:t>集团长大</w:t>
      </w:r>
      <w:r>
        <w:rPr>
          <w:rFonts w:hint="eastAsia" w:ascii="宋体" w:hAnsi="宋体" w:cs="宋体"/>
          <w:snapToGrid w:val="0"/>
          <w:color w:val="auto"/>
          <w:kern w:val="0"/>
          <w:szCs w:val="21"/>
          <w:highlight w:val="none"/>
          <w:lang w:val="zh-CN"/>
        </w:rPr>
        <w:t>桥梁结构健康</w:t>
      </w:r>
      <w:r>
        <w:rPr>
          <w:rFonts w:hint="eastAsia" w:ascii="宋体" w:hAnsi="宋体" w:cs="宋体"/>
          <w:snapToGrid w:val="0"/>
          <w:color w:val="auto"/>
          <w:kern w:val="0"/>
          <w:szCs w:val="21"/>
          <w:highlight w:val="none"/>
        </w:rPr>
        <w:t>监测系统建设及监测技术服务项目，主要包括重庆高速公路国家高速桥梁30座、省高桥梁4座，共计34座桥梁健康监测系统的外场建设、系统开发（单桥子系统及集团级平台系统）及提供桥梁健康监测及管养技术服务，涉及对象包括：</w:t>
      </w:r>
    </w:p>
    <w:tbl>
      <w:tblPr>
        <w:tblStyle w:val="5"/>
        <w:tblpPr w:leftFromText="180" w:rightFromText="180" w:vertAnchor="text" w:horzAnchor="page" w:tblpX="2512" w:tblpY="511"/>
        <w:tblOverlap w:val="never"/>
        <w:tblW w:w="6525" w:type="dxa"/>
        <w:tblInd w:w="0" w:type="dxa"/>
        <w:tblLayout w:type="autofit"/>
        <w:tblCellMar>
          <w:top w:w="0" w:type="dxa"/>
          <w:left w:w="108" w:type="dxa"/>
          <w:bottom w:w="0" w:type="dxa"/>
          <w:right w:w="108" w:type="dxa"/>
        </w:tblCellMar>
      </w:tblPr>
      <w:tblGrid>
        <w:gridCol w:w="1066"/>
        <w:gridCol w:w="2969"/>
        <w:gridCol w:w="1575"/>
        <w:gridCol w:w="915"/>
      </w:tblGrid>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2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项目名称</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管理单位</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所在区县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水土嘉陵江大桥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中渝公司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北碚区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外环江津长江大桥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中渝公司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江津区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鱼嘴两江大桥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中渝公司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南岸区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白果渡嘉陵江大桥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中渝公司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合川区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涪江三桥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中渝公司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合川区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北碚嘉陵江大桥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渝合公司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北碚区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马鞍石嘉陵江大桥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渝合公司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渝北区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巴阳2号特大桥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云阳县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大宁河特大桥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巫山县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何家坪大桥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巫山县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红石梁1#特大桥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奉节县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龙洞河特大桥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巫山县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梅溪河特大桥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奉节县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彭溪河特大桥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云阳县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石马河特大桥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奉节县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汤溪河特大桥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云阳县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月亮包特大桥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云阳县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阿蓬江特大桥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黔江区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阿蓬江特大桥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黔江区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干溪沟特大桥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彭水县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共和乌江特大桥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彭水县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武陵山特大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彭水县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细沙河特大桥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黔江区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郁江1#大桥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东南公司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彭水县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忠州长江特大桥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股份公司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忠县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26</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青草背特大桥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南方公司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涪陵区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27</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黄草乌江特大桥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南方公司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武隆区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28</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土坎乌江特大桥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南方公司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武隆区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龙驹特大桥左线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万利万达公司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万州区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驸马长江大桥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万利万达公司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万州区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w:t>
            </w:r>
          </w:p>
        </w:tc>
        <w:tc>
          <w:tcPr>
            <w:tcW w:w="2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观音店綦江河特大桥</w:t>
            </w:r>
          </w:p>
        </w:tc>
        <w:tc>
          <w:tcPr>
            <w:tcW w:w="0" w:type="auto"/>
            <w:tcBorders>
              <w:top w:val="nil"/>
              <w:left w:val="nil"/>
              <w:bottom w:val="nil"/>
              <w:right w:val="nil"/>
            </w:tcBorders>
            <w:noWrap/>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南方公司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綦江区</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2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磨石溪特大桥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万利万达公司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酉阳县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33</w:t>
            </w:r>
          </w:p>
        </w:tc>
        <w:tc>
          <w:tcPr>
            <w:tcW w:w="2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铜西河特大桥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万利万达公司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酉阳县</w:t>
            </w:r>
          </w:p>
        </w:tc>
      </w:tr>
      <w:tr>
        <w:tblPrEx>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34</w:t>
            </w:r>
          </w:p>
        </w:tc>
        <w:tc>
          <w:tcPr>
            <w:tcW w:w="2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小河特大桥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万利万达公司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酉阳县</w:t>
            </w:r>
          </w:p>
        </w:tc>
      </w:tr>
    </w:tbl>
    <w:p>
      <w:pPr>
        <w:spacing w:line="360" w:lineRule="auto"/>
        <w:ind w:firstLine="420" w:firstLineChars="200"/>
        <w:rPr>
          <w:rFonts w:hint="eastAsia" w:ascii="宋体" w:hAnsi="宋体" w:cs="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2.3 </w:t>
      </w:r>
      <w:r>
        <w:rPr>
          <w:rFonts w:hint="eastAsia" w:ascii="宋体" w:hAnsi="宋体"/>
          <w:snapToGrid w:val="0"/>
          <w:color w:val="auto"/>
          <w:kern w:val="0"/>
          <w:szCs w:val="21"/>
          <w:highlight w:val="none"/>
        </w:rPr>
        <w:sym w:font="Wingdings 2" w:char="0052"/>
      </w:r>
      <w:r>
        <w:rPr>
          <w:rFonts w:hint="eastAsia" w:ascii="宋体" w:hAnsi="宋体"/>
          <w:snapToGrid w:val="0"/>
          <w:color w:val="auto"/>
          <w:kern w:val="0"/>
          <w:szCs w:val="21"/>
          <w:highlight w:val="none"/>
        </w:rPr>
        <w:t>本次招标项目工程总投资额：</w:t>
      </w:r>
      <w:r>
        <w:rPr>
          <w:rFonts w:hint="eastAsia" w:ascii="宋体" w:hAnsi="宋体"/>
          <w:snapToGrid w:val="0"/>
          <w:color w:val="auto"/>
          <w:kern w:val="0"/>
          <w:szCs w:val="21"/>
          <w:highlight w:val="none"/>
          <w:u w:val="single"/>
        </w:rPr>
        <w:t>1.389亿元</w:t>
      </w:r>
      <w:r>
        <w:rPr>
          <w:rFonts w:hint="eastAsia" w:ascii="宋体" w:hAnsi="宋体"/>
          <w:snapToGrid w:val="0"/>
          <w:color w:val="auto"/>
          <w:kern w:val="0"/>
          <w:szCs w:val="21"/>
          <w:highlight w:val="none"/>
          <w:u w:val="single"/>
          <w:lang w:eastAsia="zh-CN"/>
        </w:rPr>
        <w:t>，本标段金额：</w:t>
      </w:r>
      <w:r>
        <w:rPr>
          <w:rFonts w:hint="eastAsia" w:ascii="宋体" w:hAnsi="宋体" w:cs="宋体"/>
          <w:color w:val="auto"/>
          <w:kern w:val="0"/>
          <w:szCs w:val="21"/>
          <w:highlight w:val="none"/>
          <w:u w:val="single"/>
          <w:lang w:bidi="ar"/>
        </w:rPr>
        <w:t xml:space="preserve"> 27325555</w:t>
      </w:r>
      <w:r>
        <w:rPr>
          <w:rFonts w:hint="eastAsia" w:ascii="宋体" w:hAnsi="宋体" w:cs="宋体"/>
          <w:color w:val="auto"/>
          <w:kern w:val="0"/>
          <w:szCs w:val="21"/>
          <w:highlight w:val="none"/>
          <w:u w:val="single"/>
          <w:lang w:eastAsia="zh-CN" w:bidi="ar"/>
        </w:rPr>
        <w:t>元。</w:t>
      </w:r>
    </w:p>
    <w:p>
      <w:pPr>
        <w:spacing w:line="66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 xml:space="preserve">4 </w:t>
      </w:r>
      <w:r>
        <w:rPr>
          <w:rFonts w:ascii="宋体" w:hAnsi="宋体" w:cs="宋体"/>
          <w:snapToGrid w:val="0"/>
          <w:color w:val="auto"/>
          <w:kern w:val="0"/>
          <w:szCs w:val="21"/>
          <w:highlight w:val="none"/>
        </w:rPr>
        <w:t>招标范围：</w:t>
      </w:r>
    </w:p>
    <w:p>
      <w:pPr>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2.4.1 34座桥梁的外场设备采购及安装、单桥管理子系统开发，具备单桥数据采集、储存、处理分析、监控、预警、评价等功能，保证独立运行。</w:t>
      </w:r>
    </w:p>
    <w:p>
      <w:pPr>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2.4.2 监控总中心集团级平台系统开发（包含该系统与重庆高速公路现有机电相关系统的适应性调试、改造），包含对重庆市高速路网内的长大桥梁健康监测数据进行汇总，具备多桥数据存储、监控、预警、评价等功能。</w:t>
      </w:r>
    </w:p>
    <w:p>
      <w:pPr>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2.4.3 提供桥梁健康监测及分析评价技术服务：维护系统正常运行和功能完好，完成系统使用培训， 定期提供满足相关要求的桥梁监测分析报告，提供异常事件安全健康分析及处置建议。</w:t>
      </w:r>
    </w:p>
    <w:p>
      <w:pPr>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2.4.4编制单桥的桥梁养护手册及养护规划等。</w:t>
      </w:r>
    </w:p>
    <w:p>
      <w:pPr>
        <w:pStyle w:val="2"/>
        <w:ind w:firstLine="420" w:firstLineChars="200"/>
        <w:rPr>
          <w:color w:val="auto"/>
          <w:highlight w:val="none"/>
        </w:rPr>
      </w:pPr>
    </w:p>
    <w:p>
      <w:pPr>
        <w:widowControl/>
        <w:ind w:firstLine="420" w:firstLineChars="200"/>
        <w:jc w:val="left"/>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 xml:space="preserve">5 </w:t>
      </w:r>
      <w:r>
        <w:rPr>
          <w:rFonts w:ascii="宋体" w:hAnsi="宋体" w:cs="宋体"/>
          <w:snapToGrid w:val="0"/>
          <w:color w:val="auto"/>
          <w:kern w:val="0"/>
          <w:szCs w:val="21"/>
          <w:highlight w:val="none"/>
        </w:rPr>
        <w:t>工期要求：</w:t>
      </w:r>
      <w:r>
        <w:rPr>
          <w:rFonts w:hint="eastAsia" w:ascii="宋体" w:hAnsi="宋体" w:cs="宋体"/>
          <w:snapToGrid w:val="0"/>
          <w:color w:val="auto"/>
          <w:kern w:val="0"/>
          <w:szCs w:val="21"/>
          <w:highlight w:val="none"/>
          <w:u w:val="single"/>
        </w:rPr>
        <w:t>180 日历天。2023年 5月 31日前完成本标段桥梁结构健康监测系统软硬件的采购、安装、软件设计、系统及平台开发、联动调试和验收工作并开始试运行，试运行期三个月；2023年8月31日起，系统及平台正式运行。</w:t>
      </w:r>
    </w:p>
    <w:p>
      <w:pPr>
        <w:widowControl/>
        <w:ind w:firstLine="420" w:firstLineChars="200"/>
        <w:jc w:val="left"/>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u w:val="single"/>
        </w:rPr>
        <w:t>维护期：5年（包含外场设备及系统的维护）。</w:t>
      </w:r>
    </w:p>
    <w:p>
      <w:pPr>
        <w:pStyle w:val="2"/>
        <w:ind w:firstLine="420" w:firstLineChars="200"/>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u w:val="single"/>
        </w:rPr>
        <w:t>监测技术服务期：提供5年的监测技术服务</w:t>
      </w:r>
    </w:p>
    <w:p>
      <w:pPr>
        <w:spacing w:line="360" w:lineRule="auto"/>
        <w:ind w:firstLine="420" w:firstLineChars="200"/>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 xml:space="preserve">6 </w:t>
      </w:r>
      <w:r>
        <w:rPr>
          <w:rFonts w:ascii="宋体" w:hAnsi="宋体" w:cs="宋体"/>
          <w:snapToGrid w:val="0"/>
          <w:color w:val="auto"/>
          <w:kern w:val="0"/>
          <w:szCs w:val="21"/>
          <w:highlight w:val="none"/>
        </w:rPr>
        <w:t>标段划分：</w:t>
      </w:r>
    </w:p>
    <w:p>
      <w:pPr>
        <w:spacing w:line="360" w:lineRule="auto"/>
        <w:rPr>
          <w:rFonts w:hint="eastAsia" w:ascii="宋体" w:hAnsi="宋体" w:cs="宋体"/>
          <w:snapToGrid w:val="0"/>
          <w:color w:val="auto"/>
          <w:kern w:val="0"/>
          <w:szCs w:val="21"/>
          <w:highlight w:val="none"/>
        </w:rPr>
      </w:pPr>
    </w:p>
    <w:tbl>
      <w:tblPr>
        <w:tblStyle w:val="5"/>
        <w:tblW w:w="9540" w:type="dxa"/>
        <w:tblInd w:w="93" w:type="dxa"/>
        <w:tblLayout w:type="autofit"/>
        <w:tblCellMar>
          <w:top w:w="0" w:type="dxa"/>
          <w:left w:w="108" w:type="dxa"/>
          <w:bottom w:w="0" w:type="dxa"/>
          <w:right w:w="108" w:type="dxa"/>
        </w:tblCellMar>
      </w:tblPr>
      <w:tblGrid>
        <w:gridCol w:w="1440"/>
        <w:gridCol w:w="1080"/>
        <w:gridCol w:w="2475"/>
        <w:gridCol w:w="1605"/>
        <w:gridCol w:w="1650"/>
        <w:gridCol w:w="1290"/>
      </w:tblGrid>
      <w:tr>
        <w:tblPrEx>
          <w:tblCellMar>
            <w:top w:w="0" w:type="dxa"/>
            <w:left w:w="108" w:type="dxa"/>
            <w:bottom w:w="0" w:type="dxa"/>
            <w:right w:w="108" w:type="dxa"/>
          </w:tblCellMar>
        </w:tblPrEx>
        <w:trPr>
          <w:trHeight w:val="270" w:hRule="atLeast"/>
        </w:trPr>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16"/>
                <w:szCs w:val="16"/>
                <w:highlight w:val="none"/>
              </w:rPr>
            </w:pPr>
            <w:r>
              <w:rPr>
                <w:rFonts w:hint="eastAsia" w:ascii="仿宋" w:hAnsi="仿宋" w:eastAsia="仿宋" w:cs="仿宋"/>
                <w:color w:val="auto"/>
                <w:kern w:val="0"/>
                <w:sz w:val="16"/>
                <w:szCs w:val="16"/>
                <w:highlight w:val="none"/>
                <w:lang w:bidi="ar"/>
              </w:rPr>
              <w:t>标段划分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序号</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桥名</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类型</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工作内容</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公司</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JKJC-5标段</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大宁河特大桥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拱桥</w:t>
            </w:r>
          </w:p>
        </w:tc>
        <w:tc>
          <w:tcPr>
            <w:tcW w:w="165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3座桥梁外场建设、设备运行维护；34座单桥子系统及集团级平台软硬件及开发、系统的运行维护及升级、系统的操作培训以及34座桥梁的监测技术服等</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东北</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6"/>
                <w:szCs w:val="16"/>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干溪沟特大桥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连续刚构</w:t>
            </w:r>
          </w:p>
        </w:tc>
        <w:tc>
          <w:tcPr>
            <w:tcW w:w="1650"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auto"/>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东南</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6"/>
                <w:szCs w:val="16"/>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sz w:val="16"/>
                <w:szCs w:val="16"/>
                <w:highlight w:val="none"/>
              </w:rPr>
              <w:t>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共和乌江特大桥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连续刚构</w:t>
            </w:r>
          </w:p>
        </w:tc>
        <w:tc>
          <w:tcPr>
            <w:tcW w:w="1650"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color w:val="auto"/>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东南</w:t>
            </w: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6"/>
                <w:szCs w:val="16"/>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34座桥梁单桥系统+总平台系统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6"/>
                <w:szCs w:val="16"/>
                <w:highlight w:val="none"/>
              </w:rPr>
            </w:pPr>
          </w:p>
        </w:tc>
        <w:tc>
          <w:tcPr>
            <w:tcW w:w="165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单桥子系统与对应公司签订合同，总平台与中渝公司签订</w:t>
            </w:r>
          </w:p>
        </w:tc>
      </w:tr>
    </w:tbl>
    <w:p>
      <w:pPr>
        <w:spacing w:line="360" w:lineRule="auto"/>
        <w:ind w:firstLine="420" w:firstLineChars="200"/>
        <w:rPr>
          <w:rFonts w:hint="eastAsia" w:ascii="宋体" w:hAnsi="宋体" w:cs="宋体"/>
          <w:snapToGrid w:val="0"/>
          <w:color w:val="auto"/>
          <w:kern w:val="0"/>
          <w:szCs w:val="21"/>
          <w:highlight w:val="none"/>
        </w:rPr>
      </w:pPr>
    </w:p>
    <w:p>
      <w:pPr>
        <w:spacing w:line="360" w:lineRule="auto"/>
        <w:ind w:firstLine="420" w:firstLineChars="200"/>
        <w:rPr>
          <w:rFonts w:hint="eastAsia" w:ascii="宋体" w:hAnsi="宋体"/>
          <w:color w:val="auto"/>
          <w:highlight w:val="none"/>
        </w:rPr>
      </w:pPr>
      <w:r>
        <w:rPr>
          <w:rFonts w:hint="eastAsia" w:ascii="宋体" w:hAnsi="宋体" w:cs="宋体"/>
          <w:snapToGrid w:val="0"/>
          <w:color w:val="auto"/>
          <w:kern w:val="0"/>
          <w:szCs w:val="21"/>
          <w:highlight w:val="none"/>
        </w:rPr>
        <w:t xml:space="preserve">2.7 </w:t>
      </w:r>
      <w:r>
        <w:rPr>
          <w:rFonts w:ascii="宋体" w:hAnsi="宋体"/>
          <w:color w:val="auto"/>
          <w:highlight w:val="none"/>
        </w:rPr>
        <w:t>其他：</w:t>
      </w:r>
      <w:r>
        <w:rPr>
          <w:rFonts w:hint="eastAsia" w:ascii="宋体" w:hAnsi="宋体"/>
          <w:color w:val="auto"/>
          <w:highlight w:val="none"/>
          <w:u w:val="single"/>
        </w:rPr>
        <w:t>无</w:t>
      </w:r>
    </w:p>
    <w:p>
      <w:pPr>
        <w:pStyle w:val="4"/>
        <w:spacing w:before="0" w:after="0" w:line="360" w:lineRule="auto"/>
        <w:rPr>
          <w:rFonts w:hint="eastAsia" w:ascii="宋体" w:hAnsi="宋体" w:cs="宋体"/>
          <w:bCs w:val="0"/>
          <w:snapToGrid w:val="0"/>
          <w:color w:val="auto"/>
          <w:highlight w:val="none"/>
        </w:rPr>
      </w:pPr>
      <w:bookmarkStart w:id="30" w:name="_Toc14024"/>
      <w:bookmarkStart w:id="31" w:name="_Toc57795845"/>
      <w:bookmarkStart w:id="32" w:name="_Toc32129"/>
      <w:r>
        <w:rPr>
          <w:rFonts w:hint="eastAsia" w:ascii="宋体" w:hAnsi="宋体" w:cs="宋体"/>
          <w:bCs w:val="0"/>
          <w:snapToGrid w:val="0"/>
          <w:color w:val="auto"/>
          <w:highlight w:val="none"/>
        </w:rPr>
        <w:t>3. 投标人资格要求</w:t>
      </w:r>
      <w:bookmarkEnd w:id="22"/>
      <w:bookmarkEnd w:id="23"/>
      <w:bookmarkEnd w:id="24"/>
      <w:bookmarkEnd w:id="25"/>
      <w:bookmarkEnd w:id="26"/>
      <w:bookmarkEnd w:id="27"/>
      <w:bookmarkEnd w:id="28"/>
      <w:bookmarkEnd w:id="29"/>
      <w:bookmarkEnd w:id="30"/>
      <w:bookmarkEnd w:id="31"/>
      <w:bookmarkEnd w:id="32"/>
    </w:p>
    <w:p>
      <w:pPr>
        <w:tabs>
          <w:tab w:val="left" w:pos="3840"/>
          <w:tab w:val="left" w:pos="5300"/>
        </w:tabs>
        <w:autoSpaceDE w:val="0"/>
        <w:autoSpaceDN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cs="宋体"/>
          <w:snapToGrid w:val="0"/>
          <w:color w:val="auto"/>
          <w:kern w:val="0"/>
          <w:szCs w:val="21"/>
          <w:highlight w:val="none"/>
        </w:rPr>
        <w:t xml:space="preserve">3.1 </w:t>
      </w:r>
      <w:r>
        <w:rPr>
          <w:rFonts w:ascii="宋体" w:hAnsi="宋体"/>
          <w:snapToGrid w:val="0"/>
          <w:color w:val="auto"/>
          <w:kern w:val="0"/>
          <w:szCs w:val="21"/>
          <w:highlight w:val="none"/>
        </w:rPr>
        <w:t>本次招标要求投标人须具备</w:t>
      </w:r>
      <w:r>
        <w:rPr>
          <w:rFonts w:hint="eastAsia" w:ascii="宋体" w:hAnsi="宋体"/>
          <w:snapToGrid w:val="0"/>
          <w:color w:val="auto"/>
          <w:kern w:val="0"/>
          <w:szCs w:val="21"/>
          <w:highlight w:val="none"/>
        </w:rPr>
        <w:t>以下条件：</w:t>
      </w:r>
    </w:p>
    <w:p>
      <w:pPr>
        <w:tabs>
          <w:tab w:val="left" w:pos="3840"/>
          <w:tab w:val="left" w:pos="5300"/>
        </w:tabs>
        <w:autoSpaceDE w:val="0"/>
        <w:autoSpaceDN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3.1.1  本次招标</w:t>
      </w:r>
      <w:r>
        <w:rPr>
          <w:rFonts w:hint="eastAsia" w:ascii="宋体" w:hAnsi="宋体"/>
          <w:snapToGrid w:val="0"/>
          <w:color w:val="auto"/>
          <w:kern w:val="0"/>
          <w:szCs w:val="21"/>
          <w:highlight w:val="none"/>
        </w:rPr>
        <w:t>本项目JKJC-</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标段</w:t>
      </w:r>
      <w:r>
        <w:rPr>
          <w:rFonts w:hint="eastAsia" w:ascii="宋体" w:hAnsi="宋体" w:cs="宋体"/>
          <w:snapToGrid w:val="0"/>
          <w:color w:val="auto"/>
          <w:kern w:val="0"/>
          <w:szCs w:val="21"/>
          <w:highlight w:val="none"/>
        </w:rPr>
        <w:t>要求投标人需同时具备以下资质条件：</w:t>
      </w:r>
    </w:p>
    <w:p>
      <w:pPr>
        <w:autoSpaceDE w:val="0"/>
        <w:autoSpaceDN w:val="0"/>
        <w:adjustRightInd w:val="0"/>
        <w:snapToGrid w:val="0"/>
        <w:spacing w:line="400" w:lineRule="exact"/>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1）企业应</w:t>
      </w:r>
      <w:r>
        <w:rPr>
          <w:rFonts w:ascii="宋体" w:hAnsi="宋体"/>
          <w:color w:val="auto"/>
          <w:highlight w:val="none"/>
        </w:rPr>
        <w:t>具备有效的营业执照</w:t>
      </w:r>
      <w:r>
        <w:rPr>
          <w:rFonts w:hint="eastAsia" w:ascii="宋体" w:hAnsi="宋体"/>
          <w:color w:val="auto"/>
          <w:highlight w:val="none"/>
        </w:rPr>
        <w:t>或事业单位应具备事业单位法人证书；</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（2）具备工程设计综合甲级资质、或公路行业甲级设计资质、或公路行业（特大桥梁）专业甲级设计资质；</w:t>
      </w:r>
    </w:p>
    <w:p>
      <w:pPr>
        <w:autoSpaceDE w:val="0"/>
        <w:autoSpaceDN w:val="0"/>
        <w:adjustRightInd w:val="0"/>
        <w:snapToGrid w:val="0"/>
        <w:spacing w:line="400" w:lineRule="exact"/>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具有交通运输部认定的《公路水运工程试验检测机构等级证书》公路工程综合甲级资质,同时具有省级（含省级）以上市场监督管理部门认定的《检验检测机构资质认定证书（CMA）》。</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）具有住房和城乡建设部颁发的公路交通工程（公路机电工程）专业承包壹级资质；</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）具有中国电子工业标准化技术协会颁发的ITSS信息技术服务标准二级、或一级符合性证书；</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）投标人至少具有1项国家版权局颁发的软件著作权证书（证书内容须包含“桥梁在线监测，桥梁健康监测”等类似文字（著作权获取时间需在本项目招标公告发布日前）。</w:t>
      </w:r>
    </w:p>
    <w:p>
      <w:pPr>
        <w:spacing w:line="660" w:lineRule="exact"/>
        <w:ind w:firstLine="420" w:firstLineChars="200"/>
        <w:jc w:val="left"/>
        <w:rPr>
          <w:rFonts w:hint="eastAsia"/>
          <w:color w:val="auto"/>
          <w:highlight w:val="none"/>
        </w:rPr>
      </w:pPr>
      <w:r>
        <w:rPr>
          <w:rFonts w:hint="eastAsia" w:ascii="宋体" w:hAnsi="宋体" w:cs="宋体"/>
          <w:snapToGrid w:val="0"/>
          <w:color w:val="auto"/>
          <w:kern w:val="0"/>
          <w:szCs w:val="21"/>
          <w:highlight w:val="none"/>
        </w:rPr>
        <w:t>3.1.</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 xml:space="preserve"> 本次招标</w:t>
      </w:r>
      <w:r>
        <w:rPr>
          <w:rFonts w:hint="eastAsia" w:ascii="宋体" w:hAnsi="宋体"/>
          <w:color w:val="auto"/>
          <w:highlight w:val="none"/>
        </w:rPr>
        <w:t>JKJC-</w:t>
      </w:r>
      <w:r>
        <w:rPr>
          <w:rFonts w:hint="eastAsia" w:ascii="宋体" w:hAnsi="宋体"/>
          <w:color w:val="auto"/>
          <w:highlight w:val="none"/>
          <w:lang w:val="en-US" w:eastAsia="zh-CN"/>
        </w:rPr>
        <w:t>5</w:t>
      </w:r>
      <w:r>
        <w:rPr>
          <w:rFonts w:hint="eastAsia" w:ascii="宋体" w:hAnsi="宋体"/>
          <w:color w:val="auto"/>
          <w:highlight w:val="none"/>
        </w:rPr>
        <w:t>标段</w:t>
      </w:r>
      <w:r>
        <w:rPr>
          <w:rFonts w:hint="eastAsia" w:ascii="宋体" w:hAnsi="宋体" w:cs="宋体"/>
          <w:snapToGrid w:val="0"/>
          <w:color w:val="auto"/>
          <w:kern w:val="0"/>
          <w:szCs w:val="21"/>
          <w:highlight w:val="none"/>
        </w:rPr>
        <w:t>要求投标人具备的业绩条件：</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投标人自 2017 年 1 月 1 日以来（以合同签订日期为准），独立或作为联合体牵头人完成过至少1座已通车公路长大桥梁健康监测（或结构监测）系统建设项目业绩。（长大桥梁是指单孔跨径500米以上悬索桥、单孔跨径300米以上斜拉桥、单孔跨径200米以上拱桥、单孔跨径160米以上梁桥，以上类型桥梁完成其中之一种即可；且单桥桥梁健康监测建设合同金额不低于 200 万元）</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2017年1月1日以来（以合同签订日期为准），独立或作为联合体牵头人至少完成过1项高速公路IT系统集成类合同，合同金额不低于200万元（合同金额指包含服务器、小型机、交换机、网络安全设备等的金额合计）；</w:t>
      </w:r>
    </w:p>
    <w:p>
      <w:pPr>
        <w:autoSpaceDE w:val="0"/>
        <w:autoSpaceDN w:val="0"/>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）2017年1月1日以来（以合同签订日期为准），独立或作为联合体牵头人至少完成过1项高速公路信息化项目运维合同，合同金额不低于200万元。</w:t>
      </w:r>
    </w:p>
    <w:p>
      <w:pPr>
        <w:pStyle w:val="2"/>
        <w:spacing w:after="0" w:line="360" w:lineRule="auto"/>
        <w:ind w:firstLine="420" w:firstLineChars="200"/>
        <w:rPr>
          <w:rFonts w:hint="eastAsia"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投标人还应在人员、设备、资金等方面具有相应的</w:t>
      </w:r>
      <w:r>
        <w:rPr>
          <w:rFonts w:hint="eastAsia" w:ascii="宋体" w:hAnsi="宋体"/>
          <w:snapToGrid w:val="0"/>
          <w:color w:val="auto"/>
          <w:kern w:val="0"/>
          <w:szCs w:val="21"/>
          <w:highlight w:val="none"/>
          <w:lang w:val="en-US" w:eastAsia="zh-CN"/>
        </w:rPr>
        <w:t>实施</w:t>
      </w:r>
      <w:r>
        <w:rPr>
          <w:rFonts w:hint="eastAsia" w:ascii="宋体" w:hAnsi="宋体"/>
          <w:snapToGrid w:val="0"/>
          <w:color w:val="auto"/>
          <w:kern w:val="0"/>
          <w:szCs w:val="21"/>
          <w:highlight w:val="none"/>
        </w:rPr>
        <w:t>能力，详见招标文件第二章投标人须知前附表第1.4.1项内容。</w:t>
      </w:r>
    </w:p>
    <w:p>
      <w:pPr>
        <w:pStyle w:val="2"/>
        <w:spacing w:after="0"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本次招标</w:t>
      </w:r>
      <w:r>
        <w:rPr>
          <w:rFonts w:hint="eastAsia" w:ascii="宋体" w:hAnsi="宋体"/>
          <w:snapToGrid w:val="0"/>
          <w:color w:val="auto"/>
          <w:kern w:val="0"/>
          <w:szCs w:val="21"/>
          <w:highlight w:val="none"/>
        </w:rPr>
        <w:sym w:font="Wingdings 2" w:char="0052"/>
      </w:r>
      <w:r>
        <w:rPr>
          <w:rFonts w:hint="eastAsia" w:ascii="宋体" w:hAnsi="宋体"/>
          <w:snapToGrid w:val="0"/>
          <w:color w:val="auto"/>
          <w:kern w:val="0"/>
          <w:szCs w:val="21"/>
          <w:highlight w:val="none"/>
        </w:rPr>
        <w:t xml:space="preserve">接受 </w:t>
      </w:r>
      <w:r>
        <w:rPr>
          <w:rFonts w:hint="eastAsia" w:ascii="宋体" w:hAnsi="宋体"/>
          <w:snapToGrid w:val="0"/>
          <w:color w:val="auto"/>
          <w:kern w:val="0"/>
          <w:szCs w:val="21"/>
          <w:highlight w:val="none"/>
        </w:rPr>
        <w:sym w:font="Wingdings 2" w:char="00A3"/>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pPr>
        <w:spacing w:line="420" w:lineRule="exact"/>
        <w:ind w:firstLine="422"/>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3.2.1本项目JKJC-1、JKJC-2、JKJC-3、JKJC-4标段联合体投标人仅能由两家单位组成，牵头单位须为具备试验检测资质的单位，牵头单位自身若满足资质要求，则不能再参与组成联合体，联合体投标人之间需具备如下条件：母公司和其全资子公司或由共同的母公司全资持股的子公司，上述联合体投标人需提供工商注册登记证明材料。</w:t>
      </w:r>
    </w:p>
    <w:p>
      <w:pPr>
        <w:spacing w:line="360" w:lineRule="auto"/>
        <w:ind w:firstLine="422"/>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3.2.2本项目JKJC-5标段联合体投标人仅能由三家及以下单位组成，牵头单位须为</w:t>
      </w:r>
      <w:r>
        <w:rPr>
          <w:rFonts w:hint="eastAsia" w:ascii="宋体" w:hAnsi="宋体"/>
          <w:color w:val="auto"/>
          <w:highlight w:val="none"/>
        </w:rPr>
        <w:t>具有住房和城乡建设部颁发的公路交通工程（公路机电工程）专业承包壹级资质的单位</w:t>
      </w:r>
      <w:r>
        <w:rPr>
          <w:rFonts w:hint="eastAsia" w:ascii="宋体" w:hAnsi="宋体"/>
          <w:snapToGrid w:val="0"/>
          <w:color w:val="auto"/>
          <w:kern w:val="0"/>
          <w:szCs w:val="21"/>
          <w:highlight w:val="none"/>
        </w:rPr>
        <w:t>，牵头单位自身若满足资质要求，则不能再参与组成联合体。联合体投标人之间需具备如下条件：具备设计资质单位与具备试验检测资质的单位应为母公司和其全资子公司或由共同的母公司全资持股的子公司，上述联合体投标人需提供工商注册登记证明材料。</w:t>
      </w:r>
    </w:p>
    <w:p>
      <w:pPr>
        <w:spacing w:line="360" w:lineRule="auto"/>
        <w:ind w:firstLine="422"/>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3.2.</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联合体投标人须提交联合体投标协议书，并明确牵头人，以及各方的权利和义务。联合体各方签订共同投标协议后，不得再以自己名义单独或组成新的联合体或参加其他联合体在JKJC-1、JKJC-2、JKJC-3、JKJC-4标段中投标。</w:t>
      </w:r>
    </w:p>
    <w:p>
      <w:pPr>
        <w:spacing w:line="360" w:lineRule="auto"/>
        <w:ind w:firstLine="422"/>
        <w:rPr>
          <w:rFonts w:hint="eastAsia"/>
          <w:color w:val="auto"/>
          <w:highlight w:val="none"/>
        </w:rPr>
      </w:pPr>
      <w:r>
        <w:rPr>
          <w:rFonts w:hint="eastAsia" w:ascii="宋体" w:hAnsi="宋体"/>
          <w:snapToGrid w:val="0"/>
          <w:color w:val="auto"/>
          <w:kern w:val="0"/>
          <w:szCs w:val="21"/>
          <w:highlight w:val="none"/>
        </w:rPr>
        <w:t>3.2.</w:t>
      </w:r>
      <w:r>
        <w:rPr>
          <w:rFonts w:hint="eastAsia" w:ascii="宋体" w:hAnsi="宋体"/>
          <w:snapToGrid w:val="0"/>
          <w:color w:val="auto"/>
          <w:kern w:val="0"/>
          <w:szCs w:val="21"/>
          <w:highlight w:val="none"/>
          <w:lang w:val="en-US" w:eastAsia="zh-CN"/>
        </w:rPr>
        <w:t xml:space="preserve">4 </w:t>
      </w:r>
      <w:r>
        <w:rPr>
          <w:rFonts w:hint="eastAsia" w:ascii="宋体" w:hAnsi="宋体"/>
          <w:snapToGrid w:val="0"/>
          <w:color w:val="auto"/>
          <w:kern w:val="0"/>
          <w:szCs w:val="21"/>
          <w:highlight w:val="none"/>
        </w:rPr>
        <w:t>在3.2.</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中所述的独立投标人或联合体投标人在JKJC-5标段投标中可作为联合体成员单位与</w:t>
      </w:r>
      <w:r>
        <w:rPr>
          <w:rFonts w:hint="eastAsia" w:ascii="宋体" w:hAnsi="宋体"/>
          <w:color w:val="auto"/>
          <w:highlight w:val="none"/>
        </w:rPr>
        <w:t>具有住房和城乡建设部颁发的公路交通工程（公路机电工程）专业承包壹级资质的单位组成新的联合体</w:t>
      </w:r>
      <w:r>
        <w:rPr>
          <w:rFonts w:hint="eastAsia" w:ascii="宋体" w:hAnsi="宋体"/>
          <w:snapToGrid w:val="0"/>
          <w:color w:val="auto"/>
          <w:kern w:val="0"/>
          <w:szCs w:val="21"/>
          <w:highlight w:val="none"/>
        </w:rPr>
        <w:t>参与JKJC-5标段投标，联合体各方签订共同投标协议后，不得再以自己名义单独或组成新的联合体或参加其他联合体在JKJC-5标段中投标。</w:t>
      </w:r>
    </w:p>
    <w:p>
      <w:pPr>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3.3满足条件的投标人，可以同时最多对本项目的5个标段其中两个标段进行投标，最多允许中标一个标段，评标时按照对应最高限价金额从高到低进行评比，若投标人或投标人作为联合体成员单位在JKJC-5标段评审中被评为第一中标候选人，则不再推荐为其他标段的中标候选人，若同一投标人在JKJC-1、JKJC-2、JKJC-3、JKJC-4标段中的两个标段评审中均被评为第一中标候选人，该投标人推荐为对应最高限价金额较高的标段的第一中标候选人，不再推荐为其他标段的中标候选人，由排名靠后的投标人依次递补。</w:t>
      </w:r>
    </w:p>
    <w:p>
      <w:pPr>
        <w:pStyle w:val="4"/>
        <w:spacing w:before="0" w:after="0" w:line="360" w:lineRule="auto"/>
        <w:rPr>
          <w:rFonts w:hint="eastAsia" w:ascii="宋体" w:hAnsi="宋体" w:cs="宋体"/>
          <w:bCs w:val="0"/>
          <w:snapToGrid w:val="0"/>
          <w:color w:val="auto"/>
          <w:highlight w:val="none"/>
        </w:rPr>
      </w:pPr>
      <w:bookmarkStart w:id="33" w:name="_Toc4286"/>
      <w:bookmarkStart w:id="34" w:name="_Toc22643"/>
      <w:bookmarkStart w:id="35" w:name="_Toc200359241"/>
      <w:bookmarkStart w:id="36" w:name="_Toc224103302"/>
      <w:bookmarkStart w:id="37" w:name="_Toc509218695"/>
      <w:bookmarkStart w:id="38" w:name="_Toc287607731"/>
      <w:bookmarkStart w:id="39" w:name="_Toc287620670"/>
      <w:bookmarkStart w:id="40" w:name="_Toc430530419"/>
      <w:bookmarkStart w:id="41" w:name="_Toc57795846"/>
      <w:bookmarkStart w:id="42" w:name="_Toc277082539"/>
      <w:bookmarkStart w:id="43" w:name="_Toc200359430"/>
      <w:r>
        <w:rPr>
          <w:rFonts w:hint="eastAsia" w:ascii="宋体" w:hAnsi="宋体" w:cs="宋体"/>
          <w:bCs w:val="0"/>
          <w:snapToGrid w:val="0"/>
          <w:color w:val="auto"/>
          <w:highlight w:val="none"/>
        </w:rPr>
        <w:t>4. 招标文件的获取</w:t>
      </w:r>
      <w:bookmarkEnd w:id="33"/>
      <w:bookmarkEnd w:id="34"/>
      <w:bookmarkEnd w:id="35"/>
      <w:bookmarkEnd w:id="36"/>
      <w:bookmarkEnd w:id="37"/>
      <w:bookmarkEnd w:id="38"/>
      <w:bookmarkEnd w:id="39"/>
      <w:bookmarkEnd w:id="40"/>
      <w:bookmarkEnd w:id="41"/>
      <w:bookmarkEnd w:id="42"/>
      <w:bookmarkEnd w:id="43"/>
    </w:p>
    <w:p>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bookmarkStart w:id="44" w:name="_Toc200359242"/>
      <w:bookmarkStart w:id="45" w:name="_Toc224103303"/>
      <w:bookmarkStart w:id="46" w:name="_Toc287620671"/>
      <w:bookmarkStart w:id="47" w:name="_Toc509218696"/>
      <w:bookmarkStart w:id="48" w:name="_Toc200359431"/>
      <w:bookmarkStart w:id="49" w:name="_Toc277082540"/>
      <w:bookmarkStart w:id="50" w:name="_Toc430530420"/>
      <w:bookmarkStart w:id="51" w:name="_Toc287607732"/>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本招标项目采用</w:t>
      </w:r>
      <w:r>
        <w:rPr>
          <w:rFonts w:hint="eastAsia" w:ascii="宋体" w:hAnsi="宋体"/>
          <w:snapToGrid w:val="0"/>
          <w:color w:val="auto"/>
          <w:kern w:val="0"/>
          <w:szCs w:val="21"/>
          <w:highlight w:val="none"/>
        </w:rPr>
        <w:t>全流程电子</w:t>
      </w:r>
      <w:r>
        <w:rPr>
          <w:rFonts w:ascii="宋体" w:hAnsi="宋体"/>
          <w:snapToGrid w:val="0"/>
          <w:color w:val="auto"/>
          <w:kern w:val="0"/>
          <w:szCs w:val="21"/>
          <w:highlight w:val="none"/>
        </w:rPr>
        <w:t>招投标，投标人在投标前可在</w:t>
      </w:r>
      <w:r>
        <w:rPr>
          <w:rFonts w:hint="eastAsia" w:ascii="宋体" w:hAnsi="宋体"/>
          <w:snapToGrid w:val="0"/>
          <w:color w:val="auto"/>
          <w:kern w:val="0"/>
          <w:szCs w:val="21"/>
          <w:highlight w:val="none"/>
          <w:u w:val="single"/>
        </w:rPr>
        <w:t>重庆市公共资源交易网（www.cqggzy.com）</w:t>
      </w:r>
      <w:r>
        <w:rPr>
          <w:rFonts w:ascii="宋体" w:hAnsi="宋体"/>
          <w:snapToGrid w:val="0"/>
          <w:color w:val="auto"/>
          <w:kern w:val="0"/>
          <w:szCs w:val="21"/>
          <w:highlight w:val="none"/>
        </w:rPr>
        <w:t>下载招标文件、工程量清单、电子图纸等资料。参与投标的投标人</w:t>
      </w:r>
      <w:r>
        <w:rPr>
          <w:rFonts w:hint="eastAsia" w:ascii="宋体" w:hAnsi="宋体"/>
          <w:snapToGrid w:val="0"/>
          <w:color w:val="auto"/>
          <w:kern w:val="0"/>
          <w:szCs w:val="21"/>
          <w:highlight w:val="none"/>
        </w:rPr>
        <w:t>需在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完成市场主体信息登记以及 CA 数字证书办理，办理方式请参见</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color w:val="auto"/>
          <w:kern w:val="0"/>
          <w:szCs w:val="21"/>
          <w:highlight w:val="none"/>
        </w:rPr>
        <w:t>。</w:t>
      </w:r>
    </w:p>
    <w:p>
      <w:pPr>
        <w:tabs>
          <w:tab w:val="left" w:pos="2420"/>
          <w:tab w:val="left" w:pos="5445"/>
        </w:tabs>
        <w:autoSpaceDE w:val="0"/>
        <w:autoSpaceDN w:val="0"/>
        <w:adjustRightInd w:val="0"/>
        <w:snapToGrid w:val="0"/>
        <w:spacing w:line="450" w:lineRule="exact"/>
        <w:ind w:firstLine="42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4.2 投标人可在附件招标公告规定的时限内在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本项目招标公告网页下方“我要提问”栏提出疑问。</w:t>
      </w:r>
    </w:p>
    <w:p>
      <w:pPr>
        <w:tabs>
          <w:tab w:val="left" w:pos="2420"/>
          <w:tab w:val="left" w:pos="5445"/>
        </w:tabs>
        <w:autoSpaceDE w:val="0"/>
        <w:autoSpaceDN w:val="0"/>
        <w:adjustRightInd w:val="0"/>
        <w:snapToGrid w:val="0"/>
        <w:spacing w:line="450" w:lineRule="exact"/>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4.3 招标人应在附件招标公告规定的时限内在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发布澄清或修改。</w:t>
      </w:r>
    </w:p>
    <w:p>
      <w:pPr>
        <w:pStyle w:val="4"/>
        <w:spacing w:before="0" w:after="0" w:line="360" w:lineRule="auto"/>
        <w:rPr>
          <w:rFonts w:hint="eastAsia" w:ascii="宋体" w:hAnsi="宋体" w:cs="宋体"/>
          <w:bCs w:val="0"/>
          <w:snapToGrid w:val="0"/>
          <w:color w:val="auto"/>
          <w:highlight w:val="none"/>
        </w:rPr>
      </w:pPr>
      <w:bookmarkStart w:id="52" w:name="_Toc21997"/>
      <w:bookmarkStart w:id="53" w:name="_Toc8800"/>
      <w:bookmarkStart w:id="54" w:name="_Toc57795847"/>
      <w:r>
        <w:rPr>
          <w:rFonts w:hint="eastAsia" w:ascii="宋体" w:hAnsi="宋体" w:cs="宋体"/>
          <w:bCs w:val="0"/>
          <w:snapToGrid w:val="0"/>
          <w:color w:val="auto"/>
          <w:highlight w:val="none"/>
        </w:rPr>
        <w:t>5. 投标文件的递交</w:t>
      </w:r>
      <w:bookmarkEnd w:id="44"/>
      <w:bookmarkEnd w:id="45"/>
      <w:bookmarkEnd w:id="46"/>
      <w:bookmarkEnd w:id="47"/>
      <w:bookmarkEnd w:id="48"/>
      <w:bookmarkEnd w:id="49"/>
      <w:bookmarkEnd w:id="50"/>
      <w:bookmarkEnd w:id="51"/>
      <w:bookmarkEnd w:id="52"/>
      <w:bookmarkEnd w:id="53"/>
      <w:bookmarkEnd w:id="54"/>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bookmarkStart w:id="55" w:name="_Toc224103304"/>
      <w:bookmarkStart w:id="56" w:name="_Toc200359432"/>
      <w:bookmarkStart w:id="57" w:name="_Toc277082541"/>
      <w:bookmarkStart w:id="58" w:name="_Toc509218697"/>
      <w:bookmarkStart w:id="59" w:name="_Toc287620672"/>
      <w:bookmarkStart w:id="60" w:name="_Toc430530421"/>
      <w:bookmarkStart w:id="61" w:name="_Toc200359243"/>
      <w:bookmarkStart w:id="62" w:name="_Toc287607733"/>
      <w:r>
        <w:rPr>
          <w:rFonts w:ascii="宋体" w:hAnsi="宋体"/>
          <w:snapToGrid w:val="0"/>
          <w:color w:val="auto"/>
          <w:kern w:val="0"/>
          <w:szCs w:val="21"/>
          <w:highlight w:val="none"/>
        </w:rPr>
        <w:t>5.1  投标文件递交的截止时间（投标截止时间，下同）</w:t>
      </w:r>
      <w:r>
        <w:rPr>
          <w:rFonts w:hint="eastAsia" w:ascii="宋体" w:hAnsi="宋体"/>
          <w:snapToGrid w:val="0"/>
          <w:color w:val="auto"/>
          <w:kern w:val="0"/>
          <w:szCs w:val="21"/>
          <w:highlight w:val="none"/>
        </w:rPr>
        <w:t>详见附件招标公告规定的投标截止时间</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投标人应当在投标截止时间前，通过互联网使用CA数字证书登录重庆市电子招投标系统，将加密的电子投标文件上传。</w:t>
      </w:r>
    </w:p>
    <w:p>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5.2  </w:t>
      </w:r>
      <w:r>
        <w:rPr>
          <w:rFonts w:hint="eastAsia" w:ascii="宋体" w:hAnsi="宋体"/>
          <w:snapToGrid w:val="0"/>
          <w:color w:val="auto"/>
          <w:kern w:val="0"/>
          <w:szCs w:val="21"/>
          <w:highlight w:val="none"/>
        </w:rPr>
        <w:t>未按要求加密的电子投标文件，将无法上传至重庆市电子招投标系统，逾期未完成上传投标文件的，视为撤回投标文件。</w:t>
      </w:r>
    </w:p>
    <w:p>
      <w:pPr>
        <w:pStyle w:val="4"/>
        <w:spacing w:before="0" w:after="0" w:line="360" w:lineRule="auto"/>
        <w:rPr>
          <w:rFonts w:hint="eastAsia" w:ascii="宋体" w:hAnsi="宋体" w:cs="宋体"/>
          <w:bCs w:val="0"/>
          <w:snapToGrid w:val="0"/>
          <w:color w:val="auto"/>
          <w:highlight w:val="none"/>
        </w:rPr>
      </w:pPr>
      <w:bookmarkStart w:id="63" w:name="_Toc21948"/>
      <w:bookmarkStart w:id="64" w:name="_Toc24669"/>
      <w:bookmarkStart w:id="65" w:name="_Toc57795848"/>
      <w:r>
        <w:rPr>
          <w:rFonts w:hint="eastAsia" w:ascii="宋体" w:hAnsi="宋体" w:cs="宋体"/>
          <w:bCs w:val="0"/>
          <w:snapToGrid w:val="0"/>
          <w:color w:val="auto"/>
          <w:highlight w:val="none"/>
        </w:rPr>
        <w:t>6. 发布公告的媒介</w:t>
      </w:r>
      <w:bookmarkEnd w:id="55"/>
      <w:bookmarkEnd w:id="56"/>
      <w:bookmarkEnd w:id="57"/>
      <w:bookmarkEnd w:id="58"/>
      <w:bookmarkEnd w:id="59"/>
      <w:bookmarkEnd w:id="60"/>
      <w:bookmarkEnd w:id="61"/>
      <w:bookmarkEnd w:id="62"/>
      <w:bookmarkEnd w:id="63"/>
      <w:bookmarkEnd w:id="64"/>
      <w:bookmarkEnd w:id="65"/>
    </w:p>
    <w:p>
      <w:pPr>
        <w:pStyle w:val="7"/>
        <w:spacing w:line="360" w:lineRule="auto"/>
        <w:ind w:firstLine="420" w:firstLineChars="200"/>
        <w:rPr>
          <w:rFonts w:hint="eastAsia" w:ascii="宋体" w:hAnsi="宋体" w:cs="宋体"/>
          <w:color w:val="auto"/>
          <w:szCs w:val="21"/>
          <w:highlight w:val="none"/>
        </w:rPr>
      </w:pPr>
      <w:bookmarkStart w:id="66" w:name="_Toc287607734"/>
      <w:bookmarkStart w:id="67" w:name="_Toc224103305"/>
      <w:bookmarkStart w:id="68" w:name="_Toc430530422"/>
      <w:bookmarkStart w:id="69" w:name="_Toc287620673"/>
      <w:bookmarkStart w:id="70" w:name="_Toc509218698"/>
      <w:bookmarkStart w:id="71" w:name="_Toc277082542"/>
      <w:r>
        <w:rPr>
          <w:rFonts w:hint="eastAsia" w:ascii="宋体" w:hAnsi="宋体" w:cs="宋体"/>
          <w:color w:val="auto"/>
          <w:szCs w:val="21"/>
          <w:highlight w:val="none"/>
        </w:rPr>
        <w:t>本次招标公告同时在重庆市公共资源交易网（www.cqggzy.com）、重庆高速集团官网、重庆高速公路集团有限公司招投标管理平台（</w:t>
      </w:r>
      <w:r>
        <w:rPr>
          <w:rFonts w:ascii="宋体" w:hAnsi="宋体" w:cs="宋体"/>
          <w:color w:val="auto"/>
          <w:szCs w:val="21"/>
          <w:highlight w:val="none"/>
        </w:rPr>
        <w:t>http://112.35.165.219:8088/PMS/jsp/business/cccc/login.jsp</w:t>
      </w:r>
      <w:r>
        <w:rPr>
          <w:rFonts w:hint="eastAsia" w:ascii="宋体" w:hAnsi="宋体" w:cs="宋体"/>
          <w:color w:val="auto"/>
          <w:szCs w:val="21"/>
          <w:highlight w:val="none"/>
        </w:rPr>
        <w:t xml:space="preserve">）网上发布。 </w:t>
      </w:r>
    </w:p>
    <w:p>
      <w:pPr>
        <w:pStyle w:val="4"/>
        <w:spacing w:before="0" w:after="0" w:line="360" w:lineRule="auto"/>
        <w:rPr>
          <w:rFonts w:hint="eastAsia" w:ascii="宋体" w:hAnsi="宋体" w:cs="宋体"/>
          <w:bCs w:val="0"/>
          <w:snapToGrid w:val="0"/>
          <w:color w:val="auto"/>
          <w:highlight w:val="none"/>
        </w:rPr>
      </w:pPr>
      <w:bookmarkStart w:id="72" w:name="_Toc28270"/>
      <w:bookmarkStart w:id="73" w:name="_Toc28420"/>
      <w:bookmarkStart w:id="74" w:name="_Toc57795849"/>
      <w:r>
        <w:rPr>
          <w:rFonts w:hint="eastAsia" w:ascii="宋体" w:hAnsi="宋体" w:cs="宋体"/>
          <w:bCs w:val="0"/>
          <w:snapToGrid w:val="0"/>
          <w:color w:val="auto"/>
          <w:highlight w:val="none"/>
        </w:rPr>
        <w:t xml:space="preserve">7. </w:t>
      </w:r>
      <w:bookmarkEnd w:id="66"/>
      <w:bookmarkEnd w:id="67"/>
      <w:bookmarkEnd w:id="68"/>
      <w:bookmarkEnd w:id="69"/>
      <w:bookmarkEnd w:id="70"/>
      <w:bookmarkEnd w:id="71"/>
      <w:r>
        <w:rPr>
          <w:rFonts w:hint="eastAsia" w:ascii="宋体" w:hAnsi="宋体" w:cs="宋体"/>
          <w:bCs w:val="0"/>
          <w:snapToGrid w:val="0"/>
          <w:color w:val="auto"/>
          <w:highlight w:val="none"/>
        </w:rPr>
        <w:t>联系方式</w:t>
      </w:r>
      <w:bookmarkEnd w:id="72"/>
      <w:bookmarkEnd w:id="73"/>
      <w:bookmarkEnd w:id="74"/>
    </w:p>
    <w:p>
      <w:pPr>
        <w:topLinePunct/>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招标人：重庆高速公路路网管理有限公司</w:t>
      </w:r>
      <w:r>
        <w:rPr>
          <w:rFonts w:hint="eastAsia" w:ascii="宋体" w:hAnsi="宋体" w:cs="宋体"/>
          <w:snapToGrid w:val="0"/>
          <w:color w:val="auto"/>
          <w:kern w:val="0"/>
          <w:szCs w:val="21"/>
          <w:highlight w:val="none"/>
        </w:rPr>
        <w:tab/>
      </w:r>
      <w:r>
        <w:rPr>
          <w:rFonts w:hint="eastAsia" w:ascii="宋体" w:hAnsi="宋体" w:cs="宋体"/>
          <w:snapToGrid w:val="0"/>
          <w:color w:val="auto"/>
          <w:kern w:val="0"/>
          <w:szCs w:val="21"/>
          <w:highlight w:val="none"/>
        </w:rPr>
        <w:tab/>
      </w:r>
    </w:p>
    <w:p>
      <w:pPr>
        <w:topLinePunct/>
        <w:spacing w:line="360" w:lineRule="auto"/>
        <w:ind w:firstLine="420" w:firstLineChars="200"/>
        <w:rPr>
          <w:color w:val="auto"/>
          <w:highlight w:val="none"/>
        </w:rPr>
      </w:pPr>
      <w:r>
        <w:rPr>
          <w:rFonts w:hint="eastAsia" w:ascii="宋体" w:hAnsi="宋体" w:cs="宋体"/>
          <w:snapToGrid w:val="0"/>
          <w:color w:val="auto"/>
          <w:kern w:val="0"/>
          <w:szCs w:val="21"/>
          <w:highlight w:val="none"/>
        </w:rPr>
        <w:t>地  址：重庆市渝北区银杉路66号7F</w:t>
      </w:r>
    </w:p>
    <w:p>
      <w:pPr>
        <w:topLinePunct/>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联系人：曾老师</w:t>
      </w:r>
      <w:r>
        <w:rPr>
          <w:rFonts w:hint="eastAsia" w:ascii="宋体" w:hAnsi="宋体" w:cs="宋体"/>
          <w:snapToGrid w:val="0"/>
          <w:color w:val="auto"/>
          <w:kern w:val="0"/>
          <w:szCs w:val="21"/>
          <w:highlight w:val="none"/>
        </w:rPr>
        <w:tab/>
      </w:r>
      <w:r>
        <w:rPr>
          <w:rFonts w:hint="eastAsia" w:ascii="宋体" w:hAnsi="宋体" w:cs="宋体"/>
          <w:snapToGrid w:val="0"/>
          <w:color w:val="auto"/>
          <w:kern w:val="0"/>
          <w:szCs w:val="21"/>
          <w:highlight w:val="none"/>
        </w:rPr>
        <w:t xml:space="preserve"> </w:t>
      </w:r>
    </w:p>
    <w:p>
      <w:pPr>
        <w:topLinePunct/>
        <w:spacing w:line="360" w:lineRule="auto"/>
        <w:ind w:firstLine="420" w:firstLineChars="200"/>
        <w:rPr>
          <w:rFonts w:ascii="宋体" w:hAnsi="宋体" w:cs="宋体"/>
          <w:color w:val="auto"/>
          <w:szCs w:val="21"/>
          <w:highlight w:val="none"/>
        </w:rPr>
      </w:pPr>
      <w:r>
        <w:rPr>
          <w:rFonts w:hint="eastAsia" w:ascii="宋体" w:hAnsi="宋体" w:cs="宋体"/>
          <w:snapToGrid w:val="0"/>
          <w:color w:val="auto"/>
          <w:kern w:val="0"/>
          <w:szCs w:val="21"/>
          <w:highlight w:val="none"/>
        </w:rPr>
        <w:t>电  话：023-89138598</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招标</w:t>
      </w:r>
      <w:r>
        <w:rPr>
          <w:rFonts w:hint="eastAsia" w:ascii="宋体" w:hAnsi="宋体" w:cs="Batang"/>
          <w:color w:val="auto"/>
          <w:szCs w:val="21"/>
          <w:highlight w:val="none"/>
        </w:rPr>
        <w:t>代理机</w:t>
      </w:r>
      <w:r>
        <w:rPr>
          <w:rFonts w:hint="eastAsia" w:ascii="宋体" w:hAnsi="宋体"/>
          <w:color w:val="auto"/>
          <w:szCs w:val="21"/>
          <w:highlight w:val="none"/>
        </w:rPr>
        <w:t>构</w:t>
      </w:r>
      <w:r>
        <w:rPr>
          <w:rFonts w:hint="eastAsia" w:ascii="宋体" w:hAnsi="宋体" w:cs="Batang"/>
          <w:color w:val="auto"/>
          <w:szCs w:val="21"/>
          <w:highlight w:val="none"/>
        </w:rPr>
        <w:t>：重庆国际投资咨询集团有限公司</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地址：重庆江北区五里店五简路2号</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w:t>
      </w:r>
      <w:r>
        <w:rPr>
          <w:rFonts w:hint="eastAsia" w:ascii="宋体" w:hAnsi="宋体" w:cs="Batang"/>
          <w:color w:val="auto"/>
          <w:szCs w:val="21"/>
          <w:highlight w:val="none"/>
        </w:rPr>
        <w:t>系人：杨老师</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s="Batang"/>
          <w:color w:val="auto"/>
          <w:szCs w:val="21"/>
          <w:highlight w:val="none"/>
        </w:rPr>
        <w:t xml:space="preserve">： </w:t>
      </w:r>
      <w:r>
        <w:rPr>
          <w:rFonts w:ascii="宋体" w:hAnsi="宋体" w:cs="Batang"/>
          <w:color w:val="auto"/>
          <w:szCs w:val="21"/>
          <w:highlight w:val="none"/>
        </w:rPr>
        <w:t xml:space="preserve">023-67590752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30B8E"/>
    <w:rsid w:val="04880C10"/>
    <w:rsid w:val="05220CCA"/>
    <w:rsid w:val="08AB73B4"/>
    <w:rsid w:val="0D397CE7"/>
    <w:rsid w:val="0DDE1ABF"/>
    <w:rsid w:val="0F784754"/>
    <w:rsid w:val="10344367"/>
    <w:rsid w:val="11A30B8E"/>
    <w:rsid w:val="125A150F"/>
    <w:rsid w:val="131C722B"/>
    <w:rsid w:val="19195D51"/>
    <w:rsid w:val="194B3733"/>
    <w:rsid w:val="1F351CDF"/>
    <w:rsid w:val="218C380B"/>
    <w:rsid w:val="21B33134"/>
    <w:rsid w:val="21EB6B6A"/>
    <w:rsid w:val="248A09AE"/>
    <w:rsid w:val="24AA37C6"/>
    <w:rsid w:val="24FD25BE"/>
    <w:rsid w:val="2569517D"/>
    <w:rsid w:val="257142F3"/>
    <w:rsid w:val="295F32CC"/>
    <w:rsid w:val="29735CD4"/>
    <w:rsid w:val="29D1672D"/>
    <w:rsid w:val="2D403262"/>
    <w:rsid w:val="2F372B2A"/>
    <w:rsid w:val="30767FB8"/>
    <w:rsid w:val="31494796"/>
    <w:rsid w:val="357D2B3C"/>
    <w:rsid w:val="35A47CEF"/>
    <w:rsid w:val="362118BD"/>
    <w:rsid w:val="36CB3656"/>
    <w:rsid w:val="39BC38E0"/>
    <w:rsid w:val="3B5265A8"/>
    <w:rsid w:val="3C7B08CA"/>
    <w:rsid w:val="3D2C4640"/>
    <w:rsid w:val="44481C59"/>
    <w:rsid w:val="44E05462"/>
    <w:rsid w:val="45661143"/>
    <w:rsid w:val="461118C4"/>
    <w:rsid w:val="46DF3146"/>
    <w:rsid w:val="47A06D27"/>
    <w:rsid w:val="4C263036"/>
    <w:rsid w:val="4CA2486B"/>
    <w:rsid w:val="4CDF0749"/>
    <w:rsid w:val="4EFA1F84"/>
    <w:rsid w:val="4F16585B"/>
    <w:rsid w:val="503A21D8"/>
    <w:rsid w:val="50FA6897"/>
    <w:rsid w:val="518706FB"/>
    <w:rsid w:val="52974FC3"/>
    <w:rsid w:val="53023D1C"/>
    <w:rsid w:val="53954734"/>
    <w:rsid w:val="56581D61"/>
    <w:rsid w:val="5817402D"/>
    <w:rsid w:val="5B1675C7"/>
    <w:rsid w:val="5B8702FB"/>
    <w:rsid w:val="5BAB5BC3"/>
    <w:rsid w:val="5F4E4C69"/>
    <w:rsid w:val="5FF76DB1"/>
    <w:rsid w:val="61AF19E7"/>
    <w:rsid w:val="62CA4772"/>
    <w:rsid w:val="62E769FE"/>
    <w:rsid w:val="63DC5C51"/>
    <w:rsid w:val="665D06E6"/>
    <w:rsid w:val="67E240D2"/>
    <w:rsid w:val="67E81D0B"/>
    <w:rsid w:val="68B12FFD"/>
    <w:rsid w:val="699868B3"/>
    <w:rsid w:val="69E1578C"/>
    <w:rsid w:val="6BE8670E"/>
    <w:rsid w:val="6EA22666"/>
    <w:rsid w:val="71CF5BDC"/>
    <w:rsid w:val="733A4668"/>
    <w:rsid w:val="779557FC"/>
    <w:rsid w:val="7AD31284"/>
    <w:rsid w:val="7B155A90"/>
    <w:rsid w:val="7B487E6F"/>
    <w:rsid w:val="7BA35021"/>
    <w:rsid w:val="7E076A9A"/>
    <w:rsid w:val="7F57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2"/>
    <w:basedOn w:val="1"/>
    <w:qFormat/>
    <w:uiPriority w:val="0"/>
    <w:rPr>
      <w:i/>
      <w:iCs/>
      <w:sz w:val="26"/>
    </w:rPr>
  </w:style>
  <w:style w:type="paragraph" w:customStyle="1" w:styleId="7">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2022-11-01T08:10:00Z</dcterms:created>
  <dc:creator>赛钟馗</dc:creator>
  <cp:lastModifiedBy>赛钟馗</cp:lastModifiedBy>
  <dcterms:modified xsi:type="dcterms:W3CDTF">2022-11-01T08:10:59Z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