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32"/>
          <w:szCs w:val="32"/>
          <w:highlight w:val="none"/>
        </w:rPr>
      </w:pPr>
      <w:r>
        <w:rPr>
          <w:rFonts w:hint="eastAsia"/>
          <w:color w:val="000000" w:themeColor="text1"/>
          <w:sz w:val="32"/>
          <w:szCs w:val="32"/>
          <w:highlight w:val="none"/>
        </w:rPr>
        <w:t>遂宁大沙坝作业区一期工程等三个港口项目</w:t>
      </w:r>
    </w:p>
    <w:p>
      <w:pPr>
        <w:jc w:val="center"/>
        <w:rPr>
          <w:rFonts w:hint="eastAsia" w:eastAsia="宋体"/>
          <w:color w:val="000000" w:themeColor="text1"/>
          <w:sz w:val="36"/>
          <w:szCs w:val="36"/>
          <w:highlight w:val="none"/>
          <w:lang w:val="en-US" w:eastAsia="zh-CN"/>
        </w:rPr>
      </w:pPr>
      <w:r>
        <w:rPr>
          <w:rFonts w:hint="eastAsia"/>
          <w:color w:val="000000" w:themeColor="text1"/>
          <w:sz w:val="32"/>
          <w:szCs w:val="32"/>
          <w:highlight w:val="none"/>
        </w:rPr>
        <w:t>建设经营策划方案</w:t>
      </w:r>
      <w:r>
        <w:rPr>
          <w:rFonts w:hint="eastAsia"/>
          <w:color w:val="000000" w:themeColor="text1"/>
          <w:sz w:val="32"/>
          <w:szCs w:val="32"/>
          <w:highlight w:val="none"/>
          <w:lang w:val="en-US" w:eastAsia="zh-CN"/>
        </w:rPr>
        <w:t>编制</w:t>
      </w:r>
    </w:p>
    <w:p>
      <w:pPr>
        <w:jc w:val="center"/>
        <w:rPr>
          <w:rFonts w:asciiTheme="minorEastAsia" w:hAnsiTheme="minorEastAsia" w:eastAsiaTheme="minorEastAsia"/>
          <w:color w:val="000000" w:themeColor="text1"/>
          <w:sz w:val="32"/>
          <w:szCs w:val="32"/>
          <w:highlight w:val="none"/>
        </w:rPr>
      </w:pPr>
      <w:r>
        <w:rPr>
          <w:rFonts w:hint="eastAsia" w:asciiTheme="minorEastAsia" w:hAnsiTheme="minorEastAsia" w:eastAsiaTheme="minorEastAsia"/>
          <w:color w:val="000000" w:themeColor="text1"/>
          <w:sz w:val="32"/>
          <w:szCs w:val="32"/>
          <w:highlight w:val="none"/>
        </w:rPr>
        <w:t>询价函</w:t>
      </w:r>
    </w:p>
    <w:p>
      <w:pPr>
        <w:rPr>
          <w:rFonts w:ascii="仿宋_GB2312" w:eastAsia="仿宋_GB2312"/>
          <w:color w:val="000000" w:themeColor="text1"/>
          <w:sz w:val="28"/>
          <w:szCs w:val="28"/>
          <w:highlight w:val="none"/>
          <w:u w:val="single"/>
        </w:rPr>
      </w:pPr>
      <w:r>
        <w:rPr>
          <w:rFonts w:hint="eastAsia" w:ascii="仿宋_GB2312" w:eastAsia="仿宋_GB2312"/>
          <w:color w:val="000000" w:themeColor="text1"/>
          <w:sz w:val="28"/>
          <w:szCs w:val="28"/>
          <w:highlight w:val="none"/>
        </w:rPr>
        <w:t>致：</w:t>
      </w:r>
      <w:r>
        <w:rPr>
          <w:rFonts w:ascii="仿宋_GB2312" w:eastAsia="仿宋_GB2312"/>
          <w:color w:val="000000" w:themeColor="text1"/>
          <w:sz w:val="28"/>
          <w:szCs w:val="28"/>
          <w:highlight w:val="none"/>
          <w:u w:val="single"/>
        </w:rPr>
        <w:t xml:space="preserve"> </w:t>
      </w:r>
    </w:p>
    <w:p>
      <w:pPr>
        <w:spacing w:line="360" w:lineRule="auto"/>
        <w:ind w:firstLine="560" w:firstLineChars="200"/>
        <w:rPr>
          <w:rFonts w:ascii="仿宋_GB2312" w:eastAsia="仿宋_GB2312"/>
          <w:color w:val="000000" w:themeColor="text1"/>
          <w:sz w:val="28"/>
          <w:szCs w:val="28"/>
          <w:highlight w:val="none"/>
        </w:rPr>
      </w:pPr>
      <w:r>
        <w:rPr>
          <w:rFonts w:hint="eastAsia" w:ascii="仿宋_GB2312" w:hAnsi="宋体" w:eastAsia="仿宋_GB2312"/>
          <w:color w:val="000000" w:themeColor="text1"/>
          <w:sz w:val="28"/>
          <w:szCs w:val="28"/>
          <w:highlight w:val="none"/>
        </w:rPr>
        <w:t>根据集团公司安排，拟对重庆渝北洛碛作业区一期、重庆云阳复兴作业区和遂宁大沙坝作业区一期三个港口项目的建设经营策划方案进行询价。如有意愿，请贵公司积极响应并复函。现就有关事项作如下说明</w:t>
      </w:r>
      <w:r>
        <w:rPr>
          <w:rFonts w:hint="eastAsia" w:ascii="仿宋_GB2312" w:eastAsia="仿宋_GB2312"/>
          <w:color w:val="000000" w:themeColor="text1"/>
          <w:sz w:val="28"/>
          <w:szCs w:val="28"/>
          <w:highlight w:val="none"/>
        </w:rPr>
        <w:t>：</w:t>
      </w:r>
    </w:p>
    <w:p>
      <w:pPr>
        <w:spacing w:line="360" w:lineRule="auto"/>
        <w:ind w:firstLine="560" w:firstLineChars="200"/>
        <w:rPr>
          <w:rFonts w:ascii="仿宋_GB2312" w:hAnsi="宋体" w:eastAsia="仿宋_GB2312"/>
          <w:color w:val="000000" w:themeColor="text1"/>
          <w:sz w:val="28"/>
          <w:szCs w:val="28"/>
          <w:highlight w:val="none"/>
        </w:rPr>
      </w:pPr>
      <w:r>
        <w:rPr>
          <w:rFonts w:hint="eastAsia" w:ascii="仿宋_GB2312" w:hAnsi="宋体" w:eastAsia="仿宋_GB2312"/>
          <w:color w:val="000000" w:themeColor="text1"/>
          <w:sz w:val="28"/>
          <w:szCs w:val="28"/>
          <w:highlight w:val="none"/>
        </w:rPr>
        <w:t>一、项目名称：遂宁大沙坝作业区一期工程等三个港口项目建设经营策划方案编制</w:t>
      </w:r>
    </w:p>
    <w:p>
      <w:pPr>
        <w:ind w:firstLine="560" w:firstLineChars="200"/>
        <w:rPr>
          <w:rFonts w:ascii="仿宋_GB2312" w:hAnsi="宋体" w:eastAsia="仿宋_GB2312"/>
          <w:color w:val="000000" w:themeColor="text1"/>
          <w:sz w:val="28"/>
          <w:szCs w:val="28"/>
          <w:highlight w:val="none"/>
        </w:rPr>
      </w:pPr>
      <w:r>
        <w:rPr>
          <w:rFonts w:hint="eastAsia" w:ascii="仿宋_GB2312" w:hAnsi="宋体" w:eastAsia="仿宋_GB2312"/>
          <w:color w:val="000000" w:themeColor="text1"/>
          <w:sz w:val="28"/>
          <w:szCs w:val="28"/>
          <w:highlight w:val="none"/>
        </w:rPr>
        <w:t>二、工作内容：</w:t>
      </w:r>
    </w:p>
    <w:p>
      <w:pPr>
        <w:ind w:firstLine="560" w:firstLineChars="200"/>
        <w:rPr>
          <w:rFonts w:ascii="仿宋_GB2312" w:eastAsia="仿宋_GB2312" w:hAnsiTheme="minorEastAsia"/>
          <w:color w:val="000000" w:themeColor="text1"/>
          <w:sz w:val="28"/>
          <w:szCs w:val="28"/>
          <w:highlight w:val="none"/>
        </w:rPr>
      </w:pPr>
      <w:r>
        <w:rPr>
          <w:rFonts w:hint="eastAsia" w:ascii="仿宋_GB2312" w:eastAsia="仿宋_GB2312" w:hAnsiTheme="minorEastAsia"/>
          <w:color w:val="000000" w:themeColor="text1"/>
          <w:sz w:val="28"/>
          <w:szCs w:val="28"/>
          <w:highlight w:val="none"/>
        </w:rPr>
        <w:t>1、根据各港口作业区的建设规划，结合其地理位置、周边交通布局和当地产业现状，确定各港口的功能定位和发展路线，制订各港口的泊位以及配套设施的建设方案，并进行投资匡算；</w:t>
      </w:r>
    </w:p>
    <w:p>
      <w:pPr>
        <w:ind w:firstLine="560" w:firstLineChars="200"/>
        <w:rPr>
          <w:rFonts w:ascii="仿宋_GB2312" w:eastAsia="仿宋_GB2312" w:hAnsiTheme="minorEastAsia"/>
          <w:color w:val="000000" w:themeColor="text1"/>
          <w:sz w:val="28"/>
          <w:szCs w:val="28"/>
          <w:highlight w:val="none"/>
        </w:rPr>
      </w:pPr>
      <w:r>
        <w:rPr>
          <w:rFonts w:hint="eastAsia" w:ascii="仿宋_GB2312" w:eastAsia="仿宋_GB2312" w:hAnsiTheme="minorEastAsia"/>
          <w:color w:val="000000" w:themeColor="text1"/>
          <w:sz w:val="28"/>
          <w:szCs w:val="28"/>
          <w:highlight w:val="none"/>
        </w:rPr>
        <w:t>2、深入调研港口腹地经济产业发展基础和规划，分析腹地经济产业对港口的运输需求，确定各港口经营货物品种和预测吞吐量；</w:t>
      </w:r>
    </w:p>
    <w:p>
      <w:pPr>
        <w:ind w:firstLine="560" w:firstLineChars="200"/>
        <w:rPr>
          <w:rFonts w:ascii="仿宋_GB2312" w:eastAsia="仿宋_GB2312" w:hAnsiTheme="minorEastAsia"/>
          <w:color w:val="000000" w:themeColor="text1"/>
          <w:sz w:val="28"/>
          <w:szCs w:val="28"/>
          <w:highlight w:val="none"/>
        </w:rPr>
      </w:pPr>
      <w:r>
        <w:rPr>
          <w:rFonts w:hint="eastAsia" w:ascii="仿宋_GB2312" w:eastAsia="仿宋_GB2312" w:hAnsiTheme="minorEastAsia"/>
          <w:color w:val="000000" w:themeColor="text1"/>
          <w:sz w:val="28"/>
          <w:szCs w:val="28"/>
          <w:highlight w:val="none"/>
        </w:rPr>
        <w:t>3、专设章节对各港口运营成本和收入进行测算，计算财务内部收益率、财务净现值、投资回收期、总投资收益率等财务指标，分析其经济效益；</w:t>
      </w:r>
    </w:p>
    <w:p>
      <w:pPr>
        <w:ind w:firstLine="560" w:firstLineChars="200"/>
        <w:rPr>
          <w:rFonts w:ascii="仿宋_GB2312" w:eastAsia="仿宋_GB2312" w:hAnsiTheme="minorEastAsia"/>
          <w:color w:val="000000" w:themeColor="text1"/>
          <w:sz w:val="28"/>
          <w:szCs w:val="28"/>
          <w:highlight w:val="none"/>
        </w:rPr>
      </w:pPr>
      <w:r>
        <w:rPr>
          <w:rFonts w:hint="eastAsia" w:ascii="仿宋_GB2312" w:eastAsia="仿宋_GB2312" w:hAnsiTheme="minorEastAsia"/>
          <w:color w:val="000000" w:themeColor="text1"/>
          <w:sz w:val="28"/>
          <w:szCs w:val="28"/>
          <w:highlight w:val="none"/>
        </w:rPr>
        <w:t>4、识别和分析各港口可能存在的投资风险，包括政策、市场、财务等方面，提出合理的应对措施；</w:t>
      </w:r>
    </w:p>
    <w:p>
      <w:pPr>
        <w:ind w:firstLine="560" w:firstLineChars="200"/>
        <w:rPr>
          <w:rFonts w:ascii="仿宋_GB2312" w:eastAsia="仿宋_GB2312" w:hAnsiTheme="minorEastAsia"/>
          <w:color w:val="000000" w:themeColor="text1"/>
          <w:sz w:val="28"/>
          <w:szCs w:val="28"/>
          <w:highlight w:val="none"/>
        </w:rPr>
      </w:pPr>
      <w:r>
        <w:rPr>
          <w:rFonts w:hint="eastAsia" w:ascii="仿宋_GB2312" w:eastAsia="仿宋_GB2312" w:hAnsiTheme="minorEastAsia"/>
          <w:color w:val="000000" w:themeColor="text1"/>
          <w:sz w:val="28"/>
          <w:szCs w:val="28"/>
          <w:highlight w:val="none"/>
        </w:rPr>
        <w:t>5、归纳总结，提出存在的问题和有效的建议。</w:t>
      </w:r>
    </w:p>
    <w:p>
      <w:pPr>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三、资质和业绩要求：</w:t>
      </w:r>
    </w:p>
    <w:p>
      <w:pPr>
        <w:ind w:firstLine="560" w:firstLineChars="200"/>
        <w:rPr>
          <w:rFonts w:hint="eastAsia" w:ascii="仿宋_GB2312" w:eastAsia="仿宋_GB2312"/>
          <w:color w:val="000000" w:themeColor="text1"/>
          <w:sz w:val="28"/>
          <w:szCs w:val="28"/>
          <w:highlight w:val="none"/>
          <w:lang w:eastAsia="zh-CN"/>
        </w:rPr>
      </w:pPr>
      <w:r>
        <w:rPr>
          <w:rFonts w:hint="eastAsia" w:ascii="仿宋_GB2312" w:eastAsia="仿宋_GB2312"/>
          <w:color w:val="000000" w:themeColor="text1"/>
          <w:sz w:val="28"/>
          <w:szCs w:val="28"/>
          <w:highlight w:val="none"/>
        </w:rPr>
        <w:t>1、资质要求：</w:t>
      </w:r>
      <w:r>
        <w:rPr>
          <w:rFonts w:hint="eastAsia" w:ascii="仿宋_GB2312" w:eastAsia="仿宋_GB2312"/>
          <w:color w:val="000000" w:themeColor="text1"/>
          <w:sz w:val="28"/>
          <w:szCs w:val="28"/>
          <w:highlight w:val="none"/>
          <w:lang w:val="en-US" w:eastAsia="zh-CN"/>
        </w:rPr>
        <w:t>同时具备</w:t>
      </w:r>
      <w:r>
        <w:rPr>
          <w:rFonts w:hint="eastAsia" w:ascii="仿宋_GB2312" w:eastAsia="仿宋_GB2312"/>
          <w:color w:val="000000" w:themeColor="text1"/>
          <w:sz w:val="28"/>
          <w:szCs w:val="28"/>
          <w:highlight w:val="none"/>
        </w:rPr>
        <w:t>水运行业工程咨询甲级资信证书</w:t>
      </w:r>
      <w:r>
        <w:rPr>
          <w:rFonts w:hint="eastAsia" w:ascii="仿宋_GB2312" w:eastAsia="仿宋_GB2312"/>
          <w:color w:val="000000" w:themeColor="text1"/>
          <w:sz w:val="28"/>
          <w:szCs w:val="28"/>
          <w:highlight w:val="none"/>
          <w:lang w:eastAsia="zh-CN"/>
        </w:rPr>
        <w:t>、</w:t>
      </w:r>
      <w:r>
        <w:rPr>
          <w:rFonts w:hint="eastAsia" w:ascii="仿宋_GB2312" w:eastAsia="仿宋_GB2312"/>
          <w:color w:val="000000" w:themeColor="text1"/>
          <w:sz w:val="28"/>
          <w:szCs w:val="28"/>
          <w:highlight w:val="none"/>
        </w:rPr>
        <w:t>工程设计综合资质甲级资质证书</w:t>
      </w:r>
      <w:r>
        <w:rPr>
          <w:rFonts w:hint="eastAsia" w:ascii="仿宋_GB2312" w:eastAsia="仿宋_GB2312"/>
          <w:color w:val="000000" w:themeColor="text1"/>
          <w:sz w:val="28"/>
          <w:szCs w:val="28"/>
          <w:highlight w:val="none"/>
          <w:lang w:val="en-US" w:eastAsia="zh-CN"/>
        </w:rPr>
        <w:t>、</w:t>
      </w:r>
      <w:r>
        <w:rPr>
          <w:rFonts w:hint="eastAsia" w:ascii="仿宋_GB2312" w:eastAsia="仿宋_GB2312"/>
          <w:color w:val="000000" w:themeColor="text1"/>
          <w:sz w:val="28"/>
          <w:szCs w:val="28"/>
          <w:highlight w:val="none"/>
        </w:rPr>
        <w:t>工程勘察综合类甲级资质证书</w:t>
      </w:r>
      <w:r>
        <w:rPr>
          <w:rFonts w:hint="eastAsia" w:ascii="仿宋_GB2312" w:eastAsia="仿宋_GB2312"/>
          <w:color w:val="000000" w:themeColor="text1"/>
          <w:sz w:val="28"/>
          <w:szCs w:val="28"/>
          <w:highlight w:val="none"/>
          <w:lang w:eastAsia="zh-CN"/>
        </w:rPr>
        <w:t>。</w:t>
      </w:r>
    </w:p>
    <w:p>
      <w:pPr>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2、业绩要求：具备</w:t>
      </w:r>
      <w:r>
        <w:rPr>
          <w:rFonts w:hint="eastAsia" w:ascii="仿宋_GB2312" w:eastAsia="仿宋_GB2312"/>
          <w:color w:val="000000" w:themeColor="text1"/>
          <w:sz w:val="28"/>
          <w:szCs w:val="28"/>
          <w:highlight w:val="none"/>
          <w:lang w:val="en-US" w:eastAsia="zh-CN"/>
        </w:rPr>
        <w:t>近5年</w:t>
      </w:r>
      <w:r>
        <w:rPr>
          <w:rFonts w:hint="eastAsia" w:ascii="仿宋_GB2312" w:eastAsia="仿宋_GB2312"/>
          <w:color w:val="000000" w:themeColor="text1"/>
          <w:sz w:val="28"/>
          <w:szCs w:val="28"/>
          <w:highlight w:val="none"/>
        </w:rPr>
        <w:t>水运行业工程投资咨询业绩（应包括内河港航工程）。</w:t>
      </w:r>
    </w:p>
    <w:p>
      <w:pPr>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四、编制周期：60天内提交初稿，专家评审后10日内完成最终方案。</w:t>
      </w:r>
    </w:p>
    <w:p>
      <w:pPr>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五、报价文件要求：</w:t>
      </w:r>
    </w:p>
    <w:p>
      <w:pPr>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1、本项目采取总价包干合同。应包含为完成本项目所有工作所需费用。</w:t>
      </w:r>
    </w:p>
    <w:p>
      <w:pPr>
        <w:ind w:firstLine="560" w:firstLineChars="200"/>
        <w:rPr>
          <w:rFonts w:ascii="仿宋_GB2312" w:hAnsi="宋体" w:eastAsia="仿宋_GB2312"/>
          <w:color w:val="000000" w:themeColor="text1"/>
          <w:sz w:val="28"/>
          <w:szCs w:val="28"/>
          <w:highlight w:val="none"/>
        </w:rPr>
      </w:pPr>
      <w:r>
        <w:rPr>
          <w:rFonts w:hint="eastAsia" w:ascii="仿宋_GB2312" w:eastAsia="仿宋_GB2312"/>
          <w:color w:val="000000" w:themeColor="text1"/>
          <w:sz w:val="28"/>
          <w:szCs w:val="28"/>
          <w:highlight w:val="none"/>
        </w:rPr>
        <w:t>2、本项目最高限价为70.794万元，请报价单位注意报价不得高于或等于此限价，否则报价将被否决。</w:t>
      </w:r>
    </w:p>
    <w:p>
      <w:pPr>
        <w:ind w:firstLine="560" w:firstLineChars="200"/>
        <w:rPr>
          <w:rFonts w:ascii="仿宋_GB2312" w:hAnsi="宋体" w:eastAsia="仿宋_GB2312"/>
          <w:color w:val="000000" w:themeColor="text1"/>
          <w:sz w:val="28"/>
          <w:szCs w:val="28"/>
          <w:highlight w:val="none"/>
        </w:rPr>
      </w:pPr>
      <w:r>
        <w:rPr>
          <w:rFonts w:hint="eastAsia" w:ascii="仿宋_GB2312" w:eastAsia="仿宋_GB2312"/>
          <w:color w:val="000000" w:themeColor="text1"/>
          <w:sz w:val="28"/>
          <w:szCs w:val="28"/>
          <w:highlight w:val="none"/>
        </w:rPr>
        <w:t>六、</w:t>
      </w:r>
      <w:r>
        <w:rPr>
          <w:rFonts w:hint="eastAsia" w:ascii="仿宋_GB2312" w:eastAsia="仿宋_GB2312"/>
          <w:color w:val="000000" w:themeColor="text1"/>
          <w:sz w:val="28"/>
          <w:szCs w:val="28"/>
          <w:highlight w:val="none"/>
          <w:lang w:val="en-US" w:eastAsia="zh-CN"/>
        </w:rPr>
        <w:t>评审</w:t>
      </w:r>
      <w:r>
        <w:rPr>
          <w:rFonts w:hint="eastAsia" w:ascii="仿宋_GB2312" w:eastAsia="仿宋_GB2312"/>
          <w:color w:val="000000" w:themeColor="text1"/>
          <w:sz w:val="28"/>
          <w:szCs w:val="28"/>
          <w:highlight w:val="none"/>
        </w:rPr>
        <w:t>方式：</w:t>
      </w:r>
      <w:r>
        <w:rPr>
          <w:rFonts w:hint="eastAsia" w:ascii="仿宋_GB2312" w:hAnsi="宋体" w:eastAsia="仿宋_GB2312"/>
          <w:color w:val="000000" w:themeColor="text1"/>
          <w:sz w:val="28"/>
          <w:szCs w:val="28"/>
          <w:highlight w:val="none"/>
        </w:rPr>
        <w:t>本项目采用综合评</w:t>
      </w:r>
      <w:r>
        <w:rPr>
          <w:rFonts w:hint="eastAsia" w:ascii="仿宋_GB2312" w:hAnsi="宋体" w:eastAsia="仿宋_GB2312"/>
          <w:color w:val="000000" w:themeColor="text1"/>
          <w:sz w:val="28"/>
          <w:szCs w:val="28"/>
          <w:highlight w:val="none"/>
          <w:lang w:val="en-US" w:eastAsia="zh-CN"/>
        </w:rPr>
        <w:t>估</w:t>
      </w:r>
      <w:r>
        <w:rPr>
          <w:rFonts w:hint="eastAsia" w:ascii="仿宋_GB2312" w:hAnsi="宋体" w:eastAsia="仿宋_GB2312"/>
          <w:color w:val="000000" w:themeColor="text1"/>
          <w:sz w:val="28"/>
          <w:szCs w:val="28"/>
          <w:highlight w:val="none"/>
        </w:rPr>
        <w:t>法。</w:t>
      </w:r>
    </w:p>
    <w:p>
      <w:pPr>
        <w:spacing w:line="360" w:lineRule="auto"/>
        <w:ind w:firstLine="57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七、支付方式：签订合同之后支付合同价款的20%，提交初稿之后支付合同价款的30%，完成最终方案之后支付合同价款的50%。</w:t>
      </w:r>
    </w:p>
    <w:p>
      <w:pPr>
        <w:widowControl/>
        <w:ind w:firstLine="560" w:firstLineChars="200"/>
        <w:jc w:val="left"/>
        <w:rPr>
          <w:rFonts w:ascii="仿宋_GB2312" w:hAnsi="宋体" w:eastAsia="仿宋_GB2312" w:cs="宋体"/>
          <w:color w:val="000000" w:themeColor="text1"/>
          <w:kern w:val="0"/>
          <w:sz w:val="28"/>
          <w:szCs w:val="28"/>
          <w:highlight w:val="none"/>
        </w:rPr>
      </w:pPr>
      <w:r>
        <w:rPr>
          <w:rFonts w:hint="eastAsia" w:ascii="仿宋_GB2312" w:hAnsi="宋体" w:eastAsia="仿宋_GB2312" w:cs="宋体"/>
          <w:color w:val="000000" w:themeColor="text1"/>
          <w:kern w:val="0"/>
          <w:sz w:val="28"/>
          <w:szCs w:val="28"/>
          <w:highlight w:val="none"/>
        </w:rPr>
        <w:t xml:space="preserve">八、报价文件的组成说明： </w:t>
      </w:r>
    </w:p>
    <w:p>
      <w:pPr>
        <w:ind w:firstLine="560" w:firstLineChars="200"/>
        <w:rPr>
          <w:rFonts w:ascii="仿宋_GB2312" w:eastAsia="仿宋_GB2312"/>
          <w:color w:val="000000" w:themeColor="text1"/>
          <w:sz w:val="28"/>
          <w:szCs w:val="28"/>
          <w:highlight w:val="none"/>
        </w:rPr>
      </w:pPr>
      <w:r>
        <w:rPr>
          <w:rFonts w:hint="eastAsia" w:ascii="仿宋_GB2312" w:hAnsi="宋体" w:eastAsia="仿宋_GB2312"/>
          <w:color w:val="000000" w:themeColor="text1"/>
          <w:sz w:val="28"/>
          <w:szCs w:val="28"/>
          <w:highlight w:val="none"/>
        </w:rPr>
        <w:t>1、报价人营业执照、法定代表人身份证明及授权委托书、资质证书、业绩证明、财务状况证明（以上资料提供复印件加盖鲜章，原价备查）；</w:t>
      </w:r>
      <w:r>
        <w:rPr>
          <w:rFonts w:hint="eastAsia" w:ascii="仿宋_GB2312" w:hAnsi="宋体" w:eastAsia="仿宋_GB2312"/>
          <w:color w:val="000000" w:themeColor="text1"/>
          <w:sz w:val="28"/>
          <w:szCs w:val="28"/>
          <w:highlight w:val="none"/>
          <w:lang w:val="en-US" w:eastAsia="zh-CN"/>
        </w:rPr>
        <w:t>2</w:t>
      </w:r>
      <w:r>
        <w:rPr>
          <w:rFonts w:hint="eastAsia" w:ascii="仿宋_GB2312" w:hAnsi="宋体" w:eastAsia="仿宋_GB2312"/>
          <w:color w:val="000000" w:themeColor="text1"/>
          <w:sz w:val="28"/>
          <w:szCs w:val="28"/>
          <w:highlight w:val="none"/>
        </w:rPr>
        <w:t>、</w:t>
      </w:r>
      <w:r>
        <w:rPr>
          <w:rFonts w:hint="eastAsia" w:ascii="仿宋_GB2312" w:hAnsi="宋体" w:eastAsia="仿宋_GB2312"/>
          <w:color w:val="000000" w:themeColor="text1"/>
          <w:sz w:val="28"/>
          <w:szCs w:val="28"/>
          <w:highlight w:val="none"/>
          <w:lang w:val="en-US" w:eastAsia="zh-CN"/>
        </w:rPr>
        <w:t>近5年</w:t>
      </w:r>
      <w:r>
        <w:rPr>
          <w:rFonts w:hint="eastAsia" w:ascii="仿宋_GB2312" w:hAnsi="宋体" w:eastAsia="仿宋_GB2312"/>
          <w:color w:val="000000" w:themeColor="text1"/>
          <w:sz w:val="28"/>
          <w:szCs w:val="28"/>
          <w:highlight w:val="none"/>
        </w:rPr>
        <w:t>水运工程类咨询项目</w:t>
      </w:r>
      <w:r>
        <w:rPr>
          <w:rFonts w:hint="eastAsia" w:ascii="仿宋_GB2312" w:hAnsi="宋体" w:eastAsia="仿宋_GB2312"/>
          <w:color w:val="000000" w:themeColor="text1"/>
          <w:sz w:val="28"/>
          <w:szCs w:val="28"/>
          <w:highlight w:val="none"/>
          <w:lang w:val="en-US" w:eastAsia="zh-CN"/>
        </w:rPr>
        <w:t>获奖证明、项目工作人员获得的工程类职称证书；3、本项目的编制工作大纲（应包含但不限于：①对本项目的理解与解读；②对项目工作重点、难点的分析和解决方案；③工作时间与进度计划，项目实施及质量的保障措施。）；4</w:t>
      </w:r>
      <w:r>
        <w:rPr>
          <w:rFonts w:hint="eastAsia" w:ascii="仿宋_GB2312" w:hAnsi="宋体" w:eastAsia="仿宋_GB2312"/>
          <w:color w:val="000000" w:themeColor="text1"/>
          <w:sz w:val="28"/>
          <w:szCs w:val="28"/>
          <w:highlight w:val="none"/>
        </w:rPr>
        <w:t>、报价清单。</w:t>
      </w:r>
    </w:p>
    <w:p>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九、报价文件的递交：</w:t>
      </w:r>
    </w:p>
    <w:p>
      <w:pPr>
        <w:ind w:firstLine="560" w:firstLineChars="200"/>
        <w:rPr>
          <w:rFonts w:ascii="仿宋_GB2312" w:hAnsi="宋体" w:eastAsia="仿宋_GB2312"/>
          <w:color w:val="000000" w:themeColor="text1"/>
          <w:sz w:val="28"/>
          <w:szCs w:val="28"/>
          <w:highlight w:val="none"/>
        </w:rPr>
      </w:pPr>
      <w:r>
        <w:rPr>
          <w:rFonts w:hint="eastAsia" w:ascii="仿宋_GB2312" w:hAnsi="宋体" w:eastAsia="仿宋_GB2312"/>
          <w:color w:val="000000" w:themeColor="text1"/>
          <w:sz w:val="28"/>
          <w:szCs w:val="28"/>
          <w:highlight w:val="none"/>
        </w:rPr>
        <w:t>1、请报价人在2020年9月</w:t>
      </w:r>
      <w:r>
        <w:rPr>
          <w:rFonts w:hint="eastAsia" w:ascii="仿宋_GB2312" w:hAnsi="宋体" w:eastAsia="仿宋_GB2312"/>
          <w:color w:val="000000" w:themeColor="text1"/>
          <w:sz w:val="28"/>
          <w:szCs w:val="28"/>
          <w:highlight w:val="none"/>
          <w:lang w:val="en-US" w:eastAsia="zh-CN"/>
        </w:rPr>
        <w:t>11</w:t>
      </w:r>
      <w:r>
        <w:rPr>
          <w:rFonts w:hint="eastAsia" w:ascii="仿宋_GB2312" w:hAnsi="宋体" w:eastAsia="仿宋_GB2312"/>
          <w:color w:val="000000" w:themeColor="text1"/>
          <w:sz w:val="28"/>
          <w:szCs w:val="28"/>
          <w:highlight w:val="none"/>
        </w:rPr>
        <w:t>日11点前以密封形式将报价文件一式两份报送重庆航运建设发展（集团）有限公司（地址：重庆市北部新区高新园星光大道76号天王星B座23楼发展经营部，联系人：韩女士，联系电话：023-89076069）。</w:t>
      </w:r>
    </w:p>
    <w:p>
      <w:pPr>
        <w:ind w:firstLine="560" w:firstLineChars="200"/>
        <w:rPr>
          <w:rFonts w:ascii="仿宋_GB2312" w:eastAsia="仿宋_GB2312"/>
          <w:color w:val="000000" w:themeColor="text1"/>
          <w:sz w:val="28"/>
          <w:szCs w:val="28"/>
          <w:highlight w:val="none"/>
        </w:rPr>
      </w:pPr>
      <w:r>
        <w:rPr>
          <w:rFonts w:hint="eastAsia" w:ascii="仿宋_GB2312" w:hAnsi="宋体" w:eastAsia="仿宋_GB2312"/>
          <w:color w:val="000000" w:themeColor="text1"/>
          <w:sz w:val="28"/>
          <w:szCs w:val="28"/>
          <w:highlight w:val="none"/>
        </w:rPr>
        <w:t>2、逾期送达的或者未送达指定地点的报价文件，询价单位不予受理。</w:t>
      </w:r>
    </w:p>
    <w:p>
      <w:pPr>
        <w:ind w:firstLine="3640" w:firstLineChars="13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 xml:space="preserve"> 重庆航运建设发展（集团）有限公司</w:t>
      </w:r>
    </w:p>
    <w:p>
      <w:pPr>
        <w:ind w:firstLine="3640" w:firstLineChars="13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 xml:space="preserve">        2020年</w:t>
      </w:r>
      <w:r>
        <w:rPr>
          <w:rFonts w:hint="eastAsia" w:ascii="仿宋_GB2312" w:eastAsia="仿宋_GB2312"/>
          <w:color w:val="000000" w:themeColor="text1"/>
          <w:sz w:val="28"/>
          <w:szCs w:val="28"/>
          <w:highlight w:val="none"/>
          <w:lang w:val="en-US" w:eastAsia="zh-CN"/>
        </w:rPr>
        <w:t>9</w:t>
      </w:r>
      <w:r>
        <w:rPr>
          <w:rFonts w:hint="eastAsia" w:ascii="仿宋_GB2312" w:eastAsia="仿宋_GB2312"/>
          <w:color w:val="000000" w:themeColor="text1"/>
          <w:sz w:val="28"/>
          <w:szCs w:val="28"/>
          <w:highlight w:val="none"/>
        </w:rPr>
        <w:t>月</w:t>
      </w:r>
      <w:r>
        <w:rPr>
          <w:rFonts w:hint="eastAsia" w:ascii="仿宋_GB2312" w:eastAsia="仿宋_GB2312"/>
          <w:color w:val="000000" w:themeColor="text1"/>
          <w:sz w:val="28"/>
          <w:szCs w:val="28"/>
          <w:highlight w:val="none"/>
          <w:lang w:val="en-US" w:eastAsia="zh-CN"/>
        </w:rPr>
        <w:t>4</w:t>
      </w:r>
      <w:bookmarkStart w:id="0" w:name="_GoBack"/>
      <w:bookmarkEnd w:id="0"/>
      <w:r>
        <w:rPr>
          <w:rFonts w:hint="eastAsia" w:ascii="仿宋_GB2312" w:eastAsia="仿宋_GB2312"/>
          <w:color w:val="000000" w:themeColor="text1"/>
          <w:sz w:val="28"/>
          <w:szCs w:val="28"/>
          <w:highlight w:val="none"/>
        </w:rPr>
        <w:t>日</w:t>
      </w:r>
    </w:p>
    <w:p>
      <w:pPr>
        <w:rPr>
          <w:color w:val="000000" w:themeColor="text1"/>
          <w:sz w:val="28"/>
          <w:szCs w:val="28"/>
          <w:highlight w:val="none"/>
        </w:rPr>
      </w:pPr>
      <w:r>
        <w:rPr>
          <w:rFonts w:hint="eastAsia" w:ascii="仿宋_GB2312" w:eastAsia="仿宋_GB2312"/>
          <w:color w:val="000000" w:themeColor="text1"/>
          <w:sz w:val="28"/>
          <w:szCs w:val="28"/>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6EDA"/>
    <w:rsid w:val="00040F1C"/>
    <w:rsid w:val="00041EDF"/>
    <w:rsid w:val="000518E8"/>
    <w:rsid w:val="00121E76"/>
    <w:rsid w:val="00140664"/>
    <w:rsid w:val="002579BC"/>
    <w:rsid w:val="002807EC"/>
    <w:rsid w:val="002E0D4B"/>
    <w:rsid w:val="00305D9D"/>
    <w:rsid w:val="00325C1A"/>
    <w:rsid w:val="00385710"/>
    <w:rsid w:val="003A21D5"/>
    <w:rsid w:val="003F29E4"/>
    <w:rsid w:val="004679F5"/>
    <w:rsid w:val="00482620"/>
    <w:rsid w:val="00572A93"/>
    <w:rsid w:val="006531BE"/>
    <w:rsid w:val="0067346A"/>
    <w:rsid w:val="007710C7"/>
    <w:rsid w:val="007B570F"/>
    <w:rsid w:val="00870473"/>
    <w:rsid w:val="00921923"/>
    <w:rsid w:val="00950A41"/>
    <w:rsid w:val="009C1C04"/>
    <w:rsid w:val="009E018E"/>
    <w:rsid w:val="00A236E3"/>
    <w:rsid w:val="00A87233"/>
    <w:rsid w:val="00B63DDF"/>
    <w:rsid w:val="00B647F7"/>
    <w:rsid w:val="00BC4335"/>
    <w:rsid w:val="00BC7744"/>
    <w:rsid w:val="00E224CE"/>
    <w:rsid w:val="00E23F36"/>
    <w:rsid w:val="00F44739"/>
    <w:rsid w:val="00FA6EDA"/>
    <w:rsid w:val="01443C17"/>
    <w:rsid w:val="047D2FCB"/>
    <w:rsid w:val="052F4BA8"/>
    <w:rsid w:val="053C584D"/>
    <w:rsid w:val="06504A26"/>
    <w:rsid w:val="06734714"/>
    <w:rsid w:val="08260334"/>
    <w:rsid w:val="089458C9"/>
    <w:rsid w:val="09483217"/>
    <w:rsid w:val="0D10265C"/>
    <w:rsid w:val="0D1730BC"/>
    <w:rsid w:val="10513996"/>
    <w:rsid w:val="138E351C"/>
    <w:rsid w:val="14526859"/>
    <w:rsid w:val="14AF5569"/>
    <w:rsid w:val="16692CAA"/>
    <w:rsid w:val="16772030"/>
    <w:rsid w:val="16BF3551"/>
    <w:rsid w:val="190D70B3"/>
    <w:rsid w:val="1A014E10"/>
    <w:rsid w:val="1A2A6ACC"/>
    <w:rsid w:val="1A842E50"/>
    <w:rsid w:val="1C6E39DE"/>
    <w:rsid w:val="1EE86C77"/>
    <w:rsid w:val="1F4C0217"/>
    <w:rsid w:val="1F824585"/>
    <w:rsid w:val="201061D9"/>
    <w:rsid w:val="2210276E"/>
    <w:rsid w:val="222A7256"/>
    <w:rsid w:val="223D3E8B"/>
    <w:rsid w:val="239D21C0"/>
    <w:rsid w:val="2518440E"/>
    <w:rsid w:val="26BA78A0"/>
    <w:rsid w:val="27156ED8"/>
    <w:rsid w:val="2AFC5103"/>
    <w:rsid w:val="2B08472F"/>
    <w:rsid w:val="2BC15AEC"/>
    <w:rsid w:val="2D32129C"/>
    <w:rsid w:val="2DDD79D1"/>
    <w:rsid w:val="2E023880"/>
    <w:rsid w:val="358C4D65"/>
    <w:rsid w:val="362E41FC"/>
    <w:rsid w:val="37E52776"/>
    <w:rsid w:val="38BF14FE"/>
    <w:rsid w:val="3A2528C5"/>
    <w:rsid w:val="3A307538"/>
    <w:rsid w:val="3AD62560"/>
    <w:rsid w:val="3C413C56"/>
    <w:rsid w:val="3CA075CD"/>
    <w:rsid w:val="3D673FB3"/>
    <w:rsid w:val="3DB214BF"/>
    <w:rsid w:val="3FCF3F68"/>
    <w:rsid w:val="3FDA7515"/>
    <w:rsid w:val="40656589"/>
    <w:rsid w:val="40D652AC"/>
    <w:rsid w:val="42131FA8"/>
    <w:rsid w:val="42716640"/>
    <w:rsid w:val="43ED1138"/>
    <w:rsid w:val="457E1422"/>
    <w:rsid w:val="459100C6"/>
    <w:rsid w:val="45B4042D"/>
    <w:rsid w:val="481E092D"/>
    <w:rsid w:val="489B1CE4"/>
    <w:rsid w:val="48BB6A7A"/>
    <w:rsid w:val="48DC7C99"/>
    <w:rsid w:val="49A8221B"/>
    <w:rsid w:val="4A492319"/>
    <w:rsid w:val="4A833374"/>
    <w:rsid w:val="4CB47C5F"/>
    <w:rsid w:val="4F6D4CE3"/>
    <w:rsid w:val="50D71B89"/>
    <w:rsid w:val="54904BD7"/>
    <w:rsid w:val="5493656A"/>
    <w:rsid w:val="55151A0C"/>
    <w:rsid w:val="55E86D15"/>
    <w:rsid w:val="564975ED"/>
    <w:rsid w:val="57613F47"/>
    <w:rsid w:val="583F27CF"/>
    <w:rsid w:val="58542E5E"/>
    <w:rsid w:val="587D2653"/>
    <w:rsid w:val="59835DD7"/>
    <w:rsid w:val="59966FDA"/>
    <w:rsid w:val="5C576527"/>
    <w:rsid w:val="5F355677"/>
    <w:rsid w:val="5F3E5C9D"/>
    <w:rsid w:val="5FC94F05"/>
    <w:rsid w:val="619703D6"/>
    <w:rsid w:val="61AB581F"/>
    <w:rsid w:val="644C36DD"/>
    <w:rsid w:val="64CD65A3"/>
    <w:rsid w:val="666F66C9"/>
    <w:rsid w:val="66F16B2A"/>
    <w:rsid w:val="688D4FB7"/>
    <w:rsid w:val="69122214"/>
    <w:rsid w:val="69125698"/>
    <w:rsid w:val="69585E47"/>
    <w:rsid w:val="695B08D6"/>
    <w:rsid w:val="69914A08"/>
    <w:rsid w:val="6A74178D"/>
    <w:rsid w:val="6ABD0EEA"/>
    <w:rsid w:val="6B14512E"/>
    <w:rsid w:val="6C7E0D4C"/>
    <w:rsid w:val="6D9075B6"/>
    <w:rsid w:val="6FF373AA"/>
    <w:rsid w:val="70663E95"/>
    <w:rsid w:val="72132C77"/>
    <w:rsid w:val="72B41D13"/>
    <w:rsid w:val="731178D4"/>
    <w:rsid w:val="73D91430"/>
    <w:rsid w:val="749357EA"/>
    <w:rsid w:val="74E73DD6"/>
    <w:rsid w:val="75B31486"/>
    <w:rsid w:val="78166418"/>
    <w:rsid w:val="78475472"/>
    <w:rsid w:val="789F13BA"/>
    <w:rsid w:val="79190E03"/>
    <w:rsid w:val="7AD16D92"/>
    <w:rsid w:val="7B0D3DCC"/>
    <w:rsid w:val="7B6B0916"/>
    <w:rsid w:val="7B8E675B"/>
    <w:rsid w:val="7BD86E6C"/>
    <w:rsid w:val="7BE36213"/>
    <w:rsid w:val="7D117A9D"/>
    <w:rsid w:val="7F1E4D2A"/>
    <w:rsid w:val="7F21793B"/>
    <w:rsid w:val="7F6F6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paragraph" w:customStyle="1" w:styleId="11">
    <w:name w:val="Table Paragraph"/>
    <w:basedOn w:val="1"/>
    <w:qFormat/>
    <w:uiPriority w:val="1"/>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342</Words>
  <Characters>1952</Characters>
  <Lines>16</Lines>
  <Paragraphs>4</Paragraphs>
  <TotalTime>0</TotalTime>
  <ScaleCrop>false</ScaleCrop>
  <LinksUpToDate>false</LinksUpToDate>
  <CharactersWithSpaces>2290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2020-08-26T09:57:00Z</dcterms:created>
  <dc:creator>Administrator</dc:creator>
  <cp:lastModifiedBy>Administrator</cp:lastModifiedBy>
  <dcterms:modified xsi:type="dcterms:W3CDTF">2020-09-04T03:00:31Z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