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
          <w:color w:val="auto"/>
          <w:sz w:val="44"/>
          <w:szCs w:val="44"/>
          <w:highlight w:val="none"/>
        </w:rPr>
      </w:pPr>
      <w:r>
        <w:rPr>
          <w:rFonts w:hint="eastAsia" w:ascii="方正小标宋_GBK" w:hAnsi="方正小标宋_GBK" w:eastAsia="方正小标宋_GBK" w:cs="方正小标宋_GBK"/>
          <w:b/>
          <w:color w:val="auto"/>
          <w:sz w:val="44"/>
          <w:szCs w:val="44"/>
          <w:highlight w:val="none"/>
        </w:rPr>
        <w:t>重庆通力高速公路养护工程有限公司</w:t>
      </w:r>
    </w:p>
    <w:p>
      <w:pPr>
        <w:spacing w:line="600" w:lineRule="exact"/>
        <w:jc w:val="center"/>
        <w:rPr>
          <w:rFonts w:ascii="方正小标宋_GBK" w:hAnsi="方正仿宋_GBK" w:eastAsia="方正小标宋_GBK" w:cs="方正仿宋_GBK"/>
          <w:b/>
          <w:color w:val="auto"/>
          <w:sz w:val="32"/>
          <w:szCs w:val="32"/>
          <w:highlight w:val="none"/>
        </w:rPr>
      </w:pPr>
      <w:r>
        <w:rPr>
          <w:rFonts w:hint="eastAsia" w:ascii="方正小标宋_GBK" w:hAnsi="方正小标宋_GBK" w:eastAsia="方正小标宋_GBK" w:cs="方正小标宋_GBK"/>
          <w:b/>
          <w:color w:val="auto"/>
          <w:sz w:val="44"/>
          <w:szCs w:val="44"/>
          <w:highlight w:val="none"/>
        </w:rPr>
        <w:t>公开发布</w:t>
      </w:r>
      <w:r>
        <w:rPr>
          <w:rFonts w:hint="eastAsia" w:ascii="方正小标宋_GBK" w:hAnsi="方正小标宋_GBK" w:eastAsia="方正小标宋_GBK" w:cs="方正小标宋_GBK"/>
          <w:b/>
          <w:color w:val="auto"/>
          <w:sz w:val="44"/>
          <w:szCs w:val="44"/>
          <w:highlight w:val="none"/>
          <w:lang w:val="en-US" w:eastAsia="zh-CN"/>
        </w:rPr>
        <w:t>检测公司2023-2025年度经营管理</w:t>
      </w:r>
      <w:r>
        <w:rPr>
          <w:rFonts w:hint="eastAsia" w:ascii="方正小标宋_GBK" w:hAnsi="方正小标宋_GBK" w:eastAsia="方正小标宋_GBK" w:cs="方正小标宋_GBK"/>
          <w:b/>
          <w:color w:val="auto"/>
          <w:sz w:val="44"/>
          <w:szCs w:val="44"/>
          <w:highlight w:val="none"/>
        </w:rPr>
        <w:t>“揭榜挂帅”榜单任务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b/>
      </w:r>
    </w:p>
    <w:p>
      <w:pPr>
        <w:spacing w:line="560" w:lineRule="exact"/>
        <w:ind w:firstLine="60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0"/>
          <w:szCs w:val="30"/>
          <w:highlight w:val="none"/>
          <w:u w:color="333333"/>
        </w:rPr>
        <w:t>为充分</w:t>
      </w:r>
      <w:r>
        <w:rPr>
          <w:rFonts w:ascii="方正仿宋_GBK" w:hAnsi="方正仿宋_GBK" w:eastAsia="方正仿宋_GBK" w:cs="方正仿宋_GBK"/>
          <w:color w:val="auto"/>
          <w:sz w:val="30"/>
          <w:szCs w:val="30"/>
          <w:highlight w:val="none"/>
          <w:u w:color="333333"/>
          <w:lang w:val="zh-TW" w:eastAsia="zh-TW"/>
        </w:rPr>
        <w:t>激发</w:t>
      </w:r>
      <w:r>
        <w:rPr>
          <w:rFonts w:hint="eastAsia" w:ascii="方正仿宋_GBK" w:hAnsi="方正仿宋_GBK" w:eastAsia="方正仿宋_GBK" w:cs="方正仿宋_GBK"/>
          <w:color w:val="auto"/>
          <w:sz w:val="30"/>
          <w:szCs w:val="30"/>
          <w:highlight w:val="none"/>
          <w:u w:color="333333"/>
          <w:lang w:val="zh-TW"/>
        </w:rPr>
        <w:t>检测公司</w:t>
      </w:r>
      <w:r>
        <w:rPr>
          <w:rFonts w:ascii="方正仿宋_GBK" w:hAnsi="方正仿宋_GBK" w:eastAsia="方正仿宋_GBK" w:cs="方正仿宋_GBK"/>
          <w:color w:val="auto"/>
          <w:sz w:val="30"/>
          <w:szCs w:val="30"/>
          <w:highlight w:val="none"/>
          <w:u w:color="333333"/>
          <w:lang w:val="zh-TW" w:eastAsia="zh-TW"/>
        </w:rPr>
        <w:t>管理创效能力与团队内生动力，</w:t>
      </w:r>
      <w:r>
        <w:rPr>
          <w:rFonts w:hint="eastAsia" w:ascii="方正仿宋_GBK" w:hAnsi="方正仿宋_GBK" w:eastAsia="方正仿宋_GBK" w:cs="方正仿宋_GBK"/>
          <w:color w:val="auto"/>
          <w:sz w:val="30"/>
          <w:szCs w:val="30"/>
          <w:highlight w:val="none"/>
          <w:u w:color="333333"/>
          <w:lang w:val="zh-TW"/>
        </w:rPr>
        <w:t>提高生产经营效益，</w:t>
      </w:r>
      <w:r>
        <w:rPr>
          <w:rFonts w:ascii="方正仿宋_GBK" w:hAnsi="方正仿宋_GBK" w:eastAsia="方正仿宋_GBK" w:cs="方正仿宋_GBK"/>
          <w:color w:val="auto"/>
          <w:sz w:val="30"/>
          <w:szCs w:val="30"/>
          <w:highlight w:val="none"/>
          <w:u w:color="333333"/>
          <w:lang w:val="zh-TW" w:eastAsia="zh-TW"/>
        </w:rPr>
        <w:t>实现</w:t>
      </w:r>
      <w:r>
        <w:rPr>
          <w:rFonts w:hint="eastAsia" w:ascii="方正仿宋_GBK" w:hAnsi="方正仿宋_GBK" w:eastAsia="方正仿宋_GBK" w:cs="方正仿宋_GBK"/>
          <w:color w:val="auto"/>
          <w:sz w:val="30"/>
          <w:szCs w:val="30"/>
          <w:highlight w:val="none"/>
          <w:u w:color="333333"/>
        </w:rPr>
        <w:t>公司转型升级</w:t>
      </w:r>
      <w:r>
        <w:rPr>
          <w:rFonts w:ascii="方正仿宋_GBK" w:hAnsi="方正仿宋_GBK" w:eastAsia="方正仿宋_GBK" w:cs="方正仿宋_GBK"/>
          <w:color w:val="auto"/>
          <w:sz w:val="30"/>
          <w:szCs w:val="30"/>
          <w:highlight w:val="none"/>
          <w:u w:color="333333"/>
          <w:lang w:val="zh-TW" w:eastAsia="zh-TW"/>
        </w:rPr>
        <w:t>高质量发展</w:t>
      </w:r>
      <w:r>
        <w:rPr>
          <w:rFonts w:hint="eastAsia" w:ascii="方正仿宋_GBK" w:hAnsi="方正仿宋_GBK" w:eastAsia="方正仿宋_GBK" w:cs="方正仿宋_GBK"/>
          <w:color w:val="auto"/>
          <w:sz w:val="30"/>
          <w:szCs w:val="30"/>
          <w:highlight w:val="none"/>
          <w:u w:color="333333"/>
          <w:lang w:val="zh-TW"/>
        </w:rPr>
        <w:t>，</w:t>
      </w:r>
      <w:r>
        <w:rPr>
          <w:rFonts w:hint="eastAsia" w:ascii="方正仿宋_GBK" w:hAnsi="方正仿宋_GBK" w:eastAsia="方正仿宋_GBK" w:cs="方正仿宋_GBK"/>
          <w:color w:val="auto"/>
          <w:sz w:val="32"/>
          <w:szCs w:val="32"/>
          <w:highlight w:val="none"/>
        </w:rPr>
        <w:t>按照市国资委党委《关于加快推进三项制度改革专项行动的通知》（渝国资〔2020〕477号）精神和高速集团“揭榜挂帅”部署要求，结合公司实际，现公开发布重庆通力高速公路养护工程有限公司（以下简称：通力公司）“揭榜挂帅”榜单任务，具体如下：</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一、“揭榜挂帅”榜单</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检测公司2023-2025年度经营管理，揭榜人任检测公司总经理。</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二、“揭榜挂帅”领导小组</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为确保“揭榜挂帅”任务顺利进行，遴选出能够完成任务的优秀人选，特成立“揭榜挂帅”领导小组，全面负责本次“揭榜挂帅”工作，明确榜单任务、制定考核指标、实施考核并兑现奖惩。 </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领导小组成员名单</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 xml:space="preserve">组长：党委书记、董事长  </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副组长：党委副书记、总经理</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成员：公司其他领导班子成员</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领导小组下设办公室：由公司党群人力部主任任办公室主任，公司各部门负责人任成员，日常事务由公司党群人力部承担。</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三、榜单任务</w:t>
      </w:r>
    </w:p>
    <w:p>
      <w:pPr>
        <w:spacing w:line="56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（一）目标任务：检测公司2023-2025年度经营管理，3年累计完成营业收入23000万元，其中，市场化业务累计营业收入总额不低于2910万元。3年累计净利润总额2940万元。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市场化业务认定范围：合同甲方为除集团全资、控股公司以外的其他公司的业务。</w:t>
      </w:r>
    </w:p>
    <w:p>
      <w:pPr>
        <w:numPr>
          <w:ilvl w:val="0"/>
          <w:numId w:val="1"/>
        </w:num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任务指标分解如下：</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1、2023年：完成年度营业收入6000万元（其中，市场化业务营业收入占比不低于8.3%，500万元），净利润率不低于10%，净利润额不低于600万元。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2、2024年：完成年度营业收入7000万元（其中，市场化业务营业收入占比不低于13%，910万元），净利润率不低于12%，净利润额不低于840万元。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3、2025年：完成年度营业收入10000万元（其中，市场化业务营业收入占比不低于15%，1500万元），净利润率不低于15%，净利润额不低于1500万元。</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（三）任务下达：</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年度目标通过签订《经营业绩责任书》的方式明确。营业收入、净利润率目标值原则上不得低于揭榜人的中标值，若揭榜人竞榜时的指标高于公司设定的目标值，按揭榜人竞榜指标下达，终以当年签订的目标责任书为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本榜单任务中含成欣检测业务部分年预估营收1000万元，如遇政策调整，各年度相应任务指标重新测算后下达，并签订补充协议</w:t>
      </w:r>
      <w:r>
        <w:rPr>
          <w:rFonts w:hint="eastAsia" w:ascii="方正仿宋_GBK" w:hAnsi="方正仿宋_GBK" w:eastAsia="方正仿宋_GBK" w:cs="方正仿宋_GBK"/>
          <w:color w:val="auto"/>
          <w:sz w:val="32"/>
          <w:szCs w:val="32"/>
          <w:highlight w:val="none"/>
          <w:lang w:eastAsia="zh-CN"/>
        </w:rPr>
        <w:t>）</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四、揭榜要求</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（一）揭榜人资格条件</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1、政治思想素质好。讲政治、顾大局、守纪律，具有良好的职业操守和道德品质。</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2、业务能力突出。具有相应专业背景及相关类似经营管理经验，具有生产经营、施工管理及市场开拓的综合能力，责任心强、善沟通，能够带领团队攻坚克难。</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3、面向全社会。满足条件均可报名参与揭榜。</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（二）揭榜人基本权利</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1、揭榜人全面主持检测公司生产经营管理工作。</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2、团队组建权。（团队人员数量不超过检测公司核定编制数）。</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3、团队成员绩效工资、超额利润奖的分配权。</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（三）揭榜人基本义务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1、必须遵守法律法规及有关规章制度。</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2、必须贯彻落实上级党组织的部署要求，加强党的基层组织建设和党风廉政建设。</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3、决策过程必须严格执行“三重一大”制度规定。</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4、应当遵守榜单约定的其他义务。</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（四）揭榜方式</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在全社会范围内发榜、揭榜，全过程公开进行，鼓励符合资格条件的人员踊跃报名，通过综合评审，择优确定揭榜人选。揭榜人可自行组织管理团队报公司备案。</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签订《劳动合同书》。按照《劳动合同法》等法律法规，由通力检测公司与揭榜人签订。通力公司内揭榜人，签订劳动合同补充协议；高速集团系统内其他公司揭榜人，签订三方协议及劳动合同补充协议；高速集团系统外的揭榜人，签订以完成一定工作任务为期限的劳动合同。</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签订《通力检测公司职业经理人聘书》。《通力检测公司职业经理人聘书》内容应包括双方基本信息、聘用岗位、聘用期限、职责与工作目标、权利义务、考核评价、薪酬标准、履职待遇及福利、奖惩、离职或解聘条件、竞业禁止、违约责任追究等事项，由通力检测公司与揭榜人签订。聘期原则上与劳动合同期限一致。</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3.签订《经营业绩责任书》。分为年度和任期经营业绩责任书，内容应包括双方基本信息、考核内容及指标、考核目标、考评方法及计分规则、考评实施及奖惩等内容。由通力检测公司与揭榜人签订。</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4、来自高速集团系统外的揭榜人，其人事档案应委托人才服务机构管理；是中共党员的，其党组织关系应转入通力检测公司所属党组织管理。</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五、薪酬及激励措施</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（一）薪酬</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揭榜人薪酬由基本年薪、专项绩效、超额利润提出奖励三部分组成。</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（1）基本年薪</w:t>
      </w:r>
      <w:r>
        <w:rPr>
          <w:rFonts w:hint="eastAsia" w:ascii="方正仿宋_GBK" w:hAnsi="方正仿宋_GBK" w:eastAsia="方正仿宋_GBK" w:cs="方正仿宋_GBK"/>
          <w:color w:val="auto"/>
          <w:kern w:val="0"/>
          <w:sz w:val="32"/>
          <w:szCs w:val="32"/>
          <w:highlight w:val="none"/>
        </w:rPr>
        <w:t>是揭榜人的年度基本收入，</w:t>
      </w:r>
      <w:r>
        <w:rPr>
          <w:rFonts w:hint="eastAsia" w:ascii="方正仿宋_GBK" w:hAnsi="方正仿宋_GBK" w:eastAsia="方正仿宋_GBK" w:cs="方正仿宋_GBK"/>
          <w:color w:val="auto"/>
          <w:sz w:val="32"/>
          <w:szCs w:val="32"/>
          <w:highlight w:val="none"/>
        </w:rPr>
        <w:t>标准为12万元/年。</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（2）专项绩效是完成本公司或上级单位</w:t>
      </w:r>
      <w:r>
        <w:rPr>
          <w:rFonts w:hint="eastAsia" w:ascii="方正仿宋_GBK" w:hAnsi="方正仿宋_GBK" w:eastAsia="方正仿宋_GBK" w:cs="方正仿宋_GBK"/>
          <w:color w:val="auto"/>
          <w:kern w:val="0"/>
          <w:sz w:val="32"/>
          <w:szCs w:val="32"/>
          <w:highlight w:val="none"/>
        </w:rPr>
        <w:t>统一安排的专项分配项目（业务），</w:t>
      </w:r>
      <w:r>
        <w:rPr>
          <w:rFonts w:hint="eastAsia" w:ascii="方正仿宋_GBK" w:hAnsi="方正仿宋_GBK" w:eastAsia="方正仿宋_GBK" w:cs="方正仿宋_GBK"/>
          <w:color w:val="auto"/>
          <w:sz w:val="32"/>
          <w:szCs w:val="32"/>
          <w:highlight w:val="none"/>
        </w:rPr>
        <w:t>根据年度</w:t>
      </w:r>
      <w:r>
        <w:rPr>
          <w:rFonts w:hint="eastAsia" w:ascii="方正仿宋_GBK" w:hAnsi="方正仿宋_GBK" w:eastAsia="方正仿宋_GBK" w:cs="方正仿宋_GBK"/>
          <w:color w:val="auto"/>
          <w:kern w:val="0"/>
          <w:sz w:val="32"/>
          <w:szCs w:val="32"/>
          <w:highlight w:val="none"/>
        </w:rPr>
        <w:t>专项分配项目（业务）</w:t>
      </w:r>
      <w:r>
        <w:rPr>
          <w:rFonts w:hint="eastAsia" w:ascii="方正仿宋_GBK" w:hAnsi="方正仿宋_GBK" w:eastAsia="方正仿宋_GBK" w:cs="方正仿宋_GBK"/>
          <w:color w:val="auto"/>
          <w:sz w:val="32"/>
          <w:szCs w:val="32"/>
          <w:highlight w:val="none"/>
        </w:rPr>
        <w:t>完成情况考核结果核发的绩效，揭榜人专项绩效基数为15万元/年。</w:t>
      </w:r>
    </w:p>
    <w:p>
      <w:pPr>
        <w:numPr>
          <w:ilvl w:val="255"/>
          <w:numId w:val="0"/>
        </w:num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超额利润提成奖是指实际完成的净利润超过目标净利润部分的奖励，根据年度超额利润完成情况予以计提，由揭榜人及其团队成员共享。在保证不超过可计提超额利润奖总额的情况下，揭榜人可根据其团队成员或其他相关人员工作贡献大小，对超额利润奖进行分配，报公司揭榜挂帅领导小组备案后计发。</w:t>
      </w:r>
    </w:p>
    <w:p>
      <w:pPr>
        <w:numPr>
          <w:ilvl w:val="255"/>
          <w:numId w:val="0"/>
        </w:num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（4）揭榜人年薪除基本年薪、专项绩效、超额利润奖以外，不得领取其他各类津补贴、加班工资等工资性收入。（证书津贴可根据公司资质相关需要，按照相应管理办法另行约定）</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（二）考核管理</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1、签订《通力检测公司2023-2025年度经营业绩责任书》，明确揭榜人目标任务、任务薪酬、目标奖惩、风险抵押金及相应考核管理约定等，按照该责任书对揭榜人及其揭榜团队进行经营业绩目标考核。</w:t>
      </w:r>
    </w:p>
    <w:p>
      <w:pPr>
        <w:spacing w:line="560" w:lineRule="exact"/>
        <w:ind w:firstLine="640" w:firstLineChars="200"/>
        <w:rPr>
          <w:rFonts w:ascii="方正仿宋_GBK" w:hAnsi="方正仿宋_GBK" w:eastAsia="仿宋_GB2312"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专项绩效考核指标由通力公司根据本年度榜单任务指标、内控管理要求进行下达年度综合管理考核指标，其中营收指标占比20%，净利润指标占比60%，管理评价占比20%。营收指标、净利润指标，即为本年度榜单任务指标，</w:t>
      </w:r>
      <w:r>
        <w:rPr>
          <w:rFonts w:hint="eastAsia" w:ascii="仿宋_GB2312" w:hAnsi="宋体" w:eastAsia="仿宋_GB2312"/>
          <w:color w:val="auto"/>
          <w:kern w:val="0"/>
          <w:sz w:val="32"/>
          <w:szCs w:val="32"/>
          <w:highlight w:val="none"/>
        </w:rPr>
        <w:t>管理评价按各项规范管理检查得分</w:t>
      </w:r>
      <w:r>
        <w:rPr>
          <w:rFonts w:hint="eastAsia" w:ascii="仿宋_GB2312" w:eastAsia="仿宋_GB2312"/>
          <w:color w:val="auto"/>
          <w:sz w:val="32"/>
          <w:szCs w:val="32"/>
          <w:highlight w:val="none"/>
        </w:rPr>
        <w:t>加权求和确定。</w:t>
      </w:r>
    </w:p>
    <w:p>
      <w:pPr>
        <w:adjustRightInd w:val="0"/>
        <w:snapToGrid w:val="0"/>
        <w:spacing w:line="560" w:lineRule="exact"/>
        <w:ind w:firstLine="640" w:firstLineChars="200"/>
        <w:rPr>
          <w:rFonts w:hint="eastAsia" w:ascii="仿宋_GB2312" w:hAnsi="宋体" w:eastAsia="仿宋_GB2312"/>
          <w:kern w:val="0"/>
          <w:sz w:val="32"/>
          <w:szCs w:val="32"/>
          <w:highlight w:val="none"/>
        </w:rPr>
      </w:pPr>
      <w:r>
        <w:rPr>
          <w:rFonts w:hint="eastAsia" w:ascii="仿宋_GB2312" w:hAnsi="宋体" w:eastAsia="仿宋_GB2312" w:cstheme="minorBidi"/>
          <w:kern w:val="0"/>
          <w:sz w:val="32"/>
          <w:szCs w:val="32"/>
          <w:highlight w:val="none"/>
        </w:rPr>
        <w:t>专项绩效=专项绩效基数×</w:t>
      </w:r>
      <w:r>
        <w:rPr>
          <w:rFonts w:hint="eastAsia" w:ascii="仿宋_GB2312" w:hAnsi="宋体" w:eastAsia="仿宋_GB2312" w:cstheme="minorBidi"/>
          <w:b w:val="0"/>
          <w:bCs w:val="0"/>
          <w:kern w:val="0"/>
          <w:sz w:val="32"/>
          <w:szCs w:val="32"/>
          <w:highlight w:val="none"/>
        </w:rPr>
        <w:t>年度综合管理考核</w:t>
      </w:r>
      <w:r>
        <w:rPr>
          <w:rFonts w:hint="eastAsia" w:ascii="仿宋_GB2312" w:hAnsi="宋体" w:eastAsia="仿宋_GB2312" w:cstheme="minorBidi"/>
          <w:b w:val="0"/>
          <w:bCs w:val="0"/>
          <w:kern w:val="0"/>
          <w:sz w:val="32"/>
          <w:szCs w:val="32"/>
          <w:highlight w:val="none"/>
          <w:lang w:val="en-US" w:eastAsia="zh-CN"/>
        </w:rPr>
        <w:t>得分=</w:t>
      </w:r>
      <w:r>
        <w:rPr>
          <w:rFonts w:hint="eastAsia" w:ascii="仿宋_GB2312" w:hAnsi="宋体" w:eastAsia="仿宋_GB2312" w:cstheme="minorBidi"/>
          <w:kern w:val="0"/>
          <w:sz w:val="32"/>
          <w:szCs w:val="32"/>
          <w:highlight w:val="none"/>
        </w:rPr>
        <w:t>专项绩效基数×（20</w:t>
      </w:r>
      <w:r>
        <w:rPr>
          <w:rFonts w:hint="eastAsia" w:ascii="仿宋_GB2312" w:hAnsi="宋体" w:eastAsia="仿宋_GB2312" w:cstheme="minorBidi"/>
          <w:b w:val="0"/>
          <w:kern w:val="0"/>
          <w:sz w:val="32"/>
          <w:szCs w:val="32"/>
          <w:highlight w:val="none"/>
        </w:rPr>
        <w:t>%×营收</w:t>
      </w:r>
      <w:r>
        <w:rPr>
          <w:rFonts w:hint="eastAsia" w:ascii="仿宋_GB2312" w:hAnsi="宋体" w:eastAsia="仿宋_GB2312" w:cstheme="minorBidi"/>
          <w:b w:val="0"/>
          <w:kern w:val="0"/>
          <w:sz w:val="32"/>
          <w:szCs w:val="32"/>
          <w:highlight w:val="none"/>
          <w:lang w:val="en-US" w:eastAsia="zh-CN"/>
        </w:rPr>
        <w:t>完成率</w:t>
      </w:r>
      <w:r>
        <w:rPr>
          <w:rFonts w:hint="eastAsia" w:ascii="仿宋_GB2312" w:hAnsi="宋体" w:eastAsia="仿宋_GB2312" w:cstheme="minorBidi"/>
          <w:b w:val="0"/>
          <w:kern w:val="0"/>
          <w:sz w:val="32"/>
          <w:szCs w:val="32"/>
          <w:highlight w:val="none"/>
        </w:rPr>
        <w:t>×100+60%×净利润</w:t>
      </w:r>
      <w:r>
        <w:rPr>
          <w:rFonts w:hint="eastAsia" w:ascii="仿宋_GB2312" w:hAnsi="宋体" w:eastAsia="仿宋_GB2312" w:cstheme="minorBidi"/>
          <w:b w:val="0"/>
          <w:kern w:val="0"/>
          <w:sz w:val="32"/>
          <w:szCs w:val="32"/>
          <w:highlight w:val="none"/>
          <w:lang w:val="en-US" w:eastAsia="zh-CN"/>
        </w:rPr>
        <w:t>完成率</w:t>
      </w:r>
      <w:r>
        <w:rPr>
          <w:rFonts w:hint="eastAsia" w:ascii="仿宋_GB2312" w:hAnsi="宋体" w:eastAsia="仿宋_GB2312" w:cstheme="minorBidi"/>
          <w:b w:val="0"/>
          <w:kern w:val="0"/>
          <w:sz w:val="32"/>
          <w:szCs w:val="32"/>
          <w:highlight w:val="none"/>
        </w:rPr>
        <w:t>×100+</w:t>
      </w:r>
      <w:r>
        <w:rPr>
          <w:rFonts w:hint="eastAsia" w:ascii="仿宋_GB2312" w:hAnsi="宋体" w:eastAsia="仿宋_GB2312" w:cstheme="minorBidi"/>
          <w:kern w:val="0"/>
          <w:sz w:val="32"/>
          <w:szCs w:val="32"/>
          <w:highlight w:val="none"/>
        </w:rPr>
        <w:t xml:space="preserve"> 20</w:t>
      </w:r>
      <w:r>
        <w:rPr>
          <w:rFonts w:hint="eastAsia" w:ascii="仿宋_GB2312" w:hAnsi="宋体" w:eastAsia="仿宋_GB2312" w:cstheme="minorBidi"/>
          <w:b w:val="0"/>
          <w:kern w:val="0"/>
          <w:sz w:val="32"/>
          <w:szCs w:val="32"/>
          <w:highlight w:val="none"/>
        </w:rPr>
        <w:t>%×管理评价</w:t>
      </w:r>
      <w:r>
        <w:rPr>
          <w:rFonts w:hint="eastAsia" w:ascii="仿宋_GB2312" w:hAnsi="宋体" w:eastAsia="仿宋_GB2312" w:cstheme="minorBidi"/>
          <w:b w:val="0"/>
          <w:kern w:val="0"/>
          <w:sz w:val="32"/>
          <w:szCs w:val="32"/>
          <w:highlight w:val="none"/>
          <w:lang w:val="en-US" w:eastAsia="zh-CN"/>
        </w:rPr>
        <w:t>考核情况</w:t>
      </w:r>
      <w:r>
        <w:rPr>
          <w:rFonts w:hint="eastAsia" w:ascii="仿宋_GB2312" w:hAnsi="宋体" w:eastAsia="仿宋_GB2312" w:cstheme="minorBidi"/>
          <w:kern w:val="0"/>
          <w:sz w:val="32"/>
          <w:szCs w:val="32"/>
          <w:highlight w:val="none"/>
        </w:rPr>
        <w:t>）</w:t>
      </w:r>
    </w:p>
    <w:p>
      <w:pPr>
        <w:spacing w:line="560" w:lineRule="exact"/>
        <w:ind w:firstLine="640" w:firstLineChars="200"/>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经营期末将按三年经营期的业务整体完成情况对经营期专项绩效总额进行清算，清算公式如下：</w:t>
      </w:r>
    </w:p>
    <w:p>
      <w:pPr>
        <w:adjustRightInd w:val="0"/>
        <w:snapToGrid w:val="0"/>
        <w:spacing w:line="560" w:lineRule="exact"/>
        <w:ind w:firstLine="640" w:firstLineChars="200"/>
        <w:rPr>
          <w:rFonts w:ascii="仿宋_GB2312" w:hAnsi="仿宋_GB2312" w:eastAsia="仿宋_GB2312" w:cs="仿宋_GB2312"/>
          <w:b w:val="0"/>
          <w:bCs w:val="0"/>
          <w:color w:val="auto"/>
          <w:kern w:val="32"/>
          <w:sz w:val="32"/>
          <w:szCs w:val="32"/>
          <w:highlight w:val="none"/>
        </w:rPr>
      </w:pPr>
      <w:r>
        <w:rPr>
          <w:rFonts w:hint="eastAsia" w:ascii="方正仿宋_GBK" w:hAnsi="方正仿宋_GBK" w:eastAsia="方正仿宋_GBK" w:cs="方正仿宋_GBK"/>
          <w:b w:val="0"/>
          <w:bCs w:val="0"/>
          <w:color w:val="auto"/>
          <w:sz w:val="32"/>
          <w:szCs w:val="32"/>
          <w:highlight w:val="none"/>
        </w:rPr>
        <w:t>经营期专项绩效=项绩效基数</w:t>
      </w:r>
      <w:r>
        <w:rPr>
          <w:rFonts w:hint="eastAsia" w:ascii="仿宋_GB2312" w:eastAsia="仿宋_GB2312" w:cs="仿宋_GB2312"/>
          <w:b w:val="0"/>
          <w:bCs w:val="0"/>
          <w:color w:val="auto"/>
          <w:kern w:val="32"/>
          <w:sz w:val="32"/>
          <w:szCs w:val="32"/>
          <w:highlight w:val="none"/>
        </w:rPr>
        <w:t>×3</w:t>
      </w:r>
      <w:r>
        <w:rPr>
          <w:rFonts w:hint="eastAsia" w:ascii="仿宋_GB2312" w:hAnsi="仿宋_GB2312" w:eastAsia="仿宋_GB2312" w:cs="仿宋_GB2312"/>
          <w:b w:val="0"/>
          <w:bCs w:val="0"/>
          <w:color w:val="auto"/>
          <w:kern w:val="32"/>
          <w:sz w:val="32"/>
          <w:szCs w:val="32"/>
          <w:highlight w:val="none"/>
        </w:rPr>
        <w:t>（</w:t>
      </w:r>
      <w:r>
        <w:rPr>
          <w:rFonts w:hint="eastAsia" w:ascii="仿宋_GB2312" w:hAnsi="仿宋_GB2312" w:eastAsia="仿宋_GB2312" w:cs="仿宋_GB2312"/>
          <w:b w:val="0"/>
          <w:bCs w:val="0"/>
          <w:color w:val="auto"/>
          <w:kern w:val="0"/>
          <w:sz w:val="32"/>
          <w:szCs w:val="32"/>
          <w:highlight w:val="none"/>
        </w:rPr>
        <w:t>20%</w:t>
      </w:r>
      <w:r>
        <w:rPr>
          <w:rFonts w:hint="eastAsia" w:ascii="仿宋_GB2312" w:hAnsi="仿宋_GB2312" w:eastAsia="仿宋_GB2312" w:cs="仿宋_GB2312"/>
          <w:b w:val="0"/>
          <w:bCs w:val="0"/>
          <w:color w:val="auto"/>
          <w:sz w:val="32"/>
          <w:szCs w:val="32"/>
          <w:highlight w:val="none"/>
        </w:rPr>
        <w:t>×三年累计营收完成率+60%×三年累计净利润完成率+</w:t>
      </w:r>
      <w:r>
        <w:rPr>
          <w:rFonts w:hint="eastAsia" w:ascii="仿宋_GB2312" w:hAnsi="仿宋_GB2312" w:eastAsia="仿宋_GB2312" w:cs="仿宋_GB2312"/>
          <w:b w:val="0"/>
          <w:bCs w:val="0"/>
          <w:color w:val="auto"/>
          <w:kern w:val="0"/>
          <w:sz w:val="32"/>
          <w:szCs w:val="32"/>
          <w:highlight w:val="none"/>
        </w:rPr>
        <w:t xml:space="preserve"> 20%</w:t>
      </w:r>
      <w:r>
        <w:rPr>
          <w:rFonts w:hint="eastAsia" w:ascii="仿宋_GB2312" w:hAnsi="仿宋_GB2312" w:eastAsia="仿宋_GB2312" w:cs="仿宋_GB2312"/>
          <w:b w:val="0"/>
          <w:bCs w:val="0"/>
          <w:color w:val="auto"/>
          <w:sz w:val="32"/>
          <w:szCs w:val="32"/>
          <w:highlight w:val="none"/>
        </w:rPr>
        <w:t>×三年年度综合管理考核平均得分/100</w:t>
      </w:r>
      <w:r>
        <w:rPr>
          <w:rFonts w:hint="eastAsia" w:ascii="仿宋_GB2312" w:hAnsi="仿宋_GB2312" w:eastAsia="仿宋_GB2312" w:cs="仿宋_GB2312"/>
          <w:b w:val="0"/>
          <w:bCs w:val="0"/>
          <w:color w:val="auto"/>
          <w:kern w:val="32"/>
          <w:sz w:val="32"/>
          <w:szCs w:val="32"/>
          <w:highlight w:val="none"/>
        </w:rPr>
        <w:t>）</w:t>
      </w:r>
    </w:p>
    <w:p>
      <w:pPr>
        <w:spacing w:line="560" w:lineRule="exact"/>
        <w:ind w:firstLine="640" w:firstLineChars="200"/>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3、超额利润奖=年度超额</w:t>
      </w:r>
      <w:r>
        <w:rPr>
          <w:rFonts w:hint="eastAsia" w:ascii="方正仿宋_GBK" w:hAnsi="方正仿宋_GBK" w:eastAsia="方正仿宋_GBK" w:cs="方正仿宋_GBK"/>
          <w:b w:val="0"/>
          <w:bCs w:val="0"/>
          <w:color w:val="auto"/>
          <w:sz w:val="32"/>
          <w:szCs w:val="32"/>
          <w:highlight w:val="none"/>
          <w:lang w:val="en-US" w:eastAsia="zh-CN"/>
        </w:rPr>
        <w:t>净</w:t>
      </w:r>
      <w:r>
        <w:rPr>
          <w:rFonts w:hint="eastAsia" w:ascii="方正仿宋_GBK" w:hAnsi="方正仿宋_GBK" w:eastAsia="方正仿宋_GBK" w:cs="方正仿宋_GBK"/>
          <w:b w:val="0"/>
          <w:bCs w:val="0"/>
          <w:color w:val="auto"/>
          <w:sz w:val="32"/>
          <w:szCs w:val="32"/>
          <w:highlight w:val="none"/>
        </w:rPr>
        <w:t>利润总额×计提比例=（年度实际净利润-年度目标净利润）×30%</w:t>
      </w:r>
    </w:p>
    <w:p>
      <w:pPr>
        <w:spacing w:line="560" w:lineRule="exact"/>
        <w:ind w:firstLine="640" w:firstLineChars="200"/>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经营期超额利润奖=经营期超额</w:t>
      </w:r>
      <w:r>
        <w:rPr>
          <w:rFonts w:hint="eastAsia" w:ascii="方正仿宋_GBK" w:hAnsi="方正仿宋_GBK" w:eastAsia="方正仿宋_GBK" w:cs="方正仿宋_GBK"/>
          <w:b w:val="0"/>
          <w:bCs w:val="0"/>
          <w:color w:val="auto"/>
          <w:sz w:val="32"/>
          <w:szCs w:val="32"/>
          <w:highlight w:val="none"/>
          <w:lang w:val="en-US" w:eastAsia="zh-CN"/>
        </w:rPr>
        <w:t>净</w:t>
      </w:r>
      <w:r>
        <w:rPr>
          <w:rFonts w:hint="eastAsia" w:ascii="方正仿宋_GBK" w:hAnsi="方正仿宋_GBK" w:eastAsia="方正仿宋_GBK" w:cs="方正仿宋_GBK"/>
          <w:b w:val="0"/>
          <w:bCs w:val="0"/>
          <w:color w:val="auto"/>
          <w:sz w:val="32"/>
          <w:szCs w:val="32"/>
          <w:highlight w:val="none"/>
        </w:rPr>
        <w:t>利润总额×计提比例=（经营期累计实际净利润-经营期目标净利润）×30%</w:t>
      </w:r>
    </w:p>
    <w:p>
      <w:pPr>
        <w:ind w:firstLine="640" w:firstLineChars="200"/>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经营期年度综合管理考核得分要达到70分及以上才可计提超额利润。3年累计完成净利润目标任务的，由揭榜人根据团队成员工作完成情况就核定后的超额利润奖剩余部分进行分配，并报公司揭榜挂帅领导小组审核后计发。</w:t>
      </w:r>
    </w:p>
    <w:p>
      <w:pPr>
        <w:spacing w:line="560" w:lineRule="exact"/>
        <w:ind w:firstLine="640" w:firstLineChars="200"/>
        <w:rPr>
          <w:rFonts w:ascii="方正仿宋_GBK" w:hAnsi="方正仿宋_GBK" w:eastAsia="方正仿宋_GBK" w:cs="方正仿宋_GBK"/>
          <w:b w:val="0"/>
          <w:bCs w:val="0"/>
          <w:color w:val="auto"/>
          <w:kern w:val="0"/>
          <w:sz w:val="32"/>
          <w:szCs w:val="48"/>
          <w:highlight w:val="none"/>
        </w:rPr>
      </w:pPr>
      <w:r>
        <w:rPr>
          <w:rFonts w:hint="eastAsia" w:ascii="方正仿宋_GBK" w:hAnsi="方正仿宋_GBK" w:eastAsia="方正仿宋_GBK" w:cs="方正仿宋_GBK"/>
          <w:b w:val="0"/>
          <w:bCs w:val="0"/>
          <w:color w:val="auto"/>
          <w:sz w:val="32"/>
          <w:szCs w:val="32"/>
          <w:highlight w:val="none"/>
        </w:rPr>
        <w:t>4、实行风险抵押金制度，揭榜人</w:t>
      </w:r>
      <w:r>
        <w:rPr>
          <w:rFonts w:hint="eastAsia" w:ascii="方正仿宋_GBK" w:hAnsi="方正仿宋_GBK" w:eastAsia="方正仿宋_GBK" w:cs="方正仿宋_GBK"/>
          <w:b w:val="0"/>
          <w:bCs w:val="0"/>
          <w:color w:val="auto"/>
          <w:kern w:val="0"/>
          <w:sz w:val="32"/>
          <w:szCs w:val="48"/>
          <w:highlight w:val="none"/>
        </w:rPr>
        <w:t>任期审计结束后一年内兑现风险抵押金。</w:t>
      </w:r>
    </w:p>
    <w:p>
      <w:pPr>
        <w:spacing w:line="560" w:lineRule="exact"/>
        <w:ind w:firstLine="640" w:firstLineChars="200"/>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揭榜协议签署后，揭榜人及其团队需向发榜单位缴纳5万元作为风险抵押金（揭榜人缴纳比例占比不低于40%）。团队其他成员风险抵押金缴纳金额由该团队自行协商确定，不足部分由揭榜人补足。</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val="0"/>
          <w:bCs w:val="0"/>
          <w:color w:val="auto"/>
          <w:kern w:val="0"/>
          <w:sz w:val="32"/>
          <w:szCs w:val="32"/>
          <w:highlight w:val="none"/>
        </w:rPr>
        <w:t>风险抵押金以</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任期为结算期</w:t>
      </w:r>
      <w:r>
        <w:rPr>
          <w:rFonts w:hint="eastAsia"/>
          <w:color w:val="auto"/>
          <w:kern w:val="0"/>
          <w:highlight w:val="none"/>
        </w:rPr>
        <w:t>，</w:t>
      </w:r>
      <w:r>
        <w:rPr>
          <w:rFonts w:hint="eastAsia" w:ascii="方正仿宋_GBK" w:hAnsi="方正仿宋_GBK" w:eastAsia="方正仿宋_GBK" w:cs="方正仿宋_GBK"/>
          <w:color w:val="auto"/>
          <w:sz w:val="32"/>
          <w:szCs w:val="32"/>
          <w:highlight w:val="none"/>
        </w:rPr>
        <w:t>若任务期末总体目标完成情况（净利润占比</w:t>
      </w:r>
      <w:r>
        <w:rPr>
          <w:rFonts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rPr>
        <w:t>0%，营收占比30%，市场化占比</w:t>
      </w:r>
      <w:r>
        <w:rPr>
          <w:rFonts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rPr>
        <w:t>0%）低于80%的，加计扣减风险抵押金，每降低1%，扣减团队风险抵押金5000元，依此类推，直至风险抵押全部扣减，揭榜团队风险抵押金扣完同时退出任务。揭榜团队各成员风险抵押金具体扣减金额按其缴纳金额比例同步扣减。年度目标总体完成值低于70%，按照管理权限提前终止“揭榜挂帅”协议。若年度企业经营状况为亏损，则按每亏损10万元，加计扣除风险抵押金5000元，依此类推，直至风险抵押全部扣减，揭榜团队风险抵押金扣完同时退出任务。</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5、任务期内，若出现</w:t>
      </w:r>
      <w:r>
        <w:rPr>
          <w:rFonts w:ascii="方正仿宋_GBK" w:hAnsi="方正仿宋_GBK" w:eastAsia="方正仿宋_GBK" w:cs="方正仿宋_GBK"/>
          <w:color w:val="auto"/>
          <w:sz w:val="32"/>
          <w:szCs w:val="32"/>
          <w:highlight w:val="none"/>
        </w:rPr>
        <w:t>重大资产处置等产生的非经营性收益</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并购、重组等导致的利润变化</w:t>
      </w:r>
      <w:r>
        <w:rPr>
          <w:rFonts w:hint="eastAsia" w:ascii="方正仿宋_GBK" w:hAnsi="方正仿宋_GBK" w:eastAsia="方正仿宋_GBK" w:cs="方正仿宋_GBK"/>
          <w:color w:val="auto"/>
          <w:sz w:val="32"/>
          <w:szCs w:val="32"/>
          <w:highlight w:val="none"/>
        </w:rPr>
        <w:t>，</w:t>
      </w:r>
      <w:r>
        <w:rPr>
          <w:rFonts w:ascii="方正仿宋_GBK" w:hAnsi="方正仿宋_GBK" w:eastAsia="方正仿宋_GBK" w:cs="方正仿宋_GBK"/>
          <w:color w:val="auto"/>
          <w:sz w:val="32"/>
          <w:szCs w:val="32"/>
          <w:highlight w:val="none"/>
        </w:rPr>
        <w:t>外部政策性因素导致的利润变化</w:t>
      </w:r>
      <w:r>
        <w:rPr>
          <w:rFonts w:hint="eastAsia" w:ascii="方正仿宋_GBK" w:hAnsi="方正仿宋_GBK" w:eastAsia="方正仿宋_GBK" w:cs="方正仿宋_GBK"/>
          <w:color w:val="auto"/>
          <w:sz w:val="32"/>
          <w:szCs w:val="32"/>
          <w:highlight w:val="none"/>
        </w:rPr>
        <w:t>等客观重大特殊情况，考核时剔除该类因素所产生的影响。</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楷体_GBK" w:hAnsi="方正仿宋_GBK" w:eastAsia="方正楷体_GBK" w:cs="方正仿宋_GBK"/>
          <w:color w:val="auto"/>
          <w:sz w:val="32"/>
          <w:szCs w:val="32"/>
          <w:highlight w:val="none"/>
        </w:rPr>
        <w:t>（三）薪酬兑现</w:t>
      </w:r>
    </w:p>
    <w:p>
      <w:pPr>
        <w:adjustRightInd w:val="0"/>
        <w:snapToGrid w:val="0"/>
        <w:spacing w:line="560" w:lineRule="exact"/>
        <w:ind w:firstLine="640" w:firstLineChars="200"/>
        <w:rPr>
          <w:rFonts w:ascii="仿宋_GB2312" w:hAnsi="宋体"/>
          <w:color w:val="auto"/>
          <w:kern w:val="0"/>
          <w:szCs w:val="32"/>
          <w:highlight w:val="none"/>
        </w:rPr>
      </w:pPr>
      <w:r>
        <w:rPr>
          <w:rFonts w:hint="eastAsia" w:ascii="方正仿宋_GBK" w:hAnsi="方正仿宋_GBK" w:eastAsia="方正仿宋_GBK" w:cs="方正仿宋_GBK"/>
          <w:color w:val="auto"/>
          <w:sz w:val="32"/>
          <w:szCs w:val="32"/>
          <w:highlight w:val="none"/>
        </w:rPr>
        <w:t>1、基本年薪平均分摊到每月</w:t>
      </w:r>
      <w:r>
        <w:rPr>
          <w:rFonts w:hint="eastAsia" w:ascii="方正仿宋_GBK" w:hAnsi="方正仿宋_GBK" w:eastAsia="方正仿宋_GBK" w:cs="方正仿宋_GBK"/>
          <w:color w:val="auto"/>
          <w:kern w:val="0"/>
          <w:sz w:val="32"/>
          <w:szCs w:val="32"/>
          <w:highlight w:val="none"/>
        </w:rPr>
        <w:t>支付；原则上，每月可预支不超过专项绩效基数平均到月度金额的50%，其余部分待年度考核和</w:t>
      </w:r>
      <w:r>
        <w:rPr>
          <w:rFonts w:hint="eastAsia" w:ascii="方正仿宋_GBK" w:hAnsi="方正仿宋_GBK" w:eastAsia="方正仿宋_GBK" w:cs="方正仿宋_GBK"/>
          <w:color w:val="auto"/>
          <w:sz w:val="32"/>
          <w:szCs w:val="32"/>
          <w:highlight w:val="none"/>
        </w:rPr>
        <w:t>财务核算数据清算后</w:t>
      </w:r>
      <w:r>
        <w:rPr>
          <w:rFonts w:hint="eastAsia" w:ascii="方正仿宋_GBK" w:hAnsi="方正仿宋_GBK" w:eastAsia="方正仿宋_GBK" w:cs="方正仿宋_GBK"/>
          <w:color w:val="auto"/>
          <w:kern w:val="0"/>
          <w:sz w:val="32"/>
          <w:szCs w:val="32"/>
          <w:highlight w:val="none"/>
        </w:rPr>
        <w:t>兑现。未达到考核目标的，应当按规定或约定扣减、暂缓或停止兑现。</w:t>
      </w:r>
    </w:p>
    <w:p>
      <w:pPr>
        <w:adjustRightInd w:val="0"/>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2、超额利润提成奖根据年度超额利润完成情况予以计提，50%当年发放，20%在所涉及项目（业务）完成结算及收款后兑现，30%在三年经营期满</w:t>
      </w:r>
      <w:r>
        <w:rPr>
          <w:rFonts w:hint="eastAsia" w:ascii="方正仿宋_GBK" w:hAnsi="方正仿宋_GBK" w:eastAsia="方正仿宋_GBK" w:cs="方正仿宋_GBK"/>
          <w:color w:val="auto"/>
          <w:sz w:val="36"/>
          <w:szCs w:val="36"/>
          <w:highlight w:val="none"/>
        </w:rPr>
        <w:t>完成结算及收款</w:t>
      </w:r>
      <w:r>
        <w:rPr>
          <w:rFonts w:hint="eastAsia" w:ascii="方正仿宋_GBK" w:hAnsi="方正仿宋_GBK" w:eastAsia="方正仿宋_GBK" w:cs="方正仿宋_GBK"/>
          <w:color w:val="auto"/>
          <w:sz w:val="32"/>
          <w:szCs w:val="32"/>
          <w:highlight w:val="none"/>
        </w:rPr>
        <w:t>，并经审计后兑现。3年累计未完成净利润目标任务的，按照净利润目标值差在剩余部分超额利润奖中进行抵扣，不足抵扣的在已计提超额利润奖中进行清退，直至退完为止。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3、非</w:t>
      </w:r>
      <w:r>
        <w:rPr>
          <w:rFonts w:hint="eastAsia" w:ascii="方正仿宋_GBK" w:hAnsi="方正仿宋_GBK" w:eastAsia="方正仿宋_GBK" w:cs="方正仿宋_GBK"/>
          <w:color w:val="auto"/>
          <w:sz w:val="32"/>
          <w:szCs w:val="32"/>
          <w:highlight w:val="none"/>
        </w:rPr>
        <w:t>揭榜人原因致使劳动关系或聘用关系变动</w:t>
      </w:r>
      <w:r>
        <w:rPr>
          <w:rFonts w:hint="eastAsia" w:ascii="方正仿宋_GBK" w:hAnsi="方正仿宋_GBK" w:eastAsia="方正仿宋_GBK" w:cs="方正仿宋_GBK"/>
          <w:color w:val="auto"/>
          <w:kern w:val="0"/>
          <w:sz w:val="32"/>
          <w:szCs w:val="32"/>
          <w:highlight w:val="none"/>
        </w:rPr>
        <w:t>，基薪水平不变，根据考核结果，按</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当年在岗实际工作月数发放专项绩效和</w:t>
      </w:r>
      <w:r>
        <w:rPr>
          <w:rFonts w:hint="eastAsia" w:ascii="方正仿宋_GBK" w:hAnsi="方正仿宋_GBK" w:eastAsia="方正仿宋_GBK" w:cs="方正仿宋_GBK"/>
          <w:color w:val="auto"/>
          <w:sz w:val="32"/>
          <w:szCs w:val="32"/>
          <w:highlight w:val="none"/>
        </w:rPr>
        <w:t>超额利润提成奖。</w:t>
      </w:r>
    </w:p>
    <w:p>
      <w:pPr>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sz w:val="32"/>
          <w:szCs w:val="32"/>
          <w:highlight w:val="none"/>
        </w:rPr>
        <w:t>4、</w:t>
      </w:r>
      <w:bookmarkStart w:id="0" w:name="_Hlk121737699"/>
      <w:r>
        <w:rPr>
          <w:rFonts w:hint="eastAsia" w:ascii="方正仿宋_GBK" w:hAnsi="方正仿宋_GBK" w:eastAsia="方正仿宋_GBK" w:cs="方正仿宋_GBK"/>
          <w:color w:val="auto"/>
          <w:kern w:val="0"/>
          <w:sz w:val="32"/>
          <w:szCs w:val="32"/>
          <w:highlight w:val="none"/>
        </w:rPr>
        <w:t>对</w:t>
      </w:r>
      <w:r>
        <w:rPr>
          <w:rFonts w:hint="eastAsia" w:ascii="方正仿宋_GBK" w:hAnsi="方正仿宋_GBK" w:eastAsia="方正仿宋_GBK" w:cs="方正仿宋_GBK"/>
          <w:color w:val="auto"/>
          <w:sz w:val="32"/>
          <w:szCs w:val="32"/>
          <w:highlight w:val="none"/>
        </w:rPr>
        <w:t>揭榜人作为主要完成人</w:t>
      </w:r>
      <w:r>
        <w:rPr>
          <w:rFonts w:hint="eastAsia" w:ascii="方正仿宋_GBK" w:hAnsi="方正仿宋_GBK" w:eastAsia="方正仿宋_GBK" w:cs="方正仿宋_GBK"/>
          <w:color w:val="auto"/>
          <w:kern w:val="0"/>
          <w:sz w:val="32"/>
          <w:szCs w:val="32"/>
          <w:highlight w:val="none"/>
        </w:rPr>
        <w:t>成功申报国家级/省部级/市级科技项目；获得国家级/省部级科学技术奖；获得国家级/省部级重大科技创新成果（含入库）；创建市级及以上科技创新研发平台；获得市级及以上“专精特新”企业称号；获批市或国家级“高新技术企业”称号；获取特级（综合）、甲级等高等级资质和集团认可的短板领域、新兴领域资质；并能通过上述成果显著增强企业竞争实力或通过科技转化显著提升经济效益，可根据贡献程度给予基本年薪0.</w:t>
      </w:r>
      <w:r>
        <w:rPr>
          <w:rFonts w:ascii="方正仿宋_GBK" w:hAnsi="方正仿宋_GBK" w:eastAsia="方正仿宋_GBK" w:cs="方正仿宋_GBK"/>
          <w:color w:val="auto"/>
          <w:kern w:val="0"/>
          <w:sz w:val="32"/>
          <w:szCs w:val="32"/>
          <w:highlight w:val="none"/>
        </w:rPr>
        <w:t>2</w:t>
      </w:r>
      <w:r>
        <w:rPr>
          <w:rFonts w:hint="eastAsia" w:ascii="方正仿宋_GBK" w:hAnsi="方正仿宋_GBK" w:eastAsia="方正仿宋_GBK" w:cs="方正仿宋_GBK"/>
          <w:color w:val="auto"/>
          <w:kern w:val="0"/>
          <w:sz w:val="32"/>
          <w:szCs w:val="32"/>
          <w:highlight w:val="none"/>
        </w:rPr>
        <w:t>-1.5倍的单项奖励。</w:t>
      </w:r>
      <w:bookmarkEnd w:id="0"/>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5、任务期内，揭榜人出现以下情况之一的，根据具体情节</w:t>
      </w:r>
      <w:r>
        <w:rPr>
          <w:rFonts w:hint="eastAsia" w:ascii="方正仿宋_GBK" w:hAnsi="方正仿宋_GBK" w:eastAsia="方正仿宋_GBK" w:cs="方正仿宋_GBK"/>
          <w:color w:val="auto"/>
          <w:kern w:val="0"/>
          <w:sz w:val="32"/>
          <w:szCs w:val="32"/>
          <w:highlight w:val="none"/>
        </w:rPr>
        <w:t>对</w:t>
      </w:r>
      <w:r>
        <w:rPr>
          <w:rFonts w:hint="eastAsia" w:ascii="方正仿宋_GBK" w:hAnsi="方正仿宋_GBK" w:eastAsia="方正仿宋_GBK" w:cs="方正仿宋_GBK"/>
          <w:color w:val="auto"/>
          <w:sz w:val="32"/>
          <w:szCs w:val="32"/>
          <w:highlight w:val="none"/>
        </w:rPr>
        <w:t>揭榜人</w:t>
      </w:r>
      <w:r>
        <w:rPr>
          <w:rFonts w:hint="eastAsia" w:ascii="方正仿宋_GBK" w:hAnsi="方正仿宋_GBK" w:eastAsia="方正仿宋_GBK" w:cs="方正仿宋_GBK"/>
          <w:color w:val="auto"/>
          <w:kern w:val="0"/>
          <w:sz w:val="32"/>
          <w:szCs w:val="32"/>
          <w:highlight w:val="none"/>
        </w:rPr>
        <w:t>当年部分或全部已发专项绩效和</w:t>
      </w:r>
      <w:r>
        <w:rPr>
          <w:rFonts w:hint="eastAsia" w:ascii="方正仿宋_GBK" w:hAnsi="方正仿宋_GBK" w:eastAsia="方正仿宋_GBK" w:cs="方正仿宋_GBK"/>
          <w:color w:val="auto"/>
          <w:sz w:val="32"/>
          <w:szCs w:val="32"/>
          <w:highlight w:val="none"/>
        </w:rPr>
        <w:t>超额利润提成奖予以</w:t>
      </w:r>
      <w:r>
        <w:rPr>
          <w:rFonts w:hint="eastAsia" w:ascii="方正仿宋_GBK" w:hAnsi="方正仿宋_GBK" w:eastAsia="方正仿宋_GBK" w:cs="方正仿宋_GBK"/>
          <w:color w:val="auto"/>
          <w:kern w:val="0"/>
          <w:sz w:val="32"/>
          <w:szCs w:val="32"/>
          <w:highlight w:val="none"/>
        </w:rPr>
        <w:t>扣减或追索扣回</w:t>
      </w:r>
      <w:r>
        <w:rPr>
          <w:rFonts w:hint="eastAsia" w:ascii="方正仿宋_GBK" w:hAnsi="方正仿宋_GBK" w:eastAsia="方正仿宋_GBK" w:cs="方正仿宋_GBK"/>
          <w:color w:val="auto"/>
          <w:sz w:val="32"/>
          <w:szCs w:val="32"/>
          <w:highlight w:val="none"/>
        </w:rPr>
        <w:t xml:space="preserve">。 </w:t>
      </w:r>
    </w:p>
    <w:p>
      <w:pPr>
        <w:spacing w:line="560" w:lineRule="exact"/>
        <w:ind w:firstLine="643" w:firstLineChars="200"/>
        <w:rPr>
          <w:rFonts w:ascii="方正仿宋_GBK" w:hAnsi="方正仿宋_GBK" w:eastAsia="方正仿宋_GBK" w:cs="方正仿宋_GBK"/>
          <w:color w:val="auto"/>
          <w:sz w:val="32"/>
          <w:szCs w:val="32"/>
          <w:highlight w:val="none"/>
        </w:rPr>
      </w:pPr>
      <w:r>
        <w:rPr>
          <w:rFonts w:ascii="方正仿宋_GBK" w:hAnsi="方正仿宋_GBK" w:eastAsia="方正仿宋_GBK" w:cs="方正仿宋_GBK"/>
          <w:b/>
          <w:bCs/>
          <w:color w:val="auto"/>
          <w:sz w:val="32"/>
          <w:szCs w:val="32"/>
          <w:highlight w:val="none"/>
        </w:rPr>
        <w:fldChar w:fldCharType="begin"/>
      </w:r>
      <w:r>
        <w:rPr>
          <w:rFonts w:ascii="方正仿宋_GBK" w:hAnsi="方正仿宋_GBK" w:eastAsia="方正仿宋_GBK" w:cs="方正仿宋_GBK"/>
          <w:b/>
          <w:bCs/>
          <w:color w:val="auto"/>
          <w:sz w:val="32"/>
          <w:szCs w:val="32"/>
          <w:highlight w:val="none"/>
        </w:rPr>
        <w:instrText xml:space="preserve"> = 1 \* GB3 \* MERGEFORMAT </w:instrText>
      </w:r>
      <w:r>
        <w:rPr>
          <w:rFonts w:ascii="方正仿宋_GBK" w:hAnsi="方正仿宋_GBK" w:eastAsia="方正仿宋_GBK" w:cs="方正仿宋_GBK"/>
          <w:b/>
          <w:bCs/>
          <w:color w:val="auto"/>
          <w:sz w:val="32"/>
          <w:szCs w:val="32"/>
          <w:highlight w:val="none"/>
        </w:rPr>
        <w:fldChar w:fldCharType="separate"/>
      </w:r>
      <w:r>
        <w:rPr>
          <w:rFonts w:hint="eastAsia" w:ascii="方正仿宋_GBK" w:hAnsi="方正仿宋_GBK" w:eastAsia="方正仿宋_GBK" w:cs="方正仿宋_GBK"/>
          <w:b/>
          <w:bCs/>
          <w:color w:val="auto"/>
          <w:sz w:val="32"/>
          <w:szCs w:val="32"/>
          <w:highlight w:val="none"/>
        </w:rPr>
        <w:t>①</w:t>
      </w:r>
      <w:r>
        <w:rPr>
          <w:rFonts w:ascii="方正仿宋_GBK" w:hAnsi="方正仿宋_GBK" w:eastAsia="方正仿宋_GBK" w:cs="方正仿宋_GBK"/>
          <w:b/>
          <w:bCs/>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因</w:t>
      </w:r>
      <w:r>
        <w:rPr>
          <w:rFonts w:hint="eastAsia" w:ascii="方正仿宋_GBK" w:hAnsi="方正仿宋_GBK" w:eastAsia="方正仿宋_GBK" w:cs="方正仿宋_GBK"/>
          <w:color w:val="auto"/>
          <w:kern w:val="0"/>
          <w:sz w:val="32"/>
          <w:szCs w:val="32"/>
          <w:highlight w:val="none"/>
        </w:rPr>
        <w:t>违反国家法律法规和规定，导致重大决策失误、重大质量责任事故、重大环境污染责任事故、重大违纪和法律纠纷案件、重大不稳定事件，给企业造成重大不良影响或造成重大资产损失的</w:t>
      </w:r>
      <w:r>
        <w:rPr>
          <w:rFonts w:hint="eastAsia" w:ascii="方正仿宋_GBK" w:hAnsi="方正仿宋_GBK" w:eastAsia="方正仿宋_GBK" w:cs="方正仿宋_GBK"/>
          <w:color w:val="auto"/>
          <w:sz w:val="32"/>
          <w:szCs w:val="32"/>
          <w:highlight w:val="none"/>
        </w:rPr>
        <w:t>，不兑现</w:t>
      </w:r>
      <w:r>
        <w:rPr>
          <w:rFonts w:hint="eastAsia" w:ascii="方正仿宋_GBK" w:hAnsi="方正仿宋_GBK" w:eastAsia="方正仿宋_GBK" w:cs="方正仿宋_GBK"/>
          <w:color w:val="auto"/>
          <w:kern w:val="0"/>
          <w:sz w:val="32"/>
          <w:szCs w:val="32"/>
          <w:highlight w:val="none"/>
        </w:rPr>
        <w:t>专项绩效和</w:t>
      </w:r>
      <w:r>
        <w:rPr>
          <w:rFonts w:hint="eastAsia" w:ascii="方正仿宋_GBK" w:hAnsi="方正仿宋_GBK" w:eastAsia="方正仿宋_GBK" w:cs="方正仿宋_GBK"/>
          <w:color w:val="auto"/>
          <w:sz w:val="32"/>
          <w:szCs w:val="32"/>
          <w:highlight w:val="none"/>
        </w:rPr>
        <w:t>超额利润提成奖。</w:t>
      </w:r>
    </w:p>
    <w:p>
      <w:pPr>
        <w:ind w:firstLine="640" w:firstLineChars="200"/>
        <w:rPr>
          <w:rFonts w:ascii="方正仿宋_GBK" w:hAnsi="方正仿宋_GBK" w:eastAsia="方正仿宋_GBK" w:cs="方正仿宋_GBK"/>
          <w:color w:val="auto"/>
          <w:sz w:val="32"/>
          <w:szCs w:val="32"/>
          <w:highlight w:val="none"/>
        </w:rPr>
      </w:pPr>
      <w:r>
        <w:rPr>
          <w:rFonts w:ascii="方正仿宋_GBK" w:hAnsi="方正仿宋_GBK" w:eastAsia="方正仿宋_GBK" w:cs="方正仿宋_GBK"/>
          <w:color w:val="auto"/>
          <w:sz w:val="32"/>
          <w:szCs w:val="32"/>
          <w:highlight w:val="none"/>
        </w:rPr>
        <w:fldChar w:fldCharType="begin"/>
      </w:r>
      <w:r>
        <w:rPr>
          <w:rFonts w:ascii="方正仿宋_GBK" w:hAnsi="方正仿宋_GBK" w:eastAsia="方正仿宋_GBK" w:cs="方正仿宋_GBK"/>
          <w:color w:val="auto"/>
          <w:sz w:val="32"/>
          <w:szCs w:val="32"/>
          <w:highlight w:val="none"/>
        </w:rPr>
        <w:instrText xml:space="preserve"> = 2 \* GB3 \* MERGEFORMAT </w:instrText>
      </w:r>
      <w:r>
        <w:rPr>
          <w:rFonts w:ascii="方正仿宋_GBK" w:hAnsi="方正仿宋_GBK" w:eastAsia="方正仿宋_GBK" w:cs="方正仿宋_GBK"/>
          <w:color w:val="auto"/>
          <w:sz w:val="32"/>
          <w:szCs w:val="32"/>
          <w:highlight w:val="none"/>
        </w:rPr>
        <w:fldChar w:fldCharType="separate"/>
      </w:r>
      <w:r>
        <w:rPr>
          <w:rFonts w:ascii="方正仿宋_GBK" w:hAnsi="方正仿宋_GBK" w:eastAsia="方正仿宋_GBK" w:cs="方正仿宋_GBK"/>
          <w:color w:val="auto"/>
          <w:sz w:val="32"/>
          <w:szCs w:val="32"/>
          <w:highlight w:val="none"/>
        </w:rPr>
        <w:t>②</w:t>
      </w:r>
      <w:r>
        <w:rPr>
          <w:rFonts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 xml:space="preserve"> 因违纪违法行为受到相关部门处理的；</w:t>
      </w:r>
    </w:p>
    <w:p>
      <w:pPr>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 3 \* GB3 \* MERGEFORMAT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③</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违反《中华人民共和国会计法》、《企业会计准则》等有关法律法规规章，虚报、瞒报财务状况的，</w:t>
      </w:r>
      <w:r>
        <w:rPr>
          <w:rFonts w:hint="eastAsia" w:ascii="方正仿宋_GBK" w:hAnsi="方正仿宋_GBK" w:eastAsia="方正仿宋_GBK" w:cs="方正仿宋_GBK"/>
          <w:color w:val="auto"/>
          <w:kern w:val="0"/>
          <w:sz w:val="32"/>
          <w:szCs w:val="32"/>
          <w:highlight w:val="none"/>
        </w:rPr>
        <w:t>停止支付绩效的未支付部分，并</w:t>
      </w:r>
      <w:r>
        <w:rPr>
          <w:rFonts w:hint="eastAsia" w:ascii="方正仿宋_GBK" w:hAnsi="方正仿宋_GBK" w:eastAsia="方正仿宋_GBK" w:cs="方正仿宋_GBK"/>
          <w:color w:val="auto"/>
          <w:kern w:val="0"/>
          <w:sz w:val="32"/>
          <w:szCs w:val="32"/>
          <w:highlight w:val="none"/>
          <w:shd w:val="clear" w:color="auto" w:fill="FFFFFF"/>
        </w:rPr>
        <w:t>根据情形轻重，</w:t>
      </w:r>
      <w:r>
        <w:rPr>
          <w:rFonts w:hint="eastAsia" w:ascii="方正仿宋_GBK" w:hAnsi="方正仿宋_GBK" w:eastAsia="方正仿宋_GBK" w:cs="方正仿宋_GBK"/>
          <w:color w:val="auto"/>
          <w:kern w:val="0"/>
          <w:sz w:val="32"/>
          <w:szCs w:val="32"/>
          <w:highlight w:val="none"/>
        </w:rPr>
        <w:t>要求退还</w:t>
      </w:r>
      <w:r>
        <w:rPr>
          <w:rFonts w:hint="eastAsia" w:ascii="方正仿宋_GBK" w:hAnsi="方正仿宋_GBK" w:eastAsia="方正仿宋_GBK" w:cs="方正仿宋_GBK"/>
          <w:color w:val="auto"/>
          <w:kern w:val="0"/>
          <w:sz w:val="32"/>
          <w:szCs w:val="32"/>
          <w:highlight w:val="none"/>
          <w:shd w:val="clear" w:color="auto" w:fill="FFFFFF"/>
        </w:rPr>
        <w:t>部分直至全部</w:t>
      </w:r>
      <w:r>
        <w:rPr>
          <w:rFonts w:hint="eastAsia" w:ascii="方正仿宋_GBK" w:hAnsi="方正仿宋_GBK" w:eastAsia="方正仿宋_GBK" w:cs="方正仿宋_GBK"/>
          <w:color w:val="auto"/>
          <w:kern w:val="0"/>
          <w:sz w:val="32"/>
          <w:szCs w:val="32"/>
          <w:highlight w:val="none"/>
        </w:rPr>
        <w:t>专项绩效和</w:t>
      </w:r>
      <w:r>
        <w:rPr>
          <w:rFonts w:hint="eastAsia" w:ascii="方正仿宋_GBK" w:hAnsi="方正仿宋_GBK" w:eastAsia="方正仿宋_GBK" w:cs="方正仿宋_GBK"/>
          <w:color w:val="auto"/>
          <w:sz w:val="32"/>
          <w:szCs w:val="32"/>
          <w:highlight w:val="none"/>
        </w:rPr>
        <w:t>超额利润提成奖</w:t>
      </w:r>
      <w:r>
        <w:rPr>
          <w:rFonts w:hint="eastAsia" w:ascii="方正仿宋_GBK" w:hAnsi="方正仿宋_GBK" w:eastAsia="方正仿宋_GBK" w:cs="方正仿宋_GBK"/>
          <w:color w:val="auto"/>
          <w:kern w:val="0"/>
          <w:sz w:val="32"/>
          <w:szCs w:val="32"/>
          <w:highlight w:val="none"/>
          <w:shd w:val="clear" w:color="auto" w:fill="FFFFFF"/>
        </w:rPr>
        <w:t>。</w:t>
      </w:r>
    </w:p>
    <w:p>
      <w:pPr>
        <w:adjustRightInd w:val="0"/>
        <w:snapToGrid w:val="0"/>
        <w:spacing w:line="560" w:lineRule="exact"/>
        <w:ind w:firstLine="640" w:firstLineChars="200"/>
        <w:rPr>
          <w:rFonts w:ascii="方正楷体_GBK" w:hAnsi="方正仿宋_GBK" w:eastAsia="方正楷体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fldChar w:fldCharType="begin"/>
      </w:r>
      <w:r>
        <w:rPr>
          <w:rFonts w:hint="eastAsia" w:ascii="方正仿宋_GBK" w:hAnsi="方正仿宋_GBK" w:eastAsia="方正仿宋_GBK" w:cs="方正仿宋_GBK"/>
          <w:color w:val="auto"/>
          <w:sz w:val="32"/>
          <w:szCs w:val="32"/>
          <w:highlight w:val="none"/>
        </w:rPr>
        <w:instrText xml:space="preserve"> = 4 \* GB3 \* MERGEFORMAT </w:instrText>
      </w:r>
      <w:r>
        <w:rPr>
          <w:rFonts w:hint="eastAsia" w:ascii="方正仿宋_GBK" w:hAnsi="方正仿宋_GBK" w:eastAsia="方正仿宋_GBK" w:cs="方正仿宋_GBK"/>
          <w:color w:val="auto"/>
          <w:sz w:val="32"/>
          <w:szCs w:val="32"/>
          <w:highlight w:val="none"/>
        </w:rPr>
        <w:fldChar w:fldCharType="separate"/>
      </w:r>
      <w:r>
        <w:rPr>
          <w:rFonts w:hint="eastAsia" w:ascii="方正仿宋_GBK" w:hAnsi="方正仿宋_GBK" w:eastAsia="方正仿宋_GBK" w:cs="方正仿宋_GBK"/>
          <w:color w:val="auto"/>
          <w:sz w:val="32"/>
          <w:szCs w:val="32"/>
          <w:highlight w:val="none"/>
        </w:rPr>
        <w:t>④</w:t>
      </w:r>
      <w:r>
        <w:rPr>
          <w:rFonts w:hint="eastAsia" w:ascii="方正仿宋_GBK" w:hAnsi="方正仿宋_GBK" w:eastAsia="方正仿宋_GBK" w:cs="方正仿宋_GBK"/>
          <w:color w:val="auto"/>
          <w:sz w:val="32"/>
          <w:szCs w:val="32"/>
          <w:highlight w:val="none"/>
        </w:rPr>
        <w:fldChar w:fldCharType="end"/>
      </w:r>
      <w:r>
        <w:rPr>
          <w:rFonts w:hint="eastAsia" w:ascii="方正仿宋_GBK" w:hAnsi="方正仿宋_GBK" w:eastAsia="方正仿宋_GBK" w:cs="方正仿宋_GBK"/>
          <w:color w:val="auto"/>
          <w:sz w:val="32"/>
          <w:szCs w:val="32"/>
          <w:highlight w:val="none"/>
        </w:rPr>
        <w:t>揭榜人未遵守约定提前离职或者</w:t>
      </w:r>
      <w:r>
        <w:rPr>
          <w:rFonts w:hint="eastAsia" w:ascii="方正仿宋_GBK" w:hAnsi="方正仿宋_GBK" w:eastAsia="方正仿宋_GBK" w:cs="方正仿宋_GBK"/>
          <w:color w:val="auto"/>
          <w:kern w:val="0"/>
          <w:sz w:val="32"/>
          <w:szCs w:val="32"/>
          <w:highlight w:val="none"/>
        </w:rPr>
        <w:t>因考核不合格、不遵守约定、违纪违规等</w:t>
      </w:r>
      <w:r>
        <w:rPr>
          <w:rFonts w:hint="eastAsia" w:ascii="方正仿宋_GBK" w:hAnsi="方正仿宋_GBK" w:eastAsia="方正仿宋_GBK" w:cs="方正仿宋_GBK"/>
          <w:color w:val="auto"/>
          <w:sz w:val="32"/>
          <w:szCs w:val="32"/>
          <w:highlight w:val="none"/>
        </w:rPr>
        <w:t>被解聘、解除劳动合同的，不在继续参与超额利润奖兑现，以前年度递延支付部分，不再支付。</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六、退出措施</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（一）揭榜人聘用期满的，劳动关系和聘用关系自然终止。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（二）因健康原因或非个人过错导致无法正常履行工作职责的，经</w:t>
      </w:r>
      <w:r>
        <w:rPr>
          <w:rFonts w:hint="eastAsia" w:ascii="方正仿宋_GBK" w:hAnsi="方正仿宋_GBK" w:eastAsia="方正仿宋_GBK" w:cs="方正仿宋_GBK"/>
          <w:color w:val="auto"/>
          <w:kern w:val="0"/>
          <w:sz w:val="32"/>
          <w:szCs w:val="32"/>
          <w:highlight w:val="none"/>
          <w:lang w:val="en-US" w:eastAsia="zh-CN"/>
        </w:rPr>
        <w:t>检测</w:t>
      </w:r>
      <w:r>
        <w:rPr>
          <w:rFonts w:hint="eastAsia" w:ascii="方正仿宋_GBK" w:hAnsi="方正仿宋_GBK" w:eastAsia="方正仿宋_GBK" w:cs="方正仿宋_GBK"/>
          <w:color w:val="auto"/>
          <w:kern w:val="0"/>
          <w:sz w:val="32"/>
          <w:szCs w:val="32"/>
          <w:highlight w:val="none"/>
        </w:rPr>
        <w:t>公司与揭榜人双方协商一致，劳动关系和聘用关系可以解除。</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（三）任务期内，揭榜人出现以下情况之一的，可按照管理权限提前终止“揭榜挂帅”协议，不计发当年专项绩效年薪，并追究其相应责任。</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1.揭榜人连续两年经营业绩考核得分60分以下或未达到业绩底线要求的，且无可以确认的重大客观原因的，原则上不发放当期专项绩效；</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2.违反国家法律法规和规定，导致重大决策失误、重大质量责任事故、重大环境污染责任事故、重大违纪和法律纠纷案件、重大不稳定事件，给企业造成重大不良影响或造成重大资产损失的。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3.任务期内企业发展质量水平明显低于本板块或同类企业平均水平，揭榜人负有重要领导责任，且无可以确认的重大客观原因的；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4.任务期内，会计师事务所对企业年度财务报告出具保留意见、否定意见、无法表示意见等，非标准审计意见或其它对财务信息公允性产生重大影响的情况。</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5.在试用期内被证明不符合聘用条件的；</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6.本公司认定不适宜继续聘任的其他情形。</w:t>
      </w:r>
    </w:p>
    <w:p>
      <w:pPr>
        <w:adjustRightInd w:val="0"/>
        <w:snapToGrid w:val="0"/>
        <w:spacing w:line="560" w:lineRule="exact"/>
        <w:ind w:firstLine="640" w:firstLineChars="200"/>
        <w:rPr>
          <w:rFonts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（四）高速集团系统内的揭榜人，解除（终止）聘用关系后，经双方协商，可由</w:t>
      </w:r>
      <w:r>
        <w:rPr>
          <w:rFonts w:hint="eastAsia" w:ascii="方正仿宋_GBK" w:hAnsi="方正仿宋_GBK" w:eastAsia="方正仿宋_GBK" w:cs="方正仿宋_GBK"/>
          <w:color w:val="auto"/>
          <w:kern w:val="0"/>
          <w:sz w:val="32"/>
          <w:szCs w:val="32"/>
          <w:highlight w:val="none"/>
          <w:lang w:val="en-US" w:eastAsia="zh-CN"/>
        </w:rPr>
        <w:t>检测</w:t>
      </w:r>
      <w:r>
        <w:rPr>
          <w:rFonts w:hint="eastAsia" w:ascii="方正仿宋_GBK" w:hAnsi="方正仿宋_GBK" w:eastAsia="方正仿宋_GBK" w:cs="方正仿宋_GBK"/>
          <w:color w:val="auto"/>
          <w:kern w:val="0"/>
          <w:sz w:val="32"/>
          <w:szCs w:val="32"/>
          <w:highlight w:val="none"/>
        </w:rPr>
        <w:t>公司或原单位对其工作岗位重新进行适当安排。</w:t>
      </w:r>
    </w:p>
    <w:p>
      <w:pPr>
        <w:spacing w:line="560" w:lineRule="exact"/>
        <w:ind w:firstLine="643" w:firstLineChars="200"/>
        <w:rPr>
          <w:rFonts w:ascii="方正仿宋_GBK" w:hAnsi="方正仿宋_GBK" w:eastAsia="方正仿宋_GBK" w:cs="方正仿宋_GBK"/>
          <w:color w:val="auto"/>
          <w:sz w:val="32"/>
          <w:szCs w:val="32"/>
          <w:highlight w:val="none"/>
        </w:rPr>
      </w:pPr>
      <w:r>
        <w:rPr>
          <w:rFonts w:hint="eastAsia" w:ascii="方正黑体_GBK" w:hAnsi="方正楷体_GBK" w:eastAsia="方正黑体_GBK" w:cs="方正楷体_GBK"/>
          <w:b/>
          <w:bCs/>
          <w:color w:val="auto"/>
          <w:sz w:val="32"/>
          <w:szCs w:val="32"/>
          <w:highlight w:val="none"/>
        </w:rPr>
        <w:t>七、评选指标</w:t>
      </w:r>
    </w:p>
    <w:p>
      <w:pPr>
        <w:spacing w:line="56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揭榜人的评选指标包括竞标方案与竞标展示两大板块，综合考察揭榜人在该领域的综合管理水平与业务技术能力。由评审小组成员根据打分情况推选并确定最终揭榜人。评选指标及标准如下表2所示：</w:t>
      </w:r>
    </w:p>
    <w:p>
      <w:pPr>
        <w:spacing w:line="560" w:lineRule="exact"/>
        <w:ind w:firstLine="640" w:firstLineChars="200"/>
        <w:rPr>
          <w:rFonts w:hint="eastAsia" w:ascii="方正仿宋_GBK" w:hAnsi="方正仿宋_GBK" w:eastAsia="方正仿宋_GBK" w:cs="方正仿宋_GBK"/>
          <w:color w:val="auto"/>
          <w:sz w:val="32"/>
          <w:szCs w:val="32"/>
          <w:highlight w:val="none"/>
        </w:rPr>
      </w:pPr>
    </w:p>
    <w:tbl>
      <w:tblPr>
        <w:tblStyle w:val="6"/>
        <w:tblpPr w:leftFromText="180" w:rightFromText="180" w:vertAnchor="text" w:horzAnchor="page" w:tblpX="939" w:tblpYSpec="inside"/>
        <w:tblOverlap w:val="never"/>
        <w:tblW w:w="10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207"/>
        <w:gridCol w:w="1447"/>
        <w:gridCol w:w="784"/>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30" w:type="dxa"/>
            <w:gridSpan w:val="5"/>
            <w:shd w:val="clear" w:color="auto" w:fill="auto"/>
            <w:tcMar>
              <w:top w:w="0" w:type="dxa"/>
              <w:left w:w="51" w:type="dxa"/>
              <w:bottom w:w="0" w:type="dxa"/>
              <w:right w:w="51" w:type="dxa"/>
            </w:tcMar>
            <w:vAlign w:val="center"/>
          </w:tcPr>
          <w:p>
            <w:pPr>
              <w:spacing w:line="560" w:lineRule="exact"/>
              <w:jc w:val="center"/>
              <w:rPr>
                <w:rFonts w:ascii="宋体" w:hAnsi="宋体" w:cs="方正仿宋_GBK"/>
                <w:color w:val="auto"/>
                <w:sz w:val="24"/>
                <w:highlight w:val="none"/>
              </w:rPr>
            </w:pPr>
            <w:r>
              <w:rPr>
                <w:rFonts w:hint="eastAsia" w:ascii="宋体" w:hAnsi="宋体" w:cs="方正仿宋_GBK"/>
                <w:b/>
                <w:bCs/>
                <w:color w:val="auto"/>
                <w:sz w:val="28"/>
                <w:szCs w:val="28"/>
                <w:highlight w:val="none"/>
              </w:rPr>
              <w:t>表2 检测公司2023-2025年度经营管理揭榜评选指标及标准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0" w:type="dxa"/>
            <w:shd w:val="clear" w:color="auto" w:fill="auto"/>
            <w:tcMar>
              <w:top w:w="0" w:type="dxa"/>
              <w:left w:w="51" w:type="dxa"/>
              <w:bottom w:w="0" w:type="dxa"/>
              <w:right w:w="51" w:type="dxa"/>
            </w:tcMar>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指标</w:t>
            </w:r>
          </w:p>
        </w:tc>
        <w:tc>
          <w:tcPr>
            <w:tcW w:w="2654" w:type="dxa"/>
            <w:gridSpan w:val="2"/>
            <w:shd w:val="clear" w:color="auto" w:fill="auto"/>
            <w:tcMar>
              <w:top w:w="0" w:type="dxa"/>
              <w:left w:w="51" w:type="dxa"/>
              <w:bottom w:w="0" w:type="dxa"/>
              <w:right w:w="51" w:type="dxa"/>
            </w:tcMar>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评选指标项目及内容.</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分值</w:t>
            </w:r>
          </w:p>
        </w:tc>
        <w:tc>
          <w:tcPr>
            <w:tcW w:w="5722" w:type="dxa"/>
            <w:shd w:val="clear" w:color="auto" w:fill="auto"/>
            <w:tcMar>
              <w:top w:w="0" w:type="dxa"/>
              <w:left w:w="51" w:type="dxa"/>
              <w:bottom w:w="0" w:type="dxa"/>
              <w:right w:w="51" w:type="dxa"/>
            </w:tcMar>
            <w:vAlign w:val="center"/>
          </w:tcPr>
          <w:p>
            <w:pPr>
              <w:spacing w:line="400" w:lineRule="exact"/>
              <w:jc w:val="center"/>
              <w:rPr>
                <w:rFonts w:ascii="宋体" w:hAnsi="宋体"/>
                <w:b/>
                <w:bCs/>
                <w:color w:val="auto"/>
                <w:sz w:val="24"/>
                <w:highlight w:val="none"/>
              </w:rPr>
            </w:pPr>
            <w:r>
              <w:rPr>
                <w:rFonts w:hint="eastAsia" w:ascii="宋体" w:hAnsi="宋体"/>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70" w:type="dxa"/>
            <w:vMerge w:val="restart"/>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竞标</w:t>
            </w:r>
          </w:p>
          <w:p>
            <w:pPr>
              <w:spacing w:line="400" w:lineRule="exact"/>
              <w:jc w:val="center"/>
              <w:rPr>
                <w:rFonts w:ascii="宋体" w:hAnsi="宋体"/>
                <w:color w:val="auto"/>
                <w:sz w:val="24"/>
                <w:highlight w:val="none"/>
              </w:rPr>
            </w:pPr>
            <w:r>
              <w:rPr>
                <w:rFonts w:hint="eastAsia" w:ascii="宋体" w:hAnsi="宋体"/>
                <w:color w:val="auto"/>
                <w:sz w:val="24"/>
                <w:highlight w:val="none"/>
              </w:rPr>
              <w:t>方案</w:t>
            </w:r>
          </w:p>
          <w:p>
            <w:pPr>
              <w:spacing w:line="400" w:lineRule="exact"/>
              <w:jc w:val="center"/>
              <w:rPr>
                <w:rFonts w:ascii="宋体" w:hAnsi="宋体"/>
                <w:color w:val="auto"/>
                <w:sz w:val="24"/>
                <w:highlight w:val="none"/>
              </w:rPr>
            </w:pPr>
            <w:r>
              <w:rPr>
                <w:rFonts w:hint="eastAsia" w:ascii="宋体" w:hAnsi="宋体"/>
                <w:color w:val="auto"/>
                <w:sz w:val="24"/>
                <w:highlight w:val="none"/>
              </w:rPr>
              <w:t>（90分）</w:t>
            </w:r>
          </w:p>
        </w:tc>
        <w:tc>
          <w:tcPr>
            <w:tcW w:w="1207" w:type="dxa"/>
            <w:vMerge w:val="restart"/>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揭榜人</w:t>
            </w:r>
          </w:p>
          <w:p>
            <w:pPr>
              <w:spacing w:line="400" w:lineRule="exact"/>
              <w:jc w:val="center"/>
              <w:rPr>
                <w:rFonts w:ascii="宋体" w:hAnsi="宋体"/>
                <w:color w:val="auto"/>
                <w:sz w:val="24"/>
                <w:highlight w:val="none"/>
              </w:rPr>
            </w:pPr>
            <w:r>
              <w:rPr>
                <w:rFonts w:hint="eastAsia" w:ascii="宋体" w:hAnsi="宋体"/>
                <w:color w:val="auto"/>
                <w:sz w:val="24"/>
                <w:highlight w:val="none"/>
              </w:rPr>
              <w:t>资格</w:t>
            </w:r>
          </w:p>
          <w:p>
            <w:pPr>
              <w:spacing w:line="400" w:lineRule="exact"/>
              <w:jc w:val="center"/>
              <w:rPr>
                <w:rFonts w:ascii="宋体" w:hAnsi="宋体"/>
                <w:color w:val="auto"/>
                <w:sz w:val="24"/>
                <w:highlight w:val="none"/>
              </w:rPr>
            </w:pPr>
            <w:r>
              <w:rPr>
                <w:rFonts w:hint="eastAsia" w:ascii="宋体" w:hAnsi="宋体"/>
                <w:color w:val="auto"/>
                <w:sz w:val="24"/>
                <w:highlight w:val="none"/>
              </w:rPr>
              <w:t>（15分）</w:t>
            </w: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从业经历</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3</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具有公路工程试验检测企业管理或项目生产管理、试验检测技术管理或质量管理、交通行业的项目管理或市场管理等相关工作经历5年及以上得3分，不足3年同比例扣减。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执业资格</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2</w:t>
            </w:r>
          </w:p>
        </w:tc>
        <w:tc>
          <w:tcPr>
            <w:tcW w:w="5722" w:type="dxa"/>
            <w:shd w:val="clear" w:color="auto" w:fill="auto"/>
            <w:tcMar>
              <w:top w:w="0" w:type="dxa"/>
              <w:left w:w="51" w:type="dxa"/>
              <w:bottom w:w="0" w:type="dxa"/>
              <w:right w:w="51" w:type="dxa"/>
            </w:tcMar>
            <w:vAlign w:val="center"/>
          </w:tcPr>
          <w:p>
            <w:pPr>
              <w:numPr>
                <w:ilvl w:val="0"/>
                <w:numId w:val="2"/>
              </w:numPr>
              <w:spacing w:line="400" w:lineRule="exact"/>
              <w:rPr>
                <w:rFonts w:ascii="宋体" w:hAnsi="宋体"/>
                <w:color w:val="auto"/>
                <w:sz w:val="24"/>
                <w:highlight w:val="none"/>
              </w:rPr>
            </w:pPr>
            <w:r>
              <w:rPr>
                <w:rFonts w:hint="eastAsia" w:ascii="宋体" w:hAnsi="宋体"/>
                <w:color w:val="auto"/>
                <w:sz w:val="24"/>
                <w:highlight w:val="none"/>
              </w:rPr>
              <w:t>具有试验检测师执业资格得1分，助理试验检测师执业资格得0.5分</w:t>
            </w:r>
          </w:p>
          <w:p>
            <w:pPr>
              <w:numPr>
                <w:ilvl w:val="0"/>
                <w:numId w:val="2"/>
              </w:numPr>
              <w:spacing w:line="400" w:lineRule="exact"/>
              <w:rPr>
                <w:rFonts w:ascii="宋体" w:hAnsi="宋体"/>
                <w:color w:val="auto"/>
                <w:sz w:val="24"/>
                <w:highlight w:val="none"/>
              </w:rPr>
            </w:pPr>
            <w:r>
              <w:rPr>
                <w:rFonts w:hint="eastAsia" w:ascii="宋体" w:hAnsi="宋体"/>
                <w:color w:val="auto"/>
                <w:sz w:val="24"/>
                <w:highlight w:val="none"/>
              </w:rPr>
              <w:t>具有高级及以上职称得1分，具有中级职称得0.5分；</w:t>
            </w:r>
          </w:p>
          <w:p>
            <w:pPr>
              <w:numPr>
                <w:ilvl w:val="255"/>
                <w:numId w:val="0"/>
              </w:numPr>
              <w:spacing w:line="400" w:lineRule="exact"/>
              <w:rPr>
                <w:rFonts w:ascii="宋体" w:hAnsi="宋体"/>
                <w:color w:val="auto"/>
                <w:sz w:val="24"/>
                <w:highlight w:val="none"/>
              </w:rPr>
            </w:pPr>
            <w:r>
              <w:rPr>
                <w:rFonts w:hint="eastAsia" w:ascii="宋体" w:hAnsi="宋体"/>
                <w:color w:val="auto"/>
                <w:sz w:val="24"/>
                <w:highlight w:val="none"/>
              </w:rPr>
              <w:t>3.不具备相应执业资格及职称的，该项不得分。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试验检测领域业务熟悉度</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1.熟悉该业务基本情况，分析透彻、全面，得8-10分。</w:t>
            </w:r>
          </w:p>
          <w:p>
            <w:pPr>
              <w:spacing w:line="400" w:lineRule="exact"/>
              <w:rPr>
                <w:rFonts w:ascii="宋体" w:hAnsi="宋体"/>
                <w:color w:val="auto"/>
                <w:sz w:val="24"/>
                <w:highlight w:val="none"/>
              </w:rPr>
            </w:pPr>
            <w:r>
              <w:rPr>
                <w:rFonts w:hint="eastAsia" w:ascii="宋体" w:hAnsi="宋体"/>
                <w:color w:val="auto"/>
                <w:sz w:val="24"/>
                <w:highlight w:val="none"/>
              </w:rPr>
              <w:t>2.基本了解该业务情况，分析条理清晰得5-7分。</w:t>
            </w:r>
          </w:p>
          <w:p>
            <w:pPr>
              <w:spacing w:line="400" w:lineRule="exact"/>
              <w:rPr>
                <w:rFonts w:ascii="宋体" w:hAnsi="宋体"/>
                <w:color w:val="auto"/>
                <w:sz w:val="24"/>
                <w:highlight w:val="none"/>
              </w:rPr>
            </w:pPr>
            <w:r>
              <w:rPr>
                <w:rFonts w:hint="eastAsia" w:ascii="宋体" w:hAnsi="宋体"/>
                <w:color w:val="auto"/>
                <w:sz w:val="24"/>
                <w:highlight w:val="none"/>
              </w:rPr>
              <w:t>3.对该业务不太了解，分析不太清晰得1-4分。</w:t>
            </w:r>
          </w:p>
          <w:p>
            <w:pPr>
              <w:spacing w:line="400" w:lineRule="exact"/>
              <w:rPr>
                <w:rFonts w:ascii="宋体" w:hAnsi="宋体"/>
                <w:color w:val="auto"/>
                <w:sz w:val="24"/>
                <w:highlight w:val="none"/>
              </w:rPr>
            </w:pPr>
            <w:r>
              <w:rPr>
                <w:rFonts w:hint="eastAsia" w:ascii="宋体" w:hAnsi="宋体"/>
                <w:color w:val="auto"/>
                <w:sz w:val="24"/>
                <w:highlight w:val="none"/>
              </w:rPr>
              <w:t>4.对该业务不了解，分析不清晰不得分。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restart"/>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经营指标</w:t>
            </w:r>
          </w:p>
          <w:p>
            <w:pPr>
              <w:spacing w:line="400" w:lineRule="exact"/>
              <w:jc w:val="center"/>
              <w:rPr>
                <w:rFonts w:ascii="宋体" w:hAnsi="宋体"/>
                <w:color w:val="auto"/>
                <w:sz w:val="24"/>
                <w:highlight w:val="none"/>
              </w:rPr>
            </w:pPr>
            <w:r>
              <w:rPr>
                <w:rFonts w:hint="eastAsia" w:ascii="宋体" w:hAnsi="宋体"/>
                <w:color w:val="auto"/>
                <w:sz w:val="24"/>
                <w:highlight w:val="none"/>
              </w:rPr>
              <w:t>（75分）</w:t>
            </w: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净利润总额</w:t>
            </w:r>
          </w:p>
          <w:p>
            <w:pPr>
              <w:spacing w:line="400" w:lineRule="exact"/>
              <w:jc w:val="center"/>
              <w:rPr>
                <w:rFonts w:ascii="宋体" w:hAnsi="宋体"/>
                <w:color w:val="auto"/>
                <w:sz w:val="24"/>
                <w:highlight w:val="none"/>
              </w:rPr>
            </w:pPr>
            <w:r>
              <w:rPr>
                <w:rFonts w:hint="eastAsia" w:ascii="宋体" w:hAnsi="宋体"/>
                <w:color w:val="auto"/>
                <w:sz w:val="24"/>
                <w:highlight w:val="none"/>
              </w:rPr>
              <w:t>指标</w:t>
            </w:r>
          </w:p>
          <w:p>
            <w:pPr>
              <w:spacing w:line="400" w:lineRule="exact"/>
              <w:jc w:val="center"/>
              <w:rPr>
                <w:rFonts w:ascii="宋体" w:hAnsi="宋体"/>
                <w:color w:val="auto"/>
                <w:sz w:val="24"/>
                <w:highlight w:val="none"/>
              </w:rPr>
            </w:pPr>
            <w:r>
              <w:rPr>
                <w:rFonts w:hint="eastAsia" w:ascii="宋体" w:hAnsi="宋体"/>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30</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根据揭榜人</w:t>
            </w:r>
            <w:r>
              <w:rPr>
                <w:rFonts w:hint="eastAsia" w:ascii="宋体" w:hAnsi="宋体"/>
                <w:color w:val="auto"/>
                <w:kern w:val="0"/>
                <w:sz w:val="24"/>
                <w:highlight w:val="none"/>
              </w:rPr>
              <w:t>竞榜净利润总额评分，竞榜的净利润总额不得低于三年累计目标任务，即三年经营期内净利润总额不低于</w:t>
            </w:r>
            <w:r>
              <w:rPr>
                <w:rFonts w:hint="eastAsia" w:ascii="宋体" w:hAnsi="宋体"/>
                <w:color w:val="auto"/>
                <w:sz w:val="24"/>
                <w:highlight w:val="none"/>
              </w:rPr>
              <w:t>2940</w:t>
            </w:r>
            <w:r>
              <w:rPr>
                <w:rFonts w:hint="eastAsia" w:ascii="宋体" w:hAnsi="宋体"/>
                <w:color w:val="auto"/>
                <w:kern w:val="0"/>
                <w:sz w:val="24"/>
                <w:highlight w:val="none"/>
              </w:rPr>
              <w:t>万元。竞榜的净利润总额低于目标值，此项不得分。竞榜的净利润总额为</w:t>
            </w:r>
            <w:r>
              <w:rPr>
                <w:rFonts w:hint="eastAsia" w:ascii="宋体" w:hAnsi="宋体"/>
                <w:color w:val="auto"/>
                <w:sz w:val="24"/>
                <w:highlight w:val="none"/>
              </w:rPr>
              <w:t>2940</w:t>
            </w:r>
            <w:r>
              <w:rPr>
                <w:rFonts w:hint="eastAsia" w:ascii="宋体" w:hAnsi="宋体"/>
                <w:color w:val="auto"/>
                <w:kern w:val="0"/>
                <w:sz w:val="24"/>
                <w:highlight w:val="none"/>
              </w:rPr>
              <w:t>万元，此项得分30分。高于目标值，每增加10万元加0.1分，</w:t>
            </w:r>
            <w:r>
              <w:rPr>
                <w:rFonts w:hint="eastAsia" w:ascii="宋体" w:hAnsi="宋体"/>
                <w:color w:val="auto"/>
                <w:sz w:val="24"/>
                <w:highlight w:val="none"/>
              </w:rPr>
              <w:t>加分不设上限</w:t>
            </w:r>
            <w:r>
              <w:rPr>
                <w:rFonts w:hint="eastAsia" w:ascii="宋体" w:hAnsi="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营收指标</w:t>
            </w:r>
          </w:p>
          <w:p>
            <w:pPr>
              <w:spacing w:line="400" w:lineRule="exact"/>
              <w:jc w:val="center"/>
              <w:rPr>
                <w:rFonts w:ascii="宋体" w:hAnsi="宋体"/>
                <w:color w:val="auto"/>
                <w:sz w:val="24"/>
                <w:highlight w:val="none"/>
              </w:rPr>
            </w:pPr>
            <w:r>
              <w:rPr>
                <w:rFonts w:hint="eastAsia" w:ascii="宋体" w:hAnsi="宋体"/>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根据揭榜人三年总营收竞榜值评分，竞榜值低于目标值该项不得分。竞榜值高于三年总营收目标23000万元，每增加100万，增加0.1分，加分不设上限。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市场化开拓指标</w:t>
            </w:r>
          </w:p>
          <w:p>
            <w:pPr>
              <w:spacing w:line="400" w:lineRule="exact"/>
              <w:jc w:val="center"/>
              <w:rPr>
                <w:rFonts w:ascii="宋体" w:hAnsi="宋体"/>
                <w:color w:val="auto"/>
                <w:sz w:val="24"/>
                <w:highlight w:val="none"/>
              </w:rPr>
            </w:pPr>
            <w:r>
              <w:rPr>
                <w:rFonts w:hint="eastAsia" w:ascii="宋体" w:hAnsi="宋体"/>
                <w:color w:val="auto"/>
                <w:sz w:val="24"/>
                <w:highlight w:val="none"/>
              </w:rPr>
              <w:t>（万元）</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15</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根据揭榜人三年总营收中市场化营收的竞榜值评分，年度竞榜值均不得低于年度目标值，低于目标值该项不得分。竞榜值高于三年市场化营收总目标值2910万元，每增加100万，增加0.2分，加分不设上限。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团队组建方案</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5</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 xml:space="preserve">1.设置合理，人员配备精简高效，得5分     </w:t>
            </w:r>
          </w:p>
          <w:p>
            <w:pPr>
              <w:spacing w:line="400" w:lineRule="exact"/>
              <w:rPr>
                <w:rFonts w:ascii="宋体" w:hAnsi="宋体"/>
                <w:color w:val="auto"/>
                <w:sz w:val="24"/>
                <w:highlight w:val="none"/>
              </w:rPr>
            </w:pPr>
            <w:r>
              <w:rPr>
                <w:rFonts w:hint="eastAsia" w:ascii="宋体" w:hAnsi="宋体"/>
                <w:color w:val="auto"/>
                <w:sz w:val="24"/>
                <w:highlight w:val="none"/>
              </w:rPr>
              <w:t>2.设置基本合理，人员配备清晰，得3分。</w:t>
            </w:r>
          </w:p>
          <w:p>
            <w:pPr>
              <w:spacing w:line="400" w:lineRule="exact"/>
              <w:rPr>
                <w:rFonts w:ascii="宋体" w:hAnsi="宋体"/>
                <w:color w:val="auto"/>
                <w:sz w:val="24"/>
                <w:highlight w:val="none"/>
              </w:rPr>
            </w:pPr>
            <w:r>
              <w:rPr>
                <w:rFonts w:hint="eastAsia" w:ascii="宋体" w:hAnsi="宋体"/>
                <w:color w:val="auto"/>
                <w:sz w:val="24"/>
                <w:highlight w:val="none"/>
              </w:rPr>
              <w:t>3.设置不够合理，人员配备分工不太清晰，得2分及以下。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1070"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207" w:type="dxa"/>
            <w:vMerge w:val="continue"/>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p>
        </w:tc>
        <w:tc>
          <w:tcPr>
            <w:tcW w:w="1447"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管理思路及保障措施</w:t>
            </w:r>
          </w:p>
        </w:tc>
        <w:tc>
          <w:tcPr>
            <w:tcW w:w="784"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10</w:t>
            </w:r>
          </w:p>
        </w:tc>
        <w:tc>
          <w:tcPr>
            <w:tcW w:w="5722" w:type="dxa"/>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1.管理思路清晰、保障措施有力、资源丰富得8-10分。</w:t>
            </w:r>
          </w:p>
          <w:p>
            <w:pPr>
              <w:spacing w:line="400" w:lineRule="exact"/>
              <w:rPr>
                <w:rFonts w:ascii="宋体" w:hAnsi="宋体"/>
                <w:color w:val="auto"/>
                <w:sz w:val="24"/>
                <w:highlight w:val="none"/>
              </w:rPr>
            </w:pPr>
            <w:r>
              <w:rPr>
                <w:rFonts w:hint="eastAsia" w:ascii="宋体" w:hAnsi="宋体"/>
                <w:color w:val="auto"/>
                <w:sz w:val="24"/>
                <w:highlight w:val="none"/>
              </w:rPr>
              <w:t>2.有一定的管理思路及与之相匹配的保障措施、资源，得6-8分。</w:t>
            </w:r>
          </w:p>
          <w:p>
            <w:pPr>
              <w:spacing w:line="400" w:lineRule="exact"/>
              <w:rPr>
                <w:rFonts w:ascii="宋体" w:hAnsi="宋体"/>
                <w:color w:val="auto"/>
                <w:sz w:val="24"/>
                <w:highlight w:val="none"/>
              </w:rPr>
            </w:pPr>
            <w:r>
              <w:rPr>
                <w:rFonts w:hint="eastAsia" w:ascii="宋体" w:hAnsi="宋体"/>
                <w:color w:val="auto"/>
                <w:sz w:val="24"/>
                <w:highlight w:val="none"/>
              </w:rPr>
              <w:t>3.管理思路不太清晰，保障措施较差，资源较缺乏，得3-4分。</w:t>
            </w:r>
          </w:p>
          <w:p>
            <w:pPr>
              <w:spacing w:line="400" w:lineRule="exact"/>
              <w:rPr>
                <w:rFonts w:ascii="宋体" w:hAnsi="宋体"/>
                <w:color w:val="auto"/>
                <w:sz w:val="24"/>
                <w:highlight w:val="none"/>
              </w:rPr>
            </w:pPr>
            <w:r>
              <w:rPr>
                <w:rFonts w:hint="eastAsia" w:ascii="宋体" w:hAnsi="宋体"/>
                <w:color w:val="auto"/>
                <w:sz w:val="24"/>
                <w:highlight w:val="none"/>
              </w:rPr>
              <w:t>5.管理思路不清晰，保障措施可行性低，无资源。得1-2分。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70" w:type="dxa"/>
            <w:shd w:val="clear" w:color="auto" w:fill="auto"/>
            <w:tcMar>
              <w:top w:w="0" w:type="dxa"/>
              <w:left w:w="51" w:type="dxa"/>
              <w:bottom w:w="0" w:type="dxa"/>
              <w:right w:w="51" w:type="dxa"/>
            </w:tcMar>
            <w:vAlign w:val="center"/>
          </w:tcPr>
          <w:p>
            <w:pPr>
              <w:spacing w:line="400" w:lineRule="exact"/>
              <w:jc w:val="center"/>
              <w:rPr>
                <w:rFonts w:ascii="宋体" w:hAnsi="宋体"/>
                <w:color w:val="auto"/>
                <w:sz w:val="24"/>
                <w:highlight w:val="none"/>
              </w:rPr>
            </w:pPr>
            <w:r>
              <w:rPr>
                <w:rFonts w:hint="eastAsia" w:ascii="宋体" w:hAnsi="宋体"/>
                <w:color w:val="auto"/>
                <w:sz w:val="24"/>
                <w:highlight w:val="none"/>
              </w:rPr>
              <w:t>竞标</w:t>
            </w:r>
          </w:p>
          <w:p>
            <w:pPr>
              <w:spacing w:line="400" w:lineRule="exact"/>
              <w:jc w:val="center"/>
              <w:rPr>
                <w:rFonts w:ascii="宋体" w:hAnsi="宋体"/>
                <w:color w:val="auto"/>
                <w:sz w:val="24"/>
                <w:highlight w:val="none"/>
              </w:rPr>
            </w:pPr>
            <w:r>
              <w:rPr>
                <w:rFonts w:hint="eastAsia" w:ascii="宋体" w:hAnsi="宋体"/>
                <w:color w:val="auto"/>
                <w:sz w:val="24"/>
                <w:highlight w:val="none"/>
              </w:rPr>
              <w:t>展示</w:t>
            </w:r>
          </w:p>
          <w:p>
            <w:pPr>
              <w:spacing w:line="400" w:lineRule="exact"/>
              <w:jc w:val="center"/>
              <w:rPr>
                <w:rFonts w:ascii="宋体" w:hAnsi="宋体"/>
                <w:color w:val="auto"/>
                <w:sz w:val="24"/>
                <w:highlight w:val="none"/>
              </w:rPr>
            </w:pPr>
            <w:r>
              <w:rPr>
                <w:rFonts w:hint="eastAsia" w:ascii="宋体" w:hAnsi="宋体"/>
                <w:color w:val="auto"/>
                <w:sz w:val="24"/>
                <w:highlight w:val="none"/>
              </w:rPr>
              <w:t>（10分）</w:t>
            </w:r>
          </w:p>
        </w:tc>
        <w:tc>
          <w:tcPr>
            <w:tcW w:w="9160" w:type="dxa"/>
            <w:gridSpan w:val="4"/>
            <w:shd w:val="clear" w:color="auto" w:fill="auto"/>
            <w:tcMar>
              <w:top w:w="0" w:type="dxa"/>
              <w:left w:w="51" w:type="dxa"/>
              <w:bottom w:w="0" w:type="dxa"/>
              <w:right w:w="51" w:type="dxa"/>
            </w:tcMar>
            <w:vAlign w:val="center"/>
          </w:tcPr>
          <w:p>
            <w:pPr>
              <w:spacing w:line="400" w:lineRule="exact"/>
              <w:rPr>
                <w:rFonts w:ascii="宋体" w:hAnsi="宋体"/>
                <w:color w:val="auto"/>
                <w:sz w:val="24"/>
                <w:highlight w:val="none"/>
              </w:rPr>
            </w:pPr>
            <w:r>
              <w:rPr>
                <w:rFonts w:hint="eastAsia" w:ascii="宋体" w:hAnsi="宋体"/>
                <w:color w:val="auto"/>
                <w:sz w:val="24"/>
                <w:highlight w:val="none"/>
              </w:rPr>
              <w:t>根据竞标展示情况由评审小组成员综合评分。主要考核维度包括语言表达、逻辑能力、专业知识水平与现场应变。</w:t>
            </w:r>
          </w:p>
        </w:tc>
      </w:tr>
    </w:tbl>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七、申报材料要求</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提交竞标方案，内容包含：①揭榜人资格、从业经历等证明材料；②管理方案：人员的配置、分工及职责、管理思路和目标计划、个人优势、可能存在的问题及措施建议等（不仅限以上内容，可根据自身情况增加方案内容）。资料按一式三份准备，全部装入牛皮档案袋后密封，并于封面上粘贴《检测公司2023-2025年度经营管理竞标方案资料目录》封面页（详见附件1）。</w:t>
      </w:r>
    </w:p>
    <w:p>
      <w:pPr>
        <w:spacing w:line="560" w:lineRule="exact"/>
        <w:ind w:firstLine="640" w:firstLineChars="200"/>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color w:val="auto"/>
          <w:sz w:val="32"/>
          <w:szCs w:val="32"/>
          <w:highlight w:val="none"/>
        </w:rPr>
        <w:t>（二）材料报送时间：202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rPr>
        <w:t>日，将竞标方案报送</w:t>
      </w:r>
      <w:r>
        <w:rPr>
          <w:rFonts w:hint="eastAsia" w:ascii="方正仿宋_GBK" w:hAnsi="方正仿宋_GBK" w:eastAsia="方正仿宋_GBK" w:cs="方正仿宋_GBK"/>
          <w:color w:val="auto"/>
          <w:sz w:val="32"/>
          <w:szCs w:val="32"/>
          <w:highlight w:val="none"/>
          <w:lang w:val="en-US" w:eastAsia="zh-CN"/>
        </w:rPr>
        <w:t>通力公司</w:t>
      </w:r>
      <w:r>
        <w:rPr>
          <w:rFonts w:hint="eastAsia" w:ascii="方正仿宋_GBK" w:hAnsi="方正仿宋_GBK" w:eastAsia="方正仿宋_GBK" w:cs="方正仿宋_GBK"/>
          <w:color w:val="auto"/>
          <w:sz w:val="32"/>
          <w:szCs w:val="32"/>
          <w:highlight w:val="none"/>
        </w:rPr>
        <w:t>党群人力部，联系人：</w:t>
      </w:r>
      <w:r>
        <w:rPr>
          <w:rFonts w:hint="eastAsia" w:ascii="方正仿宋_GBK" w:hAnsi="方正仿宋_GBK" w:eastAsia="方正仿宋_GBK" w:cs="方正仿宋_GBK"/>
          <w:color w:val="auto"/>
          <w:sz w:val="32"/>
          <w:szCs w:val="32"/>
          <w:highlight w:val="none"/>
          <w:lang w:val="en-US" w:eastAsia="zh-CN"/>
        </w:rPr>
        <w:t>莫丽威</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杨艺</w:t>
      </w:r>
      <w:r>
        <w:rPr>
          <w:rFonts w:hint="eastAsia" w:ascii="方正仿宋_GBK" w:hAnsi="方正仿宋_GBK" w:eastAsia="方正仿宋_GBK" w:cs="方正仿宋_GBK"/>
          <w:color w:val="auto"/>
          <w:sz w:val="32"/>
          <w:szCs w:val="32"/>
          <w:highlight w:val="none"/>
        </w:rPr>
        <w:t>，联系电话：89187997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13594628226、13668067155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联系</w:t>
      </w:r>
      <w:r>
        <w:rPr>
          <w:rFonts w:hint="eastAsia" w:ascii="方正仿宋_GBK" w:hAnsi="方正仿宋_GBK" w:eastAsia="方正仿宋_GBK" w:cs="方正仿宋_GBK"/>
          <w:color w:val="auto"/>
          <w:sz w:val="32"/>
          <w:szCs w:val="32"/>
          <w:highlight w:val="none"/>
          <w:lang w:val="en-US" w:eastAsia="zh-CN"/>
        </w:rPr>
        <w:t>地址：重庆市沙坪坝区梨高路4号。</w:t>
      </w:r>
    </w:p>
    <w:p>
      <w:pPr>
        <w:spacing w:line="560" w:lineRule="exact"/>
        <w:ind w:firstLine="643" w:firstLineChars="200"/>
        <w:rPr>
          <w:rFonts w:ascii="方正黑体_GBK" w:hAnsi="方正楷体_GBK" w:eastAsia="方正黑体_GBK" w:cs="方正楷体_GBK"/>
          <w:b/>
          <w:bCs/>
          <w:color w:val="auto"/>
          <w:sz w:val="32"/>
          <w:szCs w:val="32"/>
          <w:highlight w:val="none"/>
        </w:rPr>
      </w:pPr>
      <w:r>
        <w:rPr>
          <w:rFonts w:hint="eastAsia" w:ascii="方正黑体_GBK" w:hAnsi="方正楷体_GBK" w:eastAsia="方正黑体_GBK" w:cs="方正楷体_GBK"/>
          <w:b/>
          <w:bCs/>
          <w:color w:val="auto"/>
          <w:sz w:val="32"/>
          <w:szCs w:val="32"/>
          <w:highlight w:val="none"/>
        </w:rPr>
        <w:t>九、揭榜流程</w:t>
      </w:r>
    </w:p>
    <w:p>
      <w:pPr>
        <w:spacing w:line="56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（一）揭榜报名。202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日前，填写《揭榜意向</w:t>
      </w:r>
      <w:bookmarkStart w:id="1" w:name="_GoBack"/>
      <w:bookmarkEnd w:id="1"/>
      <w:r>
        <w:rPr>
          <w:rFonts w:hint="eastAsia" w:ascii="方正仿宋_GBK" w:hAnsi="方正仿宋_GBK" w:eastAsia="方正仿宋_GBK" w:cs="方正仿宋_GBK"/>
          <w:color w:val="auto"/>
          <w:sz w:val="32"/>
          <w:szCs w:val="32"/>
          <w:highlight w:val="none"/>
        </w:rPr>
        <w:t>表》（详见附件2）发至通力公司党群人力部</w:t>
      </w:r>
      <w:r>
        <w:rPr>
          <w:rFonts w:hint="eastAsia" w:ascii="方正仿宋_GBK" w:hAnsi="方正仿宋_GBK" w:eastAsia="方正仿宋_GBK" w:cs="方正仿宋_GBK"/>
          <w:color w:val="auto"/>
          <w:sz w:val="32"/>
          <w:szCs w:val="32"/>
          <w:highlight w:val="none"/>
          <w:lang w:val="en-US" w:eastAsia="zh-CN"/>
        </w:rPr>
        <w:t>莫丽威</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杨艺</w:t>
      </w:r>
      <w:r>
        <w:rPr>
          <w:rFonts w:hint="eastAsia" w:ascii="方正仿宋_GBK" w:hAnsi="方正仿宋_GBK" w:eastAsia="方正仿宋_GBK" w:cs="方正仿宋_GBK"/>
          <w:color w:val="auto"/>
          <w:sz w:val="32"/>
          <w:szCs w:val="32"/>
          <w:highlight w:val="none"/>
        </w:rPr>
        <w:t>协同办公网址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或发送至QQ邮箱727789089@qq.com。</w:t>
      </w:r>
    </w:p>
    <w:p>
      <w:pPr>
        <w:adjustRightInd w:val="0"/>
        <w:snapToGrid w:val="0"/>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（二）组织评审。由相关专家、集团相关领导及对口部门负责人、公司“揭榜挂帅”领导小组组成评审小组，对报名人的情况进行评审，择优确定揭榜人。</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（三）揭榜签约。通力公司与揭榜人进行磋商交流，对本榜单任务中未尽事宜双方签订协议予以明确，开始任务攻关。</w:t>
      </w:r>
    </w:p>
    <w:p>
      <w:pPr>
        <w:spacing w:line="560" w:lineRule="exact"/>
        <w:ind w:firstLine="640" w:firstLineChars="2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附件1、《检测公司2023-2025年度经营管理竞标方案资料目录》</w:t>
      </w:r>
    </w:p>
    <w:p>
      <w:pPr>
        <w:numPr>
          <w:ilvl w:val="0"/>
          <w:numId w:val="3"/>
        </w:num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《揭榜意向表》</w:t>
      </w:r>
    </w:p>
    <w:p>
      <w:pPr>
        <w:numPr>
          <w:ilvl w:val="0"/>
          <w:numId w:val="3"/>
        </w:num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《______年度经营业绩考核指标》</w:t>
      </w:r>
    </w:p>
    <w:p>
      <w:pPr>
        <w:spacing w:line="560" w:lineRule="exact"/>
        <w:ind w:firstLine="1280" w:firstLineChars="4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4、《2023-2025年经营期目标考核指标》</w:t>
      </w:r>
    </w:p>
    <w:p>
      <w:pPr>
        <w:spacing w:line="560" w:lineRule="exact"/>
        <w:ind w:firstLine="2880" w:firstLineChars="900"/>
        <w:rPr>
          <w:rFonts w:ascii="方正仿宋_GBK" w:hAnsi="方正仿宋_GBK" w:eastAsia="方正仿宋_GBK" w:cs="方正仿宋_GBK"/>
          <w:color w:val="auto"/>
          <w:sz w:val="32"/>
          <w:szCs w:val="32"/>
          <w:highlight w:val="none"/>
        </w:rPr>
      </w:pPr>
    </w:p>
    <w:p>
      <w:pPr>
        <w:spacing w:line="560" w:lineRule="exact"/>
        <w:jc w:val="righ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重庆通力高速公路养护工程有限公司</w:t>
      </w:r>
    </w:p>
    <w:p>
      <w:pPr>
        <w:spacing w:line="560" w:lineRule="exact"/>
        <w:ind w:firstLine="5120" w:firstLineChars="1600"/>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w:t>
      </w:r>
    </w:p>
    <w:p>
      <w:pPr>
        <w:pStyle w:val="3"/>
        <w:autoSpaceDN w:val="0"/>
        <w:spacing w:line="560" w:lineRule="exact"/>
        <w:rPr>
          <w:rFonts w:ascii="方正仿宋_GBK" w:hAnsi="方正仿宋_GBK" w:eastAsia="方正仿宋_GBK" w:cs="方正仿宋_GBK"/>
          <w:color w:val="auto"/>
          <w:sz w:val="32"/>
          <w:szCs w:val="32"/>
          <w:highlight w:val="none"/>
        </w:rPr>
        <w:sectPr>
          <w:footerReference r:id="rId3" w:type="default"/>
          <w:pgSz w:w="11906" w:h="16838"/>
          <w:pgMar w:top="1417" w:right="1701" w:bottom="1417" w:left="1701" w:header="851" w:footer="992" w:gutter="0"/>
          <w:cols w:space="0" w:num="1"/>
          <w:docGrid w:type="lines" w:linePitch="321" w:charSpace="0"/>
        </w:sectPr>
      </w:pPr>
    </w:p>
    <w:p>
      <w:pPr>
        <w:pStyle w:val="3"/>
        <w:autoSpaceDN w:val="0"/>
        <w:spacing w:line="560" w:lineRule="exac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附件1：</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检测公司2023-2025年度经营管理</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竞标方案资料目录</w:t>
      </w:r>
    </w:p>
    <w:p>
      <w:pPr>
        <w:pStyle w:val="3"/>
        <w:autoSpaceDN w:val="0"/>
        <w:spacing w:line="560" w:lineRule="exact"/>
        <w:rPr>
          <w:rFonts w:ascii="方正仿宋_GBK" w:hAnsi="Times New Roman" w:eastAsia="方正仿宋_GBK"/>
          <w:color w:val="auto"/>
          <w:sz w:val="32"/>
          <w:szCs w:val="32"/>
          <w:highlight w:val="none"/>
        </w:rPr>
      </w:pPr>
    </w:p>
    <w:tbl>
      <w:tblPr>
        <w:tblStyle w:val="6"/>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92"/>
        <w:gridCol w:w="2100"/>
        <w:gridCol w:w="188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8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揭榜人姓名</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c>
          <w:tcPr>
            <w:tcW w:w="18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身份证号码</w:t>
            </w:r>
          </w:p>
        </w:tc>
        <w:tc>
          <w:tcPr>
            <w:tcW w:w="307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88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单位及职务</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c>
          <w:tcPr>
            <w:tcW w:w="18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联系电话</w:t>
            </w:r>
          </w:p>
        </w:tc>
        <w:tc>
          <w:tcPr>
            <w:tcW w:w="3070" w:type="dxa"/>
            <w:gridSpan w:val="2"/>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38" w:type="dxa"/>
            <w:gridSpan w:val="6"/>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ind w:firstLine="3520" w:firstLineChars="1100"/>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竞标材料目录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1</w:t>
            </w:r>
          </w:p>
        </w:tc>
        <w:tc>
          <w:tcPr>
            <w:tcW w:w="6700" w:type="dxa"/>
            <w:gridSpan w:val="4"/>
            <w:tcBorders>
              <w:top w:val="single" w:color="auto" w:sz="4" w:space="0"/>
              <w:left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w:t>
            </w:r>
            <w:r>
              <w:rPr>
                <w:rFonts w:hint="eastAsia" w:ascii="方正仿宋_GBK" w:hAnsi="方正仿宋_GBK" w:eastAsia="方正仿宋_GBK" w:cs="方正仿宋_GBK"/>
                <w:color w:val="auto"/>
                <w:sz w:val="32"/>
                <w:szCs w:val="32"/>
                <w:highlight w:val="none"/>
              </w:rPr>
              <w:t>检测公司2023-2025年度经营管理竞标方案</w:t>
            </w:r>
            <w:r>
              <w:rPr>
                <w:rFonts w:hint="eastAsia" w:ascii="方正仿宋_GBK" w:hAnsi="Times New Roman" w:eastAsia="方正仿宋_GBK"/>
                <w:color w:val="auto"/>
                <w:sz w:val="32"/>
                <w:szCs w:val="32"/>
                <w:highlight w:val="none"/>
              </w:rPr>
              <w:t>》</w:t>
            </w:r>
          </w:p>
        </w:tc>
        <w:tc>
          <w:tcPr>
            <w:tcW w:w="1150" w:type="dxa"/>
            <w:tcBorders>
              <w:top w:val="single" w:color="auto" w:sz="4" w:space="0"/>
              <w:left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2</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3</w:t>
            </w:r>
          </w:p>
        </w:tc>
        <w:tc>
          <w:tcPr>
            <w:tcW w:w="6700" w:type="dxa"/>
            <w:gridSpan w:val="4"/>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rPr>
                <w:rFonts w:ascii="方正仿宋_GBK" w:hAnsi="Times New Roman" w:eastAsia="方正仿宋_GBK"/>
                <w:color w:val="auto"/>
                <w:sz w:val="32"/>
                <w:szCs w:val="32"/>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088" w:type="dxa"/>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jc w:val="center"/>
              <w:rPr>
                <w:rFonts w:ascii="方正仿宋_GBK" w:hAnsi="Times New Roman" w:eastAsia="方正仿宋_GBK"/>
                <w:color w:val="auto"/>
                <w:sz w:val="32"/>
                <w:szCs w:val="32"/>
                <w:highlight w:val="none"/>
              </w:rPr>
            </w:pPr>
            <w:r>
              <w:rPr>
                <w:rFonts w:hint="eastAsia" w:ascii="方正仿宋_GBK" w:hAnsi="Times New Roman" w:eastAsia="方正仿宋_GBK"/>
                <w:color w:val="auto"/>
                <w:sz w:val="32"/>
                <w:szCs w:val="32"/>
                <w:highlight w:val="none"/>
              </w:rPr>
              <w:t>备注</w:t>
            </w:r>
          </w:p>
        </w:tc>
        <w:tc>
          <w:tcPr>
            <w:tcW w:w="7850" w:type="dxa"/>
            <w:gridSpan w:val="5"/>
            <w:tcBorders>
              <w:top w:val="single" w:color="auto" w:sz="4" w:space="0"/>
              <w:left w:val="single" w:color="auto" w:sz="4" w:space="0"/>
              <w:bottom w:val="single" w:color="auto" w:sz="4" w:space="0"/>
              <w:right w:val="single" w:color="auto" w:sz="4" w:space="0"/>
            </w:tcBorders>
            <w:noWrap/>
            <w:vAlign w:val="center"/>
          </w:tcPr>
          <w:p>
            <w:pPr>
              <w:pStyle w:val="3"/>
              <w:autoSpaceDN w:val="0"/>
              <w:spacing w:line="560" w:lineRule="exact"/>
              <w:ind w:firstLine="640" w:firstLineChars="200"/>
              <w:rPr>
                <w:rFonts w:ascii="方正仿宋_GBK" w:hAnsi="Times New Roman" w:eastAsia="方正仿宋_GBK"/>
                <w:color w:val="auto"/>
                <w:sz w:val="32"/>
                <w:szCs w:val="32"/>
                <w:highlight w:val="none"/>
              </w:rPr>
            </w:pPr>
          </w:p>
        </w:tc>
      </w:tr>
    </w:tbl>
    <w:p>
      <w:pPr>
        <w:pStyle w:val="2"/>
        <w:spacing w:line="560" w:lineRule="exact"/>
        <w:rPr>
          <w:rFonts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 xml:space="preserve"> 时间：     年    月    日</w:t>
      </w:r>
    </w:p>
    <w:p>
      <w:pPr>
        <w:spacing w:line="560" w:lineRule="exact"/>
        <w:rPr>
          <w:rFonts w:ascii="方正仿宋_GBK" w:eastAsia="方正仿宋_GBK"/>
          <w:color w:val="auto"/>
          <w:sz w:val="32"/>
          <w:szCs w:val="32"/>
          <w:highlight w:val="none"/>
        </w:rPr>
      </w:pPr>
    </w:p>
    <w:p>
      <w:pPr>
        <w:pStyle w:val="2"/>
        <w:spacing w:line="560" w:lineRule="exact"/>
        <w:rPr>
          <w:rFonts w:ascii="方正仿宋_GBK" w:eastAsia="方正仿宋_GBK"/>
          <w:color w:val="auto"/>
          <w:sz w:val="32"/>
          <w:szCs w:val="32"/>
          <w:highlight w:val="none"/>
        </w:rPr>
        <w:sectPr>
          <w:pgSz w:w="11906" w:h="16838"/>
          <w:pgMar w:top="1417" w:right="1701" w:bottom="1417" w:left="1701" w:header="851" w:footer="992" w:gutter="0"/>
          <w:cols w:space="0" w:num="1"/>
          <w:docGrid w:type="lines" w:linePitch="321" w:charSpace="0"/>
        </w:sectPr>
      </w:pPr>
    </w:p>
    <w:p>
      <w:pPr>
        <w:adjustRightInd w:val="0"/>
        <w:snapToGrid w:val="0"/>
        <w:spacing w:line="560" w:lineRule="exac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附件2：</w:t>
      </w:r>
    </w:p>
    <w:p>
      <w:pPr>
        <w:pStyle w:val="3"/>
        <w:autoSpaceDN w:val="0"/>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检测公司2023-2025年度经营管理</w:t>
      </w:r>
    </w:p>
    <w:p>
      <w:pPr>
        <w:spacing w:line="560" w:lineRule="exact"/>
        <w:jc w:val="center"/>
        <w:rPr>
          <w:rFonts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rPr>
        <w:t>揭榜意向表</w:t>
      </w:r>
    </w:p>
    <w:tbl>
      <w:tblPr>
        <w:tblStyle w:val="6"/>
        <w:tblW w:w="15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1736"/>
        <w:gridCol w:w="1620"/>
        <w:gridCol w:w="2434"/>
        <w:gridCol w:w="1601"/>
        <w:gridCol w:w="2100"/>
        <w:gridCol w:w="1635"/>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揭榜人姓名</w:t>
            </w:r>
          </w:p>
        </w:tc>
        <w:tc>
          <w:tcPr>
            <w:tcW w:w="1736"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20"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w:t>
            </w:r>
          </w:p>
        </w:tc>
        <w:tc>
          <w:tcPr>
            <w:tcW w:w="2434"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01"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工作单位</w:t>
            </w:r>
          </w:p>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及职务</w:t>
            </w:r>
          </w:p>
        </w:tc>
        <w:tc>
          <w:tcPr>
            <w:tcW w:w="2100" w:type="dxa"/>
            <w:vAlign w:val="center"/>
          </w:tcPr>
          <w:p>
            <w:pPr>
              <w:spacing w:line="560" w:lineRule="exact"/>
              <w:jc w:val="center"/>
              <w:rPr>
                <w:rFonts w:ascii="方正仿宋_GBK" w:hAnsi="方正仿宋_GBK" w:eastAsia="方正仿宋_GBK" w:cs="方正仿宋_GBK"/>
                <w:color w:val="auto"/>
                <w:sz w:val="32"/>
                <w:szCs w:val="32"/>
                <w:highlight w:val="none"/>
              </w:rPr>
            </w:pPr>
          </w:p>
        </w:tc>
        <w:tc>
          <w:tcPr>
            <w:tcW w:w="1635"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联系方式</w:t>
            </w:r>
          </w:p>
        </w:tc>
        <w:tc>
          <w:tcPr>
            <w:tcW w:w="2111" w:type="dxa"/>
            <w:vAlign w:val="center"/>
          </w:tcPr>
          <w:p>
            <w:pPr>
              <w:spacing w:line="560" w:lineRule="exact"/>
              <w:jc w:val="center"/>
              <w:rPr>
                <w:rFonts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主要工作</w:t>
            </w:r>
          </w:p>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经历</w:t>
            </w:r>
          </w:p>
        </w:tc>
        <w:tc>
          <w:tcPr>
            <w:tcW w:w="13237" w:type="dxa"/>
            <w:gridSpan w:val="7"/>
            <w:vAlign w:val="center"/>
          </w:tcPr>
          <w:p>
            <w:pPr>
              <w:spacing w:line="560" w:lineRule="exact"/>
              <w:jc w:val="center"/>
              <w:rPr>
                <w:rFonts w:ascii="方正仿宋_GBK" w:hAnsi="方正仿宋_GBK" w:eastAsia="方正仿宋_GBK" w:cs="方正仿宋_GBK"/>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5" w:hRule="atLeast"/>
          <w:jc w:val="center"/>
        </w:trPr>
        <w:tc>
          <w:tcPr>
            <w:tcW w:w="1832" w:type="dxa"/>
            <w:vAlign w:val="center"/>
          </w:tcPr>
          <w:p>
            <w:pPr>
              <w:spacing w:line="560" w:lineRule="exact"/>
              <w:jc w:val="center"/>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完成任务的核心竞争力及个人优势</w:t>
            </w:r>
          </w:p>
        </w:tc>
        <w:tc>
          <w:tcPr>
            <w:tcW w:w="13237" w:type="dxa"/>
            <w:gridSpan w:val="7"/>
            <w:vAlign w:val="center"/>
          </w:tcPr>
          <w:p>
            <w:pPr>
              <w:spacing w:line="560" w:lineRule="exact"/>
              <w:jc w:val="center"/>
              <w:rPr>
                <w:rFonts w:ascii="方正仿宋_GBK" w:hAnsi="方正仿宋_GBK" w:eastAsia="方正仿宋_GBK" w:cs="方正仿宋_GBK"/>
                <w:color w:val="auto"/>
                <w:sz w:val="32"/>
                <w:szCs w:val="32"/>
                <w:highlight w:val="none"/>
              </w:rPr>
            </w:pPr>
          </w:p>
        </w:tc>
      </w:tr>
    </w:tbl>
    <w:p>
      <w:pPr>
        <w:spacing w:line="560" w:lineRule="exact"/>
        <w:rPr>
          <w:rFonts w:ascii="宋体" w:hAnsi="宋体"/>
          <w:color w:val="auto"/>
          <w:sz w:val="30"/>
          <w:szCs w:val="30"/>
          <w:highlight w:val="none"/>
        </w:rPr>
      </w:pPr>
    </w:p>
    <w:p>
      <w:pPr>
        <w:spacing w:line="560" w:lineRule="exact"/>
        <w:rPr>
          <w:rFonts w:ascii="宋体" w:hAnsi="宋体"/>
          <w:color w:val="auto"/>
          <w:sz w:val="30"/>
          <w:szCs w:val="30"/>
          <w:highlight w:val="none"/>
        </w:rPr>
      </w:pPr>
      <w:r>
        <w:rPr>
          <w:rFonts w:hint="eastAsia" w:ascii="宋体" w:hAnsi="宋体"/>
          <w:b/>
          <w:bCs/>
          <w:color w:val="auto"/>
          <w:sz w:val="30"/>
          <w:szCs w:val="30"/>
          <w:highlight w:val="none"/>
        </w:rPr>
        <w:t xml:space="preserve">附件3  </w:t>
      </w:r>
      <w:r>
        <w:rPr>
          <w:rFonts w:hint="eastAsia" w:ascii="方正仿宋_GBK" w:hAnsi="方正仿宋_GBK" w:eastAsia="方正仿宋_GBK" w:cs="方正仿宋_GBK"/>
          <w:color w:val="auto"/>
          <w:sz w:val="32"/>
          <w:szCs w:val="32"/>
          <w:highlight w:val="none"/>
        </w:rPr>
        <w:t>______年度综合管理考核指标</w:t>
      </w:r>
    </w:p>
    <w:p>
      <w:pPr>
        <w:spacing w:after="162" w:afterLines="50"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______年度综合管理考核指标</w:t>
      </w:r>
    </w:p>
    <w:p>
      <w:pPr>
        <w:rPr>
          <w:color w:val="auto"/>
          <w:highlight w:val="none"/>
        </w:rPr>
      </w:pPr>
    </w:p>
    <w:p>
      <w:pPr>
        <w:rPr>
          <w:color w:val="auto"/>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4"/>
        <w:gridCol w:w="3105"/>
        <w:gridCol w:w="1275"/>
        <w:gridCol w:w="525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4489" w:type="dxa"/>
            <w:gridSpan w:val="2"/>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目标值</w:t>
            </w:r>
          </w:p>
        </w:tc>
        <w:tc>
          <w:tcPr>
            <w:tcW w:w="5258"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评分细则</w:t>
            </w:r>
          </w:p>
        </w:tc>
        <w:tc>
          <w:tcPr>
            <w:tcW w:w="236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9"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384" w:type="dxa"/>
            <w:vMerge w:val="restart"/>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业绩指标</w:t>
            </w:r>
          </w:p>
          <w:p>
            <w:pPr>
              <w:pStyle w:val="2"/>
              <w:spacing w:before="0" w:after="0" w:line="320" w:lineRule="exact"/>
              <w:jc w:val="center"/>
              <w:outlineLvl w:val="3"/>
              <w:rPr>
                <w:color w:val="auto"/>
                <w:highlight w:val="none"/>
              </w:rPr>
            </w:pPr>
            <w:r>
              <w:rPr>
                <w:rFonts w:hint="eastAsia" w:ascii="方正仿宋_GBK" w:hAnsi="方正仿宋_GBK" w:eastAsia="方正仿宋_GBK" w:cs="方正仿宋_GBK"/>
                <w:b w:val="0"/>
                <w:bCs w:val="0"/>
                <w:color w:val="auto"/>
                <w:sz w:val="24"/>
                <w:szCs w:val="24"/>
                <w:highlight w:val="none"/>
              </w:rPr>
              <w:t>（80分）</w:t>
            </w:r>
          </w:p>
        </w:tc>
        <w:tc>
          <w:tcPr>
            <w:tcW w:w="310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营业收入（20分）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52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完成年度目标值，得全分，未完成目标值按比例扣分。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根据当年总业务量予以下达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29"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1384" w:type="dxa"/>
            <w:vMerge w:val="continue"/>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310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净利润（60分）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p>
        </w:tc>
        <w:tc>
          <w:tcPr>
            <w:tcW w:w="52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完成年度目标值，得全分，未完成目标值按比例扣分。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按揭榜挂帅发榜文件对净利润的约定核算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829" w:type="dxa"/>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138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管理评价指标</w:t>
            </w:r>
          </w:p>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3105" w:type="dxa"/>
            <w:vAlign w:val="center"/>
          </w:tcPr>
          <w:p>
            <w:pPr>
              <w:rPr>
                <w:color w:val="auto"/>
                <w:highlight w:val="none"/>
              </w:rPr>
            </w:pPr>
            <w:r>
              <w:rPr>
                <w:rFonts w:hint="eastAsia" w:ascii="方正仿宋_GBK" w:hAnsi="方正仿宋_GBK" w:eastAsia="方正仿宋_GBK" w:cs="方正仿宋_GBK"/>
                <w:color w:val="auto"/>
                <w:sz w:val="24"/>
                <w:highlight w:val="none"/>
              </w:rPr>
              <w:t>管理规范性；本公司或上级单位统一安排的专项分配项目（业务）的完成度。（20分）</w:t>
            </w:r>
          </w:p>
        </w:tc>
        <w:tc>
          <w:tcPr>
            <w:tcW w:w="1275" w:type="dxa"/>
            <w:vAlign w:val="center"/>
          </w:tcPr>
          <w:p>
            <w:pPr>
              <w:pStyle w:val="2"/>
              <w:tabs>
                <w:tab w:val="left" w:pos="744"/>
              </w:tabs>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w:t>
            </w:r>
          </w:p>
        </w:tc>
        <w:tc>
          <w:tcPr>
            <w:tcW w:w="5258"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安全、环保、信访、廉政、违法违规等；完成任务目标，得全分，未完成目标，按设定阶段目标任务对应分值扣减分或按比例扣分。</w:t>
            </w: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包含不限于保障性业务的及时性、质量的稳定性等。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4220" w:type="dxa"/>
            <w:gridSpan w:val="6"/>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年度考核得分=财务效益指标考核得分+综合管理指标考核得分+激励指标得分。</w:t>
            </w:r>
          </w:p>
        </w:tc>
      </w:tr>
    </w:tbl>
    <w:p>
      <w:pPr>
        <w:rPr>
          <w:color w:val="auto"/>
          <w:highlight w:val="none"/>
        </w:rPr>
        <w:sectPr>
          <w:footerReference r:id="rId4" w:type="default"/>
          <w:pgSz w:w="16838" w:h="11906" w:orient="landscape"/>
          <w:pgMar w:top="1417" w:right="1417" w:bottom="1417" w:left="1417" w:header="851" w:footer="992" w:gutter="0"/>
          <w:cols w:space="0" w:num="1"/>
          <w:docGrid w:type="lines" w:linePitch="324" w:charSpace="0"/>
        </w:sectPr>
      </w:pPr>
    </w:p>
    <w:p>
      <w:pPr>
        <w:spacing w:line="560" w:lineRule="exact"/>
        <w:rPr>
          <w:rFonts w:ascii="方正仿宋_GBK" w:hAnsi="方正仿宋_GBK" w:eastAsia="方正仿宋_GBK" w:cs="方正仿宋_GBK"/>
          <w:color w:val="auto"/>
          <w:sz w:val="32"/>
          <w:szCs w:val="32"/>
          <w:highlight w:val="none"/>
        </w:rPr>
      </w:pPr>
      <w:r>
        <w:rPr>
          <w:rFonts w:hint="eastAsia" w:ascii="宋体" w:hAnsi="宋体"/>
          <w:b/>
          <w:bCs/>
          <w:color w:val="auto"/>
          <w:sz w:val="30"/>
          <w:szCs w:val="30"/>
          <w:highlight w:val="none"/>
        </w:rPr>
        <w:t xml:space="preserve">附件4 </w:t>
      </w:r>
      <w:r>
        <w:rPr>
          <w:rFonts w:hint="eastAsia" w:ascii="方正仿宋_GBK" w:hAnsi="方正仿宋_GBK" w:eastAsia="方正仿宋_GBK" w:cs="方正仿宋_GBK"/>
          <w:color w:val="auto"/>
          <w:sz w:val="32"/>
          <w:szCs w:val="32"/>
          <w:highlight w:val="none"/>
        </w:rPr>
        <w:t>2023-2025年经营期目标考核指标</w:t>
      </w:r>
    </w:p>
    <w:p>
      <w:pPr>
        <w:spacing w:after="162" w:afterLines="50" w:line="480" w:lineRule="auto"/>
        <w:jc w:val="center"/>
        <w:rPr>
          <w:rFonts w:ascii="宋体" w:hAnsi="宋体"/>
          <w:b/>
          <w:bCs/>
          <w:color w:val="auto"/>
          <w:sz w:val="36"/>
          <w:szCs w:val="36"/>
          <w:highlight w:val="none"/>
        </w:rPr>
      </w:pPr>
      <w:r>
        <w:rPr>
          <w:rFonts w:hint="eastAsia" w:ascii="宋体" w:hAnsi="宋体"/>
          <w:b/>
          <w:bCs/>
          <w:color w:val="auto"/>
          <w:sz w:val="36"/>
          <w:szCs w:val="36"/>
          <w:highlight w:val="none"/>
        </w:rPr>
        <w:t>2023-2025年经营期目标考核指标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135"/>
        <w:gridCol w:w="2754"/>
        <w:gridCol w:w="1275"/>
        <w:gridCol w:w="5858"/>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889" w:type="dxa"/>
            <w:gridSpan w:val="2"/>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分值</w:t>
            </w:r>
          </w:p>
        </w:tc>
        <w:tc>
          <w:tcPr>
            <w:tcW w:w="5858"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评分细则</w:t>
            </w:r>
          </w:p>
        </w:tc>
        <w:tc>
          <w:tcPr>
            <w:tcW w:w="2369" w:type="dxa"/>
            <w:vAlign w:val="center"/>
          </w:tcPr>
          <w:p>
            <w:pPr>
              <w:pStyle w:val="2"/>
              <w:spacing w:before="0" w:after="0" w:line="320" w:lineRule="exact"/>
              <w:jc w:val="center"/>
              <w:outlineLvl w:val="3"/>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w:t>
            </w:r>
          </w:p>
        </w:tc>
        <w:tc>
          <w:tcPr>
            <w:tcW w:w="1135" w:type="dxa"/>
            <w:vMerge w:val="restart"/>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业绩</w:t>
            </w:r>
          </w:p>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指标</w:t>
            </w:r>
          </w:p>
        </w:tc>
        <w:tc>
          <w:tcPr>
            <w:tcW w:w="275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经营期营收完成情况</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完成经营期目标值，得全分，未完成目标值按比例扣分。</w:t>
            </w:r>
          </w:p>
        </w:tc>
        <w:tc>
          <w:tcPr>
            <w:tcW w:w="2369" w:type="dxa"/>
            <w:vAlign w:val="center"/>
          </w:tcPr>
          <w:p>
            <w:pPr>
              <w:spacing w:line="320" w:lineRule="exact"/>
              <w:jc w:val="lef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jc w:val="center"/>
        </w:trPr>
        <w:tc>
          <w:tcPr>
            <w:tcW w:w="829"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1135" w:type="dxa"/>
            <w:vMerge w:val="continue"/>
            <w:vAlign w:val="center"/>
          </w:tcPr>
          <w:p>
            <w:pPr>
              <w:spacing w:line="320" w:lineRule="exact"/>
              <w:jc w:val="center"/>
              <w:rPr>
                <w:rFonts w:ascii="方正仿宋_GBK" w:hAnsi="方正仿宋_GBK" w:eastAsia="方正仿宋_GBK" w:cs="方正仿宋_GBK"/>
                <w:color w:val="auto"/>
                <w:sz w:val="24"/>
                <w:highlight w:val="none"/>
              </w:rPr>
            </w:pPr>
          </w:p>
        </w:tc>
        <w:tc>
          <w:tcPr>
            <w:tcW w:w="2754"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经营期净利润完成情况</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60分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完成经营期目标值，得全分，未完成目标值按比例扣分。</w:t>
            </w:r>
          </w:p>
        </w:tc>
        <w:tc>
          <w:tcPr>
            <w:tcW w:w="2369" w:type="dxa"/>
            <w:vAlign w:val="center"/>
          </w:tcPr>
          <w:p>
            <w:pPr>
              <w:spacing w:line="320" w:lineRule="exact"/>
              <w:jc w:val="left"/>
              <w:rPr>
                <w:rFonts w:ascii="方正仿宋_GBK" w:hAnsi="方正仿宋_GBK" w:eastAsia="方正仿宋_GBK" w:cs="方正仿宋_GBK"/>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8" w:hRule="atLeast"/>
          <w:jc w:val="center"/>
        </w:trPr>
        <w:tc>
          <w:tcPr>
            <w:tcW w:w="829" w:type="dxa"/>
            <w:vAlign w:val="center"/>
          </w:tcPr>
          <w:p>
            <w:pPr>
              <w:spacing w:line="320" w:lineRule="exact"/>
              <w:jc w:val="center"/>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w:t>
            </w:r>
          </w:p>
        </w:tc>
        <w:tc>
          <w:tcPr>
            <w:tcW w:w="3889" w:type="dxa"/>
            <w:gridSpan w:val="2"/>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任务期管理考核指标</w:t>
            </w:r>
          </w:p>
        </w:tc>
        <w:tc>
          <w:tcPr>
            <w:tcW w:w="1275" w:type="dxa"/>
            <w:vAlign w:val="center"/>
          </w:tcPr>
          <w:p>
            <w:pPr>
              <w:pStyle w:val="2"/>
              <w:spacing w:before="0" w:after="0" w:line="320" w:lineRule="exact"/>
              <w:jc w:val="center"/>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20分</w:t>
            </w:r>
          </w:p>
        </w:tc>
        <w:tc>
          <w:tcPr>
            <w:tcW w:w="5858"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sz w:val="24"/>
                <w:szCs w:val="24"/>
                <w:highlight w:val="none"/>
              </w:rPr>
              <w:t>根据经营期各年度综合管理考核指标考核得分取平均值直接计算。</w:t>
            </w:r>
          </w:p>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tc>
        <w:tc>
          <w:tcPr>
            <w:tcW w:w="2369" w:type="dxa"/>
            <w:vAlign w:val="center"/>
          </w:tcPr>
          <w:p>
            <w:pPr>
              <w:pStyle w:val="2"/>
              <w:spacing w:before="0" w:after="0" w:line="320" w:lineRule="exact"/>
              <w:jc w:val="left"/>
              <w:outlineLvl w:val="3"/>
              <w:rPr>
                <w:rFonts w:ascii="方正仿宋_GBK" w:hAnsi="方正仿宋_GBK" w:eastAsia="方正仿宋_GBK" w:cs="方正仿宋_GBK"/>
                <w:b w:val="0"/>
                <w:bCs w:val="0"/>
                <w:color w:val="auto"/>
                <w:sz w:val="24"/>
                <w:szCs w:val="24"/>
                <w:highlight w:val="none"/>
              </w:rPr>
            </w:pPr>
          </w:p>
        </w:tc>
      </w:tr>
    </w:tbl>
    <w:p>
      <w:pPr>
        <w:rPr>
          <w:color w:val="auto"/>
          <w:highlight w:val="none"/>
        </w:rPr>
      </w:pPr>
    </w:p>
    <w:p>
      <w:pPr>
        <w:rPr>
          <w:color w:val="auto"/>
          <w:highlight w:val="none"/>
        </w:rPr>
      </w:pPr>
    </w:p>
    <w:sectPr>
      <w:pgSz w:w="16838" w:h="11906" w:orient="landscape"/>
      <w:pgMar w:top="1417" w:right="1417" w:bottom="1417" w:left="1417" w:header="851"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rect id="文本框 1" o:spid="_x0000_s1025" o:spt="1"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">
          <v:path/>
          <v:fill on="f" focussize="0,0"/>
          <v:stroke on="f"/>
          <v:imagedata o:title=""/>
          <o:lock v:ext="edit"/>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bCs/>
        <w:sz w:val="24"/>
      </w:rPr>
      <w:fldChar w:fldCharType="begin"/>
    </w:r>
    <w:r>
      <w:rPr>
        <w:b/>
        <w:bCs/>
      </w:rPr>
      <w:instrText xml:space="preserve">PAGE</w:instrText>
    </w:r>
    <w:r>
      <w:rPr>
        <w:b/>
        <w:bCs/>
        <w:sz w:val="24"/>
      </w:rPr>
      <w:fldChar w:fldCharType="separate"/>
    </w:r>
    <w:r>
      <w:rPr>
        <w:b/>
        <w:bCs/>
      </w:rPr>
      <w:t>15</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16</w:t>
    </w:r>
    <w:r>
      <w:rPr>
        <w:b/>
        <w:bCs/>
        <w:sz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6C4A0"/>
    <w:multiLevelType w:val="singleLevel"/>
    <w:tmpl w:val="C7C6C4A0"/>
    <w:lvl w:ilvl="0" w:tentative="0">
      <w:start w:val="2"/>
      <w:numFmt w:val="chineseCounting"/>
      <w:suff w:val="nothing"/>
      <w:lvlText w:val="（%1）"/>
      <w:lvlJc w:val="left"/>
      <w:rPr>
        <w:rFonts w:hint="eastAsia"/>
      </w:rPr>
    </w:lvl>
  </w:abstractNum>
  <w:abstractNum w:abstractNumId="1">
    <w:nsid w:val="417433C5"/>
    <w:multiLevelType w:val="singleLevel"/>
    <w:tmpl w:val="417433C5"/>
    <w:lvl w:ilvl="0" w:tentative="0">
      <w:start w:val="2"/>
      <w:numFmt w:val="decimal"/>
      <w:suff w:val="nothing"/>
      <w:lvlText w:val="%1、"/>
      <w:lvlJc w:val="left"/>
    </w:lvl>
  </w:abstractNum>
  <w:abstractNum w:abstractNumId="2">
    <w:nsid w:val="5004F146"/>
    <w:multiLevelType w:val="singleLevel"/>
    <w:tmpl w:val="5004F146"/>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zM2MwYWNjYzFiZTJiNzM2NGQxNTc2ZWY5YjA0OTYifQ=="/>
  </w:docVars>
  <w:rsids>
    <w:rsidRoot w:val="13B90760"/>
    <w:rsid w:val="00064769"/>
    <w:rsid w:val="0007317A"/>
    <w:rsid w:val="0007400A"/>
    <w:rsid w:val="001618B9"/>
    <w:rsid w:val="001A42AF"/>
    <w:rsid w:val="001C14BB"/>
    <w:rsid w:val="0028645C"/>
    <w:rsid w:val="003C4E60"/>
    <w:rsid w:val="00444883"/>
    <w:rsid w:val="00472FBE"/>
    <w:rsid w:val="004F5406"/>
    <w:rsid w:val="005731E1"/>
    <w:rsid w:val="00AB4B14"/>
    <w:rsid w:val="00D40357"/>
    <w:rsid w:val="00F42572"/>
    <w:rsid w:val="10A430E3"/>
    <w:rsid w:val="13B90760"/>
    <w:rsid w:val="143B761A"/>
    <w:rsid w:val="214F5559"/>
    <w:rsid w:val="233D5B42"/>
    <w:rsid w:val="271B3952"/>
    <w:rsid w:val="280B18A9"/>
    <w:rsid w:val="288C6324"/>
    <w:rsid w:val="2A392106"/>
    <w:rsid w:val="46B3477D"/>
    <w:rsid w:val="491032F5"/>
    <w:rsid w:val="57AF577E"/>
    <w:rsid w:val="765A54B2"/>
    <w:rsid w:val="78165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1097</Words>
  <Characters>6257</Characters>
  <Lines>52</Lines>
  <Paragraphs>14</Paragraphs>
  <TotalTime>1</TotalTime>
  <ScaleCrop>false</ScaleCrop>
  <LinksUpToDate>false</LinksUpToDate>
  <CharactersWithSpaces>7340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2022-12-12T03:42:00Z</dcterms:created>
  <dc:creator>WPS_1613131526</dc:creator>
  <cp:lastModifiedBy>莫丽威</cp:lastModifiedBy>
  <cp:lastPrinted>2023-02-28T09:13:45Z</cp:lastPrinted>
  <dcterms:modified xsi:type="dcterms:W3CDTF">2023-02-28T09:14:15Z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011B4F829B7E40E1A9F6B84737DB01EB</vt:lpwstr>
  </property>
</Properties>
</file>