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bCs/>
          <w:sz w:val="52"/>
          <w:szCs w:val="52"/>
        </w:rPr>
        <w:t>202</w:t>
      </w:r>
      <w:r>
        <w:rPr>
          <w:rFonts w:hint="eastAsia" w:ascii="微软雅黑" w:hAnsi="微软雅黑" w:eastAsia="微软雅黑"/>
          <w:b/>
          <w:bCs/>
          <w:sz w:val="52"/>
          <w:szCs w:val="52"/>
          <w:lang w:val="en-US" w:eastAsia="zh-CN"/>
        </w:rPr>
        <w:t>1</w:t>
      </w:r>
      <w:r>
        <w:rPr>
          <w:rFonts w:hint="eastAsia" w:ascii="微软雅黑" w:hAnsi="微软雅黑" w:eastAsia="微软雅黑"/>
          <w:b/>
          <w:bCs/>
          <w:sz w:val="52"/>
          <w:szCs w:val="52"/>
        </w:rPr>
        <w:t>年专项工程</w:t>
      </w:r>
      <w:r>
        <w:rPr>
          <w:rFonts w:hint="eastAsia" w:ascii="微软雅黑" w:hAnsi="微软雅黑" w:eastAsia="微软雅黑"/>
          <w:b/>
          <w:bCs/>
          <w:sz w:val="52"/>
          <w:szCs w:val="52"/>
          <w:lang w:eastAsia="zh-CN"/>
        </w:rPr>
        <w:t>中渝</w:t>
      </w:r>
      <w:r>
        <w:rPr>
          <w:rFonts w:hint="eastAsia" w:ascii="微软雅黑" w:hAnsi="微软雅黑" w:eastAsia="微软雅黑"/>
          <w:b/>
          <w:bCs/>
          <w:sz w:val="52"/>
          <w:szCs w:val="52"/>
        </w:rPr>
        <w:t>公司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金属结构物检测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设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计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方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案</w:t>
      </w: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重庆首讯科技股份有限公司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ascii="微软雅黑" w:hAnsi="微软雅黑" w:eastAsia="微软雅黑"/>
          <w:b/>
          <w:sz w:val="32"/>
          <w:szCs w:val="32"/>
        </w:rPr>
        <w:t>20</w:t>
      </w:r>
      <w:r>
        <w:rPr>
          <w:rFonts w:hint="eastAsia" w:ascii="微软雅黑" w:hAnsi="微软雅黑" w:eastAsia="微软雅黑"/>
          <w:b/>
          <w:sz w:val="32"/>
          <w:szCs w:val="32"/>
        </w:rPr>
        <w:t>2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1</w:t>
      </w:r>
      <w:r>
        <w:rPr>
          <w:rFonts w:hint="eastAsia" w:ascii="微软雅黑" w:hAnsi="微软雅黑" w:eastAsia="微软雅黑"/>
          <w:b/>
          <w:sz w:val="32"/>
          <w:szCs w:val="32"/>
        </w:rPr>
        <w:t>年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2"/>
          <w:szCs w:val="32"/>
        </w:rPr>
        <w:t>月</w:t>
      </w:r>
    </w:p>
    <w:p>
      <w:pPr>
        <w:adjustRightInd w:val="0"/>
        <w:snapToGrid w:val="0"/>
        <w:spacing w:line="360" w:lineRule="auto"/>
        <w:ind w:firstLine="880" w:firstLineChars="2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44"/>
          <w:szCs w:val="44"/>
          <w:lang w:eastAsia="zh-CN"/>
        </w:rPr>
        <w:t>中渝</w:t>
      </w:r>
      <w:r>
        <w:rPr>
          <w:rFonts w:hint="eastAsia" w:ascii="微软雅黑" w:hAnsi="微软雅黑" w:eastAsia="微软雅黑"/>
          <w:b/>
          <w:bCs/>
          <w:sz w:val="44"/>
          <w:szCs w:val="44"/>
        </w:rPr>
        <w:t>公司金属结构物检测设计方案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1项目背景与设计依据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1.1 项目背景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根据隧道内金属结构物的维护要求，202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</w:rPr>
        <w:t>年在相关隧道进行金属结构物检测。依照检测原则如下：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1、对隧道内的风机、桥架、小型情报板、信息指示灯进行检测；对隧道外的门架情报板和悬臂式情报板进行检测。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2、2次检测时间间隔3年，如201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22"/>
        </w:rPr>
        <w:t>年实施检测的，到202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</w:rPr>
        <w:t>年再实施检测。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3、相关说明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（1）风机和桥架均未检测过的隧道，并达到检测年限的，对金属结构物统一进行检测（上述第1条内容）；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（2）检测过风机或桥架的隧道，根据检测年限要求按需检测桥架或风机，同时对隧道内的小型情报板、信息指示灯，以及隧道外的门架情报板根据检测年限要求统一进行检测。</w:t>
      </w:r>
    </w:p>
    <w:p>
      <w:pPr>
        <w:spacing w:line="360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1.2 设计依据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►信息产业部、电力部、建设部颁布的有关标准和规范；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►交通部颁发的有关技术标准、规范、规程及强制性条文；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  其他有关法律、法规、国家标准、规范、规程；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►《重庆“三环十射多联线”高速公路交通工程总体方案设计》 （庆市交通委员会 2013年 1 月） 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►《公路隧道设计规范》第二册 交通工程与附属设施（JTG D70/2-2014）；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►《高速公路交通工程及沿线设施设计通用规范》（JTG D80-2006）；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►中华人民共和国国家标准《高速公路隧道监控系统模式》（GB-T 18567-2010）；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►《高速公路监控技术要求》（交通运输部2012年第3号公告）；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►《视频安防监控系统工程设计规范》GB50395-2007；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►《电子信息系统机房设计规范》（GB50174-2008）；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►施工安全交通组织，重庆市营运高速公路施工标准化管理办法(重庆市交通委员会分布)。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►《公路隧道交通工程与附属设施施工技术规范》JTG/T F72-2011。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►《焊缝无损检测 超声检测 技术、检测等级和评定》GB/T11345-2013。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►《焊缝无损检测 超声检测 验收等级》GB/T 29712-2013。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2 设计调查过程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202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</w:rPr>
        <w:t>年受业主单位委托，由我公司负责重庆高速公路</w:t>
      </w:r>
      <w:r>
        <w:rPr>
          <w:rFonts w:hint="eastAsia" w:ascii="微软雅黑" w:hAnsi="微软雅黑" w:eastAsia="微软雅黑" w:cs="微软雅黑"/>
          <w:sz w:val="22"/>
          <w:lang w:eastAsia="zh-CN"/>
        </w:rPr>
        <w:t>中渝</w:t>
      </w:r>
      <w:r>
        <w:rPr>
          <w:rFonts w:hint="eastAsia" w:ascii="微软雅黑" w:hAnsi="微软雅黑" w:eastAsia="微软雅黑" w:cs="微软雅黑"/>
          <w:sz w:val="22"/>
        </w:rPr>
        <w:t>营运公司202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</w:rPr>
        <w:t>年机电专项工程施工,202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</w:rPr>
        <w:t>年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2"/>
        </w:rPr>
        <w:t>月至202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</w:rPr>
        <w:t>年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2"/>
        </w:rPr>
        <w:t>月，我公司</w:t>
      </w:r>
      <w:r>
        <w:rPr>
          <w:rFonts w:hint="eastAsia" w:ascii="微软雅黑" w:hAnsi="微软雅黑" w:eastAsia="微软雅黑" w:cs="微软雅黑"/>
          <w:sz w:val="22"/>
          <w:lang w:eastAsia="zh-CN"/>
        </w:rPr>
        <w:t>设计人员、专项管理人员、</w:t>
      </w:r>
      <w:r>
        <w:rPr>
          <w:rFonts w:hint="eastAsia" w:ascii="微软雅黑" w:hAnsi="微软雅黑" w:eastAsia="微软雅黑" w:cs="微软雅黑"/>
          <w:sz w:val="22"/>
        </w:rPr>
        <w:t>维护人员对</w:t>
      </w:r>
      <w:r>
        <w:rPr>
          <w:rFonts w:hint="eastAsia" w:ascii="微软雅黑" w:hAnsi="微软雅黑" w:eastAsia="微软雅黑" w:cs="微软雅黑"/>
          <w:sz w:val="22"/>
          <w:lang w:eastAsia="zh-CN"/>
        </w:rPr>
        <w:t>中渝</w:t>
      </w:r>
      <w:r>
        <w:rPr>
          <w:rFonts w:hint="eastAsia" w:ascii="微软雅黑" w:hAnsi="微软雅黑" w:eastAsia="微软雅黑" w:cs="微软雅黑"/>
          <w:sz w:val="22"/>
        </w:rPr>
        <w:t>公司所辖的需要</w:t>
      </w:r>
      <w:r>
        <w:rPr>
          <w:rFonts w:hint="eastAsia" w:ascii="微软雅黑" w:hAnsi="微软雅黑" w:eastAsia="微软雅黑" w:cs="微软雅黑"/>
          <w:sz w:val="22"/>
          <w:lang w:eastAsia="zh-CN"/>
        </w:rPr>
        <w:t>检测的</w:t>
      </w:r>
      <w:r>
        <w:rPr>
          <w:rFonts w:hint="eastAsia" w:ascii="微软雅黑" w:hAnsi="微软雅黑" w:eastAsia="微软雅黑" w:cs="微软雅黑"/>
          <w:sz w:val="22"/>
        </w:rPr>
        <w:t>金属物结构物数量进行统计并确认，在此基础上做出了相应的施工方案。</w:t>
      </w:r>
    </w:p>
    <w:p>
      <w:pPr>
        <w:spacing w:line="360" w:lineRule="auto"/>
        <w:rPr>
          <w:rFonts w:ascii="宋体" w:hAnsi="宋体"/>
        </w:rPr>
      </w:pPr>
    </w:p>
    <w:p>
      <w:pPr>
        <w:pStyle w:val="4"/>
        <w:adjustRightInd w:val="0"/>
        <w:snapToGrid w:val="0"/>
        <w:spacing w:line="360" w:lineRule="auto"/>
        <w:ind w:firstLine="0" w:firstLineChars="0"/>
        <w:rPr>
          <w:rFonts w:ascii="微软雅黑" w:hAnsi="微软雅黑" w:eastAsia="微软雅黑" w:cs="微软雅黑"/>
          <w:b/>
          <w:bCs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3 设计方案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bookmarkStart w:id="0" w:name="_Toc435645305"/>
      <w:bookmarkStart w:id="1" w:name="_Toc360192277"/>
      <w:r>
        <w:rPr>
          <w:rFonts w:hint="eastAsia" w:ascii="微软雅黑" w:hAnsi="微软雅黑" w:eastAsia="微软雅黑" w:cs="微软雅黑"/>
          <w:sz w:val="22"/>
        </w:rPr>
        <w:t>（1）射流风机安装结构的稳固可靠情况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1）风机外壳体变形、擦刮伤、碰撞伤情况；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2）风机安全绳完好情况；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3）连接部件的锈蚀情况；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4）风机预埋钢板四周混凝土的完好情况；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5）安装螺栓的紧固情况；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6）预埋钢板与风机安装支架间焊缝的完好情况无损探伤检测；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7）现场处置：除锈喷漆、螺栓紧固、补全螺母等。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（2）电缆桥架安装结构的稳固可靠情况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1）托架膨胀螺栓的紧固情况；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2）托架螺母的紧固情况；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3）桥架变形、损坏情况；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4）托架膨胀螺栓锚固承载力测试；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5）现场处置：除锈喷漆、螺栓紧固、补全螺母等。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（3）电缆桥架（电缆金属线槽）安装结构的稳固可靠情况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1）抱箍膨胀螺栓的紧固情况；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2）抱箍螺母的紧固情况；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3）金属线槽变形、损坏情况；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4）金属线槽抱箍膨胀螺栓锚固承载力测试；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5）现场处置：除锈喷漆、螺栓紧固、补全螺母等。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（4）门架式可变信息情报板安装结构的稳固可靠情况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1）基础预埋螺栓（杆）的紧固情况；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2）基础预埋螺栓（杆）的锈蚀情况；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3）立柱连接螺栓的紧固情况；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4）护栏、机箱锈蚀情况；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5）立柱及横梁焊缝的完好情况无损探伤检测；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6）现场处置：除锈喷漆、螺栓紧固、补全螺母等。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（5）洞内信息指示灯安装结构的稳固可靠情况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1）连接部件的锈蚀情况；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2）基础安装螺栓的紧固情况；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3）安装支架变形、损坏情况；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4）洞内信息指示灯基础安装螺栓锚固承载力测试；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5）现场处置：除锈喷漆、螺栓紧固、补全螺母等</w:t>
      </w:r>
    </w:p>
    <w:p>
      <w:pPr>
        <w:adjustRightInd w:val="0"/>
        <w:snapToGrid w:val="0"/>
        <w:spacing w:beforeLines="50" w:afterLines="50" w:line="360" w:lineRule="auto"/>
        <w:rPr>
          <w:rFonts w:hint="eastAsia" w:asciiTheme="minorEastAsia" w:hAnsiTheme="minorEastAsia"/>
          <w:b/>
          <w:sz w:val="28"/>
          <w:szCs w:val="28"/>
        </w:rPr>
      </w:pPr>
      <w:bookmarkStart w:id="2" w:name="_Toc413401626"/>
      <w:bookmarkStart w:id="3" w:name="_Toc435645386"/>
      <w:bookmarkStart w:id="4" w:name="_Toc418520082"/>
      <w:r>
        <w:rPr>
          <w:rFonts w:hint="eastAsia" w:asciiTheme="minorEastAsia" w:hAnsiTheme="minorEastAsia"/>
          <w:b/>
          <w:sz w:val="28"/>
          <w:szCs w:val="28"/>
        </w:rPr>
        <w:t>4 工程量清单及点位情况说明</w:t>
      </w:r>
    </w:p>
    <w:p>
      <w:pPr>
        <w:adjustRightInd w:val="0"/>
        <w:snapToGrid w:val="0"/>
        <w:spacing w:beforeLines="50" w:afterLines="50" w:line="360" w:lineRule="auto"/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详见附件！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5 主要检测方式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（1）射流风机、门架式可变信息情报板主要采用焊缝探伤检测的方法，并将相关螺栓进行紧固。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（2）电缆桥架（电缆金属线槽）、洞内信息指示灯主要采用承重的检测方法，并将相关螺丝紧固。</w:t>
      </w:r>
    </w:p>
    <w:p>
      <w:pPr>
        <w:spacing w:line="36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5.1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/>
          <w:b/>
        </w:rPr>
        <w:t xml:space="preserve"> 检测步骤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（1）射流风机安装结构稳定性检测步骤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1）清除连接部位及附件壳体粘附的灰尘；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2）观察连接部件的锈蚀情况，若有锈蚀，除锈后喷涂银粉漆防腐；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3）检查风机外壳体有无变形、刮擦伤及碰撞伤痕迹；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4）检查安全绳是否完好；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5）用板手试着紧固连接螺栓，检测螺栓是否有松动，对松动螺栓进行紧固；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6）补全缺失螺母；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7）观察焊缝、混凝土有无开裂现象；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8）对风机预埋件与连接支架焊缝进行无损探伤检测。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（2）门架情报板安装结构稳定性检测步骤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1）清除连接部位及附件壳体粘附的灰尘；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2）观察连接部件、机箱、护栏的锈蚀情况，若有锈蚀，除锈后喷涂银粉漆防腐；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3）检查护栏损坏情况；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4）用板手试着紧固连接螺栓，检测螺栓是否有松动，对松动螺栓进行紧固；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5）补全缺失螺母；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7）观察焊缝有无开裂现象；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8）对立柱及横梁焊缝焊缝进行无损探伤检测。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（3）桥架、洞内信息指示灯安装结构稳定性检测步骤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1）清除连接部位及附件壳体粘附的灰尘；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2）观察连接部件的锈蚀情况，若有锈蚀，除锈后喷涂银粉漆防腐；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3）检查设备外壳体及安装支架有无变形、损坏、刮擦伤及碰撞伤痕迹；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4）隧道内电缆桥架托架（电缆金属线槽抱箍）、信息指示灯膨胀螺栓接触部位混凝土的完好情况；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5）轻轻晃动电缆桥架（电缆金属线槽）、信息指示灯等设备，观察是否有不牢固现象；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6)用扳手试着紧固各设备与底座或立柱连接螺栓，检测螺栓是否有松动；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7)对电缆桥架托架（电缆金属线槽抱箍）、信息指示灯底座膨胀螺栓的锚固力作承载力测试。</w:t>
      </w:r>
    </w:p>
    <w:p>
      <w:pPr>
        <w:spacing w:line="360" w:lineRule="auto"/>
        <w:rPr>
          <w:rFonts w:ascii="宋体" w:hAnsi="宋体" w:eastAsia="宋体"/>
          <w:b/>
        </w:rPr>
      </w:pPr>
      <w:bookmarkStart w:id="5" w:name="_Toc2068"/>
      <w:r>
        <w:rPr>
          <w:rFonts w:hint="eastAsia" w:ascii="宋体" w:hAnsi="宋体" w:eastAsia="宋体"/>
          <w:b/>
        </w:rPr>
        <w:t>5.</w:t>
      </w:r>
      <w:bookmarkEnd w:id="5"/>
      <w:r>
        <w:rPr>
          <w:rFonts w:hint="eastAsia" w:ascii="宋体" w:hAnsi="宋体" w:eastAsia="宋体"/>
          <w:b/>
        </w:rPr>
        <w:t>2  检测抽样原则及频率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（1）风机预埋件、洞内信息指示灯和洞外门架式可变信息情报板全检，抽样频率100%。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（2）电缆桥架托架（电缆金属线槽抱箍）螺栓螺母紧固情况和变形损坏情况随机抽取10%进行检测，即每20m为一个测区，每个测区检1处。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（3）电缆桥架托架（电缆金属线槽抱箍）承载力抽样频率1%，即每100m抽检1处。</w:t>
      </w:r>
    </w:p>
    <w:p>
      <w:pPr>
        <w:spacing w:line="360" w:lineRule="auto"/>
        <w:rPr>
          <w:rFonts w:eastAsia="黑体"/>
          <w:sz w:val="28"/>
          <w:szCs w:val="28"/>
        </w:rPr>
      </w:pPr>
      <w:bookmarkStart w:id="6" w:name="_Toc352582457"/>
      <w:r>
        <w:rPr>
          <w:rFonts w:hint="eastAsia" w:ascii="宋体" w:hAnsi="宋体" w:eastAsia="宋体"/>
          <w:b/>
        </w:rPr>
        <w:t>5.3  焊缝无损探伤检测</w:t>
      </w:r>
      <w:bookmarkEnd w:id="6"/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预埋件及连接部位焊缝检测采用超声波无损探伤检测仪进行。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超声波在异质界面上会发生反射、折射和波型转换等现象，尤其不能通过气体与固体的界面，利用该种特性就可以获得从缺陷界面反射回来的反射波，从而达到探测缺陷的目的。</w:t>
      </w:r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>超声波在固体中具有传输损失小，探测深度大的特点。如果金属中有气孔、裂纹、分层之类的缺陷（缺陷中有气体）或夹渣之类的缺陷（缺陷中有异种介质），超声波传播到金属与缺陷的界面处，就会全部或部分被反射。反射回来的超声波被探头接收，通过仪器内部的电路处理，在仪器的荧光屏上就显示出不同高度和有一定间距的波形。探伤人员根据波形的变化特征，判断缺陷在工件中的深度、大小和类型。</w:t>
      </w:r>
    </w:p>
    <w:p>
      <w:pPr>
        <w:spacing w:line="360" w:lineRule="auto"/>
        <w:rPr>
          <w:rFonts w:ascii="宋体" w:hAnsi="宋体" w:eastAsia="宋体"/>
          <w:b/>
        </w:rPr>
      </w:pPr>
      <w:bookmarkStart w:id="7" w:name="_Toc352582459"/>
      <w:r>
        <w:rPr>
          <w:rFonts w:hint="eastAsia" w:ascii="宋体" w:hAnsi="宋体" w:eastAsia="宋体"/>
          <w:b/>
        </w:rPr>
        <w:t>5.4承载力检测</w:t>
      </w:r>
      <w:bookmarkEnd w:id="7"/>
    </w:p>
    <w:p>
      <w:p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2"/>
        </w:rPr>
      </w:pPr>
      <w:bookmarkStart w:id="8" w:name="_GoBack"/>
      <w:r>
        <w:rPr>
          <w:rFonts w:hint="eastAsia" w:ascii="微软雅黑" w:hAnsi="微软雅黑" w:eastAsia="微软雅黑" w:cs="微软雅黑"/>
          <w:sz w:val="22"/>
        </w:rPr>
        <w:t>在被检植筋锚杆或膨胀螺栓处经钢绞线悬挂一台电子吊秤，电子吊秤的另一端连接牵引器的固定端，牵引器的活动端连接到高架升降车操作平台上。加载时，加载人员扳动牵引器的手柄，使牵引器的钢绞线缠绕在卷轴上进而拉紧被检物件，边加载边观察电子吊秤读数及植筋锚杆和膨胀螺栓锚固情况，当电子吊秤读数到达所需测试载荷时停止加载，此时如果与植筋锚杆或膨胀螺栓接触的混凝土无开裂且也无被拉出，则判定承载力符合要求，反之，判定为不合格。承载力试验加载示意图如图1所示。</w:t>
      </w:r>
    </w:p>
    <w:bookmarkEnd w:id="8"/>
    <w:p>
      <w:pPr>
        <w:adjustRightInd w:val="0"/>
        <w:snapToGrid w:val="0"/>
        <w:spacing w:line="360" w:lineRule="auto"/>
        <w:rPr>
          <w:rFonts w:ascii="微软雅黑" w:hAnsi="微软雅黑" w:eastAsia="微软雅黑" w:cs="微软雅黑"/>
          <w:bCs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F6A6E"/>
    <w:rsid w:val="00162A87"/>
    <w:rsid w:val="00780AA0"/>
    <w:rsid w:val="00B20351"/>
    <w:rsid w:val="00D30913"/>
    <w:rsid w:val="00EF6A6E"/>
    <w:rsid w:val="090B7258"/>
    <w:rsid w:val="0ADD63D8"/>
    <w:rsid w:val="0CE631A2"/>
    <w:rsid w:val="10356928"/>
    <w:rsid w:val="15881E7E"/>
    <w:rsid w:val="19E36E04"/>
    <w:rsid w:val="1C5D07C4"/>
    <w:rsid w:val="289C66CF"/>
    <w:rsid w:val="2FB820C7"/>
    <w:rsid w:val="3012476B"/>
    <w:rsid w:val="32AF539E"/>
    <w:rsid w:val="345D1AB5"/>
    <w:rsid w:val="37C00C28"/>
    <w:rsid w:val="3AA064D7"/>
    <w:rsid w:val="3D9D499E"/>
    <w:rsid w:val="3E22416A"/>
    <w:rsid w:val="3F1B2FC8"/>
    <w:rsid w:val="3F58750C"/>
    <w:rsid w:val="3F7A15DB"/>
    <w:rsid w:val="413A3214"/>
    <w:rsid w:val="417244DC"/>
    <w:rsid w:val="423E31DB"/>
    <w:rsid w:val="45EE0407"/>
    <w:rsid w:val="461114B9"/>
    <w:rsid w:val="4B8F77E6"/>
    <w:rsid w:val="4FC8798E"/>
    <w:rsid w:val="50F37F3A"/>
    <w:rsid w:val="51651BE1"/>
    <w:rsid w:val="529F6A2C"/>
    <w:rsid w:val="52BC56B7"/>
    <w:rsid w:val="52CD70C1"/>
    <w:rsid w:val="53492E46"/>
    <w:rsid w:val="5F403466"/>
    <w:rsid w:val="5FA11FA1"/>
    <w:rsid w:val="61554F13"/>
    <w:rsid w:val="61954582"/>
    <w:rsid w:val="65E157E9"/>
    <w:rsid w:val="68293BAE"/>
    <w:rsid w:val="68F3198E"/>
    <w:rsid w:val="6AFA1F88"/>
    <w:rsid w:val="6B290C51"/>
    <w:rsid w:val="6F067F0F"/>
    <w:rsid w:val="6F7C74DC"/>
    <w:rsid w:val="75726CA8"/>
    <w:rsid w:val="76093F8F"/>
    <w:rsid w:val="78046FD1"/>
    <w:rsid w:val="7B8E543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内容"/>
    <w:basedOn w:val="1"/>
    <w:qFormat/>
    <w:uiPriority w:val="0"/>
    <w:pPr>
      <w:spacing w:line="480" w:lineRule="exact"/>
      <w:ind w:firstLine="200" w:firstLineChars="200"/>
    </w:pPr>
  </w:style>
  <w:style w:type="character" w:customStyle="1" w:styleId="5">
    <w:name w:val="font21"/>
    <w:basedOn w:val="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31"/>
    <w:basedOn w:val="2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81"/>
    <w:basedOn w:val="2"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8">
    <w:name w:val="font91"/>
    <w:basedOn w:val="2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61"/>
    <w:basedOn w:val="2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535</Words>
  <Characters>3051</Characters>
  <Lines>25</Lines>
  <Paragraphs>7</Paragraphs>
  <TotalTime>0</TotalTime>
  <ScaleCrop>false</ScaleCrop>
  <LinksUpToDate>false</LinksUpToDate>
  <CharactersWithSpaces>3579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杨中浪</cp:lastModifiedBy>
  <dcterms:modified xsi:type="dcterms:W3CDTF">2021-04-19T02:30:03Z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