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首讯公司2022年生产用高空作业车采购</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10</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p>
    <w:p>
      <w:pPr>
        <w:pStyle w:val="2"/>
        <w:jc w:val="center"/>
        <w:outlineLvl w:val="0"/>
        <w:rPr>
          <w:rFonts w:ascii="宋体" w:hAnsi="宋体" w:cs="宋体"/>
          <w:szCs w:val="21"/>
          <w:highlight w:val="none"/>
        </w:rPr>
      </w:pPr>
      <w:r>
        <w:rPr>
          <w:highlight w:val="none"/>
        </w:rPr>
        <w:br w:type="page"/>
      </w:r>
      <w:bookmarkStart w:id="0" w:name="_Toc246996898"/>
      <w:bookmarkStart w:id="1" w:name="_Toc507319889"/>
      <w:bookmarkStart w:id="2" w:name="_Toc507428442"/>
      <w:bookmarkStart w:id="3" w:name="_Toc296602400"/>
      <w:bookmarkStart w:id="4" w:name="_Toc247085669"/>
      <w:bookmarkStart w:id="5" w:name="_Toc27358"/>
      <w:r>
        <w:rPr>
          <w:rFonts w:hint="eastAsia" w:ascii="宋体" w:hAnsi="宋体" w:cs="宋体"/>
          <w:b w:val="0"/>
          <w:sz w:val="32"/>
          <w:highlight w:val="none"/>
        </w:rPr>
        <w:t>目   录</w:t>
      </w:r>
      <w:bookmarkEnd w:id="0"/>
      <w:bookmarkEnd w:id="1"/>
      <w:bookmarkEnd w:id="2"/>
      <w:bookmarkEnd w:id="3"/>
      <w:bookmarkEnd w:id="4"/>
      <w:bookmarkEnd w:id="5"/>
    </w:p>
    <w:p>
      <w:pPr>
        <w:pStyle w:val="2"/>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highlight w:val="none"/>
        </w:rPr>
        <w:fldChar w:fldCharType="begin"/>
      </w:r>
      <w:r>
        <w:rPr>
          <w:highlight w:val="none"/>
        </w:rPr>
        <w:instrText xml:space="preserve"> HYPERLINK \l "_Toc25855" </w:instrText>
      </w:r>
      <w:r>
        <w:rPr>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_Toc25855 \h </w:instrText>
      </w:r>
      <w:r>
        <w:rPr>
          <w:highlight w:val="none"/>
        </w:rPr>
        <w:fldChar w:fldCharType="separate"/>
      </w:r>
      <w:r>
        <w:rPr>
          <w:highlight w:val="none"/>
        </w:rPr>
        <w:t>1</w:t>
      </w:r>
      <w:r>
        <w:rPr>
          <w:highlight w:val="none"/>
        </w:rPr>
        <w:fldChar w:fldCharType="end"/>
      </w:r>
      <w:r>
        <w:rPr>
          <w:highlight w:val="none"/>
        </w:rPr>
        <w:fldChar w:fldCharType="end"/>
      </w:r>
    </w:p>
    <w:p>
      <w:pPr>
        <w:pStyle w:val="2"/>
        <w:tabs>
          <w:tab w:val="right" w:leader="dot" w:pos="9638"/>
        </w:tabs>
        <w:rPr>
          <w:highlight w:val="none"/>
        </w:rPr>
      </w:pPr>
      <w:r>
        <w:rPr>
          <w:highlight w:val="none"/>
        </w:rPr>
        <w:fldChar w:fldCharType="begin"/>
      </w:r>
      <w:r>
        <w:rPr>
          <w:highlight w:val="none"/>
        </w:rPr>
        <w:instrText xml:space="preserve"> HYPERLINK \l "_Toc18539" </w:instrText>
      </w:r>
      <w:r>
        <w:rPr>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_Toc18539 \h </w:instrText>
      </w:r>
      <w:r>
        <w:rPr>
          <w:highlight w:val="none"/>
        </w:rPr>
        <w:fldChar w:fldCharType="separate"/>
      </w:r>
      <w:r>
        <w:rPr>
          <w:highlight w:val="none"/>
        </w:rPr>
        <w:t>4</w:t>
      </w:r>
      <w:r>
        <w:rPr>
          <w:highlight w:val="none"/>
        </w:rPr>
        <w:fldChar w:fldCharType="end"/>
      </w:r>
      <w:r>
        <w:rPr>
          <w:highlight w:val="none"/>
        </w:rPr>
        <w:fldChar w:fldCharType="end"/>
      </w:r>
    </w:p>
    <w:p>
      <w:pPr>
        <w:pStyle w:val="2"/>
        <w:tabs>
          <w:tab w:val="right" w:leader="dot" w:pos="9638"/>
        </w:tabs>
        <w:rPr>
          <w:highlight w:val="none"/>
        </w:rPr>
      </w:pPr>
      <w:r>
        <w:rPr>
          <w:highlight w:val="none"/>
        </w:rPr>
        <w:fldChar w:fldCharType="begin"/>
      </w:r>
      <w:r>
        <w:rPr>
          <w:highlight w:val="none"/>
        </w:rPr>
        <w:instrText xml:space="preserve"> HYPERLINK \l "_Toc7273" </w:instrText>
      </w:r>
      <w:r>
        <w:rPr>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_Toc7273 \h </w:instrText>
      </w:r>
      <w:r>
        <w:rPr>
          <w:highlight w:val="none"/>
        </w:rPr>
        <w:fldChar w:fldCharType="separate"/>
      </w:r>
      <w:r>
        <w:rPr>
          <w:highlight w:val="none"/>
        </w:rPr>
        <w:t>7</w:t>
      </w:r>
      <w:r>
        <w:rPr>
          <w:highlight w:val="none"/>
        </w:rPr>
        <w:fldChar w:fldCharType="end"/>
      </w:r>
      <w:r>
        <w:rPr>
          <w:highlight w:val="none"/>
        </w:rPr>
        <w:fldChar w:fldCharType="end"/>
      </w:r>
    </w:p>
    <w:p>
      <w:pPr>
        <w:pStyle w:val="2"/>
        <w:tabs>
          <w:tab w:val="right" w:leader="dot" w:pos="9638"/>
        </w:tabs>
        <w:rPr>
          <w:highlight w:val="none"/>
        </w:rPr>
      </w:pPr>
      <w:r>
        <w:rPr>
          <w:highlight w:val="none"/>
        </w:rPr>
        <w:fldChar w:fldCharType="begin"/>
      </w:r>
      <w:r>
        <w:rPr>
          <w:highlight w:val="none"/>
        </w:rPr>
        <w:instrText xml:space="preserve"> HYPERLINK \l "_Toc6879" </w:instrText>
      </w:r>
      <w:r>
        <w:rPr>
          <w:highlight w:val="none"/>
        </w:rPr>
        <w:fldChar w:fldCharType="separate"/>
      </w:r>
      <w:r>
        <w:rPr>
          <w:rFonts w:hint="eastAsia"/>
          <w:highlight w:val="none"/>
        </w:rPr>
        <w:t>第四章 报价说明</w:t>
      </w:r>
      <w:r>
        <w:rPr>
          <w:highlight w:val="none"/>
        </w:rPr>
        <w:tab/>
      </w:r>
      <w:r>
        <w:rPr>
          <w:highlight w:val="none"/>
        </w:rPr>
        <w:fldChar w:fldCharType="begin"/>
      </w:r>
      <w:r>
        <w:rPr>
          <w:highlight w:val="none"/>
        </w:rPr>
        <w:instrText xml:space="preserve"> PAGEREF _Toc6879 \h </w:instrText>
      </w:r>
      <w:r>
        <w:rPr>
          <w:highlight w:val="none"/>
        </w:rPr>
        <w:fldChar w:fldCharType="separate"/>
      </w:r>
      <w:r>
        <w:rPr>
          <w:highlight w:val="none"/>
        </w:rPr>
        <w:t>11</w:t>
      </w:r>
      <w:r>
        <w:rPr>
          <w:highlight w:val="none"/>
        </w:rPr>
        <w:fldChar w:fldCharType="end"/>
      </w:r>
      <w:r>
        <w:rPr>
          <w:highlight w:val="none"/>
        </w:rPr>
        <w:fldChar w:fldCharType="end"/>
      </w:r>
    </w:p>
    <w:p>
      <w:pPr>
        <w:pStyle w:val="2"/>
        <w:tabs>
          <w:tab w:val="right" w:leader="dot" w:pos="9638"/>
        </w:tabs>
        <w:rPr>
          <w:highlight w:val="none"/>
        </w:rPr>
      </w:pPr>
      <w:r>
        <w:rPr>
          <w:highlight w:val="none"/>
        </w:rPr>
        <w:fldChar w:fldCharType="begin"/>
      </w:r>
      <w:r>
        <w:rPr>
          <w:highlight w:val="none"/>
        </w:rPr>
        <w:instrText xml:space="preserve"> HYPERLINK \l "_Toc4638" </w:instrText>
      </w:r>
      <w:r>
        <w:rPr>
          <w:highlight w:val="none"/>
        </w:rPr>
        <w:fldChar w:fldCharType="separate"/>
      </w:r>
      <w:r>
        <w:rPr>
          <w:rFonts w:hint="eastAsia" w:ascii="宋体" w:hAnsi="宋体" w:cs="宋体"/>
          <w:highlight w:val="none"/>
        </w:rPr>
        <w:t>第五章 报价清单</w:t>
      </w:r>
      <w:r>
        <w:rPr>
          <w:highlight w:val="none"/>
        </w:rPr>
        <w:tab/>
      </w:r>
      <w:r>
        <w:rPr>
          <w:highlight w:val="none"/>
        </w:rPr>
        <w:fldChar w:fldCharType="begin"/>
      </w:r>
      <w:r>
        <w:rPr>
          <w:highlight w:val="none"/>
        </w:rPr>
        <w:instrText xml:space="preserve"> PAGEREF _Toc4638 \h </w:instrText>
      </w:r>
      <w:r>
        <w:rPr>
          <w:highlight w:val="none"/>
        </w:rPr>
        <w:fldChar w:fldCharType="separate"/>
      </w:r>
      <w:r>
        <w:rPr>
          <w:highlight w:val="none"/>
        </w:rPr>
        <w:t>12</w:t>
      </w:r>
      <w:r>
        <w:rPr>
          <w:highlight w:val="none"/>
        </w:rPr>
        <w:fldChar w:fldCharType="end"/>
      </w:r>
      <w:r>
        <w:rPr>
          <w:highlight w:val="none"/>
        </w:rPr>
        <w:fldChar w:fldCharType="end"/>
      </w:r>
    </w:p>
    <w:p>
      <w:pPr>
        <w:pStyle w:val="2"/>
        <w:tabs>
          <w:tab w:val="right" w:leader="dot" w:pos="9638"/>
        </w:tabs>
        <w:rPr>
          <w:highlight w:val="none"/>
        </w:rPr>
      </w:pPr>
      <w:r>
        <w:rPr>
          <w:highlight w:val="none"/>
        </w:rPr>
        <w:fldChar w:fldCharType="begin"/>
      </w:r>
      <w:r>
        <w:rPr>
          <w:highlight w:val="none"/>
        </w:rPr>
        <w:instrText xml:space="preserve"> HYPERLINK \l "_Toc28333" </w:instrText>
      </w:r>
      <w:r>
        <w:rPr>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_Toc28333 \h </w:instrText>
      </w:r>
      <w:r>
        <w:rPr>
          <w:highlight w:val="none"/>
        </w:rPr>
        <w:fldChar w:fldCharType="separate"/>
      </w:r>
      <w:r>
        <w:rPr>
          <w:highlight w:val="none"/>
        </w:rPr>
        <w:t>13</w:t>
      </w:r>
      <w:r>
        <w:rPr>
          <w:highlight w:val="none"/>
        </w:rPr>
        <w:fldChar w:fldCharType="end"/>
      </w:r>
      <w:r>
        <w:rPr>
          <w:highlight w:val="none"/>
        </w:rPr>
        <w:fldChar w:fldCharType="end"/>
      </w:r>
    </w:p>
    <w:p>
      <w:pPr>
        <w:pStyle w:val="2"/>
        <w:tabs>
          <w:tab w:val="right" w:leader="dot" w:pos="9638"/>
        </w:tabs>
        <w:rPr>
          <w:highlight w:val="none"/>
        </w:rPr>
      </w:pPr>
      <w:r>
        <w:rPr>
          <w:highlight w:val="none"/>
        </w:rPr>
        <w:fldChar w:fldCharType="begin"/>
      </w:r>
      <w:r>
        <w:rPr>
          <w:highlight w:val="none"/>
        </w:rPr>
        <w:instrText xml:space="preserve"> HYPERLINK \l "_Toc904" </w:instrText>
      </w:r>
      <w:r>
        <w:rPr>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_Toc904 \h </w:instrText>
      </w:r>
      <w:r>
        <w:rPr>
          <w:highlight w:val="none"/>
        </w:rPr>
        <w:fldChar w:fldCharType="separate"/>
      </w:r>
      <w:r>
        <w:rPr>
          <w:highlight w:val="none"/>
        </w:rPr>
        <w:t>14</w:t>
      </w:r>
      <w:r>
        <w:rPr>
          <w:highlight w:val="none"/>
        </w:rPr>
        <w:fldChar w:fldCharType="end"/>
      </w:r>
      <w:r>
        <w:rPr>
          <w:highlight w:val="none"/>
        </w:rPr>
        <w:fldChar w:fldCharType="end"/>
      </w:r>
    </w:p>
    <w:p>
      <w:pPr>
        <w:pStyle w:val="2"/>
        <w:tabs>
          <w:tab w:val="right" w:leader="dot" w:pos="9638"/>
        </w:tabs>
        <w:rPr>
          <w:highlight w:val="none"/>
        </w:rPr>
      </w:pPr>
      <w:r>
        <w:rPr>
          <w:highlight w:val="none"/>
        </w:rPr>
        <w:fldChar w:fldCharType="begin"/>
      </w:r>
      <w:r>
        <w:rPr>
          <w:highlight w:val="none"/>
        </w:rPr>
        <w:instrText xml:space="preserve"> HYPERLINK \l "_Toc15881" </w:instrText>
      </w:r>
      <w:r>
        <w:rPr>
          <w:highlight w:val="none"/>
        </w:rPr>
        <w:fldChar w:fldCharType="separate"/>
      </w:r>
      <w:r>
        <w:rPr>
          <w:rFonts w:hint="eastAsia" w:ascii="宋体" w:hAnsi="宋体" w:cs="宋体"/>
          <w:highlight w:val="none"/>
        </w:rPr>
        <w:t>第八章  竞争性比选响应文件格式</w:t>
      </w:r>
      <w:r>
        <w:rPr>
          <w:highlight w:val="none"/>
        </w:rPr>
        <w:tab/>
      </w:r>
      <w:r>
        <w:rPr>
          <w:highlight w:val="none"/>
        </w:rPr>
        <w:fldChar w:fldCharType="begin"/>
      </w:r>
      <w:r>
        <w:rPr>
          <w:highlight w:val="none"/>
        </w:rPr>
        <w:instrText xml:space="preserve"> PAGEREF _Toc15881 \h </w:instrText>
      </w:r>
      <w:r>
        <w:rPr>
          <w:highlight w:val="none"/>
        </w:rPr>
        <w:fldChar w:fldCharType="separate"/>
      </w:r>
      <w:r>
        <w:rPr>
          <w:highlight w:val="none"/>
        </w:rPr>
        <w:t>18</w:t>
      </w:r>
      <w:r>
        <w:rPr>
          <w:highlight w:val="none"/>
        </w:rPr>
        <w:fldChar w:fldCharType="end"/>
      </w:r>
      <w:r>
        <w:rPr>
          <w:highlight w:val="none"/>
        </w:rPr>
        <w:fldChar w:fldCharType="end"/>
      </w:r>
    </w:p>
    <w:p>
      <w:pPr>
        <w:pStyle w:val="34"/>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6" w:name="_Toc246996900"/>
      <w:bookmarkStart w:id="7" w:name="_Toc247096243"/>
      <w:bookmarkStart w:id="8" w:name="_Toc179632527"/>
      <w:bookmarkStart w:id="9" w:name="_Toc152045511"/>
      <w:bookmarkStart w:id="10" w:name="_Toc246996157"/>
      <w:bookmarkStart w:id="11" w:name="_Toc247085671"/>
      <w:bookmarkStart w:id="12" w:name="_Toc507319890"/>
      <w:bookmarkStart w:id="13" w:name="_Toc2000404"/>
      <w:bookmarkStart w:id="14" w:name="_Toc144974479"/>
      <w:bookmarkStart w:id="15" w:name="_Toc152042287"/>
      <w:bookmarkStart w:id="16" w:name="_Toc25855"/>
      <w:r>
        <w:rPr>
          <w:rFonts w:hint="eastAsia" w:ascii="宋体" w:hAnsi="宋体" w:cs="宋体"/>
          <w:highlight w:val="none"/>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cs="宋体"/>
          <w:highlight w:val="none"/>
        </w:rPr>
        <w:t>比选公告</w:t>
      </w:r>
      <w:bookmarkEnd w:id="16"/>
    </w:p>
    <w:p>
      <w:pPr>
        <w:spacing w:line="440" w:lineRule="exact"/>
        <w:jc w:val="center"/>
        <w:rPr>
          <w:rFonts w:ascii="宋体" w:hAnsi="宋体" w:cs="宋体"/>
          <w:b/>
          <w:sz w:val="28"/>
          <w:szCs w:val="28"/>
          <w:highlight w:val="none"/>
        </w:rPr>
      </w:pPr>
      <w:bookmarkStart w:id="17" w:name="OLE_LINK3"/>
      <w:bookmarkStart w:id="18" w:name="OLE_LINK2"/>
    </w:p>
    <w:p>
      <w:pPr>
        <w:pStyle w:val="4"/>
        <w:spacing w:before="120" w:after="0" w:line="360" w:lineRule="auto"/>
        <w:rPr>
          <w:rFonts w:ascii="宋体" w:hAnsi="宋体" w:eastAsia="宋体" w:cs="宋体"/>
          <w:highlight w:val="none"/>
        </w:rPr>
      </w:pPr>
      <w:bookmarkStart w:id="19" w:name="_Toc152042288"/>
      <w:bookmarkStart w:id="20" w:name="_Toc10956"/>
      <w:bookmarkStart w:id="21" w:name="_Toc246996158"/>
      <w:bookmarkStart w:id="22" w:name="_Toc179632528"/>
      <w:bookmarkStart w:id="23" w:name="_Toc507319891"/>
      <w:bookmarkStart w:id="24" w:name="_Toc246996901"/>
      <w:bookmarkStart w:id="25" w:name="_Toc152045512"/>
      <w:bookmarkStart w:id="26" w:name="_Toc247085672"/>
      <w:bookmarkStart w:id="27" w:name="_Toc6549"/>
      <w:bookmarkStart w:id="28" w:name="_Toc26575"/>
      <w:bookmarkStart w:id="29" w:name="_Toc5988"/>
      <w:bookmarkStart w:id="30" w:name="_Toc24874"/>
      <w:bookmarkStart w:id="31" w:name="_Toc11329213"/>
      <w:bookmarkStart w:id="32" w:name="_Toc144974480"/>
      <w:bookmarkStart w:id="33" w:name="_Toc1930"/>
      <w:bookmarkStart w:id="34" w:name="_Toc10076"/>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首讯公司2022年生产用高空作业车采购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5" w:name="_Toc144974481"/>
      <w:bookmarkStart w:id="36" w:name="_Toc152045513"/>
      <w:bookmarkStart w:id="37" w:name="_Toc246996902"/>
      <w:bookmarkStart w:id="38" w:name="_Toc507319892"/>
      <w:bookmarkStart w:id="39" w:name="_Toc21343"/>
      <w:bookmarkStart w:id="40" w:name="_Toc247085673"/>
      <w:bookmarkStart w:id="41" w:name="_Toc21621"/>
      <w:bookmarkStart w:id="42" w:name="_Toc246996159"/>
      <w:bookmarkStart w:id="43" w:name="_Toc11329214"/>
      <w:bookmarkStart w:id="44" w:name="_Toc2824"/>
      <w:bookmarkStart w:id="45" w:name="_Toc179632529"/>
      <w:bookmarkStart w:id="46" w:name="_Toc32159"/>
      <w:bookmarkStart w:id="47" w:name="_Toc152042289"/>
      <w:bookmarkStart w:id="48" w:name="_Toc18109"/>
      <w:bookmarkStart w:id="49" w:name="_Toc10952"/>
      <w:bookmarkStart w:id="50" w:name="_Toc14538"/>
      <w:r>
        <w:rPr>
          <w:rFonts w:hint="eastAsia" w:ascii="宋体" w:hAnsi="宋体" w:eastAsia="宋体" w:cs="宋体"/>
          <w:highlight w:val="none"/>
        </w:rPr>
        <w:t>2. 项目概况与比选范围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20" w:firstLineChars="200"/>
        <w:rPr>
          <w:rFonts w:ascii="宋体" w:hAnsi="宋体" w:cs="宋体"/>
          <w:highlight w:val="none"/>
        </w:rPr>
      </w:pPr>
      <w:bookmarkStart w:id="51" w:name="_Toc446247226"/>
      <w:r>
        <w:rPr>
          <w:rFonts w:hint="eastAsia" w:ascii="宋体" w:hAnsi="宋体" w:cs="宋体"/>
          <w:highlight w:val="none"/>
        </w:rPr>
        <w:t>2.1 项目地点：</w:t>
      </w:r>
      <w:bookmarkEnd w:id="51"/>
      <w:r>
        <w:rPr>
          <w:rFonts w:hint="eastAsia" w:ascii="宋体" w:hAnsi="宋体" w:cs="宋体"/>
          <w:szCs w:val="21"/>
          <w:highlight w:val="none"/>
          <w:u w:val="single"/>
        </w:rPr>
        <w:t>重庆首讯科技股份有限公司</w:t>
      </w:r>
      <w:r>
        <w:rPr>
          <w:rFonts w:hint="eastAsia" w:ascii="宋体" w:hAnsi="宋体" w:cs="宋体"/>
          <w:highlight w:val="none"/>
        </w:rPr>
        <w:t>。</w:t>
      </w:r>
    </w:p>
    <w:p>
      <w:pPr>
        <w:pStyle w:val="13"/>
        <w:adjustRightInd w:val="0"/>
        <w:spacing w:line="400" w:lineRule="exact"/>
        <w:rPr>
          <w:rFonts w:ascii="宋体" w:hAnsi="宋体" w:cs="宋体"/>
          <w:szCs w:val="21"/>
          <w:highlight w:val="none"/>
        </w:rPr>
      </w:pPr>
      <w:r>
        <w:rPr>
          <w:rFonts w:hint="eastAsia" w:ascii="宋体" w:hAnsi="宋体" w:cs="宋体"/>
          <w:szCs w:val="21"/>
          <w:highlight w:val="none"/>
        </w:rPr>
        <w:t>2.2 项目概况：根据</w:t>
      </w:r>
      <w:r>
        <w:rPr>
          <w:rFonts w:hint="eastAsia" w:ascii="宋体" w:hAnsi="宋体" w:cs="宋体"/>
          <w:szCs w:val="21"/>
          <w:highlight w:val="none"/>
          <w:lang w:val="en-US" w:eastAsia="zh-CN"/>
        </w:rPr>
        <w:t>首讯</w:t>
      </w:r>
      <w:r>
        <w:rPr>
          <w:rFonts w:hint="eastAsia" w:ascii="宋体" w:hAnsi="宋体" w:cs="宋体"/>
          <w:szCs w:val="21"/>
          <w:highlight w:val="none"/>
        </w:rPr>
        <w:t>公司</w:t>
      </w:r>
      <w:r>
        <w:rPr>
          <w:rFonts w:hint="eastAsia" w:ascii="宋体" w:hAnsi="宋体" w:cs="宋体"/>
          <w:szCs w:val="21"/>
          <w:highlight w:val="none"/>
          <w:lang w:val="en-US" w:eastAsia="zh-CN"/>
        </w:rPr>
        <w:t>生产</w:t>
      </w:r>
      <w:r>
        <w:rPr>
          <w:rFonts w:hint="eastAsia" w:ascii="宋体" w:hAnsi="宋体" w:cs="宋体"/>
          <w:szCs w:val="21"/>
          <w:highlight w:val="none"/>
        </w:rPr>
        <w:t>需求，现需</w:t>
      </w:r>
      <w:r>
        <w:rPr>
          <w:rFonts w:hint="eastAsia" w:ascii="宋体" w:hAnsi="宋体" w:cs="宋体"/>
          <w:szCs w:val="21"/>
          <w:highlight w:val="none"/>
          <w:lang w:val="en-US" w:eastAsia="zh-CN"/>
        </w:rPr>
        <w:t>购买高空作业车 2台</w:t>
      </w:r>
      <w:r>
        <w:rPr>
          <w:rFonts w:hint="eastAsia" w:ascii="宋体" w:hAnsi="宋体" w:cs="宋体"/>
          <w:szCs w:val="21"/>
          <w:highlight w:val="none"/>
        </w:rPr>
        <w:t>。</w:t>
      </w:r>
    </w:p>
    <w:p>
      <w:pPr>
        <w:pStyle w:val="13"/>
        <w:adjustRightInd w:val="0"/>
        <w:spacing w:line="400" w:lineRule="exact"/>
        <w:rPr>
          <w:rFonts w:ascii="宋体" w:hAnsi="宋体" w:cs="宋体"/>
          <w:highlight w:val="none"/>
        </w:rPr>
      </w:pPr>
      <w:r>
        <w:rPr>
          <w:rFonts w:hint="eastAsia" w:ascii="宋体" w:hAnsi="宋体" w:cs="宋体"/>
          <w:highlight w:val="none"/>
        </w:rPr>
        <w:t>2.3 比选范围：</w:t>
      </w:r>
    </w:p>
    <w:p>
      <w:pPr>
        <w:pStyle w:val="13"/>
        <w:adjustRightInd w:val="0"/>
        <w:spacing w:line="400" w:lineRule="exact"/>
        <w:rPr>
          <w:rFonts w:ascii="宋体" w:hAnsi="宋体" w:cs="宋体"/>
          <w:szCs w:val="21"/>
          <w:highlight w:val="none"/>
        </w:rPr>
      </w:pPr>
      <w:r>
        <w:rPr>
          <w:rFonts w:hint="eastAsia" w:ascii="宋体" w:hAnsi="宋体" w:cs="宋体"/>
          <w:szCs w:val="21"/>
          <w:highlight w:val="none"/>
          <w:lang w:val="en-US" w:eastAsia="zh-CN"/>
        </w:rPr>
        <w:t>两台全新（出厂日期2个月之内）高空作业车车辆供货，供货日期：20</w:t>
      </w:r>
      <w:bookmarkStart w:id="271" w:name="_GoBack"/>
      <w:bookmarkEnd w:id="271"/>
      <w:r>
        <w:rPr>
          <w:rFonts w:hint="eastAsia" w:ascii="宋体" w:hAnsi="宋体" w:cs="宋体"/>
          <w:szCs w:val="21"/>
          <w:highlight w:val="none"/>
          <w:lang w:val="en-US" w:eastAsia="zh-CN"/>
        </w:rPr>
        <w:t>22年12月1日之前</w:t>
      </w:r>
      <w:r>
        <w:rPr>
          <w:rFonts w:hint="eastAsia" w:ascii="宋体" w:hAnsi="宋体" w:cs="宋体"/>
          <w:szCs w:val="21"/>
          <w:highlight w:val="none"/>
        </w:rPr>
        <w:t>。</w:t>
      </w:r>
    </w:p>
    <w:p>
      <w:pPr>
        <w:pStyle w:val="4"/>
        <w:spacing w:before="120" w:after="0" w:line="360" w:lineRule="auto"/>
        <w:rPr>
          <w:rFonts w:ascii="宋体" w:hAnsi="宋体" w:eastAsia="宋体" w:cs="宋体"/>
          <w:highlight w:val="none"/>
        </w:rPr>
      </w:pPr>
      <w:bookmarkStart w:id="52" w:name="_Toc246996903"/>
      <w:bookmarkStart w:id="53" w:name="_Toc152045514"/>
      <w:bookmarkStart w:id="54" w:name="_Toc1455"/>
      <w:bookmarkStart w:id="55" w:name="_Toc15568"/>
      <w:bookmarkStart w:id="56" w:name="_Toc10171"/>
      <w:bookmarkStart w:id="57" w:name="_Toc179632530"/>
      <w:bookmarkStart w:id="58" w:name="_Toc11329215"/>
      <w:bookmarkStart w:id="59" w:name="_Toc26728"/>
      <w:bookmarkStart w:id="60" w:name="_Toc152042290"/>
      <w:bookmarkStart w:id="61" w:name="_Toc15801"/>
      <w:bookmarkStart w:id="62" w:name="_Toc246996160"/>
      <w:bookmarkStart w:id="63" w:name="_Toc247085674"/>
      <w:bookmarkStart w:id="64" w:name="_Toc507319893"/>
      <w:bookmarkStart w:id="65" w:name="_Toc30356"/>
      <w:bookmarkStart w:id="66" w:name="_Toc144974482"/>
      <w:bookmarkStart w:id="67" w:name="_Toc7065"/>
      <w:r>
        <w:rPr>
          <w:rFonts w:hint="eastAsia" w:ascii="宋体" w:hAnsi="宋体" w:eastAsia="宋体" w:cs="宋体"/>
          <w:highlight w:val="none"/>
        </w:rPr>
        <w:t>3. 报价人资格要求</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400" w:lineRule="exact"/>
        <w:ind w:firstLine="420" w:firstLineChars="200"/>
        <w:rPr>
          <w:rFonts w:ascii="宋体" w:hAnsi="宋体" w:cs="宋体"/>
          <w:szCs w:val="21"/>
          <w:highlight w:val="none"/>
          <w:shd w:val="clear" w:color="auto" w:fill="FFFFFF"/>
        </w:rPr>
      </w:pPr>
      <w:bookmarkStart w:id="68" w:name="_Toc152042291"/>
      <w:bookmarkStart w:id="69" w:name="_Toc144974483"/>
      <w:bookmarkStart w:id="70" w:name="_Toc246996161"/>
      <w:bookmarkStart w:id="71" w:name="_Toc247085675"/>
      <w:bookmarkStart w:id="72" w:name="_Toc246996904"/>
      <w:bookmarkStart w:id="73" w:name="_Toc152045515"/>
      <w:bookmarkStart w:id="74" w:name="_Toc179632531"/>
      <w:r>
        <w:rPr>
          <w:rFonts w:hint="eastAsia" w:ascii="宋体" w:hAnsi="宋体" w:cs="宋体"/>
          <w:szCs w:val="21"/>
          <w:highlight w:val="none"/>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（1）具备独立法人资格，提供有效的营业执照；</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报价人需为高空作业车厂家或者代理商，如为代理商需提供销售代理证书或项目授权证书及车辆生产厂家营业执照（经营范围应包含高空作业车、随车起重机、随车起重运输车或特种作业车或专用汽车、工程机械等产品的制造）；</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3.2</w:t>
      </w:r>
      <w:r>
        <w:rPr>
          <w:rFonts w:hint="eastAsia" w:ascii="宋体" w:hAnsi="宋体" w:cs="宋体"/>
          <w:szCs w:val="21"/>
          <w:highlight w:val="none"/>
          <w:shd w:val="clear" w:color="auto" w:fill="FFFFFF"/>
        </w:rPr>
        <w:t>业绩要求：2019年1月1日至今至少具备1个高空作业车供货业绩（以合同签订时间为准，单个合同金额不低于50万元）</w:t>
      </w:r>
      <w:r>
        <w:rPr>
          <w:rFonts w:hint="eastAsia" w:ascii="宋体" w:hAnsi="宋体" w:cs="宋体"/>
          <w:szCs w:val="21"/>
          <w:highlight w:val="none"/>
        </w:rPr>
        <w:t>。</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 信誉要求：在国家企业信用信息公示系统（http://www.gsxt.gov.cn/）中未被列入严重违法失信企业名单（黑名单）信息；在“信用中国”网站（http://www.creditchina.gov.cn/）中未被列入失信惩戒执行人名单。（需提供截图（至</w:t>
      </w:r>
      <w:r>
        <w:rPr>
          <w:rFonts w:hint="eastAsia" w:ascii="宋体" w:hAnsi="宋体" w:cs="宋体"/>
          <w:szCs w:val="21"/>
          <w:highlight w:val="none"/>
        </w:rPr>
        <w:t>报价截止时间五天内的</w:t>
      </w:r>
      <w:r>
        <w:rPr>
          <w:rFonts w:hint="eastAsia" w:ascii="宋体" w:hAnsi="宋体" w:cs="宋体"/>
          <w:szCs w:val="21"/>
          <w:highlight w:val="none"/>
          <w:shd w:val="clear" w:color="auto" w:fill="FFFFFF"/>
        </w:rPr>
        <w:t>查询结果）并加盖报价人单位公章）</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3.4 报价人须提供采购人要求的所有资质要求、业绩要求、信誉要求的复印件并加盖单位鲜公章。</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3.5 本次比选不接受联合体及代理商报价。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3.6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75" w:name="_Toc11329216"/>
      <w:bookmarkStart w:id="76" w:name="_Toc6126"/>
      <w:bookmarkStart w:id="77" w:name="_Toc12460"/>
      <w:bookmarkStart w:id="78" w:name="_Toc25619"/>
      <w:bookmarkStart w:id="79" w:name="_Toc17747"/>
      <w:bookmarkStart w:id="80" w:name="_Toc850"/>
      <w:bookmarkStart w:id="81" w:name="_Toc14361"/>
      <w:bookmarkStart w:id="82" w:name="_Toc507319894"/>
      <w:bookmarkStart w:id="83" w:name="_Toc557"/>
      <w:r>
        <w:rPr>
          <w:rFonts w:hint="eastAsia" w:ascii="宋体" w:hAnsi="宋体" w:eastAsia="宋体" w:cs="宋体"/>
          <w:highlight w:val="none"/>
        </w:rPr>
        <w:t>4. 比选文件的获取</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400" w:lineRule="exact"/>
        <w:ind w:firstLine="420" w:firstLineChars="200"/>
        <w:rPr>
          <w:rFonts w:ascii="宋体" w:hAnsi="宋体"/>
          <w:szCs w:val="21"/>
          <w:highlight w:val="none"/>
        </w:rPr>
      </w:pPr>
      <w:bookmarkStart w:id="84" w:name="_Toc152042292"/>
      <w:bookmarkStart w:id="85" w:name="_Toc11329217"/>
      <w:bookmarkStart w:id="86" w:name="_Toc179632532"/>
      <w:bookmarkStart w:id="87" w:name="_Toc144974484"/>
      <w:bookmarkStart w:id="88" w:name="_Toc246996905"/>
      <w:bookmarkStart w:id="89" w:name="_Toc507319895"/>
      <w:bookmarkStart w:id="90" w:name="_Toc247085676"/>
      <w:bookmarkStart w:id="91" w:name="_Toc152045516"/>
      <w:bookmarkStart w:id="92" w:name="_Toc246996162"/>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 xml:space="preserve"> 2022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26</w:t>
      </w:r>
      <w:r>
        <w:rPr>
          <w:rFonts w:hint="eastAsia" w:ascii="宋体" w:hAnsi="宋体"/>
          <w:szCs w:val="21"/>
          <w:highlight w:val="none"/>
          <w:u w:val="single"/>
        </w:rPr>
        <w:t xml:space="preserve"> </w:t>
      </w:r>
      <w:r>
        <w:rPr>
          <w:rFonts w:hint="eastAsia" w:ascii="宋体" w:hAnsi="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w:t>
      </w:r>
      <w:r>
        <w:rPr>
          <w:rFonts w:hint="eastAsia" w:ascii="宋体" w:hAnsi="宋体"/>
          <w:szCs w:val="21"/>
          <w:highlight w:val="none"/>
        </w:rPr>
        <w:t>前在重庆高速集团官网平台上获取比选文件，各报价人应随时关注网上发布的竞争性比选文件答疑、补遗、澄清等文件内容，不管报价人是否下载，均视为已知晓竞争性比选文件的全部内容和有关事宜。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93" w:name="_Toc3356"/>
      <w:bookmarkStart w:id="94" w:name="_Toc16686"/>
      <w:bookmarkStart w:id="95" w:name="_Toc31493"/>
      <w:bookmarkStart w:id="96" w:name="_Toc9131"/>
      <w:bookmarkStart w:id="97" w:name="_Toc17845"/>
      <w:bookmarkStart w:id="98" w:name="_Toc27512"/>
      <w:bookmarkStart w:id="99" w:name="_Toc2547"/>
      <w:r>
        <w:rPr>
          <w:rFonts w:hint="eastAsia" w:ascii="宋体" w:hAnsi="宋体" w:eastAsia="宋体" w:cs="宋体"/>
          <w:highlight w:val="none"/>
        </w:rPr>
        <w:t>5. 竞争性比选响应文件的递交</w:t>
      </w:r>
      <w:bookmarkEnd w:id="84"/>
      <w:bookmarkEnd w:id="85"/>
      <w:bookmarkEnd w:id="86"/>
      <w:bookmarkEnd w:id="87"/>
      <w:bookmarkEnd w:id="88"/>
      <w:bookmarkEnd w:id="89"/>
      <w:bookmarkEnd w:id="90"/>
      <w:bookmarkEnd w:id="91"/>
      <w:bookmarkEnd w:id="92"/>
      <w:r>
        <w:rPr>
          <w:rFonts w:hint="eastAsia" w:ascii="宋体" w:hAnsi="宋体" w:eastAsia="宋体" w:cs="宋体"/>
          <w:highlight w:val="none"/>
        </w:rPr>
        <w:t>及相关事宜</w:t>
      </w:r>
      <w:bookmarkEnd w:id="93"/>
      <w:bookmarkEnd w:id="94"/>
      <w:bookmarkEnd w:id="95"/>
      <w:bookmarkEnd w:id="96"/>
      <w:bookmarkEnd w:id="97"/>
      <w:bookmarkEnd w:id="98"/>
      <w:bookmarkEnd w:id="99"/>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 xml:space="preserve"> 2022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26</w:t>
      </w:r>
      <w:r>
        <w:rPr>
          <w:rFonts w:hint="eastAsia" w:ascii="宋体" w:hAnsi="宋体"/>
          <w:szCs w:val="21"/>
          <w:highlight w:val="none"/>
          <w:u w:val="single"/>
        </w:rPr>
        <w:t xml:space="preserve"> </w:t>
      </w:r>
      <w:r>
        <w:rPr>
          <w:rFonts w:hint="eastAsia" w:ascii="宋体" w:hAnsi="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5.2报价的递交：重庆市渝北区龙溪街道新南路52号东界龙湖一楼</w:t>
      </w:r>
      <w:r>
        <w:rPr>
          <w:rFonts w:hint="eastAsia" w:ascii="宋体" w:hAnsi="宋体"/>
          <w:szCs w:val="21"/>
          <w:highlight w:val="none"/>
        </w:rPr>
        <w:t>。</w:t>
      </w:r>
    </w:p>
    <w:p>
      <w:pPr>
        <w:tabs>
          <w:tab w:val="left" w:pos="360"/>
        </w:tabs>
        <w:spacing w:line="400" w:lineRule="exact"/>
        <w:ind w:firstLine="420" w:firstLineChars="200"/>
        <w:rPr>
          <w:rFonts w:ascii="宋体" w:hAnsi="宋体"/>
          <w:szCs w:val="21"/>
          <w:highlight w:val="none"/>
        </w:rPr>
      </w:pPr>
      <w:r>
        <w:rPr>
          <w:rFonts w:hint="eastAsia" w:ascii="宋体" w:hAnsi="宋体" w:cs="宋体"/>
          <w:szCs w:val="21"/>
          <w:highlight w:val="none"/>
        </w:rPr>
        <w:t>5.3逾期送达，或未送达指定地点，或未密封的竞争性比选响应文件，采购人不予受理</w:t>
      </w:r>
      <w:r>
        <w:rPr>
          <w:rFonts w:hint="eastAsia" w:ascii="宋体" w:hAnsi="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5.4文件递交方式：在投标截止当天将比选响应文件送达并参与现场开标。</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5.5</w:t>
      </w:r>
      <w:r>
        <w:rPr>
          <w:rFonts w:ascii="宋体" w:hAnsi="宋体" w:cs="宋体"/>
          <w:szCs w:val="21"/>
          <w:highlight w:val="none"/>
        </w:rPr>
        <w:t>采购人不组织现场踏勘，不召开报价预备会。</w:t>
      </w:r>
    </w:p>
    <w:p>
      <w:pPr>
        <w:tabs>
          <w:tab w:val="left" w:pos="360"/>
        </w:tabs>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5.6</w:t>
      </w:r>
      <w:r>
        <w:rPr>
          <w:rFonts w:hint="eastAsia" w:hAnsi="宋体"/>
          <w:b/>
          <w:bCs/>
          <w:szCs w:val="21"/>
          <w:highlight w:val="none"/>
        </w:rPr>
        <w:t>报价人现场报价人员需提供行程码、健康码及48小时内核酸检测报告（请提前打印相关资料，可打印到一页纸上）</w:t>
      </w:r>
      <w:r>
        <w:rPr>
          <w:rFonts w:ascii="宋体" w:hAnsi="宋体" w:cs="宋体"/>
          <w:b/>
          <w:bCs/>
          <w:szCs w:val="21"/>
          <w:highlight w:val="none"/>
        </w:rPr>
        <w:t>。</w:t>
      </w:r>
    </w:p>
    <w:p>
      <w:pPr>
        <w:pStyle w:val="4"/>
        <w:spacing w:before="120" w:after="0" w:line="400" w:lineRule="exact"/>
        <w:rPr>
          <w:rFonts w:ascii="宋体" w:hAnsi="宋体" w:eastAsia="宋体" w:cs="宋体"/>
          <w:highlight w:val="none"/>
        </w:rPr>
      </w:pPr>
      <w:bookmarkStart w:id="100" w:name="_Toc14947"/>
      <w:bookmarkStart w:id="101" w:name="_Toc246996164"/>
      <w:bookmarkStart w:id="102" w:name="_Toc4284"/>
      <w:bookmarkStart w:id="103" w:name="_Toc247085678"/>
      <w:bookmarkStart w:id="104" w:name="_Toc507319897"/>
      <w:bookmarkStart w:id="105" w:name="_Toc179632534"/>
      <w:bookmarkStart w:id="106" w:name="_Toc18402"/>
      <w:bookmarkStart w:id="107" w:name="_Toc246996907"/>
      <w:bookmarkStart w:id="108" w:name="_Toc152042293"/>
      <w:bookmarkStart w:id="109" w:name="_Toc21615"/>
      <w:bookmarkStart w:id="110" w:name="_Toc5716"/>
      <w:bookmarkStart w:id="111" w:name="_Toc393"/>
      <w:bookmarkStart w:id="112" w:name="_Toc11329219"/>
      <w:bookmarkStart w:id="113" w:name="_Toc14972"/>
      <w:bookmarkStart w:id="114" w:name="_Toc144974485"/>
      <w:bookmarkStart w:id="115" w:name="_Toc152045517"/>
      <w:r>
        <w:rPr>
          <w:rFonts w:hint="eastAsia" w:ascii="宋体" w:hAnsi="宋体" w:eastAsia="宋体" w:cs="宋体"/>
          <w:highlight w:val="none"/>
        </w:rPr>
        <w:t>6. 联系方式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20" w:lineRule="exact"/>
              <w:ind w:firstLine="420" w:firstLineChars="200"/>
              <w:rPr>
                <w:rFonts w:ascii="宋体" w:hAnsi="宋体" w:cs="宋体"/>
                <w:szCs w:val="21"/>
                <w:highlight w:val="none"/>
              </w:rPr>
            </w:pPr>
            <w:r>
              <w:rPr>
                <w:rFonts w:hint="eastAsia" w:ascii="宋体" w:hAnsi="宋体" w:cs="宋体"/>
                <w:szCs w:val="21"/>
                <w:highlight w:val="none"/>
              </w:rPr>
              <w:t>技术联系人：</w:t>
            </w:r>
            <w:r>
              <w:rPr>
                <w:rFonts w:hint="eastAsia" w:ascii="宋体" w:hAnsi="宋体" w:cs="宋体"/>
                <w:szCs w:val="21"/>
                <w:highlight w:val="none"/>
                <w:lang w:val="en-US" w:eastAsia="zh-CN"/>
              </w:rPr>
              <w:t>赵</w:t>
            </w:r>
            <w:r>
              <w:rPr>
                <w:rFonts w:hint="eastAsia" w:ascii="宋体" w:hAnsi="宋体" w:cs="宋体"/>
                <w:szCs w:val="21"/>
                <w:highlight w:val="none"/>
              </w:rPr>
              <w:t>老师  电 话：13883053329</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highlight w:val="none"/>
              </w:rPr>
            </w:pPr>
            <w:r>
              <w:rPr>
                <w:rFonts w:hint="eastAsia" w:ascii="宋体" w:hAnsi="宋体" w:cs="宋体"/>
                <w:szCs w:val="21"/>
                <w:highlight w:val="none"/>
              </w:rPr>
              <w:t>商务联系人：蒋老师  电 话：18523055172</w:t>
            </w:r>
          </w:p>
        </w:tc>
        <w:tc>
          <w:tcPr>
            <w:tcW w:w="1415" w:type="dxa"/>
            <w:vAlign w:val="center"/>
          </w:tcPr>
          <w:p>
            <w:pPr>
              <w:spacing w:line="400" w:lineRule="exact"/>
              <w:ind w:firstLine="420" w:firstLineChars="200"/>
              <w:rPr>
                <w:rFonts w:ascii="宋体" w:hAnsi="宋体" w:cs="宋体"/>
                <w:szCs w:val="21"/>
                <w:highlight w:val="none"/>
              </w:rPr>
            </w:pPr>
          </w:p>
        </w:tc>
      </w:tr>
    </w:tbl>
    <w:p>
      <w:pPr>
        <w:pStyle w:val="2"/>
        <w:rPr>
          <w:highlight w:val="none"/>
        </w:rPr>
      </w:pPr>
    </w:p>
    <w:bookmarkEnd w:id="17"/>
    <w:bookmarkEnd w:id="18"/>
    <w:p>
      <w:pPr>
        <w:pStyle w:val="3"/>
        <w:spacing w:before="0" w:after="0" w:line="360" w:lineRule="auto"/>
        <w:jc w:val="center"/>
        <w:rPr>
          <w:rFonts w:ascii="宋体" w:hAnsi="宋体" w:cs="宋体"/>
          <w:highlight w:val="none"/>
        </w:rPr>
      </w:pPr>
      <w:bookmarkStart w:id="116" w:name="_Toc144974495"/>
      <w:bookmarkStart w:id="117" w:name="_Toc507319898"/>
      <w:bookmarkStart w:id="118" w:name="_Toc152042303"/>
      <w:bookmarkStart w:id="119" w:name="_Toc247085687"/>
      <w:bookmarkStart w:id="120" w:name="_Toc246996916"/>
      <w:bookmarkStart w:id="121" w:name="_Toc2000405"/>
      <w:bookmarkStart w:id="122" w:name="_Toc152045527"/>
      <w:bookmarkStart w:id="123" w:name="_Toc246996173"/>
      <w:bookmarkStart w:id="124" w:name="_Toc179632544"/>
      <w:r>
        <w:rPr>
          <w:rFonts w:hint="eastAsia" w:ascii="宋体" w:hAnsi="宋体" w:cs="宋体"/>
          <w:highlight w:val="none"/>
        </w:rPr>
        <w:br w:type="page"/>
      </w:r>
      <w:bookmarkStart w:id="125" w:name="_Toc18539"/>
      <w:r>
        <w:rPr>
          <w:rFonts w:hint="eastAsia" w:ascii="宋体" w:hAnsi="宋体" w:cs="宋体"/>
          <w:highlight w:val="none"/>
        </w:rPr>
        <w:t>第二章 报价人须知</w:t>
      </w:r>
      <w:bookmarkEnd w:id="116"/>
      <w:bookmarkEnd w:id="117"/>
      <w:bookmarkEnd w:id="118"/>
      <w:bookmarkEnd w:id="119"/>
      <w:bookmarkEnd w:id="120"/>
      <w:bookmarkEnd w:id="121"/>
      <w:bookmarkEnd w:id="122"/>
      <w:bookmarkEnd w:id="123"/>
      <w:bookmarkEnd w:id="124"/>
      <w:bookmarkEnd w:id="125"/>
    </w:p>
    <w:p>
      <w:pPr>
        <w:rPr>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26"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址：重庆市渝北区龙溪街道新南路52号东界龙湖三楼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联系人：蒋老师</w:t>
            </w:r>
          </w:p>
          <w:p>
            <w:pPr>
              <w:topLinePunct/>
              <w:spacing w:line="420" w:lineRule="exact"/>
              <w:ind w:firstLine="420" w:firstLineChars="200"/>
              <w:rPr>
                <w:highlight w:val="none"/>
              </w:rPr>
            </w:pPr>
            <w:r>
              <w:rPr>
                <w:rFonts w:hint="eastAsia" w:ascii="宋体" w:hAnsi="宋体" w:cs="宋体"/>
                <w:szCs w:val="21"/>
                <w:highlight w:val="none"/>
              </w:rPr>
              <w:t>电  话：18523055172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首讯公司2022年生产用高空作业车采购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lang w:val="en-US" w:eastAsia="zh-CN"/>
              </w:rPr>
              <w:t>供货期</w:t>
            </w:r>
            <w:r>
              <w:rPr>
                <w:rFonts w:hint="eastAsia" w:ascii="宋体" w:hAnsi="宋体" w:cs="宋体"/>
                <w:kern w:val="0"/>
                <w:szCs w:val="21"/>
                <w:highlight w:val="none"/>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满足国家现行的相关技术标准及重庆首讯科技股份有限公司相关要求。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业绩</w:t>
            </w:r>
            <w:r>
              <w:rPr>
                <w:rFonts w:hint="eastAsia" w:ascii="宋体" w:hAnsi="宋体" w:cs="宋体"/>
                <w:szCs w:val="21"/>
                <w:highlight w:val="none"/>
              </w:rPr>
              <w:t>要求：见</w:t>
            </w:r>
            <w:r>
              <w:rPr>
                <w:rFonts w:hint="eastAsia" w:ascii="宋体" w:hAnsi="宋体" w:cs="宋体"/>
                <w:szCs w:val="21"/>
                <w:highlight w:val="none"/>
                <w:lang w:val="en-US" w:eastAsia="zh-CN"/>
              </w:rPr>
              <w:t>比选公告3.2</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autoSpaceDE w:val="0"/>
              <w:autoSpaceDN w:val="0"/>
              <w:adjustRightInd w:val="0"/>
              <w:spacing w:line="320" w:lineRule="exact"/>
              <w:ind w:firstLine="420" w:firstLineChars="200"/>
              <w:jc w:val="left"/>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27" w:name="_Hlt227984024"/>
            <w:bookmarkEnd w:id="127"/>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报价清单的填写方式</w:t>
            </w:r>
          </w:p>
        </w:tc>
        <w:tc>
          <w:tcPr>
            <w:tcW w:w="7104" w:type="dxa"/>
            <w:tcBorders>
              <w:bottom w:val="single" w:color="auto" w:sz="4" w:space="0"/>
            </w:tcBorders>
          </w:tcPr>
          <w:p>
            <w:pPr>
              <w:spacing w:line="400" w:lineRule="exact"/>
              <w:ind w:firstLine="420" w:firstLineChars="200"/>
              <w:jc w:val="left"/>
              <w:rPr>
                <w:highlight w:val="none"/>
              </w:rPr>
            </w:pPr>
            <w:r>
              <w:rPr>
                <w:rFonts w:hint="eastAsia"/>
                <w:highlight w:val="none"/>
              </w:rPr>
              <w:t>报价人按采购人提供的清单进行填报。</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b/>
                <w:bCs/>
                <w:szCs w:val="21"/>
                <w:highlight w:val="none"/>
              </w:rPr>
            </w:pPr>
            <w:r>
              <w:rPr>
                <w:rFonts w:hint="eastAsia" w:ascii="宋体" w:hAnsi="宋体"/>
                <w:b/>
                <w:bCs/>
                <w:szCs w:val="21"/>
                <w:highlight w:val="none"/>
              </w:rPr>
              <w:t>最高限价</w:t>
            </w:r>
            <w:r>
              <w:rPr>
                <w:rFonts w:hint="eastAsia" w:ascii="宋体" w:hAnsi="宋体"/>
                <w:b/>
                <w:bCs/>
                <w:szCs w:val="21"/>
                <w:highlight w:val="none"/>
                <w:u w:val="single"/>
                <w:lang w:val="en-US" w:eastAsia="zh-CN"/>
              </w:rPr>
              <w:t>605000.00</w:t>
            </w:r>
            <w:r>
              <w:rPr>
                <w:rFonts w:hint="eastAsia" w:ascii="宋体" w:hAnsi="宋体"/>
                <w:b/>
                <w:bCs/>
                <w:szCs w:val="21"/>
                <w:highlight w:val="none"/>
              </w:rPr>
              <w:t>元；</w:t>
            </w:r>
          </w:p>
          <w:p>
            <w:pPr>
              <w:spacing w:line="400" w:lineRule="exact"/>
              <w:ind w:firstLine="422" w:firstLineChars="200"/>
              <w:rPr>
                <w:rFonts w:ascii="宋体" w:hAnsi="宋体" w:cs="宋体"/>
                <w:b/>
                <w:bCs/>
                <w:kern w:val="0"/>
                <w:szCs w:val="21"/>
                <w:highlight w:val="none"/>
              </w:rPr>
            </w:pPr>
            <w:r>
              <w:rPr>
                <w:rFonts w:hint="eastAsia" w:ascii="宋体" w:hAnsi="宋体" w:cs="宋体"/>
                <w:b/>
                <w:szCs w:val="21"/>
                <w:highlight w:val="none"/>
              </w:rPr>
              <w:t>报价人报价不得高于采购人发布的最高限价，否则其竞争性比选响应文件视为重大偏差，竞争性比选响应文件将按否决报价处理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17</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vAlign w:val="center"/>
          </w:tcPr>
          <w:p>
            <w:pPr>
              <w:spacing w:line="400" w:lineRule="exact"/>
              <w:ind w:firstLine="420" w:firstLineChars="200"/>
              <w:rPr>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rPr>
              <w:t>乙方按合同要求完成车辆供货并开具相应正式发票后一次性支付合同规定的全部款项。</w:t>
            </w:r>
          </w:p>
          <w:p>
            <w:pPr>
              <w:spacing w:line="400" w:lineRule="exact"/>
              <w:ind w:firstLine="420" w:firstLineChars="200"/>
              <w:rPr>
                <w:highlight w:val="none"/>
              </w:rPr>
            </w:pPr>
            <w:r>
              <w:rPr>
                <w:rFonts w:hint="eastAsia"/>
                <w:highlight w:val="none"/>
              </w:rPr>
              <w:t>（2）乙方应在甲方付款前开具等额增值税专用发票（增值税）给甲方，否则甲方有权不予支付相应款项（预付款除外）。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乙方违约的处理</w:t>
            </w:r>
          </w:p>
        </w:tc>
        <w:tc>
          <w:tcPr>
            <w:tcW w:w="7104" w:type="dxa"/>
            <w:tcBorders>
              <w:bottom w:val="single" w:color="auto" w:sz="4" w:space="0"/>
            </w:tcBorders>
          </w:tcPr>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(1)交货延迟：如果乙方未按规定的日期按时交货，每延迟1个日历日（不足1日按1日计算），罚款5000元。甲方有权从当批付款中扣除。如延迟【15】个日历日乙方仍未交货的，甲方有权解除合同；</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(2)乙方提供的设备因不符合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(3)因乙方产品任何形式的质量问题导致安全事故或遭到第三方索赔等一切问题，而给甲方造成损失的，甲方有权解除本合同，由乙方承担全部赔偿责任；</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(4)因乙方提供的产品侵犯第三方权益而引起任何由第三人提起的仲裁或诉讼，则乙方应承担一切法律责任，并承担甲方为取得合法所有权、使用权所支付的全部费用，并赔偿甲方因此遭受的全部损失；</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(5)乙方在缺陷责任期及质量保修期内，未能在合理期限对设备缺陷进行修复，或拒绝按甲方要求进行修复的，甲方有权自行修复或委托第三方修复，所需费用由乙方承担；</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(6)乙方明确表示或者以其行为表明不履行本合同主要义务的，甲方有权解除本合同并要求乙方支付合同价款总额30%的违约金，违约金不足以补偿甲方损失的，乙方应足额赔偿甲方遭受的损失；</w:t>
            </w:r>
          </w:p>
          <w:p>
            <w:pPr>
              <w:spacing w:line="400" w:lineRule="exact"/>
              <w:ind w:firstLine="420" w:firstLineChars="200"/>
              <w:rPr>
                <w:color w:val="auto"/>
                <w:highlight w:val="none"/>
              </w:rPr>
            </w:pPr>
            <w:r>
              <w:rPr>
                <w:rFonts w:hint="eastAsia"/>
                <w:color w:val="auto"/>
                <w:highlight w:val="none"/>
                <w:lang w:val="en-US" w:eastAsia="zh-CN"/>
              </w:rPr>
              <w:t>(7)因乙方违约行为导致甲方须按主合同约定承担违约或赔偿责任，由乙方承担前述主合同约定的违约责任或赔偿责任。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19</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7"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pPr>
              <w:spacing w:line="400" w:lineRule="exact"/>
              <w:ind w:firstLine="420" w:firstLineChars="200"/>
              <w:rPr>
                <w:rFonts w:hAnsi="宋体" w:cs="宋体"/>
                <w:highlight w:val="none"/>
              </w:rPr>
            </w:pPr>
            <w:r>
              <w:rPr>
                <w:rFonts w:hint="eastAsia"/>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highlight w:val="none"/>
              </w:rPr>
            </w:pPr>
            <w:r>
              <w:rPr>
                <w:rFonts w:hint="eastAsia" w:hAnsi="宋体"/>
                <w:color w:val="auto"/>
                <w:sz w:val="21"/>
                <w:szCs w:val="21"/>
                <w:highlight w:val="none"/>
              </w:rPr>
              <w:t>21</w:t>
            </w:r>
          </w:p>
        </w:tc>
        <w:tc>
          <w:tcPr>
            <w:tcW w:w="2106" w:type="dxa"/>
            <w:vAlign w:val="center"/>
          </w:tcPr>
          <w:p>
            <w:pPr>
              <w:pStyle w:val="149"/>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9"/>
              <w:spacing w:line="400" w:lineRule="exact"/>
              <w:ind w:firstLine="420" w:firstLineChars="200"/>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eastAsia="zh-CN"/>
              </w:rPr>
              <w:t>合规监管部</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址：重庆市渝北区龙溪街道新南路52号东界龙湖三楼</w:t>
            </w:r>
          </w:p>
          <w:p>
            <w:pPr>
              <w:pStyle w:val="149"/>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highlight w:val="none"/>
              </w:rPr>
            </w:pPr>
            <w:r>
              <w:rPr>
                <w:rFonts w:hint="eastAsia" w:hAnsi="宋体"/>
                <w:color w:val="auto"/>
                <w:sz w:val="21"/>
                <w:szCs w:val="21"/>
                <w:highlight w:val="none"/>
              </w:rPr>
              <w:t>22</w:t>
            </w:r>
          </w:p>
        </w:tc>
        <w:tc>
          <w:tcPr>
            <w:tcW w:w="2106"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9"/>
              <w:spacing w:line="400" w:lineRule="exact"/>
              <w:rPr>
                <w:rFonts w:hAnsi="宋体"/>
                <w:color w:val="auto"/>
                <w:kern w:val="2"/>
                <w:sz w:val="21"/>
                <w:szCs w:val="21"/>
                <w:highlight w:val="none"/>
              </w:rPr>
            </w:pPr>
            <w:r>
              <w:rPr>
                <w:rFonts w:hint="eastAsia" w:hAnsi="宋体"/>
                <w:color w:val="auto"/>
                <w:kern w:val="2"/>
                <w:sz w:val="21"/>
                <w:szCs w:val="21"/>
                <w:highlight w:val="none"/>
              </w:rPr>
              <w:t xml:space="preserve">   1.竞争性比选文件需加盖报价人的公章，竞争性比选响应文件提交正本1份，副本1份，副本可为正本的复印件，竞争性比选响应文件需装订成册；报价人应提供竞争性比选响应文件（盖章版）扫描版PDF电子文件1份（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p>
            <w:pPr>
              <w:pStyle w:val="149"/>
              <w:spacing w:line="400" w:lineRule="exact"/>
              <w:ind w:firstLine="420" w:firstLineChars="200"/>
              <w:rPr>
                <w:rFonts w:hAnsi="宋体"/>
                <w:color w:val="auto"/>
                <w:sz w:val="21"/>
                <w:szCs w:val="21"/>
                <w:highlight w:val="none"/>
              </w:rPr>
            </w:pPr>
            <w:r>
              <w:rPr>
                <w:rFonts w:hint="eastAsia" w:hAnsi="宋体"/>
                <w:color w:val="auto"/>
                <w:sz w:val="21"/>
                <w:szCs w:val="21"/>
                <w:highlight w:val="none"/>
              </w:rPr>
              <w:t>3.密封要求：</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u w:val="single"/>
                <w:lang w:eastAsia="zh-CN"/>
              </w:rPr>
              <w:t>首讯公司2022年生产用高空作业车采购</w:t>
            </w:r>
            <w:r>
              <w:rPr>
                <w:rFonts w:hint="eastAsia" w:hAnsi="宋体"/>
                <w:color w:val="auto"/>
                <w:kern w:val="2"/>
                <w:sz w:val="21"/>
                <w:szCs w:val="21"/>
                <w:highlight w:val="none"/>
                <w:u w:val="single"/>
              </w:rPr>
              <w:t>竞争性比选响应文件</w:t>
            </w:r>
            <w:r>
              <w:rPr>
                <w:rFonts w:hint="eastAsia" w:hAnsi="宋体"/>
                <w:color w:val="auto"/>
                <w:kern w:val="2"/>
                <w:sz w:val="21"/>
                <w:szCs w:val="21"/>
                <w:highlight w:val="none"/>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highlight w:val="none"/>
              </w:rPr>
            </w:pPr>
            <w:r>
              <w:rPr>
                <w:rFonts w:hint="eastAsia" w:hAnsi="宋体"/>
                <w:color w:val="auto"/>
                <w:sz w:val="21"/>
                <w:szCs w:val="21"/>
                <w:highlight w:val="none"/>
              </w:rPr>
              <w:t>23</w:t>
            </w:r>
          </w:p>
        </w:tc>
        <w:tc>
          <w:tcPr>
            <w:tcW w:w="2106" w:type="dxa"/>
            <w:vAlign w:val="center"/>
          </w:tcPr>
          <w:p>
            <w:pPr>
              <w:pStyle w:val="149"/>
              <w:spacing w:line="400" w:lineRule="exact"/>
              <w:jc w:val="center"/>
              <w:rPr>
                <w:rFonts w:hAnsi="宋体"/>
                <w:color w:val="auto"/>
                <w:kern w:val="2"/>
                <w:sz w:val="21"/>
                <w:szCs w:val="21"/>
                <w:highlight w:val="none"/>
              </w:rPr>
            </w:pPr>
            <w:r>
              <w:rPr>
                <w:rFonts w:hint="eastAsia" w:hAnsi="宋体"/>
                <w:color w:val="auto"/>
                <w:sz w:val="21"/>
                <w:szCs w:val="21"/>
                <w:highlight w:val="none"/>
              </w:rPr>
              <w:t>中标候选人公示</w:t>
            </w:r>
          </w:p>
        </w:tc>
        <w:tc>
          <w:tcPr>
            <w:tcW w:w="7104" w:type="dxa"/>
            <w:vAlign w:val="center"/>
          </w:tcPr>
          <w:p>
            <w:pPr>
              <w:pStyle w:val="149"/>
              <w:spacing w:line="400" w:lineRule="exact"/>
              <w:ind w:firstLine="420" w:firstLineChars="200"/>
              <w:rPr>
                <w:rFonts w:hAnsi="宋体"/>
                <w:color w:val="auto"/>
                <w:kern w:val="2"/>
                <w:sz w:val="21"/>
                <w:szCs w:val="21"/>
                <w:highlight w:val="none"/>
              </w:rPr>
            </w:pPr>
            <w:r>
              <w:rPr>
                <w:rFonts w:hint="eastAsia" w:hAnsi="宋体"/>
                <w:color w:val="auto"/>
                <w:sz w:val="21"/>
                <w:szCs w:val="21"/>
                <w:highlight w:val="none"/>
              </w:rPr>
              <w:t>评标结果将在</w:t>
            </w:r>
            <w:r>
              <w:rPr>
                <w:rFonts w:hint="eastAsia" w:hAnsi="宋体"/>
                <w:color w:val="auto"/>
                <w:sz w:val="21"/>
                <w:szCs w:val="21"/>
                <w:highlight w:val="none"/>
                <w:u w:val="single"/>
              </w:rPr>
              <w:t>重庆高速集团官网（http://www.cegc.com.cn）</w:t>
            </w:r>
            <w:r>
              <w:rPr>
                <w:rFonts w:hint="eastAsia" w:hAnsi="宋体"/>
                <w:color w:val="auto"/>
                <w:sz w:val="21"/>
                <w:szCs w:val="21"/>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24</w:t>
            </w:r>
          </w:p>
        </w:tc>
        <w:tc>
          <w:tcPr>
            <w:tcW w:w="9210" w:type="dxa"/>
            <w:gridSpan w:val="2"/>
            <w:vAlign w:val="center"/>
          </w:tcPr>
          <w:p>
            <w:pPr>
              <w:pStyle w:val="149"/>
              <w:spacing w:line="400" w:lineRule="exact"/>
              <w:ind w:firstLine="482" w:firstLineChars="200"/>
              <w:jc w:val="center"/>
              <w:rPr>
                <w:rFonts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24.1</w:t>
            </w:r>
          </w:p>
        </w:tc>
        <w:tc>
          <w:tcPr>
            <w:tcW w:w="9210" w:type="dxa"/>
            <w:gridSpan w:val="2"/>
            <w:vAlign w:val="center"/>
          </w:tcPr>
          <w:p>
            <w:pPr>
              <w:pStyle w:val="149"/>
              <w:spacing w:line="400" w:lineRule="exact"/>
              <w:ind w:firstLine="420" w:firstLineChars="200"/>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highlight w:val="none"/>
                <w:lang w:val="en-US" w:eastAsia="zh-CN"/>
              </w:rPr>
            </w:pPr>
            <w:bookmarkStart w:id="128" w:name="_Toc144974554"/>
            <w:bookmarkStart w:id="129" w:name="_Toc2000406"/>
            <w:bookmarkStart w:id="130" w:name="_Toc179632605"/>
            <w:bookmarkStart w:id="131" w:name="_Toc507319957"/>
            <w:bookmarkStart w:id="132" w:name="_Toc152042364"/>
            <w:bookmarkStart w:id="133" w:name="_Toc247085745"/>
            <w:bookmarkStart w:id="134" w:name="_Toc152045587"/>
            <w:bookmarkStart w:id="135" w:name="_Toc246996230"/>
            <w:bookmarkStart w:id="136" w:name="_Toc246996973"/>
            <w:r>
              <w:rPr>
                <w:rFonts w:hint="eastAsia" w:hAnsi="宋体"/>
                <w:color w:val="auto"/>
                <w:kern w:val="2"/>
                <w:sz w:val="21"/>
                <w:szCs w:val="21"/>
                <w:highlight w:val="none"/>
                <w:lang w:val="en-US" w:eastAsia="zh-CN"/>
              </w:rPr>
              <w:t>24.2</w:t>
            </w:r>
          </w:p>
        </w:tc>
        <w:tc>
          <w:tcPr>
            <w:tcW w:w="9210" w:type="dxa"/>
            <w:gridSpan w:val="2"/>
            <w:vAlign w:val="center"/>
          </w:tcPr>
          <w:p>
            <w:pPr>
              <w:pStyle w:val="149"/>
              <w:spacing w:line="400" w:lineRule="exact"/>
              <w:ind w:firstLine="420" w:firstLineChars="200"/>
              <w:rPr>
                <w:rFonts w:hint="default" w:hAnsi="宋体" w:eastAsia="宋体"/>
                <w:color w:val="auto"/>
                <w:sz w:val="21"/>
                <w:szCs w:val="21"/>
                <w:highlight w:val="none"/>
                <w:lang w:val="en-US" w:eastAsia="zh-CN"/>
              </w:rPr>
            </w:pPr>
            <w:r>
              <w:rPr>
                <w:rFonts w:hint="default" w:hAnsi="宋体" w:eastAsia="宋体"/>
                <w:color w:val="auto"/>
                <w:sz w:val="21"/>
                <w:szCs w:val="21"/>
                <w:highlight w:val="none"/>
                <w:lang w:val="en-US" w:eastAsia="zh-CN"/>
              </w:rPr>
              <w:t>报价人负责采购人的至少2名高空作业车操作、维护、维修人员的培训和取证，培训机构须为机械工业职业技能鉴定指导中心或其他经相关主管部门批准的鉴定机构，培训师持证上岗，相关费用由报价人承担。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24.3</w:t>
            </w:r>
          </w:p>
        </w:tc>
        <w:tc>
          <w:tcPr>
            <w:tcW w:w="9210" w:type="dxa"/>
            <w:gridSpan w:val="2"/>
            <w:vAlign w:val="center"/>
          </w:tcPr>
          <w:p>
            <w:pPr>
              <w:pStyle w:val="149"/>
              <w:spacing w:line="400" w:lineRule="exact"/>
              <w:ind w:firstLine="420" w:firstLineChars="2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车辆品牌档次要求：杭州爱知、海伦哲、徐工、柳工，或不低于该档次的品牌。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24.4</w:t>
            </w:r>
          </w:p>
        </w:tc>
        <w:tc>
          <w:tcPr>
            <w:tcW w:w="9210" w:type="dxa"/>
            <w:gridSpan w:val="2"/>
            <w:vAlign w:val="center"/>
          </w:tcPr>
          <w:p>
            <w:pPr>
              <w:pStyle w:val="149"/>
              <w:spacing w:line="400" w:lineRule="exact"/>
              <w:ind w:firstLine="420" w:firstLineChars="2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所报车辆品牌须在重庆有专业维修保养店。车辆质量和售后服务符合国家相关规定。车辆有故障2小时到现场，4小时内解决故障，无法在4小时内解决故障的在6小时内免费提供备用车辆。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24.5</w:t>
            </w:r>
          </w:p>
        </w:tc>
        <w:tc>
          <w:tcPr>
            <w:tcW w:w="9210" w:type="dxa"/>
            <w:gridSpan w:val="2"/>
            <w:vAlign w:val="center"/>
          </w:tcPr>
          <w:p>
            <w:pPr>
              <w:pStyle w:val="149"/>
              <w:spacing w:line="400" w:lineRule="exact"/>
              <w:ind w:firstLine="420" w:firstLineChars="2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报价人须知中的所有要求均须满足，若不满足，作废标处理。</w:t>
            </w:r>
          </w:p>
        </w:tc>
      </w:tr>
      <w:bookmarkEnd w:id="126"/>
    </w:tbl>
    <w:p>
      <w:pPr>
        <w:rPr>
          <w:highlight w:val="none"/>
        </w:rPr>
      </w:pPr>
      <w:r>
        <w:rPr>
          <w:rFonts w:hint="eastAsia"/>
          <w:highlight w:val="none"/>
        </w:rPr>
        <w:br w:type="page"/>
      </w:r>
    </w:p>
    <w:bookmarkEnd w:id="128"/>
    <w:bookmarkEnd w:id="129"/>
    <w:bookmarkEnd w:id="130"/>
    <w:bookmarkEnd w:id="131"/>
    <w:bookmarkEnd w:id="132"/>
    <w:bookmarkEnd w:id="133"/>
    <w:bookmarkEnd w:id="134"/>
    <w:bookmarkEnd w:id="135"/>
    <w:bookmarkEnd w:id="136"/>
    <w:p>
      <w:pPr>
        <w:pStyle w:val="3"/>
        <w:spacing w:before="0" w:after="0" w:line="360" w:lineRule="auto"/>
        <w:jc w:val="center"/>
        <w:rPr>
          <w:rFonts w:ascii="宋体" w:hAnsi="宋体" w:cs="宋体"/>
          <w:highlight w:val="none"/>
        </w:rPr>
      </w:pPr>
      <w:bookmarkStart w:id="137" w:name="_Toc20774"/>
      <w:bookmarkStart w:id="138" w:name="_Toc7682"/>
      <w:r>
        <w:rPr>
          <w:rFonts w:hint="eastAsia" w:ascii="宋体" w:hAnsi="宋体" w:cs="宋体"/>
          <w:highlight w:val="none"/>
        </w:rPr>
        <w:t xml:space="preserve">第三章 </w:t>
      </w:r>
      <w:bookmarkEnd w:id="137"/>
      <w:bookmarkEnd w:id="138"/>
      <w:r>
        <w:rPr>
          <w:rFonts w:hint="eastAsia" w:ascii="宋体" w:hAnsi="宋体" w:cs="宋体"/>
          <w:highlight w:val="none"/>
        </w:rPr>
        <w:t>评标办法（经评审的最低投标价法）</w:t>
      </w:r>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以最早提交报价文件的报价人为第一中标候选人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eastAsia="宋体"/>
                <w:highlight w:val="none"/>
                <w:lang w:eastAsia="zh-CN"/>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p>
            <w:pPr>
              <w:pStyle w:val="4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eastAsia="宋体"/>
                <w:lang w:val="en-US" w:eastAsia="zh-CN"/>
              </w:rPr>
            </w:pPr>
            <w:r>
              <w:rPr>
                <w:rFonts w:hint="eastAsia"/>
                <w:lang w:val="en-US" w:eastAsia="zh-CN"/>
              </w:rPr>
              <w:t xml:space="preserve">    </w:t>
            </w:r>
            <w:r>
              <w:rPr>
                <w:rFonts w:hint="eastAsia" w:ascii="Times New Roman" w:hAnsi="Times New Roman" w:eastAsia="宋体" w:cs="Times New Roman"/>
                <w:kern w:val="2"/>
                <w:sz w:val="21"/>
                <w:szCs w:val="24"/>
                <w:lang w:val="en-US" w:eastAsia="zh-CN" w:bidi="ar-SA"/>
              </w:rPr>
              <w:t>有效报价不足3家作流标处理。重新比选后报价人或有效报价人仍少于3个，按法定程序开标和评标，确定中标人。</w:t>
            </w:r>
          </w:p>
        </w:tc>
      </w:tr>
    </w:tbl>
    <w:p>
      <w:pPr>
        <w:snapToGrid w:val="0"/>
        <w:spacing w:line="360" w:lineRule="auto"/>
        <w:ind w:firstLine="480" w:firstLineChars="200"/>
        <w:rPr>
          <w:rFonts w:asciiTheme="minorEastAsia" w:hAnsiTheme="minorEastAsia" w:eastAsiaTheme="minorEastAsia" w:cstheme="minorEastAsia"/>
          <w:color w:val="000000" w:themeColor="text1"/>
          <w:sz w:val="24"/>
          <w:szCs w:val="28"/>
          <w:highlight w:val="none"/>
          <w14:textFill>
            <w14:solidFill>
              <w14:schemeClr w14:val="tx1"/>
            </w14:solidFill>
          </w14:textFill>
        </w:rPr>
      </w:pPr>
    </w:p>
    <w:p>
      <w:pPr>
        <w:pStyle w:val="2"/>
        <w:jc w:val="center"/>
        <w:outlineLvl w:val="0"/>
        <w:rPr>
          <w:highlight w:val="none"/>
        </w:rPr>
      </w:pPr>
      <w:r>
        <w:rPr>
          <w:rFonts w:hint="eastAsia"/>
          <w:highlight w:val="none"/>
        </w:rPr>
        <w:br w:type="page"/>
      </w:r>
      <w:bookmarkStart w:id="139" w:name="_Toc6879"/>
      <w:r>
        <w:rPr>
          <w:rStyle w:val="82"/>
          <w:rFonts w:hint="eastAsia"/>
          <w:b/>
          <w:bCs/>
          <w:highlight w:val="none"/>
        </w:rPr>
        <w:t>第四章 报价说明</w:t>
      </w:r>
      <w:bookmarkEnd w:id="139"/>
    </w:p>
    <w:p>
      <w:pPr>
        <w:pStyle w:val="2"/>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1、报价清单应与本项目竞争性比选文件、技术标准和要求等文件结合起来查阅与理解。</w:t>
      </w:r>
    </w:p>
    <w:p>
      <w:pPr>
        <w:pStyle w:val="2"/>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2、对材料设备的技术标准和要求及一般说明或规定，未重复写入报价清单内，在给报价清单各细目报价前，应参阅并满足设计文件及竞争性比选文件中技术标准和要求的有关部分，如不满足相关技术标准和要求，由此对采购人造成的一切损失由报价人承担。</w:t>
      </w:r>
    </w:p>
    <w:p>
      <w:pPr>
        <w:pStyle w:val="2"/>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对于符合要求的竞争性比选响应文件，在签订合同协议书前，如发现报价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
        <w:spacing w:before="0" w:after="0" w:line="400" w:lineRule="exact"/>
        <w:ind w:firstLine="420" w:firstLineChars="200"/>
        <w:rPr>
          <w:highlight w:val="none"/>
        </w:rPr>
      </w:pPr>
      <w:r>
        <w:rPr>
          <w:rFonts w:hint="eastAsia" w:ascii="宋体" w:hAnsi="宋体" w:cs="宋体"/>
          <w:b w:val="0"/>
          <w:bCs w:val="0"/>
          <w:sz w:val="21"/>
          <w:szCs w:val="21"/>
          <w:highlight w:val="none"/>
        </w:rPr>
        <w:t>4、</w:t>
      </w:r>
      <w:r>
        <w:rPr>
          <w:rFonts w:hint="eastAsia" w:ascii="宋体" w:hAnsi="宋体" w:cs="宋体"/>
          <w:b w:val="0"/>
          <w:bCs w:val="0"/>
          <w:sz w:val="21"/>
          <w:szCs w:val="21"/>
          <w:highlight w:val="none"/>
          <w:lang w:val="en-US" w:eastAsia="zh-CN"/>
        </w:rPr>
        <w:t>报价人须严格按照报价清单填写报价、品牌、规格型号等内容，</w:t>
      </w:r>
      <w:r>
        <w:rPr>
          <w:rFonts w:hint="eastAsia" w:ascii="宋体" w:hAnsi="宋体" w:cs="宋体"/>
          <w:b w:val="0"/>
          <w:bCs w:val="0"/>
          <w:sz w:val="21"/>
          <w:szCs w:val="21"/>
          <w:highlight w:val="none"/>
        </w:rPr>
        <w:t>报价清单中的任何内容不得随意删除或涂改，若有误，在有效时间内书面向采购人提出，以“补遗”资料为准。</w:t>
      </w:r>
    </w:p>
    <w:p>
      <w:pPr>
        <w:pStyle w:val="2"/>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5、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6、实际采购数量以采购人最终需求数量为准，报价清单中单价在合同执行过程中保持固定不变，报价人不得以实际采购数量的变化提出调整合同单价。</w:t>
      </w:r>
    </w:p>
    <w:p>
      <w:pPr>
        <w:pStyle w:val="2"/>
        <w:spacing w:before="0" w:after="0" w:line="40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7、报价清单中各项金额均以人民币（元）结算。</w:t>
      </w:r>
    </w:p>
    <w:p>
      <w:pPr>
        <w:pStyle w:val="2"/>
        <w:spacing w:before="0" w:after="0" w:line="400" w:lineRule="exact"/>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8、需缴纳的一切税费均由报价单位承担，所有税费均由服务单位自行缴纳。</w:t>
      </w:r>
    </w:p>
    <w:p>
      <w:pPr>
        <w:pStyle w:val="2"/>
        <w:spacing w:before="0" w:after="0" w:line="400" w:lineRule="exact"/>
        <w:ind w:firstLine="402" w:firstLineChars="200"/>
        <w:rPr>
          <w:highlight w:val="none"/>
        </w:rPr>
      </w:pPr>
      <w:r>
        <w:rPr>
          <w:rFonts w:hint="eastAsia"/>
          <w:highlight w:val="none"/>
        </w:rPr>
        <w:br w:type="page"/>
      </w:r>
    </w:p>
    <w:p>
      <w:pPr>
        <w:pStyle w:val="3"/>
        <w:spacing w:before="0" w:after="0" w:line="360" w:lineRule="auto"/>
        <w:jc w:val="center"/>
        <w:rPr>
          <w:rFonts w:ascii="宋体" w:hAnsi="宋体" w:cs="宋体"/>
          <w:highlight w:val="none"/>
        </w:rPr>
      </w:pPr>
      <w:bookmarkStart w:id="140" w:name="_Toc246996340"/>
      <w:bookmarkStart w:id="141" w:name="_Toc247085855"/>
      <w:bookmarkStart w:id="142" w:name="_Toc2000409"/>
      <w:bookmarkStart w:id="143" w:name="_Toc152042554"/>
      <w:bookmarkStart w:id="144" w:name="_Toc246997083"/>
      <w:bookmarkStart w:id="145" w:name="_Toc144974834"/>
      <w:bookmarkStart w:id="146" w:name="_Toc152045772"/>
      <w:bookmarkStart w:id="147" w:name="_Toc514858705"/>
      <w:bookmarkStart w:id="148" w:name="_Toc179632789"/>
      <w:bookmarkStart w:id="149" w:name="_Toc4638"/>
      <w:bookmarkStart w:id="150" w:name="_Toc179632806"/>
      <w:bookmarkStart w:id="151" w:name="_Toc152042575"/>
      <w:bookmarkStart w:id="152" w:name="_Toc247085872"/>
      <w:bookmarkStart w:id="153" w:name="_Toc246997097"/>
      <w:bookmarkStart w:id="154" w:name="_Toc246996354"/>
      <w:bookmarkStart w:id="155" w:name="_Toc144974855"/>
      <w:bookmarkStart w:id="156" w:name="_Toc152045786"/>
      <w:r>
        <w:rPr>
          <w:rFonts w:hint="eastAsia" w:ascii="宋体" w:hAnsi="宋体" w:cs="宋体"/>
          <w:highlight w:val="none"/>
        </w:rPr>
        <w:t xml:space="preserve">第五章 </w:t>
      </w:r>
      <w:bookmarkEnd w:id="140"/>
      <w:bookmarkEnd w:id="141"/>
      <w:bookmarkEnd w:id="142"/>
      <w:bookmarkEnd w:id="143"/>
      <w:bookmarkEnd w:id="144"/>
      <w:bookmarkEnd w:id="145"/>
      <w:bookmarkEnd w:id="146"/>
      <w:bookmarkEnd w:id="147"/>
      <w:bookmarkEnd w:id="148"/>
      <w:r>
        <w:rPr>
          <w:rFonts w:hint="eastAsia" w:ascii="宋体" w:hAnsi="宋体" w:cs="宋体"/>
          <w:highlight w:val="none"/>
        </w:rPr>
        <w:t>报价清单</w:t>
      </w:r>
      <w:bookmarkEnd w:id="149"/>
    </w:p>
    <w:tbl>
      <w:tblPr>
        <w:tblStyle w:val="43"/>
        <w:tblW w:w="8914" w:type="dxa"/>
        <w:jc w:val="center"/>
        <w:tblLayout w:type="autofit"/>
        <w:tblCellMar>
          <w:top w:w="0" w:type="dxa"/>
          <w:left w:w="108" w:type="dxa"/>
          <w:bottom w:w="0" w:type="dxa"/>
          <w:right w:w="108" w:type="dxa"/>
        </w:tblCellMar>
      </w:tblPr>
      <w:tblGrid>
        <w:gridCol w:w="735"/>
        <w:gridCol w:w="836"/>
        <w:gridCol w:w="1704"/>
        <w:gridCol w:w="1143"/>
        <w:gridCol w:w="628"/>
        <w:gridCol w:w="628"/>
        <w:gridCol w:w="1178"/>
        <w:gridCol w:w="1188"/>
        <w:gridCol w:w="874"/>
      </w:tblGrid>
      <w:tr>
        <w:tblPrEx>
          <w:tblCellMar>
            <w:top w:w="0" w:type="dxa"/>
            <w:left w:w="108" w:type="dxa"/>
            <w:bottom w:w="0" w:type="dxa"/>
            <w:right w:w="108" w:type="dxa"/>
          </w:tblCellMar>
        </w:tblPrEx>
        <w:trPr>
          <w:trHeight w:val="900"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0"/>
                <w:szCs w:val="20"/>
                <w:lang w:val="en-US" w:eastAsia="zh-CN" w:bidi="ar-SA"/>
              </w:rPr>
            </w:pPr>
            <w:bookmarkStart w:id="157" w:name="_Toc246996350"/>
            <w:bookmarkStart w:id="158" w:name="_Toc152042571"/>
            <w:bookmarkStart w:id="159" w:name="_Toc179632800"/>
            <w:bookmarkStart w:id="160" w:name="_Toc152045782"/>
            <w:bookmarkStart w:id="161" w:name="_Toc247096438"/>
            <w:bookmarkStart w:id="162" w:name="_Toc247085866"/>
            <w:bookmarkStart w:id="163" w:name="_Toc144974851"/>
            <w:bookmarkStart w:id="164" w:name="_Toc246997093"/>
            <w:r>
              <w:rPr>
                <w:rFonts w:hint="eastAsia" w:ascii="宋体" w:hAnsi="宋体" w:cs="宋体"/>
                <w:color w:val="000000"/>
                <w:kern w:val="0"/>
                <w:sz w:val="20"/>
                <w:szCs w:val="20"/>
                <w:lang w:val="en-US" w:eastAsia="zh-CN" w:bidi="ar-SA"/>
              </w:rPr>
              <w:t>名称</w:t>
            </w:r>
          </w:p>
        </w:tc>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品牌</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规格型号</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能源类型</w:t>
            </w: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单位</w:t>
            </w: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数量</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单价（元）</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合价（元）</w:t>
            </w:r>
          </w:p>
        </w:tc>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备注</w:t>
            </w:r>
          </w:p>
        </w:tc>
      </w:tr>
      <w:tr>
        <w:tblPrEx>
          <w:tblCellMar>
            <w:top w:w="0" w:type="dxa"/>
            <w:left w:w="108" w:type="dxa"/>
            <w:bottom w:w="0" w:type="dxa"/>
            <w:right w:w="108" w:type="dxa"/>
          </w:tblCellMar>
        </w:tblPrEx>
        <w:trPr>
          <w:trHeight w:val="1718"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高空作业车</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柴油</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台</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565" w:hRule="atLeast"/>
          <w:jc w:val="center"/>
        </w:trPr>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合计（元）</w:t>
            </w:r>
          </w:p>
        </w:tc>
        <w:tc>
          <w:tcPr>
            <w:tcW w:w="646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0.00元  大写：</w:t>
            </w:r>
          </w:p>
        </w:tc>
        <w:tc>
          <w:tcPr>
            <w:tcW w:w="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lang w:val="en-US" w:eastAsia="zh-CN"/>
              </w:rPr>
            </w:pPr>
          </w:p>
        </w:tc>
      </w:tr>
    </w:tbl>
    <w:p>
      <w:pPr>
        <w:ind w:firstLine="420"/>
        <w:jc w:val="left"/>
        <w:rPr>
          <w:rFonts w:ascii="宋体" w:hAnsi="宋体" w:cs="宋体"/>
          <w:b/>
          <w:highlight w:val="none"/>
        </w:rPr>
      </w:pPr>
    </w:p>
    <w:p>
      <w:pPr>
        <w:jc w:val="center"/>
        <w:rPr>
          <w:rFonts w:ascii="宋体" w:hAnsi="宋体" w:cs="宋体"/>
          <w:b/>
          <w:highlight w:val="none"/>
        </w:rPr>
      </w:pPr>
    </w:p>
    <w:p>
      <w:pPr>
        <w:rPr>
          <w:highlight w:val="none"/>
        </w:rPr>
      </w:pPr>
      <w:r>
        <w:rPr>
          <w:rFonts w:hint="eastAsia" w:ascii="宋体" w:hAnsi="宋体" w:cs="宋体"/>
          <w:b/>
          <w:highlight w:val="none"/>
        </w:rPr>
        <w:br w:type="page"/>
      </w:r>
    </w:p>
    <w:p>
      <w:pPr>
        <w:pStyle w:val="3"/>
        <w:spacing w:before="0" w:after="0" w:line="360" w:lineRule="auto"/>
        <w:jc w:val="center"/>
        <w:rPr>
          <w:rFonts w:ascii="宋体" w:hAnsi="宋体" w:cs="宋体"/>
          <w:highlight w:val="none"/>
        </w:rPr>
      </w:pPr>
      <w:bookmarkStart w:id="165" w:name="_Toc447827048"/>
      <w:bookmarkStart w:id="166" w:name="_Toc513633963"/>
      <w:bookmarkStart w:id="167" w:name="_Toc2000410"/>
      <w:bookmarkStart w:id="168" w:name="_Toc503951042"/>
      <w:bookmarkStart w:id="169" w:name="_Toc28333"/>
      <w:bookmarkStart w:id="170" w:name="_Toc514858706"/>
      <w:r>
        <w:rPr>
          <w:rFonts w:hint="eastAsia" w:ascii="宋体" w:hAnsi="宋体" w:cs="宋体"/>
          <w:highlight w:val="none"/>
        </w:rPr>
        <w:t>第六章  图  纸</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jc w:val="center"/>
        <w:rPr>
          <w:rFonts w:ascii="宋体" w:hAnsi="宋体" w:cs="宋体"/>
          <w:b/>
          <w:highlight w:val="none"/>
        </w:rPr>
      </w:pPr>
      <w:r>
        <w:rPr>
          <w:rFonts w:hint="eastAsia" w:ascii="宋体" w:hAnsi="宋体" w:cs="宋体"/>
          <w:b/>
          <w:kern w:val="0"/>
          <w:sz w:val="24"/>
          <w:highlight w:val="none"/>
        </w:rPr>
        <w:t>无。</w:t>
      </w:r>
    </w:p>
    <w:p>
      <w:pPr>
        <w:spacing w:line="400" w:lineRule="exact"/>
        <w:rPr>
          <w:rFonts w:ascii="宋体" w:hAnsi="宋体" w:cs="宋体"/>
          <w:highlight w:val="none"/>
        </w:rPr>
      </w:pPr>
      <w:r>
        <w:rPr>
          <w:rFonts w:hint="eastAsia" w:ascii="宋体" w:hAnsi="宋体" w:cs="宋体"/>
          <w:highlight w:val="none"/>
        </w:rPr>
        <w:br w:type="page"/>
      </w:r>
      <w:bookmarkStart w:id="171" w:name="_Toc152045785"/>
      <w:bookmarkStart w:id="172" w:name="_Toc144974854"/>
      <w:bookmarkStart w:id="173" w:name="_Toc152042574"/>
    </w:p>
    <w:p>
      <w:pPr>
        <w:pStyle w:val="3"/>
        <w:spacing w:before="0" w:after="0" w:line="360" w:lineRule="auto"/>
        <w:jc w:val="center"/>
        <w:rPr>
          <w:rFonts w:ascii="宋体" w:hAnsi="宋体" w:cs="宋体"/>
          <w:highlight w:val="none"/>
        </w:rPr>
      </w:pPr>
      <w:bookmarkStart w:id="174" w:name="_Toc904"/>
      <w:bookmarkStart w:id="175" w:name="_Toc514858707"/>
      <w:bookmarkStart w:id="176" w:name="_Toc246997096"/>
      <w:bookmarkStart w:id="177" w:name="_Toc246996353"/>
      <w:bookmarkStart w:id="178" w:name="_Toc2000411"/>
      <w:bookmarkStart w:id="179" w:name="_Toc503951043"/>
      <w:bookmarkStart w:id="180" w:name="_Toc447827049"/>
      <w:bookmarkStart w:id="181" w:name="_Toc179632804"/>
      <w:bookmarkStart w:id="182" w:name="_Toc247085870"/>
      <w:bookmarkStart w:id="183" w:name="_Toc513633964"/>
      <w:r>
        <w:rPr>
          <w:rFonts w:hint="eastAsia" w:ascii="宋体" w:hAnsi="宋体" w:cs="宋体"/>
          <w:highlight w:val="none"/>
        </w:rPr>
        <w:t>第七章  技术标准和工作要求</w:t>
      </w:r>
      <w:bookmarkEnd w:id="171"/>
      <w:bookmarkEnd w:id="172"/>
      <w:bookmarkEnd w:id="173"/>
      <w:bookmarkEnd w:id="174"/>
      <w:bookmarkEnd w:id="175"/>
      <w:bookmarkEnd w:id="176"/>
      <w:bookmarkEnd w:id="177"/>
      <w:bookmarkEnd w:id="178"/>
      <w:bookmarkEnd w:id="179"/>
      <w:bookmarkEnd w:id="180"/>
      <w:bookmarkEnd w:id="181"/>
      <w:bookmarkEnd w:id="182"/>
      <w:bookmarkEnd w:id="183"/>
    </w:p>
    <w:bookmarkEnd w:id="150"/>
    <w:bookmarkEnd w:id="151"/>
    <w:bookmarkEnd w:id="152"/>
    <w:bookmarkEnd w:id="153"/>
    <w:bookmarkEnd w:id="154"/>
    <w:bookmarkEnd w:id="155"/>
    <w:bookmarkEnd w:id="156"/>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微软雅黑" w:hAnsi="微软雅黑" w:eastAsia="微软雅黑" w:cs="微软雅黑"/>
          <w:b w:val="0"/>
          <w:bCs w:val="0"/>
          <w:sz w:val="24"/>
          <w:szCs w:val="24"/>
          <w:lang w:val="en-US" w:eastAsia="zh-CN"/>
        </w:rPr>
      </w:pPr>
      <w:bookmarkStart w:id="184" w:name="_Toc2000412"/>
      <w:bookmarkStart w:id="185" w:name="_Toc514858708"/>
      <w:bookmarkStart w:id="186" w:name="_Toc514430114"/>
      <w:bookmarkStart w:id="187" w:name="_Toc152042576"/>
      <w:bookmarkStart w:id="188" w:name="_Toc507320039"/>
      <w:bookmarkStart w:id="189" w:name="_Toc144974856"/>
      <w:bookmarkStart w:id="190" w:name="_Toc246996355"/>
      <w:bookmarkStart w:id="191" w:name="_Toc179632807"/>
      <w:bookmarkStart w:id="192" w:name="_Toc246997098"/>
      <w:bookmarkStart w:id="193" w:name="_Toc247085873"/>
      <w:bookmarkStart w:id="194" w:name="_Toc152045787"/>
      <w:r>
        <w:rPr>
          <w:rFonts w:hint="eastAsia" w:ascii="微软雅黑" w:hAnsi="微软雅黑" w:eastAsia="微软雅黑" w:cs="微软雅黑"/>
          <w:b/>
          <w:bCs/>
          <w:sz w:val="32"/>
          <w:szCs w:val="32"/>
          <w:lang w:val="en-US" w:eastAsia="zh-CN"/>
        </w:rPr>
        <w:t>车辆参数要求</w:t>
      </w:r>
    </w:p>
    <w:p>
      <w:pPr>
        <w:spacing w:line="360" w:lineRule="auto"/>
        <w:ind w:firstLine="411" w:firstLineChars="195"/>
        <w:rPr>
          <w:rFonts w:ascii="宋体" w:hAnsi="宋体"/>
          <w:szCs w:val="21"/>
        </w:rPr>
      </w:pPr>
      <w:r>
        <w:rPr>
          <w:rFonts w:hint="eastAsia" w:ascii="宋体" w:hAnsi="宋体"/>
          <w:b/>
          <w:szCs w:val="21"/>
        </w:rPr>
        <w:t>一、技术参数和要求</w:t>
      </w:r>
      <w:r>
        <w:rPr>
          <w:rFonts w:hint="eastAsia" w:ascii="宋体" w:hAnsi="宋体"/>
          <w:szCs w:val="21"/>
        </w:rPr>
        <w:t>：</w:t>
      </w:r>
    </w:p>
    <w:p>
      <w:pPr>
        <w:tabs>
          <w:tab w:val="left" w:pos="360"/>
        </w:tabs>
        <w:spacing w:line="360" w:lineRule="auto"/>
        <w:ind w:firstLine="493" w:firstLineChars="235"/>
        <w:rPr>
          <w:rFonts w:ascii="宋体" w:hAnsi="宋体"/>
          <w:szCs w:val="21"/>
        </w:rPr>
      </w:pPr>
      <w:r>
        <w:rPr>
          <w:rFonts w:hint="eastAsia" w:ascii="宋体" w:hAnsi="宋体"/>
          <w:szCs w:val="21"/>
        </w:rPr>
        <w:t>（一）16米高空作业车</w:t>
      </w:r>
    </w:p>
    <w:p>
      <w:pPr>
        <w:tabs>
          <w:tab w:val="left" w:pos="360"/>
        </w:tabs>
        <w:spacing w:line="360" w:lineRule="auto"/>
        <w:ind w:firstLine="493" w:firstLineChars="235"/>
        <w:rPr>
          <w:rFonts w:ascii="宋体" w:hAnsi="宋体"/>
          <w:szCs w:val="21"/>
        </w:rPr>
      </w:pPr>
      <w:r>
        <w:rPr>
          <w:rFonts w:hint="eastAsia" w:ascii="宋体" w:hAnsi="宋体"/>
          <w:szCs w:val="21"/>
        </w:rPr>
        <w:t>1、主要作业范围技术参数:</w:t>
      </w:r>
    </w:p>
    <w:p>
      <w:pPr>
        <w:tabs>
          <w:tab w:val="left" w:pos="360"/>
        </w:tabs>
        <w:spacing w:line="360" w:lineRule="auto"/>
        <w:ind w:firstLine="409" w:firstLineChars="195"/>
        <w:rPr>
          <w:rFonts w:ascii="宋体" w:hAnsi="宋体"/>
          <w:szCs w:val="21"/>
        </w:rPr>
      </w:pPr>
      <w:r>
        <w:rPr>
          <w:rFonts w:hint="eastAsia" w:ascii="宋体" w:hAnsi="宋体"/>
          <w:szCs w:val="21"/>
        </w:rPr>
        <w:t>（1）最大作业高度≥16.2米；</w:t>
      </w:r>
    </w:p>
    <w:p>
      <w:pPr>
        <w:tabs>
          <w:tab w:val="left" w:pos="360"/>
        </w:tabs>
        <w:spacing w:line="360" w:lineRule="auto"/>
        <w:ind w:firstLine="409" w:firstLineChars="195"/>
        <w:rPr>
          <w:rFonts w:ascii="宋体" w:hAnsi="宋体"/>
          <w:szCs w:val="21"/>
        </w:rPr>
      </w:pPr>
      <w:r>
        <w:rPr>
          <w:rFonts w:hint="eastAsia" w:ascii="宋体" w:hAnsi="宋体"/>
          <w:szCs w:val="21"/>
        </w:rPr>
        <w:t>（2）工作斗最大离地高度≥14.5米；</w:t>
      </w:r>
    </w:p>
    <w:p>
      <w:pPr>
        <w:tabs>
          <w:tab w:val="left" w:pos="360"/>
        </w:tabs>
        <w:spacing w:line="360" w:lineRule="auto"/>
        <w:ind w:firstLine="409" w:firstLineChars="195"/>
        <w:rPr>
          <w:rFonts w:ascii="宋体" w:hAnsi="宋体"/>
          <w:szCs w:val="21"/>
        </w:rPr>
      </w:pPr>
      <w:r>
        <w:rPr>
          <w:rFonts w:hint="eastAsia" w:ascii="宋体" w:hAnsi="宋体"/>
          <w:szCs w:val="21"/>
        </w:rPr>
        <w:t>（3）最大作业半径≥8.1米;</w:t>
      </w:r>
    </w:p>
    <w:p>
      <w:pPr>
        <w:tabs>
          <w:tab w:val="left" w:pos="360"/>
        </w:tabs>
        <w:spacing w:line="360" w:lineRule="auto"/>
        <w:ind w:firstLine="409" w:firstLineChars="195"/>
        <w:rPr>
          <w:rFonts w:ascii="宋体" w:hAnsi="宋体"/>
          <w:szCs w:val="21"/>
        </w:rPr>
      </w:pPr>
      <w:r>
        <w:rPr>
          <w:rFonts w:hint="eastAsia" w:ascii="宋体" w:hAnsi="宋体"/>
          <w:szCs w:val="21"/>
        </w:rPr>
        <w:t>（4）工作斗载荷≥200kg(2人)；</w:t>
      </w:r>
    </w:p>
    <w:p>
      <w:pPr>
        <w:tabs>
          <w:tab w:val="left" w:pos="360"/>
        </w:tabs>
        <w:spacing w:line="360" w:lineRule="auto"/>
        <w:ind w:firstLine="409" w:firstLineChars="195"/>
        <w:rPr>
          <w:rFonts w:ascii="宋体" w:hAnsi="宋体"/>
          <w:szCs w:val="21"/>
        </w:rPr>
      </w:pPr>
      <w:r>
        <w:rPr>
          <w:rFonts w:hint="eastAsia" w:ascii="宋体" w:hAnsi="宋体"/>
          <w:szCs w:val="21"/>
        </w:rPr>
        <w:t>（5）工作臂回转角度≥ 360°全回转；</w:t>
      </w:r>
    </w:p>
    <w:p>
      <w:pPr>
        <w:widowControl/>
        <w:snapToGrid w:val="0"/>
        <w:ind w:right="42" w:rightChars="20" w:firstLine="420" w:firstLineChars="200"/>
        <w:rPr>
          <w:rFonts w:hint="eastAsia" w:ascii="宋体" w:hAnsi="宋体" w:eastAsia="宋体"/>
          <w:szCs w:val="21"/>
          <w:lang w:eastAsia="zh-CN"/>
        </w:rPr>
      </w:pPr>
      <w:r>
        <w:rPr>
          <w:rFonts w:hint="eastAsia" w:ascii="宋体" w:hAnsi="宋体"/>
          <w:szCs w:val="21"/>
        </w:rPr>
        <w:t>（6）下臂起伏角度≥70°</w:t>
      </w:r>
      <w:r>
        <w:rPr>
          <w:rFonts w:hint="eastAsia" w:ascii="宋体" w:hAnsi="宋体"/>
          <w:szCs w:val="21"/>
          <w:lang w:eastAsia="zh-CN"/>
        </w:rPr>
        <w:t>；</w:t>
      </w:r>
    </w:p>
    <w:p>
      <w:pPr>
        <w:tabs>
          <w:tab w:val="left" w:pos="360"/>
        </w:tabs>
        <w:spacing w:line="360" w:lineRule="auto"/>
        <w:ind w:firstLine="409" w:firstLineChars="195"/>
        <w:rPr>
          <w:rFonts w:ascii="宋体" w:hAnsi="宋体"/>
          <w:szCs w:val="21"/>
        </w:rPr>
      </w:pPr>
      <w:r>
        <w:rPr>
          <w:rFonts w:hint="eastAsia" w:ascii="宋体" w:hAnsi="宋体"/>
          <w:szCs w:val="21"/>
        </w:rPr>
        <w:t>（7）上臂起伏角度≥75°；</w:t>
      </w:r>
    </w:p>
    <w:p>
      <w:pPr>
        <w:tabs>
          <w:tab w:val="left" w:pos="360"/>
        </w:tabs>
        <w:spacing w:line="360" w:lineRule="auto"/>
        <w:ind w:firstLine="409" w:firstLineChars="195"/>
        <w:rPr>
          <w:rFonts w:ascii="宋体" w:hAnsi="宋体"/>
          <w:szCs w:val="21"/>
        </w:rPr>
      </w:pPr>
      <w:r>
        <w:rPr>
          <w:rFonts w:hint="eastAsia" w:ascii="宋体" w:hAnsi="宋体"/>
          <w:szCs w:val="21"/>
        </w:rPr>
        <w:t>（8）回转台位置：位于车辆后轴上方（后置）；</w:t>
      </w:r>
    </w:p>
    <w:p>
      <w:pPr>
        <w:tabs>
          <w:tab w:val="left" w:pos="360"/>
        </w:tabs>
        <w:spacing w:line="360" w:lineRule="auto"/>
        <w:ind w:firstLine="409" w:firstLineChars="195"/>
        <w:rPr>
          <w:rFonts w:ascii="宋体" w:hAnsi="宋体"/>
          <w:szCs w:val="21"/>
        </w:rPr>
      </w:pPr>
      <w:r>
        <w:rPr>
          <w:rFonts w:hint="eastAsia" w:ascii="宋体" w:hAnsi="宋体"/>
          <w:szCs w:val="21"/>
        </w:rPr>
        <w:t>（9）臂架结构形式：折叠臂（2节折叠臂+1节小折叠臂）；</w:t>
      </w:r>
    </w:p>
    <w:p>
      <w:pPr>
        <w:tabs>
          <w:tab w:val="left" w:pos="360"/>
        </w:tabs>
        <w:spacing w:line="360" w:lineRule="auto"/>
        <w:ind w:firstLine="409" w:firstLineChars="195"/>
        <w:rPr>
          <w:rFonts w:ascii="宋体" w:hAnsi="宋体"/>
          <w:szCs w:val="21"/>
        </w:rPr>
      </w:pPr>
      <w:r>
        <w:rPr>
          <w:rFonts w:hint="eastAsia" w:ascii="宋体" w:hAnsi="宋体"/>
          <w:szCs w:val="21"/>
        </w:rPr>
        <w:t>（10）支腿形式：H型/单独可调；</w:t>
      </w:r>
    </w:p>
    <w:p>
      <w:pPr>
        <w:tabs>
          <w:tab w:val="left" w:pos="360"/>
        </w:tabs>
        <w:spacing w:line="360" w:lineRule="auto"/>
        <w:ind w:firstLine="409" w:firstLineChars="195"/>
        <w:rPr>
          <w:rFonts w:ascii="宋体" w:hAnsi="宋体"/>
          <w:szCs w:val="21"/>
        </w:rPr>
      </w:pPr>
      <w:r>
        <w:rPr>
          <w:rFonts w:hint="eastAsia" w:ascii="宋体" w:hAnsi="宋体"/>
          <w:szCs w:val="21"/>
        </w:rPr>
        <w:t>（11）支腿纵向跨距：≥3172毫米；</w:t>
      </w:r>
    </w:p>
    <w:p>
      <w:pPr>
        <w:tabs>
          <w:tab w:val="left" w:pos="360"/>
        </w:tabs>
        <w:spacing w:line="360" w:lineRule="auto"/>
        <w:ind w:firstLine="409" w:firstLineChars="195"/>
        <w:rPr>
          <w:rFonts w:ascii="宋体" w:hAnsi="宋体"/>
          <w:szCs w:val="21"/>
        </w:rPr>
      </w:pPr>
      <w:r>
        <w:rPr>
          <w:rFonts w:hint="eastAsia" w:ascii="宋体" w:hAnsi="宋体"/>
          <w:szCs w:val="21"/>
        </w:rPr>
        <w:t>（12）支腿横向跨距：≥3280毫米；</w:t>
      </w:r>
    </w:p>
    <w:p>
      <w:pPr>
        <w:tabs>
          <w:tab w:val="left" w:pos="360"/>
        </w:tabs>
        <w:spacing w:line="360" w:lineRule="auto"/>
        <w:ind w:firstLine="409" w:firstLineChars="195"/>
        <w:rPr>
          <w:rFonts w:hint="eastAsia" w:ascii="宋体" w:hAnsi="宋体"/>
          <w:szCs w:val="21"/>
        </w:rPr>
      </w:pPr>
      <w:r>
        <w:rPr>
          <w:rFonts w:hint="eastAsia" w:ascii="宋体" w:hAnsi="宋体"/>
          <w:szCs w:val="21"/>
        </w:rPr>
        <w:t>（13）底盘型号：国产知名品牌；（江铃</w:t>
      </w:r>
      <w:r>
        <w:rPr>
          <w:rFonts w:ascii="宋体" w:hAnsi="宋体"/>
          <w:sz w:val="18"/>
          <w:szCs w:val="18"/>
        </w:rPr>
        <w:t>JX1061TSGA26</w:t>
      </w:r>
      <w:r>
        <w:rPr>
          <w:rFonts w:hint="eastAsia" w:ascii="宋体" w:hAnsi="宋体"/>
          <w:sz w:val="18"/>
          <w:szCs w:val="18"/>
        </w:rPr>
        <w:t>）</w:t>
      </w:r>
    </w:p>
    <w:p>
      <w:pPr>
        <w:tabs>
          <w:tab w:val="left" w:pos="360"/>
        </w:tabs>
        <w:spacing w:line="360" w:lineRule="auto"/>
        <w:ind w:firstLine="420" w:firstLineChars="200"/>
        <w:rPr>
          <w:rFonts w:ascii="宋体" w:hAnsi="宋体"/>
          <w:szCs w:val="21"/>
        </w:rPr>
      </w:pPr>
      <w:r>
        <w:rPr>
          <w:rFonts w:hint="eastAsia" w:ascii="宋体" w:hAnsi="宋体"/>
          <w:szCs w:val="21"/>
        </w:rPr>
        <w:t>（14）底盘发动机型号：国产知名品牌；(江铃</w:t>
      </w:r>
      <w:r>
        <w:rPr>
          <w:rFonts w:ascii="宋体" w:hAnsi="宋体"/>
          <w:sz w:val="18"/>
          <w:szCs w:val="18"/>
        </w:rPr>
        <w:t>JX4D30B6H</w:t>
      </w:r>
      <w:r>
        <w:rPr>
          <w:rFonts w:hint="eastAsia" w:ascii="宋体" w:hAnsi="宋体"/>
          <w:szCs w:val="21"/>
        </w:rPr>
        <w:t>)</w:t>
      </w:r>
    </w:p>
    <w:p>
      <w:pPr>
        <w:tabs>
          <w:tab w:val="left" w:pos="360"/>
        </w:tabs>
        <w:spacing w:line="360" w:lineRule="auto"/>
        <w:ind w:firstLine="409" w:firstLineChars="195"/>
        <w:rPr>
          <w:rFonts w:ascii="宋体" w:hAnsi="宋体"/>
          <w:szCs w:val="21"/>
        </w:rPr>
      </w:pPr>
      <w:r>
        <w:rPr>
          <w:rFonts w:hint="eastAsia" w:ascii="宋体" w:hAnsi="宋体"/>
          <w:szCs w:val="21"/>
        </w:rPr>
        <w:t>（15）底盘发动机功率：</w:t>
      </w:r>
      <w:bookmarkStart w:id="195" w:name="_Hlk533054797"/>
      <w:r>
        <w:rPr>
          <w:rFonts w:hint="eastAsia" w:ascii="宋体" w:hAnsi="宋体"/>
          <w:szCs w:val="21"/>
        </w:rPr>
        <w:t>≥</w:t>
      </w:r>
      <w:bookmarkEnd w:id="195"/>
      <w:r>
        <w:rPr>
          <w:rFonts w:hint="eastAsia" w:ascii="宋体" w:hAnsi="宋体"/>
          <w:szCs w:val="21"/>
        </w:rPr>
        <w:t>85KW</w:t>
      </w:r>
    </w:p>
    <w:p>
      <w:pPr>
        <w:tabs>
          <w:tab w:val="left" w:pos="360"/>
        </w:tabs>
        <w:spacing w:line="360" w:lineRule="auto"/>
        <w:ind w:firstLine="420" w:firstLineChars="200"/>
        <w:rPr>
          <w:rFonts w:ascii="宋体" w:hAnsi="宋体"/>
          <w:szCs w:val="21"/>
        </w:rPr>
      </w:pPr>
      <w:r>
        <w:rPr>
          <w:rFonts w:hint="eastAsia" w:ascii="宋体" w:hAnsi="宋体"/>
          <w:szCs w:val="21"/>
        </w:rPr>
        <w:t>（16）乘员人数：5人</w:t>
      </w:r>
    </w:p>
    <w:p>
      <w:pPr>
        <w:tabs>
          <w:tab w:val="left" w:pos="360"/>
        </w:tabs>
        <w:spacing w:line="360" w:lineRule="auto"/>
        <w:ind w:firstLine="420" w:firstLineChars="200"/>
        <w:rPr>
          <w:rFonts w:ascii="宋体" w:hAnsi="宋体"/>
          <w:szCs w:val="21"/>
        </w:rPr>
      </w:pPr>
      <w:r>
        <w:rPr>
          <w:rFonts w:hint="eastAsia" w:ascii="宋体" w:hAnsi="宋体"/>
          <w:szCs w:val="21"/>
        </w:rPr>
        <w:t>（17）环保标准：国Ⅵ排放</w:t>
      </w:r>
    </w:p>
    <w:p>
      <w:pPr>
        <w:tabs>
          <w:tab w:val="left" w:pos="360"/>
        </w:tabs>
        <w:spacing w:line="360" w:lineRule="auto"/>
        <w:ind w:firstLine="420" w:firstLineChars="200"/>
        <w:rPr>
          <w:rFonts w:hint="eastAsia" w:ascii="宋体" w:hAnsi="宋体"/>
          <w:szCs w:val="21"/>
        </w:rPr>
      </w:pPr>
      <w:r>
        <w:rPr>
          <w:rFonts w:hint="eastAsia" w:ascii="宋体" w:hAnsi="宋体"/>
          <w:szCs w:val="21"/>
        </w:rPr>
        <w:t>（18）整车外形尺寸（长×宽×高）（mm）：≥7400×1980×2920mm</w:t>
      </w:r>
    </w:p>
    <w:p>
      <w:pPr>
        <w:tabs>
          <w:tab w:val="left" w:pos="360"/>
        </w:tabs>
        <w:spacing w:line="360" w:lineRule="auto"/>
        <w:ind w:firstLine="420" w:firstLineChars="200"/>
        <w:rPr>
          <w:rFonts w:hint="default"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车身颜色</w:t>
      </w:r>
      <w:r>
        <w:rPr>
          <w:rFonts w:hint="eastAsia" w:ascii="宋体" w:hAnsi="宋体"/>
          <w:szCs w:val="21"/>
        </w:rPr>
        <w:t>：</w:t>
      </w:r>
      <w:r>
        <w:rPr>
          <w:rFonts w:hint="eastAsia" w:ascii="宋体" w:hAnsi="宋体"/>
          <w:szCs w:val="21"/>
          <w:lang w:val="en-US" w:eastAsia="zh-CN"/>
        </w:rPr>
        <w:t>橘黄色（以采购人具体要求为准）</w:t>
      </w:r>
    </w:p>
    <w:p>
      <w:pPr>
        <w:spacing w:line="360" w:lineRule="auto"/>
        <w:ind w:firstLine="413" w:firstLineChars="196"/>
        <w:rPr>
          <w:rFonts w:ascii="宋体" w:hAnsi="宋体"/>
          <w:b/>
          <w:szCs w:val="21"/>
        </w:rPr>
      </w:pPr>
      <w:r>
        <w:rPr>
          <w:rFonts w:hint="eastAsia" w:ascii="宋体" w:hAnsi="宋体"/>
          <w:b/>
          <w:szCs w:val="21"/>
        </w:rPr>
        <w:t>二、设备基本要求：</w:t>
      </w:r>
    </w:p>
    <w:p>
      <w:pPr>
        <w:adjustRightInd w:val="0"/>
        <w:snapToGrid w:val="0"/>
        <w:spacing w:line="360" w:lineRule="auto"/>
        <w:ind w:left="426" w:right="141" w:rightChars="67"/>
        <w:rPr>
          <w:rFonts w:ascii="宋体" w:hAnsi="宋体"/>
          <w:szCs w:val="21"/>
        </w:rPr>
      </w:pPr>
      <w:r>
        <w:rPr>
          <w:rFonts w:hint="eastAsia" w:ascii="宋体" w:hAnsi="宋体"/>
          <w:szCs w:val="21"/>
        </w:rPr>
        <w:t>（1）小臂最大伸展角度达</w:t>
      </w:r>
      <w:r>
        <w:rPr>
          <w:rFonts w:ascii="宋体" w:hAnsi="宋体"/>
          <w:szCs w:val="21"/>
        </w:rPr>
        <w:t>90</w:t>
      </w:r>
      <w:r>
        <w:rPr>
          <w:rFonts w:hint="eastAsia" w:ascii="宋体" w:hAnsi="宋体"/>
          <w:szCs w:val="21"/>
        </w:rPr>
        <w:t>°，以便调整到最佳作业位置。</w:t>
      </w:r>
    </w:p>
    <w:p>
      <w:pPr>
        <w:adjustRightInd w:val="0"/>
        <w:snapToGrid w:val="0"/>
        <w:spacing w:line="360" w:lineRule="auto"/>
        <w:ind w:left="426" w:right="141" w:rightChars="67"/>
        <w:rPr>
          <w:rFonts w:ascii="宋体" w:hAnsi="宋体"/>
          <w:szCs w:val="21"/>
        </w:rPr>
      </w:pPr>
      <w:r>
        <w:rPr>
          <w:rFonts w:hint="eastAsia" w:ascii="宋体" w:hAnsi="宋体"/>
          <w:szCs w:val="21"/>
        </w:rPr>
        <w:t>（2）上下两套操作系统，在工作斗上和转台上均可完成各种作业动作。</w:t>
      </w:r>
    </w:p>
    <w:p>
      <w:pPr>
        <w:adjustRightInd w:val="0"/>
        <w:snapToGrid w:val="0"/>
        <w:spacing w:line="360" w:lineRule="auto"/>
        <w:ind w:left="426" w:right="141" w:rightChars="67"/>
        <w:rPr>
          <w:rFonts w:ascii="宋体" w:hAnsi="宋体"/>
          <w:szCs w:val="21"/>
        </w:rPr>
      </w:pPr>
      <w:r>
        <w:rPr>
          <w:rFonts w:hint="eastAsia" w:ascii="宋体" w:hAnsi="宋体"/>
          <w:szCs w:val="21"/>
        </w:rPr>
        <w:t>（3）支腿单独可调，可根据作业地面环境，单独调节每个支腿，即使地面凹凸不平，也能使整车调整到平稳状态。</w:t>
      </w:r>
    </w:p>
    <w:p>
      <w:pPr>
        <w:adjustRightInd w:val="0"/>
        <w:snapToGrid w:val="0"/>
        <w:spacing w:line="360" w:lineRule="auto"/>
        <w:ind w:left="426" w:right="141" w:rightChars="67"/>
        <w:rPr>
          <w:rFonts w:ascii="宋体" w:hAnsi="宋体"/>
          <w:szCs w:val="21"/>
        </w:rPr>
      </w:pPr>
      <w:r>
        <w:rPr>
          <w:rFonts w:hint="eastAsia" w:ascii="宋体" w:hAnsi="宋体"/>
          <w:szCs w:val="21"/>
        </w:rPr>
        <w:t>（4）升降和回转动作均可实现无级调速，即在上下两套操作系统中，升降和回转动作的速度均可实现由零至最大，以使整车在作业过程中平稳的动作，使作业人员更具安全感和舒适感。</w:t>
      </w:r>
    </w:p>
    <w:p>
      <w:pPr>
        <w:adjustRightInd w:val="0"/>
        <w:snapToGrid w:val="0"/>
        <w:spacing w:line="360" w:lineRule="auto"/>
        <w:ind w:left="426" w:right="141" w:rightChars="67"/>
        <w:rPr>
          <w:rFonts w:ascii="宋体" w:hAnsi="宋体"/>
          <w:szCs w:val="21"/>
        </w:rPr>
      </w:pPr>
      <w:r>
        <w:rPr>
          <w:rFonts w:hint="eastAsia" w:ascii="宋体" w:hAnsi="宋体"/>
          <w:szCs w:val="21"/>
        </w:rPr>
        <w:t>（5）夜间作业灯，上下部的操作台上均应安装操作照明灯。工作斗上还另加一个大灯，供夜间作业使用。</w:t>
      </w:r>
    </w:p>
    <w:p>
      <w:pPr>
        <w:adjustRightInd w:val="0"/>
        <w:snapToGrid w:val="0"/>
        <w:spacing w:line="360" w:lineRule="auto"/>
        <w:ind w:left="426" w:right="141" w:rightChars="67"/>
        <w:rPr>
          <w:rFonts w:ascii="宋体" w:hAnsi="宋体"/>
          <w:bCs/>
          <w:szCs w:val="21"/>
        </w:rPr>
      </w:pPr>
      <w:r>
        <w:rPr>
          <w:rFonts w:hint="eastAsia" w:ascii="宋体" w:hAnsi="宋体"/>
          <w:szCs w:val="21"/>
        </w:rPr>
        <w:t>※（6）</w:t>
      </w:r>
      <w:r>
        <w:rPr>
          <w:rFonts w:hint="eastAsia" w:ascii="宋体" w:hAnsi="宋体"/>
          <w:bCs/>
          <w:szCs w:val="21"/>
        </w:rPr>
        <w:t>采用独特的内藏式拉杆，使车体更加美观，同时使拉杆受到保护。</w:t>
      </w:r>
    </w:p>
    <w:p>
      <w:pPr>
        <w:adjustRightInd w:val="0"/>
        <w:snapToGrid w:val="0"/>
        <w:spacing w:line="360" w:lineRule="auto"/>
        <w:ind w:left="426" w:right="141" w:rightChars="67"/>
        <w:rPr>
          <w:rFonts w:ascii="宋体" w:hAnsi="宋体"/>
          <w:szCs w:val="21"/>
        </w:rPr>
      </w:pPr>
      <w:r>
        <w:rPr>
          <w:rFonts w:hint="eastAsia" w:ascii="宋体" w:hAnsi="宋体"/>
          <w:szCs w:val="21"/>
        </w:rPr>
        <w:t>（7）应安装紧急停止/熄火（发动机起动）开关，在转台和工作斗上分别有一个用于应急的紧急停止/熄火（发动机起动）开关拨钮，如在作业中发生危急情况下，扳动此开关，即可使发动机熄火，以避免突发事件的发生，增加了整车的安全性；同时也可以扳到此开关打开发动机。</w:t>
      </w:r>
    </w:p>
    <w:p>
      <w:pPr>
        <w:adjustRightInd w:val="0"/>
        <w:snapToGrid w:val="0"/>
        <w:spacing w:line="360" w:lineRule="auto"/>
        <w:ind w:left="426" w:right="141" w:rightChars="67"/>
        <w:rPr>
          <w:rFonts w:ascii="宋体" w:hAnsi="宋体"/>
          <w:szCs w:val="21"/>
        </w:rPr>
      </w:pPr>
      <w:r>
        <w:rPr>
          <w:rFonts w:hint="eastAsia" w:ascii="宋体" w:hAnsi="宋体"/>
          <w:szCs w:val="21"/>
        </w:rPr>
        <w:t>（8）应安装应急泵，在发动机发生故障不能起动的情况下可以扳动应急泵开关，利用底盘蓄电池的电能</w:t>
      </w:r>
      <w:r>
        <w:rPr>
          <w:rFonts w:hint="eastAsia" w:ascii="宋体" w:hAnsi="宋体"/>
          <w:szCs w:val="21"/>
          <w:lang w:val="en-US" w:eastAsia="zh-CN"/>
        </w:rPr>
        <w:t>或手动杆动能</w:t>
      </w:r>
      <w:r>
        <w:rPr>
          <w:rFonts w:hint="eastAsia" w:ascii="宋体" w:hAnsi="宋体"/>
          <w:szCs w:val="21"/>
        </w:rPr>
        <w:t>将臂架及支腿完全收回。</w:t>
      </w:r>
    </w:p>
    <w:p>
      <w:pPr>
        <w:adjustRightInd w:val="0"/>
        <w:snapToGrid w:val="0"/>
        <w:spacing w:line="360" w:lineRule="auto"/>
        <w:ind w:left="426" w:right="141" w:rightChars="67"/>
        <w:rPr>
          <w:rFonts w:ascii="宋体" w:hAnsi="宋体"/>
          <w:szCs w:val="21"/>
        </w:rPr>
      </w:pPr>
      <w:r>
        <w:rPr>
          <w:rFonts w:hint="eastAsia" w:ascii="宋体" w:hAnsi="宋体"/>
          <w:szCs w:val="21"/>
        </w:rPr>
        <w:t>※（9）应安装支腿指示装置，当水平支腿全伸，操作面板上的全伸指示灯亮时，可进行其它一切正常动作；若水平支腿未全伸，则指示灯不亮，上部装置无法进行回转，其它动作照常。支腿控制箱、转台和工作斗上分别有接地状态指示灯，当四支支腿完全接地时，三处的接地状态指示灯闪烁，如熄灭，说明至少有一条支腿没有撑实，不能进行其他操作。</w:t>
      </w:r>
    </w:p>
    <w:p>
      <w:pPr>
        <w:adjustRightInd w:val="0"/>
        <w:snapToGrid w:val="0"/>
        <w:spacing w:line="360" w:lineRule="auto"/>
        <w:ind w:left="426" w:right="141" w:rightChars="67"/>
        <w:rPr>
          <w:rFonts w:ascii="宋体" w:hAnsi="宋体"/>
          <w:szCs w:val="21"/>
        </w:rPr>
      </w:pPr>
      <w:r>
        <w:rPr>
          <w:rFonts w:hint="eastAsia" w:ascii="宋体" w:hAnsi="宋体"/>
          <w:szCs w:val="21"/>
        </w:rPr>
        <w:t>※（10）应安装限位行程开关，臂动作到极限位置时，安全控制系统通过限位行程开关来可靠限制臂的动作，以确保整车始终处于安全作业范围之内。</w:t>
      </w:r>
    </w:p>
    <w:p>
      <w:pPr>
        <w:adjustRightInd w:val="0"/>
        <w:snapToGrid w:val="0"/>
        <w:spacing w:line="360" w:lineRule="auto"/>
        <w:ind w:left="426" w:right="141" w:rightChars="67"/>
        <w:rPr>
          <w:rFonts w:ascii="宋体" w:hAnsi="宋体"/>
          <w:szCs w:val="21"/>
        </w:rPr>
      </w:pPr>
      <w:r>
        <w:rPr>
          <w:rFonts w:hint="eastAsia" w:ascii="宋体" w:hAnsi="宋体"/>
          <w:szCs w:val="21"/>
        </w:rPr>
        <w:t>（11）四个垂直支腿油缸、小臂、上臂、伸缩臂、下臂油缸都应装有双向液压锁，其作用是油缸到达所需位置后，将油缸锁住不动，以防造成事故。</w:t>
      </w:r>
    </w:p>
    <w:p>
      <w:pPr>
        <w:adjustRightInd w:val="0"/>
        <w:snapToGrid w:val="0"/>
        <w:spacing w:line="360" w:lineRule="auto"/>
        <w:ind w:left="426" w:right="141" w:rightChars="67"/>
        <w:rPr>
          <w:rFonts w:ascii="宋体" w:hAnsi="宋体"/>
          <w:szCs w:val="21"/>
        </w:rPr>
      </w:pPr>
      <w:r>
        <w:rPr>
          <w:rFonts w:hint="eastAsia" w:ascii="宋体" w:hAnsi="宋体"/>
          <w:szCs w:val="21"/>
        </w:rPr>
        <w:t>（12）小臂、上臂、下臂都应安装单向平衡阀，用以提高臂架升、降、停止过程中的平稳性。</w:t>
      </w:r>
    </w:p>
    <w:p>
      <w:pPr>
        <w:adjustRightInd w:val="0"/>
        <w:snapToGrid w:val="0"/>
        <w:spacing w:line="360" w:lineRule="auto"/>
        <w:ind w:left="426" w:right="141" w:rightChars="67"/>
        <w:rPr>
          <w:rFonts w:ascii="宋体" w:hAnsi="宋体"/>
          <w:szCs w:val="21"/>
        </w:rPr>
      </w:pPr>
      <w:r>
        <w:rPr>
          <w:rFonts w:hint="eastAsia" w:ascii="宋体" w:hAnsi="宋体"/>
          <w:szCs w:val="21"/>
        </w:rPr>
        <w:t>（13）应安装溢流阀，保持液压系统的最大压力为额定值，起溢流稳压的作用。</w:t>
      </w:r>
    </w:p>
    <w:p>
      <w:pPr>
        <w:adjustRightInd w:val="0"/>
        <w:snapToGrid w:val="0"/>
        <w:spacing w:line="360" w:lineRule="auto"/>
        <w:ind w:left="426" w:right="141" w:rightChars="67"/>
        <w:rPr>
          <w:rFonts w:ascii="宋体" w:hAnsi="宋体"/>
          <w:szCs w:val="21"/>
        </w:rPr>
      </w:pPr>
      <w:r>
        <w:rPr>
          <w:rFonts w:hint="eastAsia" w:ascii="宋体" w:hAnsi="宋体"/>
          <w:szCs w:val="21"/>
        </w:rPr>
        <w:t>（14）在后左、后右的垂直支腿上应安装示宽灯，作业时示宽灯闪亮，增加了作业的安全性。</w:t>
      </w:r>
    </w:p>
    <w:p>
      <w:pPr>
        <w:spacing w:line="400" w:lineRule="exact"/>
        <w:ind w:firstLine="420" w:firstLineChars="200"/>
        <w:rPr>
          <w:rFonts w:ascii="宋体" w:hAnsi="宋体" w:cs="宋体"/>
          <w:highlight w:val="none"/>
        </w:rPr>
      </w:pPr>
      <w:r>
        <w:rPr>
          <w:rFonts w:hint="eastAsia" w:ascii="宋体" w:hAnsi="宋体"/>
          <w:szCs w:val="21"/>
        </w:rPr>
        <w:t>（15）汽车底盘上应安装副大梁，以使整车受力合理，坚固耐用。</w:t>
      </w:r>
      <w:r>
        <w:rPr>
          <w:rFonts w:hint="eastAsia" w:ascii="宋体" w:hAnsi="宋体" w:cs="宋体"/>
          <w:highlight w:val="none"/>
        </w:rPr>
        <w:br w:type="page"/>
      </w:r>
      <w:bookmarkEnd w:id="184"/>
      <w:bookmarkEnd w:id="185"/>
      <w:bookmarkEnd w:id="186"/>
      <w:bookmarkStart w:id="196" w:name="_Toc513633965"/>
    </w:p>
    <w:p>
      <w:pPr>
        <w:pStyle w:val="3"/>
        <w:spacing w:before="0" w:after="0" w:line="360" w:lineRule="auto"/>
        <w:jc w:val="center"/>
        <w:rPr>
          <w:rFonts w:ascii="宋体" w:hAnsi="宋体" w:cs="宋体"/>
          <w:highlight w:val="none"/>
        </w:rPr>
      </w:pPr>
      <w:bookmarkStart w:id="197" w:name="_Toc15881"/>
      <w:bookmarkStart w:id="198" w:name="_Toc2000413"/>
      <w:bookmarkStart w:id="199" w:name="_Toc514858709"/>
      <w:r>
        <w:rPr>
          <w:rFonts w:hint="eastAsia" w:ascii="宋体" w:hAnsi="宋体" w:cs="宋体"/>
          <w:highlight w:val="none"/>
        </w:rPr>
        <w:t>第八章  竞争性比选响应文件格式</w:t>
      </w:r>
      <w:bookmarkEnd w:id="196"/>
      <w:bookmarkEnd w:id="197"/>
      <w:bookmarkEnd w:id="198"/>
      <w:bookmarkEnd w:id="199"/>
    </w:p>
    <w:p>
      <w:pPr>
        <w:rPr>
          <w:highlight w:val="none"/>
        </w:rPr>
      </w:pPr>
      <w:r>
        <w:rPr>
          <w:rFonts w:hint="eastAsia" w:ascii="宋体" w:hAnsi="宋体" w:cs="宋体"/>
          <w:highlight w:val="none"/>
        </w:rPr>
        <w:br w:type="page"/>
      </w:r>
    </w:p>
    <w:p>
      <w:pPr>
        <w:jc w:val="center"/>
        <w:rPr>
          <w:rFonts w:ascii="宋体" w:hAnsi="宋体" w:cs="宋体"/>
          <w:sz w:val="52"/>
          <w:szCs w:val="52"/>
          <w:highlight w:val="none"/>
          <w:u w:val="single"/>
        </w:rPr>
      </w:pPr>
      <w:bookmarkStart w:id="200" w:name="_Toc513646738"/>
      <w:bookmarkStart w:id="201" w:name="_Toc513633967"/>
      <w:bookmarkStart w:id="202" w:name="_Toc503971829"/>
      <w:bookmarkStart w:id="203" w:name="_Toc514858710"/>
      <w:bookmarkStart w:id="204" w:name="_Toc503951046"/>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00"/>
      <w:bookmarkEnd w:id="201"/>
      <w:bookmarkEnd w:id="202"/>
      <w:bookmarkEnd w:id="203"/>
      <w:bookmarkEnd w:id="204"/>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ind w:firstLine="1400" w:firstLineChars="500"/>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p>
    <w:p>
      <w:pPr>
        <w:jc w:val="center"/>
        <w:rPr>
          <w:rFonts w:ascii="宋体" w:hAnsi="宋体" w:cs="宋体"/>
          <w:sz w:val="28"/>
          <w:szCs w:val="28"/>
          <w:highlight w:val="none"/>
        </w:rPr>
      </w:pPr>
      <w:r>
        <w:rPr>
          <w:rFonts w:hint="eastAsia" w:ascii="宋体" w:hAnsi="宋体" w:cs="宋体"/>
          <w:sz w:val="28"/>
          <w:szCs w:val="28"/>
          <w:highlight w:val="none"/>
        </w:rPr>
        <w:t>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rPr>
          <w:highlight w:val="none"/>
        </w:rPr>
      </w:pPr>
      <w:r>
        <w:rPr>
          <w:rFonts w:hint="eastAsia"/>
          <w:highlight w:val="none"/>
        </w:rPr>
        <w:br w:type="page"/>
      </w:r>
    </w:p>
    <w:p>
      <w:pPr>
        <w:pStyle w:val="4"/>
        <w:jc w:val="center"/>
        <w:rPr>
          <w:rFonts w:ascii="宋体" w:hAnsi="宋体" w:eastAsia="宋体" w:cs="宋体"/>
          <w:highlight w:val="none"/>
        </w:rPr>
      </w:pPr>
      <w:bookmarkStart w:id="205" w:name="_Toc1368"/>
      <w:bookmarkStart w:id="206" w:name="_Toc11329273"/>
      <w:bookmarkStart w:id="207" w:name="_Toc18761"/>
      <w:bookmarkStart w:id="208" w:name="_Toc27055"/>
      <w:bookmarkStart w:id="209" w:name="_Toc12189"/>
      <w:bookmarkStart w:id="210" w:name="_Toc5459"/>
      <w:bookmarkStart w:id="211" w:name="_Toc3606"/>
      <w:bookmarkStart w:id="212" w:name="_Toc28780"/>
      <w:r>
        <w:rPr>
          <w:rFonts w:hint="eastAsia" w:ascii="宋体" w:hAnsi="宋体" w:eastAsia="宋体" w:cs="宋体"/>
          <w:highlight w:val="none"/>
        </w:rPr>
        <w:t>目    录</w:t>
      </w:r>
      <w:bookmarkEnd w:id="187"/>
      <w:bookmarkEnd w:id="188"/>
      <w:bookmarkEnd w:id="189"/>
      <w:bookmarkEnd w:id="190"/>
      <w:bookmarkEnd w:id="191"/>
      <w:bookmarkEnd w:id="192"/>
      <w:bookmarkEnd w:id="193"/>
      <w:bookmarkEnd w:id="194"/>
      <w:bookmarkEnd w:id="205"/>
      <w:bookmarkEnd w:id="206"/>
      <w:bookmarkEnd w:id="207"/>
      <w:bookmarkEnd w:id="208"/>
      <w:bookmarkEnd w:id="209"/>
      <w:bookmarkEnd w:id="210"/>
      <w:bookmarkEnd w:id="211"/>
      <w:bookmarkEnd w:id="212"/>
    </w:p>
    <w:p>
      <w:pPr>
        <w:numPr>
          <w:ilvl w:val="0"/>
          <w:numId w:val="2"/>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2"/>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三、报价一览表</w:t>
      </w:r>
    </w:p>
    <w:p>
      <w:pPr>
        <w:spacing w:line="400" w:lineRule="exact"/>
        <w:rPr>
          <w:rFonts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ascii="宋体" w:hAnsi="宋体" w:cs="宋体"/>
          <w:highlight w:val="none"/>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报价人基本信息及其他材料</w:t>
      </w: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13" w:name="_Toc11329274"/>
      <w:bookmarkStart w:id="214" w:name="_Toc8870"/>
      <w:bookmarkStart w:id="215" w:name="_Toc28490"/>
      <w:bookmarkStart w:id="216" w:name="_Toc29547"/>
      <w:bookmarkStart w:id="217" w:name="_Toc26784"/>
      <w:bookmarkStart w:id="218" w:name="_Toc20552"/>
      <w:bookmarkStart w:id="219" w:name="_Toc25874"/>
      <w:bookmarkStart w:id="220" w:name="_Toc15863"/>
      <w:bookmarkStart w:id="221" w:name="_Toc5274"/>
      <w:bookmarkStart w:id="222" w:name="_Toc513633969"/>
      <w:bookmarkStart w:id="223" w:name="_Toc447827053"/>
      <w:bookmarkStart w:id="224" w:name="_Toc503951048"/>
      <w:r>
        <w:rPr>
          <w:rFonts w:hint="eastAsia" w:ascii="宋体" w:hAnsi="宋体" w:eastAsia="宋体" w:cs="宋体"/>
          <w:sz w:val="28"/>
          <w:highlight w:val="none"/>
        </w:rPr>
        <w:t>一、</w:t>
      </w:r>
      <w:bookmarkEnd w:id="213"/>
      <w:bookmarkEnd w:id="214"/>
      <w:r>
        <w:rPr>
          <w:rFonts w:hint="eastAsia" w:ascii="宋体" w:hAnsi="宋体" w:eastAsia="宋体" w:cs="宋体"/>
          <w:sz w:val="28"/>
          <w:highlight w:val="none"/>
        </w:rPr>
        <w:t>竞争比选响应声明书</w:t>
      </w:r>
      <w:bookmarkEnd w:id="215"/>
      <w:bookmarkEnd w:id="216"/>
      <w:bookmarkEnd w:id="217"/>
      <w:bookmarkEnd w:id="218"/>
      <w:bookmarkEnd w:id="219"/>
      <w:bookmarkEnd w:id="220"/>
      <w:bookmarkEnd w:id="221"/>
    </w:p>
    <w:p>
      <w:pPr>
        <w:tabs>
          <w:tab w:val="left" w:pos="900"/>
        </w:tabs>
        <w:spacing w:line="300" w:lineRule="auto"/>
        <w:rPr>
          <w:rFonts w:ascii="Arial" w:hAnsi="Arial" w:cs="Arial"/>
          <w:sz w:val="24"/>
          <w:highlight w:val="none"/>
        </w:rPr>
      </w:pPr>
      <w:r>
        <w:rPr>
          <w:rFonts w:ascii="Arial" w:hAnsi="Arial" w:cs="Arial"/>
          <w:sz w:val="24"/>
          <w:highlight w:val="none"/>
        </w:rPr>
        <w:t xml:space="preserve"> </w:t>
      </w:r>
      <w:r>
        <w:rPr>
          <w:rFonts w:hint="eastAsia" w:ascii="Arial" w:hAnsi="Arial" w:cs="Arial"/>
          <w:b/>
          <w:sz w:val="24"/>
          <w:highlight w:val="none"/>
        </w:rPr>
        <w:t>致：</w:t>
      </w:r>
      <w:r>
        <w:rPr>
          <w:rFonts w:hint="eastAsia" w:ascii="Arial" w:hAnsi="Arial" w:cs="Arial"/>
          <w:b/>
          <w:bCs/>
          <w:sz w:val="24"/>
          <w:highlight w:val="none"/>
          <w:u w:val="single"/>
        </w:rPr>
        <w:t>重庆首讯科技股份有限公司</w:t>
      </w:r>
    </w:p>
    <w:p>
      <w:pPr>
        <w:spacing w:line="700" w:lineRule="atLeast"/>
        <w:ind w:firstLine="480" w:firstLineChars="200"/>
        <w:rPr>
          <w:rFonts w:ascii="Arial" w:hAnsi="Arial" w:cs="Arial"/>
          <w:sz w:val="24"/>
          <w:highlight w:val="none"/>
        </w:rPr>
      </w:pPr>
      <w:r>
        <w:rPr>
          <w:rFonts w:hint="eastAsia" w:ascii="Arial" w:hAnsi="Arial" w:cs="Arial"/>
          <w:sz w:val="24"/>
          <w:highlight w:val="none"/>
        </w:rPr>
        <w:t>根据贵方为</w:t>
      </w:r>
      <w:r>
        <w:rPr>
          <w:rFonts w:hint="eastAsia" w:ascii="Arial" w:hAnsi="Arial" w:cs="Arial"/>
          <w:sz w:val="24"/>
          <w:highlight w:val="none"/>
          <w:u w:val="single"/>
          <w:lang w:eastAsia="zh-CN"/>
        </w:rPr>
        <w:t>首讯公司2022年生产用高空作业车采购</w:t>
      </w:r>
      <w:r>
        <w:rPr>
          <w:rFonts w:hint="eastAsia" w:ascii="Arial" w:hAnsi="Arial" w:cs="Arial"/>
          <w:sz w:val="24"/>
          <w:highlight w:val="none"/>
        </w:rPr>
        <w:t>竞争比选项目及服务的竞争比选邀请，签字代表</w:t>
      </w:r>
      <w:r>
        <w:rPr>
          <w:rFonts w:ascii="Arial" w:hAnsi="Arial" w:cs="Arial"/>
          <w:sz w:val="24"/>
          <w:highlight w:val="none"/>
          <w:u w:val="single"/>
        </w:rPr>
        <w:t xml:space="preserve">          </w:t>
      </w:r>
      <w:r>
        <w:rPr>
          <w:rFonts w:hint="eastAsia" w:ascii="Arial" w:hAnsi="Arial" w:cs="Arial"/>
          <w:sz w:val="24"/>
          <w:highlight w:val="none"/>
          <w:u w:val="single"/>
        </w:rPr>
        <w:t>（全名、职务）</w:t>
      </w:r>
      <w:r>
        <w:rPr>
          <w:rFonts w:hint="eastAsia" w:ascii="Arial" w:hAnsi="Arial" w:cs="Arial"/>
          <w:sz w:val="24"/>
          <w:highlight w:val="none"/>
        </w:rPr>
        <w:t>经正式授权并代表竞争比选响应单位</w:t>
      </w:r>
      <w:r>
        <w:rPr>
          <w:rFonts w:ascii="Arial" w:hAnsi="Arial" w:cs="Arial"/>
          <w:sz w:val="24"/>
          <w:highlight w:val="none"/>
          <w:u w:val="single"/>
        </w:rPr>
        <w:t xml:space="preserve"> </w:t>
      </w:r>
      <w:r>
        <w:rPr>
          <w:rFonts w:hint="eastAsia" w:ascii="Arial" w:hAnsi="Arial" w:cs="Arial"/>
          <w:sz w:val="24"/>
          <w:highlight w:val="none"/>
          <w:u w:val="single"/>
        </w:rPr>
        <w:t>（竞争比选响应单位名称）</w:t>
      </w:r>
      <w:r>
        <w:rPr>
          <w:rFonts w:ascii="Arial" w:hAnsi="Arial" w:cs="Arial"/>
          <w:sz w:val="24"/>
          <w:highlight w:val="none"/>
          <w:u w:val="single"/>
        </w:rPr>
        <w:t xml:space="preserve"> </w:t>
      </w:r>
      <w:r>
        <w:rPr>
          <w:rFonts w:hint="eastAsia" w:ascii="Arial" w:hAnsi="Arial" w:cs="Arial"/>
          <w:sz w:val="24"/>
          <w:highlight w:val="none"/>
        </w:rPr>
        <w:t>提交报价文件。</w:t>
      </w:r>
    </w:p>
    <w:p>
      <w:pPr>
        <w:spacing w:line="700" w:lineRule="atLeast"/>
        <w:ind w:firstLine="480" w:firstLineChars="200"/>
        <w:rPr>
          <w:rFonts w:ascii="Arial" w:hAnsi="Arial" w:cs="Arial"/>
          <w:sz w:val="24"/>
          <w:highlight w:val="none"/>
          <w:u w:val="single"/>
        </w:rPr>
      </w:pPr>
      <w:r>
        <w:rPr>
          <w:rFonts w:hint="eastAsia" w:ascii="Arial" w:hAnsi="Arial" w:cs="Arial"/>
          <w:sz w:val="24"/>
          <w:highlight w:val="none"/>
          <w:u w:val="single"/>
        </w:rPr>
        <w:t>我方愿以：</w:t>
      </w:r>
      <w:r>
        <w:rPr>
          <w:rFonts w:hint="eastAsia" w:ascii="Arial" w:hAnsi="Arial" w:cs="Arial"/>
          <w:color w:val="000000" w:themeColor="text1"/>
          <w:sz w:val="24"/>
          <w:highlight w:val="none"/>
          <w:u w:val="single"/>
          <w14:textFill>
            <w14:solidFill>
              <w14:schemeClr w14:val="tx1"/>
            </w14:solidFill>
          </w14:textFill>
        </w:rPr>
        <w:t xml:space="preserve">              元（大写              元）</w:t>
      </w:r>
      <w:r>
        <w:rPr>
          <w:rFonts w:hint="eastAsia" w:ascii="Arial" w:hAnsi="Arial" w:cs="Arial"/>
          <w:color w:val="000000" w:themeColor="text1"/>
          <w:sz w:val="24"/>
          <w:highlight w:val="none"/>
          <w14:textFill>
            <w14:solidFill>
              <w14:schemeClr w14:val="tx1"/>
            </w14:solidFill>
          </w14:textFill>
        </w:rPr>
        <w:t>的总报价（含增值税），按照竞争性比选文件的要求，承担本次竞争性比选含要求的</w:t>
      </w:r>
      <w:r>
        <w:rPr>
          <w:rFonts w:hint="eastAsia" w:ascii="Arial" w:hAnsi="Arial" w:cs="Arial"/>
          <w:color w:val="000000" w:themeColor="text1"/>
          <w:sz w:val="24"/>
          <w:highlight w:val="none"/>
          <w:lang w:val="en-US" w:eastAsia="zh-CN"/>
          <w14:textFill>
            <w14:solidFill>
              <w14:schemeClr w14:val="tx1"/>
            </w14:solidFill>
          </w14:textFill>
        </w:rPr>
        <w:t>供货</w:t>
      </w:r>
      <w:r>
        <w:rPr>
          <w:rFonts w:hint="eastAsia" w:ascii="Arial" w:hAnsi="Arial" w:cs="Arial"/>
          <w:color w:val="000000" w:themeColor="text1"/>
          <w:sz w:val="24"/>
          <w:highlight w:val="none"/>
          <w14:textFill>
            <w14:solidFill>
              <w14:schemeClr w14:val="tx1"/>
            </w14:solidFill>
          </w14:textFill>
        </w:rPr>
        <w:t>任务。</w:t>
      </w:r>
    </w:p>
    <w:p>
      <w:pPr>
        <w:tabs>
          <w:tab w:val="left" w:pos="540"/>
          <w:tab w:val="left" w:pos="900"/>
        </w:tabs>
        <w:spacing w:line="300" w:lineRule="auto"/>
        <w:rPr>
          <w:rFonts w:ascii="Arial" w:hAnsi="Arial" w:cs="Arial"/>
          <w:sz w:val="24"/>
          <w:highlight w:val="none"/>
        </w:rPr>
      </w:pPr>
      <w:r>
        <w:rPr>
          <w:rFonts w:ascii="Arial" w:hAnsi="Arial" w:cs="Arial"/>
          <w:sz w:val="24"/>
          <w:highlight w:val="none"/>
        </w:rPr>
        <w:t xml:space="preserve">    </w:t>
      </w:r>
    </w:p>
    <w:p>
      <w:pPr>
        <w:tabs>
          <w:tab w:val="left" w:pos="540"/>
          <w:tab w:val="left" w:pos="900"/>
        </w:tabs>
        <w:spacing w:line="300" w:lineRule="auto"/>
        <w:ind w:firstLine="480" w:firstLineChars="200"/>
        <w:rPr>
          <w:rFonts w:ascii="Arial" w:hAnsi="Arial" w:cs="Arial"/>
          <w:sz w:val="24"/>
          <w:highlight w:val="none"/>
        </w:rPr>
      </w:pPr>
      <w:r>
        <w:rPr>
          <w:rFonts w:hint="eastAsia" w:ascii="Arial" w:hAnsi="Arial" w:cs="Arial"/>
          <w:sz w:val="24"/>
          <w:highlight w:val="none"/>
        </w:rPr>
        <w:t>据此函，签字代表宣布同意如下：</w:t>
      </w:r>
    </w:p>
    <w:p>
      <w:pPr>
        <w:tabs>
          <w:tab w:val="left" w:pos="540"/>
          <w:tab w:val="left" w:pos="900"/>
        </w:tabs>
        <w:spacing w:line="300" w:lineRule="auto"/>
        <w:rPr>
          <w:rFonts w:ascii="Arial" w:hAnsi="Arial" w:cs="Arial"/>
          <w:sz w:val="24"/>
          <w:highlight w:val="none"/>
        </w:rPr>
      </w:pPr>
      <w:r>
        <w:rPr>
          <w:rFonts w:ascii="Arial" w:hAnsi="Arial" w:cs="Arial"/>
          <w:sz w:val="24"/>
          <w:highlight w:val="none"/>
        </w:rPr>
        <w:t>1</w:t>
      </w:r>
      <w:r>
        <w:rPr>
          <w:rFonts w:hint="eastAsia" w:ascii="Arial" w:hAnsi="Arial" w:cs="Arial"/>
          <w:sz w:val="24"/>
          <w:highlight w:val="none"/>
        </w:rPr>
        <w:t>、竞争比选响应单位将按竞争比选文件规定履行合同责任和义务。</w:t>
      </w:r>
    </w:p>
    <w:p>
      <w:pPr>
        <w:tabs>
          <w:tab w:val="left" w:pos="900"/>
        </w:tabs>
        <w:spacing w:line="300" w:lineRule="auto"/>
        <w:rPr>
          <w:rFonts w:ascii="Arial" w:hAnsi="Arial" w:cs="Arial"/>
          <w:b/>
          <w:sz w:val="24"/>
          <w:highlight w:val="none"/>
        </w:rPr>
      </w:pPr>
      <w:r>
        <w:rPr>
          <w:rFonts w:ascii="Arial" w:hAnsi="Arial" w:cs="Arial"/>
          <w:sz w:val="24"/>
          <w:highlight w:val="none"/>
        </w:rPr>
        <w:t>2</w:t>
      </w:r>
      <w:r>
        <w:rPr>
          <w:rFonts w:hint="eastAsia" w:ascii="Arial" w:hAnsi="Arial" w:cs="Arial"/>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sz w:val="24"/>
          <w:highlight w:val="none"/>
        </w:rPr>
      </w:pPr>
      <w:r>
        <w:rPr>
          <w:rFonts w:hint="eastAsia" w:ascii="Arial" w:hAnsi="Arial" w:cs="Arial"/>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sz w:val="24"/>
          <w:highlight w:val="none"/>
        </w:rPr>
      </w:pPr>
      <w:r>
        <w:rPr>
          <w:rFonts w:hint="eastAsia" w:ascii="Arial" w:hAnsi="Arial" w:cs="Arial"/>
          <w:sz w:val="24"/>
          <w:highlight w:val="none"/>
        </w:rPr>
        <w:t>4、与本竞争比选响应有关的一切正式往来通讯请寄：</w:t>
      </w:r>
    </w:p>
    <w:p>
      <w:pPr>
        <w:tabs>
          <w:tab w:val="left" w:pos="900"/>
        </w:tabs>
        <w:spacing w:line="300" w:lineRule="auto"/>
        <w:rPr>
          <w:rFonts w:ascii="Arial" w:hAnsi="Arial" w:cs="Arial"/>
          <w:b/>
          <w:sz w:val="24"/>
          <w:highlight w:val="none"/>
        </w:rPr>
      </w:pPr>
      <w:r>
        <w:rPr>
          <w:rFonts w:hint="eastAsia" w:ascii="Arial" w:hAnsi="Arial" w:cs="Arial"/>
          <w:sz w:val="24"/>
          <w:highlight w:val="none"/>
        </w:rPr>
        <w:t>地址：</w:t>
      </w:r>
      <w:r>
        <w:rPr>
          <w:rFonts w:ascii="Arial" w:hAnsi="Arial" w:cs="Arial"/>
          <w:sz w:val="24"/>
          <w:highlight w:val="none"/>
          <w:u w:val="single"/>
        </w:rPr>
        <w:t xml:space="preserve">                         </w:t>
      </w:r>
      <w:r>
        <w:rPr>
          <w:rFonts w:ascii="Arial" w:hAnsi="Arial" w:cs="Arial"/>
          <w:sz w:val="24"/>
          <w:highlight w:val="none"/>
        </w:rPr>
        <w:t xml:space="preserve">   </w:t>
      </w:r>
      <w:r>
        <w:rPr>
          <w:rFonts w:hint="eastAsia" w:ascii="Arial" w:hAnsi="Arial" w:cs="Arial"/>
          <w:sz w:val="24"/>
          <w:highlight w:val="none"/>
        </w:rPr>
        <w:t>邮编：</w:t>
      </w:r>
      <w:r>
        <w:rPr>
          <w:rFonts w:ascii="Arial" w:hAnsi="Arial" w:cs="Arial"/>
          <w:sz w:val="24"/>
          <w:highlight w:val="none"/>
          <w:u w:val="single"/>
        </w:rPr>
        <w:t xml:space="preserve">            </w:t>
      </w:r>
      <w:r>
        <w:rPr>
          <w:rFonts w:ascii="Arial" w:hAnsi="Arial" w:cs="Arial"/>
          <w:b/>
          <w:sz w:val="24"/>
          <w:highlight w:val="none"/>
        </w:rPr>
        <w:t xml:space="preserve">  </w:t>
      </w:r>
    </w:p>
    <w:p>
      <w:pPr>
        <w:tabs>
          <w:tab w:val="left" w:pos="900"/>
        </w:tabs>
        <w:spacing w:line="300" w:lineRule="auto"/>
        <w:rPr>
          <w:rFonts w:ascii="Arial" w:hAnsi="Arial" w:cs="Arial"/>
          <w:sz w:val="24"/>
          <w:highlight w:val="none"/>
          <w:u w:val="single"/>
        </w:rPr>
      </w:pPr>
      <w:r>
        <w:rPr>
          <w:rFonts w:hint="eastAsia" w:ascii="Arial" w:hAnsi="Arial" w:cs="Arial"/>
          <w:sz w:val="24"/>
          <w:highlight w:val="none"/>
        </w:rPr>
        <w:t>电话：</w:t>
      </w:r>
      <w:r>
        <w:rPr>
          <w:rFonts w:ascii="Arial" w:hAnsi="Arial" w:cs="Arial"/>
          <w:sz w:val="24"/>
          <w:highlight w:val="none"/>
          <w:u w:val="single"/>
        </w:rPr>
        <w:t xml:space="preserve">                   </w:t>
      </w:r>
      <w:r>
        <w:rPr>
          <w:rFonts w:ascii="Arial" w:hAnsi="Arial" w:cs="Arial"/>
          <w:sz w:val="24"/>
          <w:highlight w:val="none"/>
        </w:rPr>
        <w:t xml:space="preserve">         </w:t>
      </w:r>
      <w:r>
        <w:rPr>
          <w:rFonts w:hint="eastAsia" w:ascii="Arial" w:hAnsi="Arial" w:cs="Arial"/>
          <w:sz w:val="24"/>
          <w:highlight w:val="none"/>
        </w:rPr>
        <w:t>传真：</w:t>
      </w:r>
      <w:r>
        <w:rPr>
          <w:rFonts w:ascii="Arial" w:hAnsi="Arial" w:cs="Arial"/>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竞争比选响应单位名称（加盖鲜公章）：</w:t>
      </w:r>
      <w:r>
        <w:rPr>
          <w:rFonts w:ascii="Arial" w:hAnsi="Arial" w:cs="Arial"/>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日期：</w:t>
      </w:r>
      <w:r>
        <w:rPr>
          <w:rFonts w:hint="eastAsia" w:ascii="Arial" w:hAnsi="Arial" w:cs="Arial"/>
          <w:sz w:val="24"/>
          <w:highlight w:val="none"/>
          <w:u w:val="single"/>
        </w:rPr>
        <w:t xml:space="preserve">     </w:t>
      </w:r>
      <w:r>
        <w:rPr>
          <w:rFonts w:hint="eastAsia" w:ascii="Arial" w:hAnsi="Arial" w:cs="Arial"/>
          <w:sz w:val="24"/>
          <w:highlight w:val="none"/>
        </w:rPr>
        <w:t>年</w:t>
      </w:r>
      <w:r>
        <w:rPr>
          <w:rFonts w:ascii="Arial" w:hAnsi="Arial" w:cs="Arial"/>
          <w:sz w:val="24"/>
          <w:highlight w:val="none"/>
          <w:u w:val="single"/>
        </w:rPr>
        <w:t xml:space="preserve">      </w:t>
      </w:r>
      <w:r>
        <w:rPr>
          <w:rFonts w:hint="eastAsia" w:ascii="Arial" w:hAnsi="Arial" w:cs="Arial"/>
          <w:sz w:val="24"/>
          <w:highlight w:val="none"/>
        </w:rPr>
        <w:t>月</w:t>
      </w:r>
      <w:r>
        <w:rPr>
          <w:rFonts w:ascii="Arial" w:hAnsi="Arial" w:cs="Arial"/>
          <w:sz w:val="24"/>
          <w:highlight w:val="none"/>
          <w:u w:val="single"/>
        </w:rPr>
        <w:t xml:space="preserve">    </w:t>
      </w:r>
      <w:r>
        <w:rPr>
          <w:rFonts w:hint="eastAsia" w:ascii="Arial" w:hAnsi="Arial" w:cs="Arial"/>
          <w:sz w:val="24"/>
          <w:highlight w:val="none"/>
          <w:u w:val="single"/>
        </w:rPr>
        <w:t xml:space="preserve">  </w:t>
      </w:r>
      <w:r>
        <w:rPr>
          <w:rFonts w:hint="eastAsia" w:ascii="Arial" w:hAnsi="Arial" w:cs="Arial"/>
          <w:sz w:val="24"/>
          <w:highlight w:val="none"/>
        </w:rPr>
        <w:t>日</w:t>
      </w:r>
      <w:r>
        <w:rPr>
          <w:rFonts w:ascii="Arial" w:hAnsi="Arial" w:cs="Arial"/>
          <w:sz w:val="24"/>
          <w:highlight w:val="none"/>
        </w:rPr>
        <w:t xml:space="preserve"> </w:t>
      </w:r>
      <w:bookmarkStart w:id="225" w:name="_Toc27815"/>
      <w:bookmarkStart w:id="226" w:name="_Toc491883232"/>
    </w:p>
    <w:p>
      <w:pPr>
        <w:rPr>
          <w:rFonts w:ascii="Arial" w:hAnsi="Arial" w:cs="Arial"/>
          <w:sz w:val="24"/>
          <w:highlight w:val="none"/>
        </w:rPr>
      </w:pPr>
      <w:r>
        <w:rPr>
          <w:rFonts w:hint="eastAsia" w:ascii="Arial" w:hAnsi="Arial" w:cs="Arial"/>
          <w:sz w:val="24"/>
          <w:highlight w:val="none"/>
        </w:rPr>
        <w:br w:type="page"/>
      </w:r>
    </w:p>
    <w:p>
      <w:pPr>
        <w:pStyle w:val="4"/>
        <w:jc w:val="center"/>
        <w:rPr>
          <w:rFonts w:ascii="宋体" w:hAnsi="宋体" w:eastAsia="宋体" w:cs="宋体"/>
          <w:sz w:val="28"/>
          <w:szCs w:val="28"/>
          <w:highlight w:val="none"/>
        </w:rPr>
      </w:pPr>
      <w:bookmarkStart w:id="227" w:name="_Toc7724"/>
      <w:bookmarkStart w:id="228" w:name="_Toc3141"/>
      <w:bookmarkStart w:id="229" w:name="_Toc736"/>
      <w:bookmarkStart w:id="230" w:name="_Toc30192"/>
      <w:r>
        <w:rPr>
          <w:rFonts w:hint="eastAsia" w:ascii="宋体" w:hAnsi="宋体" w:eastAsia="宋体" w:cs="宋体"/>
          <w:sz w:val="28"/>
          <w:szCs w:val="28"/>
          <w:highlight w:val="none"/>
        </w:rPr>
        <w:t>二、法定代表人身份证明或法定代表人授权委托书</w:t>
      </w:r>
      <w:bookmarkEnd w:id="225"/>
      <w:bookmarkEnd w:id="227"/>
      <w:bookmarkEnd w:id="228"/>
      <w:bookmarkEnd w:id="229"/>
      <w:bookmarkEnd w:id="230"/>
    </w:p>
    <w:p>
      <w:pPr>
        <w:pStyle w:val="4"/>
        <w:jc w:val="center"/>
        <w:rPr>
          <w:rFonts w:ascii="宋体" w:hAnsi="宋体" w:eastAsia="宋体" w:cs="宋体"/>
          <w:sz w:val="24"/>
          <w:szCs w:val="24"/>
          <w:highlight w:val="none"/>
        </w:rPr>
      </w:pPr>
      <w:bookmarkStart w:id="231" w:name="_Toc5529"/>
      <w:bookmarkStart w:id="232" w:name="_Toc14141"/>
      <w:bookmarkStart w:id="233" w:name="_Toc12240"/>
      <w:bookmarkStart w:id="234" w:name="_Toc19701"/>
      <w:bookmarkStart w:id="235" w:name="_Toc15857"/>
      <w:r>
        <w:rPr>
          <w:rFonts w:hint="eastAsia" w:ascii="宋体" w:hAnsi="宋体" w:eastAsia="宋体" w:cs="宋体"/>
          <w:sz w:val="24"/>
          <w:szCs w:val="24"/>
          <w:highlight w:val="none"/>
        </w:rPr>
        <w:t>（一）法定代表人身份证明</w:t>
      </w:r>
      <w:bookmarkEnd w:id="226"/>
      <w:bookmarkEnd w:id="231"/>
      <w:bookmarkEnd w:id="232"/>
      <w:bookmarkEnd w:id="233"/>
      <w:bookmarkEnd w:id="234"/>
      <w:bookmarkEnd w:id="235"/>
    </w:p>
    <w:p>
      <w:pPr>
        <w:spacing w:line="440" w:lineRule="exact"/>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6" w:name="_Toc369531698"/>
      <w:bookmarkStart w:id="237" w:name="_Toc27897"/>
      <w:bookmarkStart w:id="238" w:name="_Toc352691662"/>
      <w:r>
        <w:rPr>
          <w:rFonts w:ascii="宋体" w:hAnsi="宋体"/>
          <w:highlight w:val="none"/>
          <w:u w:val="single"/>
        </w:rPr>
        <w:t xml:space="preserve">        </w:t>
      </w:r>
      <w:r>
        <w:rPr>
          <w:rFonts w:ascii="宋体" w:hAnsi="宋体"/>
          <w:highlight w:val="none"/>
        </w:rPr>
        <w:t>年</w:t>
      </w:r>
      <w:bookmarkEnd w:id="236"/>
      <w:bookmarkEnd w:id="237"/>
      <w:bookmarkEnd w:id="238"/>
      <w:r>
        <w:rPr>
          <w:rFonts w:ascii="宋体" w:hAnsi="宋体"/>
          <w:highlight w:val="none"/>
        </w:rPr>
        <w:t>龄</w:t>
      </w:r>
      <w:bookmarkStart w:id="239" w:name="_Toc369531699"/>
      <w:bookmarkStart w:id="240" w:name="_Toc384308377"/>
      <w:bookmarkStart w:id="241" w:name="_Toc247514248"/>
      <w:bookmarkStart w:id="242" w:name="_Toc352691663"/>
      <w:bookmarkStart w:id="243" w:name="_Toc361508754"/>
      <w:bookmarkStart w:id="244" w:name="_Toc15573"/>
      <w:bookmarkStart w:id="245" w:name="_Toc247527829"/>
      <w:bookmarkStart w:id="246" w:name="_Toc144974858"/>
      <w:bookmarkStart w:id="247" w:name="_Toc152042578"/>
      <w:bookmarkStart w:id="248" w:name="_Toc300835211"/>
      <w:bookmarkStart w:id="249" w:name="_Toc152045789"/>
      <w:r>
        <w:rPr>
          <w:rFonts w:ascii="宋体" w:hAnsi="宋体"/>
          <w:highlight w:val="none"/>
        </w:rPr>
        <w:t>：</w:t>
      </w:r>
      <w:bookmarkEnd w:id="239"/>
      <w:bookmarkEnd w:id="240"/>
      <w:bookmarkEnd w:id="241"/>
      <w:bookmarkEnd w:id="242"/>
      <w:bookmarkEnd w:id="243"/>
      <w:bookmarkEnd w:id="244"/>
      <w:bookmarkEnd w:id="245"/>
      <w:bookmarkEnd w:id="246"/>
      <w:bookmarkEnd w:id="247"/>
      <w:bookmarkEnd w:id="248"/>
      <w:bookmarkEnd w:id="249"/>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鲜公章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鲜公章</w:t>
      </w:r>
      <w:r>
        <w:rPr>
          <w:rFonts w:ascii="宋体" w:hAnsi="宋体"/>
          <w:highlight w:val="none"/>
        </w:rPr>
        <w:t>。</w:t>
      </w:r>
    </w:p>
    <w:p>
      <w:pPr>
        <w:rPr>
          <w:highlight w:val="none"/>
        </w:rPr>
      </w:pPr>
      <w:r>
        <w:rPr>
          <w:rFonts w:ascii="宋体" w:hAnsi="宋体"/>
          <w:sz w:val="20"/>
          <w:highlight w:val="none"/>
        </w:rPr>
        <w:br w:type="page"/>
      </w:r>
    </w:p>
    <w:p>
      <w:pPr>
        <w:pStyle w:val="4"/>
        <w:jc w:val="center"/>
        <w:rPr>
          <w:rFonts w:ascii="宋体" w:hAnsi="宋体"/>
          <w:sz w:val="28"/>
          <w:szCs w:val="28"/>
          <w:highlight w:val="none"/>
        </w:rPr>
      </w:pPr>
      <w:bookmarkStart w:id="250" w:name="_Toc491883233"/>
      <w:bookmarkStart w:id="251" w:name="_Toc23491"/>
      <w:bookmarkStart w:id="252" w:name="_Toc58"/>
      <w:bookmarkStart w:id="253" w:name="_Toc23815"/>
      <w:bookmarkStart w:id="254" w:name="_Toc2523"/>
      <w:bookmarkStart w:id="255" w:name="_Toc8768"/>
      <w:r>
        <w:rPr>
          <w:rFonts w:hint="eastAsia" w:ascii="宋体" w:hAnsi="宋体" w:eastAsia="宋体" w:cs="宋体"/>
          <w:sz w:val="24"/>
          <w:szCs w:val="24"/>
          <w:highlight w:val="none"/>
        </w:rPr>
        <w:t>（二）</w:t>
      </w:r>
      <w:bookmarkEnd w:id="250"/>
      <w:r>
        <w:rPr>
          <w:rFonts w:hint="eastAsia" w:ascii="宋体" w:hAnsi="宋体" w:eastAsia="宋体" w:cs="宋体"/>
          <w:sz w:val="24"/>
          <w:szCs w:val="24"/>
          <w:highlight w:val="none"/>
        </w:rPr>
        <w:t>法定代表人授权委托书</w:t>
      </w:r>
      <w:bookmarkEnd w:id="251"/>
      <w:bookmarkEnd w:id="252"/>
      <w:bookmarkEnd w:id="253"/>
      <w:bookmarkEnd w:id="254"/>
      <w:bookmarkEnd w:id="255"/>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鲜公章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鲜公章</w:t>
      </w:r>
      <w:r>
        <w:rPr>
          <w:rFonts w:ascii="宋体" w:hAnsi="宋体"/>
          <w:highlight w:val="none"/>
        </w:rPr>
        <w:t>并由其法定代表人和委托代理人签字。</w:t>
      </w:r>
      <w:bookmarkStart w:id="256" w:name="_Toc11329275"/>
      <w:bookmarkStart w:id="257" w:name="_Toc10088"/>
    </w:p>
    <w:p>
      <w:pPr>
        <w:rPr>
          <w:highlight w:val="none"/>
        </w:rPr>
      </w:pPr>
      <w:r>
        <w:rPr>
          <w:rFonts w:ascii="宋体" w:hAnsi="宋体"/>
          <w:highlight w:val="none"/>
        </w:rPr>
        <w:br w:type="page"/>
      </w:r>
    </w:p>
    <w:bookmarkEnd w:id="222"/>
    <w:bookmarkEnd w:id="223"/>
    <w:bookmarkEnd w:id="224"/>
    <w:bookmarkEnd w:id="256"/>
    <w:bookmarkEnd w:id="257"/>
    <w:p>
      <w:pPr>
        <w:pStyle w:val="4"/>
        <w:spacing w:before="0" w:after="0" w:line="360" w:lineRule="auto"/>
        <w:jc w:val="center"/>
        <w:rPr>
          <w:rFonts w:hint="eastAsia" w:ascii="宋体" w:hAnsi="宋体" w:eastAsia="宋体" w:cs="宋体"/>
          <w:sz w:val="28"/>
          <w:highlight w:val="none"/>
          <w:lang w:eastAsia="zh-CN"/>
        </w:rPr>
      </w:pPr>
      <w:r>
        <w:rPr>
          <w:rFonts w:hint="eastAsia" w:ascii="宋体" w:hAnsi="宋体" w:eastAsia="宋体" w:cs="宋体"/>
          <w:sz w:val="28"/>
          <w:highlight w:val="none"/>
        </w:rPr>
        <w:t>三、</w:t>
      </w:r>
      <w:r>
        <w:rPr>
          <w:rFonts w:hint="eastAsia" w:ascii="宋体" w:hAnsi="宋体" w:eastAsia="宋体" w:cs="宋体"/>
          <w:sz w:val="28"/>
          <w:highlight w:val="none"/>
          <w:lang w:val="en-US" w:eastAsia="zh-CN"/>
        </w:rPr>
        <w:t>报价一览表</w:t>
      </w:r>
    </w:p>
    <w:tbl>
      <w:tblPr>
        <w:tblStyle w:val="43"/>
        <w:tblW w:w="8914" w:type="dxa"/>
        <w:jc w:val="center"/>
        <w:tblLayout w:type="autofit"/>
        <w:tblCellMar>
          <w:top w:w="0" w:type="dxa"/>
          <w:left w:w="108" w:type="dxa"/>
          <w:bottom w:w="0" w:type="dxa"/>
          <w:right w:w="108" w:type="dxa"/>
        </w:tblCellMar>
      </w:tblPr>
      <w:tblGrid>
        <w:gridCol w:w="735"/>
        <w:gridCol w:w="836"/>
        <w:gridCol w:w="1704"/>
        <w:gridCol w:w="1143"/>
        <w:gridCol w:w="628"/>
        <w:gridCol w:w="628"/>
        <w:gridCol w:w="1178"/>
        <w:gridCol w:w="1188"/>
        <w:gridCol w:w="874"/>
      </w:tblGrid>
      <w:tr>
        <w:tblPrEx>
          <w:tblCellMar>
            <w:top w:w="0" w:type="dxa"/>
            <w:left w:w="108" w:type="dxa"/>
            <w:bottom w:w="0" w:type="dxa"/>
            <w:right w:w="108" w:type="dxa"/>
          </w:tblCellMar>
        </w:tblPrEx>
        <w:trPr>
          <w:trHeight w:val="900"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bidi="ar-SA"/>
              </w:rPr>
              <w:t>名称</w:t>
            </w:r>
          </w:p>
        </w:tc>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品牌</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规格型号</w:t>
            </w:r>
          </w:p>
        </w:tc>
        <w:tc>
          <w:tcPr>
            <w:tcW w:w="11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能源类型</w:t>
            </w: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rPr>
              <w:t>单位</w:t>
            </w: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 w:val="20"/>
                <w:szCs w:val="20"/>
                <w:lang w:val="en-US" w:eastAsia="zh-CN"/>
              </w:rPr>
            </w:pPr>
            <w:r>
              <w:rPr>
                <w:rFonts w:hint="eastAsia" w:ascii="宋体" w:hAnsi="宋体" w:cs="宋体"/>
                <w:b/>
                <w:bCs/>
                <w:color w:val="000000"/>
                <w:kern w:val="0"/>
                <w:sz w:val="20"/>
                <w:szCs w:val="20"/>
                <w:lang w:val="en-US" w:eastAsia="zh-CN"/>
              </w:rPr>
              <w:t>单价（元）</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 w:val="20"/>
                <w:szCs w:val="20"/>
                <w:lang w:val="en-US" w:eastAsia="zh-CN"/>
              </w:rPr>
            </w:pPr>
            <w:r>
              <w:rPr>
                <w:rFonts w:hint="eastAsia" w:ascii="宋体" w:hAnsi="宋体" w:cs="宋体"/>
                <w:b/>
                <w:bCs/>
                <w:color w:val="000000"/>
                <w:kern w:val="0"/>
                <w:sz w:val="20"/>
                <w:szCs w:val="20"/>
                <w:lang w:val="en-US" w:eastAsia="zh-CN"/>
              </w:rPr>
              <w:t>合价（元）</w:t>
            </w:r>
          </w:p>
        </w:tc>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 w:val="20"/>
                <w:szCs w:val="20"/>
                <w:lang w:val="en-US" w:eastAsia="zh-CN"/>
              </w:rPr>
            </w:pPr>
            <w:r>
              <w:rPr>
                <w:rFonts w:hint="eastAsia" w:ascii="宋体" w:hAnsi="宋体" w:cs="宋体"/>
                <w:b/>
                <w:bCs/>
                <w:color w:val="000000"/>
                <w:kern w:val="0"/>
                <w:sz w:val="20"/>
                <w:szCs w:val="20"/>
                <w:lang w:val="en-US" w:eastAsia="zh-CN"/>
              </w:rPr>
              <w:t>备注</w:t>
            </w:r>
          </w:p>
        </w:tc>
      </w:tr>
      <w:tr>
        <w:tblPrEx>
          <w:tblCellMar>
            <w:top w:w="0" w:type="dxa"/>
            <w:left w:w="108" w:type="dxa"/>
            <w:bottom w:w="0" w:type="dxa"/>
            <w:right w:w="108" w:type="dxa"/>
          </w:tblCellMar>
        </w:tblPrEx>
        <w:trPr>
          <w:trHeight w:val="1718"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高空作业车</w:t>
            </w:r>
          </w:p>
        </w:tc>
        <w:tc>
          <w:tcPr>
            <w:tcW w:w="8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柴油</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台</w:t>
            </w:r>
          </w:p>
        </w:tc>
        <w:tc>
          <w:tcPr>
            <w:tcW w:w="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cs="宋体"/>
                <w:color w:val="000000"/>
                <w:kern w:val="0"/>
                <w:sz w:val="20"/>
                <w:szCs w:val="20"/>
                <w:lang w:val="en-US" w:eastAsia="zh-CN"/>
              </w:rPr>
            </w:pPr>
          </w:p>
        </w:tc>
        <w:tc>
          <w:tcPr>
            <w:tcW w:w="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000000"/>
                <w:kern w:val="0"/>
                <w:sz w:val="20"/>
                <w:szCs w:val="20"/>
                <w:lang w:val="en-US" w:eastAsia="zh-CN"/>
              </w:rPr>
            </w:pPr>
          </w:p>
        </w:tc>
      </w:tr>
      <w:tr>
        <w:tblPrEx>
          <w:tblCellMar>
            <w:top w:w="0" w:type="dxa"/>
            <w:left w:w="108" w:type="dxa"/>
            <w:bottom w:w="0" w:type="dxa"/>
            <w:right w:w="108" w:type="dxa"/>
          </w:tblCellMar>
        </w:tblPrEx>
        <w:trPr>
          <w:trHeight w:val="565" w:hRule="atLeast"/>
          <w:jc w:val="center"/>
        </w:trPr>
        <w:tc>
          <w:tcPr>
            <w:tcW w:w="1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合计（元）</w:t>
            </w:r>
          </w:p>
        </w:tc>
        <w:tc>
          <w:tcPr>
            <w:tcW w:w="646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0.00元  大写：</w:t>
            </w:r>
          </w:p>
        </w:tc>
        <w:tc>
          <w:tcPr>
            <w:tcW w:w="8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0"/>
                <w:szCs w:val="20"/>
                <w:lang w:val="en-US" w:eastAsia="zh-CN"/>
              </w:rPr>
            </w:pPr>
          </w:p>
        </w:tc>
      </w:tr>
    </w:tbl>
    <w:p>
      <w:pPr>
        <w:pStyle w:val="4"/>
        <w:spacing w:before="0" w:after="0" w:line="360" w:lineRule="auto"/>
        <w:jc w:val="center"/>
        <w:rPr>
          <w:rFonts w:hint="eastAsia" w:ascii="宋体" w:hAnsi="宋体" w:eastAsia="宋体" w:cs="宋体"/>
          <w:sz w:val="28"/>
          <w:highlight w:val="none"/>
        </w:rPr>
      </w:pPr>
    </w:p>
    <w:p>
      <w:pPr>
        <w:rPr>
          <w:rFonts w:hint="eastAsia" w:ascii="宋体" w:hAnsi="宋体" w:eastAsia="宋体" w:cs="宋体"/>
          <w:sz w:val="28"/>
          <w:highlight w:val="none"/>
        </w:rPr>
      </w:pPr>
      <w:r>
        <w:rPr>
          <w:rFonts w:hint="eastAsia" w:ascii="宋体" w:hAnsi="宋体" w:eastAsia="宋体" w:cs="宋体"/>
          <w:sz w:val="28"/>
          <w:highlight w:val="none"/>
        </w:rPr>
        <w:br w:type="page"/>
      </w:r>
    </w:p>
    <w:p>
      <w:pPr>
        <w:pStyle w:val="4"/>
        <w:spacing w:before="0" w:after="0" w:line="360" w:lineRule="auto"/>
        <w:jc w:val="center"/>
        <w:rPr>
          <w:rFonts w:ascii="宋体" w:hAnsi="宋体" w:eastAsia="宋体" w:cs="宋体"/>
          <w:sz w:val="28"/>
          <w:highlight w:val="none"/>
        </w:rPr>
      </w:pPr>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p>
    <w:p>
      <w:pPr>
        <w:tabs>
          <w:tab w:val="left" w:pos="1680"/>
          <w:tab w:val="left" w:pos="4215"/>
          <w:tab w:val="left" w:pos="4305"/>
          <w:tab w:val="left" w:pos="8000"/>
        </w:tabs>
        <w:autoSpaceDE w:val="0"/>
        <w:autoSpaceDN w:val="0"/>
        <w:adjustRightInd w:val="0"/>
        <w:snapToGrid w:val="0"/>
        <w:spacing w:line="360" w:lineRule="auto"/>
        <w:rPr>
          <w:rFonts w:ascii="宋体" w:hAnsi="宋体" w:cs="宋体"/>
          <w:kern w:val="0"/>
          <w:szCs w:val="21"/>
          <w:highlight w:val="none"/>
        </w:rPr>
      </w:pPr>
    </w:p>
    <w:p>
      <w:pPr>
        <w:jc w:val="center"/>
        <w:rPr>
          <w:rFonts w:hint="default"/>
          <w:b/>
          <w:bCs/>
          <w:sz w:val="32"/>
          <w:szCs w:val="36"/>
          <w:lang w:val="en-US" w:eastAsia="zh-CN"/>
        </w:rPr>
      </w:pPr>
      <w:r>
        <w:rPr>
          <w:rFonts w:hint="eastAsia"/>
          <w:b/>
          <w:bCs/>
          <w:sz w:val="32"/>
          <w:szCs w:val="36"/>
          <w:lang w:val="en-US" w:eastAsia="zh-CN"/>
        </w:rPr>
        <w:t>（一）响应性承诺书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lang w:val="en-US" w:eastAsia="zh-CN"/>
        </w:rPr>
      </w:pPr>
      <w:r>
        <w:rPr>
          <w:rFonts w:hint="eastAsia"/>
          <w:sz w:val="24"/>
          <w:szCs w:val="28"/>
          <w:lang w:val="en-US" w:eastAsia="zh-CN"/>
        </w:rPr>
        <w:t>致：重庆首讯科技股份有限公司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u w:val="none"/>
          <w:lang w:val="en-US" w:eastAsia="zh-CN"/>
        </w:rPr>
      </w:pPr>
      <w:r>
        <w:rPr>
          <w:rFonts w:hint="eastAsia"/>
          <w:sz w:val="24"/>
          <w:szCs w:val="28"/>
          <w:lang w:val="en-US" w:eastAsia="zh-CN"/>
        </w:rPr>
        <w:t>我公司对</w:t>
      </w:r>
      <w:r>
        <w:rPr>
          <w:rFonts w:hint="eastAsia"/>
          <w:sz w:val="24"/>
          <w:szCs w:val="28"/>
          <w:u w:val="single"/>
          <w:lang w:val="en-US" w:eastAsia="zh-CN"/>
        </w:rPr>
        <w:t xml:space="preserve">                                 （项目名称）</w:t>
      </w:r>
      <w:r>
        <w:rPr>
          <w:rFonts w:hint="eastAsia"/>
          <w:sz w:val="24"/>
          <w:szCs w:val="28"/>
          <w:u w:val="none"/>
          <w:lang w:val="en-US" w:eastAsia="zh-CN"/>
        </w:rPr>
        <w:t>竞争性比选文件中要求内容完全响应做出以下承诺：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u w:val="none"/>
          <w:lang w:val="en-US" w:eastAsia="zh-CN"/>
        </w:rPr>
      </w:pPr>
      <w:r>
        <w:rPr>
          <w:rFonts w:hint="eastAsia"/>
          <w:sz w:val="24"/>
          <w:szCs w:val="28"/>
          <w:u w:val="none"/>
          <w:lang w:val="en-US" w:eastAsia="zh-CN"/>
        </w:rPr>
        <w:t>1、我方比选响应文件中所有资料都是真实、准确、完整的；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u w:val="none"/>
          <w:lang w:val="en-US" w:eastAsia="zh-CN"/>
        </w:rPr>
      </w:pPr>
      <w:r>
        <w:rPr>
          <w:rFonts w:hint="eastAsia"/>
          <w:sz w:val="24"/>
          <w:szCs w:val="28"/>
          <w:u w:val="none"/>
          <w:lang w:val="en-US" w:eastAsia="zh-CN"/>
        </w:rPr>
        <w:t>2、我方不存在资质挂靠或参与串标、围标情形。所报项目相关人员未在其他项目任职。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u w:val="none"/>
          <w:lang w:val="en-US" w:eastAsia="zh-CN"/>
        </w:rPr>
      </w:pPr>
      <w:r>
        <w:rPr>
          <w:rFonts w:hint="eastAsia"/>
          <w:sz w:val="24"/>
          <w:szCs w:val="28"/>
          <w:u w:val="none"/>
          <w:lang w:val="en-US" w:eastAsia="zh-CN"/>
        </w:rPr>
        <w:t>3、完全响应竞争性比选文件中的人员要求、机械设备要求、投标内容要求、报价要求、供货期要求、质量标准、安全目标等要求；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u w:val="none"/>
          <w:lang w:val="en-US" w:eastAsia="zh-CN"/>
        </w:rPr>
      </w:pPr>
      <w:r>
        <w:rPr>
          <w:rFonts w:hint="eastAsia"/>
          <w:sz w:val="24"/>
          <w:szCs w:val="28"/>
          <w:u w:val="none"/>
          <w:lang w:val="en-US" w:eastAsia="zh-CN"/>
        </w:rPr>
        <w:t>如我方违反上述承诺，隐瞒、提供虚假资料或不按竞争性比选文件要求组织实施，被贵方发现或被他人举报查实，无条件接受贵司的处罚，对造成的损失，任何法律和经济责任完全由我方承担。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8"/>
          <w:u w:val="none"/>
          <w:lang w:val="en-US" w:eastAsia="zh-CN"/>
        </w:rPr>
      </w:pPr>
      <w:r>
        <w:rPr>
          <w:rFonts w:hint="eastAsia"/>
          <w:sz w:val="24"/>
          <w:szCs w:val="28"/>
          <w:u w:val="none"/>
          <w:lang w:val="en-US" w:eastAsia="zh-CN"/>
        </w:rPr>
        <w:t xml:space="preserve">                    报价人（单位名称）：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8"/>
          <w:highlight w:val="none"/>
          <w:lang w:eastAsia="zh-CN"/>
        </w:rPr>
      </w:pPr>
      <w:r>
        <w:rPr>
          <w:rFonts w:hint="eastAsia"/>
          <w:sz w:val="24"/>
          <w:szCs w:val="28"/>
          <w:u w:val="none"/>
          <w:lang w:val="en-US" w:eastAsia="zh-CN"/>
        </w:rPr>
        <w:t xml:space="preserve">        </w:t>
      </w:r>
      <w:r>
        <w:rPr>
          <w:rFonts w:ascii="宋体" w:hAnsi="宋体"/>
          <w:sz w:val="24"/>
          <w:szCs w:val="28"/>
          <w:highlight w:val="none"/>
        </w:rPr>
        <w:t>法定代表人</w:t>
      </w:r>
      <w:r>
        <w:rPr>
          <w:rFonts w:hint="eastAsia" w:ascii="宋体" w:hAnsi="宋体"/>
          <w:sz w:val="24"/>
          <w:szCs w:val="28"/>
          <w:highlight w:val="none"/>
          <w:lang w:eastAsia="zh-CN"/>
        </w:rPr>
        <w:t>（</w:t>
      </w:r>
      <w:r>
        <w:rPr>
          <w:rFonts w:hint="eastAsia" w:ascii="宋体" w:hAnsi="宋体"/>
          <w:sz w:val="24"/>
          <w:szCs w:val="28"/>
          <w:highlight w:val="none"/>
          <w:lang w:val="en-US" w:eastAsia="zh-CN"/>
        </w:rPr>
        <w:t>或</w:t>
      </w:r>
      <w:r>
        <w:rPr>
          <w:rFonts w:ascii="宋体" w:hAnsi="宋体"/>
          <w:sz w:val="24"/>
          <w:szCs w:val="28"/>
          <w:highlight w:val="none"/>
        </w:rPr>
        <w:t>委托代理人</w:t>
      </w:r>
      <w:r>
        <w:rPr>
          <w:rFonts w:hint="eastAsia" w:ascii="宋体" w:hAnsi="宋体"/>
          <w:sz w:val="24"/>
          <w:szCs w:val="28"/>
          <w:highlight w:val="none"/>
          <w:lang w:eastAsia="zh-CN"/>
        </w:rPr>
        <w:t>）</w:t>
      </w:r>
      <w:r>
        <w:rPr>
          <w:rFonts w:ascii="宋体" w:hAnsi="宋体"/>
          <w:sz w:val="24"/>
          <w:szCs w:val="28"/>
          <w:highlight w:val="none"/>
        </w:rPr>
        <w:t>签字</w:t>
      </w:r>
      <w:r>
        <w:rPr>
          <w:rFonts w:hint="eastAsia" w:ascii="宋体" w:hAnsi="宋体"/>
          <w:sz w:val="24"/>
          <w:szCs w:val="28"/>
          <w:highlight w:val="none"/>
          <w:lang w:eastAsia="zh-CN"/>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kern w:val="0"/>
          <w:szCs w:val="21"/>
        </w:rPr>
      </w:pPr>
      <w:r>
        <w:rPr>
          <w:rFonts w:hint="eastAsia" w:ascii="宋体" w:hAnsi="宋体"/>
          <w:sz w:val="24"/>
          <w:szCs w:val="28"/>
          <w:highlight w:val="none"/>
          <w:lang w:val="en-US" w:eastAsia="zh-CN"/>
        </w:rPr>
        <w:t xml:space="preserve">     日期：</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kern w:val="0"/>
          <w:szCs w:val="21"/>
        </w:rPr>
      </w:pPr>
      <w:r>
        <w:rPr>
          <w:rFonts w:hint="eastAsia"/>
          <w:b/>
          <w:bCs/>
          <w:sz w:val="32"/>
          <w:szCs w:val="36"/>
          <w:lang w:val="en-US" w:eastAsia="zh-CN"/>
        </w:rPr>
        <w:t>（二）资格审查资料</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Cs w:val="21"/>
        </w:rPr>
      </w:pPr>
      <w:r>
        <w:rPr>
          <w:rFonts w:hint="eastAsia" w:ascii="宋体" w:hAnsi="宋体" w:cs="宋体"/>
          <w:kern w:val="0"/>
          <w:szCs w:val="21"/>
        </w:rPr>
        <w:t>（报价人营业执照、资格证书等）</w:t>
      </w:r>
    </w:p>
    <w:p>
      <w:pPr>
        <w:pStyle w:val="42"/>
        <w:rPr>
          <w:rFonts w:ascii="宋体" w:hAnsi="宋体" w:cs="宋体"/>
          <w:szCs w:val="21"/>
        </w:rPr>
      </w:pPr>
    </w:p>
    <w:p>
      <w:pPr>
        <w:pStyle w:val="42"/>
        <w:rPr>
          <w:rFonts w:ascii="宋体" w:hAnsi="宋体" w:cs="宋体"/>
          <w:szCs w:val="21"/>
          <w:highlight w:val="none"/>
        </w:rPr>
      </w:pPr>
    </w:p>
    <w:p>
      <w:pPr>
        <w:rPr>
          <w:rFonts w:ascii="宋体" w:hAnsi="宋体" w:cs="宋体"/>
          <w:kern w:val="0"/>
          <w:szCs w:val="21"/>
          <w:highlight w:val="none"/>
        </w:rPr>
      </w:pPr>
      <w:r>
        <w:rPr>
          <w:rFonts w:hint="eastAsia" w:ascii="宋体" w:hAnsi="宋体" w:cs="宋体"/>
          <w:kern w:val="0"/>
          <w:szCs w:val="21"/>
          <w:highlight w:val="none"/>
        </w:rPr>
        <w:br w:type="page"/>
      </w:r>
    </w:p>
    <w:p>
      <w:pPr>
        <w:pStyle w:val="4"/>
        <w:spacing w:before="0" w:after="0" w:line="360" w:lineRule="auto"/>
        <w:jc w:val="center"/>
        <w:rPr>
          <w:rFonts w:ascii="宋体" w:hAnsi="宋体" w:cs="宋体"/>
          <w:sz w:val="28"/>
          <w:highlight w:val="none"/>
        </w:rPr>
      </w:pPr>
      <w:bookmarkStart w:id="258" w:name="_Toc11329281"/>
      <w:bookmarkStart w:id="259" w:name="_Toc513633973"/>
      <w:bookmarkStart w:id="260" w:name="_Toc503951055"/>
      <w:bookmarkStart w:id="261" w:name="_Toc29559"/>
      <w:bookmarkStart w:id="262" w:name="_Toc447827068"/>
      <w:bookmarkStart w:id="263" w:name="_Toc11243"/>
      <w:bookmarkStart w:id="264" w:name="_Toc11672"/>
      <w:bookmarkStart w:id="265" w:name="_Toc10085"/>
      <w:bookmarkStart w:id="266" w:name="_Toc19964"/>
      <w:bookmarkStart w:id="267" w:name="_Toc15250"/>
      <w:bookmarkStart w:id="268" w:name="_Toc30624"/>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58"/>
      <w:bookmarkEnd w:id="259"/>
      <w:bookmarkEnd w:id="260"/>
      <w:bookmarkEnd w:id="261"/>
      <w:bookmarkEnd w:id="262"/>
      <w:bookmarkEnd w:id="263"/>
      <w:bookmarkEnd w:id="264"/>
      <w:r>
        <w:rPr>
          <w:rFonts w:hint="eastAsia" w:ascii="宋体" w:hAnsi="宋体" w:eastAsia="宋体" w:cs="宋体"/>
          <w:sz w:val="28"/>
          <w:highlight w:val="none"/>
        </w:rPr>
        <w:t>报价人基本信息及其他材料</w:t>
      </w:r>
      <w:bookmarkEnd w:id="265"/>
      <w:bookmarkEnd w:id="266"/>
      <w:bookmarkEnd w:id="267"/>
      <w:bookmarkEnd w:id="268"/>
      <w:bookmarkStart w:id="269" w:name="_Toc513633974"/>
      <w:bookmarkStart w:id="270" w:name="_Toc503951058"/>
    </w:p>
    <w:p>
      <w:pPr>
        <w:pStyle w:val="5"/>
        <w:spacing w:before="0" w:after="0" w:line="360" w:lineRule="auto"/>
        <w:jc w:val="center"/>
        <w:rPr>
          <w:sz w:val="28"/>
          <w:szCs w:val="28"/>
          <w:highlight w:val="none"/>
        </w:rPr>
      </w:pPr>
      <w:r>
        <w:rPr>
          <w:rFonts w:hint="eastAsia"/>
          <w:sz w:val="28"/>
          <w:szCs w:val="28"/>
          <w:highlight w:val="none"/>
        </w:rPr>
        <w:t>（一）报价人基本信息表</w:t>
      </w:r>
    </w:p>
    <w:p>
      <w:pPr>
        <w:pStyle w:val="27"/>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报价人</w:t>
            </w:r>
          </w:p>
          <w:p>
            <w:pPr>
              <w:topLinePunct/>
              <w:spacing w:line="440" w:lineRule="exact"/>
              <w:jc w:val="center"/>
              <w:rPr>
                <w:rFonts w:ascii="宋体" w:hAnsi="宋体" w:cs="宋体"/>
                <w:szCs w:val="21"/>
                <w:highlight w:val="none"/>
              </w:rPr>
            </w:pPr>
            <w:r>
              <w:rPr>
                <w:rFonts w:hint="eastAsia" w:ascii="宋体" w:hAnsi="宋体" w:cs="宋体"/>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szCs w:val="21"/>
                <w:highlight w:val="none"/>
              </w:rPr>
            </w:pPr>
            <w:r>
              <w:rPr>
                <w:rFonts w:hint="eastAsia" w:ascii="宋体" w:hAnsi="宋体" w:cs="宋体"/>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szCs w:val="21"/>
                <w:highlight w:val="none"/>
              </w:rPr>
            </w:pPr>
            <w:r>
              <w:rPr>
                <w:rFonts w:hint="eastAsia" w:ascii="宋体" w:hAnsi="宋体" w:cs="宋体"/>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r>
              <w:rPr>
                <w:rFonts w:hint="eastAsia" w:ascii="宋体" w:hAnsi="宋体" w:cs="宋体"/>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highlight w:val="none"/>
              </w:rPr>
            </w:pPr>
          </w:p>
        </w:tc>
      </w:tr>
    </w:tbl>
    <w:p>
      <w:pPr>
        <w:pStyle w:val="4"/>
        <w:spacing w:before="0" w:after="0" w:line="360" w:lineRule="auto"/>
        <w:jc w:val="center"/>
        <w:rPr>
          <w:rFonts w:ascii="宋体" w:hAnsi="宋体" w:eastAsia="宋体" w:cs="宋体"/>
          <w:sz w:val="28"/>
          <w:highlight w:val="none"/>
        </w:rPr>
      </w:pPr>
      <w:r>
        <w:rPr>
          <w:rFonts w:hint="eastAsia" w:ascii="宋体" w:hAnsi="宋体" w:cs="宋体"/>
          <w:sz w:val="28"/>
          <w:highlight w:val="none"/>
        </w:rPr>
        <w:t>（二）其他材料</w:t>
      </w:r>
    </w:p>
    <w:bookmarkEnd w:id="269"/>
    <w:bookmarkEnd w:id="270"/>
    <w:p>
      <w:pPr>
        <w:pStyle w:val="2"/>
        <w:rPr>
          <w:highlight w:val="none"/>
        </w:rPr>
      </w:pPr>
    </w:p>
    <w:p>
      <w:pPr>
        <w:rPr>
          <w:highlight w:val="none"/>
        </w:rPr>
      </w:pPr>
    </w:p>
    <w:sectPr>
      <w:footerReference r:id="rId8" w:type="first"/>
      <w:footerReference r:id="rId7"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7B8CA07E-1D71-4EE9-912F-DF7A5DD8943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90543415-CC26-4CF4-969E-79DD2197E544}"/>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TrueTypeFonts/>
  <w:saveSubset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0368"/>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47FC8"/>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86208"/>
    <w:rsid w:val="0019148A"/>
    <w:rsid w:val="001A0539"/>
    <w:rsid w:val="001A09DE"/>
    <w:rsid w:val="001A5CDC"/>
    <w:rsid w:val="001A7336"/>
    <w:rsid w:val="001B365F"/>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0D02"/>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1A"/>
    <w:rsid w:val="002B52E8"/>
    <w:rsid w:val="002B6790"/>
    <w:rsid w:val="002B6B13"/>
    <w:rsid w:val="002B6E57"/>
    <w:rsid w:val="002B72CF"/>
    <w:rsid w:val="002C2E51"/>
    <w:rsid w:val="002C471B"/>
    <w:rsid w:val="002C5A0E"/>
    <w:rsid w:val="002C7AB6"/>
    <w:rsid w:val="002D306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1E1"/>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2E64"/>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60D0"/>
    <w:rsid w:val="00527B46"/>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5A5A"/>
    <w:rsid w:val="007560DB"/>
    <w:rsid w:val="00756FB5"/>
    <w:rsid w:val="00756FFD"/>
    <w:rsid w:val="00760CE7"/>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13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BF"/>
    <w:rsid w:val="009756CC"/>
    <w:rsid w:val="00984865"/>
    <w:rsid w:val="00993114"/>
    <w:rsid w:val="009933AA"/>
    <w:rsid w:val="00993DE8"/>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795"/>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3224"/>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1A23"/>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40AB"/>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51D9D"/>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6241"/>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25A8"/>
    <w:rsid w:val="00E64D73"/>
    <w:rsid w:val="00E65B2B"/>
    <w:rsid w:val="00E84AD3"/>
    <w:rsid w:val="00E8555A"/>
    <w:rsid w:val="00E87D31"/>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6AD"/>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6FC9"/>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87D16"/>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83B"/>
    <w:rsid w:val="00FD4E1C"/>
    <w:rsid w:val="00FD5A4F"/>
    <w:rsid w:val="00FE041C"/>
    <w:rsid w:val="00FE3166"/>
    <w:rsid w:val="00FE3EEF"/>
    <w:rsid w:val="00FE5EBF"/>
    <w:rsid w:val="00FE7AEA"/>
    <w:rsid w:val="00FF3180"/>
    <w:rsid w:val="00FF4C28"/>
    <w:rsid w:val="00FF569F"/>
    <w:rsid w:val="00FF7182"/>
    <w:rsid w:val="010B1E00"/>
    <w:rsid w:val="015D18DC"/>
    <w:rsid w:val="017A38C2"/>
    <w:rsid w:val="01852BD3"/>
    <w:rsid w:val="018A0F14"/>
    <w:rsid w:val="018A6C3C"/>
    <w:rsid w:val="01A8609A"/>
    <w:rsid w:val="01C21D25"/>
    <w:rsid w:val="01E847E5"/>
    <w:rsid w:val="01FF31C9"/>
    <w:rsid w:val="02195A53"/>
    <w:rsid w:val="0231567C"/>
    <w:rsid w:val="029D41FE"/>
    <w:rsid w:val="02A14C7A"/>
    <w:rsid w:val="02A800C5"/>
    <w:rsid w:val="02C6499B"/>
    <w:rsid w:val="02C91CAA"/>
    <w:rsid w:val="0343188F"/>
    <w:rsid w:val="034D7468"/>
    <w:rsid w:val="037D0CD2"/>
    <w:rsid w:val="038B3366"/>
    <w:rsid w:val="03981B5E"/>
    <w:rsid w:val="03996EAD"/>
    <w:rsid w:val="03C43707"/>
    <w:rsid w:val="03D472D2"/>
    <w:rsid w:val="03F60BFA"/>
    <w:rsid w:val="04023CC8"/>
    <w:rsid w:val="04114FD7"/>
    <w:rsid w:val="04226EB2"/>
    <w:rsid w:val="042674F4"/>
    <w:rsid w:val="042D3C13"/>
    <w:rsid w:val="044004C3"/>
    <w:rsid w:val="04557501"/>
    <w:rsid w:val="04557BDD"/>
    <w:rsid w:val="04722D72"/>
    <w:rsid w:val="047A0BBC"/>
    <w:rsid w:val="047F655D"/>
    <w:rsid w:val="048779BB"/>
    <w:rsid w:val="04BE3120"/>
    <w:rsid w:val="04C12ED8"/>
    <w:rsid w:val="04DC5749"/>
    <w:rsid w:val="04E26FED"/>
    <w:rsid w:val="04E41F94"/>
    <w:rsid w:val="04E71358"/>
    <w:rsid w:val="04F04544"/>
    <w:rsid w:val="04FD6633"/>
    <w:rsid w:val="05004428"/>
    <w:rsid w:val="052A7682"/>
    <w:rsid w:val="052E2B3B"/>
    <w:rsid w:val="05436F4F"/>
    <w:rsid w:val="054416D2"/>
    <w:rsid w:val="05507F0F"/>
    <w:rsid w:val="055E6E53"/>
    <w:rsid w:val="05871A0A"/>
    <w:rsid w:val="05A42E7B"/>
    <w:rsid w:val="05A70EA9"/>
    <w:rsid w:val="05CA6079"/>
    <w:rsid w:val="05D55D36"/>
    <w:rsid w:val="060C2525"/>
    <w:rsid w:val="060F639F"/>
    <w:rsid w:val="062756FD"/>
    <w:rsid w:val="065F7A31"/>
    <w:rsid w:val="06615ED8"/>
    <w:rsid w:val="067C53E7"/>
    <w:rsid w:val="067D0139"/>
    <w:rsid w:val="067F3525"/>
    <w:rsid w:val="06820F5E"/>
    <w:rsid w:val="069F2AC2"/>
    <w:rsid w:val="06AE2ABA"/>
    <w:rsid w:val="06C75DF5"/>
    <w:rsid w:val="06DD02BB"/>
    <w:rsid w:val="06E32249"/>
    <w:rsid w:val="06E71F51"/>
    <w:rsid w:val="06F965AD"/>
    <w:rsid w:val="07050666"/>
    <w:rsid w:val="0717146F"/>
    <w:rsid w:val="071C4DB7"/>
    <w:rsid w:val="0735457E"/>
    <w:rsid w:val="07362674"/>
    <w:rsid w:val="073B195E"/>
    <w:rsid w:val="073B54B2"/>
    <w:rsid w:val="07537EF9"/>
    <w:rsid w:val="07686B6F"/>
    <w:rsid w:val="07815EE7"/>
    <w:rsid w:val="07BA63F1"/>
    <w:rsid w:val="081748AE"/>
    <w:rsid w:val="08635851"/>
    <w:rsid w:val="0879136E"/>
    <w:rsid w:val="08C2359B"/>
    <w:rsid w:val="08E91129"/>
    <w:rsid w:val="09041814"/>
    <w:rsid w:val="0910197C"/>
    <w:rsid w:val="092D7BDC"/>
    <w:rsid w:val="09332D2B"/>
    <w:rsid w:val="093E2D64"/>
    <w:rsid w:val="09472203"/>
    <w:rsid w:val="098B1DA7"/>
    <w:rsid w:val="09907951"/>
    <w:rsid w:val="099F43E4"/>
    <w:rsid w:val="09A31A61"/>
    <w:rsid w:val="09BA7A85"/>
    <w:rsid w:val="09C83FDD"/>
    <w:rsid w:val="09D83A6D"/>
    <w:rsid w:val="09DC0EB0"/>
    <w:rsid w:val="09DE1094"/>
    <w:rsid w:val="09E2475B"/>
    <w:rsid w:val="0A100F2D"/>
    <w:rsid w:val="0A1E4380"/>
    <w:rsid w:val="0A3F34B7"/>
    <w:rsid w:val="0A4B11BE"/>
    <w:rsid w:val="0A7B4003"/>
    <w:rsid w:val="0A8E5B8D"/>
    <w:rsid w:val="0AA240FA"/>
    <w:rsid w:val="0AAC0CBB"/>
    <w:rsid w:val="0ABA6D3B"/>
    <w:rsid w:val="0AD84BD3"/>
    <w:rsid w:val="0AE941D3"/>
    <w:rsid w:val="0B1061C6"/>
    <w:rsid w:val="0B2B08D5"/>
    <w:rsid w:val="0B8A6552"/>
    <w:rsid w:val="0BA35012"/>
    <w:rsid w:val="0BB825ED"/>
    <w:rsid w:val="0BC0647C"/>
    <w:rsid w:val="0BCF34A4"/>
    <w:rsid w:val="0BD7624B"/>
    <w:rsid w:val="0BF26817"/>
    <w:rsid w:val="0C112E71"/>
    <w:rsid w:val="0C1E7DBD"/>
    <w:rsid w:val="0C22464A"/>
    <w:rsid w:val="0C2B72AE"/>
    <w:rsid w:val="0C2C7CAB"/>
    <w:rsid w:val="0C623EAC"/>
    <w:rsid w:val="0C9241DD"/>
    <w:rsid w:val="0C946488"/>
    <w:rsid w:val="0CAD24AF"/>
    <w:rsid w:val="0CB27F34"/>
    <w:rsid w:val="0D0D3F93"/>
    <w:rsid w:val="0D12389F"/>
    <w:rsid w:val="0D2713AC"/>
    <w:rsid w:val="0D2820B7"/>
    <w:rsid w:val="0D662EE5"/>
    <w:rsid w:val="0D860EC5"/>
    <w:rsid w:val="0D9339BE"/>
    <w:rsid w:val="0D9E6A67"/>
    <w:rsid w:val="0D9F0DC4"/>
    <w:rsid w:val="0DC02AA1"/>
    <w:rsid w:val="0DDE695A"/>
    <w:rsid w:val="0DF73A5B"/>
    <w:rsid w:val="0E053A26"/>
    <w:rsid w:val="0E164CA8"/>
    <w:rsid w:val="0E231949"/>
    <w:rsid w:val="0E2D072E"/>
    <w:rsid w:val="0E3B295D"/>
    <w:rsid w:val="0E47249B"/>
    <w:rsid w:val="0E551882"/>
    <w:rsid w:val="0E7306EC"/>
    <w:rsid w:val="0EB254B2"/>
    <w:rsid w:val="0ED85FFB"/>
    <w:rsid w:val="0ED939EE"/>
    <w:rsid w:val="0EF728F3"/>
    <w:rsid w:val="0EFB3F5D"/>
    <w:rsid w:val="0EFE3186"/>
    <w:rsid w:val="0F041CC7"/>
    <w:rsid w:val="0F042317"/>
    <w:rsid w:val="0F076264"/>
    <w:rsid w:val="0F1209F8"/>
    <w:rsid w:val="0F4C19DA"/>
    <w:rsid w:val="0F4C7D05"/>
    <w:rsid w:val="0F4F31AF"/>
    <w:rsid w:val="0F5F17BD"/>
    <w:rsid w:val="0F90531D"/>
    <w:rsid w:val="0FAD64B5"/>
    <w:rsid w:val="0FB21FD4"/>
    <w:rsid w:val="0FB8461F"/>
    <w:rsid w:val="0FC06B1C"/>
    <w:rsid w:val="0FD9321F"/>
    <w:rsid w:val="0FFF5930"/>
    <w:rsid w:val="10033834"/>
    <w:rsid w:val="105F05EB"/>
    <w:rsid w:val="10634C16"/>
    <w:rsid w:val="106809B9"/>
    <w:rsid w:val="10981559"/>
    <w:rsid w:val="10A265EF"/>
    <w:rsid w:val="10AE0AAD"/>
    <w:rsid w:val="10DC09D3"/>
    <w:rsid w:val="10EC4A0F"/>
    <w:rsid w:val="11156FC6"/>
    <w:rsid w:val="11230124"/>
    <w:rsid w:val="11485B0D"/>
    <w:rsid w:val="114C7209"/>
    <w:rsid w:val="1154158B"/>
    <w:rsid w:val="117076B2"/>
    <w:rsid w:val="11842025"/>
    <w:rsid w:val="118865E2"/>
    <w:rsid w:val="119921B4"/>
    <w:rsid w:val="119E6579"/>
    <w:rsid w:val="11AF3DD5"/>
    <w:rsid w:val="11D435DD"/>
    <w:rsid w:val="11DA3C43"/>
    <w:rsid w:val="121360EF"/>
    <w:rsid w:val="1220326C"/>
    <w:rsid w:val="123A67B6"/>
    <w:rsid w:val="123B7AF5"/>
    <w:rsid w:val="125670E6"/>
    <w:rsid w:val="125E1A9C"/>
    <w:rsid w:val="126D6927"/>
    <w:rsid w:val="1276289F"/>
    <w:rsid w:val="1288522D"/>
    <w:rsid w:val="1288550F"/>
    <w:rsid w:val="129D6A95"/>
    <w:rsid w:val="12AF4046"/>
    <w:rsid w:val="12C37784"/>
    <w:rsid w:val="12CE506D"/>
    <w:rsid w:val="12E22E2E"/>
    <w:rsid w:val="12F65490"/>
    <w:rsid w:val="12F73D2A"/>
    <w:rsid w:val="12F9698E"/>
    <w:rsid w:val="13112273"/>
    <w:rsid w:val="131C7C5D"/>
    <w:rsid w:val="133E0119"/>
    <w:rsid w:val="13511DF6"/>
    <w:rsid w:val="138B4634"/>
    <w:rsid w:val="138F1214"/>
    <w:rsid w:val="13BF412F"/>
    <w:rsid w:val="13D101C7"/>
    <w:rsid w:val="1400440E"/>
    <w:rsid w:val="141445CA"/>
    <w:rsid w:val="142669A3"/>
    <w:rsid w:val="143805F9"/>
    <w:rsid w:val="143E60BA"/>
    <w:rsid w:val="14446C04"/>
    <w:rsid w:val="144729D8"/>
    <w:rsid w:val="145C5B42"/>
    <w:rsid w:val="147572D6"/>
    <w:rsid w:val="148E78CB"/>
    <w:rsid w:val="149F4D92"/>
    <w:rsid w:val="14A13E6D"/>
    <w:rsid w:val="14AB614D"/>
    <w:rsid w:val="14B96C2B"/>
    <w:rsid w:val="14E911D9"/>
    <w:rsid w:val="14F50E56"/>
    <w:rsid w:val="14FC7061"/>
    <w:rsid w:val="15113F9B"/>
    <w:rsid w:val="15233B0C"/>
    <w:rsid w:val="15311E8E"/>
    <w:rsid w:val="15436E45"/>
    <w:rsid w:val="15472F28"/>
    <w:rsid w:val="15507C7E"/>
    <w:rsid w:val="15664AEF"/>
    <w:rsid w:val="158E23E1"/>
    <w:rsid w:val="159D7EA6"/>
    <w:rsid w:val="159F1BF9"/>
    <w:rsid w:val="15A25A36"/>
    <w:rsid w:val="15B71B1D"/>
    <w:rsid w:val="15C520DD"/>
    <w:rsid w:val="15E63361"/>
    <w:rsid w:val="160B0227"/>
    <w:rsid w:val="162D644C"/>
    <w:rsid w:val="16532C2E"/>
    <w:rsid w:val="16585909"/>
    <w:rsid w:val="166D5E8F"/>
    <w:rsid w:val="16864176"/>
    <w:rsid w:val="16E04880"/>
    <w:rsid w:val="16F33791"/>
    <w:rsid w:val="16F86032"/>
    <w:rsid w:val="17041DF5"/>
    <w:rsid w:val="17081A7A"/>
    <w:rsid w:val="17147661"/>
    <w:rsid w:val="17292C0C"/>
    <w:rsid w:val="176F50FE"/>
    <w:rsid w:val="17CA65CA"/>
    <w:rsid w:val="17D10049"/>
    <w:rsid w:val="17DD0B49"/>
    <w:rsid w:val="17F1563C"/>
    <w:rsid w:val="17F23C73"/>
    <w:rsid w:val="180F3B80"/>
    <w:rsid w:val="181B1411"/>
    <w:rsid w:val="181C1400"/>
    <w:rsid w:val="18223BBF"/>
    <w:rsid w:val="18310248"/>
    <w:rsid w:val="18360724"/>
    <w:rsid w:val="18406E44"/>
    <w:rsid w:val="185B395E"/>
    <w:rsid w:val="185C1918"/>
    <w:rsid w:val="185F6723"/>
    <w:rsid w:val="1880349D"/>
    <w:rsid w:val="18D435BC"/>
    <w:rsid w:val="18E261BC"/>
    <w:rsid w:val="18FC2292"/>
    <w:rsid w:val="19135591"/>
    <w:rsid w:val="19136D59"/>
    <w:rsid w:val="19193365"/>
    <w:rsid w:val="19261639"/>
    <w:rsid w:val="195D5C0E"/>
    <w:rsid w:val="19640F3E"/>
    <w:rsid w:val="19B64CC2"/>
    <w:rsid w:val="19BA69A5"/>
    <w:rsid w:val="19CF1C75"/>
    <w:rsid w:val="19D07B0B"/>
    <w:rsid w:val="19DF6D3F"/>
    <w:rsid w:val="19E24459"/>
    <w:rsid w:val="1A2A28FB"/>
    <w:rsid w:val="1A305FF4"/>
    <w:rsid w:val="1A3D7EBE"/>
    <w:rsid w:val="1A4353A0"/>
    <w:rsid w:val="1A557489"/>
    <w:rsid w:val="1A650935"/>
    <w:rsid w:val="1A6525DA"/>
    <w:rsid w:val="1A704DC9"/>
    <w:rsid w:val="1A994A56"/>
    <w:rsid w:val="1AD60F9B"/>
    <w:rsid w:val="1AEA13C7"/>
    <w:rsid w:val="1AF13750"/>
    <w:rsid w:val="1AF45443"/>
    <w:rsid w:val="1AFF71FC"/>
    <w:rsid w:val="1B013E7C"/>
    <w:rsid w:val="1B075A0C"/>
    <w:rsid w:val="1B621C93"/>
    <w:rsid w:val="1B67066F"/>
    <w:rsid w:val="1B7229E4"/>
    <w:rsid w:val="1B7549F6"/>
    <w:rsid w:val="1B7627C1"/>
    <w:rsid w:val="1B7A5EC7"/>
    <w:rsid w:val="1B8E4B82"/>
    <w:rsid w:val="1B8E5EC0"/>
    <w:rsid w:val="1BB90E2F"/>
    <w:rsid w:val="1C087134"/>
    <w:rsid w:val="1C127CD4"/>
    <w:rsid w:val="1C54737D"/>
    <w:rsid w:val="1C6D5910"/>
    <w:rsid w:val="1C776E36"/>
    <w:rsid w:val="1CA13D9D"/>
    <w:rsid w:val="1CB33990"/>
    <w:rsid w:val="1CD326F1"/>
    <w:rsid w:val="1CDA1572"/>
    <w:rsid w:val="1CF6260F"/>
    <w:rsid w:val="1CF83AEA"/>
    <w:rsid w:val="1CF911FC"/>
    <w:rsid w:val="1D13631D"/>
    <w:rsid w:val="1D291FA4"/>
    <w:rsid w:val="1D2F1366"/>
    <w:rsid w:val="1D6914D5"/>
    <w:rsid w:val="1D7C7A22"/>
    <w:rsid w:val="1D7E09CF"/>
    <w:rsid w:val="1D9F1A69"/>
    <w:rsid w:val="1DA949C5"/>
    <w:rsid w:val="1DB64010"/>
    <w:rsid w:val="1DBF20BB"/>
    <w:rsid w:val="1DE41480"/>
    <w:rsid w:val="1DF77DC1"/>
    <w:rsid w:val="1DF8756C"/>
    <w:rsid w:val="1DFE7D4B"/>
    <w:rsid w:val="1E2139B7"/>
    <w:rsid w:val="1E4364C2"/>
    <w:rsid w:val="1E472722"/>
    <w:rsid w:val="1E490AF9"/>
    <w:rsid w:val="1E644990"/>
    <w:rsid w:val="1E6B1BDF"/>
    <w:rsid w:val="1E7A14A8"/>
    <w:rsid w:val="1E7F32B0"/>
    <w:rsid w:val="1EB76C5D"/>
    <w:rsid w:val="1EBA058B"/>
    <w:rsid w:val="1EBB622E"/>
    <w:rsid w:val="1EEA13A6"/>
    <w:rsid w:val="1EFE64E9"/>
    <w:rsid w:val="1F0B19A2"/>
    <w:rsid w:val="1F59624F"/>
    <w:rsid w:val="1F6207D0"/>
    <w:rsid w:val="1FC42F0B"/>
    <w:rsid w:val="1FD02D82"/>
    <w:rsid w:val="1FE1627D"/>
    <w:rsid w:val="1FEA603B"/>
    <w:rsid w:val="20016901"/>
    <w:rsid w:val="20133D98"/>
    <w:rsid w:val="20226856"/>
    <w:rsid w:val="20293E2F"/>
    <w:rsid w:val="20686E43"/>
    <w:rsid w:val="206E3E8E"/>
    <w:rsid w:val="207224C8"/>
    <w:rsid w:val="20735FD9"/>
    <w:rsid w:val="2076639A"/>
    <w:rsid w:val="2093114F"/>
    <w:rsid w:val="209B57AA"/>
    <w:rsid w:val="20A121FD"/>
    <w:rsid w:val="20AC7CC7"/>
    <w:rsid w:val="20C20004"/>
    <w:rsid w:val="20C94961"/>
    <w:rsid w:val="20D83D6E"/>
    <w:rsid w:val="20DE5531"/>
    <w:rsid w:val="20DE6AFC"/>
    <w:rsid w:val="20E1180E"/>
    <w:rsid w:val="20E93F65"/>
    <w:rsid w:val="20EA6084"/>
    <w:rsid w:val="20F01139"/>
    <w:rsid w:val="20F1461D"/>
    <w:rsid w:val="210C684B"/>
    <w:rsid w:val="212B522B"/>
    <w:rsid w:val="21593573"/>
    <w:rsid w:val="21661C41"/>
    <w:rsid w:val="216D3F5C"/>
    <w:rsid w:val="21736537"/>
    <w:rsid w:val="21977807"/>
    <w:rsid w:val="219A6D4B"/>
    <w:rsid w:val="219B0F11"/>
    <w:rsid w:val="21C2735E"/>
    <w:rsid w:val="21E12EE9"/>
    <w:rsid w:val="21E57FA3"/>
    <w:rsid w:val="21FB5A74"/>
    <w:rsid w:val="22334040"/>
    <w:rsid w:val="22614853"/>
    <w:rsid w:val="226827C0"/>
    <w:rsid w:val="227C6EFF"/>
    <w:rsid w:val="22942795"/>
    <w:rsid w:val="22985136"/>
    <w:rsid w:val="22A10D06"/>
    <w:rsid w:val="22B665A5"/>
    <w:rsid w:val="22C63A72"/>
    <w:rsid w:val="22C925E0"/>
    <w:rsid w:val="22DB2627"/>
    <w:rsid w:val="22E46F4A"/>
    <w:rsid w:val="22F20159"/>
    <w:rsid w:val="22F37464"/>
    <w:rsid w:val="23005537"/>
    <w:rsid w:val="23103EFD"/>
    <w:rsid w:val="231C75B9"/>
    <w:rsid w:val="233C2C53"/>
    <w:rsid w:val="23486890"/>
    <w:rsid w:val="235C09CB"/>
    <w:rsid w:val="236F1F61"/>
    <w:rsid w:val="23AB4CDF"/>
    <w:rsid w:val="23C37A75"/>
    <w:rsid w:val="23FD2236"/>
    <w:rsid w:val="24127E3E"/>
    <w:rsid w:val="24220F3E"/>
    <w:rsid w:val="2423604B"/>
    <w:rsid w:val="242565A4"/>
    <w:rsid w:val="243A3F7E"/>
    <w:rsid w:val="24436391"/>
    <w:rsid w:val="2450121E"/>
    <w:rsid w:val="2487622C"/>
    <w:rsid w:val="24973094"/>
    <w:rsid w:val="24A42016"/>
    <w:rsid w:val="24A76F10"/>
    <w:rsid w:val="24AD6D9A"/>
    <w:rsid w:val="24D3085A"/>
    <w:rsid w:val="24DD793C"/>
    <w:rsid w:val="24F66817"/>
    <w:rsid w:val="251418FC"/>
    <w:rsid w:val="251C4037"/>
    <w:rsid w:val="254A3495"/>
    <w:rsid w:val="259F294D"/>
    <w:rsid w:val="25A845B3"/>
    <w:rsid w:val="25DA3E7C"/>
    <w:rsid w:val="25E66CC5"/>
    <w:rsid w:val="25EB71B7"/>
    <w:rsid w:val="26154215"/>
    <w:rsid w:val="261A0BE6"/>
    <w:rsid w:val="263C7691"/>
    <w:rsid w:val="265E2776"/>
    <w:rsid w:val="26666FDC"/>
    <w:rsid w:val="268153A1"/>
    <w:rsid w:val="269D2467"/>
    <w:rsid w:val="26AB763C"/>
    <w:rsid w:val="26B267E7"/>
    <w:rsid w:val="26CD258B"/>
    <w:rsid w:val="26D63A44"/>
    <w:rsid w:val="26F131DC"/>
    <w:rsid w:val="26F65310"/>
    <w:rsid w:val="27052D05"/>
    <w:rsid w:val="27082804"/>
    <w:rsid w:val="270832AE"/>
    <w:rsid w:val="27357F9F"/>
    <w:rsid w:val="2740286E"/>
    <w:rsid w:val="27677991"/>
    <w:rsid w:val="279623B0"/>
    <w:rsid w:val="27A4553F"/>
    <w:rsid w:val="27B07189"/>
    <w:rsid w:val="27D35135"/>
    <w:rsid w:val="27DA0163"/>
    <w:rsid w:val="27DF283E"/>
    <w:rsid w:val="27EB0679"/>
    <w:rsid w:val="27EF069B"/>
    <w:rsid w:val="27EF1935"/>
    <w:rsid w:val="27FA08F6"/>
    <w:rsid w:val="2801540B"/>
    <w:rsid w:val="280A1B75"/>
    <w:rsid w:val="28206C63"/>
    <w:rsid w:val="283962F8"/>
    <w:rsid w:val="28435CE2"/>
    <w:rsid w:val="287A36F4"/>
    <w:rsid w:val="288458E7"/>
    <w:rsid w:val="28A33A20"/>
    <w:rsid w:val="28A47F17"/>
    <w:rsid w:val="28AA3EC8"/>
    <w:rsid w:val="28BF00E8"/>
    <w:rsid w:val="28C1211B"/>
    <w:rsid w:val="290212C1"/>
    <w:rsid w:val="290D5ED8"/>
    <w:rsid w:val="291F392A"/>
    <w:rsid w:val="294F2F3E"/>
    <w:rsid w:val="29656DCE"/>
    <w:rsid w:val="298B4B23"/>
    <w:rsid w:val="29915199"/>
    <w:rsid w:val="29980385"/>
    <w:rsid w:val="299A7528"/>
    <w:rsid w:val="29B71FDB"/>
    <w:rsid w:val="29CF18DD"/>
    <w:rsid w:val="29D273F6"/>
    <w:rsid w:val="29D65D23"/>
    <w:rsid w:val="29D875FE"/>
    <w:rsid w:val="29F130EF"/>
    <w:rsid w:val="2A00655D"/>
    <w:rsid w:val="2A194E5D"/>
    <w:rsid w:val="2A21554B"/>
    <w:rsid w:val="2A3C5F83"/>
    <w:rsid w:val="2A513AEC"/>
    <w:rsid w:val="2A594BC2"/>
    <w:rsid w:val="2A5A37DD"/>
    <w:rsid w:val="2A960C6E"/>
    <w:rsid w:val="2A9F7561"/>
    <w:rsid w:val="2AA90FA0"/>
    <w:rsid w:val="2AAE38A4"/>
    <w:rsid w:val="2AB31CE2"/>
    <w:rsid w:val="2AB55266"/>
    <w:rsid w:val="2B1047B2"/>
    <w:rsid w:val="2B347A72"/>
    <w:rsid w:val="2B487382"/>
    <w:rsid w:val="2B552F60"/>
    <w:rsid w:val="2B7841A6"/>
    <w:rsid w:val="2B885195"/>
    <w:rsid w:val="2BB331A5"/>
    <w:rsid w:val="2BB367B9"/>
    <w:rsid w:val="2BD66F2D"/>
    <w:rsid w:val="2C0A746B"/>
    <w:rsid w:val="2C13380B"/>
    <w:rsid w:val="2C184D47"/>
    <w:rsid w:val="2C796A89"/>
    <w:rsid w:val="2C7C0AB6"/>
    <w:rsid w:val="2C9C56AD"/>
    <w:rsid w:val="2CBD3A96"/>
    <w:rsid w:val="2CC74339"/>
    <w:rsid w:val="2CCC23F7"/>
    <w:rsid w:val="2CCE1414"/>
    <w:rsid w:val="2CEF46B1"/>
    <w:rsid w:val="2CF93ABF"/>
    <w:rsid w:val="2D1E27A3"/>
    <w:rsid w:val="2D394FF5"/>
    <w:rsid w:val="2D4C56CF"/>
    <w:rsid w:val="2D766528"/>
    <w:rsid w:val="2DED7BE2"/>
    <w:rsid w:val="2E230605"/>
    <w:rsid w:val="2E30169A"/>
    <w:rsid w:val="2E310CE0"/>
    <w:rsid w:val="2E33681F"/>
    <w:rsid w:val="2E6A704D"/>
    <w:rsid w:val="2E8A6255"/>
    <w:rsid w:val="2E99606A"/>
    <w:rsid w:val="2EAC5A26"/>
    <w:rsid w:val="2F0B1048"/>
    <w:rsid w:val="2F0E7D4A"/>
    <w:rsid w:val="2F141AAA"/>
    <w:rsid w:val="2FCA4353"/>
    <w:rsid w:val="2FE55D75"/>
    <w:rsid w:val="2FF17BCE"/>
    <w:rsid w:val="2FF23F99"/>
    <w:rsid w:val="30236367"/>
    <w:rsid w:val="30331BC6"/>
    <w:rsid w:val="303E7E03"/>
    <w:rsid w:val="304A182B"/>
    <w:rsid w:val="307003A6"/>
    <w:rsid w:val="30700C52"/>
    <w:rsid w:val="30757C00"/>
    <w:rsid w:val="307D5D65"/>
    <w:rsid w:val="3098505F"/>
    <w:rsid w:val="30B34CE3"/>
    <w:rsid w:val="30CB1C83"/>
    <w:rsid w:val="30ED2830"/>
    <w:rsid w:val="31642CFA"/>
    <w:rsid w:val="316B2857"/>
    <w:rsid w:val="31832D29"/>
    <w:rsid w:val="319D5339"/>
    <w:rsid w:val="319F2F47"/>
    <w:rsid w:val="31B2754D"/>
    <w:rsid w:val="31CE4181"/>
    <w:rsid w:val="31D20CDE"/>
    <w:rsid w:val="31E60B34"/>
    <w:rsid w:val="31F37E23"/>
    <w:rsid w:val="31FE689A"/>
    <w:rsid w:val="32223DC6"/>
    <w:rsid w:val="325A02A1"/>
    <w:rsid w:val="329032EF"/>
    <w:rsid w:val="329970EF"/>
    <w:rsid w:val="32A520FC"/>
    <w:rsid w:val="32B35AAA"/>
    <w:rsid w:val="33135210"/>
    <w:rsid w:val="331557C8"/>
    <w:rsid w:val="3326373F"/>
    <w:rsid w:val="333D1567"/>
    <w:rsid w:val="333F453A"/>
    <w:rsid w:val="334459AC"/>
    <w:rsid w:val="33705A64"/>
    <w:rsid w:val="33790079"/>
    <w:rsid w:val="339B304D"/>
    <w:rsid w:val="33A055AF"/>
    <w:rsid w:val="33A51E80"/>
    <w:rsid w:val="33B42BA9"/>
    <w:rsid w:val="33EE589E"/>
    <w:rsid w:val="33F41ECB"/>
    <w:rsid w:val="33F470F7"/>
    <w:rsid w:val="33FD7097"/>
    <w:rsid w:val="340329A9"/>
    <w:rsid w:val="34113C0A"/>
    <w:rsid w:val="341838FD"/>
    <w:rsid w:val="342645AD"/>
    <w:rsid w:val="342B057B"/>
    <w:rsid w:val="34335C8F"/>
    <w:rsid w:val="344C7528"/>
    <w:rsid w:val="34601B2A"/>
    <w:rsid w:val="34617CD8"/>
    <w:rsid w:val="34635BE4"/>
    <w:rsid w:val="34753860"/>
    <w:rsid w:val="34A61339"/>
    <w:rsid w:val="34AE3A24"/>
    <w:rsid w:val="34CC3006"/>
    <w:rsid w:val="34F11083"/>
    <w:rsid w:val="34F3793E"/>
    <w:rsid w:val="351C1918"/>
    <w:rsid w:val="35574E9C"/>
    <w:rsid w:val="35605BF1"/>
    <w:rsid w:val="35697F42"/>
    <w:rsid w:val="356A0417"/>
    <w:rsid w:val="35712E34"/>
    <w:rsid w:val="35A46254"/>
    <w:rsid w:val="35ED793B"/>
    <w:rsid w:val="35F84740"/>
    <w:rsid w:val="36383125"/>
    <w:rsid w:val="366C082D"/>
    <w:rsid w:val="368C388A"/>
    <w:rsid w:val="36BA4838"/>
    <w:rsid w:val="36C90DD1"/>
    <w:rsid w:val="36E669DD"/>
    <w:rsid w:val="36EB0E1B"/>
    <w:rsid w:val="36EE2207"/>
    <w:rsid w:val="37410586"/>
    <w:rsid w:val="374634AB"/>
    <w:rsid w:val="375E22A0"/>
    <w:rsid w:val="37615DFD"/>
    <w:rsid w:val="37704489"/>
    <w:rsid w:val="37710026"/>
    <w:rsid w:val="37745B48"/>
    <w:rsid w:val="37847EBF"/>
    <w:rsid w:val="37925427"/>
    <w:rsid w:val="37A55DCC"/>
    <w:rsid w:val="37CA04FF"/>
    <w:rsid w:val="37D30771"/>
    <w:rsid w:val="37EC0BB8"/>
    <w:rsid w:val="3809330B"/>
    <w:rsid w:val="382C74E3"/>
    <w:rsid w:val="38A569B7"/>
    <w:rsid w:val="38AE3B6E"/>
    <w:rsid w:val="38F70143"/>
    <w:rsid w:val="394C68A5"/>
    <w:rsid w:val="394F0825"/>
    <w:rsid w:val="395E479A"/>
    <w:rsid w:val="39675804"/>
    <w:rsid w:val="398377B4"/>
    <w:rsid w:val="398E6CC1"/>
    <w:rsid w:val="39A36C2D"/>
    <w:rsid w:val="39AA29B9"/>
    <w:rsid w:val="39AA6DB1"/>
    <w:rsid w:val="39DA2245"/>
    <w:rsid w:val="39E71AEC"/>
    <w:rsid w:val="39F60058"/>
    <w:rsid w:val="3A104089"/>
    <w:rsid w:val="3A8217DE"/>
    <w:rsid w:val="3A822B01"/>
    <w:rsid w:val="3A825D5D"/>
    <w:rsid w:val="3A8B1791"/>
    <w:rsid w:val="3AB8426E"/>
    <w:rsid w:val="3ACF765C"/>
    <w:rsid w:val="3AD278CD"/>
    <w:rsid w:val="3AD841A2"/>
    <w:rsid w:val="3AFA4BE5"/>
    <w:rsid w:val="3B2A44B8"/>
    <w:rsid w:val="3B2B6476"/>
    <w:rsid w:val="3B3C7398"/>
    <w:rsid w:val="3B5B1163"/>
    <w:rsid w:val="3B620744"/>
    <w:rsid w:val="3B64220D"/>
    <w:rsid w:val="3B8F6E75"/>
    <w:rsid w:val="3BBC038E"/>
    <w:rsid w:val="3BFE3F02"/>
    <w:rsid w:val="3C2972FD"/>
    <w:rsid w:val="3C304A35"/>
    <w:rsid w:val="3C5B4444"/>
    <w:rsid w:val="3C850BDC"/>
    <w:rsid w:val="3C852047"/>
    <w:rsid w:val="3C8666B4"/>
    <w:rsid w:val="3C9A3F1A"/>
    <w:rsid w:val="3CA13116"/>
    <w:rsid w:val="3CA5607A"/>
    <w:rsid w:val="3CA925AE"/>
    <w:rsid w:val="3CF877AB"/>
    <w:rsid w:val="3D2B24EF"/>
    <w:rsid w:val="3D306CB2"/>
    <w:rsid w:val="3D32729D"/>
    <w:rsid w:val="3D485E54"/>
    <w:rsid w:val="3D667959"/>
    <w:rsid w:val="3D8230F2"/>
    <w:rsid w:val="3D886E2C"/>
    <w:rsid w:val="3D940555"/>
    <w:rsid w:val="3DAA5519"/>
    <w:rsid w:val="3DC413E8"/>
    <w:rsid w:val="3DCA34BB"/>
    <w:rsid w:val="3DD83D60"/>
    <w:rsid w:val="3E044CAE"/>
    <w:rsid w:val="3E0A667E"/>
    <w:rsid w:val="3E12201C"/>
    <w:rsid w:val="3E1C0F2E"/>
    <w:rsid w:val="3E244EE5"/>
    <w:rsid w:val="3E3913D7"/>
    <w:rsid w:val="3E427218"/>
    <w:rsid w:val="3E7E6AF2"/>
    <w:rsid w:val="3E947004"/>
    <w:rsid w:val="3EA72ABE"/>
    <w:rsid w:val="3EA96969"/>
    <w:rsid w:val="3EAD4174"/>
    <w:rsid w:val="3EAD7F9C"/>
    <w:rsid w:val="3EB32892"/>
    <w:rsid w:val="3EBC3336"/>
    <w:rsid w:val="3EC71DED"/>
    <w:rsid w:val="3ED37070"/>
    <w:rsid w:val="3EDE79C6"/>
    <w:rsid w:val="3EF65530"/>
    <w:rsid w:val="3F064AE9"/>
    <w:rsid w:val="3F163D1F"/>
    <w:rsid w:val="3F3B0C43"/>
    <w:rsid w:val="3F3E7B79"/>
    <w:rsid w:val="3F4C62B0"/>
    <w:rsid w:val="3F7279F0"/>
    <w:rsid w:val="3F8F0AF3"/>
    <w:rsid w:val="3F8F525D"/>
    <w:rsid w:val="3F9717D1"/>
    <w:rsid w:val="3FB2485B"/>
    <w:rsid w:val="3FEC69F0"/>
    <w:rsid w:val="400D176C"/>
    <w:rsid w:val="402A34B8"/>
    <w:rsid w:val="402D7572"/>
    <w:rsid w:val="40360CD1"/>
    <w:rsid w:val="40361D66"/>
    <w:rsid w:val="406060C3"/>
    <w:rsid w:val="40613E30"/>
    <w:rsid w:val="40736573"/>
    <w:rsid w:val="407B6F98"/>
    <w:rsid w:val="407D7357"/>
    <w:rsid w:val="409B4A07"/>
    <w:rsid w:val="40BF6E39"/>
    <w:rsid w:val="40C25B7F"/>
    <w:rsid w:val="40D73BA8"/>
    <w:rsid w:val="40DE1D45"/>
    <w:rsid w:val="40F6517C"/>
    <w:rsid w:val="40F66678"/>
    <w:rsid w:val="410E1C56"/>
    <w:rsid w:val="411020CF"/>
    <w:rsid w:val="4120577A"/>
    <w:rsid w:val="41485875"/>
    <w:rsid w:val="415624BA"/>
    <w:rsid w:val="416C142E"/>
    <w:rsid w:val="417C08A3"/>
    <w:rsid w:val="418238EE"/>
    <w:rsid w:val="41B93320"/>
    <w:rsid w:val="41BB069A"/>
    <w:rsid w:val="41FD121E"/>
    <w:rsid w:val="42180C9A"/>
    <w:rsid w:val="421A7627"/>
    <w:rsid w:val="4233112B"/>
    <w:rsid w:val="42401E98"/>
    <w:rsid w:val="42423B6A"/>
    <w:rsid w:val="42811338"/>
    <w:rsid w:val="42872311"/>
    <w:rsid w:val="428A6978"/>
    <w:rsid w:val="428B5762"/>
    <w:rsid w:val="42A4583D"/>
    <w:rsid w:val="42D47C2B"/>
    <w:rsid w:val="42DA32B5"/>
    <w:rsid w:val="42E32F98"/>
    <w:rsid w:val="430C28C9"/>
    <w:rsid w:val="431840BE"/>
    <w:rsid w:val="433543AC"/>
    <w:rsid w:val="43420FE8"/>
    <w:rsid w:val="434513F0"/>
    <w:rsid w:val="4359377F"/>
    <w:rsid w:val="43702851"/>
    <w:rsid w:val="438003D7"/>
    <w:rsid w:val="438254A7"/>
    <w:rsid w:val="439A76A5"/>
    <w:rsid w:val="43C964C9"/>
    <w:rsid w:val="43CA4F48"/>
    <w:rsid w:val="43D971F8"/>
    <w:rsid w:val="43FF7B85"/>
    <w:rsid w:val="4424604A"/>
    <w:rsid w:val="442967DE"/>
    <w:rsid w:val="444437F4"/>
    <w:rsid w:val="445014AB"/>
    <w:rsid w:val="44611A27"/>
    <w:rsid w:val="44722751"/>
    <w:rsid w:val="44BA15F0"/>
    <w:rsid w:val="44CE660D"/>
    <w:rsid w:val="44E5468B"/>
    <w:rsid w:val="45032E9D"/>
    <w:rsid w:val="450F2962"/>
    <w:rsid w:val="454F0B76"/>
    <w:rsid w:val="45795008"/>
    <w:rsid w:val="4579514B"/>
    <w:rsid w:val="457E2BBE"/>
    <w:rsid w:val="457F72E8"/>
    <w:rsid w:val="45AB3F41"/>
    <w:rsid w:val="45DE083B"/>
    <w:rsid w:val="45E076C0"/>
    <w:rsid w:val="45ED51BC"/>
    <w:rsid w:val="45F36067"/>
    <w:rsid w:val="460C0745"/>
    <w:rsid w:val="463122D8"/>
    <w:rsid w:val="4632053D"/>
    <w:rsid w:val="46577675"/>
    <w:rsid w:val="4662415A"/>
    <w:rsid w:val="4662498C"/>
    <w:rsid w:val="4681009E"/>
    <w:rsid w:val="46954FDF"/>
    <w:rsid w:val="46A022D9"/>
    <w:rsid w:val="46A9554B"/>
    <w:rsid w:val="46B21457"/>
    <w:rsid w:val="46BE1A6C"/>
    <w:rsid w:val="46BE6647"/>
    <w:rsid w:val="46EE3897"/>
    <w:rsid w:val="471B3499"/>
    <w:rsid w:val="4721080E"/>
    <w:rsid w:val="4730142A"/>
    <w:rsid w:val="474918D0"/>
    <w:rsid w:val="478E4BD2"/>
    <w:rsid w:val="47B512A0"/>
    <w:rsid w:val="47BA4C42"/>
    <w:rsid w:val="47D70B8B"/>
    <w:rsid w:val="47DD756D"/>
    <w:rsid w:val="47EB55C4"/>
    <w:rsid w:val="48037A8A"/>
    <w:rsid w:val="482C50CD"/>
    <w:rsid w:val="48377D23"/>
    <w:rsid w:val="484023B4"/>
    <w:rsid w:val="484D0E76"/>
    <w:rsid w:val="486634EE"/>
    <w:rsid w:val="48807890"/>
    <w:rsid w:val="48A57DFD"/>
    <w:rsid w:val="48A64B98"/>
    <w:rsid w:val="48BC156D"/>
    <w:rsid w:val="48D93D7E"/>
    <w:rsid w:val="48F765BE"/>
    <w:rsid w:val="48F801E9"/>
    <w:rsid w:val="490445F2"/>
    <w:rsid w:val="4927617E"/>
    <w:rsid w:val="49320F23"/>
    <w:rsid w:val="493F3E72"/>
    <w:rsid w:val="495D72B2"/>
    <w:rsid w:val="49AF5757"/>
    <w:rsid w:val="49B753C7"/>
    <w:rsid w:val="49DD73AE"/>
    <w:rsid w:val="49F95BD6"/>
    <w:rsid w:val="49FA6E23"/>
    <w:rsid w:val="4A0923DF"/>
    <w:rsid w:val="4A7A7858"/>
    <w:rsid w:val="4AA73240"/>
    <w:rsid w:val="4AB72272"/>
    <w:rsid w:val="4AD703A4"/>
    <w:rsid w:val="4B0D56B0"/>
    <w:rsid w:val="4B305E1B"/>
    <w:rsid w:val="4B471718"/>
    <w:rsid w:val="4B663FE5"/>
    <w:rsid w:val="4B7F5343"/>
    <w:rsid w:val="4BB92D8E"/>
    <w:rsid w:val="4BD07B58"/>
    <w:rsid w:val="4BE87BA5"/>
    <w:rsid w:val="4BE91B3A"/>
    <w:rsid w:val="4C235CCD"/>
    <w:rsid w:val="4C3176AB"/>
    <w:rsid w:val="4C415DC1"/>
    <w:rsid w:val="4C48137E"/>
    <w:rsid w:val="4C52192A"/>
    <w:rsid w:val="4C6E278E"/>
    <w:rsid w:val="4C956F44"/>
    <w:rsid w:val="4CA50074"/>
    <w:rsid w:val="4CAA39A1"/>
    <w:rsid w:val="4CB659EA"/>
    <w:rsid w:val="4CFF538B"/>
    <w:rsid w:val="4D4230D1"/>
    <w:rsid w:val="4D450975"/>
    <w:rsid w:val="4D4D7800"/>
    <w:rsid w:val="4D5F2E94"/>
    <w:rsid w:val="4D7112B5"/>
    <w:rsid w:val="4D7251FF"/>
    <w:rsid w:val="4DA16835"/>
    <w:rsid w:val="4DB75AF6"/>
    <w:rsid w:val="4DDC79D2"/>
    <w:rsid w:val="4DE50C0B"/>
    <w:rsid w:val="4E11105D"/>
    <w:rsid w:val="4E16225A"/>
    <w:rsid w:val="4E204940"/>
    <w:rsid w:val="4E253AB8"/>
    <w:rsid w:val="4E472C92"/>
    <w:rsid w:val="4E4A131D"/>
    <w:rsid w:val="4E824D97"/>
    <w:rsid w:val="4E9D5C2D"/>
    <w:rsid w:val="4EBA57C1"/>
    <w:rsid w:val="4F047E0A"/>
    <w:rsid w:val="4F133DD7"/>
    <w:rsid w:val="4F2A57CF"/>
    <w:rsid w:val="4F477F24"/>
    <w:rsid w:val="4F923BD2"/>
    <w:rsid w:val="4F9F2878"/>
    <w:rsid w:val="4FA91AAC"/>
    <w:rsid w:val="4FBD0FF5"/>
    <w:rsid w:val="4FC854D7"/>
    <w:rsid w:val="4FE13ED5"/>
    <w:rsid w:val="50111814"/>
    <w:rsid w:val="50142DE1"/>
    <w:rsid w:val="5015687B"/>
    <w:rsid w:val="501926CA"/>
    <w:rsid w:val="503109FF"/>
    <w:rsid w:val="505750F0"/>
    <w:rsid w:val="505E3D68"/>
    <w:rsid w:val="50D13748"/>
    <w:rsid w:val="51031A0F"/>
    <w:rsid w:val="512C07D1"/>
    <w:rsid w:val="516A440A"/>
    <w:rsid w:val="51856AE2"/>
    <w:rsid w:val="51BA5A6F"/>
    <w:rsid w:val="51C42E16"/>
    <w:rsid w:val="51D23526"/>
    <w:rsid w:val="51D412F6"/>
    <w:rsid w:val="525351F4"/>
    <w:rsid w:val="525A6FBC"/>
    <w:rsid w:val="526C0997"/>
    <w:rsid w:val="52707792"/>
    <w:rsid w:val="52855A65"/>
    <w:rsid w:val="52A03358"/>
    <w:rsid w:val="52E87329"/>
    <w:rsid w:val="53311AB3"/>
    <w:rsid w:val="53317F44"/>
    <w:rsid w:val="533D33D1"/>
    <w:rsid w:val="534907F0"/>
    <w:rsid w:val="53511F1B"/>
    <w:rsid w:val="53670B33"/>
    <w:rsid w:val="537735FB"/>
    <w:rsid w:val="53775B6A"/>
    <w:rsid w:val="537A7055"/>
    <w:rsid w:val="53852D75"/>
    <w:rsid w:val="538F5737"/>
    <w:rsid w:val="53D43855"/>
    <w:rsid w:val="53D6214F"/>
    <w:rsid w:val="53EE1101"/>
    <w:rsid w:val="53FC4E8E"/>
    <w:rsid w:val="5401256C"/>
    <w:rsid w:val="541717DC"/>
    <w:rsid w:val="54222D80"/>
    <w:rsid w:val="54271D5C"/>
    <w:rsid w:val="54722583"/>
    <w:rsid w:val="54976AA9"/>
    <w:rsid w:val="549A3F89"/>
    <w:rsid w:val="54B26300"/>
    <w:rsid w:val="54DE0134"/>
    <w:rsid w:val="54E1262F"/>
    <w:rsid w:val="550246E3"/>
    <w:rsid w:val="551D7BF3"/>
    <w:rsid w:val="55256476"/>
    <w:rsid w:val="553C46BA"/>
    <w:rsid w:val="55494082"/>
    <w:rsid w:val="55721C48"/>
    <w:rsid w:val="557D5B60"/>
    <w:rsid w:val="5582509C"/>
    <w:rsid w:val="55834A19"/>
    <w:rsid w:val="559B4861"/>
    <w:rsid w:val="55F27046"/>
    <w:rsid w:val="55F526C6"/>
    <w:rsid w:val="56066DC9"/>
    <w:rsid w:val="563F4179"/>
    <w:rsid w:val="564E1228"/>
    <w:rsid w:val="56753820"/>
    <w:rsid w:val="56A6131D"/>
    <w:rsid w:val="56A82B00"/>
    <w:rsid w:val="56BC5AD0"/>
    <w:rsid w:val="56D00C68"/>
    <w:rsid w:val="57022BD1"/>
    <w:rsid w:val="57212B27"/>
    <w:rsid w:val="572809C2"/>
    <w:rsid w:val="573214BA"/>
    <w:rsid w:val="574519EF"/>
    <w:rsid w:val="57480C4D"/>
    <w:rsid w:val="574C27F3"/>
    <w:rsid w:val="57791B45"/>
    <w:rsid w:val="57895A45"/>
    <w:rsid w:val="57A916CC"/>
    <w:rsid w:val="57C5313B"/>
    <w:rsid w:val="57D003BF"/>
    <w:rsid w:val="57D807D4"/>
    <w:rsid w:val="57EA7969"/>
    <w:rsid w:val="57F740F4"/>
    <w:rsid w:val="57FA3D86"/>
    <w:rsid w:val="58131D55"/>
    <w:rsid w:val="58366D88"/>
    <w:rsid w:val="583B61DC"/>
    <w:rsid w:val="58626B84"/>
    <w:rsid w:val="5865530E"/>
    <w:rsid w:val="58750691"/>
    <w:rsid w:val="58A304F0"/>
    <w:rsid w:val="58AB575D"/>
    <w:rsid w:val="58BC728D"/>
    <w:rsid w:val="58DD0763"/>
    <w:rsid w:val="58DD3F79"/>
    <w:rsid w:val="591F0ED8"/>
    <w:rsid w:val="59364F97"/>
    <w:rsid w:val="59415A4D"/>
    <w:rsid w:val="59445F91"/>
    <w:rsid w:val="59691E36"/>
    <w:rsid w:val="59815208"/>
    <w:rsid w:val="59F001A4"/>
    <w:rsid w:val="5A0315C2"/>
    <w:rsid w:val="5A0F3CCD"/>
    <w:rsid w:val="5A1E2DE7"/>
    <w:rsid w:val="5A20427A"/>
    <w:rsid w:val="5A395FB6"/>
    <w:rsid w:val="5A436A2D"/>
    <w:rsid w:val="5A7229EA"/>
    <w:rsid w:val="5A8A38B2"/>
    <w:rsid w:val="5B0A066E"/>
    <w:rsid w:val="5B123FA7"/>
    <w:rsid w:val="5B2335F4"/>
    <w:rsid w:val="5B5E18A4"/>
    <w:rsid w:val="5B613C0E"/>
    <w:rsid w:val="5B955E96"/>
    <w:rsid w:val="5B9B3675"/>
    <w:rsid w:val="5BA26571"/>
    <w:rsid w:val="5BCA6564"/>
    <w:rsid w:val="5BD66D67"/>
    <w:rsid w:val="5C107D40"/>
    <w:rsid w:val="5C1E3775"/>
    <w:rsid w:val="5C381264"/>
    <w:rsid w:val="5C4850FD"/>
    <w:rsid w:val="5C4D1947"/>
    <w:rsid w:val="5C516D01"/>
    <w:rsid w:val="5C573EDE"/>
    <w:rsid w:val="5C5F4C5A"/>
    <w:rsid w:val="5C666A3C"/>
    <w:rsid w:val="5C672644"/>
    <w:rsid w:val="5C8132C7"/>
    <w:rsid w:val="5CA23A25"/>
    <w:rsid w:val="5CA63ECF"/>
    <w:rsid w:val="5CC26330"/>
    <w:rsid w:val="5CD67F41"/>
    <w:rsid w:val="5CDF760E"/>
    <w:rsid w:val="5D017C51"/>
    <w:rsid w:val="5D1C04EB"/>
    <w:rsid w:val="5D4165A3"/>
    <w:rsid w:val="5D463591"/>
    <w:rsid w:val="5D4F2A78"/>
    <w:rsid w:val="5D5741CB"/>
    <w:rsid w:val="5D792AE4"/>
    <w:rsid w:val="5D804F27"/>
    <w:rsid w:val="5D861A18"/>
    <w:rsid w:val="5D897BA9"/>
    <w:rsid w:val="5D972330"/>
    <w:rsid w:val="5DC25C67"/>
    <w:rsid w:val="5DCA795F"/>
    <w:rsid w:val="5DD97571"/>
    <w:rsid w:val="5DF5102F"/>
    <w:rsid w:val="5E0A643D"/>
    <w:rsid w:val="5E1169B2"/>
    <w:rsid w:val="5E1C73BD"/>
    <w:rsid w:val="5E2F58D3"/>
    <w:rsid w:val="5E5A06FD"/>
    <w:rsid w:val="5E7D65B8"/>
    <w:rsid w:val="5E9342EC"/>
    <w:rsid w:val="5EA27CF7"/>
    <w:rsid w:val="5EBC3C1E"/>
    <w:rsid w:val="5EC80351"/>
    <w:rsid w:val="5F3815EE"/>
    <w:rsid w:val="5F4D50E3"/>
    <w:rsid w:val="5F50072F"/>
    <w:rsid w:val="5F5C32D6"/>
    <w:rsid w:val="5F840C85"/>
    <w:rsid w:val="5FAF097A"/>
    <w:rsid w:val="5FB10E83"/>
    <w:rsid w:val="5FCA512F"/>
    <w:rsid w:val="5FE45AFE"/>
    <w:rsid w:val="600E788A"/>
    <w:rsid w:val="60182CB2"/>
    <w:rsid w:val="60234C2A"/>
    <w:rsid w:val="604130CF"/>
    <w:rsid w:val="60663C94"/>
    <w:rsid w:val="60794FD4"/>
    <w:rsid w:val="60814FEF"/>
    <w:rsid w:val="60AE4E89"/>
    <w:rsid w:val="60D32F5A"/>
    <w:rsid w:val="60E973AF"/>
    <w:rsid w:val="610C47AA"/>
    <w:rsid w:val="610E2B4C"/>
    <w:rsid w:val="61652467"/>
    <w:rsid w:val="61862140"/>
    <w:rsid w:val="618D2F8B"/>
    <w:rsid w:val="619776D4"/>
    <w:rsid w:val="619945D7"/>
    <w:rsid w:val="61BA4586"/>
    <w:rsid w:val="61C24BFD"/>
    <w:rsid w:val="61DE43D4"/>
    <w:rsid w:val="61E06967"/>
    <w:rsid w:val="61ED083B"/>
    <w:rsid w:val="62112BCB"/>
    <w:rsid w:val="624216A0"/>
    <w:rsid w:val="626343A0"/>
    <w:rsid w:val="626736F9"/>
    <w:rsid w:val="626B4082"/>
    <w:rsid w:val="626B6B00"/>
    <w:rsid w:val="627C555A"/>
    <w:rsid w:val="628E1BE9"/>
    <w:rsid w:val="62B56103"/>
    <w:rsid w:val="62D06FF9"/>
    <w:rsid w:val="62D765EB"/>
    <w:rsid w:val="631D301E"/>
    <w:rsid w:val="63293243"/>
    <w:rsid w:val="63556A24"/>
    <w:rsid w:val="6356796F"/>
    <w:rsid w:val="636B22CC"/>
    <w:rsid w:val="636C198B"/>
    <w:rsid w:val="63941C0D"/>
    <w:rsid w:val="63B65AC7"/>
    <w:rsid w:val="63C713E9"/>
    <w:rsid w:val="63C82E3E"/>
    <w:rsid w:val="63D62198"/>
    <w:rsid w:val="63D7428B"/>
    <w:rsid w:val="63DA6A02"/>
    <w:rsid w:val="63E92F01"/>
    <w:rsid w:val="63F71F71"/>
    <w:rsid w:val="640C4C0D"/>
    <w:rsid w:val="643B5584"/>
    <w:rsid w:val="64406FC4"/>
    <w:rsid w:val="645830D7"/>
    <w:rsid w:val="64606F6A"/>
    <w:rsid w:val="64675414"/>
    <w:rsid w:val="646C6DE3"/>
    <w:rsid w:val="647258C3"/>
    <w:rsid w:val="64932629"/>
    <w:rsid w:val="64AA2E73"/>
    <w:rsid w:val="64B8434A"/>
    <w:rsid w:val="64C5008F"/>
    <w:rsid w:val="64E8446E"/>
    <w:rsid w:val="64F735D8"/>
    <w:rsid w:val="651B7747"/>
    <w:rsid w:val="65376B47"/>
    <w:rsid w:val="654042F5"/>
    <w:rsid w:val="65475601"/>
    <w:rsid w:val="65D200F0"/>
    <w:rsid w:val="65F66C79"/>
    <w:rsid w:val="65FD7CC9"/>
    <w:rsid w:val="660447CA"/>
    <w:rsid w:val="661029C7"/>
    <w:rsid w:val="66380310"/>
    <w:rsid w:val="665622BC"/>
    <w:rsid w:val="66653739"/>
    <w:rsid w:val="666C4EE6"/>
    <w:rsid w:val="66792487"/>
    <w:rsid w:val="66A02FE8"/>
    <w:rsid w:val="66D15C09"/>
    <w:rsid w:val="66D317F2"/>
    <w:rsid w:val="66FB0FDC"/>
    <w:rsid w:val="66FC5AFF"/>
    <w:rsid w:val="6709462E"/>
    <w:rsid w:val="6748666C"/>
    <w:rsid w:val="6777196F"/>
    <w:rsid w:val="678A1ED0"/>
    <w:rsid w:val="679E4D0E"/>
    <w:rsid w:val="67AB61F8"/>
    <w:rsid w:val="67BA7741"/>
    <w:rsid w:val="67E6170C"/>
    <w:rsid w:val="680D0CA5"/>
    <w:rsid w:val="681014F3"/>
    <w:rsid w:val="682054F9"/>
    <w:rsid w:val="682B7F8C"/>
    <w:rsid w:val="6878475E"/>
    <w:rsid w:val="68A45648"/>
    <w:rsid w:val="68A5668C"/>
    <w:rsid w:val="68D27297"/>
    <w:rsid w:val="68D35CA3"/>
    <w:rsid w:val="68DC2023"/>
    <w:rsid w:val="68FE0C44"/>
    <w:rsid w:val="6911241F"/>
    <w:rsid w:val="69307669"/>
    <w:rsid w:val="69903316"/>
    <w:rsid w:val="69B67115"/>
    <w:rsid w:val="69B82DF4"/>
    <w:rsid w:val="69EF53B4"/>
    <w:rsid w:val="6A126DD2"/>
    <w:rsid w:val="6A420E56"/>
    <w:rsid w:val="6A840BF8"/>
    <w:rsid w:val="6A924E32"/>
    <w:rsid w:val="6A94008C"/>
    <w:rsid w:val="6AC635A8"/>
    <w:rsid w:val="6AE37195"/>
    <w:rsid w:val="6AE60947"/>
    <w:rsid w:val="6AEF6EB8"/>
    <w:rsid w:val="6AF179D8"/>
    <w:rsid w:val="6B0B374F"/>
    <w:rsid w:val="6B0E6D92"/>
    <w:rsid w:val="6B17074E"/>
    <w:rsid w:val="6B1F0CCB"/>
    <w:rsid w:val="6B4B404C"/>
    <w:rsid w:val="6B6234E5"/>
    <w:rsid w:val="6BA95F10"/>
    <w:rsid w:val="6BAC2BAE"/>
    <w:rsid w:val="6BBD11F5"/>
    <w:rsid w:val="6BCE1834"/>
    <w:rsid w:val="6BD12800"/>
    <w:rsid w:val="6C022DB1"/>
    <w:rsid w:val="6C0504CD"/>
    <w:rsid w:val="6C1208F3"/>
    <w:rsid w:val="6C5E02FC"/>
    <w:rsid w:val="6C691082"/>
    <w:rsid w:val="6C721812"/>
    <w:rsid w:val="6C8B0F52"/>
    <w:rsid w:val="6CDD07BE"/>
    <w:rsid w:val="6CDD0DD0"/>
    <w:rsid w:val="6CFA7DB1"/>
    <w:rsid w:val="6D0127E4"/>
    <w:rsid w:val="6D135E16"/>
    <w:rsid w:val="6D1C168A"/>
    <w:rsid w:val="6D347A31"/>
    <w:rsid w:val="6D3668DD"/>
    <w:rsid w:val="6D471CAB"/>
    <w:rsid w:val="6D8617C0"/>
    <w:rsid w:val="6DAC0977"/>
    <w:rsid w:val="6DB941BD"/>
    <w:rsid w:val="6DC60F63"/>
    <w:rsid w:val="6DCF0C94"/>
    <w:rsid w:val="6DD76259"/>
    <w:rsid w:val="6DF40ED9"/>
    <w:rsid w:val="6E343B64"/>
    <w:rsid w:val="6E4C770B"/>
    <w:rsid w:val="6E5F1098"/>
    <w:rsid w:val="6E6F2793"/>
    <w:rsid w:val="6E703D8E"/>
    <w:rsid w:val="6E84323D"/>
    <w:rsid w:val="6E866AA3"/>
    <w:rsid w:val="6E942A76"/>
    <w:rsid w:val="6EA41FA2"/>
    <w:rsid w:val="6EB2181E"/>
    <w:rsid w:val="6EB44AD4"/>
    <w:rsid w:val="6EEB5D7F"/>
    <w:rsid w:val="6F313FE8"/>
    <w:rsid w:val="6F341EA2"/>
    <w:rsid w:val="6F381CAC"/>
    <w:rsid w:val="6F547DC8"/>
    <w:rsid w:val="6F555E8B"/>
    <w:rsid w:val="6F6128C1"/>
    <w:rsid w:val="6F9C6902"/>
    <w:rsid w:val="6FA0729C"/>
    <w:rsid w:val="6FD45156"/>
    <w:rsid w:val="6FF9096F"/>
    <w:rsid w:val="70070910"/>
    <w:rsid w:val="70100CA2"/>
    <w:rsid w:val="70106DE6"/>
    <w:rsid w:val="701B7EF3"/>
    <w:rsid w:val="702B1097"/>
    <w:rsid w:val="702B68F1"/>
    <w:rsid w:val="70393572"/>
    <w:rsid w:val="70741DA4"/>
    <w:rsid w:val="70782DDA"/>
    <w:rsid w:val="70A24D48"/>
    <w:rsid w:val="70BA64EF"/>
    <w:rsid w:val="70C900DF"/>
    <w:rsid w:val="70E611B1"/>
    <w:rsid w:val="70EC49AE"/>
    <w:rsid w:val="70F80524"/>
    <w:rsid w:val="70FB5C41"/>
    <w:rsid w:val="710A2419"/>
    <w:rsid w:val="71326D32"/>
    <w:rsid w:val="714C2CD0"/>
    <w:rsid w:val="715A596A"/>
    <w:rsid w:val="717C247D"/>
    <w:rsid w:val="717F26E4"/>
    <w:rsid w:val="71816B8E"/>
    <w:rsid w:val="71832D29"/>
    <w:rsid w:val="71907818"/>
    <w:rsid w:val="71B252F9"/>
    <w:rsid w:val="71CA611F"/>
    <w:rsid w:val="71CD7943"/>
    <w:rsid w:val="71E95916"/>
    <w:rsid w:val="71F950A9"/>
    <w:rsid w:val="7203413E"/>
    <w:rsid w:val="723C62EB"/>
    <w:rsid w:val="7250588C"/>
    <w:rsid w:val="7251838B"/>
    <w:rsid w:val="726F1340"/>
    <w:rsid w:val="726F5278"/>
    <w:rsid w:val="727E786A"/>
    <w:rsid w:val="72851E13"/>
    <w:rsid w:val="72887FD4"/>
    <w:rsid w:val="729A6D07"/>
    <w:rsid w:val="72BD0544"/>
    <w:rsid w:val="72C0472D"/>
    <w:rsid w:val="72D11D5C"/>
    <w:rsid w:val="72E85DAD"/>
    <w:rsid w:val="732303D9"/>
    <w:rsid w:val="733A6AF9"/>
    <w:rsid w:val="735008A6"/>
    <w:rsid w:val="73532CC9"/>
    <w:rsid w:val="739E1612"/>
    <w:rsid w:val="739F3D64"/>
    <w:rsid w:val="73D73D11"/>
    <w:rsid w:val="73EA68D4"/>
    <w:rsid w:val="741015BE"/>
    <w:rsid w:val="744975DD"/>
    <w:rsid w:val="746920A5"/>
    <w:rsid w:val="747B75DF"/>
    <w:rsid w:val="74945DFE"/>
    <w:rsid w:val="74AE1D28"/>
    <w:rsid w:val="74CB1EDB"/>
    <w:rsid w:val="74DE73F5"/>
    <w:rsid w:val="75185519"/>
    <w:rsid w:val="751E77AF"/>
    <w:rsid w:val="753B4B84"/>
    <w:rsid w:val="75620003"/>
    <w:rsid w:val="7597473F"/>
    <w:rsid w:val="75D07F8B"/>
    <w:rsid w:val="75EE5669"/>
    <w:rsid w:val="764A7999"/>
    <w:rsid w:val="76571277"/>
    <w:rsid w:val="767821EC"/>
    <w:rsid w:val="76957051"/>
    <w:rsid w:val="76BD4232"/>
    <w:rsid w:val="76C10199"/>
    <w:rsid w:val="76C57BCB"/>
    <w:rsid w:val="76F927CD"/>
    <w:rsid w:val="770C0F88"/>
    <w:rsid w:val="771160B2"/>
    <w:rsid w:val="773A73E7"/>
    <w:rsid w:val="773B2934"/>
    <w:rsid w:val="773E064E"/>
    <w:rsid w:val="774E1211"/>
    <w:rsid w:val="777B71D8"/>
    <w:rsid w:val="77821DB2"/>
    <w:rsid w:val="77A54D53"/>
    <w:rsid w:val="77BF2228"/>
    <w:rsid w:val="77D75F2B"/>
    <w:rsid w:val="77FC6767"/>
    <w:rsid w:val="78016613"/>
    <w:rsid w:val="7807758E"/>
    <w:rsid w:val="780D6694"/>
    <w:rsid w:val="781A0BEC"/>
    <w:rsid w:val="78202415"/>
    <w:rsid w:val="78213FC9"/>
    <w:rsid w:val="78472EBC"/>
    <w:rsid w:val="78701D9C"/>
    <w:rsid w:val="7898372A"/>
    <w:rsid w:val="78A1562B"/>
    <w:rsid w:val="78B032FC"/>
    <w:rsid w:val="78FA0671"/>
    <w:rsid w:val="790068CB"/>
    <w:rsid w:val="791B4C63"/>
    <w:rsid w:val="793A634F"/>
    <w:rsid w:val="79474F43"/>
    <w:rsid w:val="796B5873"/>
    <w:rsid w:val="798635EB"/>
    <w:rsid w:val="79991EA7"/>
    <w:rsid w:val="79A5750A"/>
    <w:rsid w:val="7A067F11"/>
    <w:rsid w:val="7A0C1011"/>
    <w:rsid w:val="7A0E7A81"/>
    <w:rsid w:val="7A276F33"/>
    <w:rsid w:val="7A321CDB"/>
    <w:rsid w:val="7A567B6E"/>
    <w:rsid w:val="7A57218E"/>
    <w:rsid w:val="7A6E32C8"/>
    <w:rsid w:val="7ABD4654"/>
    <w:rsid w:val="7AC900CF"/>
    <w:rsid w:val="7B052FBD"/>
    <w:rsid w:val="7B165244"/>
    <w:rsid w:val="7B397C08"/>
    <w:rsid w:val="7B5A5A6C"/>
    <w:rsid w:val="7B5C250E"/>
    <w:rsid w:val="7B5C38E7"/>
    <w:rsid w:val="7B6D0F87"/>
    <w:rsid w:val="7B6D7B5D"/>
    <w:rsid w:val="7B72691F"/>
    <w:rsid w:val="7B783FD8"/>
    <w:rsid w:val="7B9A3DB8"/>
    <w:rsid w:val="7BA113AB"/>
    <w:rsid w:val="7BD52290"/>
    <w:rsid w:val="7BD568A0"/>
    <w:rsid w:val="7BF20E1E"/>
    <w:rsid w:val="7C3A1BEA"/>
    <w:rsid w:val="7C5728ED"/>
    <w:rsid w:val="7C9408F4"/>
    <w:rsid w:val="7CAA0846"/>
    <w:rsid w:val="7CB14063"/>
    <w:rsid w:val="7CB83597"/>
    <w:rsid w:val="7CB90CC2"/>
    <w:rsid w:val="7CFB2CE9"/>
    <w:rsid w:val="7D0C34C4"/>
    <w:rsid w:val="7D1670F6"/>
    <w:rsid w:val="7D212CA5"/>
    <w:rsid w:val="7D255EE2"/>
    <w:rsid w:val="7D293184"/>
    <w:rsid w:val="7D4B3EE6"/>
    <w:rsid w:val="7D6112EF"/>
    <w:rsid w:val="7D68620F"/>
    <w:rsid w:val="7D69777E"/>
    <w:rsid w:val="7D8F646F"/>
    <w:rsid w:val="7D927DC0"/>
    <w:rsid w:val="7DB34706"/>
    <w:rsid w:val="7DFB2CE1"/>
    <w:rsid w:val="7E0F41A9"/>
    <w:rsid w:val="7E1A0A9F"/>
    <w:rsid w:val="7E3C401A"/>
    <w:rsid w:val="7E641213"/>
    <w:rsid w:val="7E74499D"/>
    <w:rsid w:val="7E843482"/>
    <w:rsid w:val="7ED94253"/>
    <w:rsid w:val="7EE33139"/>
    <w:rsid w:val="7EF34773"/>
    <w:rsid w:val="7F0D08DC"/>
    <w:rsid w:val="7F173D26"/>
    <w:rsid w:val="7F2802D8"/>
    <w:rsid w:val="7F6531DB"/>
    <w:rsid w:val="7F663995"/>
    <w:rsid w:val="7F666017"/>
    <w:rsid w:val="7F6F8422"/>
    <w:rsid w:val="7F714EE5"/>
    <w:rsid w:val="7F7D2A23"/>
    <w:rsid w:val="7F7F2734"/>
    <w:rsid w:val="7F8918FF"/>
    <w:rsid w:val="7F9D261C"/>
    <w:rsid w:val="7F9E22B0"/>
    <w:rsid w:val="7FA63F96"/>
    <w:rsid w:val="7FA7279D"/>
    <w:rsid w:val="7FB9287C"/>
    <w:rsid w:val="7FC55840"/>
    <w:rsid w:val="7FCC47FD"/>
    <w:rsid w:val="7FD31973"/>
    <w:rsid w:val="7FDD0ADF"/>
    <w:rsid w:val="7FE15B01"/>
    <w:rsid w:val="7FEB0EDD"/>
    <w:rsid w:val="7FFB1B6E"/>
    <w:rsid w:val="EBEEDD4E"/>
    <w:rsid w:val="FF3D1953"/>
    <w:rsid w:val="FFB68C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w:basedOn w:val="1"/>
    <w:next w:val="1"/>
    <w:link w:val="64"/>
    <w:qFormat/>
    <w:uiPriority w:val="0"/>
    <w:pPr>
      <w:spacing w:after="120"/>
    </w:pPr>
    <w:rPr>
      <w:kern w:val="0"/>
      <w:sz w:val="20"/>
    </w:rPr>
  </w:style>
  <w:style w:type="paragraph" w:styleId="18">
    <w:name w:val="Body Text Indent"/>
    <w:basedOn w:val="1"/>
    <w:next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9"/>
    <w:qFormat/>
    <w:uiPriority w:val="0"/>
    <w:rPr>
      <w:kern w:val="0"/>
      <w:sz w:val="18"/>
      <w:szCs w:val="18"/>
    </w:rPr>
  </w:style>
  <w:style w:type="paragraph" w:styleId="27">
    <w:name w:val="footer"/>
    <w:basedOn w:val="1"/>
    <w:link w:val="93"/>
    <w:qFormat/>
    <w:uiPriority w:val="99"/>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17"/>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8"/>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7"/>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8"/>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8"/>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6"/>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4"/>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7"/>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2"/>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qFormat/>
    <w:uiPriority w:val="0"/>
    <w:rPr>
      <w:rFonts w:ascii="微软雅黑" w:hAnsi="微软雅黑" w:eastAsia="微软雅黑" w:cs="微软雅黑"/>
      <w:color w:val="000000"/>
      <w:sz w:val="22"/>
      <w:szCs w:val="22"/>
      <w:u w:val="none"/>
    </w:rPr>
  </w:style>
  <w:style w:type="paragraph" w:customStyle="1" w:styleId="169">
    <w:name w:val="表格内正文，无编号"/>
    <w:basedOn w:val="1"/>
    <w:qFormat/>
    <w:uiPriority w:val="0"/>
    <w:pPr>
      <w:spacing w:line="400" w:lineRule="exact"/>
      <w:ind w:firstLine="643" w:firstLineChars="200"/>
    </w:pPr>
  </w:style>
  <w:style w:type="paragraph" w:customStyle="1" w:styleId="17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7631</Words>
  <Characters>7986</Characters>
  <Lines>57</Lines>
  <Paragraphs>16</Paragraphs>
  <TotalTime>1</TotalTime>
  <ScaleCrop>false</ScaleCrop>
  <LinksUpToDate>false</LinksUpToDate>
  <CharactersWithSpaces>8881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2022-09-08T02:09:00Z</dcterms:created>
  <dc:creator>陈桂兰</dc:creator>
  <cp:lastModifiedBy>♂杰♂</cp:lastModifiedBy>
  <cp:lastPrinted>2020-05-11T23:11:00Z</cp:lastPrinted>
  <dcterms:modified xsi:type="dcterms:W3CDTF">2022-10-20T08:55:23Z</dcterms:modified>
  <dc:title>项目名称：2019年重庆市取消高速公路省界收费站项目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ED1152307E304A8AB7386522AE35BA3F</vt:lpwstr>
  </property>
</Properties>
</file>